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1396B19C"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5A68D7">
        <w:rPr>
          <w:rFonts w:ascii="Arial Black" w:hAnsi="Arial Black"/>
          <w:caps/>
          <w:sz w:val="15"/>
          <w:szCs w:val="15"/>
        </w:rPr>
        <w:t>10</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20279DF1"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5A68D7">
        <w:rPr>
          <w:rFonts w:asciiTheme="minorHAnsi" w:hAnsiTheme="minorHAnsi" w:cstheme="minorHAnsi" w:hint="cs"/>
          <w:b/>
          <w:bCs/>
          <w:caps/>
          <w:sz w:val="15"/>
          <w:szCs w:val="15"/>
          <w:rtl/>
        </w:rPr>
        <w:t>18 سبتمبر</w:t>
      </w:r>
      <w:r w:rsidR="0095252A" w:rsidRPr="0095252A">
        <w:rPr>
          <w:rFonts w:asciiTheme="minorHAnsi" w:hAnsiTheme="minorHAnsi" w:cstheme="minorHAnsi" w:hint="cs"/>
          <w:b/>
          <w:bCs/>
          <w:caps/>
          <w:sz w:val="15"/>
          <w:szCs w:val="15"/>
          <w:rtl/>
        </w:rPr>
        <w:t xml:space="preserve"> 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25AE1772" w:rsidR="0095252A" w:rsidRPr="0095252A" w:rsidRDefault="005A68D7" w:rsidP="0095252A">
      <w:pPr>
        <w:pStyle w:val="BodyText"/>
        <w:spacing w:after="720"/>
        <w:rPr>
          <w:rFonts w:asciiTheme="minorHAnsi" w:hAnsiTheme="minorHAnsi" w:cstheme="minorHAnsi"/>
          <w:caps/>
          <w:sz w:val="24"/>
          <w:szCs w:val="24"/>
          <w:rtl/>
        </w:rPr>
      </w:pPr>
      <w:bookmarkStart w:id="3" w:name="TitleOfDoc"/>
      <w:r w:rsidRPr="005A68D7">
        <w:rPr>
          <w:rFonts w:asciiTheme="minorHAnsi" w:hAnsiTheme="minorHAnsi"/>
          <w:caps/>
          <w:sz w:val="24"/>
          <w:szCs w:val="24"/>
          <w:rtl/>
        </w:rPr>
        <w:t>تقرير فرقة العمل المعنية بسلاسل الكتل عن المهمة رقم 59</w:t>
      </w:r>
    </w:p>
    <w:bookmarkEnd w:id="3"/>
    <w:p w14:paraId="0A286A76" w14:textId="0FAE6889" w:rsidR="0095252A" w:rsidRPr="0095252A" w:rsidRDefault="005A68D7" w:rsidP="0095252A">
      <w:pPr>
        <w:tabs>
          <w:tab w:val="left" w:pos="567"/>
          <w:tab w:val="left" w:pos="1134"/>
        </w:tabs>
        <w:spacing w:after="960"/>
        <w:rPr>
          <w:rFonts w:asciiTheme="minorHAnsi" w:hAnsiTheme="minorHAnsi" w:cstheme="minorHAnsi"/>
          <w:i/>
          <w:szCs w:val="20"/>
          <w:rtl/>
        </w:rPr>
      </w:pPr>
      <w:r w:rsidRPr="005A68D7">
        <w:rPr>
          <w:rFonts w:asciiTheme="minorHAnsi" w:hAnsiTheme="minorHAnsi"/>
          <w:i/>
          <w:iCs/>
          <w:szCs w:val="20"/>
          <w:rtl/>
        </w:rPr>
        <w:t>وثيقة من إعداد المشرف على فرقة العمل المعنية بسلاسل الكتل</w:t>
      </w:r>
    </w:p>
    <w:p w14:paraId="7C64C133" w14:textId="57C129B8" w:rsidR="005A68D7" w:rsidRPr="00986DFF" w:rsidRDefault="005A68D7" w:rsidP="005A68D7">
      <w:pPr>
        <w:pStyle w:val="Heading2"/>
        <w:rPr>
          <w:i/>
          <w:iCs w:val="0"/>
          <w:sz w:val="24"/>
          <w:szCs w:val="24"/>
        </w:rPr>
      </w:pPr>
      <w:r w:rsidRPr="00986DFF">
        <w:rPr>
          <w:rFonts w:hint="cs"/>
          <w:i/>
          <w:iCs w:val="0"/>
          <w:sz w:val="24"/>
          <w:szCs w:val="24"/>
          <w:rtl/>
        </w:rPr>
        <w:t>ملخص</w:t>
      </w:r>
    </w:p>
    <w:p w14:paraId="0E99E576" w14:textId="3308DE92" w:rsidR="005A68D7" w:rsidRDefault="005A68D7" w:rsidP="0095252A">
      <w:pPr>
        <w:pStyle w:val="ONUMA"/>
        <w:numPr>
          <w:ilvl w:val="0"/>
          <w:numId w:val="31"/>
        </w:numPr>
        <w:tabs>
          <w:tab w:val="clear" w:pos="567"/>
        </w:tabs>
        <w:ind w:left="0" w:firstLine="0"/>
      </w:pPr>
      <w:r w:rsidRPr="005A68D7">
        <w:rPr>
          <w:rtl/>
        </w:rPr>
        <w:t>فرقة العمل المعنية بسلاسل الكتل مسؤولة عن المهمة رقم 59، التي تتعلق جزئياً بوضع معيار جديد للويبو يدعم التطبيق المحتمل لتكنولوجيا سلاسل الكتل في النظم الإيكولوجية للملكية الفكرية.  تقدم فرقة العمل تقارير عن التقدم المحرز في أنشطتها، بما في ذلك العمل على مواصلة تحسين مشروع المعيار منذ الدورة الأخيرة اللجنة المعنية بمعايير الويبو (لجنة المعايير).</w:t>
      </w:r>
    </w:p>
    <w:p w14:paraId="43A75A87" w14:textId="77777777" w:rsidR="005A68D7" w:rsidRPr="00986DFF" w:rsidRDefault="005A68D7" w:rsidP="005A68D7">
      <w:pPr>
        <w:pStyle w:val="Heading2"/>
        <w:rPr>
          <w:i/>
          <w:iCs w:val="0"/>
          <w:sz w:val="24"/>
          <w:szCs w:val="24"/>
          <w:rtl/>
        </w:rPr>
      </w:pPr>
      <w:r w:rsidRPr="00986DFF">
        <w:rPr>
          <w:rFonts w:hint="cs"/>
          <w:i/>
          <w:iCs w:val="0"/>
          <w:sz w:val="24"/>
          <w:szCs w:val="24"/>
          <w:rtl/>
        </w:rPr>
        <w:t>معلومات أساسية</w:t>
      </w:r>
    </w:p>
    <w:p w14:paraId="5ED9E2AF" w14:textId="4BC3E723" w:rsidR="005A68D7" w:rsidRDefault="005A68D7" w:rsidP="0095252A">
      <w:pPr>
        <w:pStyle w:val="ONUMA"/>
        <w:numPr>
          <w:ilvl w:val="0"/>
          <w:numId w:val="31"/>
        </w:numPr>
        <w:tabs>
          <w:tab w:val="clear" w:pos="567"/>
        </w:tabs>
        <w:ind w:left="0" w:firstLine="0"/>
      </w:pPr>
      <w:r w:rsidRPr="005A68D7">
        <w:rPr>
          <w:rtl/>
        </w:rPr>
        <w:t xml:space="preserve">وفي الدورة الثامنة للجنة المعايير، التي عقدت في نوفمبر 2020، قدمت فرقة العمل تقريراً مرحلياً عن أنشطتها (انظر(ي) الوثيقة </w:t>
      </w:r>
      <w:r w:rsidRPr="005A68D7">
        <w:t>CWS/8/15</w:t>
      </w:r>
      <w:r w:rsidRPr="005A68D7">
        <w:rPr>
          <w:rtl/>
        </w:rPr>
        <w:t xml:space="preserve">).  وفي الدورة نفسها، شجعت لجنة المعايير مكاتب الملكية الفكرية على المشاركة في مناقشات فرقة العمل المعنية بسلاسل الكتل وأشارت إلى الفوائد الكبيرة الناجمة عن التعاون مع القطاع الخاص والجامعات والمنظمات غير الحكومية (انظر(ي) الفقرات من 96 إلى 99 من الوثيقة </w:t>
      </w:r>
      <w:r w:rsidRPr="005A68D7">
        <w:t>CWS/8/24</w:t>
      </w:r>
      <w:r w:rsidRPr="005A68D7">
        <w:rPr>
          <w:rtl/>
        </w:rPr>
        <w:t>).</w:t>
      </w:r>
    </w:p>
    <w:p w14:paraId="197A7AEC" w14:textId="2B573A0D" w:rsidR="005A68D7" w:rsidRDefault="005A68D7" w:rsidP="0095252A">
      <w:pPr>
        <w:pStyle w:val="ONUMA"/>
        <w:numPr>
          <w:ilvl w:val="0"/>
          <w:numId w:val="31"/>
        </w:numPr>
        <w:tabs>
          <w:tab w:val="clear" w:pos="567"/>
        </w:tabs>
        <w:ind w:left="0" w:firstLine="0"/>
      </w:pPr>
      <w:r w:rsidRPr="005A68D7">
        <w:rPr>
          <w:rtl/>
        </w:rPr>
        <w:t>وواصلت فرقة العمل عملها في إطار المهمة رقم 59، التي عدلت آخر مرة في الدورة السابعة للجنة المعايير، ويأتي نص وصفها كما يلي:</w:t>
      </w:r>
    </w:p>
    <w:p w14:paraId="6640EB11" w14:textId="4F6B8D41" w:rsidR="005A68D7" w:rsidRPr="00D672CD" w:rsidRDefault="005A68D7" w:rsidP="005A68D7">
      <w:pPr>
        <w:pStyle w:val="BodyText"/>
        <w:ind w:left="562"/>
        <w:rPr>
          <w:i/>
          <w:iCs/>
          <w:strike/>
          <w:rtl/>
        </w:rPr>
      </w:pPr>
      <w:r>
        <w:rPr>
          <w:rFonts w:hint="cs"/>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 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 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 وإعداد اقتراح بشأن معيار جديد للويبو يدعم التطبيق المحتمل لتكنولوجيا سلسلة الكتل في إطار النظام الإيكولوجي للملكية الفكرية."</w:t>
      </w:r>
    </w:p>
    <w:p w14:paraId="53B1BC26" w14:textId="025581B6" w:rsidR="005A68D7" w:rsidRDefault="005A68D7" w:rsidP="005A68D7">
      <w:pPr>
        <w:pStyle w:val="BodyText"/>
      </w:pPr>
      <w:r w:rsidRPr="005A68D7">
        <w:rPr>
          <w:rtl/>
        </w:rPr>
        <w:t xml:space="preserve">(انظر(ي) الفقرة 67 من الوثيقة </w:t>
      </w:r>
      <w:r w:rsidRPr="005A68D7">
        <w:t>CWS/7/29</w:t>
      </w:r>
      <w:r w:rsidRPr="005A68D7">
        <w:rPr>
          <w:rtl/>
        </w:rPr>
        <w:t>).</w:t>
      </w:r>
    </w:p>
    <w:p w14:paraId="3A52ECEF" w14:textId="77777777" w:rsidR="005A68D7" w:rsidRPr="00986DFF" w:rsidRDefault="005A68D7" w:rsidP="005A68D7">
      <w:pPr>
        <w:pStyle w:val="Heading2"/>
        <w:rPr>
          <w:i/>
          <w:iCs w:val="0"/>
          <w:sz w:val="24"/>
          <w:szCs w:val="24"/>
          <w:rtl/>
        </w:rPr>
      </w:pPr>
      <w:r w:rsidRPr="00986DFF">
        <w:rPr>
          <w:rFonts w:hint="cs"/>
          <w:i/>
          <w:iCs w:val="0"/>
          <w:sz w:val="24"/>
          <w:szCs w:val="24"/>
          <w:rtl/>
        </w:rPr>
        <w:lastRenderedPageBreak/>
        <w:t>تقرير مرحلي عن المهمة رقم 59</w:t>
      </w:r>
    </w:p>
    <w:p w14:paraId="71335D8C" w14:textId="77777777" w:rsidR="005A68D7" w:rsidRPr="00986DFF" w:rsidRDefault="005A68D7" w:rsidP="005A68D7">
      <w:pPr>
        <w:pStyle w:val="Heading3"/>
        <w:rPr>
          <w:sz w:val="22"/>
          <w:szCs w:val="22"/>
          <w:rtl/>
        </w:rPr>
      </w:pPr>
      <w:r w:rsidRPr="00986DFF">
        <w:rPr>
          <w:sz w:val="22"/>
          <w:szCs w:val="22"/>
          <w:rtl/>
        </w:rPr>
        <w:t>الهدف</w:t>
      </w:r>
    </w:p>
    <w:p w14:paraId="5A98AE55" w14:textId="6FCD508E" w:rsidR="005A68D7" w:rsidRDefault="005A68D7" w:rsidP="005A68D7">
      <w:pPr>
        <w:pStyle w:val="ONUMA"/>
        <w:numPr>
          <w:ilvl w:val="0"/>
          <w:numId w:val="31"/>
        </w:numPr>
        <w:tabs>
          <w:tab w:val="clear" w:pos="567"/>
        </w:tabs>
        <w:rPr>
          <w:rtl/>
        </w:rPr>
      </w:pPr>
      <w:r>
        <w:rPr>
          <w:rFonts w:hint="cs"/>
          <w:rtl/>
        </w:rPr>
        <w:t>ا</w:t>
      </w:r>
      <w:r>
        <w:rPr>
          <w:rtl/>
        </w:rPr>
        <w:t>لهدف الرئيسي للمهمة رقم 59 هو جمع وتحليل المعلومات المتعلقة بتكنولوجيا سلاسل الكتل وتطبيقها على النظام الإيكولوجي للملكية الفكرية؛ وثانياً، وضع مجموعة من التوصيات بشأن تكنولوجيا سلاسل الكتل للنظم الإيكولوجية للملكية الفكرية.</w:t>
      </w:r>
    </w:p>
    <w:p w14:paraId="2E64D111" w14:textId="77777777" w:rsidR="005A68D7" w:rsidRPr="00986DFF" w:rsidRDefault="005A68D7" w:rsidP="005A68D7">
      <w:pPr>
        <w:pStyle w:val="Heading3"/>
        <w:rPr>
          <w:sz w:val="22"/>
          <w:szCs w:val="22"/>
          <w:rtl/>
        </w:rPr>
      </w:pPr>
      <w:r w:rsidRPr="00986DFF">
        <w:rPr>
          <w:sz w:val="22"/>
          <w:szCs w:val="22"/>
          <w:rtl/>
        </w:rPr>
        <w:t>تقييم التقدم المحرز</w:t>
      </w:r>
    </w:p>
    <w:p w14:paraId="6CB53903" w14:textId="674B1AF2" w:rsidR="005A68D7" w:rsidRDefault="005A68D7" w:rsidP="005A68D7">
      <w:pPr>
        <w:pStyle w:val="ONUMA"/>
        <w:numPr>
          <w:ilvl w:val="0"/>
          <w:numId w:val="31"/>
        </w:numPr>
        <w:tabs>
          <w:tab w:val="clear" w:pos="567"/>
        </w:tabs>
        <w:rPr>
          <w:rtl/>
        </w:rPr>
      </w:pPr>
      <w:r>
        <w:rPr>
          <w:rtl/>
        </w:rPr>
        <w:t>منذ الدورة الأخيرة للجنة المعايير، يواصل المشرف على فرقة العمل تحسين مشروع المعيار الجديد للويبو استناداً إلى البحوث المكثفة التي أجريت في الفترة من 2019 إلى 2021.</w:t>
      </w:r>
    </w:p>
    <w:p w14:paraId="40165CDB" w14:textId="7B54E77E" w:rsidR="005A68D7" w:rsidRDefault="005A68D7" w:rsidP="005A68D7">
      <w:pPr>
        <w:pStyle w:val="ONUMA"/>
        <w:numPr>
          <w:ilvl w:val="0"/>
          <w:numId w:val="31"/>
        </w:numPr>
      </w:pPr>
      <w:r>
        <w:rPr>
          <w:rtl/>
        </w:rPr>
        <w:t xml:space="preserve">واجتمعت فرقة العمل عبر الإنترنت في 20 مايو 2025.  وفي الاجتماع، قدم المشرف على فرقة العمل النتائج الأولية لتحليلات قائمة حالات الاستخدام المحتملة الواردة في </w:t>
      </w:r>
      <w:r w:rsidRPr="005A68D7">
        <w:rPr>
          <w:i/>
          <w:iCs/>
          <w:rtl/>
        </w:rPr>
        <w:t>تكنولوجيا سلاسل الكتل ونظم الملكية الفكرية: ورقة بيضاء صادرة عن الويبو</w:t>
      </w:r>
      <w:r>
        <w:rPr>
          <w:rtl/>
        </w:rPr>
        <w:t xml:space="preserve"> التي نشرت عام 2021، وقدم لمحة موجزة عن كل حالة استخدام.  وأشير إلى أن بعض حالات الاستخدام المعروضة واسعة النطاق للغاية بحيث لا تصلح لغرض إعداد توصيات لمكاتب الملكية الفكرية، في حين يمكن تجميع بعض حالات الاستخدام.</w:t>
      </w:r>
    </w:p>
    <w:p w14:paraId="5F049AAB" w14:textId="77777777" w:rsidR="005A68D7" w:rsidRDefault="005A68D7" w:rsidP="005A68D7">
      <w:pPr>
        <w:pStyle w:val="ONUMA"/>
        <w:numPr>
          <w:ilvl w:val="0"/>
          <w:numId w:val="31"/>
        </w:numPr>
        <w:rPr>
          <w:rtl/>
        </w:rPr>
      </w:pPr>
      <w:r>
        <w:rPr>
          <w:rFonts w:hint="cs"/>
          <w:rtl/>
        </w:rPr>
        <w:t>واستناداً إلى هذه النتائج الأولية، حدد المشرف على فرقة العمل اتجاه العمل المستقبلي، الذي يشمل قائمة منقحة لحالات الاستخدام في مشروع معيار الويبو.   وقد تتضمن قائمة حالات الاستخدام المحتملة المواضيع التالية:</w:t>
      </w:r>
    </w:p>
    <w:p w14:paraId="4EAE7E04" w14:textId="77777777" w:rsidR="005A68D7" w:rsidRDefault="005A68D7" w:rsidP="005A68D7">
      <w:pPr>
        <w:pStyle w:val="ListParagraph"/>
        <w:numPr>
          <w:ilvl w:val="0"/>
          <w:numId w:val="32"/>
        </w:numPr>
        <w:spacing w:after="120" w:line="257" w:lineRule="auto"/>
        <w:ind w:left="922"/>
        <w:contextualSpacing w:val="0"/>
        <w:rPr>
          <w:rtl/>
        </w:rPr>
      </w:pPr>
      <w:r>
        <w:rPr>
          <w:rFonts w:hint="cs"/>
          <w:rtl/>
        </w:rPr>
        <w:t>الختم الزمني كدليل على وجود الملفات الرقمية؛</w:t>
      </w:r>
    </w:p>
    <w:p w14:paraId="17254EE0" w14:textId="77777777" w:rsidR="005A68D7" w:rsidRPr="00FA18A1" w:rsidRDefault="005A68D7" w:rsidP="005A68D7">
      <w:pPr>
        <w:pStyle w:val="ListParagraph"/>
        <w:numPr>
          <w:ilvl w:val="0"/>
          <w:numId w:val="32"/>
        </w:numPr>
        <w:spacing w:after="120" w:line="257" w:lineRule="auto"/>
        <w:ind w:left="922"/>
        <w:contextualSpacing w:val="0"/>
        <w:rPr>
          <w:rtl/>
        </w:rPr>
      </w:pPr>
      <w:r>
        <w:rPr>
          <w:rFonts w:hint="cs"/>
          <w:rtl/>
        </w:rPr>
        <w:t>التحقق من الهوية الرقمية للمودعين؛</w:t>
      </w:r>
    </w:p>
    <w:p w14:paraId="0D4F9EAD" w14:textId="77777777" w:rsidR="005A68D7" w:rsidRDefault="005A68D7" w:rsidP="005A68D7">
      <w:pPr>
        <w:pStyle w:val="ListParagraph"/>
        <w:numPr>
          <w:ilvl w:val="0"/>
          <w:numId w:val="32"/>
        </w:numPr>
        <w:spacing w:after="120" w:line="257" w:lineRule="auto"/>
        <w:ind w:left="922"/>
        <w:contextualSpacing w:val="0"/>
        <w:rPr>
          <w:rtl/>
        </w:rPr>
      </w:pPr>
      <w:r>
        <w:rPr>
          <w:rFonts w:hint="cs"/>
          <w:rtl/>
        </w:rPr>
        <w:t>سجلات الملكية الفكرية الموزعة؛</w:t>
      </w:r>
    </w:p>
    <w:p w14:paraId="42870846" w14:textId="77777777" w:rsidR="005A68D7" w:rsidRDefault="005A68D7" w:rsidP="005A68D7">
      <w:pPr>
        <w:pStyle w:val="ListParagraph"/>
        <w:numPr>
          <w:ilvl w:val="0"/>
          <w:numId w:val="32"/>
        </w:numPr>
        <w:spacing w:after="120" w:line="257" w:lineRule="auto"/>
        <w:ind w:left="922"/>
        <w:contextualSpacing w:val="0"/>
        <w:rPr>
          <w:rtl/>
        </w:rPr>
      </w:pPr>
      <w:r>
        <w:rPr>
          <w:rFonts w:hint="cs"/>
          <w:rtl/>
        </w:rPr>
        <w:t>دليل على إنشاء حقوق الملكية الفكرية؛</w:t>
      </w:r>
    </w:p>
    <w:p w14:paraId="51552C76" w14:textId="77777777" w:rsidR="005A68D7" w:rsidRDefault="005A68D7" w:rsidP="005A68D7">
      <w:pPr>
        <w:pStyle w:val="ListParagraph"/>
        <w:numPr>
          <w:ilvl w:val="0"/>
          <w:numId w:val="32"/>
        </w:numPr>
        <w:spacing w:after="220" w:line="257" w:lineRule="auto"/>
        <w:ind w:left="922"/>
        <w:contextualSpacing w:val="0"/>
        <w:rPr>
          <w:rtl/>
        </w:rPr>
      </w:pPr>
      <w:r>
        <w:rPr>
          <w:rFonts w:hint="cs"/>
          <w:rtl/>
        </w:rPr>
        <w:t>أنظمة تبادل الوثائق ذات الأولوية.</w:t>
      </w:r>
    </w:p>
    <w:p w14:paraId="4B978C33" w14:textId="724E20D8" w:rsidR="005A68D7" w:rsidRPr="005A68D7" w:rsidRDefault="005A68D7" w:rsidP="005A68D7">
      <w:pPr>
        <w:pStyle w:val="ONUMA"/>
        <w:numPr>
          <w:ilvl w:val="0"/>
          <w:numId w:val="31"/>
        </w:numPr>
        <w:rPr>
          <w:rtl/>
        </w:rPr>
      </w:pPr>
      <w:r w:rsidRPr="005A68D7">
        <w:rPr>
          <w:rFonts w:hint="cs"/>
          <w:rtl/>
        </w:rPr>
        <w:t>وأشارت فرقة العمل إلى الدراسة المشتركة بشأن تكنولوجيا سلاسل الكتل والملكية الفكرية التي أعدها مكتبا سنغافورة وسويسرا، والتي عُرضت نتائجها في الدورة الأولى لحوار الويبو القيادي في مجال تكنولوجيا المعلومات والاتصالات.  وخلال اجتماع فرقة العمل الذي عقد في مايو، اقترح التركيز على مجال أو مجالين رئيسيين لإجراء دراسة أعمق، مع الإشارة إلى نتائج الدراسة المشتركة كمرجع مفيد.  وتم اقتراح التعاون مع مكاتب الملكية الفكرية الأخرى التي تستخدم بالفعل تكنولوجيا سلاسل الكتل لجمع المزيد من الأمثلة العملية.</w:t>
      </w:r>
    </w:p>
    <w:p w14:paraId="0BFA403F" w14:textId="41F676DA" w:rsidR="005A68D7" w:rsidRDefault="005A68D7" w:rsidP="005A68D7">
      <w:pPr>
        <w:pStyle w:val="ONUMA"/>
        <w:numPr>
          <w:ilvl w:val="0"/>
          <w:numId w:val="31"/>
        </w:numPr>
      </w:pPr>
      <w:r w:rsidRPr="005A68D7">
        <w:rPr>
          <w:rtl/>
        </w:rPr>
        <w:t>وكجزء من الدراسة الجارية المذكورة، استعرض المشرف على فرقة العمل المنشورات المتعلقة بسلاسل الكتل المتاحة على المواقع الإلكترونية الرسمية للمكاتب أو المنظمات.  ويبدو أن مكاتب الملكية الفكرية التالية من 15 دولة عضو وأربع منظمات هي الأكثر نشاطًا فيما يتعلق باستخدام تكنولوجيا سلاسل الكتل:  أستراليا (</w:t>
      </w:r>
      <w:r w:rsidRPr="005A68D7">
        <w:t>AU</w:t>
      </w:r>
      <w:r w:rsidRPr="005A68D7">
        <w:rPr>
          <w:rtl/>
        </w:rPr>
        <w:t>)، اليونان (</w:t>
      </w:r>
      <w:r w:rsidRPr="005A68D7">
        <w:t>GR</w:t>
      </w:r>
      <w:r w:rsidRPr="005A68D7">
        <w:rPr>
          <w:rtl/>
        </w:rPr>
        <w:t>)، إسرائيل (</w:t>
      </w:r>
      <w:r w:rsidRPr="005A68D7">
        <w:t>IL</w:t>
      </w:r>
      <w:r w:rsidRPr="005A68D7">
        <w:rPr>
          <w:rtl/>
        </w:rPr>
        <w:t>)، اليابان (</w:t>
      </w:r>
      <w:r w:rsidRPr="005A68D7">
        <w:t>JP</w:t>
      </w:r>
      <w:r w:rsidRPr="005A68D7">
        <w:rPr>
          <w:rtl/>
        </w:rPr>
        <w:t>)، نيوزيلندا (</w:t>
      </w:r>
      <w:r w:rsidRPr="005A68D7">
        <w:t>NZ</w:t>
      </w:r>
      <w:r w:rsidRPr="005A68D7">
        <w:rPr>
          <w:rtl/>
        </w:rPr>
        <w:t>)، النرويج (</w:t>
      </w:r>
      <w:r w:rsidRPr="005A68D7">
        <w:t>NO</w:t>
      </w:r>
      <w:r w:rsidRPr="005A68D7">
        <w:rPr>
          <w:rtl/>
        </w:rPr>
        <w:t>)، الفلبين (</w:t>
      </w:r>
      <w:r w:rsidRPr="005A68D7">
        <w:t>PH</w:t>
      </w:r>
      <w:r w:rsidRPr="005A68D7">
        <w:rPr>
          <w:rtl/>
        </w:rPr>
        <w:t>)، الاتحاد الروسي (</w:t>
      </w:r>
      <w:r w:rsidRPr="005A68D7">
        <w:t>RU</w:t>
      </w:r>
      <w:r w:rsidRPr="005A68D7">
        <w:rPr>
          <w:rtl/>
        </w:rPr>
        <w:t>)، سنغافورة (</w:t>
      </w:r>
      <w:r w:rsidRPr="005A68D7">
        <w:t>SG</w:t>
      </w:r>
      <w:r w:rsidRPr="005A68D7">
        <w:rPr>
          <w:rtl/>
        </w:rPr>
        <w:t>)، سلوفاكيا (</w:t>
      </w:r>
      <w:r w:rsidRPr="005A68D7">
        <w:t>SK</w:t>
      </w:r>
      <w:r w:rsidRPr="005A68D7">
        <w:rPr>
          <w:rtl/>
        </w:rPr>
        <w:t>)، إسبانيا (</w:t>
      </w:r>
      <w:r w:rsidRPr="005A68D7">
        <w:t>ES</w:t>
      </w:r>
      <w:r w:rsidRPr="005A68D7">
        <w:rPr>
          <w:rtl/>
        </w:rPr>
        <w:t>)، السويد (</w:t>
      </w:r>
      <w:r w:rsidRPr="005A68D7">
        <w:t>SE</w:t>
      </w:r>
      <w:r w:rsidRPr="005A68D7">
        <w:rPr>
          <w:rtl/>
        </w:rPr>
        <w:t>)، سويسرا (</w:t>
      </w:r>
      <w:r w:rsidRPr="005A68D7">
        <w:t>CH</w:t>
      </w:r>
      <w:r w:rsidRPr="005A68D7">
        <w:rPr>
          <w:rtl/>
        </w:rPr>
        <w:t>)، المملكة المتحدة (</w:t>
      </w:r>
      <w:r w:rsidRPr="005A68D7">
        <w:t>GB</w:t>
      </w:r>
      <w:r w:rsidRPr="005A68D7">
        <w:rPr>
          <w:rtl/>
        </w:rPr>
        <w:t>)، الولايات المتحدة الأمريكية (</w:t>
      </w:r>
      <w:r w:rsidRPr="005A68D7">
        <w:t>US</w:t>
      </w:r>
      <w:r w:rsidRPr="005A68D7">
        <w:rPr>
          <w:rtl/>
        </w:rPr>
        <w:t>)، المنظمة الأوروبية للبراءات (</w:t>
      </w:r>
      <w:r w:rsidRPr="005A68D7">
        <w:t>EPO</w:t>
      </w:r>
      <w:r w:rsidRPr="005A68D7">
        <w:rPr>
          <w:rtl/>
        </w:rPr>
        <w:t>)، مكتب الاتحاد الأوروبي للملكية الفكرية (</w:t>
      </w:r>
      <w:r w:rsidRPr="005A68D7">
        <w:t>EUIPO</w:t>
      </w:r>
      <w:r w:rsidRPr="005A68D7">
        <w:rPr>
          <w:rtl/>
        </w:rPr>
        <w:t>)، الاتحاد الدولي لحماية الأصناف النباتية الجديدة (</w:t>
      </w:r>
      <w:r w:rsidRPr="005A68D7">
        <w:t>UPOV</w:t>
      </w:r>
      <w:r w:rsidRPr="005A68D7">
        <w:rPr>
          <w:rtl/>
        </w:rPr>
        <w:t>) والمنظمة العالمية للملكية الفكرية (الويبو).  وفي هذا الصدد، يمكن أن تشكل تجارب هذه المكاتب محورًا رئيسيًا لمزيد من البحث.  ومن بين مكاتب الملكية الفكرية هذه، ذكر التطبيق العملي الأكثر تطوراً لتكنولوجيا سلاسل الكتل على الموقع الإلكتروني لمكتب الاتحاد الأوروبي للملكية الفكرية (</w:t>
      </w:r>
      <w:r w:rsidRPr="005A68D7">
        <w:t>EUIPO</w:t>
      </w:r>
      <w:r w:rsidRPr="005A68D7">
        <w:rPr>
          <w:rtl/>
        </w:rPr>
        <w:t>)، وخاصة البنية التحتية لسلاسل الكتل الخاصة بالمصادقة.</w:t>
      </w:r>
    </w:p>
    <w:p w14:paraId="5A2135D5" w14:textId="77777777" w:rsidR="005A68D7" w:rsidRPr="00986DFF" w:rsidRDefault="005A68D7" w:rsidP="005A68D7">
      <w:pPr>
        <w:pStyle w:val="Heading3"/>
        <w:rPr>
          <w:sz w:val="22"/>
          <w:szCs w:val="22"/>
          <w:rtl/>
        </w:rPr>
      </w:pPr>
      <w:r w:rsidRPr="00986DFF">
        <w:rPr>
          <w:rFonts w:hint="cs"/>
          <w:sz w:val="22"/>
          <w:szCs w:val="22"/>
          <w:rtl/>
        </w:rPr>
        <w:t>التحديات</w:t>
      </w:r>
    </w:p>
    <w:p w14:paraId="471B222B" w14:textId="0ADE02D0" w:rsidR="005A68D7" w:rsidRDefault="005A68D7" w:rsidP="005A68D7">
      <w:pPr>
        <w:pStyle w:val="ONUME"/>
        <w:numPr>
          <w:ilvl w:val="0"/>
          <w:numId w:val="31"/>
        </w:numPr>
        <w:rPr>
          <w:rtl/>
        </w:rPr>
      </w:pPr>
      <w:r>
        <w:rPr>
          <w:rFonts w:hint="cs"/>
          <w:rtl/>
        </w:rPr>
        <w:t>واجهت فرقة العمل التحديات الحاسمة التالية: قلة مشاركة أعضاء فريق العمل بسبب قلة الخبرة في تنفيذ تكنولوجيا سلاسل الكتل في مجالات الملكية الفكرية.  وتطلب فرقة العمل إلى لجنة المعايير تشجيع مكاتب الملكية الفكرية التي تنفذ حالياً أو تخطط لتنفيذ تكنولوجيا سلاسل الكتل على الانضمام إلى فرقة العمل لتبادل خبراتها.</w:t>
      </w:r>
    </w:p>
    <w:p w14:paraId="76FA93C6" w14:textId="77777777" w:rsidR="005A68D7" w:rsidRPr="00986DFF" w:rsidRDefault="005A68D7" w:rsidP="005A68D7">
      <w:pPr>
        <w:pStyle w:val="Heading3"/>
        <w:rPr>
          <w:sz w:val="22"/>
          <w:szCs w:val="22"/>
          <w:rtl/>
        </w:rPr>
      </w:pPr>
      <w:r w:rsidRPr="00986DFF">
        <w:rPr>
          <w:rFonts w:hint="cs"/>
          <w:sz w:val="22"/>
          <w:szCs w:val="22"/>
          <w:rtl/>
        </w:rPr>
        <w:t>خطة العمل</w:t>
      </w:r>
    </w:p>
    <w:p w14:paraId="06041010" w14:textId="207A9FE6" w:rsidR="005A68D7" w:rsidRDefault="005A68D7" w:rsidP="005A68D7">
      <w:pPr>
        <w:pStyle w:val="ONUME"/>
        <w:numPr>
          <w:ilvl w:val="0"/>
          <w:numId w:val="31"/>
        </w:numPr>
        <w:rPr>
          <w:rtl/>
        </w:rPr>
      </w:pPr>
      <w:r>
        <w:rPr>
          <w:rFonts w:hint="cs"/>
          <w:rtl/>
        </w:rPr>
        <w:t>تبلغ فرقة العمل لجنة المعايير بخطة عملها للفترة 2025-2026، وهي كما يلي:</w:t>
      </w:r>
    </w:p>
    <w:tbl>
      <w:tblPr>
        <w:tblStyle w:val="TableGrid"/>
        <w:bidiVisual/>
        <w:tblW w:w="9606" w:type="dxa"/>
        <w:tblInd w:w="0" w:type="dxa"/>
        <w:tblLook w:val="04A0" w:firstRow="1" w:lastRow="0" w:firstColumn="1" w:lastColumn="0" w:noHBand="0" w:noVBand="1"/>
      </w:tblPr>
      <w:tblGrid>
        <w:gridCol w:w="3078"/>
        <w:gridCol w:w="4320"/>
        <w:gridCol w:w="2208"/>
      </w:tblGrid>
      <w:tr w:rsidR="005A68D7" w14:paraId="70A2936D" w14:textId="77777777" w:rsidTr="00E25BAC">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496CF5" w14:textId="77777777" w:rsidR="005A68D7" w:rsidRDefault="005A68D7" w:rsidP="00E25BAC">
            <w:pPr>
              <w:jc w:val="center"/>
              <w:rPr>
                <w:b/>
                <w:szCs w:val="20"/>
                <w:rtl/>
              </w:rPr>
            </w:pPr>
            <w:r>
              <w:rPr>
                <w:rFonts w:hint="cs"/>
                <w:b/>
                <w:bCs/>
                <w:rtl/>
              </w:rPr>
              <w:t>العنصر</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E5DE01" w14:textId="77777777" w:rsidR="005A68D7" w:rsidRDefault="005A68D7" w:rsidP="00E25BAC">
            <w:pPr>
              <w:jc w:val="center"/>
              <w:rPr>
                <w:b/>
                <w:szCs w:val="20"/>
                <w:rtl/>
              </w:rPr>
            </w:pPr>
            <w:r>
              <w:rPr>
                <w:rFonts w:hint="cs"/>
                <w:b/>
                <w:bCs/>
                <w:rtl/>
              </w:rPr>
              <w:t>الوصف</w:t>
            </w:r>
          </w:p>
        </w:tc>
        <w:tc>
          <w:tcPr>
            <w:tcW w:w="2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28E87" w14:textId="77777777" w:rsidR="005A68D7" w:rsidRDefault="005A68D7" w:rsidP="00E25BAC">
            <w:pPr>
              <w:jc w:val="center"/>
              <w:rPr>
                <w:b/>
                <w:szCs w:val="20"/>
                <w:rtl/>
              </w:rPr>
            </w:pPr>
            <w:r>
              <w:rPr>
                <w:rFonts w:hint="cs"/>
                <w:b/>
                <w:bCs/>
                <w:rtl/>
              </w:rPr>
              <w:t>الإطار الزمني</w:t>
            </w:r>
          </w:p>
        </w:tc>
      </w:tr>
      <w:tr w:rsidR="005A68D7" w14:paraId="58C1D699" w14:textId="77777777" w:rsidTr="00E25BAC">
        <w:tc>
          <w:tcPr>
            <w:tcW w:w="3078" w:type="dxa"/>
            <w:tcBorders>
              <w:top w:val="single" w:sz="4" w:space="0" w:color="auto"/>
              <w:left w:val="single" w:sz="4" w:space="0" w:color="auto"/>
              <w:bottom w:val="single" w:sz="4" w:space="0" w:color="auto"/>
              <w:right w:val="single" w:sz="4" w:space="0" w:color="auto"/>
            </w:tcBorders>
            <w:hideMark/>
          </w:tcPr>
          <w:p w14:paraId="27FEBA41" w14:textId="77777777" w:rsidR="005A68D7" w:rsidRDefault="005A68D7" w:rsidP="00E25BAC">
            <w:pPr>
              <w:spacing w:before="60" w:after="60"/>
              <w:rPr>
                <w:szCs w:val="20"/>
                <w:rtl/>
              </w:rPr>
            </w:pPr>
            <w:r>
              <w:rPr>
                <w:rFonts w:hint="cs"/>
                <w:rtl/>
              </w:rPr>
              <w:t>الدورة 13 للجنة المعايير</w:t>
            </w:r>
          </w:p>
        </w:tc>
        <w:tc>
          <w:tcPr>
            <w:tcW w:w="4320" w:type="dxa"/>
            <w:tcBorders>
              <w:top w:val="single" w:sz="4" w:space="0" w:color="auto"/>
              <w:left w:val="single" w:sz="4" w:space="0" w:color="auto"/>
              <w:bottom w:val="single" w:sz="4" w:space="0" w:color="auto"/>
              <w:right w:val="single" w:sz="4" w:space="0" w:color="auto"/>
            </w:tcBorders>
            <w:hideMark/>
          </w:tcPr>
          <w:p w14:paraId="723C1A9D" w14:textId="77777777" w:rsidR="005A68D7" w:rsidRDefault="005A68D7" w:rsidP="00E25BAC">
            <w:pPr>
              <w:spacing w:before="60" w:after="60"/>
              <w:rPr>
                <w:szCs w:val="20"/>
                <w:rtl/>
              </w:rPr>
            </w:pPr>
            <w:r>
              <w:rPr>
                <w:rFonts w:hint="cs"/>
                <w:rtl/>
              </w:rPr>
              <w:t>تقرير فرقة العمل في الدورة 13 للجنة المعايير</w:t>
            </w:r>
          </w:p>
        </w:tc>
        <w:tc>
          <w:tcPr>
            <w:tcW w:w="2208" w:type="dxa"/>
            <w:tcBorders>
              <w:top w:val="single" w:sz="4" w:space="0" w:color="auto"/>
              <w:left w:val="single" w:sz="4" w:space="0" w:color="auto"/>
              <w:bottom w:val="single" w:sz="4" w:space="0" w:color="auto"/>
              <w:right w:val="single" w:sz="4" w:space="0" w:color="auto"/>
            </w:tcBorders>
            <w:hideMark/>
          </w:tcPr>
          <w:p w14:paraId="06D5F26C" w14:textId="77777777" w:rsidR="005A68D7" w:rsidRDefault="005A68D7" w:rsidP="00E25BAC">
            <w:pPr>
              <w:spacing w:before="60" w:after="60"/>
              <w:rPr>
                <w:szCs w:val="20"/>
                <w:rtl/>
              </w:rPr>
            </w:pPr>
            <w:r>
              <w:rPr>
                <w:rFonts w:hint="cs"/>
                <w:rtl/>
              </w:rPr>
              <w:t>من 10 إلى 14 نوفمبر 2025</w:t>
            </w:r>
          </w:p>
        </w:tc>
      </w:tr>
      <w:tr w:rsidR="005A68D7" w14:paraId="7C98B5FD" w14:textId="77777777" w:rsidTr="00E25BAC">
        <w:tc>
          <w:tcPr>
            <w:tcW w:w="3078" w:type="dxa"/>
            <w:tcBorders>
              <w:top w:val="single" w:sz="4" w:space="0" w:color="auto"/>
              <w:left w:val="single" w:sz="4" w:space="0" w:color="auto"/>
              <w:bottom w:val="single" w:sz="4" w:space="0" w:color="auto"/>
              <w:right w:val="single" w:sz="4" w:space="0" w:color="auto"/>
            </w:tcBorders>
            <w:hideMark/>
          </w:tcPr>
          <w:p w14:paraId="1F52A2B8" w14:textId="77777777" w:rsidR="005A68D7" w:rsidRDefault="005A68D7" w:rsidP="00E25BAC">
            <w:pPr>
              <w:spacing w:before="60" w:after="60"/>
              <w:rPr>
                <w:szCs w:val="20"/>
                <w:rtl/>
              </w:rPr>
            </w:pPr>
            <w:r>
              <w:rPr>
                <w:rFonts w:hint="cs"/>
                <w:rtl/>
              </w:rPr>
              <w:t>تحسين مشروع المعيار</w:t>
            </w:r>
          </w:p>
        </w:tc>
        <w:tc>
          <w:tcPr>
            <w:tcW w:w="4320" w:type="dxa"/>
            <w:tcBorders>
              <w:top w:val="single" w:sz="4" w:space="0" w:color="auto"/>
              <w:left w:val="single" w:sz="4" w:space="0" w:color="auto"/>
              <w:bottom w:val="single" w:sz="4" w:space="0" w:color="auto"/>
              <w:right w:val="single" w:sz="4" w:space="0" w:color="auto"/>
            </w:tcBorders>
            <w:hideMark/>
          </w:tcPr>
          <w:p w14:paraId="40393F57" w14:textId="77777777" w:rsidR="005A68D7" w:rsidRDefault="005A68D7" w:rsidP="00E25BAC">
            <w:pPr>
              <w:spacing w:before="60" w:after="60"/>
              <w:rPr>
                <w:rtl/>
              </w:rPr>
            </w:pPr>
            <w:r>
              <w:rPr>
                <w:rFonts w:hint="cs"/>
                <w:rtl/>
              </w:rPr>
              <w:t>بحث وتحليل حالات استخدام تكنولوجيات سلاسل الكتل في مجتمع الملكية الفكرية، الذي يستعمل تكنولوجيات سلسلة الكتل، وتواصل تحسين مشروع المعيار.</w:t>
            </w:r>
          </w:p>
        </w:tc>
        <w:tc>
          <w:tcPr>
            <w:tcW w:w="2208" w:type="dxa"/>
            <w:tcBorders>
              <w:top w:val="single" w:sz="4" w:space="0" w:color="auto"/>
              <w:left w:val="single" w:sz="4" w:space="0" w:color="auto"/>
              <w:bottom w:val="single" w:sz="4" w:space="0" w:color="auto"/>
              <w:right w:val="single" w:sz="4" w:space="0" w:color="auto"/>
            </w:tcBorders>
            <w:hideMark/>
          </w:tcPr>
          <w:p w14:paraId="6F3FC5EB" w14:textId="77777777" w:rsidR="005A68D7" w:rsidRDefault="005A68D7" w:rsidP="00E25BAC">
            <w:pPr>
              <w:spacing w:before="60" w:after="60"/>
              <w:rPr>
                <w:szCs w:val="20"/>
                <w:rtl/>
              </w:rPr>
            </w:pPr>
            <w:r>
              <w:rPr>
                <w:rFonts w:hint="cs"/>
                <w:rtl/>
              </w:rPr>
              <w:t>2025 – 2026</w:t>
            </w:r>
          </w:p>
        </w:tc>
      </w:tr>
      <w:tr w:rsidR="005A68D7" w14:paraId="7B654A4A" w14:textId="77777777" w:rsidTr="00E25BAC">
        <w:tc>
          <w:tcPr>
            <w:tcW w:w="3078" w:type="dxa"/>
            <w:tcBorders>
              <w:top w:val="single" w:sz="4" w:space="0" w:color="auto"/>
              <w:left w:val="single" w:sz="4" w:space="0" w:color="auto"/>
              <w:bottom w:val="single" w:sz="4" w:space="0" w:color="auto"/>
              <w:right w:val="single" w:sz="4" w:space="0" w:color="auto"/>
            </w:tcBorders>
            <w:hideMark/>
          </w:tcPr>
          <w:p w14:paraId="098AA13A" w14:textId="77777777" w:rsidR="005A68D7" w:rsidRDefault="005A68D7" w:rsidP="00E25BAC">
            <w:pPr>
              <w:spacing w:before="60" w:after="60"/>
              <w:rPr>
                <w:szCs w:val="20"/>
                <w:rtl/>
              </w:rPr>
            </w:pPr>
            <w:r>
              <w:rPr>
                <w:rFonts w:hint="cs"/>
                <w:rtl/>
              </w:rPr>
              <w:t>اجتماعات فرقة العمل</w:t>
            </w:r>
          </w:p>
        </w:tc>
        <w:tc>
          <w:tcPr>
            <w:tcW w:w="4320" w:type="dxa"/>
            <w:tcBorders>
              <w:top w:val="single" w:sz="4" w:space="0" w:color="auto"/>
              <w:left w:val="single" w:sz="4" w:space="0" w:color="auto"/>
              <w:bottom w:val="single" w:sz="4" w:space="0" w:color="auto"/>
              <w:right w:val="single" w:sz="4" w:space="0" w:color="auto"/>
            </w:tcBorders>
            <w:hideMark/>
          </w:tcPr>
          <w:p w14:paraId="2657DA5B" w14:textId="77777777" w:rsidR="005A68D7" w:rsidRDefault="005A68D7" w:rsidP="00E25BAC">
            <w:pPr>
              <w:spacing w:before="60" w:after="60"/>
              <w:rPr>
                <w:szCs w:val="20"/>
                <w:rtl/>
              </w:rPr>
            </w:pPr>
            <w:r>
              <w:rPr>
                <w:rFonts w:hint="cs"/>
                <w:rtl/>
              </w:rPr>
              <w:t>تنظيم اجتماع افتراضي لفرقة العمل لمناقشة نتائج البحث.</w:t>
            </w:r>
          </w:p>
        </w:tc>
        <w:tc>
          <w:tcPr>
            <w:tcW w:w="2208" w:type="dxa"/>
            <w:tcBorders>
              <w:top w:val="single" w:sz="4" w:space="0" w:color="auto"/>
              <w:left w:val="single" w:sz="4" w:space="0" w:color="auto"/>
              <w:bottom w:val="single" w:sz="4" w:space="0" w:color="auto"/>
              <w:right w:val="single" w:sz="4" w:space="0" w:color="auto"/>
            </w:tcBorders>
            <w:hideMark/>
          </w:tcPr>
          <w:p w14:paraId="136095F3" w14:textId="77777777" w:rsidR="005A68D7" w:rsidRDefault="005A68D7" w:rsidP="00E25BAC">
            <w:pPr>
              <w:spacing w:before="60" w:after="60"/>
              <w:rPr>
                <w:szCs w:val="20"/>
                <w:rtl/>
              </w:rPr>
            </w:pPr>
            <w:r>
              <w:rPr>
                <w:rFonts w:hint="cs"/>
                <w:rtl/>
              </w:rPr>
              <w:t>2026</w:t>
            </w:r>
          </w:p>
        </w:tc>
      </w:tr>
      <w:tr w:rsidR="005A68D7" w14:paraId="67A09FF5" w14:textId="77777777" w:rsidTr="00E25BAC">
        <w:tc>
          <w:tcPr>
            <w:tcW w:w="3078" w:type="dxa"/>
            <w:tcBorders>
              <w:top w:val="single" w:sz="4" w:space="0" w:color="auto"/>
              <w:left w:val="single" w:sz="4" w:space="0" w:color="auto"/>
              <w:bottom w:val="single" w:sz="4" w:space="0" w:color="auto"/>
              <w:right w:val="single" w:sz="4" w:space="0" w:color="auto"/>
            </w:tcBorders>
            <w:hideMark/>
          </w:tcPr>
          <w:p w14:paraId="77DFEFDE" w14:textId="77777777" w:rsidR="005A68D7" w:rsidRDefault="005A68D7" w:rsidP="00E25BAC">
            <w:pPr>
              <w:spacing w:before="60" w:after="60"/>
              <w:rPr>
                <w:szCs w:val="20"/>
                <w:rtl/>
              </w:rPr>
            </w:pPr>
            <w:r>
              <w:rPr>
                <w:rFonts w:hint="cs"/>
                <w:rtl/>
              </w:rPr>
              <w:t>التحضير للدورة 14 للجنة المعايير</w:t>
            </w:r>
          </w:p>
        </w:tc>
        <w:tc>
          <w:tcPr>
            <w:tcW w:w="4320" w:type="dxa"/>
            <w:tcBorders>
              <w:top w:val="single" w:sz="4" w:space="0" w:color="auto"/>
              <w:left w:val="single" w:sz="4" w:space="0" w:color="auto"/>
              <w:bottom w:val="single" w:sz="4" w:space="0" w:color="auto"/>
              <w:right w:val="single" w:sz="4" w:space="0" w:color="auto"/>
            </w:tcBorders>
            <w:hideMark/>
          </w:tcPr>
          <w:p w14:paraId="65020292" w14:textId="77777777" w:rsidR="005A68D7" w:rsidRDefault="005A68D7" w:rsidP="00E25BAC">
            <w:pPr>
              <w:spacing w:before="60" w:after="60"/>
              <w:rPr>
                <w:szCs w:val="20"/>
                <w:rtl/>
              </w:rPr>
            </w:pPr>
            <w:r>
              <w:rPr>
                <w:rFonts w:hint="cs"/>
                <w:rtl/>
              </w:rPr>
              <w:t>صياغة وثائق عمل للدورة المقبلة للجنة المعايير.</w:t>
            </w:r>
          </w:p>
        </w:tc>
        <w:tc>
          <w:tcPr>
            <w:tcW w:w="2208" w:type="dxa"/>
            <w:tcBorders>
              <w:top w:val="single" w:sz="4" w:space="0" w:color="auto"/>
              <w:left w:val="single" w:sz="4" w:space="0" w:color="auto"/>
              <w:bottom w:val="single" w:sz="4" w:space="0" w:color="auto"/>
              <w:right w:val="single" w:sz="4" w:space="0" w:color="auto"/>
            </w:tcBorders>
            <w:hideMark/>
          </w:tcPr>
          <w:p w14:paraId="19297CAC" w14:textId="77777777" w:rsidR="005A68D7" w:rsidRDefault="005A68D7" w:rsidP="00E25BAC">
            <w:pPr>
              <w:spacing w:before="60" w:after="60"/>
              <w:rPr>
                <w:szCs w:val="20"/>
                <w:rtl/>
              </w:rPr>
            </w:pPr>
            <w:r>
              <w:rPr>
                <w:rFonts w:hint="cs"/>
                <w:rtl/>
              </w:rPr>
              <w:t>2026</w:t>
            </w:r>
          </w:p>
        </w:tc>
      </w:tr>
      <w:tr w:rsidR="005A68D7" w14:paraId="160B93A7" w14:textId="77777777" w:rsidTr="00E25BAC">
        <w:tc>
          <w:tcPr>
            <w:tcW w:w="3078" w:type="dxa"/>
            <w:tcBorders>
              <w:top w:val="single" w:sz="4" w:space="0" w:color="auto"/>
              <w:left w:val="single" w:sz="4" w:space="0" w:color="auto"/>
              <w:bottom w:val="single" w:sz="4" w:space="0" w:color="auto"/>
              <w:right w:val="single" w:sz="4" w:space="0" w:color="auto"/>
            </w:tcBorders>
            <w:hideMark/>
          </w:tcPr>
          <w:p w14:paraId="1825732A" w14:textId="77777777" w:rsidR="005A68D7" w:rsidRDefault="005A68D7" w:rsidP="00E25BAC">
            <w:pPr>
              <w:spacing w:before="60" w:after="60"/>
              <w:rPr>
                <w:szCs w:val="20"/>
                <w:rtl/>
              </w:rPr>
            </w:pPr>
            <w:r>
              <w:rPr>
                <w:rFonts w:hint="cs"/>
                <w:rtl/>
              </w:rPr>
              <w:t>الدورة 14 للجنة المعايير</w:t>
            </w:r>
          </w:p>
        </w:tc>
        <w:tc>
          <w:tcPr>
            <w:tcW w:w="4320" w:type="dxa"/>
            <w:tcBorders>
              <w:top w:val="single" w:sz="4" w:space="0" w:color="auto"/>
              <w:left w:val="single" w:sz="4" w:space="0" w:color="auto"/>
              <w:bottom w:val="single" w:sz="4" w:space="0" w:color="auto"/>
              <w:right w:val="single" w:sz="4" w:space="0" w:color="auto"/>
            </w:tcBorders>
            <w:hideMark/>
          </w:tcPr>
          <w:p w14:paraId="6FBFE114" w14:textId="77777777" w:rsidR="005A68D7" w:rsidRDefault="005A68D7" w:rsidP="00E25BAC">
            <w:pPr>
              <w:spacing w:before="60" w:after="60"/>
              <w:rPr>
                <w:szCs w:val="20"/>
                <w:rtl/>
              </w:rPr>
            </w:pPr>
            <w:r>
              <w:rPr>
                <w:rFonts w:hint="cs"/>
                <w:rtl/>
              </w:rPr>
              <w:t>تقرير فرقة العمل في الدورة 14 للجنة المعايير</w:t>
            </w:r>
          </w:p>
        </w:tc>
        <w:tc>
          <w:tcPr>
            <w:tcW w:w="2208" w:type="dxa"/>
            <w:tcBorders>
              <w:top w:val="single" w:sz="4" w:space="0" w:color="auto"/>
              <w:left w:val="single" w:sz="4" w:space="0" w:color="auto"/>
              <w:bottom w:val="single" w:sz="4" w:space="0" w:color="auto"/>
              <w:right w:val="single" w:sz="4" w:space="0" w:color="auto"/>
            </w:tcBorders>
            <w:hideMark/>
          </w:tcPr>
          <w:p w14:paraId="2F2ABFC4" w14:textId="77777777" w:rsidR="005A68D7" w:rsidRDefault="005A68D7" w:rsidP="00E25BAC">
            <w:pPr>
              <w:spacing w:before="60" w:after="60"/>
              <w:rPr>
                <w:szCs w:val="20"/>
                <w:rtl/>
              </w:rPr>
            </w:pPr>
            <w:r>
              <w:rPr>
                <w:rFonts w:hint="cs"/>
                <w:rtl/>
              </w:rPr>
              <w:t xml:space="preserve"> 2026</w:t>
            </w:r>
          </w:p>
        </w:tc>
      </w:tr>
    </w:tbl>
    <w:p w14:paraId="04EACDF9" w14:textId="77777777" w:rsidR="005A68D7" w:rsidRDefault="005A68D7" w:rsidP="005A68D7">
      <w:pPr>
        <w:pStyle w:val="ONUMA"/>
        <w:ind w:left="576"/>
      </w:pPr>
    </w:p>
    <w:p w14:paraId="292151C2" w14:textId="77777777" w:rsidR="005A68D7" w:rsidRPr="005A68D7" w:rsidRDefault="005A68D7" w:rsidP="005A68D7">
      <w:pPr>
        <w:pStyle w:val="ONUME"/>
        <w:numPr>
          <w:ilvl w:val="0"/>
          <w:numId w:val="31"/>
        </w:numPr>
        <w:ind w:left="6106"/>
        <w:rPr>
          <w:i/>
          <w:iCs/>
          <w:rtl/>
        </w:rPr>
      </w:pPr>
      <w:r w:rsidRPr="005A68D7">
        <w:rPr>
          <w:rFonts w:hint="cs"/>
          <w:i/>
          <w:iCs/>
          <w:rtl/>
        </w:rPr>
        <w:t>إن لجنة المعايير مدعوة إلى:</w:t>
      </w:r>
    </w:p>
    <w:p w14:paraId="7E4A4408" w14:textId="77777777" w:rsidR="005A68D7" w:rsidRDefault="005A68D7" w:rsidP="005A68D7">
      <w:pPr>
        <w:pStyle w:val="ONUME"/>
        <w:numPr>
          <w:ilvl w:val="1"/>
          <w:numId w:val="31"/>
        </w:numPr>
        <w:ind w:left="6408"/>
        <w:rPr>
          <w:i/>
          <w:rtl/>
        </w:rPr>
      </w:pPr>
      <w:r>
        <w:rPr>
          <w:rFonts w:hint="cs"/>
          <w:i/>
          <w:iCs/>
          <w:rtl/>
        </w:rPr>
        <w:t xml:space="preserve">الإحاطة علماً بمضمون هذه الوثيقة؛  </w:t>
      </w:r>
    </w:p>
    <w:p w14:paraId="0220EED5" w14:textId="77777777" w:rsidR="005A68D7" w:rsidRPr="00D1078C" w:rsidRDefault="005A68D7" w:rsidP="005A68D7">
      <w:pPr>
        <w:pStyle w:val="ONUME"/>
        <w:numPr>
          <w:ilvl w:val="1"/>
          <w:numId w:val="31"/>
        </w:numPr>
        <w:ind w:left="6408"/>
        <w:rPr>
          <w:i/>
          <w:rtl/>
        </w:rPr>
      </w:pPr>
      <w:r>
        <w:rPr>
          <w:rFonts w:hint="cs"/>
          <w:i/>
          <w:iCs/>
          <w:rtl/>
        </w:rPr>
        <w:t>وتشجيع مكاتب الملكية الفكرية على المشاركة في فرقة العمل وتبادل خبراتها على النحو المشار إليه في الفقرة 10 أعلاه؛</w:t>
      </w:r>
    </w:p>
    <w:p w14:paraId="447701AC" w14:textId="77777777" w:rsidR="005A68D7" w:rsidRPr="00D1078C" w:rsidRDefault="005A68D7" w:rsidP="005A68D7">
      <w:pPr>
        <w:pStyle w:val="ONUME"/>
        <w:numPr>
          <w:ilvl w:val="1"/>
          <w:numId w:val="31"/>
        </w:numPr>
        <w:ind w:left="6408"/>
        <w:rPr>
          <w:i/>
          <w:rtl/>
        </w:rPr>
      </w:pPr>
      <w:r>
        <w:rPr>
          <w:rFonts w:hint="cs"/>
          <w:i/>
          <w:iCs/>
          <w:rtl/>
        </w:rPr>
        <w:t>والإحاطة علماً بخطة عمل فرقة العمل المعنية بسلاسل الكتل، كما هي مبيّنة في الفقرة 11 أعلاه.</w:t>
      </w:r>
    </w:p>
    <w:p w14:paraId="1F8ED5A5" w14:textId="77777777" w:rsidR="0095252A" w:rsidRPr="0095252A" w:rsidRDefault="0095252A" w:rsidP="0095252A">
      <w:pPr>
        <w:tabs>
          <w:tab w:val="left" w:pos="567"/>
          <w:tab w:val="left" w:pos="1134"/>
        </w:tabs>
        <w:rPr>
          <w:rFonts w:asciiTheme="minorHAnsi" w:hAnsiTheme="minorHAnsi" w:cstheme="minorHAnsi"/>
        </w:rPr>
      </w:pPr>
    </w:p>
    <w:p w14:paraId="5893D429" w14:textId="0FEA8920" w:rsidR="00A410A9" w:rsidRPr="0095252A" w:rsidRDefault="0095252A" w:rsidP="002043C2">
      <w:pPr>
        <w:pStyle w:val="Endofdocument-Annex"/>
        <w:rPr>
          <w:lang w:eastAsia="en-US"/>
        </w:rPr>
      </w:pPr>
      <w:r w:rsidRPr="0095252A">
        <w:rPr>
          <w:rtl/>
          <w:lang w:eastAsia="en-US"/>
        </w:rPr>
        <w:t>[نهاية الوثيقة]</w:t>
      </w:r>
    </w:p>
    <w:sectPr w:rsidR="00A410A9" w:rsidRPr="0095252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9382" w14:textId="77777777" w:rsidR="00612737" w:rsidRDefault="00612737">
      <w:r>
        <w:separator/>
      </w:r>
    </w:p>
  </w:endnote>
  <w:endnote w:type="continuationSeparator" w:id="0">
    <w:p w14:paraId="4E23DE9D" w14:textId="77777777" w:rsidR="00612737" w:rsidRDefault="00612737" w:rsidP="003B38C1">
      <w:r>
        <w:separator/>
      </w:r>
    </w:p>
    <w:p w14:paraId="511FFFD5" w14:textId="77777777" w:rsidR="00612737" w:rsidRPr="003B38C1" w:rsidRDefault="00612737" w:rsidP="003B38C1">
      <w:pPr>
        <w:spacing w:after="60"/>
        <w:rPr>
          <w:sz w:val="17"/>
        </w:rPr>
      </w:pPr>
      <w:r>
        <w:rPr>
          <w:sz w:val="17"/>
        </w:rPr>
        <w:t>[Endnote continued from previous page]</w:t>
      </w:r>
    </w:p>
  </w:endnote>
  <w:endnote w:type="continuationNotice" w:id="1">
    <w:p w14:paraId="30527107" w14:textId="77777777" w:rsidR="00612737" w:rsidRPr="003B38C1" w:rsidRDefault="006127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3C08" w14:textId="77777777" w:rsidR="00612737" w:rsidRDefault="00612737">
      <w:r>
        <w:separator/>
      </w:r>
    </w:p>
  </w:footnote>
  <w:footnote w:type="continuationSeparator" w:id="0">
    <w:p w14:paraId="56C350A2" w14:textId="77777777" w:rsidR="00612737" w:rsidRDefault="00612737" w:rsidP="008B60B2">
      <w:r>
        <w:separator/>
      </w:r>
    </w:p>
    <w:p w14:paraId="1DF92B4C" w14:textId="77777777" w:rsidR="00612737" w:rsidRPr="00ED77FB" w:rsidRDefault="00612737" w:rsidP="008B60B2">
      <w:pPr>
        <w:spacing w:after="60"/>
        <w:rPr>
          <w:sz w:val="17"/>
          <w:szCs w:val="17"/>
        </w:rPr>
      </w:pPr>
      <w:r w:rsidRPr="00ED77FB">
        <w:rPr>
          <w:sz w:val="17"/>
          <w:szCs w:val="17"/>
        </w:rPr>
        <w:t>[Footnote continued from previous page]</w:t>
      </w:r>
    </w:p>
  </w:footnote>
  <w:footnote w:type="continuationNotice" w:id="1">
    <w:p w14:paraId="1CAFACB9" w14:textId="77777777" w:rsidR="00612737" w:rsidRPr="00ED77FB" w:rsidRDefault="006127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23C449C8"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95252A" w:rsidRPr="0095252A">
      <w:rPr>
        <w:caps/>
      </w:rPr>
      <w:t>1</w:t>
    </w:r>
    <w:r w:rsidR="00986DFF">
      <w:rPr>
        <w:caps/>
      </w:rPr>
      <w:t>0</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B04DA4"/>
    <w:multiLevelType w:val="hybridMultilevel"/>
    <w:tmpl w:val="918C1264"/>
    <w:lvl w:ilvl="0" w:tplc="E6B8B40C">
      <w:start w:val="1"/>
      <w:numFmt w:val="bullet"/>
      <w:lvlText w:val=""/>
      <w:lvlJc w:val="left"/>
      <w:pPr>
        <w:ind w:left="927" w:hanging="360"/>
      </w:pPr>
      <w:rPr>
        <w:rFonts w:ascii="Symbol" w:hAnsi="Symbol" w:hint="default"/>
        <w:strike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C4635D"/>
    <w:multiLevelType w:val="hybridMultilevel"/>
    <w:tmpl w:val="9CFCDEE2"/>
    <w:lvl w:ilvl="0" w:tplc="30323D92">
      <w:start w:val="1"/>
      <w:numFmt w:val="lowerLetter"/>
      <w:lvlText w:val="(%1)"/>
      <w:lvlJc w:val="left"/>
      <w:pPr>
        <w:ind w:left="6036" w:hanging="360"/>
      </w:pPr>
      <w:rPr>
        <w:rFonts w:hint="default"/>
      </w:rPr>
    </w:lvl>
    <w:lvl w:ilvl="1" w:tplc="04090019" w:tentative="1">
      <w:start w:val="1"/>
      <w:numFmt w:val="lowerLetter"/>
      <w:lvlText w:val="%2."/>
      <w:lvlJc w:val="left"/>
      <w:pPr>
        <w:ind w:left="6756" w:hanging="360"/>
      </w:pPr>
    </w:lvl>
    <w:lvl w:ilvl="2" w:tplc="0409001B" w:tentative="1">
      <w:start w:val="1"/>
      <w:numFmt w:val="lowerRoman"/>
      <w:lvlText w:val="%3."/>
      <w:lvlJc w:val="right"/>
      <w:pPr>
        <w:ind w:left="7476" w:hanging="180"/>
      </w:pPr>
    </w:lvl>
    <w:lvl w:ilvl="3" w:tplc="0409000F" w:tentative="1">
      <w:start w:val="1"/>
      <w:numFmt w:val="decimal"/>
      <w:lvlText w:val="%4."/>
      <w:lvlJc w:val="left"/>
      <w:pPr>
        <w:ind w:left="8196" w:hanging="360"/>
      </w:pPr>
    </w:lvl>
    <w:lvl w:ilvl="4" w:tplc="04090019" w:tentative="1">
      <w:start w:val="1"/>
      <w:numFmt w:val="lowerLetter"/>
      <w:lvlText w:val="%5."/>
      <w:lvlJc w:val="left"/>
      <w:pPr>
        <w:ind w:left="8916" w:hanging="360"/>
      </w:pPr>
    </w:lvl>
    <w:lvl w:ilvl="5" w:tplc="0409001B" w:tentative="1">
      <w:start w:val="1"/>
      <w:numFmt w:val="lowerRoman"/>
      <w:lvlText w:val="%6."/>
      <w:lvlJc w:val="right"/>
      <w:pPr>
        <w:ind w:left="9636" w:hanging="180"/>
      </w:pPr>
    </w:lvl>
    <w:lvl w:ilvl="6" w:tplc="0409000F" w:tentative="1">
      <w:start w:val="1"/>
      <w:numFmt w:val="decimal"/>
      <w:lvlText w:val="%7."/>
      <w:lvlJc w:val="left"/>
      <w:pPr>
        <w:ind w:left="10356" w:hanging="360"/>
      </w:pPr>
    </w:lvl>
    <w:lvl w:ilvl="7" w:tplc="04090019" w:tentative="1">
      <w:start w:val="1"/>
      <w:numFmt w:val="lowerLetter"/>
      <w:lvlText w:val="%8."/>
      <w:lvlJc w:val="left"/>
      <w:pPr>
        <w:ind w:left="11076" w:hanging="360"/>
      </w:pPr>
    </w:lvl>
    <w:lvl w:ilvl="8" w:tplc="0409001B" w:tentative="1">
      <w:start w:val="1"/>
      <w:numFmt w:val="lowerRoman"/>
      <w:lvlText w:val="%9."/>
      <w:lvlJc w:val="right"/>
      <w:pPr>
        <w:ind w:left="11796" w:hanging="180"/>
      </w:p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6"/>
  </w:num>
  <w:num w:numId="3" w16cid:durableId="610935826">
    <w:abstractNumId w:val="0"/>
  </w:num>
  <w:num w:numId="4" w16cid:durableId="831139084">
    <w:abstractNumId w:val="20"/>
  </w:num>
  <w:num w:numId="5" w16cid:durableId="1808082453">
    <w:abstractNumId w:val="1"/>
  </w:num>
  <w:num w:numId="6" w16cid:durableId="2058821704">
    <w:abstractNumId w:val="8"/>
  </w:num>
  <w:num w:numId="7" w16cid:durableId="719669768">
    <w:abstractNumId w:val="24"/>
  </w:num>
  <w:num w:numId="8" w16cid:durableId="436217556">
    <w:abstractNumId w:val="12"/>
  </w:num>
  <w:num w:numId="9" w16cid:durableId="1591036600">
    <w:abstractNumId w:val="13"/>
  </w:num>
  <w:num w:numId="10" w16cid:durableId="1183013736">
    <w:abstractNumId w:val="18"/>
  </w:num>
  <w:num w:numId="11" w16cid:durableId="1208254078">
    <w:abstractNumId w:val="23"/>
  </w:num>
  <w:num w:numId="12" w16cid:durableId="1535313221">
    <w:abstractNumId w:val="19"/>
  </w:num>
  <w:num w:numId="13" w16cid:durableId="1775402230">
    <w:abstractNumId w:val="25"/>
  </w:num>
  <w:num w:numId="14" w16cid:durableId="605386166">
    <w:abstractNumId w:val="5"/>
  </w:num>
  <w:num w:numId="15" w16cid:durableId="913050154">
    <w:abstractNumId w:val="11"/>
  </w:num>
  <w:num w:numId="16" w16cid:durableId="1867328089">
    <w:abstractNumId w:val="2"/>
  </w:num>
  <w:num w:numId="17" w16cid:durableId="1880973570">
    <w:abstractNumId w:val="14"/>
  </w:num>
  <w:num w:numId="18" w16cid:durableId="1983188684">
    <w:abstractNumId w:val="21"/>
  </w:num>
  <w:num w:numId="19" w16cid:durableId="1285038826">
    <w:abstractNumId w:val="6"/>
  </w:num>
  <w:num w:numId="20" w16cid:durableId="398984857">
    <w:abstractNumId w:val="27"/>
  </w:num>
  <w:num w:numId="21" w16cid:durableId="855265340">
    <w:abstractNumId w:val="9"/>
  </w:num>
  <w:num w:numId="22" w16cid:durableId="1793552887">
    <w:abstractNumId w:val="28"/>
  </w:num>
  <w:num w:numId="23" w16cid:durableId="1644579125">
    <w:abstractNumId w:val="15"/>
  </w:num>
  <w:num w:numId="24" w16cid:durableId="1029574285">
    <w:abstractNumId w:val="22"/>
  </w:num>
  <w:num w:numId="25" w16cid:durableId="1259025004">
    <w:abstractNumId w:val="31"/>
  </w:num>
  <w:num w:numId="26" w16cid:durableId="1763722631">
    <w:abstractNumId w:val="3"/>
  </w:num>
  <w:num w:numId="27" w16cid:durableId="506360306">
    <w:abstractNumId w:val="10"/>
  </w:num>
  <w:num w:numId="28" w16cid:durableId="499587443">
    <w:abstractNumId w:val="29"/>
  </w:num>
  <w:num w:numId="29" w16cid:durableId="1784225043">
    <w:abstractNumId w:val="32"/>
  </w:num>
  <w:num w:numId="30" w16cid:durableId="780606270">
    <w:abstractNumId w:val="30"/>
  </w:num>
  <w:num w:numId="31" w16cid:durableId="1069696050">
    <w:abstractNumId w:val="26"/>
  </w:num>
  <w:num w:numId="32" w16cid:durableId="2092509685">
    <w:abstractNumId w:val="7"/>
  </w:num>
  <w:num w:numId="33" w16cid:durableId="708339631">
    <w:abstractNumId w:val="17"/>
  </w:num>
  <w:num w:numId="34" w16cid:durableId="1841189481">
    <w:abstractNumId w:val="1"/>
  </w:num>
  <w:num w:numId="35" w16cid:durableId="170142687">
    <w:abstractNumId w:val="1"/>
  </w:num>
  <w:num w:numId="36" w16cid:durableId="1234508959">
    <w:abstractNumId w:val="1"/>
  </w:num>
  <w:num w:numId="37" w16cid:durableId="2059236618">
    <w:abstractNumId w:val="1"/>
  </w:num>
  <w:num w:numId="38" w16cid:durableId="1446266614">
    <w:abstractNumId w:val="1"/>
  </w:num>
  <w:num w:numId="39" w16cid:durableId="3273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5E56"/>
    <w:rsid w:val="001362EE"/>
    <w:rsid w:val="001406E1"/>
    <w:rsid w:val="00140F22"/>
    <w:rsid w:val="00155D8A"/>
    <w:rsid w:val="001647D5"/>
    <w:rsid w:val="00167832"/>
    <w:rsid w:val="00176FD1"/>
    <w:rsid w:val="001832A6"/>
    <w:rsid w:val="0019592A"/>
    <w:rsid w:val="001D4107"/>
    <w:rsid w:val="00203D24"/>
    <w:rsid w:val="002043C2"/>
    <w:rsid w:val="00210D5F"/>
    <w:rsid w:val="0021217E"/>
    <w:rsid w:val="00224BB0"/>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5D"/>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A68D7"/>
    <w:rsid w:val="005B2C79"/>
    <w:rsid w:val="005B453D"/>
    <w:rsid w:val="005B468F"/>
    <w:rsid w:val="005C5B64"/>
    <w:rsid w:val="005C6649"/>
    <w:rsid w:val="005E7B89"/>
    <w:rsid w:val="005F0828"/>
    <w:rsid w:val="00600D30"/>
    <w:rsid w:val="00605827"/>
    <w:rsid w:val="0061273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54AF"/>
    <w:rsid w:val="0079149A"/>
    <w:rsid w:val="00793A7C"/>
    <w:rsid w:val="007969D1"/>
    <w:rsid w:val="007A0E2A"/>
    <w:rsid w:val="007A398A"/>
    <w:rsid w:val="007A6659"/>
    <w:rsid w:val="007C4902"/>
    <w:rsid w:val="007D1613"/>
    <w:rsid w:val="007E4889"/>
    <w:rsid w:val="007E4C0E"/>
    <w:rsid w:val="008039D5"/>
    <w:rsid w:val="00820911"/>
    <w:rsid w:val="008243C0"/>
    <w:rsid w:val="00865911"/>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86DFF"/>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43E1C"/>
    <w:rsid w:val="00B51FF7"/>
    <w:rsid w:val="00B75281"/>
    <w:rsid w:val="00B86A18"/>
    <w:rsid w:val="00B92F1F"/>
    <w:rsid w:val="00B953D5"/>
    <w:rsid w:val="00B9734B"/>
    <w:rsid w:val="00BA30E2"/>
    <w:rsid w:val="00BB781F"/>
    <w:rsid w:val="00BC6536"/>
    <w:rsid w:val="00C11BFE"/>
    <w:rsid w:val="00C128D5"/>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DF49A8"/>
    <w:rsid w:val="00E15015"/>
    <w:rsid w:val="00E15F75"/>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customStyle="1" w:styleId="ONUMEChar">
    <w:name w:val="ONUM E Char"/>
    <w:link w:val="ONUME"/>
    <w:locked/>
    <w:rsid w:val="005A68D7"/>
    <w:rPr>
      <w:rFonts w:ascii="Arial" w:eastAsia="SimSun" w:hAnsi="Arial" w:cs="Calibri"/>
      <w:sz w:val="22"/>
      <w:szCs w:val="22"/>
      <w:lang w:val="en-US" w:eastAsia="zh-CN"/>
    </w:rPr>
  </w:style>
  <w:style w:type="table" w:styleId="TableGrid">
    <w:name w:val="Table Grid"/>
    <w:basedOn w:val="TableNormal"/>
    <w:uiPriority w:val="59"/>
    <w:rsid w:val="005A68D7"/>
    <w:rPr>
      <w:rFonts w:asciiTheme="minorHAnsi" w:eastAsia="MS Mincho"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3</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CWS/13/10 (Arabic)</vt:lpstr>
    </vt:vector>
  </TitlesOfParts>
  <Company>WIPO</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CWS/13/10 (Arabic)</dc:title>
  <dc:subject>تقرير فرقة العمل المعنية بسلاسل الكتل عن المهمة رقم 59</dc:subject>
  <dc:creator>WIPO</dc:creator>
  <cp:keywords>WIPO CWS Thirteenth Session, Report, Blockchain Task Force </cp:keywords>
  <cp:lastModifiedBy>EMMETT Claudia</cp:lastModifiedBy>
  <cp:revision>5</cp:revision>
  <cp:lastPrinted>2025-09-22T14:26:00Z</cp:lastPrinted>
  <dcterms:created xsi:type="dcterms:W3CDTF">2025-09-22T14:25:00Z</dcterms:created>
  <dcterms:modified xsi:type="dcterms:W3CDTF">2025-09-24T14:25:00Z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