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E9637" w14:textId="39A36A2B" w:rsidR="008B2CC1" w:rsidRPr="00F043DE" w:rsidRDefault="00DB76B8" w:rsidP="00846CF6">
      <w:pPr>
        <w:pBdr>
          <w:bottom w:val="single" w:sz="4" w:space="11"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1E811C3D" wp14:editId="5A25019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E5BD19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2"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3" o:title="عربية"/>
                </v:shape>
                <w10:anchorlock/>
              </v:group>
            </w:pict>
          </mc:Fallback>
        </mc:AlternateContent>
      </w:r>
    </w:p>
    <w:p w14:paraId="2135790D" w14:textId="11ECE4A7" w:rsidR="008B2CC1" w:rsidRPr="002326AB" w:rsidRDefault="00846CF6" w:rsidP="000F3DE2">
      <w:pPr>
        <w:rPr>
          <w:rFonts w:ascii="Arial Black" w:hAnsi="Arial Black"/>
          <w:caps/>
          <w:sz w:val="15"/>
          <w:szCs w:val="15"/>
          <w:rtl/>
        </w:rPr>
      </w:pPr>
      <w:r>
        <w:rPr>
          <w:rFonts w:ascii="Arial Black" w:hAnsi="Arial Black"/>
          <w:caps/>
          <w:sz w:val="15"/>
          <w:szCs w:val="15"/>
        </w:rPr>
        <w:t>CWs/12</w:t>
      </w:r>
      <w:bookmarkStart w:id="0" w:name="Code"/>
      <w:bookmarkEnd w:id="0"/>
      <w:r w:rsidR="000F3DE2">
        <w:rPr>
          <w:rFonts w:ascii="Arial Black" w:hAnsi="Arial Black"/>
          <w:caps/>
          <w:sz w:val="15"/>
          <w:szCs w:val="15"/>
        </w:rPr>
        <w:t>/</w:t>
      </w:r>
      <w:r w:rsidR="002E5443">
        <w:rPr>
          <w:rFonts w:ascii="Arial Black" w:hAnsi="Arial Black"/>
          <w:caps/>
          <w:sz w:val="15"/>
          <w:szCs w:val="15"/>
        </w:rPr>
        <w:t>3</w:t>
      </w:r>
    </w:p>
    <w:p w14:paraId="26638F1F" w14:textId="77777777" w:rsidR="00DB76B8" w:rsidRPr="0070778E" w:rsidRDefault="00DB76B8" w:rsidP="00DB76B8">
      <w:pPr>
        <w:bidi/>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bookmarkEnd w:id="1"/>
    <w:p w14:paraId="709262BD" w14:textId="74E67B86" w:rsidR="008B2CC1" w:rsidRPr="00DB76B8" w:rsidRDefault="00EB2F76" w:rsidP="000A3D97">
      <w:pPr>
        <w:bidi/>
        <w:spacing w:after="1200"/>
        <w:jc w:val="right"/>
        <w:rPr>
          <w:rFonts w:asciiTheme="minorHAnsi" w:hAnsiTheme="minorHAnsi" w:cstheme="minorHAnsi"/>
          <w:b/>
          <w:bCs/>
          <w:caps/>
          <w:sz w:val="15"/>
          <w:szCs w:val="15"/>
          <w:rtl/>
        </w:rPr>
      </w:pPr>
      <w:r w:rsidRPr="00DB76B8">
        <w:rPr>
          <w:rFonts w:asciiTheme="minorHAnsi" w:hAnsiTheme="minorHAnsi" w:cstheme="minorHAnsi" w:hint="cs"/>
          <w:b/>
          <w:bCs/>
          <w:caps/>
          <w:sz w:val="15"/>
          <w:szCs w:val="15"/>
          <w:rtl/>
        </w:rPr>
        <w:t>التاريخ:</w:t>
      </w:r>
      <w:bookmarkStart w:id="2" w:name="Date"/>
      <w:r w:rsidRPr="00DB76B8">
        <w:rPr>
          <w:rFonts w:asciiTheme="minorHAnsi" w:hAnsiTheme="minorHAnsi" w:cstheme="minorHAnsi" w:hint="cs"/>
          <w:b/>
          <w:bCs/>
          <w:caps/>
          <w:sz w:val="15"/>
          <w:szCs w:val="15"/>
          <w:rtl/>
        </w:rPr>
        <w:t xml:space="preserve"> 12 أغسطس 2024</w:t>
      </w:r>
    </w:p>
    <w:bookmarkEnd w:id="2"/>
    <w:p w14:paraId="3AE2EAD7" w14:textId="77777777" w:rsidR="008B2CC1" w:rsidRPr="00DB76B8" w:rsidRDefault="00E45755" w:rsidP="00720EFD">
      <w:pPr>
        <w:pStyle w:val="Heading1"/>
        <w:bidi/>
        <w:spacing w:before="0" w:after="480"/>
        <w:rPr>
          <w:rFonts w:asciiTheme="minorHAnsi" w:hAnsiTheme="minorHAnsi" w:cstheme="minorHAnsi"/>
          <w:sz w:val="40"/>
          <w:rtl/>
        </w:rPr>
      </w:pPr>
      <w:r w:rsidRPr="00DB76B8">
        <w:rPr>
          <w:rFonts w:asciiTheme="minorHAnsi" w:hAnsiTheme="minorHAnsi" w:cstheme="minorHAnsi"/>
          <w:sz w:val="32"/>
          <w:rtl/>
        </w:rPr>
        <w:t>اللجنة المعنية بمعايير الويبو (لجنة المعايير)</w:t>
      </w:r>
    </w:p>
    <w:p w14:paraId="2E580F73" w14:textId="1095E61D" w:rsidR="00E45755" w:rsidRPr="00DB76B8" w:rsidRDefault="004555AB" w:rsidP="00E45755">
      <w:pPr>
        <w:bidi/>
        <w:outlineLvl w:val="1"/>
        <w:rPr>
          <w:rFonts w:asciiTheme="minorHAnsi" w:hAnsiTheme="minorHAnsi" w:cstheme="minorHAnsi"/>
          <w:b/>
          <w:sz w:val="24"/>
          <w:szCs w:val="24"/>
          <w:rtl/>
        </w:rPr>
      </w:pPr>
      <w:r w:rsidRPr="00DB76B8">
        <w:rPr>
          <w:rFonts w:asciiTheme="minorHAnsi" w:hAnsiTheme="minorHAnsi" w:cstheme="minorHAnsi"/>
          <w:b/>
          <w:bCs/>
          <w:sz w:val="24"/>
          <w:szCs w:val="24"/>
          <w:rtl/>
        </w:rPr>
        <w:t>الدورة الثانية عشرة</w:t>
      </w:r>
    </w:p>
    <w:p w14:paraId="03558459" w14:textId="6FC329A0" w:rsidR="008B2CC1" w:rsidRPr="00DB76B8" w:rsidRDefault="00846CF6" w:rsidP="00F9165B">
      <w:pPr>
        <w:bidi/>
        <w:spacing w:after="720"/>
        <w:outlineLvl w:val="1"/>
        <w:rPr>
          <w:rFonts w:asciiTheme="minorHAnsi" w:hAnsiTheme="minorHAnsi" w:cstheme="minorHAnsi"/>
          <w:b/>
          <w:sz w:val="24"/>
          <w:szCs w:val="24"/>
          <w:rtl/>
        </w:rPr>
      </w:pPr>
      <w:r w:rsidRPr="00DB76B8">
        <w:rPr>
          <w:rFonts w:asciiTheme="minorHAnsi" w:hAnsiTheme="minorHAnsi" w:cstheme="minorHAnsi"/>
          <w:b/>
          <w:bCs/>
          <w:sz w:val="24"/>
          <w:szCs w:val="24"/>
          <w:rtl/>
        </w:rPr>
        <w:t>جنيف، من 16 إلى 19 سبتمبر 2024</w:t>
      </w:r>
    </w:p>
    <w:p w14:paraId="02C30E72" w14:textId="4EB47799" w:rsidR="008B2CC1" w:rsidRPr="00DB76B8" w:rsidRDefault="002E5443" w:rsidP="00DD7B7F">
      <w:pPr>
        <w:bidi/>
        <w:spacing w:after="360"/>
        <w:outlineLvl w:val="0"/>
        <w:rPr>
          <w:rFonts w:asciiTheme="minorHAnsi" w:hAnsiTheme="minorHAnsi" w:cstheme="minorHAnsi"/>
          <w:caps/>
          <w:sz w:val="24"/>
          <w:rtl/>
        </w:rPr>
      </w:pPr>
      <w:bookmarkStart w:id="3" w:name="TitleOfDoc"/>
      <w:r w:rsidRPr="002E5443">
        <w:rPr>
          <w:rFonts w:asciiTheme="minorHAnsi" w:hAnsiTheme="minorHAnsi" w:cs="Calibri"/>
          <w:caps/>
          <w:sz w:val="24"/>
          <w:szCs w:val="24"/>
          <w:rtl/>
        </w:rPr>
        <w:t>استبيان بشأن تحديد أولويات مهام لجنة المعايير</w:t>
      </w:r>
    </w:p>
    <w:p w14:paraId="7FD07B21" w14:textId="59E6FC70" w:rsidR="009E2E0C" w:rsidRPr="00DB76B8" w:rsidRDefault="009E2E0C" w:rsidP="00D70116">
      <w:pPr>
        <w:bidi/>
        <w:spacing w:after="1040"/>
        <w:rPr>
          <w:rFonts w:asciiTheme="minorHAnsi" w:hAnsiTheme="minorHAnsi" w:cstheme="minorHAnsi"/>
          <w:i/>
          <w:sz w:val="24"/>
          <w:szCs w:val="22"/>
          <w:rtl/>
        </w:rPr>
      </w:pPr>
      <w:bookmarkStart w:id="4" w:name="Prepared"/>
      <w:bookmarkEnd w:id="3"/>
      <w:bookmarkEnd w:id="4"/>
      <w:r w:rsidRPr="00DB76B8">
        <w:rPr>
          <w:rFonts w:asciiTheme="minorHAnsi" w:hAnsiTheme="minorHAnsi" w:cstheme="minorHAnsi"/>
          <w:i/>
          <w:iCs/>
          <w:sz w:val="24"/>
          <w:szCs w:val="22"/>
          <w:rtl/>
        </w:rPr>
        <w:t>وثيقة من إعداد الأمانة</w:t>
      </w:r>
    </w:p>
    <w:p w14:paraId="7C108CA8" w14:textId="54A28F6A" w:rsidR="009E2E0C" w:rsidRPr="006F4017" w:rsidRDefault="002E5443" w:rsidP="006F4017">
      <w:pPr>
        <w:pStyle w:val="Heading2"/>
        <w:rPr>
          <w:rtl/>
        </w:rPr>
      </w:pPr>
      <w:r w:rsidRPr="002E5443">
        <w:rPr>
          <w:rFonts w:cs="Calibri"/>
          <w:rtl/>
        </w:rPr>
        <w:t>ملخص</w:t>
      </w:r>
    </w:p>
    <w:p w14:paraId="60B61A5B" w14:textId="5CA8EB18" w:rsidR="002E5443" w:rsidRDefault="002E5443" w:rsidP="002E5443">
      <w:pPr>
        <w:pStyle w:val="ONUMA"/>
      </w:pPr>
      <w:r w:rsidRPr="002E5443">
        <w:rPr>
          <w:rtl/>
        </w:rPr>
        <w:t xml:space="preserve">تقترح هذه الوثيقة الخطوات التالية فيما يتعلق بالاستبيان الرسمي بشأن تحديد أولويات برنامج عمل اللجنة المعنية بمعايير الويبو (لجنة المعايير).  وترى الأمانة أن نتائج الاستبيان غير الرسمي الذي أجري في يوليو 2024 كانت كافية لتحقيق الأهداف المحددة في الدورات السابقة للجنة.  </w:t>
      </w:r>
    </w:p>
    <w:p w14:paraId="4E6D1BC3" w14:textId="1BCAB3C2" w:rsidR="009E2E0C" w:rsidRPr="00DB76B8" w:rsidRDefault="002E5443" w:rsidP="006F4017">
      <w:pPr>
        <w:pStyle w:val="Heading2"/>
        <w:rPr>
          <w:rtl/>
        </w:rPr>
      </w:pPr>
      <w:r w:rsidRPr="002E5443">
        <w:rPr>
          <w:rFonts w:cs="Calibri"/>
          <w:rtl/>
        </w:rPr>
        <w:t>معلومات أساسية</w:t>
      </w:r>
    </w:p>
    <w:p w14:paraId="35649639" w14:textId="42573D21" w:rsidR="002E5443" w:rsidRDefault="002E5443" w:rsidP="002E5443">
      <w:pPr>
        <w:pStyle w:val="ONUMA"/>
      </w:pPr>
      <w:r w:rsidRPr="002E5443">
        <w:rPr>
          <w:rtl/>
        </w:rPr>
        <w:t xml:space="preserve">ناقشت اللجنة المعنية بمعايير الويبو (لجنة المعايير)، في دورتها العاشرة المنعقدة في عام 2022، تحديد أولويات المهام التي تشكل برنامج عملها.  ولاحظت لجنة المعايير أن مكاتب الملكية الفكرية قد تكون لها أولويات مختلفة، وفهمت أنه سيتعين على الأمانة مراعاة عدة اعتبارات عند تحديد أولويات المهام، بما في ذلك الإجراءات المقررة التي ستنفذها فرقة العمل، وما إن كانت هناك مشاركة نشطة من جانب المكاتب المشاركة ومستوى خبرة تلك المكاتب. (انظر(ي) الفقرة 26 من الوثيقة </w:t>
      </w:r>
      <w:r w:rsidRPr="002E5443">
        <w:t>CWS/10/22</w:t>
      </w:r>
      <w:r w:rsidRPr="002E5443">
        <w:rPr>
          <w:rtl/>
        </w:rPr>
        <w:t>).</w:t>
      </w:r>
    </w:p>
    <w:p w14:paraId="180DA684" w14:textId="6971539A" w:rsidR="002E5443" w:rsidRDefault="002E5443" w:rsidP="002E5443">
      <w:pPr>
        <w:pStyle w:val="ONUMA"/>
      </w:pPr>
      <w:r w:rsidRPr="002E5443">
        <w:rPr>
          <w:rtl/>
        </w:rPr>
        <w:t xml:space="preserve">وفي الدورة نفسها، طرحت الأمانة عدة أسئلة على لجنة المعايير لتنظر فيها، فيما يتعلق بتحديد أولويات المهام وإعداد برنامج العمل.  وترد هذه الأسئلة أدناه (انظر(ي) الفقرة 13 من الوثيقة </w:t>
      </w:r>
      <w:r w:rsidRPr="002E5443">
        <w:t>CWS/10/3</w:t>
      </w:r>
      <w:r w:rsidRPr="002E5443">
        <w:rPr>
          <w:rtl/>
        </w:rPr>
        <w:t>).</w:t>
      </w:r>
    </w:p>
    <w:p w14:paraId="26F0042F" w14:textId="48B5D8D8" w:rsidR="002E5443" w:rsidRDefault="002E5443" w:rsidP="00880D90">
      <w:pPr>
        <w:pStyle w:val="ONUMA"/>
        <w:numPr>
          <w:ilvl w:val="0"/>
          <w:numId w:val="9"/>
        </w:numPr>
        <w:ind w:left="562" w:firstLine="0"/>
        <w:rPr>
          <w:i/>
          <w:iCs/>
        </w:rPr>
      </w:pPr>
      <w:r w:rsidRPr="002E5443">
        <w:rPr>
          <w:i/>
          <w:iCs/>
          <w:rtl/>
        </w:rPr>
        <w:t>ماذا تعني الأولوية العالية في سياق المهام؟  هل تعني أنه يجب على جميع أعضاء لجنة المعايير المشاركة في المهام ذات الأولوية العالية بدلًا من الاستمرار في تركيز اهتمامهم على مهام أخرى أقل أولوية؟  هل تعني أنه يجب على جميع أعضاء فرقة العمل اتخاذ إجراء ما بشأن المهمة؟  لقد لاحظت الأمانة أن معظم فرق العمل تتكون من مجموعة صغيرة من الأعضاء ذوي الهمّة العالية الذين يُسهمون إسهامًا كبيرًا في دفع العمل قُدمًا، وأحيانًا يكون عضو واحد فقط متحمسًا؛ بينما يشترك معهم في الفرقة عدد كبير من الأعضاء الذين يستعرضون ويعلقون؛ ناهيك عن عدد أكبر من الأعضاء الهادئين الذين نادرًا ما يحضرون الاجتماعات أو يقدمون تعليقات</w:t>
      </w:r>
      <w:r w:rsidRPr="002E5443">
        <w:rPr>
          <w:i/>
          <w:iCs/>
        </w:rPr>
        <w:t>.</w:t>
      </w:r>
    </w:p>
    <w:p w14:paraId="0D980D1F" w14:textId="6589857D" w:rsidR="002E5443" w:rsidRDefault="002E5443" w:rsidP="00880D90">
      <w:pPr>
        <w:pStyle w:val="ONUMA"/>
        <w:numPr>
          <w:ilvl w:val="0"/>
          <w:numId w:val="9"/>
        </w:numPr>
        <w:ind w:left="562" w:firstLine="0"/>
        <w:rPr>
          <w:i/>
          <w:iCs/>
        </w:rPr>
      </w:pPr>
      <w:r w:rsidRPr="002E5443">
        <w:rPr>
          <w:i/>
          <w:iCs/>
          <w:rtl/>
        </w:rPr>
        <w:t>هل ينبغي أن تُقلل لجنة المعايير عدد المهام ذات الأولوية العالية لتجنب إثقال كاهل أعضاء لجنة المعايير بأعمال لا يمكن إكمالها في الوقت المناسب؟   وإذا كان الأمر كذلك، فكيف ينبغي أن يوضع حد للمهام ذات الأولوية العالية، بالنظر إلى أن المهام المختلفة تتطلب مقادير مختلفة من الموارد والجهود لإكمالها؟  فقد يكون من الممكن إكمال خمس مهام إذا كانت بسيطة، ولكن إذا كانت المهام الخمس صعبة فسيصعب إحراز تقدم فيها جميعًا.</w:t>
      </w:r>
    </w:p>
    <w:p w14:paraId="0BC653E4" w14:textId="6D130D57" w:rsidR="002E5443" w:rsidRPr="002E5443" w:rsidRDefault="002E5443" w:rsidP="00880D90">
      <w:pPr>
        <w:pStyle w:val="ONUMA"/>
        <w:numPr>
          <w:ilvl w:val="0"/>
          <w:numId w:val="9"/>
        </w:numPr>
        <w:ind w:left="562" w:firstLine="0"/>
        <w:rPr>
          <w:i/>
          <w:iCs/>
        </w:rPr>
      </w:pPr>
      <w:r w:rsidRPr="002E5443">
        <w:rPr>
          <w:i/>
          <w:iCs/>
          <w:rtl/>
        </w:rPr>
        <w:lastRenderedPageBreak/>
        <w:t>في حالة إنجاز مهمة ذات أولوية منخفضة من قبل المكاتب المؤيدة لهذه المهمة، ماذا تفعل لجنة المعايير؟   هل يجب أن تنتظر المهام ذات الأولوية المنخفضة الاستعراض والاعتماد من قبل لجنة المعايير حتى تكتمل المهام ذات الأولوية الأعلى، أم يجب إحراز تقدم جوهري؟</w:t>
      </w:r>
    </w:p>
    <w:p w14:paraId="31224C9A" w14:textId="436E872C" w:rsidR="002E5443" w:rsidRDefault="002E5443" w:rsidP="002E5443">
      <w:pPr>
        <w:pStyle w:val="ONUMA"/>
      </w:pPr>
      <w:r w:rsidRPr="002E5443">
        <w:rPr>
          <w:rtl/>
        </w:rPr>
        <w:t xml:space="preserve">وقدمت الأمانة في الدورة الحادية عشرة للجنة المعايير، بحسب المتفق عليه في الدورة السابقة، مشروع استبيان استقصائي لتنظر فيه اللجنة.  وقد أعدته الأمانة بالتشاور مع المشرفين على فرق عمل لجنة المعايير لتحديد أولويات مهام اللجنة.  وأشارت بعض الوفود إلى عدم وضوح الإطار الزمني الذي ينطبق عليه هذا الاستبيان أو الخطوات التالية بعد تقديم المكاتب للردود.  وأعربت عدة وفود عن اهتمامها بمعرفة ما إن كان وضع مهمة ما سيتأثر بردود المكاتب الواردة في الاستبيان.  (انظر(ي) الفقرتين 34 و36 من الوثيقة </w:t>
      </w:r>
      <w:r w:rsidRPr="002E5443">
        <w:t>CWS/11/28</w:t>
      </w:r>
      <w:r w:rsidRPr="002E5443">
        <w:rPr>
          <w:rtl/>
        </w:rPr>
        <w:t>).</w:t>
      </w:r>
    </w:p>
    <w:p w14:paraId="18FF761F" w14:textId="5298E264" w:rsidR="002E5443" w:rsidRDefault="002E5443" w:rsidP="002E5443">
      <w:pPr>
        <w:pStyle w:val="ONUMA"/>
      </w:pPr>
      <w:r w:rsidRPr="002E5443">
        <w:rPr>
          <w:rtl/>
        </w:rPr>
        <w:t xml:space="preserve">وفي الدورة ذاتها، وعوضاً عن الموافقة على مشروع الاستبيان الاستقصائي، وافقت لجنة المعايير على ما يلي: أن يطلب من أعضاء فرق العمل للجنة المعايير التعاون بشأن صيغة مبسطة ومحسنة للاستبيان؛ وتقديم مشروع الاستبيان المنقح الجديد للنظر فيه في الدورة الثانية عشرة؛ وبصورة غير رسمية، ينبغي جمع المعلومات المتعلقة بتحديد أولويات المهام من قبل أعضاء فرقة العمل وتقديم هذه النتائج أيضا في الدورة الثانية عشرة.  (انظر(ي) الفقرة 40 من الوثيقة </w:t>
      </w:r>
      <w:r w:rsidRPr="002E5443">
        <w:t>CWS/11/28</w:t>
      </w:r>
      <w:r w:rsidRPr="002E5443">
        <w:rPr>
          <w:rtl/>
        </w:rPr>
        <w:t>).</w:t>
      </w:r>
    </w:p>
    <w:p w14:paraId="29B105FD" w14:textId="2E667800" w:rsidR="009E2E0C" w:rsidRPr="00DB76B8" w:rsidRDefault="002E5443" w:rsidP="006F4017">
      <w:pPr>
        <w:pStyle w:val="Heading2"/>
        <w:rPr>
          <w:rtl/>
        </w:rPr>
      </w:pPr>
      <w:r w:rsidRPr="002E5443">
        <w:rPr>
          <w:rFonts w:cs="Calibri"/>
          <w:rtl/>
        </w:rPr>
        <w:t>نتائج الاستبيان غير الرسمي بشأن تحديد الأولويات</w:t>
      </w:r>
    </w:p>
    <w:p w14:paraId="709EFEDE" w14:textId="128C332C" w:rsidR="002E5443" w:rsidRDefault="002E5443" w:rsidP="002E5443">
      <w:pPr>
        <w:pStyle w:val="ONUMA"/>
      </w:pPr>
      <w:r w:rsidRPr="002E5443">
        <w:rPr>
          <w:rtl/>
        </w:rPr>
        <w:t>وبحسب المتفق عليه في الدورة الحادية عشرة للجنة المعايير، دعت الأمانة جميع أعضاء فرق العمل التابعة للجنة المعايير إلى المشاركة في استبيان غير رسمي بشأن تحديد أولويات مهام اللجنة عبر مساحة الويكي المشتركة لجميع فرق العمل التابعة للجنة.  ويتألف الاستبيان من قسمين رئيسيين: الأول يطلب من المكاتب بيان المهام أو الأنشطة النشطة للجنة المعايير التي تعتبرها ذات أولوية، والثاني ما إن كانت تعتبر نتائج هذا الاستبيان غير الرسمي تخدم أغراضها.</w:t>
      </w:r>
    </w:p>
    <w:p w14:paraId="6D2048FC" w14:textId="4BF473CE" w:rsidR="002E5443" w:rsidRDefault="002E5443" w:rsidP="002E5443">
      <w:pPr>
        <w:pStyle w:val="ONUMA"/>
      </w:pPr>
      <w:r w:rsidRPr="002E5443">
        <w:rPr>
          <w:rtl/>
        </w:rPr>
        <w:t>وأجرت الأمانة تحليلا للتعقيبات المقدمة من المكاتب المشاركة البالغ عددها 21 مكتبا، والتي أشارت إلى أن الأولوية التالية لمهام لجنة المعايير النشطة:</w:t>
      </w:r>
    </w:p>
    <w:tbl>
      <w:tblP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52"/>
        <w:gridCol w:w="2286"/>
      </w:tblGrid>
      <w:tr w:rsidR="002E5443" w:rsidRPr="002E5443" w14:paraId="33C460C8" w14:textId="77777777" w:rsidTr="00D45910">
        <w:trPr>
          <w:trHeight w:val="330"/>
        </w:trPr>
        <w:tc>
          <w:tcPr>
            <w:tcW w:w="14760" w:type="dxa"/>
            <w:shd w:val="clear" w:color="000000" w:fill="D9D9D9" w:themeFill="background1" w:themeFillShade="D9"/>
            <w:noWrap/>
            <w:vAlign w:val="center"/>
            <w:hideMark/>
          </w:tcPr>
          <w:p w14:paraId="116FF57A" w14:textId="77777777" w:rsidR="002E5443" w:rsidRPr="002E5443" w:rsidRDefault="002E5443" w:rsidP="00D45910">
            <w:pPr>
              <w:bidi/>
              <w:rPr>
                <w:rFonts w:asciiTheme="minorHAnsi" w:eastAsia="Times New Roman" w:hAnsiTheme="minorHAnsi" w:cstheme="minorHAnsi"/>
                <w:b/>
                <w:bCs/>
                <w:sz w:val="20"/>
                <w:rtl/>
              </w:rPr>
            </w:pPr>
            <w:r w:rsidRPr="002E5443">
              <w:rPr>
                <w:rFonts w:asciiTheme="minorHAnsi" w:hAnsiTheme="minorHAnsi" w:cstheme="minorHAnsi"/>
                <w:b/>
                <w:bCs/>
                <w:sz w:val="20"/>
                <w:rtl/>
              </w:rPr>
              <w:t>المهمة النشطة للجنة المعايير</w:t>
            </w:r>
          </w:p>
        </w:tc>
        <w:tc>
          <w:tcPr>
            <w:tcW w:w="4620" w:type="dxa"/>
            <w:shd w:val="clear" w:color="000000" w:fill="D9D9D9" w:themeFill="background1" w:themeFillShade="D9"/>
            <w:noWrap/>
            <w:vAlign w:val="center"/>
            <w:hideMark/>
          </w:tcPr>
          <w:p w14:paraId="0F29057E" w14:textId="77777777" w:rsidR="002E5443" w:rsidRPr="002E5443" w:rsidRDefault="002E5443" w:rsidP="00D45910">
            <w:pPr>
              <w:bidi/>
              <w:rPr>
                <w:rFonts w:asciiTheme="minorHAnsi" w:eastAsia="Times New Roman" w:hAnsiTheme="minorHAnsi" w:cstheme="minorHAnsi"/>
                <w:b/>
                <w:bCs/>
                <w:sz w:val="20"/>
                <w:rtl/>
              </w:rPr>
            </w:pPr>
            <w:r w:rsidRPr="002E5443">
              <w:rPr>
                <w:rFonts w:asciiTheme="minorHAnsi" w:hAnsiTheme="minorHAnsi" w:cstheme="minorHAnsi"/>
                <w:b/>
                <w:bCs/>
                <w:sz w:val="20"/>
                <w:rtl/>
              </w:rPr>
              <w:t>عدد المكاتب التي تحددها كأولوية</w:t>
            </w:r>
            <w:r w:rsidRPr="002E5443">
              <w:rPr>
                <w:rFonts w:asciiTheme="minorHAnsi" w:hAnsiTheme="minorHAnsi" w:cstheme="minorHAnsi"/>
                <w:sz w:val="20"/>
                <w:rtl/>
              </w:rPr>
              <w:t xml:space="preserve"> </w:t>
            </w:r>
          </w:p>
        </w:tc>
      </w:tr>
      <w:tr w:rsidR="002E5443" w:rsidRPr="002E5443" w14:paraId="1EE25C0D" w14:textId="77777777" w:rsidTr="00D45910">
        <w:trPr>
          <w:trHeight w:val="315"/>
        </w:trPr>
        <w:tc>
          <w:tcPr>
            <w:tcW w:w="14760" w:type="dxa"/>
            <w:shd w:val="clear" w:color="auto" w:fill="auto"/>
            <w:noWrap/>
            <w:vAlign w:val="center"/>
            <w:hideMark/>
          </w:tcPr>
          <w:p w14:paraId="0FC1A05E"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41 - دعم إجراء المراجعات اللازمة لمعايير الويبو </w:t>
            </w:r>
            <w:r w:rsidRPr="002E5443">
              <w:rPr>
                <w:rFonts w:asciiTheme="minorHAnsi" w:hAnsiTheme="minorHAnsi" w:cstheme="minorHAnsi"/>
                <w:color w:val="000000"/>
                <w:sz w:val="20"/>
              </w:rPr>
              <w:t>ST.36</w:t>
            </w:r>
            <w:r w:rsidRPr="002E5443">
              <w:rPr>
                <w:rFonts w:asciiTheme="minorHAnsi" w:hAnsiTheme="minorHAnsi" w:cstheme="minorHAnsi"/>
                <w:color w:val="000000"/>
                <w:sz w:val="20"/>
                <w:rtl/>
              </w:rPr>
              <w:t xml:space="preserve"> و</w:t>
            </w:r>
            <w:r w:rsidRPr="002E5443">
              <w:rPr>
                <w:rFonts w:asciiTheme="minorHAnsi" w:hAnsiTheme="minorHAnsi" w:cstheme="minorHAnsi"/>
                <w:color w:val="000000"/>
                <w:sz w:val="20"/>
              </w:rPr>
              <w:t>ST.66</w:t>
            </w:r>
            <w:r w:rsidRPr="002E5443">
              <w:rPr>
                <w:rFonts w:asciiTheme="minorHAnsi" w:hAnsiTheme="minorHAnsi" w:cstheme="minorHAnsi"/>
                <w:color w:val="000000"/>
                <w:sz w:val="20"/>
                <w:rtl/>
              </w:rPr>
              <w:t xml:space="preserve"> و</w:t>
            </w:r>
            <w:r w:rsidRPr="002E5443">
              <w:rPr>
                <w:rFonts w:asciiTheme="minorHAnsi" w:hAnsiTheme="minorHAnsi" w:cstheme="minorHAnsi"/>
                <w:color w:val="000000"/>
                <w:sz w:val="20"/>
              </w:rPr>
              <w:t>ST.86</w:t>
            </w:r>
            <w:r w:rsidRPr="002E5443">
              <w:rPr>
                <w:rFonts w:asciiTheme="minorHAnsi" w:hAnsiTheme="minorHAnsi" w:cstheme="minorHAnsi"/>
                <w:color w:val="000000"/>
                <w:sz w:val="20"/>
                <w:rtl/>
              </w:rPr>
              <w:t xml:space="preserve"> و</w:t>
            </w:r>
            <w:r w:rsidRPr="002E5443">
              <w:rPr>
                <w:rFonts w:asciiTheme="minorHAnsi" w:hAnsiTheme="minorHAnsi" w:cstheme="minorHAnsi"/>
                <w:color w:val="000000"/>
                <w:sz w:val="20"/>
              </w:rPr>
              <w:t>ST.96</w:t>
            </w:r>
            <w:r w:rsidRPr="002E5443">
              <w:rPr>
                <w:rFonts w:asciiTheme="minorHAnsi" w:hAnsiTheme="minorHAnsi" w:cstheme="minorHAnsi"/>
                <w:sz w:val="20"/>
                <w:rtl/>
              </w:rPr>
              <w:t xml:space="preserve"> </w:t>
            </w:r>
          </w:p>
        </w:tc>
        <w:tc>
          <w:tcPr>
            <w:tcW w:w="4620" w:type="dxa"/>
            <w:shd w:val="clear" w:color="auto" w:fill="auto"/>
            <w:noWrap/>
            <w:vAlign w:val="center"/>
            <w:hideMark/>
          </w:tcPr>
          <w:p w14:paraId="1231E31C"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11</w:t>
            </w:r>
          </w:p>
        </w:tc>
      </w:tr>
      <w:tr w:rsidR="002E5443" w:rsidRPr="002E5443" w14:paraId="536A394B" w14:textId="77777777" w:rsidTr="00D45910">
        <w:trPr>
          <w:trHeight w:val="315"/>
        </w:trPr>
        <w:tc>
          <w:tcPr>
            <w:tcW w:w="14760" w:type="dxa"/>
            <w:shd w:val="clear" w:color="auto" w:fill="auto"/>
            <w:noWrap/>
            <w:vAlign w:val="center"/>
            <w:hideMark/>
          </w:tcPr>
          <w:p w14:paraId="6CF21F02"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44 - دعم إجراء المراجعات اللازمة لمعيار الويبو </w:t>
            </w:r>
            <w:r w:rsidRPr="002E5443">
              <w:rPr>
                <w:rFonts w:asciiTheme="minorHAnsi" w:hAnsiTheme="minorHAnsi" w:cstheme="minorHAnsi"/>
                <w:color w:val="000000"/>
                <w:sz w:val="20"/>
              </w:rPr>
              <w:t>ST.26</w:t>
            </w:r>
            <w:r w:rsidRPr="002E5443">
              <w:rPr>
                <w:rFonts w:asciiTheme="minorHAnsi" w:hAnsiTheme="minorHAnsi" w:cstheme="minorHAnsi"/>
                <w:sz w:val="20"/>
                <w:rtl/>
              </w:rPr>
              <w:t xml:space="preserve"> </w:t>
            </w:r>
          </w:p>
        </w:tc>
        <w:tc>
          <w:tcPr>
            <w:tcW w:w="4620" w:type="dxa"/>
            <w:shd w:val="clear" w:color="auto" w:fill="auto"/>
            <w:noWrap/>
            <w:vAlign w:val="center"/>
            <w:hideMark/>
          </w:tcPr>
          <w:p w14:paraId="1F9C8A16"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11</w:t>
            </w:r>
          </w:p>
        </w:tc>
      </w:tr>
      <w:tr w:rsidR="002E5443" w:rsidRPr="002E5443" w14:paraId="3019436D" w14:textId="77777777" w:rsidTr="00D45910">
        <w:trPr>
          <w:trHeight w:val="315"/>
        </w:trPr>
        <w:tc>
          <w:tcPr>
            <w:tcW w:w="14760" w:type="dxa"/>
            <w:shd w:val="clear" w:color="auto" w:fill="auto"/>
            <w:noWrap/>
            <w:vAlign w:val="center"/>
            <w:hideMark/>
          </w:tcPr>
          <w:p w14:paraId="2D24E124"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66 - تقديم أو نشر ملف إدارة البراءات امتثالاً لمعيار الويبو </w:t>
            </w:r>
            <w:r w:rsidRPr="002E5443">
              <w:rPr>
                <w:rFonts w:asciiTheme="minorHAnsi" w:hAnsiTheme="minorHAnsi" w:cstheme="minorHAnsi"/>
                <w:color w:val="000000"/>
                <w:sz w:val="20"/>
              </w:rPr>
              <w:t>ST.37</w:t>
            </w:r>
            <w:r w:rsidRPr="002E5443">
              <w:rPr>
                <w:rFonts w:asciiTheme="minorHAnsi" w:hAnsiTheme="minorHAnsi" w:cstheme="minorHAnsi"/>
                <w:sz w:val="20"/>
                <w:rtl/>
              </w:rPr>
              <w:t xml:space="preserve"> </w:t>
            </w:r>
          </w:p>
        </w:tc>
        <w:tc>
          <w:tcPr>
            <w:tcW w:w="4620" w:type="dxa"/>
            <w:shd w:val="clear" w:color="auto" w:fill="auto"/>
            <w:noWrap/>
            <w:vAlign w:val="center"/>
            <w:hideMark/>
          </w:tcPr>
          <w:p w14:paraId="7ADDF552"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11</w:t>
            </w:r>
          </w:p>
        </w:tc>
      </w:tr>
      <w:tr w:rsidR="002E5443" w:rsidRPr="002E5443" w14:paraId="500D51DD" w14:textId="77777777" w:rsidTr="00D45910">
        <w:trPr>
          <w:trHeight w:val="315"/>
        </w:trPr>
        <w:tc>
          <w:tcPr>
            <w:tcW w:w="14760" w:type="dxa"/>
            <w:shd w:val="clear" w:color="auto" w:fill="auto"/>
            <w:noWrap/>
            <w:vAlign w:val="center"/>
            <w:hideMark/>
          </w:tcPr>
          <w:p w14:paraId="543C7128"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47 - دعم إجراء المراجعات اللازمة لمعايير الويبو </w:t>
            </w:r>
            <w:r w:rsidRPr="002E5443">
              <w:rPr>
                <w:rFonts w:asciiTheme="minorHAnsi" w:hAnsiTheme="minorHAnsi" w:cstheme="minorHAnsi"/>
                <w:color w:val="000000"/>
                <w:sz w:val="20"/>
              </w:rPr>
              <w:t>ST.27</w:t>
            </w:r>
            <w:r w:rsidRPr="002E5443">
              <w:rPr>
                <w:rFonts w:asciiTheme="minorHAnsi" w:hAnsiTheme="minorHAnsi" w:cstheme="minorHAnsi"/>
                <w:color w:val="000000"/>
                <w:sz w:val="20"/>
                <w:rtl/>
              </w:rPr>
              <w:t xml:space="preserve"> و</w:t>
            </w:r>
            <w:r w:rsidRPr="002E5443">
              <w:rPr>
                <w:rFonts w:asciiTheme="minorHAnsi" w:hAnsiTheme="minorHAnsi" w:cstheme="minorHAnsi"/>
                <w:color w:val="000000"/>
                <w:sz w:val="20"/>
              </w:rPr>
              <w:t>ST.61</w:t>
            </w:r>
            <w:r w:rsidRPr="002E5443">
              <w:rPr>
                <w:rFonts w:asciiTheme="minorHAnsi" w:hAnsiTheme="minorHAnsi" w:cstheme="minorHAnsi"/>
                <w:color w:val="000000"/>
                <w:sz w:val="20"/>
                <w:rtl/>
              </w:rPr>
              <w:t xml:space="preserve"> و/أو </w:t>
            </w:r>
            <w:r w:rsidRPr="002E5443">
              <w:rPr>
                <w:rFonts w:asciiTheme="minorHAnsi" w:hAnsiTheme="minorHAnsi" w:cstheme="minorHAnsi"/>
                <w:color w:val="000000"/>
                <w:sz w:val="20"/>
              </w:rPr>
              <w:t>ST.87</w:t>
            </w:r>
            <w:r w:rsidRPr="002E5443">
              <w:rPr>
                <w:rFonts w:asciiTheme="minorHAnsi" w:hAnsiTheme="minorHAnsi" w:cstheme="minorHAnsi"/>
                <w:sz w:val="20"/>
                <w:rtl/>
              </w:rPr>
              <w:t xml:space="preserve"> </w:t>
            </w:r>
          </w:p>
        </w:tc>
        <w:tc>
          <w:tcPr>
            <w:tcW w:w="4620" w:type="dxa"/>
            <w:shd w:val="clear" w:color="auto" w:fill="auto"/>
            <w:noWrap/>
            <w:vAlign w:val="center"/>
            <w:hideMark/>
          </w:tcPr>
          <w:p w14:paraId="2DCDED17"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9</w:t>
            </w:r>
          </w:p>
        </w:tc>
      </w:tr>
      <w:tr w:rsidR="002E5443" w:rsidRPr="002E5443" w14:paraId="4ACC7143" w14:textId="77777777" w:rsidTr="00D45910">
        <w:trPr>
          <w:trHeight w:val="315"/>
        </w:trPr>
        <w:tc>
          <w:tcPr>
            <w:tcW w:w="14760" w:type="dxa"/>
            <w:shd w:val="clear" w:color="auto" w:fill="auto"/>
            <w:noWrap/>
            <w:vAlign w:val="center"/>
            <w:hideMark/>
          </w:tcPr>
          <w:p w14:paraId="2A0A6234"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56 - تنفيذ معيار الويبو </w:t>
            </w:r>
            <w:r w:rsidRPr="002E5443">
              <w:rPr>
                <w:rFonts w:asciiTheme="minorHAnsi" w:hAnsiTheme="minorHAnsi" w:cstheme="minorHAnsi"/>
                <w:color w:val="000000"/>
                <w:sz w:val="20"/>
              </w:rPr>
              <w:t>ST.90</w:t>
            </w:r>
            <w:r w:rsidRPr="002E5443">
              <w:rPr>
                <w:rFonts w:asciiTheme="minorHAnsi" w:hAnsiTheme="minorHAnsi" w:cstheme="minorHAnsi"/>
                <w:color w:val="000000"/>
                <w:sz w:val="20"/>
                <w:rtl/>
              </w:rPr>
              <w:t xml:space="preserve"> والترويج له</w:t>
            </w:r>
            <w:r w:rsidRPr="002E5443">
              <w:rPr>
                <w:rFonts w:asciiTheme="minorHAnsi" w:hAnsiTheme="minorHAnsi" w:cstheme="minorHAnsi"/>
                <w:sz w:val="20"/>
                <w:rtl/>
              </w:rPr>
              <w:t xml:space="preserve"> </w:t>
            </w:r>
          </w:p>
        </w:tc>
        <w:tc>
          <w:tcPr>
            <w:tcW w:w="4620" w:type="dxa"/>
            <w:shd w:val="clear" w:color="auto" w:fill="auto"/>
            <w:noWrap/>
            <w:vAlign w:val="center"/>
            <w:hideMark/>
          </w:tcPr>
          <w:p w14:paraId="6B663357"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9</w:t>
            </w:r>
          </w:p>
        </w:tc>
      </w:tr>
      <w:tr w:rsidR="002E5443" w:rsidRPr="002E5443" w14:paraId="1BF7B610" w14:textId="77777777" w:rsidTr="00D45910">
        <w:trPr>
          <w:trHeight w:val="315"/>
        </w:trPr>
        <w:tc>
          <w:tcPr>
            <w:tcW w:w="14760" w:type="dxa"/>
            <w:shd w:val="clear" w:color="auto" w:fill="auto"/>
            <w:noWrap/>
            <w:vAlign w:val="center"/>
            <w:hideMark/>
          </w:tcPr>
          <w:p w14:paraId="2021FD78"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41 - تنفيذ معيار الويبو </w:t>
            </w:r>
            <w:r w:rsidRPr="002E5443">
              <w:rPr>
                <w:rFonts w:asciiTheme="minorHAnsi" w:hAnsiTheme="minorHAnsi" w:cstheme="minorHAnsi"/>
                <w:color w:val="000000"/>
                <w:sz w:val="20"/>
              </w:rPr>
              <w:t>ST.96</w:t>
            </w:r>
            <w:r w:rsidRPr="002E5443">
              <w:rPr>
                <w:rFonts w:asciiTheme="minorHAnsi" w:hAnsiTheme="minorHAnsi" w:cstheme="minorHAnsi"/>
                <w:color w:val="000000"/>
                <w:sz w:val="20"/>
                <w:rtl/>
              </w:rPr>
              <w:t xml:space="preserve"> (أي مكون)</w:t>
            </w:r>
            <w:r w:rsidRPr="002E5443">
              <w:rPr>
                <w:rFonts w:asciiTheme="minorHAnsi" w:hAnsiTheme="minorHAnsi" w:cstheme="minorHAnsi"/>
                <w:sz w:val="20"/>
                <w:rtl/>
              </w:rPr>
              <w:t xml:space="preserve"> </w:t>
            </w:r>
          </w:p>
        </w:tc>
        <w:tc>
          <w:tcPr>
            <w:tcW w:w="4620" w:type="dxa"/>
            <w:shd w:val="clear" w:color="auto" w:fill="auto"/>
            <w:noWrap/>
            <w:vAlign w:val="center"/>
            <w:hideMark/>
          </w:tcPr>
          <w:p w14:paraId="5305AE2C"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8</w:t>
            </w:r>
          </w:p>
        </w:tc>
      </w:tr>
      <w:tr w:rsidR="002E5443" w:rsidRPr="002E5443" w14:paraId="06ACE140" w14:textId="77777777" w:rsidTr="00D45910">
        <w:trPr>
          <w:trHeight w:val="315"/>
        </w:trPr>
        <w:tc>
          <w:tcPr>
            <w:tcW w:w="14760" w:type="dxa"/>
            <w:shd w:val="clear" w:color="auto" w:fill="auto"/>
            <w:noWrap/>
            <w:vAlign w:val="center"/>
            <w:hideMark/>
          </w:tcPr>
          <w:p w14:paraId="091042C2"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المهمة رقم 44 - دعم المكتب الدولي بشأن تطوير حزمة أداة الويبو للتسلسل</w:t>
            </w:r>
            <w:r w:rsidRPr="002E5443">
              <w:rPr>
                <w:rFonts w:asciiTheme="minorHAnsi" w:hAnsiTheme="minorHAnsi" w:cstheme="minorHAnsi"/>
                <w:sz w:val="20"/>
                <w:rtl/>
              </w:rPr>
              <w:t xml:space="preserve"> </w:t>
            </w:r>
          </w:p>
        </w:tc>
        <w:tc>
          <w:tcPr>
            <w:tcW w:w="4620" w:type="dxa"/>
            <w:shd w:val="clear" w:color="auto" w:fill="auto"/>
            <w:noWrap/>
            <w:vAlign w:val="center"/>
            <w:hideMark/>
          </w:tcPr>
          <w:p w14:paraId="4FDDAFC4"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8</w:t>
            </w:r>
          </w:p>
        </w:tc>
      </w:tr>
      <w:tr w:rsidR="002E5443" w:rsidRPr="002E5443" w14:paraId="4D637933" w14:textId="77777777" w:rsidTr="00D45910">
        <w:trPr>
          <w:trHeight w:val="315"/>
        </w:trPr>
        <w:tc>
          <w:tcPr>
            <w:tcW w:w="14760" w:type="dxa"/>
            <w:shd w:val="clear" w:color="auto" w:fill="auto"/>
            <w:noWrap/>
            <w:vAlign w:val="center"/>
            <w:hideMark/>
          </w:tcPr>
          <w:p w14:paraId="314A0F12"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24 - تقديم تقارير تقنية سنوية عن أنشطة البراءات والعلامات التجارية والتصاميم الصناعية </w:t>
            </w:r>
            <w:r w:rsidRPr="002E5443">
              <w:rPr>
                <w:rFonts w:asciiTheme="minorHAnsi" w:hAnsiTheme="minorHAnsi" w:cstheme="minorHAnsi"/>
                <w:sz w:val="20"/>
                <w:rtl/>
              </w:rPr>
              <w:t xml:space="preserve"> </w:t>
            </w:r>
          </w:p>
        </w:tc>
        <w:tc>
          <w:tcPr>
            <w:tcW w:w="4620" w:type="dxa"/>
            <w:shd w:val="clear" w:color="auto" w:fill="auto"/>
            <w:noWrap/>
            <w:vAlign w:val="center"/>
            <w:hideMark/>
          </w:tcPr>
          <w:p w14:paraId="0130EF93"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7</w:t>
            </w:r>
          </w:p>
        </w:tc>
      </w:tr>
      <w:tr w:rsidR="002E5443" w:rsidRPr="002E5443" w14:paraId="0FDB1D66" w14:textId="77777777" w:rsidTr="00D45910">
        <w:trPr>
          <w:trHeight w:val="315"/>
        </w:trPr>
        <w:tc>
          <w:tcPr>
            <w:tcW w:w="14760" w:type="dxa"/>
            <w:shd w:val="clear" w:color="auto" w:fill="auto"/>
            <w:noWrap/>
            <w:vAlign w:val="center"/>
            <w:hideMark/>
          </w:tcPr>
          <w:p w14:paraId="7C2D661A"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47 – تنفيذ معايير الويبو </w:t>
            </w:r>
            <w:r w:rsidRPr="002E5443">
              <w:rPr>
                <w:rFonts w:asciiTheme="minorHAnsi" w:hAnsiTheme="minorHAnsi" w:cstheme="minorHAnsi"/>
                <w:color w:val="000000"/>
                <w:sz w:val="20"/>
              </w:rPr>
              <w:t>ST.27</w:t>
            </w:r>
            <w:r w:rsidRPr="002E5443">
              <w:rPr>
                <w:rFonts w:asciiTheme="minorHAnsi" w:hAnsiTheme="minorHAnsi" w:cstheme="minorHAnsi"/>
                <w:color w:val="000000"/>
                <w:sz w:val="20"/>
                <w:rtl/>
              </w:rPr>
              <w:t xml:space="preserve"> و</w:t>
            </w:r>
            <w:r w:rsidRPr="002E5443">
              <w:rPr>
                <w:rFonts w:asciiTheme="minorHAnsi" w:hAnsiTheme="minorHAnsi" w:cstheme="minorHAnsi"/>
                <w:color w:val="000000"/>
                <w:sz w:val="20"/>
              </w:rPr>
              <w:t>ST.61</w:t>
            </w:r>
            <w:r w:rsidRPr="002E5443">
              <w:rPr>
                <w:rFonts w:asciiTheme="minorHAnsi" w:hAnsiTheme="minorHAnsi" w:cstheme="minorHAnsi"/>
                <w:color w:val="000000"/>
                <w:sz w:val="20"/>
                <w:rtl/>
              </w:rPr>
              <w:t xml:space="preserve"> أو </w:t>
            </w:r>
            <w:r w:rsidRPr="002E5443">
              <w:rPr>
                <w:rFonts w:asciiTheme="minorHAnsi" w:hAnsiTheme="minorHAnsi" w:cstheme="minorHAnsi"/>
                <w:color w:val="000000"/>
                <w:sz w:val="20"/>
              </w:rPr>
              <w:t xml:space="preserve">ST.87 </w:t>
            </w:r>
            <w:r w:rsidRPr="002E5443">
              <w:rPr>
                <w:rFonts w:asciiTheme="minorHAnsi" w:hAnsiTheme="minorHAnsi" w:cstheme="minorHAnsi"/>
                <w:sz w:val="20"/>
                <w:rtl/>
              </w:rPr>
              <w:t xml:space="preserve"> </w:t>
            </w:r>
          </w:p>
        </w:tc>
        <w:tc>
          <w:tcPr>
            <w:tcW w:w="4620" w:type="dxa"/>
            <w:shd w:val="clear" w:color="auto" w:fill="auto"/>
            <w:noWrap/>
            <w:vAlign w:val="center"/>
            <w:hideMark/>
          </w:tcPr>
          <w:p w14:paraId="74B2F12C"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7</w:t>
            </w:r>
          </w:p>
        </w:tc>
      </w:tr>
      <w:tr w:rsidR="002E5443" w:rsidRPr="002E5443" w14:paraId="58584A57" w14:textId="77777777" w:rsidTr="00D45910">
        <w:trPr>
          <w:trHeight w:val="315"/>
        </w:trPr>
        <w:tc>
          <w:tcPr>
            <w:tcW w:w="14760" w:type="dxa"/>
            <w:shd w:val="clear" w:color="auto" w:fill="auto"/>
            <w:noWrap/>
            <w:vAlign w:val="center"/>
            <w:hideMark/>
          </w:tcPr>
          <w:p w14:paraId="640381A2"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56 – دعم إجراء المراجعة اللازمة لمعيار الويبو </w:t>
            </w:r>
            <w:r w:rsidRPr="002E5443">
              <w:rPr>
                <w:rFonts w:asciiTheme="minorHAnsi" w:hAnsiTheme="minorHAnsi" w:cstheme="minorHAnsi"/>
                <w:color w:val="000000"/>
                <w:sz w:val="20"/>
              </w:rPr>
              <w:t>ST.90</w:t>
            </w:r>
            <w:r w:rsidRPr="002E5443">
              <w:rPr>
                <w:rFonts w:asciiTheme="minorHAnsi" w:hAnsiTheme="minorHAnsi" w:cstheme="minorHAnsi"/>
                <w:sz w:val="20"/>
                <w:rtl/>
              </w:rPr>
              <w:t xml:space="preserve"> </w:t>
            </w:r>
          </w:p>
        </w:tc>
        <w:tc>
          <w:tcPr>
            <w:tcW w:w="4620" w:type="dxa"/>
            <w:shd w:val="clear" w:color="auto" w:fill="auto"/>
            <w:noWrap/>
            <w:vAlign w:val="center"/>
            <w:hideMark/>
          </w:tcPr>
          <w:p w14:paraId="75910ACD"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7</w:t>
            </w:r>
          </w:p>
        </w:tc>
      </w:tr>
      <w:tr w:rsidR="002E5443" w:rsidRPr="002E5443" w14:paraId="0E9F46AC" w14:textId="77777777" w:rsidTr="00D45910">
        <w:trPr>
          <w:trHeight w:val="315"/>
        </w:trPr>
        <w:tc>
          <w:tcPr>
            <w:tcW w:w="14760" w:type="dxa"/>
            <w:shd w:val="clear" w:color="auto" w:fill="auto"/>
            <w:noWrap/>
            <w:vAlign w:val="center"/>
            <w:hideMark/>
          </w:tcPr>
          <w:p w14:paraId="4E28CCC9"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56 - دعم إعداد وصيانة فهرس لواجهة التطبيقات البرمجية لأغراض الملكية الفكرية </w:t>
            </w:r>
            <w:r w:rsidRPr="002E5443">
              <w:rPr>
                <w:rFonts w:asciiTheme="minorHAnsi" w:hAnsiTheme="minorHAnsi" w:cstheme="minorHAnsi"/>
                <w:sz w:val="20"/>
                <w:rtl/>
              </w:rPr>
              <w:t xml:space="preserve"> </w:t>
            </w:r>
          </w:p>
        </w:tc>
        <w:tc>
          <w:tcPr>
            <w:tcW w:w="4620" w:type="dxa"/>
            <w:shd w:val="clear" w:color="auto" w:fill="auto"/>
            <w:noWrap/>
            <w:vAlign w:val="center"/>
            <w:hideMark/>
          </w:tcPr>
          <w:p w14:paraId="0E452B6A"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7</w:t>
            </w:r>
          </w:p>
        </w:tc>
      </w:tr>
      <w:tr w:rsidR="002E5443" w:rsidRPr="002E5443" w14:paraId="06BC1461" w14:textId="77777777" w:rsidTr="00D45910">
        <w:trPr>
          <w:trHeight w:val="315"/>
        </w:trPr>
        <w:tc>
          <w:tcPr>
            <w:tcW w:w="14760" w:type="dxa"/>
            <w:shd w:val="clear" w:color="auto" w:fill="auto"/>
            <w:noWrap/>
            <w:vAlign w:val="center"/>
            <w:hideMark/>
          </w:tcPr>
          <w:p w14:paraId="0F66DAB3"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المهمة رقم 62 - دعم إعداد اقتراح بشأن التوصية المتعلقة بمواصفات المتطلبات المشتركة لأداة التحويل من النسق </w:t>
            </w:r>
            <w:r w:rsidRPr="002E5443">
              <w:rPr>
                <w:rFonts w:asciiTheme="minorHAnsi" w:hAnsiTheme="minorHAnsi" w:cstheme="minorHAnsi"/>
                <w:color w:val="000000"/>
                <w:sz w:val="20"/>
              </w:rPr>
              <w:t>DOCX</w:t>
            </w:r>
            <w:r w:rsidRPr="002E5443">
              <w:rPr>
                <w:rFonts w:asciiTheme="minorHAnsi" w:hAnsiTheme="minorHAnsi" w:cstheme="minorHAnsi"/>
                <w:color w:val="000000"/>
                <w:sz w:val="20"/>
                <w:rtl/>
              </w:rPr>
              <w:t xml:space="preserve"> إلى النسق </w:t>
            </w:r>
            <w:r w:rsidRPr="002E5443">
              <w:rPr>
                <w:rFonts w:asciiTheme="minorHAnsi" w:hAnsiTheme="minorHAnsi" w:cstheme="minorHAnsi"/>
                <w:color w:val="000000"/>
                <w:sz w:val="20"/>
              </w:rPr>
              <w:t>XML (DOCX2XML)</w:t>
            </w:r>
            <w:r w:rsidRPr="002E5443">
              <w:rPr>
                <w:rFonts w:asciiTheme="minorHAnsi" w:hAnsiTheme="minorHAnsi" w:cstheme="minorHAnsi"/>
                <w:sz w:val="20"/>
                <w:rtl/>
              </w:rPr>
              <w:t xml:space="preserve"> </w:t>
            </w:r>
          </w:p>
        </w:tc>
        <w:tc>
          <w:tcPr>
            <w:tcW w:w="4620" w:type="dxa"/>
            <w:shd w:val="clear" w:color="auto" w:fill="auto"/>
            <w:noWrap/>
            <w:vAlign w:val="center"/>
            <w:hideMark/>
          </w:tcPr>
          <w:p w14:paraId="77E0D0ED"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7</w:t>
            </w:r>
          </w:p>
        </w:tc>
      </w:tr>
      <w:tr w:rsidR="002E5443" w:rsidRPr="002E5443" w14:paraId="42791975" w14:textId="77777777" w:rsidTr="00D45910">
        <w:trPr>
          <w:trHeight w:val="315"/>
        </w:trPr>
        <w:tc>
          <w:tcPr>
            <w:tcW w:w="14760" w:type="dxa"/>
            <w:shd w:val="clear" w:color="auto" w:fill="auto"/>
            <w:noWrap/>
            <w:vAlign w:val="center"/>
            <w:hideMark/>
          </w:tcPr>
          <w:p w14:paraId="78667F83"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المهمة رقم 58 - دعم إعداد اقتراح لمجموعة من 10 توصيات بشأن تكنولوجيا المعلومات والاتصالات وإدارة الملكية الفكرية</w:t>
            </w:r>
            <w:r w:rsidRPr="002E5443">
              <w:rPr>
                <w:rFonts w:asciiTheme="minorHAnsi" w:hAnsiTheme="minorHAnsi" w:cstheme="minorHAnsi"/>
                <w:sz w:val="20"/>
                <w:rtl/>
              </w:rPr>
              <w:t xml:space="preserve"> </w:t>
            </w:r>
          </w:p>
        </w:tc>
        <w:tc>
          <w:tcPr>
            <w:tcW w:w="4620" w:type="dxa"/>
            <w:shd w:val="clear" w:color="auto" w:fill="auto"/>
            <w:noWrap/>
            <w:vAlign w:val="center"/>
            <w:hideMark/>
          </w:tcPr>
          <w:p w14:paraId="0F36C03A"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6</w:t>
            </w:r>
          </w:p>
        </w:tc>
      </w:tr>
      <w:tr w:rsidR="002E5443" w:rsidRPr="002E5443" w14:paraId="0E5DF454" w14:textId="77777777" w:rsidTr="00D45910">
        <w:trPr>
          <w:trHeight w:val="315"/>
        </w:trPr>
        <w:tc>
          <w:tcPr>
            <w:tcW w:w="14760" w:type="dxa"/>
            <w:shd w:val="clear" w:color="auto" w:fill="auto"/>
            <w:noWrap/>
            <w:vAlign w:val="center"/>
            <w:hideMark/>
          </w:tcPr>
          <w:p w14:paraId="3AD273AC"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lastRenderedPageBreak/>
              <w:t>المهمة رقم 59 - دعم إعداد اقتراح بشأن معيار جديد للويبو يدعم التطبيق المحتمل لتكنولوجيا سلاسل الكتل في النظام الإيكولوجي للملكية الفكرية</w:t>
            </w:r>
            <w:r w:rsidRPr="002E5443">
              <w:rPr>
                <w:rFonts w:asciiTheme="minorHAnsi" w:hAnsiTheme="minorHAnsi" w:cstheme="minorHAnsi"/>
                <w:sz w:val="20"/>
                <w:rtl/>
              </w:rPr>
              <w:t xml:space="preserve"> </w:t>
            </w:r>
          </w:p>
        </w:tc>
        <w:tc>
          <w:tcPr>
            <w:tcW w:w="4620" w:type="dxa"/>
            <w:shd w:val="clear" w:color="auto" w:fill="auto"/>
            <w:noWrap/>
            <w:vAlign w:val="center"/>
            <w:hideMark/>
          </w:tcPr>
          <w:p w14:paraId="36AC62FA"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5</w:t>
            </w:r>
          </w:p>
        </w:tc>
      </w:tr>
      <w:tr w:rsidR="002E5443" w:rsidRPr="002E5443" w14:paraId="7C16430E" w14:textId="77777777" w:rsidTr="00D45910">
        <w:trPr>
          <w:trHeight w:val="315"/>
        </w:trPr>
        <w:tc>
          <w:tcPr>
            <w:tcW w:w="14760" w:type="dxa"/>
            <w:shd w:val="clear" w:color="auto" w:fill="auto"/>
            <w:noWrap/>
            <w:vAlign w:val="center"/>
            <w:hideMark/>
          </w:tcPr>
          <w:p w14:paraId="4572F662"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المهمة رقم 55 - دعم إعداد اقتراح بشأن معيار جديد للويبو بشأن تنقية بيانات الأسماء</w:t>
            </w:r>
            <w:r w:rsidRPr="002E5443">
              <w:rPr>
                <w:rFonts w:asciiTheme="minorHAnsi" w:hAnsiTheme="minorHAnsi" w:cstheme="minorHAnsi"/>
                <w:sz w:val="20"/>
                <w:rtl/>
              </w:rPr>
              <w:t xml:space="preserve"> </w:t>
            </w:r>
          </w:p>
        </w:tc>
        <w:tc>
          <w:tcPr>
            <w:tcW w:w="4620" w:type="dxa"/>
            <w:shd w:val="clear" w:color="auto" w:fill="auto"/>
            <w:noWrap/>
            <w:vAlign w:val="center"/>
            <w:hideMark/>
          </w:tcPr>
          <w:p w14:paraId="6662EC75"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4</w:t>
            </w:r>
          </w:p>
        </w:tc>
      </w:tr>
      <w:tr w:rsidR="002E5443" w:rsidRPr="002E5443" w14:paraId="7CEA16BF" w14:textId="77777777" w:rsidTr="00D45910">
        <w:trPr>
          <w:trHeight w:val="315"/>
        </w:trPr>
        <w:tc>
          <w:tcPr>
            <w:tcW w:w="14760" w:type="dxa"/>
            <w:shd w:val="clear" w:color="auto" w:fill="auto"/>
            <w:noWrap/>
            <w:vAlign w:val="center"/>
            <w:hideMark/>
          </w:tcPr>
          <w:p w14:paraId="7D176844"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64 - دعم المراجعة اللازمة لمعيار الويبو </w:t>
            </w:r>
            <w:r w:rsidRPr="002E5443">
              <w:rPr>
                <w:rFonts w:asciiTheme="minorHAnsi" w:hAnsiTheme="minorHAnsi" w:cstheme="minorHAnsi"/>
                <w:color w:val="000000"/>
                <w:sz w:val="20"/>
              </w:rPr>
              <w:t>ST.97</w:t>
            </w:r>
            <w:r w:rsidRPr="002E5443">
              <w:rPr>
                <w:rFonts w:asciiTheme="minorHAnsi" w:hAnsiTheme="minorHAnsi" w:cstheme="minorHAnsi"/>
                <w:color w:val="000000"/>
                <w:sz w:val="20"/>
                <w:rtl/>
              </w:rPr>
              <w:t xml:space="preserve"> وتنفيذ المعيار</w:t>
            </w:r>
            <w:r w:rsidRPr="002E5443">
              <w:rPr>
                <w:rFonts w:asciiTheme="minorHAnsi" w:hAnsiTheme="minorHAnsi" w:cstheme="minorHAnsi"/>
                <w:sz w:val="20"/>
                <w:rtl/>
              </w:rPr>
              <w:t xml:space="preserve"> </w:t>
            </w:r>
          </w:p>
        </w:tc>
        <w:tc>
          <w:tcPr>
            <w:tcW w:w="4620" w:type="dxa"/>
            <w:shd w:val="clear" w:color="auto" w:fill="auto"/>
            <w:noWrap/>
            <w:vAlign w:val="center"/>
            <w:hideMark/>
          </w:tcPr>
          <w:p w14:paraId="06080665"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5</w:t>
            </w:r>
          </w:p>
        </w:tc>
      </w:tr>
      <w:tr w:rsidR="002E5443" w:rsidRPr="002E5443" w14:paraId="3F655A78" w14:textId="77777777" w:rsidTr="00D45910">
        <w:trPr>
          <w:trHeight w:val="315"/>
        </w:trPr>
        <w:tc>
          <w:tcPr>
            <w:tcW w:w="14760" w:type="dxa"/>
            <w:shd w:val="clear" w:color="auto" w:fill="auto"/>
            <w:noWrap/>
            <w:vAlign w:val="center"/>
            <w:hideMark/>
          </w:tcPr>
          <w:p w14:paraId="3B779739"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65 - تنفيذ معيار الويبو الجديد </w:t>
            </w:r>
            <w:r w:rsidRPr="002E5443">
              <w:rPr>
                <w:rFonts w:asciiTheme="minorHAnsi" w:hAnsiTheme="minorHAnsi" w:cstheme="minorHAnsi"/>
                <w:color w:val="000000"/>
                <w:sz w:val="20"/>
              </w:rPr>
              <w:t>ST.92</w:t>
            </w:r>
            <w:r w:rsidRPr="002E5443">
              <w:rPr>
                <w:rFonts w:asciiTheme="minorHAnsi" w:hAnsiTheme="minorHAnsi" w:cstheme="minorHAnsi"/>
                <w:sz w:val="20"/>
                <w:rtl/>
              </w:rPr>
              <w:t xml:space="preserve"> </w:t>
            </w:r>
          </w:p>
        </w:tc>
        <w:tc>
          <w:tcPr>
            <w:tcW w:w="4620" w:type="dxa"/>
            <w:shd w:val="clear" w:color="auto" w:fill="auto"/>
            <w:noWrap/>
            <w:vAlign w:val="center"/>
            <w:hideMark/>
          </w:tcPr>
          <w:p w14:paraId="75F126AB"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5</w:t>
            </w:r>
          </w:p>
        </w:tc>
      </w:tr>
      <w:tr w:rsidR="002E5443" w:rsidRPr="002E5443" w14:paraId="16500946" w14:textId="77777777" w:rsidTr="00D45910">
        <w:trPr>
          <w:trHeight w:val="315"/>
        </w:trPr>
        <w:tc>
          <w:tcPr>
            <w:tcW w:w="14760" w:type="dxa"/>
            <w:shd w:val="clear" w:color="auto" w:fill="auto"/>
            <w:noWrap/>
            <w:vAlign w:val="center"/>
            <w:hideMark/>
          </w:tcPr>
          <w:p w14:paraId="2E4C7A3F"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61 - دعم المراجعة اللازمة لمعايير الويبو لمعيار الويبو </w:t>
            </w:r>
            <w:r w:rsidRPr="002E5443">
              <w:rPr>
                <w:rFonts w:asciiTheme="minorHAnsi" w:hAnsiTheme="minorHAnsi" w:cstheme="minorHAnsi"/>
                <w:color w:val="000000"/>
                <w:sz w:val="20"/>
              </w:rPr>
              <w:t xml:space="preserve">ST.91 </w:t>
            </w:r>
            <w:r w:rsidRPr="002E5443">
              <w:rPr>
                <w:rFonts w:asciiTheme="minorHAnsi" w:hAnsiTheme="minorHAnsi" w:cstheme="minorHAnsi"/>
                <w:sz w:val="20"/>
                <w:rtl/>
              </w:rPr>
              <w:t xml:space="preserve"> </w:t>
            </w:r>
          </w:p>
        </w:tc>
        <w:tc>
          <w:tcPr>
            <w:tcW w:w="4620" w:type="dxa"/>
            <w:shd w:val="clear" w:color="auto" w:fill="auto"/>
            <w:noWrap/>
            <w:vAlign w:val="center"/>
            <w:hideMark/>
          </w:tcPr>
          <w:p w14:paraId="46FA95C2"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4</w:t>
            </w:r>
          </w:p>
        </w:tc>
      </w:tr>
      <w:tr w:rsidR="002E5443" w:rsidRPr="002E5443" w14:paraId="63CEDB3B" w14:textId="77777777" w:rsidTr="00D45910">
        <w:trPr>
          <w:trHeight w:val="315"/>
        </w:trPr>
        <w:tc>
          <w:tcPr>
            <w:tcW w:w="14760" w:type="dxa"/>
            <w:shd w:val="clear" w:color="auto" w:fill="auto"/>
            <w:noWrap/>
            <w:vAlign w:val="center"/>
            <w:hideMark/>
          </w:tcPr>
          <w:p w14:paraId="17807516"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65 - دعم وضع معيار جديد للويبو بشأن حزمة بيانات وثائق الأولوية (معيار الويبو </w:t>
            </w:r>
            <w:r w:rsidRPr="002E5443">
              <w:rPr>
                <w:rFonts w:asciiTheme="minorHAnsi" w:hAnsiTheme="minorHAnsi" w:cstheme="minorHAnsi"/>
                <w:color w:val="000000"/>
                <w:sz w:val="20"/>
              </w:rPr>
              <w:t xml:space="preserve">ST.92) </w:t>
            </w:r>
            <w:r w:rsidRPr="002E5443">
              <w:rPr>
                <w:rFonts w:asciiTheme="minorHAnsi" w:hAnsiTheme="minorHAnsi" w:cstheme="minorHAnsi"/>
                <w:sz w:val="20"/>
                <w:rtl/>
              </w:rPr>
              <w:t xml:space="preserve"> </w:t>
            </w:r>
          </w:p>
        </w:tc>
        <w:tc>
          <w:tcPr>
            <w:tcW w:w="4620" w:type="dxa"/>
            <w:shd w:val="clear" w:color="auto" w:fill="auto"/>
            <w:noWrap/>
            <w:vAlign w:val="center"/>
            <w:hideMark/>
          </w:tcPr>
          <w:p w14:paraId="36187860"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4</w:t>
            </w:r>
          </w:p>
        </w:tc>
      </w:tr>
      <w:tr w:rsidR="002E5443" w:rsidRPr="002E5443" w14:paraId="652A9CD0" w14:textId="77777777" w:rsidTr="00D45910">
        <w:trPr>
          <w:trHeight w:val="315"/>
        </w:trPr>
        <w:tc>
          <w:tcPr>
            <w:tcW w:w="14760" w:type="dxa"/>
            <w:shd w:val="clear" w:color="auto" w:fill="auto"/>
            <w:noWrap/>
            <w:vAlign w:val="center"/>
            <w:hideMark/>
          </w:tcPr>
          <w:p w14:paraId="11BD56E7"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50 - دعم صيانة وتحديث الدراسات الاستقصائية المنشورة في الجزء 7 من دليل الويبو </w:t>
            </w:r>
            <w:r w:rsidRPr="002E5443">
              <w:rPr>
                <w:rFonts w:asciiTheme="minorHAnsi" w:hAnsiTheme="minorHAnsi" w:cstheme="minorHAnsi"/>
                <w:sz w:val="20"/>
                <w:rtl/>
              </w:rPr>
              <w:t xml:space="preserve"> </w:t>
            </w:r>
          </w:p>
        </w:tc>
        <w:tc>
          <w:tcPr>
            <w:tcW w:w="4620" w:type="dxa"/>
            <w:shd w:val="clear" w:color="auto" w:fill="auto"/>
            <w:noWrap/>
            <w:vAlign w:val="center"/>
            <w:hideMark/>
          </w:tcPr>
          <w:p w14:paraId="27BBA80C"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2</w:t>
            </w:r>
          </w:p>
        </w:tc>
      </w:tr>
      <w:tr w:rsidR="002E5443" w:rsidRPr="002E5443" w14:paraId="22FACB8E" w14:textId="77777777" w:rsidTr="00D45910">
        <w:trPr>
          <w:trHeight w:val="315"/>
        </w:trPr>
        <w:tc>
          <w:tcPr>
            <w:tcW w:w="14760" w:type="dxa"/>
            <w:shd w:val="clear" w:color="auto" w:fill="auto"/>
            <w:noWrap/>
            <w:vAlign w:val="center"/>
            <w:hideMark/>
          </w:tcPr>
          <w:p w14:paraId="2ECECA34"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61 - تنفيذ معيار الويبو </w:t>
            </w:r>
            <w:r w:rsidRPr="002E5443">
              <w:rPr>
                <w:rFonts w:asciiTheme="minorHAnsi" w:hAnsiTheme="minorHAnsi" w:cstheme="minorHAnsi"/>
                <w:color w:val="000000"/>
                <w:sz w:val="20"/>
              </w:rPr>
              <w:t xml:space="preserve">ST.91 </w:t>
            </w:r>
            <w:r w:rsidRPr="002E5443">
              <w:rPr>
                <w:rFonts w:asciiTheme="minorHAnsi" w:hAnsiTheme="minorHAnsi" w:cstheme="minorHAnsi"/>
                <w:sz w:val="20"/>
                <w:rtl/>
              </w:rPr>
              <w:t xml:space="preserve"> </w:t>
            </w:r>
          </w:p>
        </w:tc>
        <w:tc>
          <w:tcPr>
            <w:tcW w:w="4620" w:type="dxa"/>
            <w:shd w:val="clear" w:color="auto" w:fill="auto"/>
            <w:noWrap/>
            <w:vAlign w:val="center"/>
            <w:hideMark/>
          </w:tcPr>
          <w:p w14:paraId="4E300348"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3</w:t>
            </w:r>
          </w:p>
        </w:tc>
      </w:tr>
      <w:tr w:rsidR="002E5443" w:rsidRPr="002E5443" w14:paraId="54385764" w14:textId="77777777" w:rsidTr="00D45910">
        <w:trPr>
          <w:trHeight w:val="315"/>
        </w:trPr>
        <w:tc>
          <w:tcPr>
            <w:tcW w:w="14760" w:type="dxa"/>
            <w:shd w:val="clear" w:color="auto" w:fill="auto"/>
            <w:noWrap/>
            <w:vAlign w:val="center"/>
            <w:hideMark/>
          </w:tcPr>
          <w:p w14:paraId="0A5FDDBB"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62 - دعم إعداد اقتراح لمراجعة معايير الويبو المعدة للعمليات التجارية والوثائق الورقية أو القائمة على الصور </w:t>
            </w:r>
            <w:r w:rsidRPr="002E5443">
              <w:rPr>
                <w:rFonts w:asciiTheme="minorHAnsi" w:hAnsiTheme="minorHAnsi" w:cstheme="minorHAnsi"/>
                <w:sz w:val="20"/>
                <w:rtl/>
              </w:rPr>
              <w:t xml:space="preserve"> </w:t>
            </w:r>
          </w:p>
        </w:tc>
        <w:tc>
          <w:tcPr>
            <w:tcW w:w="4620" w:type="dxa"/>
            <w:shd w:val="clear" w:color="auto" w:fill="auto"/>
            <w:noWrap/>
            <w:vAlign w:val="center"/>
            <w:hideMark/>
          </w:tcPr>
          <w:p w14:paraId="1ACA0BEE"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2</w:t>
            </w:r>
          </w:p>
        </w:tc>
      </w:tr>
      <w:tr w:rsidR="002E5443" w:rsidRPr="002E5443" w14:paraId="69A35D48" w14:textId="77777777" w:rsidTr="00D45910">
        <w:trPr>
          <w:trHeight w:val="315"/>
        </w:trPr>
        <w:tc>
          <w:tcPr>
            <w:tcW w:w="14760" w:type="dxa"/>
            <w:shd w:val="clear" w:color="auto" w:fill="auto"/>
            <w:noWrap/>
            <w:vAlign w:val="center"/>
            <w:hideMark/>
          </w:tcPr>
          <w:p w14:paraId="107D7E6F"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52 - دعم إعداد اقتراح لتحديث الجزء 1.6 من دليل الويبو </w:t>
            </w:r>
            <w:r w:rsidRPr="002E5443">
              <w:rPr>
                <w:rFonts w:asciiTheme="minorHAnsi" w:hAnsiTheme="minorHAnsi" w:cstheme="minorHAnsi"/>
                <w:sz w:val="20"/>
                <w:rtl/>
              </w:rPr>
              <w:t xml:space="preserve"> </w:t>
            </w:r>
          </w:p>
        </w:tc>
        <w:tc>
          <w:tcPr>
            <w:tcW w:w="4620" w:type="dxa"/>
            <w:shd w:val="clear" w:color="auto" w:fill="auto"/>
            <w:noWrap/>
            <w:vAlign w:val="center"/>
            <w:hideMark/>
          </w:tcPr>
          <w:p w14:paraId="39681967"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1</w:t>
            </w:r>
          </w:p>
        </w:tc>
      </w:tr>
      <w:tr w:rsidR="002E5443" w:rsidRPr="002E5443" w14:paraId="25879041" w14:textId="77777777" w:rsidTr="00D45910">
        <w:trPr>
          <w:trHeight w:val="315"/>
        </w:trPr>
        <w:tc>
          <w:tcPr>
            <w:tcW w:w="14760" w:type="dxa"/>
            <w:shd w:val="clear" w:color="auto" w:fill="auto"/>
            <w:noWrap/>
            <w:vAlign w:val="center"/>
            <w:hideMark/>
          </w:tcPr>
          <w:p w14:paraId="3B3E7D55" w14:textId="77777777" w:rsidR="002E5443" w:rsidRPr="002E5443" w:rsidRDefault="002E5443" w:rsidP="00D45910">
            <w:pPr>
              <w:bidi/>
              <w:spacing w:after="240"/>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 xml:space="preserve">المهمة رقم 63 - دعم إعداد اقتراح بشأن التمثيل المرئي (التمثيلات المرئية) للبيانات بنسق </w:t>
            </w:r>
            <w:r w:rsidRPr="002E5443">
              <w:rPr>
                <w:rFonts w:asciiTheme="minorHAnsi" w:hAnsiTheme="minorHAnsi" w:cstheme="minorHAnsi"/>
                <w:color w:val="000000"/>
                <w:sz w:val="20"/>
              </w:rPr>
              <w:t>XML</w:t>
            </w:r>
            <w:r w:rsidRPr="002E5443">
              <w:rPr>
                <w:rFonts w:asciiTheme="minorHAnsi" w:hAnsiTheme="minorHAnsi" w:cstheme="minorHAnsi"/>
                <w:color w:val="000000"/>
                <w:sz w:val="20"/>
                <w:rtl/>
              </w:rPr>
              <w:t xml:space="preserve">، استنادا إلى معايير </w:t>
            </w:r>
            <w:r w:rsidRPr="002E5443">
              <w:rPr>
                <w:rFonts w:asciiTheme="minorHAnsi" w:hAnsiTheme="minorHAnsi" w:cstheme="minorHAnsi"/>
                <w:color w:val="000000"/>
                <w:sz w:val="20"/>
              </w:rPr>
              <w:t>WIPO XML</w:t>
            </w:r>
            <w:r w:rsidRPr="002E5443">
              <w:rPr>
                <w:rFonts w:asciiTheme="minorHAnsi" w:hAnsiTheme="minorHAnsi" w:cstheme="minorHAnsi"/>
                <w:color w:val="000000"/>
                <w:sz w:val="20"/>
                <w:rtl/>
              </w:rPr>
              <w:t xml:space="preserve">، لأغراض النشر الإلكتروني </w:t>
            </w:r>
            <w:r w:rsidRPr="002E5443">
              <w:rPr>
                <w:rFonts w:asciiTheme="minorHAnsi" w:hAnsiTheme="minorHAnsi" w:cstheme="minorHAnsi"/>
                <w:sz w:val="20"/>
                <w:rtl/>
              </w:rPr>
              <w:t xml:space="preserve"> </w:t>
            </w:r>
          </w:p>
        </w:tc>
        <w:tc>
          <w:tcPr>
            <w:tcW w:w="4620" w:type="dxa"/>
            <w:shd w:val="clear" w:color="auto" w:fill="auto"/>
            <w:noWrap/>
            <w:vAlign w:val="center"/>
            <w:hideMark/>
          </w:tcPr>
          <w:p w14:paraId="675AE81D" w14:textId="77777777" w:rsidR="002E5443" w:rsidRPr="002E5443" w:rsidRDefault="002E5443" w:rsidP="00D45910">
            <w:pPr>
              <w:bidi/>
              <w:spacing w:after="240"/>
              <w:jc w:val="right"/>
              <w:rPr>
                <w:rFonts w:asciiTheme="minorHAnsi" w:eastAsia="Times New Roman" w:hAnsiTheme="minorHAnsi" w:cstheme="minorHAnsi"/>
                <w:color w:val="000000"/>
                <w:sz w:val="20"/>
                <w:rtl/>
              </w:rPr>
            </w:pPr>
            <w:r w:rsidRPr="002E5443">
              <w:rPr>
                <w:rFonts w:asciiTheme="minorHAnsi" w:hAnsiTheme="minorHAnsi" w:cstheme="minorHAnsi"/>
                <w:color w:val="000000"/>
                <w:sz w:val="20"/>
                <w:rtl/>
              </w:rPr>
              <w:t>1</w:t>
            </w:r>
          </w:p>
        </w:tc>
      </w:tr>
    </w:tbl>
    <w:p w14:paraId="62FF610F" w14:textId="77777777" w:rsidR="002E5443" w:rsidRDefault="002E5443" w:rsidP="002E5443">
      <w:pPr>
        <w:pStyle w:val="ONUMA"/>
        <w:numPr>
          <w:ilvl w:val="0"/>
          <w:numId w:val="0"/>
        </w:numPr>
      </w:pPr>
    </w:p>
    <w:p w14:paraId="2ED9C189" w14:textId="47C13796" w:rsidR="002E5443" w:rsidRDefault="002E5443" w:rsidP="002E5443">
      <w:pPr>
        <w:pStyle w:val="ONUMA"/>
      </w:pPr>
      <w:r w:rsidRPr="002E5443">
        <w:rPr>
          <w:rtl/>
        </w:rPr>
        <w:t>وفيما يتعلق بأنشطة اللجنة الثلاثة الأخرى ذات الصلة الواردة في الاستبيان، كانت الردود كما يلي:</w:t>
      </w:r>
    </w:p>
    <w:tbl>
      <w:tblPr>
        <w:bidiVisual/>
        <w:tblW w:w="9355" w:type="dxa"/>
        <w:tblLook w:val="04A0" w:firstRow="1" w:lastRow="0" w:firstColumn="1" w:lastColumn="0" w:noHBand="0" w:noVBand="1"/>
      </w:tblPr>
      <w:tblGrid>
        <w:gridCol w:w="7015"/>
        <w:gridCol w:w="2340"/>
      </w:tblGrid>
      <w:tr w:rsidR="002E5443" w:rsidRPr="002E5443" w14:paraId="0AFBED35" w14:textId="77777777" w:rsidTr="00D45910">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4599C9" w14:textId="77777777" w:rsidR="002E5443" w:rsidRPr="002E5443" w:rsidRDefault="002E5443" w:rsidP="00D45910">
            <w:pPr>
              <w:bidi/>
              <w:rPr>
                <w:rFonts w:asciiTheme="minorHAnsi" w:eastAsia="Times New Roman" w:hAnsiTheme="minorHAnsi" w:cstheme="minorHAnsi"/>
                <w:b/>
                <w:bCs/>
                <w:sz w:val="20"/>
                <w:rtl/>
              </w:rPr>
            </w:pPr>
            <w:r w:rsidRPr="002E5443">
              <w:rPr>
                <w:rFonts w:asciiTheme="minorHAnsi" w:hAnsiTheme="minorHAnsi" w:cstheme="minorHAnsi"/>
                <w:b/>
                <w:bCs/>
                <w:sz w:val="20"/>
                <w:rtl/>
              </w:rPr>
              <w:t>الأنشطة ذات الصلة بلجنة المعايير</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829944D" w14:textId="77777777" w:rsidR="002E5443" w:rsidRPr="002E5443" w:rsidRDefault="002E5443" w:rsidP="00D45910">
            <w:pPr>
              <w:bidi/>
              <w:rPr>
                <w:rFonts w:asciiTheme="minorHAnsi" w:eastAsia="Times New Roman" w:hAnsiTheme="minorHAnsi" w:cstheme="minorHAnsi"/>
                <w:b/>
                <w:bCs/>
                <w:sz w:val="20"/>
                <w:rtl/>
              </w:rPr>
            </w:pPr>
            <w:r w:rsidRPr="002E5443">
              <w:rPr>
                <w:rFonts w:asciiTheme="minorHAnsi" w:hAnsiTheme="minorHAnsi" w:cstheme="minorHAnsi"/>
                <w:b/>
                <w:bCs/>
                <w:sz w:val="20"/>
                <w:rtl/>
              </w:rPr>
              <w:t>عدد المكاتب التي تحددها كأولوية</w:t>
            </w:r>
          </w:p>
          <w:p w14:paraId="6E2B3778" w14:textId="77777777" w:rsidR="002E5443" w:rsidRPr="002E5443" w:rsidRDefault="002E5443" w:rsidP="00D45910">
            <w:pPr>
              <w:rPr>
                <w:rFonts w:asciiTheme="minorHAnsi" w:eastAsia="Times New Roman" w:hAnsiTheme="minorHAnsi" w:cstheme="minorHAnsi"/>
                <w:b/>
                <w:bCs/>
                <w:sz w:val="20"/>
              </w:rPr>
            </w:pPr>
          </w:p>
        </w:tc>
      </w:tr>
      <w:tr w:rsidR="002E5443" w:rsidRPr="002E5443" w14:paraId="282ABDAC" w14:textId="77777777" w:rsidTr="00D45910">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7D268" w14:textId="77777777" w:rsidR="002E5443" w:rsidRPr="002E5443" w:rsidRDefault="002E5443" w:rsidP="00D45910">
            <w:pPr>
              <w:bidi/>
              <w:spacing w:after="240"/>
              <w:rPr>
                <w:rFonts w:asciiTheme="minorHAnsi" w:eastAsia="Times New Roman" w:hAnsiTheme="minorHAnsi" w:cstheme="minorHAnsi"/>
                <w:sz w:val="20"/>
                <w:rtl/>
              </w:rPr>
            </w:pPr>
            <w:r w:rsidRPr="002E5443">
              <w:rPr>
                <w:rFonts w:asciiTheme="minorHAnsi" w:hAnsiTheme="minorHAnsi" w:cstheme="minorHAnsi"/>
                <w:sz w:val="20"/>
                <w:rtl/>
              </w:rPr>
              <w:t xml:space="preserve">تبادل بيانات الملكية الفكرية مع المكاتب الأخرى  </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75DFDCE9" w14:textId="77777777" w:rsidR="002E5443" w:rsidRPr="002E5443" w:rsidRDefault="002E5443" w:rsidP="00D45910">
            <w:pPr>
              <w:bidi/>
              <w:spacing w:after="240"/>
              <w:jc w:val="right"/>
              <w:rPr>
                <w:rFonts w:asciiTheme="minorHAnsi" w:eastAsia="Times New Roman" w:hAnsiTheme="minorHAnsi" w:cstheme="minorHAnsi"/>
                <w:sz w:val="20"/>
                <w:rtl/>
              </w:rPr>
            </w:pPr>
            <w:r w:rsidRPr="002E5443">
              <w:rPr>
                <w:rFonts w:asciiTheme="minorHAnsi" w:hAnsiTheme="minorHAnsi" w:cstheme="minorHAnsi"/>
                <w:sz w:val="20"/>
                <w:rtl/>
              </w:rPr>
              <w:t>13</w:t>
            </w:r>
          </w:p>
        </w:tc>
      </w:tr>
      <w:tr w:rsidR="002E5443" w:rsidRPr="002E5443" w14:paraId="71D51B99" w14:textId="77777777" w:rsidTr="00D45910">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B4009" w14:textId="77777777" w:rsidR="002E5443" w:rsidRPr="002E5443" w:rsidRDefault="002E5443" w:rsidP="00D45910">
            <w:pPr>
              <w:bidi/>
              <w:spacing w:after="240"/>
              <w:rPr>
                <w:rFonts w:asciiTheme="minorHAnsi" w:eastAsia="Times New Roman" w:hAnsiTheme="minorHAnsi" w:cstheme="minorHAnsi"/>
                <w:sz w:val="20"/>
                <w:rtl/>
              </w:rPr>
            </w:pPr>
            <w:r w:rsidRPr="002E5443">
              <w:rPr>
                <w:rFonts w:asciiTheme="minorHAnsi" w:hAnsiTheme="minorHAnsi" w:cstheme="minorHAnsi"/>
                <w:sz w:val="20"/>
                <w:rtl/>
              </w:rPr>
              <w:t xml:space="preserve">المشاركة في التدريب على معايير الويبو أو منتجاتها مثل أداة </w:t>
            </w:r>
            <w:r w:rsidRPr="002E5443">
              <w:rPr>
                <w:rFonts w:asciiTheme="minorHAnsi" w:hAnsiTheme="minorHAnsi" w:cstheme="minorHAnsi"/>
                <w:sz w:val="20"/>
              </w:rPr>
              <w:t>WIPO Sequence Suite</w:t>
            </w:r>
            <w:r w:rsidRPr="002E5443">
              <w:rPr>
                <w:rFonts w:asciiTheme="minorHAnsi" w:hAnsiTheme="minorHAnsi" w:cstheme="minorHAnsi"/>
                <w:sz w:val="20"/>
                <w:rtl/>
              </w:rPr>
              <w:t xml:space="preserve">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4C9456DC" w14:textId="77777777" w:rsidR="002E5443" w:rsidRPr="002E5443" w:rsidRDefault="002E5443" w:rsidP="00D45910">
            <w:pPr>
              <w:bidi/>
              <w:spacing w:after="240"/>
              <w:jc w:val="right"/>
              <w:rPr>
                <w:rFonts w:asciiTheme="minorHAnsi" w:eastAsia="Times New Roman" w:hAnsiTheme="minorHAnsi" w:cstheme="minorHAnsi"/>
                <w:sz w:val="20"/>
                <w:rtl/>
              </w:rPr>
            </w:pPr>
            <w:r w:rsidRPr="002E5443">
              <w:rPr>
                <w:rFonts w:asciiTheme="minorHAnsi" w:hAnsiTheme="minorHAnsi" w:cstheme="minorHAnsi"/>
                <w:sz w:val="20"/>
                <w:rtl/>
              </w:rPr>
              <w:t>6</w:t>
            </w:r>
          </w:p>
        </w:tc>
      </w:tr>
      <w:tr w:rsidR="002E5443" w:rsidRPr="002E5443" w14:paraId="2E796272" w14:textId="77777777" w:rsidTr="00D45910">
        <w:trPr>
          <w:trHeight w:val="255"/>
        </w:trPr>
        <w:tc>
          <w:tcPr>
            <w:tcW w:w="7015" w:type="dxa"/>
            <w:tcBorders>
              <w:top w:val="nil"/>
              <w:left w:val="single" w:sz="4" w:space="0" w:color="auto"/>
              <w:bottom w:val="single" w:sz="4" w:space="0" w:color="auto"/>
              <w:right w:val="single" w:sz="4" w:space="0" w:color="auto"/>
            </w:tcBorders>
            <w:shd w:val="clear" w:color="auto" w:fill="auto"/>
            <w:noWrap/>
            <w:vAlign w:val="bottom"/>
            <w:hideMark/>
          </w:tcPr>
          <w:p w14:paraId="1790A915" w14:textId="77777777" w:rsidR="002E5443" w:rsidRPr="002E5443" w:rsidRDefault="002E5443" w:rsidP="00D45910">
            <w:pPr>
              <w:bidi/>
              <w:spacing w:after="240"/>
              <w:rPr>
                <w:rFonts w:asciiTheme="minorHAnsi" w:eastAsia="Times New Roman" w:hAnsiTheme="minorHAnsi" w:cstheme="minorHAnsi"/>
                <w:sz w:val="20"/>
                <w:rtl/>
              </w:rPr>
            </w:pPr>
            <w:r w:rsidRPr="002E5443">
              <w:rPr>
                <w:rFonts w:asciiTheme="minorHAnsi" w:hAnsiTheme="minorHAnsi" w:cstheme="minorHAnsi"/>
                <w:sz w:val="20"/>
                <w:rtl/>
              </w:rPr>
              <w:t xml:space="preserve">تنفيذ معايير الويبو الأخرى غير المذكورة أعلاه  </w:t>
            </w:r>
          </w:p>
        </w:tc>
        <w:tc>
          <w:tcPr>
            <w:tcW w:w="2340" w:type="dxa"/>
            <w:tcBorders>
              <w:top w:val="nil"/>
              <w:left w:val="nil"/>
              <w:bottom w:val="single" w:sz="4" w:space="0" w:color="auto"/>
              <w:right w:val="single" w:sz="4" w:space="0" w:color="auto"/>
            </w:tcBorders>
            <w:shd w:val="clear" w:color="auto" w:fill="auto"/>
            <w:noWrap/>
            <w:vAlign w:val="bottom"/>
            <w:hideMark/>
          </w:tcPr>
          <w:p w14:paraId="23B33EB5" w14:textId="77777777" w:rsidR="002E5443" w:rsidRPr="002E5443" w:rsidRDefault="002E5443" w:rsidP="00D45910">
            <w:pPr>
              <w:bidi/>
              <w:spacing w:after="240"/>
              <w:jc w:val="right"/>
              <w:rPr>
                <w:rFonts w:asciiTheme="minorHAnsi" w:eastAsia="Times New Roman" w:hAnsiTheme="minorHAnsi" w:cstheme="minorHAnsi"/>
                <w:sz w:val="20"/>
                <w:rtl/>
              </w:rPr>
            </w:pPr>
            <w:r w:rsidRPr="002E5443">
              <w:rPr>
                <w:rFonts w:asciiTheme="minorHAnsi" w:hAnsiTheme="minorHAnsi" w:cstheme="minorHAnsi"/>
                <w:sz w:val="20"/>
                <w:rtl/>
              </w:rPr>
              <w:t>5</w:t>
            </w:r>
          </w:p>
        </w:tc>
      </w:tr>
    </w:tbl>
    <w:p w14:paraId="4ACDC9CD" w14:textId="073694A5" w:rsidR="002E5443" w:rsidRDefault="002E5443" w:rsidP="002E5443">
      <w:pPr>
        <w:pStyle w:val="ONUMA"/>
      </w:pPr>
      <w:r w:rsidRPr="002E5443">
        <w:rPr>
          <w:rtl/>
        </w:rPr>
        <w:t>وأخيرا، أشار 17 مكتبا من أصل 21 مكتبا (81 في المائة) إلى أن الاستبيان المبسط يعالج شواغلها التي أثيرت في الدورة الأخيرة للجنة.  ولكن، قدم مكتبان تعليقات بشأن كيفية تحسين الاستبيان:</w:t>
      </w:r>
    </w:p>
    <w:p w14:paraId="57ECC4B0" w14:textId="5F0C7F59" w:rsidR="002E5443" w:rsidRDefault="002E5443" w:rsidP="00880D90">
      <w:pPr>
        <w:pStyle w:val="ONUMA"/>
        <w:numPr>
          <w:ilvl w:val="0"/>
          <w:numId w:val="10"/>
        </w:numPr>
        <w:ind w:left="922"/>
      </w:pPr>
      <w:r>
        <w:rPr>
          <w:rtl/>
        </w:rPr>
        <w:t xml:space="preserve">"ينظر الاستبيان في المهام الفرعية لمختلف مهام اللجنة.    وهذا تحسن جيد.    ولكن، لا يتضمن الاستبيان تصنيفا أو ترتيبا للمهام الفرعية المدعومة من جانب كل مكتب.   وربما يساعد ذلك في تجميع ترتيب نهائي للمهام الفرعية من الأولوية العليا إلى الأولوية الدنيا".  </w:t>
      </w:r>
    </w:p>
    <w:p w14:paraId="31427EF0" w14:textId="3B7DB5C4" w:rsidR="002E5443" w:rsidRDefault="002E5443" w:rsidP="00880D90">
      <w:pPr>
        <w:pStyle w:val="ONUMA"/>
        <w:numPr>
          <w:ilvl w:val="0"/>
          <w:numId w:val="10"/>
        </w:numPr>
        <w:ind w:left="922"/>
      </w:pPr>
      <w:r>
        <w:rPr>
          <w:rtl/>
        </w:rPr>
        <w:t>"يعد الاستبيان بداية جيدة لفهم أفضل للمجالات التي تكمن فيها أولويات مختلف مكاتب الملكية الصناعية.  وسيكون المفتاح هو الاستفادة من هذه المعلومات لإيجاد أولويات مشتركة، والتوصل إلى توافق في الآراء بشأن تلك الأولويات الرئيسية المختارة وتحقيق النتائج."</w:t>
      </w:r>
    </w:p>
    <w:p w14:paraId="49B78612" w14:textId="77777777" w:rsidR="002E5443" w:rsidRDefault="002E5443" w:rsidP="006F4017">
      <w:pPr>
        <w:pStyle w:val="Heading2"/>
        <w:rPr>
          <w:rFonts w:cs="Calibri"/>
          <w:rtl/>
        </w:rPr>
      </w:pPr>
      <w:r w:rsidRPr="002E5443">
        <w:rPr>
          <w:rFonts w:cs="Calibri"/>
          <w:rtl/>
        </w:rPr>
        <w:t>اقتراح للخطوات المقبلة</w:t>
      </w:r>
    </w:p>
    <w:p w14:paraId="18FF5C5C" w14:textId="31AAE07F" w:rsidR="002E5443" w:rsidRDefault="002E5443" w:rsidP="002E5443">
      <w:pPr>
        <w:pStyle w:val="ONUMA"/>
        <w:rPr>
          <w:rFonts w:eastAsia="MS Mincho"/>
        </w:rPr>
      </w:pPr>
      <w:r w:rsidRPr="002E5443">
        <w:rPr>
          <w:rFonts w:eastAsia="MS Mincho"/>
          <w:rtl/>
        </w:rPr>
        <w:t>تذكر الأمانة لجنة المعايير بأسئلتها المتعلقة بتحديد أولويات المهام المشار إليها في الفقرة 3 أعلاه، وتلاحظ أن مكاتب الملكية الصناعية المختلفة لديها أولويات مختلفة وشعور مختلف بالإلحاح، تبعا لجدول أعمالها الخاص.  ولذلك، تقترح الأمانة أن تستخدم أي نتائج للاستبيان بشأن تحديد أولويات المهام للعلم فقط، لا لتوجيه أولوية برنامج عمل لجنة المعايير.  ويقدم تحليل نتائج الاستبيان غير الرسمي أعلاه أي إرشادات قد تحتاجها المكاتب عند تحديد أولويات أنشطتها.</w:t>
      </w:r>
    </w:p>
    <w:p w14:paraId="7607B8E3" w14:textId="3C63F80B" w:rsidR="002E5443" w:rsidRDefault="002E5443" w:rsidP="002E5443">
      <w:pPr>
        <w:pStyle w:val="ONUMA"/>
        <w:rPr>
          <w:rFonts w:eastAsia="MS Mincho"/>
        </w:rPr>
      </w:pPr>
      <w:r w:rsidRPr="002E5443">
        <w:rPr>
          <w:rFonts w:eastAsia="MS Mincho"/>
          <w:rtl/>
        </w:rPr>
        <w:lastRenderedPageBreak/>
        <w:t>وترى الأمانة أن نتائج الاستبيان غير الرسمي الذي أجري في يوليو 2024 كانت كافية لتحقيق الأهداف المحددة في الدورتين العاشرة والحادية عشرة للجنة المعايير.</w:t>
      </w:r>
      <w:r>
        <w:rPr>
          <w:rFonts w:eastAsia="MS Mincho" w:hint="cs"/>
          <w:rtl/>
        </w:rPr>
        <w:t xml:space="preserve"> </w:t>
      </w:r>
      <w:r w:rsidRPr="002E5443">
        <w:rPr>
          <w:rFonts w:eastAsia="MS Mincho"/>
          <w:rtl/>
        </w:rPr>
        <w:t xml:space="preserve"> وفي هذا الصدد، ترى الأمانة العامة أنه ليس من الضروري إجراء استبيان رسمي بشأن تحديد الأولويات.  ولذلك، لم يقدم أي استبيان رسمي للنظر فيه في الدورة الحالية.  وتقترح الأمانة عدم إجراء استبيان رسمي بشأن تحديد أولويات المهام، وتقترح عوضاً عن ذلك أن تستعرض لجنة المعايير أولوية كل مهمة عندما تنظر في برنامجها.  وفي هذه الدورة، يعرض برنامج عمل اللجنة مع قائمة المهام في الوثيقة </w:t>
      </w:r>
      <w:r w:rsidRPr="002E5443">
        <w:rPr>
          <w:rFonts w:eastAsia="MS Mincho"/>
        </w:rPr>
        <w:t>CWS/12/2</w:t>
      </w:r>
      <w:r w:rsidRPr="002E5443">
        <w:rPr>
          <w:rFonts w:eastAsia="MS Mincho"/>
          <w:rtl/>
        </w:rPr>
        <w:t>.</w:t>
      </w:r>
    </w:p>
    <w:p w14:paraId="6515A792" w14:textId="5A7CA584" w:rsidR="00030DD8" w:rsidRDefault="00030DD8" w:rsidP="00030DD8">
      <w:pPr>
        <w:pStyle w:val="ONUMA"/>
        <w:ind w:left="5530"/>
        <w:rPr>
          <w:i/>
          <w:iCs/>
        </w:rPr>
      </w:pPr>
      <w:r w:rsidRPr="00030DD8">
        <w:rPr>
          <w:i/>
          <w:iCs/>
          <w:rtl/>
        </w:rPr>
        <w:t>إن لجنة المعايير مدعوة إلى ما يلي</w:t>
      </w:r>
      <w:r>
        <w:rPr>
          <w:rFonts w:hint="cs"/>
          <w:i/>
          <w:iCs/>
          <w:rtl/>
        </w:rPr>
        <w:t>:</w:t>
      </w:r>
    </w:p>
    <w:p w14:paraId="42BFAA1F" w14:textId="77777777" w:rsidR="00030DD8" w:rsidRPr="00030DD8" w:rsidRDefault="00030DD8" w:rsidP="00880D90">
      <w:pPr>
        <w:pStyle w:val="ONUMA"/>
        <w:numPr>
          <w:ilvl w:val="1"/>
          <w:numId w:val="5"/>
        </w:numPr>
        <w:ind w:left="6336" w:firstLine="0"/>
        <w:rPr>
          <w:i/>
          <w:iCs/>
          <w:rtl/>
        </w:rPr>
      </w:pPr>
      <w:r w:rsidRPr="00030DD8">
        <w:rPr>
          <w:i/>
          <w:iCs/>
          <w:rtl/>
        </w:rPr>
        <w:t>الإحاطة علما بمضمون هذه الوثيقة؛</w:t>
      </w:r>
    </w:p>
    <w:p w14:paraId="7CE1CD29" w14:textId="1C3541D4" w:rsidR="00030DD8" w:rsidRDefault="00030DD8" w:rsidP="00880D90">
      <w:pPr>
        <w:pStyle w:val="ONUMA"/>
        <w:numPr>
          <w:ilvl w:val="1"/>
          <w:numId w:val="5"/>
        </w:numPr>
        <w:ind w:left="6336" w:firstLine="0"/>
        <w:rPr>
          <w:i/>
          <w:iCs/>
        </w:rPr>
      </w:pPr>
      <w:r w:rsidRPr="00030DD8">
        <w:rPr>
          <w:i/>
          <w:iCs/>
          <w:rtl/>
        </w:rPr>
        <w:t>والنظر في اقتراح الخطوة التالية والموافقة عليه، على النحو المشار إليه في الفقرتين 10 و11 أعلاه.</w:t>
      </w:r>
    </w:p>
    <w:p w14:paraId="5C3CEC1C" w14:textId="77777777" w:rsidR="006E2A3A" w:rsidRPr="00DB76B8" w:rsidRDefault="006E2A3A" w:rsidP="009E2E0C">
      <w:pPr>
        <w:pStyle w:val="BodyText"/>
        <w:spacing w:after="0"/>
        <w:ind w:left="5529"/>
        <w:rPr>
          <w:rFonts w:asciiTheme="minorHAnsi" w:hAnsiTheme="minorHAnsi" w:cstheme="minorHAnsi"/>
          <w:lang w:eastAsia="en-US"/>
        </w:rPr>
      </w:pPr>
    </w:p>
    <w:p w14:paraId="283AD6C6" w14:textId="77777777" w:rsidR="009E2E0C" w:rsidRPr="00DB76B8" w:rsidRDefault="009E2E0C" w:rsidP="009E2E0C">
      <w:pPr>
        <w:pStyle w:val="Endofdocument"/>
        <w:bidi/>
        <w:ind w:left="5530"/>
        <w:rPr>
          <w:rFonts w:asciiTheme="minorHAnsi" w:hAnsiTheme="minorHAnsi" w:cstheme="minorHAnsi"/>
          <w:rtl/>
        </w:rPr>
      </w:pPr>
      <w:r w:rsidRPr="00DB76B8">
        <w:rPr>
          <w:rFonts w:asciiTheme="minorHAnsi" w:hAnsiTheme="minorHAnsi" w:cstheme="minorHAnsi"/>
          <w:rtl/>
        </w:rPr>
        <w:t>[نهاية الوثيقة]</w:t>
      </w:r>
    </w:p>
    <w:p w14:paraId="744E3348" w14:textId="77777777" w:rsidR="002326AB" w:rsidRPr="00DB76B8" w:rsidRDefault="002326AB" w:rsidP="002326AB">
      <w:pPr>
        <w:spacing w:after="220"/>
        <w:rPr>
          <w:rFonts w:asciiTheme="minorHAnsi" w:hAnsiTheme="minorHAnsi" w:cstheme="minorHAnsi"/>
        </w:rPr>
      </w:pPr>
    </w:p>
    <w:sectPr w:rsidR="002326AB" w:rsidRPr="00DB76B8" w:rsidSect="00C20DB1">
      <w:headerReference w:type="default" r:id="rId14"/>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59AEA" w14:textId="77777777" w:rsidR="005F0FC3" w:rsidRDefault="005F0FC3">
      <w:r>
        <w:separator/>
      </w:r>
    </w:p>
  </w:endnote>
  <w:endnote w:type="continuationSeparator" w:id="0">
    <w:p w14:paraId="22D46091" w14:textId="77777777" w:rsidR="005F0FC3" w:rsidRDefault="005F0FC3" w:rsidP="003B38C1">
      <w:r>
        <w:separator/>
      </w:r>
    </w:p>
    <w:p w14:paraId="48895C9D" w14:textId="77777777" w:rsidR="005F0FC3" w:rsidRPr="003B38C1" w:rsidRDefault="005F0FC3" w:rsidP="003B38C1">
      <w:pPr>
        <w:spacing w:after="60"/>
        <w:rPr>
          <w:sz w:val="17"/>
        </w:rPr>
      </w:pPr>
      <w:r>
        <w:rPr>
          <w:sz w:val="17"/>
        </w:rPr>
        <w:t>[Endnote continued from previous page]</w:t>
      </w:r>
    </w:p>
  </w:endnote>
  <w:endnote w:type="continuationNotice" w:id="1">
    <w:p w14:paraId="5D848964" w14:textId="77777777" w:rsidR="005F0FC3" w:rsidRPr="003B38C1" w:rsidRDefault="005F0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E1DE" w14:textId="77777777" w:rsidR="005F0FC3" w:rsidRDefault="005F0FC3">
      <w:r>
        <w:separator/>
      </w:r>
    </w:p>
  </w:footnote>
  <w:footnote w:type="continuationSeparator" w:id="0">
    <w:p w14:paraId="11BB4BCA" w14:textId="77777777" w:rsidR="005F0FC3" w:rsidRDefault="005F0FC3" w:rsidP="008B60B2">
      <w:r>
        <w:separator/>
      </w:r>
    </w:p>
    <w:p w14:paraId="5957493E" w14:textId="77777777" w:rsidR="005F0FC3" w:rsidRPr="00ED77FB" w:rsidRDefault="005F0FC3" w:rsidP="008B60B2">
      <w:pPr>
        <w:spacing w:after="60"/>
        <w:rPr>
          <w:sz w:val="17"/>
          <w:szCs w:val="17"/>
        </w:rPr>
      </w:pPr>
      <w:r w:rsidRPr="00ED77FB">
        <w:rPr>
          <w:sz w:val="17"/>
          <w:szCs w:val="17"/>
        </w:rPr>
        <w:t>[Footnote continued from previous page]</w:t>
      </w:r>
    </w:p>
  </w:footnote>
  <w:footnote w:type="continuationNotice" w:id="1">
    <w:p w14:paraId="4880CB3E" w14:textId="77777777" w:rsidR="005F0FC3" w:rsidRPr="00ED77FB" w:rsidRDefault="005F0FC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28E0" w14:textId="100B299E" w:rsidR="00D07C78" w:rsidRPr="002326AB" w:rsidRDefault="009E2E0C" w:rsidP="00477D6B">
    <w:pPr>
      <w:bidi/>
      <w:jc w:val="right"/>
      <w:rPr>
        <w:caps/>
        <w:rtl/>
      </w:rPr>
    </w:pPr>
    <w:bookmarkStart w:id="5" w:name="Code2"/>
    <w:bookmarkEnd w:id="5"/>
    <w:r>
      <w:rPr>
        <w:caps/>
      </w:rPr>
      <w:t>CWS/12/</w:t>
    </w:r>
    <w:r w:rsidR="00030DD8">
      <w:rPr>
        <w:caps/>
      </w:rPr>
      <w:t>3</w:t>
    </w:r>
  </w:p>
  <w:p w14:paraId="018F05E0" w14:textId="4480275D" w:rsidR="00D07C78" w:rsidRDefault="00D07C78" w:rsidP="00477D6B">
    <w:pPr>
      <w:bidi/>
      <w:jc w:val="right"/>
      <w:rPr>
        <w:rtl/>
      </w:rPr>
    </w:pPr>
    <w:r>
      <w:fldChar w:fldCharType="begin"/>
    </w:r>
    <w:r>
      <w:rPr>
        <w:rtl/>
      </w:rPr>
      <w:instrText xml:space="preserve"> </w:instrText>
    </w:r>
    <w:r>
      <w:instrText xml:space="preserve">PAGE  \* MERGEFORMAT </w:instrText>
    </w:r>
    <w:r>
      <w:fldChar w:fldCharType="separate"/>
    </w:r>
    <w:r w:rsidR="00E67632">
      <w:rPr>
        <w:rFonts w:hint="cs"/>
        <w:rtl/>
      </w:rPr>
      <w:t>2</w:t>
    </w:r>
    <w:r>
      <w:fldChar w:fldCharType="end"/>
    </w:r>
  </w:p>
  <w:p w14:paraId="66E11673" w14:textId="77777777" w:rsidR="00D07C78" w:rsidRDefault="00D07C78" w:rsidP="00477D6B">
    <w:pPr>
      <w:jc w:val="right"/>
    </w:pPr>
  </w:p>
  <w:p w14:paraId="64271CD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C48701C"/>
    <w:lvl w:ilvl="0">
      <w:start w:val="1"/>
      <w:numFmt w:val="decimal"/>
      <w:lvlRestart w:val="0"/>
      <w:pStyle w:val="ONUME"/>
      <w:lvlText w:val="%1."/>
      <w:lvlJc w:val="left"/>
      <w:pPr>
        <w:tabs>
          <w:tab w:val="num" w:pos="567"/>
        </w:tabs>
        <w:ind w:left="0" w:firstLine="0"/>
      </w:pPr>
      <w:rPr>
        <w:rFonts w:ascii="Arial" w:hAnsi="Arial" w:cs="Arial" w:hint="default"/>
        <w:sz w:val="18"/>
        <w:szCs w:val="22"/>
        <w:lang w:val="en-US"/>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C726BF"/>
    <w:multiLevelType w:val="hybridMultilevel"/>
    <w:tmpl w:val="47F6325A"/>
    <w:lvl w:ilvl="0" w:tplc="AE30DF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569CF"/>
    <w:multiLevelType w:val="hybridMultilevel"/>
    <w:tmpl w:val="146CB586"/>
    <w:lvl w:ilvl="0" w:tplc="7FDA2AD4">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6057BB2"/>
    <w:multiLevelType w:val="hybridMultilevel"/>
    <w:tmpl w:val="659C9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372270">
    <w:abstractNumId w:val="2"/>
  </w:num>
  <w:num w:numId="2" w16cid:durableId="1486706783">
    <w:abstractNumId w:val="6"/>
  </w:num>
  <w:num w:numId="3" w16cid:durableId="1637485562">
    <w:abstractNumId w:val="0"/>
  </w:num>
  <w:num w:numId="4" w16cid:durableId="277026938">
    <w:abstractNumId w:val="7"/>
  </w:num>
  <w:num w:numId="5" w16cid:durableId="347828112">
    <w:abstractNumId w:val="1"/>
  </w:num>
  <w:num w:numId="6" w16cid:durableId="603269569">
    <w:abstractNumId w:val="3"/>
  </w:num>
  <w:num w:numId="7" w16cid:durableId="62142828">
    <w:abstractNumId w:val="5"/>
  </w:num>
  <w:num w:numId="8" w16cid:durableId="1292596094">
    <w:abstractNumId w:val="9"/>
  </w:num>
  <w:num w:numId="9" w16cid:durableId="1208252457">
    <w:abstractNumId w:val="8"/>
  </w:num>
  <w:num w:numId="10" w16cid:durableId="2038390193">
    <w:abstractNumId w:val="4"/>
  </w:num>
  <w:num w:numId="11" w16cid:durableId="604701640">
    <w:abstractNumId w:val="1"/>
  </w:num>
  <w:num w:numId="12" w16cid:durableId="1180387769">
    <w:abstractNumId w:val="1"/>
  </w:num>
  <w:num w:numId="13" w16cid:durableId="732461638">
    <w:abstractNumId w:val="1"/>
  </w:num>
  <w:num w:numId="14" w16cid:durableId="663048095">
    <w:abstractNumId w:val="1"/>
  </w:num>
  <w:num w:numId="15" w16cid:durableId="369888877">
    <w:abstractNumId w:val="1"/>
  </w:num>
  <w:num w:numId="16" w16cid:durableId="1779371593">
    <w:abstractNumId w:val="1"/>
  </w:num>
  <w:num w:numId="17" w16cid:durableId="1473987241">
    <w:abstractNumId w:val="1"/>
  </w:num>
  <w:num w:numId="18" w16cid:durableId="562328064">
    <w:abstractNumId w:val="1"/>
  </w:num>
  <w:num w:numId="19" w16cid:durableId="32790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1578B"/>
    <w:rsid w:val="00030DD8"/>
    <w:rsid w:val="00032F40"/>
    <w:rsid w:val="00035E70"/>
    <w:rsid w:val="00043CAA"/>
    <w:rsid w:val="00055B0C"/>
    <w:rsid w:val="00056816"/>
    <w:rsid w:val="000608C4"/>
    <w:rsid w:val="00065748"/>
    <w:rsid w:val="00073E0A"/>
    <w:rsid w:val="00075432"/>
    <w:rsid w:val="00086D66"/>
    <w:rsid w:val="000968ED"/>
    <w:rsid w:val="000A3D97"/>
    <w:rsid w:val="000B7FFC"/>
    <w:rsid w:val="000D3E7D"/>
    <w:rsid w:val="000D578B"/>
    <w:rsid w:val="000E1E9A"/>
    <w:rsid w:val="000F0A41"/>
    <w:rsid w:val="000F0F8C"/>
    <w:rsid w:val="000F244E"/>
    <w:rsid w:val="000F3DE2"/>
    <w:rsid w:val="000F5E56"/>
    <w:rsid w:val="00113356"/>
    <w:rsid w:val="001362EE"/>
    <w:rsid w:val="0013710C"/>
    <w:rsid w:val="001479FD"/>
    <w:rsid w:val="001647D5"/>
    <w:rsid w:val="0017521B"/>
    <w:rsid w:val="001832A6"/>
    <w:rsid w:val="001939AF"/>
    <w:rsid w:val="001A3DDE"/>
    <w:rsid w:val="001B466E"/>
    <w:rsid w:val="001B6C50"/>
    <w:rsid w:val="001C0D08"/>
    <w:rsid w:val="001C4D42"/>
    <w:rsid w:val="001C624A"/>
    <w:rsid w:val="001D0D80"/>
    <w:rsid w:val="001D173A"/>
    <w:rsid w:val="001D4107"/>
    <w:rsid w:val="001F1CA8"/>
    <w:rsid w:val="001F3240"/>
    <w:rsid w:val="00203D24"/>
    <w:rsid w:val="00205EB3"/>
    <w:rsid w:val="0021217E"/>
    <w:rsid w:val="00213A11"/>
    <w:rsid w:val="002326AB"/>
    <w:rsid w:val="002357D0"/>
    <w:rsid w:val="00243430"/>
    <w:rsid w:val="00244938"/>
    <w:rsid w:val="0025454E"/>
    <w:rsid w:val="00262FB5"/>
    <w:rsid w:val="002634C4"/>
    <w:rsid w:val="00274798"/>
    <w:rsid w:val="0027686E"/>
    <w:rsid w:val="00284F51"/>
    <w:rsid w:val="002928D3"/>
    <w:rsid w:val="00294595"/>
    <w:rsid w:val="002B24A5"/>
    <w:rsid w:val="002B639B"/>
    <w:rsid w:val="002C5DAC"/>
    <w:rsid w:val="002D3C73"/>
    <w:rsid w:val="002E5443"/>
    <w:rsid w:val="002F1FE6"/>
    <w:rsid w:val="002F4E68"/>
    <w:rsid w:val="00304ABA"/>
    <w:rsid w:val="00312F7F"/>
    <w:rsid w:val="00321ADD"/>
    <w:rsid w:val="003359C4"/>
    <w:rsid w:val="00356E2D"/>
    <w:rsid w:val="00361450"/>
    <w:rsid w:val="003644D9"/>
    <w:rsid w:val="003673CF"/>
    <w:rsid w:val="00375780"/>
    <w:rsid w:val="0038392C"/>
    <w:rsid w:val="003845C1"/>
    <w:rsid w:val="003859D6"/>
    <w:rsid w:val="003A6F89"/>
    <w:rsid w:val="003B2095"/>
    <w:rsid w:val="003B38C1"/>
    <w:rsid w:val="003B4560"/>
    <w:rsid w:val="003B5BD9"/>
    <w:rsid w:val="003C34E9"/>
    <w:rsid w:val="003D25B1"/>
    <w:rsid w:val="003E60EC"/>
    <w:rsid w:val="00423E3E"/>
    <w:rsid w:val="00427AF4"/>
    <w:rsid w:val="00447F7B"/>
    <w:rsid w:val="004555AB"/>
    <w:rsid w:val="00455BE8"/>
    <w:rsid w:val="00460D79"/>
    <w:rsid w:val="004647DA"/>
    <w:rsid w:val="00474062"/>
    <w:rsid w:val="00474ACF"/>
    <w:rsid w:val="00477D6B"/>
    <w:rsid w:val="004809FB"/>
    <w:rsid w:val="00494B8F"/>
    <w:rsid w:val="004A4403"/>
    <w:rsid w:val="004E0BCA"/>
    <w:rsid w:val="004F6B76"/>
    <w:rsid w:val="005019FF"/>
    <w:rsid w:val="0051715D"/>
    <w:rsid w:val="0053057A"/>
    <w:rsid w:val="00546067"/>
    <w:rsid w:val="00556076"/>
    <w:rsid w:val="00560A29"/>
    <w:rsid w:val="00570C3E"/>
    <w:rsid w:val="005A1DB6"/>
    <w:rsid w:val="005A546F"/>
    <w:rsid w:val="005A5CCC"/>
    <w:rsid w:val="005B01EE"/>
    <w:rsid w:val="005B65A9"/>
    <w:rsid w:val="005C40FF"/>
    <w:rsid w:val="005C4F21"/>
    <w:rsid w:val="005C6649"/>
    <w:rsid w:val="005E1640"/>
    <w:rsid w:val="005F0FC3"/>
    <w:rsid w:val="00602750"/>
    <w:rsid w:val="00605827"/>
    <w:rsid w:val="006163CD"/>
    <w:rsid w:val="00617ACA"/>
    <w:rsid w:val="00624AD5"/>
    <w:rsid w:val="00644561"/>
    <w:rsid w:val="00646050"/>
    <w:rsid w:val="006561F6"/>
    <w:rsid w:val="00660017"/>
    <w:rsid w:val="00670A14"/>
    <w:rsid w:val="0067129B"/>
    <w:rsid w:val="006713CA"/>
    <w:rsid w:val="00676C5C"/>
    <w:rsid w:val="006A2EDF"/>
    <w:rsid w:val="006C05CA"/>
    <w:rsid w:val="006C4649"/>
    <w:rsid w:val="006E2A3A"/>
    <w:rsid w:val="006F4017"/>
    <w:rsid w:val="0070155F"/>
    <w:rsid w:val="00701A6C"/>
    <w:rsid w:val="00717CE5"/>
    <w:rsid w:val="00720EFD"/>
    <w:rsid w:val="0075777E"/>
    <w:rsid w:val="00781810"/>
    <w:rsid w:val="007854AF"/>
    <w:rsid w:val="00793A7C"/>
    <w:rsid w:val="007A398A"/>
    <w:rsid w:val="007A3DFF"/>
    <w:rsid w:val="007A6870"/>
    <w:rsid w:val="007B3E48"/>
    <w:rsid w:val="007C1285"/>
    <w:rsid w:val="007C17A3"/>
    <w:rsid w:val="007D1613"/>
    <w:rsid w:val="007D65E2"/>
    <w:rsid w:val="007E050C"/>
    <w:rsid w:val="007E4C0E"/>
    <w:rsid w:val="00846CF6"/>
    <w:rsid w:val="0085259E"/>
    <w:rsid w:val="00880D90"/>
    <w:rsid w:val="008A134B"/>
    <w:rsid w:val="008A4F79"/>
    <w:rsid w:val="008B2CC1"/>
    <w:rsid w:val="008B60B2"/>
    <w:rsid w:val="008E19EE"/>
    <w:rsid w:val="008F3604"/>
    <w:rsid w:val="0090731E"/>
    <w:rsid w:val="00913CD5"/>
    <w:rsid w:val="009144CB"/>
    <w:rsid w:val="00916EE2"/>
    <w:rsid w:val="00917D9D"/>
    <w:rsid w:val="009244D2"/>
    <w:rsid w:val="009353F8"/>
    <w:rsid w:val="00960E8C"/>
    <w:rsid w:val="009630F1"/>
    <w:rsid w:val="00966A22"/>
    <w:rsid w:val="0096722F"/>
    <w:rsid w:val="00980843"/>
    <w:rsid w:val="009A0F4B"/>
    <w:rsid w:val="009A5059"/>
    <w:rsid w:val="009A5667"/>
    <w:rsid w:val="009A67CE"/>
    <w:rsid w:val="009E2791"/>
    <w:rsid w:val="009E2A28"/>
    <w:rsid w:val="009E2E0C"/>
    <w:rsid w:val="009E3F6F"/>
    <w:rsid w:val="009F10DB"/>
    <w:rsid w:val="009F499F"/>
    <w:rsid w:val="00A03EFD"/>
    <w:rsid w:val="00A04083"/>
    <w:rsid w:val="00A0415D"/>
    <w:rsid w:val="00A047EA"/>
    <w:rsid w:val="00A16EE4"/>
    <w:rsid w:val="00A37342"/>
    <w:rsid w:val="00A42DAF"/>
    <w:rsid w:val="00A45BD8"/>
    <w:rsid w:val="00A46249"/>
    <w:rsid w:val="00A47D8F"/>
    <w:rsid w:val="00A67379"/>
    <w:rsid w:val="00A721F8"/>
    <w:rsid w:val="00A764CA"/>
    <w:rsid w:val="00A869B7"/>
    <w:rsid w:val="00A90F0A"/>
    <w:rsid w:val="00A92AC6"/>
    <w:rsid w:val="00AB533E"/>
    <w:rsid w:val="00AB7BA8"/>
    <w:rsid w:val="00AC018D"/>
    <w:rsid w:val="00AC205C"/>
    <w:rsid w:val="00AD65AA"/>
    <w:rsid w:val="00AF0A6B"/>
    <w:rsid w:val="00B05A69"/>
    <w:rsid w:val="00B20EA9"/>
    <w:rsid w:val="00B22C3F"/>
    <w:rsid w:val="00B31539"/>
    <w:rsid w:val="00B355B6"/>
    <w:rsid w:val="00B43062"/>
    <w:rsid w:val="00B5023B"/>
    <w:rsid w:val="00B64673"/>
    <w:rsid w:val="00B701B4"/>
    <w:rsid w:val="00B75281"/>
    <w:rsid w:val="00B80AC2"/>
    <w:rsid w:val="00B83E01"/>
    <w:rsid w:val="00B87FB6"/>
    <w:rsid w:val="00B92F1F"/>
    <w:rsid w:val="00B93067"/>
    <w:rsid w:val="00B9734B"/>
    <w:rsid w:val="00BA30E2"/>
    <w:rsid w:val="00BB130D"/>
    <w:rsid w:val="00BE648C"/>
    <w:rsid w:val="00BE6983"/>
    <w:rsid w:val="00BF0839"/>
    <w:rsid w:val="00C11BFE"/>
    <w:rsid w:val="00C20DB1"/>
    <w:rsid w:val="00C251C4"/>
    <w:rsid w:val="00C5068F"/>
    <w:rsid w:val="00C61034"/>
    <w:rsid w:val="00C86D74"/>
    <w:rsid w:val="00CB522A"/>
    <w:rsid w:val="00CB55B6"/>
    <w:rsid w:val="00CD04F1"/>
    <w:rsid w:val="00CD27F9"/>
    <w:rsid w:val="00CF681A"/>
    <w:rsid w:val="00D05F3B"/>
    <w:rsid w:val="00D07C78"/>
    <w:rsid w:val="00D165E5"/>
    <w:rsid w:val="00D2673A"/>
    <w:rsid w:val="00D27283"/>
    <w:rsid w:val="00D45252"/>
    <w:rsid w:val="00D46546"/>
    <w:rsid w:val="00D47049"/>
    <w:rsid w:val="00D50135"/>
    <w:rsid w:val="00D578B3"/>
    <w:rsid w:val="00D63CDE"/>
    <w:rsid w:val="00D70116"/>
    <w:rsid w:val="00D71953"/>
    <w:rsid w:val="00D71B4D"/>
    <w:rsid w:val="00D81967"/>
    <w:rsid w:val="00D83B71"/>
    <w:rsid w:val="00D87609"/>
    <w:rsid w:val="00D93D55"/>
    <w:rsid w:val="00D945DF"/>
    <w:rsid w:val="00DB2B85"/>
    <w:rsid w:val="00DB3B5D"/>
    <w:rsid w:val="00DB76B8"/>
    <w:rsid w:val="00DD7B7F"/>
    <w:rsid w:val="00E01B16"/>
    <w:rsid w:val="00E104C8"/>
    <w:rsid w:val="00E15015"/>
    <w:rsid w:val="00E30B68"/>
    <w:rsid w:val="00E31578"/>
    <w:rsid w:val="00E335FE"/>
    <w:rsid w:val="00E33F98"/>
    <w:rsid w:val="00E34CBF"/>
    <w:rsid w:val="00E45755"/>
    <w:rsid w:val="00E51DBD"/>
    <w:rsid w:val="00E55A68"/>
    <w:rsid w:val="00E63A63"/>
    <w:rsid w:val="00E67632"/>
    <w:rsid w:val="00EA7D6E"/>
    <w:rsid w:val="00EB2F76"/>
    <w:rsid w:val="00EB3911"/>
    <w:rsid w:val="00EC1454"/>
    <w:rsid w:val="00EC4E49"/>
    <w:rsid w:val="00ED38B6"/>
    <w:rsid w:val="00ED66A2"/>
    <w:rsid w:val="00ED77FB"/>
    <w:rsid w:val="00EE45FA"/>
    <w:rsid w:val="00EF3061"/>
    <w:rsid w:val="00EF3F25"/>
    <w:rsid w:val="00F021D3"/>
    <w:rsid w:val="00F043DE"/>
    <w:rsid w:val="00F13982"/>
    <w:rsid w:val="00F34105"/>
    <w:rsid w:val="00F52014"/>
    <w:rsid w:val="00F61738"/>
    <w:rsid w:val="00F66152"/>
    <w:rsid w:val="00F67144"/>
    <w:rsid w:val="00F7088E"/>
    <w:rsid w:val="00F81DBC"/>
    <w:rsid w:val="00F9165B"/>
    <w:rsid w:val="00F96D1C"/>
    <w:rsid w:val="00FA0C32"/>
    <w:rsid w:val="00FA3D75"/>
    <w:rsid w:val="00FC482F"/>
    <w:rsid w:val="00FD4F7A"/>
    <w:rsid w:val="00FF1BFD"/>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F4017"/>
    <w:pPr>
      <w:keepNext/>
      <w:bidi/>
      <w:spacing w:after="60"/>
      <w:outlineLvl w:val="1"/>
    </w:pPr>
    <w:rPr>
      <w:rFonts w:asciiTheme="minorHAnsi" w:hAnsiTheme="minorHAnsi" w:cstheme="minorHAnsi"/>
      <w:bCs/>
      <w:i/>
      <w:sz w:val="20"/>
      <w:szCs w:val="24"/>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6F4017"/>
    <w:rPr>
      <w:rFonts w:asciiTheme="minorHAnsi" w:eastAsia="SimSun" w:hAnsiTheme="minorHAnsi" w:cstheme="minorHAnsi"/>
      <w:bCs/>
      <w:i/>
      <w:szCs w:val="24"/>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Arial"/>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 w:type="paragraph" w:styleId="Revision">
    <w:name w:val="Revision"/>
    <w:hidden/>
    <w:uiPriority w:val="99"/>
    <w:semiHidden/>
    <w:rsid w:val="00D945DF"/>
    <w:rPr>
      <w:rFonts w:ascii="Arial" w:eastAsia="SimSun" w:hAnsi="Arial"/>
      <w:sz w:val="22"/>
      <w:lang w:val="en-US"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D71953"/>
    <w:rPr>
      <w:color w:val="605E5C"/>
      <w:shd w:val="clear" w:color="auto" w:fill="E1DFDD"/>
    </w:rPr>
  </w:style>
  <w:style w:type="paragraph" w:customStyle="1" w:styleId="ONUMA">
    <w:name w:val="ONUM A"/>
    <w:basedOn w:val="ONUME"/>
    <w:rsid w:val="00DB76B8"/>
    <w:pPr>
      <w:bidi/>
    </w:pPr>
    <w:rPr>
      <w:rFonts w:eastAsia="Times New Roman"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8" ma:contentTypeDescription="Create a new document." ma:contentTypeScope="" ma:versionID="4038624aeb954f1637307572c9697c58">
  <xsd:schema xmlns:xsd="http://www.w3.org/2001/XMLSchema" xmlns:xs="http://www.w3.org/2001/XMLSchema" xmlns:p="http://schemas.microsoft.com/office/2006/metadata/properties" xmlns:ns2="45dc5a50-07a2-4cb9-bbf7-a320b1acc4d8" targetNamespace="http://schemas.microsoft.com/office/2006/metadata/properties" ma:root="true" ma:fieldsID="640fe3d44376c3eeaabead61cbc0f099" ns2:_="">
    <xsd:import namespace="45dc5a50-07a2-4cb9-bbf7-a320b1acc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c5a50-07a2-4cb9-bbf7-a320b1ac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customXml/itemProps2.xml><?xml version="1.0" encoding="utf-8"?>
<ds:datastoreItem xmlns:ds="http://schemas.openxmlformats.org/officeDocument/2006/customXml" ds:itemID="{90E3AE16-18A7-43D6-B070-877F26DB338C}">
  <ds:schemaRefs>
    <ds:schemaRef ds:uri="http://schemas.microsoft.com/sharepoint/v3/contenttype/forms"/>
  </ds:schemaRefs>
</ds:datastoreItem>
</file>

<file path=customXml/itemProps3.xml><?xml version="1.0" encoding="utf-8"?>
<ds:datastoreItem xmlns:ds="http://schemas.openxmlformats.org/officeDocument/2006/customXml" ds:itemID="{CFCBF144-D934-4A1F-AAFC-C95E0F26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c5a50-07a2-4cb9-bbf7-a320b1ac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1393</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CWS/12/25</vt:lpstr>
    </vt:vector>
  </TitlesOfParts>
  <Company>WIPO</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CWS/12/3</dc:title>
  <dc:subject>Report by the International Bureau on the provision of technical advice and assistance for capacity building to industrial property offices in connection with the mandate of the CWS</dc:subject>
  <dc:creator>WIPO</dc:creator>
  <cp:keywords>اللجنة المعنية بمعايير الويبو (لجنة المعايير) الدورة الثانية عشرة</cp:keywords>
  <dc:description/>
  <cp:lastModifiedBy>BLANCHET Gaspard</cp:lastModifiedBy>
  <cp:revision>9</cp:revision>
  <cp:lastPrinted>2024-08-19T08:21:00Z</cp:lastPrinted>
  <dcterms:created xsi:type="dcterms:W3CDTF">2024-08-19T08:18:00Z</dcterms:created>
  <dcterms:modified xsi:type="dcterms:W3CDTF">2024-08-20T09:54:00Z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ies>
</file>