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2B62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1674034" wp14:editId="2116FF4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E360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2126250" w14:textId="54C4742E" w:rsidR="008B2CC1" w:rsidRPr="00D8520D" w:rsidRDefault="0070778E" w:rsidP="00250149">
      <w:pPr>
        <w:bidi w:val="0"/>
        <w:rPr>
          <w:rFonts w:ascii="Arial Black" w:hAnsi="Arial Black"/>
          <w:caps/>
          <w:sz w:val="15"/>
          <w:szCs w:val="15"/>
          <w:rtl/>
        </w:rPr>
      </w:pPr>
      <w:bookmarkStart w:id="0" w:name="Code"/>
      <w:bookmarkEnd w:id="0"/>
      <w:r>
        <w:rPr>
          <w:rFonts w:ascii="Arial Black" w:hAnsi="Arial Black"/>
          <w:caps/>
          <w:sz w:val="15"/>
          <w:szCs w:val="15"/>
        </w:rPr>
        <w:t>CWS/1</w:t>
      </w:r>
      <w:r w:rsidR="00D8520D">
        <w:rPr>
          <w:rFonts w:ascii="Arial Black" w:hAnsi="Arial Black"/>
          <w:caps/>
          <w:sz w:val="15"/>
          <w:szCs w:val="15"/>
        </w:rPr>
        <w:t>2/</w:t>
      </w:r>
      <w:r w:rsidR="003803C8">
        <w:rPr>
          <w:rFonts w:ascii="Arial Black" w:hAnsi="Arial Black"/>
          <w:caps/>
          <w:sz w:val="15"/>
          <w:szCs w:val="15"/>
        </w:rPr>
        <w:t>26</w:t>
      </w:r>
    </w:p>
    <w:p w14:paraId="56526BBB"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F37C4D">
        <w:rPr>
          <w:rFonts w:ascii="Arial Black" w:hAnsi="Arial Black" w:hint="cs"/>
          <w:b/>
          <w:bCs/>
          <w:caps/>
          <w:sz w:val="15"/>
          <w:szCs w:val="15"/>
          <w:rtl/>
        </w:rPr>
        <w:t>بالإنكليزية</w:t>
      </w:r>
    </w:p>
    <w:p w14:paraId="32FBC884" w14:textId="4B1ED50D" w:rsidR="008B2CC1" w:rsidRPr="00D8520D" w:rsidRDefault="00CC3E2D" w:rsidP="00F37C4D">
      <w:pPr>
        <w:spacing w:after="1200"/>
        <w:jc w:val="right"/>
        <w:rPr>
          <w:rFonts w:asciiTheme="minorHAnsi" w:hAnsiTheme="minorHAnsi" w:cstheme="minorHAnsi"/>
          <w:b/>
          <w:bCs/>
          <w:caps/>
          <w:sz w:val="15"/>
          <w:szCs w:val="15"/>
          <w:rtl/>
          <w:lang w:val="fr-FR" w:bidi="ar-SY"/>
        </w:rPr>
      </w:pPr>
      <w:bookmarkStart w:id="2" w:name="Date"/>
      <w:bookmarkEnd w:id="1"/>
      <w:r w:rsidRPr="0070778E">
        <w:rPr>
          <w:rFonts w:asciiTheme="minorHAnsi" w:hAnsiTheme="minorHAnsi" w:cstheme="minorHAnsi" w:hint="cs"/>
          <w:b/>
          <w:bCs/>
          <w:caps/>
          <w:sz w:val="15"/>
          <w:szCs w:val="15"/>
          <w:rtl/>
        </w:rPr>
        <w:t>التاريخ:</w:t>
      </w:r>
      <w:r w:rsidR="00F37C4D">
        <w:rPr>
          <w:rFonts w:asciiTheme="minorHAnsi" w:hAnsiTheme="minorHAnsi" w:cstheme="minorHAnsi" w:hint="cs"/>
          <w:b/>
          <w:bCs/>
          <w:caps/>
          <w:sz w:val="15"/>
          <w:szCs w:val="15"/>
          <w:rtl/>
        </w:rPr>
        <w:t xml:space="preserve"> </w:t>
      </w:r>
      <w:r w:rsidR="009E0E86">
        <w:rPr>
          <w:rFonts w:asciiTheme="minorHAnsi" w:hAnsiTheme="minorHAnsi" w:cstheme="minorHAnsi" w:hint="cs"/>
          <w:b/>
          <w:bCs/>
          <w:caps/>
          <w:sz w:val="15"/>
          <w:szCs w:val="15"/>
          <w:rtl/>
          <w:lang w:bidi="ar-SY"/>
        </w:rPr>
        <w:t>5</w:t>
      </w:r>
      <w:r w:rsidR="00D8520D">
        <w:rPr>
          <w:rFonts w:asciiTheme="minorHAnsi" w:hAnsiTheme="minorHAnsi" w:cstheme="minorHAnsi" w:hint="cs"/>
          <w:b/>
          <w:bCs/>
          <w:caps/>
          <w:sz w:val="15"/>
          <w:szCs w:val="15"/>
          <w:rtl/>
          <w:lang w:bidi="ar-SY"/>
        </w:rPr>
        <w:t xml:space="preserve"> </w:t>
      </w:r>
      <w:r w:rsidR="009E0E86">
        <w:rPr>
          <w:rFonts w:asciiTheme="minorHAnsi" w:hAnsiTheme="minorHAnsi" w:cstheme="minorHAnsi" w:hint="cs"/>
          <w:b/>
          <w:bCs/>
          <w:caps/>
          <w:sz w:val="15"/>
          <w:szCs w:val="15"/>
          <w:rtl/>
          <w:lang w:bidi="ar-SY"/>
        </w:rPr>
        <w:t>أغسطس</w:t>
      </w:r>
      <w:r w:rsidR="00D8520D">
        <w:rPr>
          <w:rFonts w:asciiTheme="minorHAnsi" w:hAnsiTheme="minorHAnsi" w:cstheme="minorHAnsi" w:hint="cs"/>
          <w:b/>
          <w:bCs/>
          <w:caps/>
          <w:sz w:val="15"/>
          <w:szCs w:val="15"/>
          <w:rtl/>
          <w:lang w:bidi="ar-SY"/>
        </w:rPr>
        <w:t xml:space="preserve"> 2024</w:t>
      </w:r>
    </w:p>
    <w:bookmarkEnd w:id="2"/>
    <w:p w14:paraId="004832C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CD14A1E" w14:textId="57D1BCDE"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8520D">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34155FD4" w14:textId="092DC3D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8520D">
        <w:rPr>
          <w:rFonts w:asciiTheme="minorHAnsi" w:hAnsiTheme="minorHAnsi" w:cstheme="minorHAnsi" w:hint="cs"/>
          <w:bCs/>
          <w:sz w:val="24"/>
          <w:szCs w:val="24"/>
          <w:rtl/>
        </w:rPr>
        <w:t>16 إلى19 سبتمبر</w:t>
      </w:r>
      <w:r w:rsidR="00250149">
        <w:rPr>
          <w:rFonts w:asciiTheme="minorHAnsi" w:hAnsiTheme="minorHAnsi" w:cstheme="minorHAnsi" w:hint="cs"/>
          <w:bCs/>
          <w:sz w:val="24"/>
          <w:szCs w:val="24"/>
          <w:rtl/>
        </w:rPr>
        <w:t xml:space="preserve"> </w:t>
      </w:r>
      <w:r w:rsidR="00D8520D">
        <w:rPr>
          <w:rFonts w:asciiTheme="minorHAnsi" w:hAnsiTheme="minorHAnsi" w:cstheme="minorHAnsi" w:hint="cs"/>
          <w:bCs/>
          <w:sz w:val="24"/>
          <w:szCs w:val="24"/>
          <w:rtl/>
        </w:rPr>
        <w:t>2024</w:t>
      </w:r>
    </w:p>
    <w:p w14:paraId="72298675" w14:textId="77777777" w:rsidR="003B2539" w:rsidRPr="00413353" w:rsidRDefault="003B2539" w:rsidP="00C66AB2">
      <w:pPr>
        <w:spacing w:after="360"/>
        <w:outlineLvl w:val="0"/>
        <w:rPr>
          <w:sz w:val="24"/>
          <w:szCs w:val="24"/>
          <w:lang w:bidi="ar-EG"/>
        </w:rPr>
      </w:pPr>
      <w:r w:rsidRPr="00413353">
        <w:rPr>
          <w:sz w:val="24"/>
          <w:szCs w:val="24"/>
          <w:rtl/>
          <w:lang w:bidi="ar-EG"/>
        </w:rPr>
        <w:t xml:space="preserve">تحليل نتائج الدراسة الاستقصائية بشأن تنفيذ معيار الويبو </w:t>
      </w:r>
      <w:r w:rsidRPr="00413353">
        <w:rPr>
          <w:sz w:val="24"/>
          <w:szCs w:val="24"/>
          <w:lang w:bidi="ar-EG"/>
        </w:rPr>
        <w:t>ST.91</w:t>
      </w:r>
    </w:p>
    <w:p w14:paraId="0E41C1BB" w14:textId="7D6A05DE" w:rsidR="00C66AB2" w:rsidRDefault="003B2539" w:rsidP="009E0E86">
      <w:pPr>
        <w:spacing w:after="360"/>
        <w:outlineLvl w:val="0"/>
        <w:rPr>
          <w:i/>
          <w:iCs/>
          <w:lang w:bidi="ar-EG"/>
        </w:rPr>
      </w:pPr>
      <w:r w:rsidRPr="003B2539">
        <w:rPr>
          <w:i/>
          <w:iCs/>
          <w:rtl/>
          <w:lang w:bidi="ar-EG"/>
        </w:rPr>
        <w:t>وثيقة من إعداد الهيئة المشرفة على فرقة العمل المعنية بالنماذج والصور الثلاثية الأبعاد</w:t>
      </w:r>
    </w:p>
    <w:p w14:paraId="6686C7E9" w14:textId="77777777" w:rsidR="0012493D" w:rsidRPr="009E0E86" w:rsidRDefault="0012493D" w:rsidP="009E0E86">
      <w:pPr>
        <w:spacing w:after="360"/>
        <w:outlineLvl w:val="0"/>
        <w:rPr>
          <w:i/>
          <w:iCs/>
          <w:rtl/>
          <w:lang w:bidi="ar-EG"/>
        </w:rPr>
      </w:pPr>
    </w:p>
    <w:p w14:paraId="0F20837C" w14:textId="77777777" w:rsidR="009E0E86" w:rsidRPr="00716489" w:rsidRDefault="009E0E86" w:rsidP="009E6552">
      <w:pPr>
        <w:outlineLvl w:val="0"/>
        <w:rPr>
          <w:b/>
          <w:bCs/>
          <w:sz w:val="26"/>
          <w:szCs w:val="26"/>
          <w:rtl/>
          <w:lang w:bidi="ar-EG"/>
        </w:rPr>
      </w:pPr>
      <w:r w:rsidRPr="00716489">
        <w:rPr>
          <w:b/>
          <w:bCs/>
          <w:sz w:val="26"/>
          <w:szCs w:val="26"/>
          <w:rtl/>
          <w:lang w:bidi="ar-EG"/>
        </w:rPr>
        <w:t>ملخص</w:t>
      </w:r>
    </w:p>
    <w:p w14:paraId="5AD0D228" w14:textId="08EB2C9D" w:rsidR="003B2539" w:rsidRDefault="009E0E86" w:rsidP="003B2539">
      <w:pPr>
        <w:outlineLvl w:val="0"/>
        <w:rPr>
          <w:lang w:bidi="ar-EG"/>
        </w:rPr>
      </w:pPr>
      <w:r w:rsidRPr="005F5C87">
        <w:rPr>
          <w:rtl/>
          <w:lang w:bidi="ar-EG"/>
        </w:rPr>
        <w:t>1.</w:t>
      </w:r>
      <w:r w:rsidR="003B2539">
        <w:rPr>
          <w:lang w:bidi="ar-EG"/>
        </w:rPr>
        <w:tab/>
      </w:r>
      <w:r w:rsidR="003B2539">
        <w:rPr>
          <w:rtl/>
          <w:lang w:bidi="ar-EG"/>
        </w:rPr>
        <w:t xml:space="preserve">حللت فرقة العمل ثلاثية الأبعاد المعنية بالنماذج والصور الثلاثية الأبعاد الردود على الدراسة الاستقصائية بشأن تنفيذ مكاتب الملكية الفكرية لمعيار الويبو </w:t>
      </w:r>
      <w:r w:rsidR="003B2539">
        <w:rPr>
          <w:lang w:bidi="ar-EG"/>
        </w:rPr>
        <w:t>ST.91</w:t>
      </w:r>
      <w:r w:rsidR="003B2539">
        <w:rPr>
          <w:rtl/>
          <w:lang w:bidi="ar-EG"/>
        </w:rPr>
        <w:t xml:space="preserve"> وتقدم تحليلها لنتائج الدراسة الاستقصائية.  </w:t>
      </w:r>
    </w:p>
    <w:p w14:paraId="0BDE3E95" w14:textId="77777777" w:rsidR="003B2539" w:rsidRDefault="003B2539" w:rsidP="003B2539">
      <w:pPr>
        <w:outlineLvl w:val="0"/>
        <w:rPr>
          <w:lang w:bidi="ar-EG"/>
        </w:rPr>
      </w:pPr>
    </w:p>
    <w:p w14:paraId="181B1D21" w14:textId="77777777" w:rsidR="003B2539" w:rsidRPr="003B2539" w:rsidRDefault="003B2539" w:rsidP="003B2539">
      <w:pPr>
        <w:outlineLvl w:val="0"/>
        <w:rPr>
          <w:b/>
          <w:bCs/>
          <w:sz w:val="26"/>
          <w:szCs w:val="26"/>
          <w:lang w:bidi="ar-EG"/>
        </w:rPr>
      </w:pPr>
      <w:r w:rsidRPr="003B2539">
        <w:rPr>
          <w:b/>
          <w:bCs/>
          <w:sz w:val="26"/>
          <w:szCs w:val="26"/>
          <w:rtl/>
          <w:lang w:bidi="ar-EG"/>
        </w:rPr>
        <w:t>معلومات أساسية</w:t>
      </w:r>
    </w:p>
    <w:p w14:paraId="6339313C" w14:textId="3540CDEB" w:rsidR="003B2539" w:rsidRDefault="003B2539" w:rsidP="003B2539">
      <w:pPr>
        <w:outlineLvl w:val="0"/>
        <w:rPr>
          <w:lang w:bidi="ar-EG"/>
        </w:rPr>
      </w:pPr>
      <w:r>
        <w:rPr>
          <w:rtl/>
          <w:lang w:bidi="ar-EG"/>
        </w:rPr>
        <w:t xml:space="preserve">2. </w:t>
      </w:r>
      <w:r>
        <w:rPr>
          <w:lang w:bidi="ar-EG"/>
        </w:rPr>
        <w:tab/>
      </w:r>
      <w:r>
        <w:rPr>
          <w:rtl/>
          <w:lang w:bidi="ar-EG"/>
        </w:rPr>
        <w:t xml:space="preserve">وافقت اللجنة المعنية بمعايير الويبو (لجنة المعايير) في دورتها الحادية عشرة المعقودة في ديسمبر 2023 على </w:t>
      </w:r>
      <w:r w:rsidR="008B4EC1">
        <w:rPr>
          <w:rFonts w:hint="cs"/>
          <w:rtl/>
          <w:lang w:bidi="ar-EG"/>
        </w:rPr>
        <w:t>الاستبيان</w:t>
      </w:r>
      <w:r>
        <w:rPr>
          <w:rtl/>
          <w:lang w:bidi="ar-EG"/>
        </w:rPr>
        <w:t xml:space="preserve"> المتعلق بتنفيذ مكاتب الملكية الفكرية لمعيار الويبو </w:t>
      </w:r>
      <w:r>
        <w:rPr>
          <w:lang w:bidi="ar-EG"/>
        </w:rPr>
        <w:t>ST.91</w:t>
      </w:r>
      <w:r>
        <w:rPr>
          <w:rtl/>
          <w:lang w:bidi="ar-EG"/>
        </w:rPr>
        <w:t xml:space="preserve">. والتمست لجنة المعايير من الأمانة أن تصدر تعميما تدعو فيه مكاتب الملكية الفكرية إلى الرد على هذه الدراسة الاستقصائية (انظر الفقرة 87 من الوثيقة </w:t>
      </w:r>
      <w:r>
        <w:rPr>
          <w:lang w:bidi="ar-EG"/>
        </w:rPr>
        <w:t>CWS/11/27</w:t>
      </w:r>
      <w:r>
        <w:rPr>
          <w:rtl/>
          <w:lang w:bidi="ar-EG"/>
        </w:rPr>
        <w:t>).</w:t>
      </w:r>
    </w:p>
    <w:p w14:paraId="53C1673C" w14:textId="77777777" w:rsidR="003B2539" w:rsidRDefault="003B2539" w:rsidP="003B2539">
      <w:pPr>
        <w:outlineLvl w:val="0"/>
        <w:rPr>
          <w:lang w:bidi="ar-EG"/>
        </w:rPr>
      </w:pPr>
    </w:p>
    <w:p w14:paraId="2422B81F" w14:textId="77777777" w:rsidR="003B2539" w:rsidRPr="003B2539" w:rsidRDefault="003B2539" w:rsidP="003B2539">
      <w:pPr>
        <w:outlineLvl w:val="0"/>
        <w:rPr>
          <w:b/>
          <w:bCs/>
          <w:sz w:val="26"/>
          <w:szCs w:val="26"/>
          <w:lang w:bidi="ar-EG"/>
        </w:rPr>
      </w:pPr>
      <w:r w:rsidRPr="003B2539">
        <w:rPr>
          <w:b/>
          <w:bCs/>
          <w:sz w:val="26"/>
          <w:szCs w:val="26"/>
          <w:rtl/>
          <w:lang w:bidi="ar-EG"/>
        </w:rPr>
        <w:t>نتائج الدراسة الاستقصائية</w:t>
      </w:r>
    </w:p>
    <w:p w14:paraId="62FE3143" w14:textId="019C4917" w:rsidR="003B2539" w:rsidRDefault="003B2539" w:rsidP="003B2539">
      <w:pPr>
        <w:outlineLvl w:val="0"/>
        <w:rPr>
          <w:lang w:bidi="ar-EG"/>
        </w:rPr>
      </w:pPr>
      <w:r>
        <w:rPr>
          <w:rtl/>
          <w:lang w:bidi="ar-EG"/>
        </w:rPr>
        <w:t>3.</w:t>
      </w:r>
      <w:r>
        <w:rPr>
          <w:lang w:bidi="ar-EG"/>
        </w:rPr>
        <w:tab/>
      </w:r>
      <w:r>
        <w:rPr>
          <w:rtl/>
          <w:lang w:bidi="ar-EG"/>
        </w:rPr>
        <w:t xml:space="preserve">في مارس 2024، أصدرت الأمانة التعميم </w:t>
      </w:r>
      <w:r>
        <w:rPr>
          <w:lang w:bidi="ar-EG"/>
        </w:rPr>
        <w:t>C.CWS.179</w:t>
      </w:r>
      <w:r>
        <w:rPr>
          <w:rtl/>
          <w:lang w:bidi="ar-EG"/>
        </w:rPr>
        <w:t xml:space="preserve"> داعيةً فيه مكاتب الملكية الفكرية إلى المشاركة في الدراسة الاستقصائية بشأن تنفيذ معيار الويبو </w:t>
      </w:r>
      <w:r>
        <w:rPr>
          <w:lang w:bidi="ar-EG"/>
        </w:rPr>
        <w:t>ST.91</w:t>
      </w:r>
      <w:r>
        <w:rPr>
          <w:rtl/>
          <w:lang w:bidi="ar-EG"/>
        </w:rPr>
        <w:t>. وأُجري الاستطلاع في الفترة من مارس إلى أبريل 2024.</w:t>
      </w:r>
    </w:p>
    <w:p w14:paraId="73A5C61B" w14:textId="77777777" w:rsidR="003B2539" w:rsidRDefault="003B2539" w:rsidP="003B2539">
      <w:pPr>
        <w:outlineLvl w:val="0"/>
        <w:rPr>
          <w:lang w:bidi="ar-EG"/>
        </w:rPr>
      </w:pPr>
    </w:p>
    <w:p w14:paraId="4CB4B36D" w14:textId="04CACBA4" w:rsidR="003B2539" w:rsidRDefault="003B2539" w:rsidP="003B2539">
      <w:pPr>
        <w:outlineLvl w:val="0"/>
        <w:rPr>
          <w:lang w:bidi="ar-EG"/>
        </w:rPr>
      </w:pPr>
      <w:r>
        <w:rPr>
          <w:rtl/>
          <w:lang w:bidi="ar-EG"/>
        </w:rPr>
        <w:t>4.</w:t>
      </w:r>
      <w:r>
        <w:rPr>
          <w:lang w:bidi="ar-EG"/>
        </w:rPr>
        <w:tab/>
      </w:r>
      <w:r>
        <w:rPr>
          <w:rtl/>
          <w:lang w:bidi="ar-EG"/>
        </w:rPr>
        <w:t>شارك في الدراسة الاستقصائية أعضاء اللجنة البالغ عددهم 22 عضوا:  مكاتب من الدول الأعضاء التالية - أستراليا (</w:t>
      </w:r>
      <w:r>
        <w:rPr>
          <w:lang w:bidi="ar-EG"/>
        </w:rPr>
        <w:t>AU</w:t>
      </w:r>
      <w:r>
        <w:rPr>
          <w:rtl/>
          <w:lang w:bidi="ar-EG"/>
        </w:rPr>
        <w:t>) وبوتان (</w:t>
      </w:r>
      <w:r>
        <w:rPr>
          <w:lang w:bidi="ar-EG"/>
        </w:rPr>
        <w:t>BT</w:t>
      </w:r>
      <w:r>
        <w:rPr>
          <w:rtl/>
          <w:lang w:bidi="ar-EG"/>
        </w:rPr>
        <w:t>) وبلغاريا (</w:t>
      </w:r>
      <w:r>
        <w:rPr>
          <w:lang w:bidi="ar-EG"/>
        </w:rPr>
        <w:t>BG</w:t>
      </w:r>
      <w:r>
        <w:rPr>
          <w:rtl/>
          <w:lang w:bidi="ar-EG"/>
        </w:rPr>
        <w:t>) وكندا (</w:t>
      </w:r>
      <w:r>
        <w:rPr>
          <w:lang w:bidi="ar-EG"/>
        </w:rPr>
        <w:t>CA</w:t>
      </w:r>
      <w:r>
        <w:rPr>
          <w:rtl/>
          <w:lang w:bidi="ar-EG"/>
        </w:rPr>
        <w:t>) وكرواتيا (</w:t>
      </w:r>
      <w:r>
        <w:rPr>
          <w:lang w:bidi="ar-EG"/>
        </w:rPr>
        <w:t>HR</w:t>
      </w:r>
      <w:r>
        <w:rPr>
          <w:rtl/>
          <w:lang w:bidi="ar-EG"/>
        </w:rPr>
        <w:t>) والجمهورية التشيكية (</w:t>
      </w:r>
      <w:r>
        <w:rPr>
          <w:lang w:bidi="ar-EG"/>
        </w:rPr>
        <w:t>CZ</w:t>
      </w:r>
      <w:r>
        <w:rPr>
          <w:rtl/>
          <w:lang w:bidi="ar-EG"/>
        </w:rPr>
        <w:t>) وإستونيا (</w:t>
      </w:r>
      <w:r>
        <w:rPr>
          <w:lang w:bidi="ar-EG"/>
        </w:rPr>
        <w:t>EE</w:t>
      </w:r>
      <w:r>
        <w:rPr>
          <w:rtl/>
          <w:lang w:bidi="ar-EG"/>
        </w:rPr>
        <w:t>) وغامبيا (</w:t>
      </w:r>
      <w:r>
        <w:rPr>
          <w:lang w:bidi="ar-EG"/>
        </w:rPr>
        <w:t>GM</w:t>
      </w:r>
      <w:r>
        <w:rPr>
          <w:rtl/>
          <w:lang w:bidi="ar-EG"/>
        </w:rPr>
        <w:t>) وألمانيا (</w:t>
      </w:r>
      <w:r>
        <w:rPr>
          <w:lang w:bidi="ar-EG"/>
        </w:rPr>
        <w:t>DE</w:t>
      </w:r>
      <w:r>
        <w:rPr>
          <w:rtl/>
          <w:lang w:bidi="ar-EG"/>
        </w:rPr>
        <w:t>) والمجر(</w:t>
      </w:r>
      <w:r>
        <w:rPr>
          <w:lang w:bidi="ar-EG"/>
        </w:rPr>
        <w:t>HU</w:t>
      </w:r>
      <w:r>
        <w:rPr>
          <w:rtl/>
          <w:lang w:bidi="ar-EG"/>
        </w:rPr>
        <w:t>) وإيطاليا (</w:t>
      </w:r>
      <w:r>
        <w:rPr>
          <w:lang w:bidi="ar-EG"/>
        </w:rPr>
        <w:t>IT</w:t>
      </w:r>
      <w:r>
        <w:rPr>
          <w:rtl/>
          <w:lang w:bidi="ar-EG"/>
        </w:rPr>
        <w:t>) واليابان (</w:t>
      </w:r>
      <w:r>
        <w:rPr>
          <w:lang w:bidi="ar-EG"/>
        </w:rPr>
        <w:t>JP</w:t>
      </w:r>
      <w:r>
        <w:rPr>
          <w:rtl/>
          <w:lang w:bidi="ar-EG"/>
        </w:rPr>
        <w:t>) وليتوانيا (</w:t>
      </w:r>
      <w:r>
        <w:rPr>
          <w:lang w:bidi="ar-EG"/>
        </w:rPr>
        <w:t>LT</w:t>
      </w:r>
      <w:r>
        <w:rPr>
          <w:rtl/>
          <w:lang w:bidi="ar-EG"/>
        </w:rPr>
        <w:t>) وناميبيا (</w:t>
      </w:r>
      <w:r>
        <w:rPr>
          <w:lang w:bidi="ar-EG"/>
        </w:rPr>
        <w:t>NA</w:t>
      </w:r>
      <w:r>
        <w:rPr>
          <w:rtl/>
          <w:lang w:bidi="ar-EG"/>
        </w:rPr>
        <w:t>) وجمهورية كوريا (</w:t>
      </w:r>
      <w:r>
        <w:rPr>
          <w:lang w:bidi="ar-EG"/>
        </w:rPr>
        <w:t>KR</w:t>
      </w:r>
      <w:r>
        <w:rPr>
          <w:rtl/>
          <w:lang w:bidi="ar-EG"/>
        </w:rPr>
        <w:t>) والاتحاد الروسي (</w:t>
      </w:r>
      <w:r>
        <w:rPr>
          <w:lang w:bidi="ar-EG"/>
        </w:rPr>
        <w:t>RU</w:t>
      </w:r>
      <w:r>
        <w:rPr>
          <w:rtl/>
          <w:lang w:bidi="ar-EG"/>
        </w:rPr>
        <w:t>) وسلوفاكيا (</w:t>
      </w:r>
      <w:r>
        <w:rPr>
          <w:lang w:bidi="ar-EG"/>
        </w:rPr>
        <w:t>SK</w:t>
      </w:r>
      <w:r>
        <w:rPr>
          <w:rtl/>
          <w:lang w:bidi="ar-EG"/>
        </w:rPr>
        <w:t>) والجمهورية العربية السورية (</w:t>
      </w:r>
      <w:r>
        <w:rPr>
          <w:lang w:bidi="ar-EG"/>
        </w:rPr>
        <w:t>SY</w:t>
      </w:r>
      <w:r>
        <w:rPr>
          <w:rtl/>
          <w:lang w:bidi="ar-EG"/>
        </w:rPr>
        <w:t>) والمملكة المتحدة (</w:t>
      </w:r>
      <w:r>
        <w:rPr>
          <w:lang w:bidi="ar-EG"/>
        </w:rPr>
        <w:t>GB</w:t>
      </w:r>
      <w:r>
        <w:rPr>
          <w:rtl/>
          <w:lang w:bidi="ar-EG"/>
        </w:rPr>
        <w:t>)؛ والمكاتب الإقليمية التالية - المكتب الأوروبي الآسيوي للبراءات (</w:t>
      </w:r>
      <w:r>
        <w:rPr>
          <w:lang w:bidi="ar-EG"/>
        </w:rPr>
        <w:t>EA</w:t>
      </w:r>
      <w:r>
        <w:rPr>
          <w:rtl/>
          <w:lang w:bidi="ar-EG"/>
        </w:rPr>
        <w:t>) والمكتب الأوروبي للبراءات (</w:t>
      </w:r>
      <w:r>
        <w:rPr>
          <w:lang w:bidi="ar-EG"/>
        </w:rPr>
        <w:t>EP</w:t>
      </w:r>
      <w:r>
        <w:rPr>
          <w:rtl/>
          <w:lang w:bidi="ar-EG"/>
        </w:rPr>
        <w:t>) ومكتب الاتحاد الأوروبي للملكية الفكرية (</w:t>
      </w:r>
      <w:r>
        <w:rPr>
          <w:lang w:bidi="ar-EG"/>
        </w:rPr>
        <w:t>EM</w:t>
      </w:r>
      <w:r>
        <w:rPr>
          <w:rtl/>
          <w:lang w:bidi="ar-EG"/>
        </w:rPr>
        <w:t>). وستنشر الأمانة تلك الردود الفردية من مكاتب الملكية الفكرية والردود المجمعة في الجزء 7 من دليل الويبو بمجرد ترجمة جميع الردود وتنسيقها.</w:t>
      </w:r>
    </w:p>
    <w:p w14:paraId="4B543F81" w14:textId="77777777" w:rsidR="003B2539" w:rsidRDefault="003B2539" w:rsidP="003B2539">
      <w:pPr>
        <w:outlineLvl w:val="0"/>
        <w:rPr>
          <w:lang w:bidi="ar-EG"/>
        </w:rPr>
      </w:pPr>
    </w:p>
    <w:p w14:paraId="7A1508B5" w14:textId="77777777" w:rsidR="003B2539" w:rsidRPr="003B2539" w:rsidRDefault="003B2539" w:rsidP="003B2539">
      <w:pPr>
        <w:outlineLvl w:val="0"/>
        <w:rPr>
          <w:b/>
          <w:bCs/>
          <w:sz w:val="26"/>
          <w:szCs w:val="26"/>
          <w:lang w:bidi="ar-EG"/>
        </w:rPr>
      </w:pPr>
      <w:r>
        <w:rPr>
          <w:rtl/>
          <w:lang w:bidi="ar-EG"/>
        </w:rPr>
        <w:t xml:space="preserve"> </w:t>
      </w:r>
      <w:r w:rsidRPr="003B2539">
        <w:rPr>
          <w:b/>
          <w:bCs/>
          <w:sz w:val="26"/>
          <w:szCs w:val="26"/>
          <w:rtl/>
          <w:lang w:bidi="ar-EG"/>
        </w:rPr>
        <w:t>تحليل الدراسة الاستقصائية</w:t>
      </w:r>
    </w:p>
    <w:p w14:paraId="13FC0796" w14:textId="78F4766E" w:rsidR="003B2539" w:rsidRDefault="003B2539" w:rsidP="003B2539">
      <w:pPr>
        <w:outlineLvl w:val="0"/>
        <w:rPr>
          <w:lang w:bidi="ar-EG"/>
        </w:rPr>
      </w:pPr>
      <w:r>
        <w:rPr>
          <w:rtl/>
          <w:lang w:bidi="ar-EG"/>
        </w:rPr>
        <w:t>5.</w:t>
      </w:r>
      <w:r>
        <w:rPr>
          <w:lang w:bidi="ar-EG"/>
        </w:rPr>
        <w:tab/>
      </w:r>
      <w:r>
        <w:rPr>
          <w:rtl/>
          <w:lang w:bidi="ar-EG"/>
        </w:rPr>
        <w:t>زودت الأمانة رئيس فرقة العمل المعنية بالنماذج والصور الثلاثية الأبعاد بالردود على الدراسة الاستقصائية لتحليلها. ويقدم المشرف على فرقة العمل أدناه التحليل لكي تنظر فيه لجنة المعايير.</w:t>
      </w:r>
    </w:p>
    <w:p w14:paraId="452B1068" w14:textId="77777777" w:rsidR="003B2539" w:rsidRDefault="003B2539" w:rsidP="003B2539">
      <w:pPr>
        <w:outlineLvl w:val="0"/>
        <w:rPr>
          <w:lang w:bidi="ar-EG"/>
        </w:rPr>
      </w:pPr>
    </w:p>
    <w:p w14:paraId="46BBB479" w14:textId="202136C8" w:rsidR="003B2539" w:rsidRDefault="003B2539" w:rsidP="003B2539">
      <w:pPr>
        <w:outlineLvl w:val="0"/>
        <w:rPr>
          <w:lang w:bidi="ar-EG"/>
        </w:rPr>
      </w:pPr>
      <w:r>
        <w:rPr>
          <w:rtl/>
          <w:lang w:bidi="ar-EG"/>
        </w:rPr>
        <w:t>6.</w:t>
      </w:r>
      <w:r>
        <w:rPr>
          <w:lang w:bidi="ar-EG"/>
        </w:rPr>
        <w:tab/>
      </w:r>
      <w:r>
        <w:rPr>
          <w:rtl/>
          <w:lang w:bidi="ar-EG"/>
        </w:rPr>
        <w:t xml:space="preserve">من بين الردود، أشار 12 مجيبا (55 في المائة) إلى أنهم ما زالوا لا يستخدمون نماذج ثلاثية الأبعاد أو صورا ثلاثية الأبعاد أو هياكل كيميائية ثلاثية الأبعاد؛ وأشار تسعة (41 في المائة) إلى استخدامها؛ وأشار واحد (خمسة بالمائة) إلى حالة استخدام خاصة في رده.  </w:t>
      </w:r>
    </w:p>
    <w:p w14:paraId="5A14149D" w14:textId="77777777" w:rsidR="003B2539" w:rsidRDefault="003B2539" w:rsidP="003B2539">
      <w:pPr>
        <w:outlineLvl w:val="0"/>
        <w:rPr>
          <w:lang w:bidi="ar-EG"/>
        </w:rPr>
      </w:pPr>
    </w:p>
    <w:p w14:paraId="2A075B87" w14:textId="44CBC83E" w:rsidR="003B2539" w:rsidRDefault="003B2539" w:rsidP="003B2539">
      <w:pPr>
        <w:outlineLvl w:val="0"/>
        <w:rPr>
          <w:lang w:bidi="ar-EG"/>
        </w:rPr>
      </w:pPr>
      <w:r>
        <w:rPr>
          <w:rtl/>
          <w:lang w:bidi="ar-EG"/>
        </w:rPr>
        <w:t>7.</w:t>
      </w:r>
      <w:r>
        <w:rPr>
          <w:lang w:bidi="ar-EG"/>
        </w:rPr>
        <w:tab/>
      </w:r>
      <w:r>
        <w:rPr>
          <w:rtl/>
          <w:lang w:bidi="ar-EG"/>
        </w:rPr>
        <w:t xml:space="preserve">من بين المجيبين الذين يستخدمون نماذج ثلاثية الأبعاد أو صورا أو تركيبات كيميائية في </w:t>
      </w:r>
      <w:r>
        <w:rPr>
          <w:rFonts w:hint="cs"/>
          <w:rtl/>
          <w:lang w:bidi="ar-EG"/>
        </w:rPr>
        <w:t>ممارساتهم: 67</w:t>
      </w:r>
      <w:r>
        <w:rPr>
          <w:rtl/>
          <w:lang w:bidi="ar-EG"/>
        </w:rPr>
        <w:t xml:space="preserve"> في المائة يستخدمون التقنية ثلاثية الأبعاد للتصاميم الصناعية، و56 في المائة يستخدمون التقنية ثلاثية الأبعاد للعلامات التجارية، و44 في المائة يستخدمون التقنية ثلاثية الأبعاد للبراءات، و22 في المائة يستخدمون التقنية ثلاثية الأبعاد لنماذج المنفعة؛ ويستخدم 22 في المائة التقنية ثلاثية الأبعاد لحقوق الملكية الفكرية الأخرى.    </w:t>
      </w:r>
    </w:p>
    <w:p w14:paraId="55170347" w14:textId="77777777" w:rsidR="003B2539" w:rsidRDefault="003B2539" w:rsidP="003B2539">
      <w:pPr>
        <w:outlineLvl w:val="0"/>
        <w:rPr>
          <w:lang w:bidi="ar-EG"/>
        </w:rPr>
      </w:pPr>
    </w:p>
    <w:p w14:paraId="774F0E26" w14:textId="58CDDC8C" w:rsidR="003B2539" w:rsidRDefault="003B2539" w:rsidP="003B2539">
      <w:pPr>
        <w:outlineLvl w:val="0"/>
        <w:rPr>
          <w:lang w:bidi="ar-EG"/>
        </w:rPr>
      </w:pPr>
      <w:r>
        <w:rPr>
          <w:rtl/>
          <w:lang w:bidi="ar-EG"/>
        </w:rPr>
        <w:t>8.</w:t>
      </w:r>
      <w:r>
        <w:rPr>
          <w:lang w:bidi="ar-EG"/>
        </w:rPr>
        <w:tab/>
      </w:r>
      <w:r>
        <w:rPr>
          <w:rtl/>
          <w:lang w:bidi="ar-EG"/>
        </w:rPr>
        <w:t xml:space="preserve">من الهام أيضا ملاحظة أن الأغلبية (64 في المائة) من بين المكاتب المجيبة لا تنفذ معيار الويبو </w:t>
      </w:r>
      <w:r>
        <w:rPr>
          <w:lang w:bidi="ar-EG"/>
        </w:rPr>
        <w:t>ST.91</w:t>
      </w:r>
      <w:r>
        <w:rPr>
          <w:rtl/>
          <w:lang w:bidi="ar-EG"/>
        </w:rPr>
        <w:t xml:space="preserve"> بينما ينفذ 27 في المائة المعيار جزئيا وينفذه 9 في المائة تنفيذا كاملا.</w:t>
      </w:r>
    </w:p>
    <w:p w14:paraId="776A2932" w14:textId="77777777" w:rsidR="003B2539" w:rsidRDefault="003B2539" w:rsidP="003B2539">
      <w:pPr>
        <w:outlineLvl w:val="0"/>
        <w:rPr>
          <w:lang w:bidi="ar-EG"/>
        </w:rPr>
      </w:pPr>
    </w:p>
    <w:p w14:paraId="2EDECC47" w14:textId="3EBB50C9" w:rsidR="003B2539" w:rsidRDefault="003B2539" w:rsidP="003B2539">
      <w:pPr>
        <w:outlineLvl w:val="0"/>
        <w:rPr>
          <w:lang w:bidi="ar-EG"/>
        </w:rPr>
      </w:pPr>
      <w:r>
        <w:rPr>
          <w:rtl/>
          <w:lang w:bidi="ar-EG"/>
        </w:rPr>
        <w:t>9.</w:t>
      </w:r>
      <w:r>
        <w:rPr>
          <w:lang w:bidi="ar-EG"/>
        </w:rPr>
        <w:tab/>
      </w:r>
      <w:r>
        <w:rPr>
          <w:rtl/>
          <w:lang w:bidi="ar-EG"/>
        </w:rPr>
        <w:t xml:space="preserve">فيما يتعلق باستخدام أنساق الملفات التي أوصى بها معيار الويبو </w:t>
      </w:r>
      <w:r>
        <w:rPr>
          <w:lang w:bidi="ar-EG"/>
        </w:rPr>
        <w:t>ST.91</w:t>
      </w:r>
      <w:r>
        <w:rPr>
          <w:rtl/>
          <w:lang w:bidi="ar-EG"/>
        </w:rPr>
        <w:t xml:space="preserve"> والتي تتلقاها مكاتب الملكية الفكرية حاليا:</w:t>
      </w:r>
    </w:p>
    <w:p w14:paraId="28AA670C" w14:textId="77777777" w:rsidR="00EE5B86" w:rsidRDefault="00EE5B86" w:rsidP="003B2539">
      <w:pPr>
        <w:outlineLvl w:val="0"/>
        <w:rPr>
          <w:lang w:bidi="ar-EG"/>
        </w:rPr>
      </w:pPr>
    </w:p>
    <w:tbl>
      <w:tblPr>
        <w:tblStyle w:val="TableGrid"/>
        <w:bidiVisual/>
        <w:tblW w:w="0" w:type="auto"/>
        <w:tblLook w:val="04A0" w:firstRow="1" w:lastRow="0" w:firstColumn="1" w:lastColumn="0" w:noHBand="0" w:noVBand="1"/>
      </w:tblPr>
      <w:tblGrid>
        <w:gridCol w:w="4672"/>
        <w:gridCol w:w="4673"/>
      </w:tblGrid>
      <w:tr w:rsidR="00EE5B86" w:rsidRPr="00F36809" w14:paraId="5B03E278" w14:textId="77777777" w:rsidTr="00F36809">
        <w:tc>
          <w:tcPr>
            <w:tcW w:w="4672" w:type="dxa"/>
            <w:shd w:val="clear" w:color="auto" w:fill="D9D9D9" w:themeFill="background1" w:themeFillShade="D9"/>
          </w:tcPr>
          <w:p w14:paraId="4CE198FD"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حق الملكية الفكرية</w:t>
            </w:r>
          </w:p>
        </w:tc>
        <w:tc>
          <w:tcPr>
            <w:tcW w:w="4673" w:type="dxa"/>
            <w:shd w:val="clear" w:color="auto" w:fill="D9D9D9" w:themeFill="background1" w:themeFillShade="D9"/>
          </w:tcPr>
          <w:p w14:paraId="05B71095"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نسق الملف الأكثر استخداما (مدرجة بالترتيب)</w:t>
            </w:r>
          </w:p>
        </w:tc>
      </w:tr>
      <w:tr w:rsidR="00EE5B86" w:rsidRPr="00F36809" w14:paraId="74ABF707" w14:textId="77777777" w:rsidTr="00F36809">
        <w:tc>
          <w:tcPr>
            <w:tcW w:w="4672" w:type="dxa"/>
          </w:tcPr>
          <w:p w14:paraId="3F13F43B"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العلامة التجارية</w:t>
            </w:r>
          </w:p>
        </w:tc>
        <w:tc>
          <w:tcPr>
            <w:tcW w:w="4673" w:type="dxa"/>
          </w:tcPr>
          <w:p w14:paraId="7B8D3EB7"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 xml:space="preserve">نسق </w:t>
            </w:r>
            <w:r w:rsidRPr="00F36809">
              <w:rPr>
                <w:rFonts w:asciiTheme="minorHAnsi" w:hAnsiTheme="minorHAnsi" w:cstheme="minorHAnsi"/>
              </w:rPr>
              <w:t>OBJ</w:t>
            </w:r>
            <w:r w:rsidRPr="00F36809">
              <w:rPr>
                <w:rFonts w:asciiTheme="minorHAnsi" w:hAnsiTheme="minorHAnsi" w:cstheme="minorHAnsi"/>
                <w:rtl/>
              </w:rPr>
              <w:t xml:space="preserve"> ونسق </w:t>
            </w:r>
            <w:r w:rsidRPr="00F36809">
              <w:rPr>
                <w:rFonts w:asciiTheme="minorHAnsi" w:hAnsiTheme="minorHAnsi" w:cstheme="minorHAnsi"/>
              </w:rPr>
              <w:t>STL</w:t>
            </w:r>
            <w:r w:rsidRPr="00F36809">
              <w:rPr>
                <w:rFonts w:asciiTheme="minorHAnsi" w:hAnsiTheme="minorHAnsi" w:cstheme="minorHAnsi"/>
                <w:rtl/>
              </w:rPr>
              <w:t xml:space="preserve"> ونسق </w:t>
            </w:r>
            <w:r w:rsidRPr="00F36809">
              <w:rPr>
                <w:rFonts w:asciiTheme="minorHAnsi" w:hAnsiTheme="minorHAnsi" w:cstheme="minorHAnsi"/>
              </w:rPr>
              <w:t>3D PDF</w:t>
            </w:r>
            <w:r w:rsidRPr="00F36809">
              <w:rPr>
                <w:rFonts w:asciiTheme="minorHAnsi" w:hAnsiTheme="minorHAnsi" w:cstheme="minorHAnsi"/>
                <w:rtl/>
              </w:rPr>
              <w:t>.</w:t>
            </w:r>
          </w:p>
        </w:tc>
      </w:tr>
      <w:tr w:rsidR="00EE5B86" w:rsidRPr="00F36809" w14:paraId="5AF2268A" w14:textId="77777777" w:rsidTr="00F36809">
        <w:tc>
          <w:tcPr>
            <w:tcW w:w="4672" w:type="dxa"/>
          </w:tcPr>
          <w:p w14:paraId="0430ADD3"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التصاميم الصناعية</w:t>
            </w:r>
          </w:p>
        </w:tc>
        <w:tc>
          <w:tcPr>
            <w:tcW w:w="4673" w:type="dxa"/>
          </w:tcPr>
          <w:p w14:paraId="5A8928E1"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 xml:space="preserve">نسق </w:t>
            </w:r>
            <w:r w:rsidRPr="00F36809">
              <w:rPr>
                <w:rFonts w:asciiTheme="minorHAnsi" w:hAnsiTheme="minorHAnsi" w:cstheme="minorHAnsi"/>
              </w:rPr>
              <w:t>3D PDF</w:t>
            </w:r>
            <w:r w:rsidRPr="00F36809">
              <w:rPr>
                <w:rFonts w:asciiTheme="minorHAnsi" w:hAnsiTheme="minorHAnsi" w:cstheme="minorHAnsi"/>
                <w:rtl/>
              </w:rPr>
              <w:t xml:space="preserve"> ونسق </w:t>
            </w:r>
            <w:r w:rsidRPr="00F36809">
              <w:rPr>
                <w:rFonts w:asciiTheme="minorHAnsi" w:hAnsiTheme="minorHAnsi" w:cstheme="minorHAnsi"/>
              </w:rPr>
              <w:t>OBJ</w:t>
            </w:r>
            <w:r w:rsidRPr="00F36809">
              <w:rPr>
                <w:rFonts w:asciiTheme="minorHAnsi" w:hAnsiTheme="minorHAnsi" w:cstheme="minorHAnsi"/>
                <w:rtl/>
              </w:rPr>
              <w:t xml:space="preserve"> ونسق </w:t>
            </w:r>
            <w:r w:rsidRPr="00F36809">
              <w:rPr>
                <w:rFonts w:asciiTheme="minorHAnsi" w:hAnsiTheme="minorHAnsi" w:cstheme="minorHAnsi"/>
              </w:rPr>
              <w:t>STL</w:t>
            </w:r>
            <w:r w:rsidRPr="00F36809">
              <w:rPr>
                <w:rFonts w:asciiTheme="minorHAnsi" w:hAnsiTheme="minorHAnsi" w:cstheme="minorHAnsi"/>
                <w:rtl/>
              </w:rPr>
              <w:t xml:space="preserve"> ونسق </w:t>
            </w:r>
            <w:r w:rsidRPr="00F36809">
              <w:rPr>
                <w:rFonts w:asciiTheme="minorHAnsi" w:hAnsiTheme="minorHAnsi" w:cstheme="minorHAnsi"/>
              </w:rPr>
              <w:t>STEP</w:t>
            </w:r>
            <w:r w:rsidRPr="00F36809">
              <w:rPr>
                <w:rFonts w:asciiTheme="minorHAnsi" w:hAnsiTheme="minorHAnsi" w:cstheme="minorHAnsi"/>
                <w:rtl/>
              </w:rPr>
              <w:t>.</w:t>
            </w:r>
          </w:p>
        </w:tc>
      </w:tr>
      <w:tr w:rsidR="00EE5B86" w:rsidRPr="00F36809" w14:paraId="00718E93" w14:textId="77777777" w:rsidTr="00F36809">
        <w:tc>
          <w:tcPr>
            <w:tcW w:w="4672" w:type="dxa"/>
          </w:tcPr>
          <w:p w14:paraId="16BD5E11"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البراءة (بما في ذلك التركيبات الكيميائية)</w:t>
            </w:r>
          </w:p>
        </w:tc>
        <w:tc>
          <w:tcPr>
            <w:tcW w:w="4673" w:type="dxa"/>
          </w:tcPr>
          <w:p w14:paraId="79CE7529"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 xml:space="preserve">نسق </w:t>
            </w:r>
            <w:r w:rsidRPr="00F36809">
              <w:rPr>
                <w:rFonts w:asciiTheme="minorHAnsi" w:hAnsiTheme="minorHAnsi" w:cstheme="minorHAnsi"/>
              </w:rPr>
              <w:t>3D PDF</w:t>
            </w:r>
            <w:r w:rsidRPr="00F36809">
              <w:rPr>
                <w:rFonts w:asciiTheme="minorHAnsi" w:hAnsiTheme="minorHAnsi" w:cstheme="minorHAnsi"/>
                <w:rtl/>
              </w:rPr>
              <w:t xml:space="preserve"> ونسق </w:t>
            </w:r>
            <w:r w:rsidRPr="00F36809">
              <w:rPr>
                <w:rFonts w:asciiTheme="minorHAnsi" w:hAnsiTheme="minorHAnsi" w:cstheme="minorHAnsi"/>
              </w:rPr>
              <w:t>STEP</w:t>
            </w:r>
            <w:r w:rsidRPr="00F36809">
              <w:rPr>
                <w:rFonts w:asciiTheme="minorHAnsi" w:hAnsiTheme="minorHAnsi" w:cstheme="minorHAnsi"/>
                <w:rtl/>
              </w:rPr>
              <w:t>.</w:t>
            </w:r>
          </w:p>
        </w:tc>
      </w:tr>
      <w:tr w:rsidR="00EE5B86" w:rsidRPr="00F36809" w14:paraId="177017D1" w14:textId="77777777" w:rsidTr="00F36809">
        <w:tc>
          <w:tcPr>
            <w:tcW w:w="4672" w:type="dxa"/>
          </w:tcPr>
          <w:p w14:paraId="1F774770"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نماذج المنفعة</w:t>
            </w:r>
          </w:p>
        </w:tc>
        <w:tc>
          <w:tcPr>
            <w:tcW w:w="4673" w:type="dxa"/>
          </w:tcPr>
          <w:p w14:paraId="3DFC69B5" w14:textId="77777777" w:rsidR="00EE5B86" w:rsidRPr="00F36809" w:rsidRDefault="00EE5B86" w:rsidP="00F36809">
            <w:pPr>
              <w:pStyle w:val="ONUME"/>
              <w:numPr>
                <w:ilvl w:val="0"/>
                <w:numId w:val="0"/>
              </w:numPr>
              <w:rPr>
                <w:rFonts w:asciiTheme="minorHAnsi" w:hAnsiTheme="minorHAnsi" w:cstheme="minorHAnsi"/>
                <w:rtl/>
              </w:rPr>
            </w:pPr>
            <w:r w:rsidRPr="00F36809">
              <w:rPr>
                <w:rFonts w:asciiTheme="minorHAnsi" w:hAnsiTheme="minorHAnsi" w:cstheme="minorHAnsi"/>
                <w:rtl/>
              </w:rPr>
              <w:t xml:space="preserve">نسق </w:t>
            </w:r>
            <w:r w:rsidRPr="00F36809">
              <w:rPr>
                <w:rFonts w:asciiTheme="minorHAnsi" w:hAnsiTheme="minorHAnsi" w:cstheme="minorHAnsi"/>
              </w:rPr>
              <w:t>3D PDF</w:t>
            </w:r>
          </w:p>
        </w:tc>
      </w:tr>
    </w:tbl>
    <w:p w14:paraId="344F9F07" w14:textId="546BF6A2" w:rsidR="003B2539" w:rsidRDefault="003B2539" w:rsidP="003B2539">
      <w:pPr>
        <w:outlineLvl w:val="0"/>
        <w:rPr>
          <w:lang w:bidi="ar-EG"/>
        </w:rPr>
      </w:pPr>
    </w:p>
    <w:p w14:paraId="144042AB" w14:textId="77777777" w:rsidR="003B2539" w:rsidRDefault="003B2539" w:rsidP="003B2539">
      <w:pPr>
        <w:outlineLvl w:val="0"/>
        <w:rPr>
          <w:lang w:bidi="ar-EG"/>
        </w:rPr>
      </w:pPr>
    </w:p>
    <w:p w14:paraId="3E86ED22" w14:textId="77777777" w:rsidR="003B2539" w:rsidRDefault="003B2539" w:rsidP="003B2539">
      <w:pPr>
        <w:outlineLvl w:val="0"/>
        <w:rPr>
          <w:lang w:bidi="ar-EG"/>
        </w:rPr>
      </w:pPr>
    </w:p>
    <w:p w14:paraId="19084302" w14:textId="445E99E9" w:rsidR="003B2539" w:rsidRDefault="003B2539" w:rsidP="003B2539">
      <w:pPr>
        <w:outlineLvl w:val="0"/>
        <w:rPr>
          <w:lang w:bidi="ar-EG"/>
        </w:rPr>
      </w:pPr>
      <w:r>
        <w:rPr>
          <w:rtl/>
          <w:lang w:bidi="ar-EG"/>
        </w:rPr>
        <w:t>10.</w:t>
      </w:r>
      <w:r>
        <w:rPr>
          <w:lang w:bidi="ar-EG"/>
        </w:rPr>
        <w:tab/>
      </w:r>
      <w:r>
        <w:rPr>
          <w:rtl/>
          <w:lang w:bidi="ar-EG"/>
        </w:rPr>
        <w:t xml:space="preserve">فيما يتعلق بنشر النماذج ثلاثية الأبعاد أو الصور ثلاثية الأبعاد أو التركيبات الكيميائية ثلاثية الأبعاد، التي أوصى بها معيار الويبو </w:t>
      </w:r>
      <w:r>
        <w:rPr>
          <w:lang w:bidi="ar-EG"/>
        </w:rPr>
        <w:t>ST.91</w:t>
      </w:r>
      <w:r>
        <w:rPr>
          <w:rtl/>
          <w:lang w:bidi="ar-EG"/>
        </w:rPr>
        <w:t xml:space="preserve">، أشارت المكاتب المجيبة إلى أن معظمها لا تنشر المعلومات ثلاثية الأبعاد التي تتلقاها حتى في حالة قبول التقنية ثلاثية الأبعاد. والأنساق الأكثر استعمالا للعلامات التجارية هي </w:t>
      </w:r>
      <w:r>
        <w:rPr>
          <w:lang w:bidi="ar-EG"/>
        </w:rPr>
        <w:t>OBJ</w:t>
      </w:r>
      <w:r>
        <w:rPr>
          <w:rtl/>
          <w:lang w:bidi="ar-EG"/>
        </w:rPr>
        <w:t xml:space="preserve"> و</w:t>
      </w:r>
      <w:r>
        <w:rPr>
          <w:lang w:bidi="ar-EG"/>
        </w:rPr>
        <w:t>STL</w:t>
      </w:r>
      <w:r>
        <w:rPr>
          <w:rtl/>
          <w:lang w:bidi="ar-EG"/>
        </w:rPr>
        <w:t xml:space="preserve"> في حين أن الأنساق الأكثر استخداما للنشر للتصاميم الصناعية والبراءات ونماذج المنفعة هي 3</w:t>
      </w:r>
      <w:r>
        <w:rPr>
          <w:lang w:bidi="ar-EG"/>
        </w:rPr>
        <w:t>D PDF</w:t>
      </w:r>
      <w:r>
        <w:rPr>
          <w:rtl/>
          <w:lang w:bidi="ar-EG"/>
        </w:rPr>
        <w:t xml:space="preserve">. وبالمثل، فيما يتعلق بالنشر الورقي باستخدام التقنية ثلاثية الأبعاد، لا تنشر معظم المكاتب المجيبة معلومات عن نماذج ثلاثية الأبعاد أو صور ثلاثية الأبعاد أو تركيبات كيميائية ثلاثية الأبعاد على </w:t>
      </w:r>
      <w:r w:rsidR="00DE6632">
        <w:rPr>
          <w:rFonts w:hint="cs"/>
          <w:rtl/>
          <w:lang w:bidi="ar-EG"/>
        </w:rPr>
        <w:t>الورق</w:t>
      </w:r>
      <w:r w:rsidR="00DE6632">
        <w:rPr>
          <w:rtl/>
          <w:lang w:bidi="ar-EG"/>
        </w:rPr>
        <w:t>،</w:t>
      </w:r>
      <w:r>
        <w:rPr>
          <w:rtl/>
          <w:lang w:bidi="ar-EG"/>
        </w:rPr>
        <w:t xml:space="preserve"> حتى لو قبلها المكتب.    وتنشر مكاتب الملكية الفكرية، التي تنشر النماذج والصور الثلاثية الأبعاد على الورق، النماذج والصور الثلاثية الأبعاد باستخدام تقنية ثنائية الأبعاد الناتجة عن نماذج ثلاثية الأبعاد المصدر أو صور ثلاثية الأبعاد لجميع حقوق الملكية الفكرية المشار إليها في الدراسة الاستقصائية.  </w:t>
      </w:r>
    </w:p>
    <w:p w14:paraId="514A0C9C" w14:textId="77777777" w:rsidR="003B2539" w:rsidRDefault="003B2539" w:rsidP="003B2539">
      <w:pPr>
        <w:outlineLvl w:val="0"/>
        <w:rPr>
          <w:lang w:bidi="ar-EG"/>
        </w:rPr>
      </w:pPr>
    </w:p>
    <w:p w14:paraId="6CFF6E47" w14:textId="7E67D2FC" w:rsidR="003B2539" w:rsidRDefault="003B2539" w:rsidP="003B2539">
      <w:pPr>
        <w:outlineLvl w:val="0"/>
        <w:rPr>
          <w:lang w:bidi="ar-EG"/>
        </w:rPr>
      </w:pPr>
      <w:r>
        <w:rPr>
          <w:rtl/>
          <w:lang w:bidi="ar-EG"/>
        </w:rPr>
        <w:t>11.</w:t>
      </w:r>
      <w:r>
        <w:rPr>
          <w:lang w:bidi="ar-EG"/>
        </w:rPr>
        <w:tab/>
      </w:r>
      <w:r>
        <w:rPr>
          <w:rtl/>
          <w:lang w:bidi="ar-EG"/>
        </w:rPr>
        <w:t xml:space="preserve">من الهام ملاحظة أنه لا يوجد مكتب للملكية الفكرية يستخدم أيا من الأنساق </w:t>
      </w:r>
      <w:r>
        <w:rPr>
          <w:rFonts w:hint="cs"/>
          <w:rtl/>
          <w:lang w:bidi="ar-EG"/>
        </w:rPr>
        <w:t>الثلاثي</w:t>
      </w:r>
      <w:r>
        <w:rPr>
          <w:rtl/>
          <w:lang w:bidi="ar-EG"/>
        </w:rPr>
        <w:t xml:space="preserve">ة الأبعاد </w:t>
      </w:r>
      <w:r>
        <w:rPr>
          <w:rFonts w:hint="cs"/>
          <w:rtl/>
          <w:lang w:bidi="ar-EG"/>
        </w:rPr>
        <w:t>الموصي</w:t>
      </w:r>
      <w:r>
        <w:rPr>
          <w:rtl/>
          <w:lang w:bidi="ar-EG"/>
        </w:rPr>
        <w:t xml:space="preserve"> بها لتصاميم الدوائر المتكاملة، للإيداع أو النشر.  </w:t>
      </w:r>
    </w:p>
    <w:p w14:paraId="4B606031" w14:textId="77777777" w:rsidR="003B2539" w:rsidRDefault="003B2539" w:rsidP="003B2539">
      <w:pPr>
        <w:outlineLvl w:val="0"/>
        <w:rPr>
          <w:lang w:bidi="ar-EG"/>
        </w:rPr>
      </w:pPr>
    </w:p>
    <w:p w14:paraId="1E368FBC" w14:textId="4B570A4C" w:rsidR="003B2539" w:rsidRDefault="003B2539" w:rsidP="003B2539">
      <w:pPr>
        <w:outlineLvl w:val="0"/>
        <w:rPr>
          <w:lang w:bidi="ar-EG"/>
        </w:rPr>
      </w:pPr>
      <w:r>
        <w:rPr>
          <w:rtl/>
          <w:lang w:bidi="ar-EG"/>
        </w:rPr>
        <w:t>12.</w:t>
      </w:r>
      <w:r>
        <w:rPr>
          <w:lang w:bidi="ar-EG"/>
        </w:rPr>
        <w:tab/>
      </w:r>
      <w:r>
        <w:rPr>
          <w:rtl/>
          <w:lang w:bidi="ar-EG"/>
        </w:rPr>
        <w:t xml:space="preserve">أثناء الفحص، تستخدم غالبية المكاتب المجيبة تصاوير ثنائية الأبعاد للمقارنة بين النماذج ثلاثية الأبعاد والصور ثلاثية الأبعاد بدلا من النماذج ثلاثية الأبعاد أو الصور نفسها.    </w:t>
      </w:r>
    </w:p>
    <w:p w14:paraId="2E34CF2D" w14:textId="77777777" w:rsidR="003B2539" w:rsidRDefault="003B2539" w:rsidP="003B2539">
      <w:pPr>
        <w:outlineLvl w:val="0"/>
        <w:rPr>
          <w:lang w:bidi="ar-EG"/>
        </w:rPr>
      </w:pPr>
      <w:r>
        <w:rPr>
          <w:rtl/>
          <w:lang w:bidi="ar-EG"/>
        </w:rPr>
        <w:t> </w:t>
      </w:r>
    </w:p>
    <w:p w14:paraId="3AFCCDCF" w14:textId="77777777" w:rsidR="003B2539" w:rsidRPr="003B2539" w:rsidRDefault="003B2539" w:rsidP="003B2539">
      <w:pPr>
        <w:outlineLvl w:val="0"/>
        <w:rPr>
          <w:b/>
          <w:bCs/>
          <w:sz w:val="26"/>
          <w:szCs w:val="26"/>
          <w:lang w:bidi="ar-EG"/>
        </w:rPr>
      </w:pPr>
      <w:r w:rsidRPr="003B2539">
        <w:rPr>
          <w:b/>
          <w:bCs/>
          <w:sz w:val="26"/>
          <w:szCs w:val="26"/>
          <w:rtl/>
          <w:lang w:bidi="ar-EG"/>
        </w:rPr>
        <w:t>الخطوات المقبلة</w:t>
      </w:r>
    </w:p>
    <w:p w14:paraId="0F705D96" w14:textId="4B9DFFEF" w:rsidR="003B2539" w:rsidRDefault="003B2539" w:rsidP="003B2539">
      <w:pPr>
        <w:outlineLvl w:val="0"/>
        <w:rPr>
          <w:lang w:bidi="ar-EG"/>
        </w:rPr>
      </w:pPr>
      <w:r>
        <w:rPr>
          <w:rtl/>
          <w:lang w:bidi="ar-EG"/>
        </w:rPr>
        <w:t xml:space="preserve">13.بالنظر إلى نتائج الدراسة الاستقصائية أعلاه التي تكشف أن عدد المكاتب التي تدعم إيداع النماذج ثلاثية الأبعاد وفحصها ونشرها في أنساق ثلاثية الأبعاد منخفض جدا، وعدم امتثال المكاتب التي تدعم استخدام أنساق ثلاثية الأبعاد لمعيار الويبو </w:t>
      </w:r>
      <w:r>
        <w:rPr>
          <w:lang w:bidi="ar-EG"/>
        </w:rPr>
        <w:t>ST.91</w:t>
      </w:r>
      <w:r>
        <w:rPr>
          <w:rtl/>
          <w:lang w:bidi="ar-EG"/>
        </w:rPr>
        <w:t xml:space="preserve">، سواء كليا أو جزئيا، فلا حاجة إلى مراجعة أخرى لمعيار الويبو </w:t>
      </w:r>
      <w:r>
        <w:rPr>
          <w:lang w:bidi="ar-EG"/>
        </w:rPr>
        <w:t>ST.91</w:t>
      </w:r>
      <w:r>
        <w:rPr>
          <w:rtl/>
          <w:lang w:bidi="ar-EG"/>
        </w:rPr>
        <w:t xml:space="preserve"> في المستقبل القريب. ويقترح المشرف على فرقة العمل أن تشارك الدول الأعضاء في أنشطة فرقة العمل، وأن تعمل على تنفيذ المعيار.</w:t>
      </w:r>
    </w:p>
    <w:p w14:paraId="1645F117" w14:textId="77777777" w:rsidR="003B2539" w:rsidRDefault="003B2539" w:rsidP="003B2539">
      <w:pPr>
        <w:outlineLvl w:val="0"/>
        <w:rPr>
          <w:lang w:bidi="ar-EG"/>
        </w:rPr>
      </w:pPr>
    </w:p>
    <w:p w14:paraId="64C2FFBC" w14:textId="0A1A1993" w:rsidR="003B2539" w:rsidRDefault="003B2539" w:rsidP="003B2539">
      <w:pPr>
        <w:outlineLvl w:val="0"/>
        <w:rPr>
          <w:lang w:bidi="ar-EG"/>
        </w:rPr>
      </w:pPr>
      <w:r>
        <w:rPr>
          <w:rtl/>
          <w:lang w:bidi="ar-EG"/>
        </w:rPr>
        <w:t>14.</w:t>
      </w:r>
      <w:r>
        <w:rPr>
          <w:lang w:bidi="ar-EG"/>
        </w:rPr>
        <w:tab/>
      </w:r>
      <w:r>
        <w:rPr>
          <w:rtl/>
          <w:lang w:bidi="ar-EG"/>
        </w:rPr>
        <w:t>من أجل تيسير المناقشة بشأن البحث والمقارنة بين التمثيلات المرئية ثلاثية الأبعاد، يخطط المشرف على فرقة العمل لتقاسم أساليبها وممارساتها عند إجراء المعالجة 3</w:t>
      </w:r>
      <w:r>
        <w:rPr>
          <w:lang w:bidi="ar-EG"/>
        </w:rPr>
        <w:t>D-to-3D</w:t>
      </w:r>
      <w:r>
        <w:rPr>
          <w:rtl/>
          <w:lang w:bidi="ar-EG"/>
        </w:rPr>
        <w:t xml:space="preserve"> مع أعضاء فرقة العمل، بغية نقل المعرفة وبالتالي تحسين قدراتهم في هذا </w:t>
      </w:r>
      <w:r>
        <w:rPr>
          <w:rtl/>
          <w:lang w:bidi="ar-EG"/>
        </w:rPr>
        <w:lastRenderedPageBreak/>
        <w:t>المجال. ولتحقيق هذا الهدف، يقترح المشرف على فرقة العمل أن تنظم فرقة العمل جلسة إعلامية في عام 2025 لعرض هذه الممارسات والاستماع إلى تجارب مكاتب الملكية الفكرية المهتمة باستخدام أنساق ثلاثية الأبعاد.</w:t>
      </w:r>
    </w:p>
    <w:p w14:paraId="051C818F" w14:textId="77777777" w:rsidR="003B2539" w:rsidRDefault="003B2539" w:rsidP="003B2539">
      <w:pPr>
        <w:outlineLvl w:val="0"/>
        <w:rPr>
          <w:lang w:bidi="ar-EG"/>
        </w:rPr>
      </w:pPr>
    </w:p>
    <w:p w14:paraId="27D9AAA3" w14:textId="31A2FAE8" w:rsidR="003B2539" w:rsidRDefault="003B2539" w:rsidP="003B2539">
      <w:pPr>
        <w:outlineLvl w:val="0"/>
        <w:rPr>
          <w:lang w:bidi="ar-EG"/>
        </w:rPr>
      </w:pPr>
      <w:r>
        <w:rPr>
          <w:rtl/>
          <w:lang w:bidi="ar-EG"/>
        </w:rPr>
        <w:t>15.</w:t>
      </w:r>
      <w:r>
        <w:rPr>
          <w:lang w:bidi="ar-EG"/>
        </w:rPr>
        <w:tab/>
      </w:r>
      <w:r>
        <w:rPr>
          <w:rtl/>
          <w:lang w:bidi="ar-EG"/>
        </w:rPr>
        <w:t>وإذا وافقت لجنة المعايير على محتوى تحليل الدراسة الاستقصائية أعلاه، يُقترح نشر تحليل الدراسة الاستقصائية مع نتائج الدراسة الاستقصائية في الجزء 7 من دليل الويبو.</w:t>
      </w:r>
    </w:p>
    <w:p w14:paraId="6473F2CC" w14:textId="77777777" w:rsidR="003B2539" w:rsidRDefault="003B2539" w:rsidP="003B2539">
      <w:pPr>
        <w:outlineLvl w:val="0"/>
        <w:rPr>
          <w:lang w:bidi="ar-EG"/>
        </w:rPr>
      </w:pPr>
    </w:p>
    <w:p w14:paraId="4F36762B" w14:textId="54805359" w:rsidR="003B2539" w:rsidRPr="003B2539" w:rsidRDefault="003B2539" w:rsidP="003B2539">
      <w:pPr>
        <w:ind w:left="5670"/>
        <w:outlineLvl w:val="0"/>
        <w:rPr>
          <w:i/>
          <w:iCs/>
          <w:lang w:bidi="ar-EG"/>
        </w:rPr>
      </w:pPr>
      <w:r w:rsidRPr="003B2539">
        <w:rPr>
          <w:i/>
          <w:iCs/>
          <w:rtl/>
          <w:lang w:bidi="ar-EG"/>
        </w:rPr>
        <w:t>16.</w:t>
      </w:r>
      <w:r w:rsidRPr="003B2539">
        <w:rPr>
          <w:i/>
          <w:iCs/>
          <w:lang w:bidi="ar-EG"/>
        </w:rPr>
        <w:tab/>
      </w:r>
      <w:r w:rsidRPr="003B2539">
        <w:rPr>
          <w:i/>
          <w:iCs/>
          <w:rtl/>
          <w:lang w:bidi="ar-EG"/>
        </w:rPr>
        <w:t xml:space="preserve">إن لجنة المعايير مدعوة إلى ما يلي: </w:t>
      </w:r>
    </w:p>
    <w:p w14:paraId="77602556" w14:textId="3DFE1806" w:rsidR="003B2539" w:rsidRPr="003B2539" w:rsidRDefault="00D15106" w:rsidP="003B2539">
      <w:pPr>
        <w:ind w:left="5670"/>
        <w:outlineLvl w:val="0"/>
        <w:rPr>
          <w:i/>
          <w:iCs/>
          <w:lang w:bidi="ar-EG"/>
        </w:rPr>
      </w:pPr>
      <w:r>
        <w:rPr>
          <w:rFonts w:hint="cs"/>
          <w:i/>
          <w:iCs/>
          <w:rtl/>
          <w:lang w:bidi="ar-EG"/>
        </w:rPr>
        <w:t>(أ</w:t>
      </w:r>
      <w:r w:rsidR="003B2539" w:rsidRPr="003B2539">
        <w:rPr>
          <w:i/>
          <w:iCs/>
          <w:rtl/>
          <w:lang w:bidi="ar-EG"/>
        </w:rPr>
        <w:t>)</w:t>
      </w:r>
      <w:r w:rsidR="003B2539" w:rsidRPr="003B2539">
        <w:rPr>
          <w:i/>
          <w:iCs/>
          <w:lang w:bidi="ar-EG"/>
        </w:rPr>
        <w:tab/>
      </w:r>
      <w:r w:rsidR="003B2539" w:rsidRPr="003B2539">
        <w:rPr>
          <w:i/>
          <w:iCs/>
          <w:rtl/>
          <w:lang w:bidi="ar-EG"/>
        </w:rPr>
        <w:t xml:space="preserve">الإحاطة علما بمحتوى هذه الوثيقة؛ </w:t>
      </w:r>
    </w:p>
    <w:p w14:paraId="3E854CA7" w14:textId="54694350" w:rsidR="003B2539" w:rsidRPr="003B2539" w:rsidRDefault="003B2539" w:rsidP="003B2539">
      <w:pPr>
        <w:ind w:left="5670"/>
        <w:outlineLvl w:val="0"/>
        <w:rPr>
          <w:i/>
          <w:iCs/>
          <w:lang w:bidi="ar-EG"/>
        </w:rPr>
      </w:pPr>
      <w:r w:rsidRPr="003B2539">
        <w:rPr>
          <w:i/>
          <w:iCs/>
          <w:rtl/>
          <w:lang w:bidi="ar-EG"/>
        </w:rPr>
        <w:t>(ب)</w:t>
      </w:r>
      <w:r w:rsidRPr="003B2539">
        <w:rPr>
          <w:i/>
          <w:iCs/>
          <w:lang w:bidi="ar-EG"/>
        </w:rPr>
        <w:tab/>
      </w:r>
      <w:r w:rsidRPr="003B2539">
        <w:rPr>
          <w:i/>
          <w:iCs/>
          <w:rtl/>
          <w:lang w:bidi="ar-EG"/>
        </w:rPr>
        <w:t>والنظر في محتويات تحليل الدراسة الاستقصائية على النحو المشار إليه في الفقرات من 5 إلى 12 أعلاه والموافقة عليها، والموافقة على نشر تحليل الدراسات الاستقصائية إلى جانب نتائج الدراسة الاستقصائية في دليل الويبو على النحو المبين في الفقرة 15 أعلاه؛</w:t>
      </w:r>
    </w:p>
    <w:p w14:paraId="1ADA789D" w14:textId="654829A1" w:rsidR="003B2539" w:rsidRDefault="003B2539" w:rsidP="003B2539">
      <w:pPr>
        <w:ind w:left="5670"/>
        <w:outlineLvl w:val="0"/>
        <w:rPr>
          <w:i/>
          <w:iCs/>
          <w:lang w:bidi="ar-EG"/>
        </w:rPr>
      </w:pPr>
      <w:r w:rsidRPr="003B2539">
        <w:rPr>
          <w:i/>
          <w:iCs/>
          <w:rtl/>
          <w:lang w:bidi="ar-EG"/>
        </w:rPr>
        <w:t xml:space="preserve">(ج) </w:t>
      </w:r>
      <w:r w:rsidRPr="003B2539">
        <w:rPr>
          <w:i/>
          <w:iCs/>
          <w:lang w:bidi="ar-EG"/>
        </w:rPr>
        <w:tab/>
      </w:r>
      <w:r w:rsidRPr="003B2539">
        <w:rPr>
          <w:i/>
          <w:iCs/>
          <w:rtl/>
          <w:lang w:bidi="ar-EG"/>
        </w:rPr>
        <w:t xml:space="preserve">ودعم ترتيب الجلسة الإعلامية بشأن التقنية ثلاثية الأبعاد من قبل فرقة العمل على النحو المشار إليه في الفقرة 14 أعلاه.  </w:t>
      </w:r>
    </w:p>
    <w:p w14:paraId="0E17E529" w14:textId="77777777" w:rsidR="0012493D" w:rsidRPr="003B2539" w:rsidRDefault="0012493D" w:rsidP="003B2539">
      <w:pPr>
        <w:ind w:left="5670"/>
        <w:outlineLvl w:val="0"/>
        <w:rPr>
          <w:i/>
          <w:iCs/>
          <w:lang w:bidi="ar-EG"/>
        </w:rPr>
      </w:pPr>
    </w:p>
    <w:p w14:paraId="4A51DF9F" w14:textId="77777777" w:rsidR="003B2539" w:rsidRPr="003B2539" w:rsidRDefault="003B2539" w:rsidP="003B2539">
      <w:pPr>
        <w:ind w:left="5670"/>
        <w:outlineLvl w:val="0"/>
        <w:rPr>
          <w:i/>
          <w:iCs/>
          <w:lang w:bidi="ar-EG"/>
        </w:rPr>
      </w:pPr>
    </w:p>
    <w:p w14:paraId="41FCC6A1" w14:textId="77777777" w:rsidR="003B2539" w:rsidRPr="003B2539" w:rsidRDefault="003B2539" w:rsidP="003B2539">
      <w:pPr>
        <w:ind w:left="5670"/>
        <w:outlineLvl w:val="0"/>
        <w:rPr>
          <w:i/>
          <w:iCs/>
          <w:lang w:bidi="ar-EG"/>
        </w:rPr>
      </w:pPr>
    </w:p>
    <w:p w14:paraId="195CEF99" w14:textId="77777777" w:rsidR="003B2539" w:rsidRPr="0012493D" w:rsidRDefault="003B2539" w:rsidP="003B2539">
      <w:pPr>
        <w:ind w:left="5670"/>
        <w:outlineLvl w:val="0"/>
        <w:rPr>
          <w:lang w:bidi="ar-EG"/>
        </w:rPr>
      </w:pPr>
      <w:r w:rsidRPr="0012493D">
        <w:rPr>
          <w:rtl/>
          <w:lang w:bidi="ar-EG"/>
        </w:rPr>
        <w:t>[نهاية الوثيقة]</w:t>
      </w:r>
    </w:p>
    <w:p w14:paraId="4E8F3288" w14:textId="1D6083A5" w:rsidR="00B16840" w:rsidRPr="005F5C87" w:rsidRDefault="00B16840" w:rsidP="003B2539">
      <w:pPr>
        <w:outlineLvl w:val="0"/>
        <w:rPr>
          <w:rtl/>
        </w:rPr>
      </w:pPr>
    </w:p>
    <w:sectPr w:rsidR="00B16840" w:rsidRPr="005F5C87" w:rsidSect="00CC3E2D">
      <w:headerReference w:type="default" r:id="rId12"/>
      <w:footerReference w:type="even" r:id="rId13"/>
      <w:footerReference w:type="default" r:id="rId14"/>
      <w:footerReference w:type="firs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A91A8" w14:textId="77777777" w:rsidR="0001295D" w:rsidRDefault="0001295D">
      <w:r>
        <w:separator/>
      </w:r>
    </w:p>
  </w:endnote>
  <w:endnote w:type="continuationSeparator" w:id="0">
    <w:p w14:paraId="623C999C" w14:textId="77777777" w:rsidR="0001295D" w:rsidRDefault="0001295D" w:rsidP="003B38C1">
      <w:r>
        <w:separator/>
      </w:r>
    </w:p>
    <w:p w14:paraId="49DDED8F" w14:textId="77777777" w:rsidR="0001295D" w:rsidRPr="003B38C1" w:rsidRDefault="0001295D" w:rsidP="003B38C1">
      <w:pPr>
        <w:spacing w:after="60"/>
        <w:rPr>
          <w:sz w:val="17"/>
        </w:rPr>
      </w:pPr>
      <w:r>
        <w:rPr>
          <w:sz w:val="17"/>
        </w:rPr>
        <w:t>[Endnote continued from previous page]</w:t>
      </w:r>
    </w:p>
  </w:endnote>
  <w:endnote w:type="continuationNotice" w:id="1">
    <w:p w14:paraId="35390FE3" w14:textId="77777777" w:rsidR="0001295D" w:rsidRPr="003B38C1" w:rsidRDefault="000129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5F5F" w14:textId="7D0C430B" w:rsidR="00495E20" w:rsidRDefault="00495E20">
    <w:pPr>
      <w:pStyle w:val="Footer"/>
    </w:pPr>
    <w:r>
      <w:rPr>
        <w:noProof/>
      </w:rPr>
      <mc:AlternateContent>
        <mc:Choice Requires="wps">
          <w:drawing>
            <wp:anchor distT="0" distB="0" distL="0" distR="0" simplePos="0" relativeHeight="251659264" behindDoc="0" locked="0" layoutInCell="1" allowOverlap="1" wp14:anchorId="5A74FC73" wp14:editId="6A18E02B">
              <wp:simplePos x="635" y="635"/>
              <wp:positionH relativeFrom="page">
                <wp:align>center</wp:align>
              </wp:positionH>
              <wp:positionV relativeFrom="page">
                <wp:align>bottom</wp:align>
              </wp:positionV>
              <wp:extent cx="1564005" cy="345440"/>
              <wp:effectExtent l="0" t="0" r="17145" b="0"/>
              <wp:wrapNone/>
              <wp:docPr id="126008728" name="Zone de texte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29A4D75" w14:textId="549A70D9"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4FC73" id="_x0000_t202" coordsize="21600,21600" o:spt="202" path="m,l,21600r21600,l21600,xe">
              <v:stroke joinstyle="miter"/>
              <v:path gradientshapeok="t" o:connecttype="rect"/>
            </v:shapetype>
            <v:shape id="Zone de texte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629A4D75" w14:textId="549A70D9"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CFA7" w14:textId="19EE16BF" w:rsidR="00495E20" w:rsidRDefault="00495E20">
    <w:pPr>
      <w:pStyle w:val="Footer"/>
    </w:pPr>
    <w:r>
      <w:rPr>
        <w:noProof/>
      </w:rPr>
      <mc:AlternateContent>
        <mc:Choice Requires="wps">
          <w:drawing>
            <wp:anchor distT="0" distB="0" distL="0" distR="0" simplePos="0" relativeHeight="251660288" behindDoc="0" locked="0" layoutInCell="1" allowOverlap="1" wp14:anchorId="5DEB6B16" wp14:editId="32E1C06A">
              <wp:simplePos x="724205" y="9882835"/>
              <wp:positionH relativeFrom="page">
                <wp:align>center</wp:align>
              </wp:positionH>
              <wp:positionV relativeFrom="page">
                <wp:align>bottom</wp:align>
              </wp:positionV>
              <wp:extent cx="1564005" cy="345440"/>
              <wp:effectExtent l="0" t="0" r="17145" b="0"/>
              <wp:wrapNone/>
              <wp:docPr id="799113896" name="Zone de texte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76F1EE3" w14:textId="4D00B146"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B6B16" id="_x0000_t202" coordsize="21600,21600" o:spt="202" path="m,l,21600r21600,l21600,xe">
              <v:stroke joinstyle="miter"/>
              <v:path gradientshapeok="t" o:connecttype="rect"/>
            </v:shapetype>
            <v:shape id="Zone de texte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076F1EE3" w14:textId="4D00B146"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B9BD" w14:textId="71EDCB1E" w:rsidR="00495E20" w:rsidRDefault="00495E20">
    <w:pPr>
      <w:pStyle w:val="Footer"/>
    </w:pPr>
    <w:r>
      <w:rPr>
        <w:noProof/>
      </w:rPr>
      <mc:AlternateContent>
        <mc:Choice Requires="wps">
          <w:drawing>
            <wp:anchor distT="0" distB="0" distL="0" distR="0" simplePos="0" relativeHeight="251658240" behindDoc="0" locked="0" layoutInCell="1" allowOverlap="1" wp14:anchorId="4A963136" wp14:editId="6A20CAC3">
              <wp:simplePos x="720725" y="9885045"/>
              <wp:positionH relativeFrom="page">
                <wp:align>center</wp:align>
              </wp:positionH>
              <wp:positionV relativeFrom="page">
                <wp:align>bottom</wp:align>
              </wp:positionV>
              <wp:extent cx="1564005" cy="345440"/>
              <wp:effectExtent l="0" t="0" r="17145" b="0"/>
              <wp:wrapNone/>
              <wp:docPr id="2139110616" name="Zone de texte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A0F4946" w14:textId="477AD467"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63136" id="_x0000_t202" coordsize="21600,21600" o:spt="202" path="m,l,21600r21600,l21600,xe">
              <v:stroke joinstyle="miter"/>
              <v:path gradientshapeok="t" o:connecttype="rect"/>
            </v:shapetype>
            <v:shape id="Zone de texte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A0F4946" w14:textId="477AD467" w:rsidR="00495E20" w:rsidRPr="00495E20" w:rsidRDefault="00495E20" w:rsidP="00495E20">
                    <w:pPr>
                      <w:rPr>
                        <w:rFonts w:ascii="Calibri" w:eastAsia="Calibri" w:hAnsi="Calibri"/>
                        <w:noProof/>
                        <w:color w:val="000000"/>
                        <w:sz w:val="20"/>
                        <w:szCs w:val="20"/>
                      </w:rPr>
                    </w:pPr>
                    <w:r w:rsidRPr="00495E20">
                      <w:rPr>
                        <w:rFonts w:ascii="Calibri" w:eastAsia="Calibri" w:hAnsi="Calibri"/>
                        <w:noProof/>
                        <w:color w:val="000000"/>
                        <w:sz w:val="20"/>
                        <w:szCs w:val="20"/>
                      </w:rPr>
                      <w:t>WIPO FOR OFFICIAL USE ONLY</w:t>
                    </w:r>
                    <w:r w:rsidRPr="00495E20">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815A5" w14:textId="77777777" w:rsidR="0001295D" w:rsidRDefault="0001295D">
      <w:r>
        <w:separator/>
      </w:r>
    </w:p>
  </w:footnote>
  <w:footnote w:type="continuationSeparator" w:id="0">
    <w:p w14:paraId="5BC947AD" w14:textId="77777777" w:rsidR="0001295D" w:rsidRDefault="0001295D" w:rsidP="008B60B2">
      <w:r>
        <w:separator/>
      </w:r>
    </w:p>
    <w:p w14:paraId="53CF9356" w14:textId="77777777" w:rsidR="0001295D" w:rsidRPr="00ED77FB" w:rsidRDefault="0001295D" w:rsidP="008B60B2">
      <w:pPr>
        <w:spacing w:after="60"/>
        <w:rPr>
          <w:sz w:val="17"/>
          <w:szCs w:val="17"/>
        </w:rPr>
      </w:pPr>
      <w:r w:rsidRPr="00ED77FB">
        <w:rPr>
          <w:sz w:val="17"/>
          <w:szCs w:val="17"/>
        </w:rPr>
        <w:t>[Footnote continued from previous page]</w:t>
      </w:r>
    </w:p>
  </w:footnote>
  <w:footnote w:type="continuationNotice" w:id="1">
    <w:p w14:paraId="7EB9F9A7" w14:textId="77777777" w:rsidR="0001295D" w:rsidRPr="00ED77FB" w:rsidRDefault="000129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D6AF" w14:textId="53F80802" w:rsidR="00D07C78" w:rsidRPr="002326AB" w:rsidRDefault="00FE5D75" w:rsidP="007969D1">
    <w:pPr>
      <w:bidi w:val="0"/>
      <w:rPr>
        <w:caps/>
      </w:rPr>
    </w:pPr>
    <w:r>
      <w:rPr>
        <w:caps/>
      </w:rPr>
      <w:t>CWS</w:t>
    </w:r>
    <w:r w:rsidR="00250149">
      <w:rPr>
        <w:caps/>
      </w:rPr>
      <w:t>/</w:t>
    </w:r>
    <w:r w:rsidR="00D8520D">
      <w:rPr>
        <w:caps/>
      </w:rPr>
      <w:t>12/</w:t>
    </w:r>
    <w:r w:rsidR="003803C8">
      <w:rPr>
        <w:caps/>
      </w:rPr>
      <w:t>26</w:t>
    </w:r>
  </w:p>
  <w:p w14:paraId="0F45B3F8" w14:textId="77777777" w:rsidR="00D07C78" w:rsidRDefault="00D07C78" w:rsidP="00210D5F">
    <w:pPr>
      <w:bidi w:val="0"/>
    </w:pPr>
    <w:r>
      <w:fldChar w:fldCharType="begin"/>
    </w:r>
    <w:r>
      <w:instrText xml:space="preserve"> PAGE  \* MERGEFORMAT </w:instrText>
    </w:r>
    <w:r>
      <w:fldChar w:fldCharType="separate"/>
    </w:r>
    <w:r w:rsidR="00B63965">
      <w:rPr>
        <w:noProof/>
      </w:rPr>
      <w:t>2</w:t>
    </w:r>
    <w:r>
      <w:fldChar w:fldCharType="end"/>
    </w:r>
  </w:p>
  <w:p w14:paraId="0015F402" w14:textId="77777777" w:rsidR="00D07C78" w:rsidRDefault="00D07C78" w:rsidP="00210D5F">
    <w:pPr>
      <w:bidi w:val="0"/>
    </w:pPr>
  </w:p>
  <w:p w14:paraId="653EAC1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273BE"/>
    <w:multiLevelType w:val="hybridMultilevel"/>
    <w:tmpl w:val="1136A020"/>
    <w:lvl w:ilvl="0" w:tplc="CD68B876">
      <w:start w:val="1"/>
      <w:numFmt w:val="arabicAbjad"/>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6F0FE1"/>
    <w:multiLevelType w:val="hybridMultilevel"/>
    <w:tmpl w:val="9F1A49DE"/>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DB07FE"/>
    <w:multiLevelType w:val="hybridMultilevel"/>
    <w:tmpl w:val="92EE5A92"/>
    <w:lvl w:ilvl="0" w:tplc="5B28816A">
      <w:start w:val="1"/>
      <w:numFmt w:val="lowerLetter"/>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1" w15:restartNumberingAfterBreak="0">
    <w:nsid w:val="22955CD6"/>
    <w:multiLevelType w:val="hybridMultilevel"/>
    <w:tmpl w:val="A9CED5FE"/>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A166A"/>
    <w:multiLevelType w:val="hybridMultilevel"/>
    <w:tmpl w:val="48DCB116"/>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C75D1"/>
    <w:multiLevelType w:val="hybridMultilevel"/>
    <w:tmpl w:val="56905ED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5"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BC4888"/>
    <w:multiLevelType w:val="hybridMultilevel"/>
    <w:tmpl w:val="23D650A8"/>
    <w:lvl w:ilvl="0" w:tplc="AE56C4F2">
      <w:start w:val="1"/>
      <w:numFmt w:val="arabicAbjad"/>
      <w:lvlText w:val="(%1)"/>
      <w:lvlJc w:val="left"/>
      <w:pPr>
        <w:ind w:left="6313" w:hanging="360"/>
      </w:pPr>
      <w:rPr>
        <w:rFonts w:ascii="Calibri" w:eastAsia="Arial" w:hAnsi="Calibri" w:cs="Calibri" w:hint="default"/>
        <w:color w:val="auto"/>
        <w:spacing w:val="-1"/>
        <w:w w:val="99"/>
        <w:sz w:val="22"/>
        <w:szCs w:val="22"/>
      </w:rPr>
    </w:lvl>
    <w:lvl w:ilvl="1" w:tplc="04090019" w:tentative="1">
      <w:start w:val="1"/>
      <w:numFmt w:val="lowerLetter"/>
      <w:lvlText w:val="%2."/>
      <w:lvlJc w:val="left"/>
      <w:pPr>
        <w:ind w:left="7033" w:hanging="360"/>
      </w:pPr>
    </w:lvl>
    <w:lvl w:ilvl="2" w:tplc="0409001B" w:tentative="1">
      <w:start w:val="1"/>
      <w:numFmt w:val="lowerRoman"/>
      <w:lvlText w:val="%3."/>
      <w:lvlJc w:val="right"/>
      <w:pPr>
        <w:ind w:left="7753" w:hanging="180"/>
      </w:pPr>
    </w:lvl>
    <w:lvl w:ilvl="3" w:tplc="0409000F" w:tentative="1">
      <w:start w:val="1"/>
      <w:numFmt w:val="decimal"/>
      <w:lvlText w:val="%4."/>
      <w:lvlJc w:val="left"/>
      <w:pPr>
        <w:ind w:left="8473" w:hanging="360"/>
      </w:pPr>
    </w:lvl>
    <w:lvl w:ilvl="4" w:tplc="04090019" w:tentative="1">
      <w:start w:val="1"/>
      <w:numFmt w:val="lowerLetter"/>
      <w:lvlText w:val="%5."/>
      <w:lvlJc w:val="left"/>
      <w:pPr>
        <w:ind w:left="9193" w:hanging="360"/>
      </w:pPr>
    </w:lvl>
    <w:lvl w:ilvl="5" w:tplc="0409001B" w:tentative="1">
      <w:start w:val="1"/>
      <w:numFmt w:val="lowerRoman"/>
      <w:lvlText w:val="%6."/>
      <w:lvlJc w:val="right"/>
      <w:pPr>
        <w:ind w:left="9913" w:hanging="180"/>
      </w:pPr>
    </w:lvl>
    <w:lvl w:ilvl="6" w:tplc="0409000F" w:tentative="1">
      <w:start w:val="1"/>
      <w:numFmt w:val="decimal"/>
      <w:lvlText w:val="%7."/>
      <w:lvlJc w:val="left"/>
      <w:pPr>
        <w:ind w:left="10633" w:hanging="360"/>
      </w:pPr>
    </w:lvl>
    <w:lvl w:ilvl="7" w:tplc="04090019" w:tentative="1">
      <w:start w:val="1"/>
      <w:numFmt w:val="lowerLetter"/>
      <w:lvlText w:val="%8."/>
      <w:lvlJc w:val="left"/>
      <w:pPr>
        <w:ind w:left="11353" w:hanging="360"/>
      </w:pPr>
    </w:lvl>
    <w:lvl w:ilvl="8" w:tplc="0409001B" w:tentative="1">
      <w:start w:val="1"/>
      <w:numFmt w:val="lowerRoman"/>
      <w:lvlText w:val="%9."/>
      <w:lvlJc w:val="right"/>
      <w:pPr>
        <w:ind w:left="12073" w:hanging="180"/>
      </w:pPr>
    </w:lvl>
  </w:abstractNum>
  <w:abstractNum w:abstractNumId="17" w15:restartNumberingAfterBreak="0">
    <w:nsid w:val="33447A0E"/>
    <w:multiLevelType w:val="hybridMultilevel"/>
    <w:tmpl w:val="6068D7B2"/>
    <w:lvl w:ilvl="0" w:tplc="7F78BE94">
      <w:numFmt w:val="bullet"/>
      <w:lvlText w:val="-"/>
      <w:lvlJc w:val="left"/>
      <w:pPr>
        <w:ind w:left="1494" w:hanging="360"/>
      </w:pPr>
      <w:rPr>
        <w:rFonts w:ascii="Calibri" w:eastAsia="Times New Roman" w:hAnsi="Calibri" w:cs="Calibri"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8"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0" w15:restartNumberingAfterBreak="0">
    <w:nsid w:val="3D896D22"/>
    <w:multiLevelType w:val="hybridMultilevel"/>
    <w:tmpl w:val="1B8AE810"/>
    <w:lvl w:ilvl="0" w:tplc="1AC09582">
      <w:start w:val="1"/>
      <w:numFmt w:val="arabicAlpha"/>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217C83"/>
    <w:multiLevelType w:val="hybridMultilevel"/>
    <w:tmpl w:val="168A049E"/>
    <w:lvl w:ilvl="0" w:tplc="15F0EEB6">
      <w:numFmt w:val="bullet"/>
      <w:lvlText w:val="•"/>
      <w:lvlJc w:val="left"/>
      <w:pPr>
        <w:ind w:left="1440" w:hanging="360"/>
      </w:pPr>
      <w:rPr>
        <w:rFonts w:ascii="Arial" w:eastAsia="SimSu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BC2B5E"/>
    <w:multiLevelType w:val="hybridMultilevel"/>
    <w:tmpl w:val="E3189E2E"/>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26271"/>
    <w:multiLevelType w:val="hybridMultilevel"/>
    <w:tmpl w:val="B44C4D6A"/>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92456D"/>
    <w:multiLevelType w:val="hybridMultilevel"/>
    <w:tmpl w:val="579EA3E2"/>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B6211"/>
    <w:multiLevelType w:val="hybridMultilevel"/>
    <w:tmpl w:val="E50ECE30"/>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B0E02"/>
    <w:multiLevelType w:val="hybridMultilevel"/>
    <w:tmpl w:val="EF5E8486"/>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3" w15:restartNumberingAfterBreak="0">
    <w:nsid w:val="7A5C679D"/>
    <w:multiLevelType w:val="hybridMultilevel"/>
    <w:tmpl w:val="6A18AA7C"/>
    <w:lvl w:ilvl="0" w:tplc="15F0EEB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73411">
    <w:abstractNumId w:val="5"/>
  </w:num>
  <w:num w:numId="2" w16cid:durableId="1329098559">
    <w:abstractNumId w:val="25"/>
  </w:num>
  <w:num w:numId="3" w16cid:durableId="559949353">
    <w:abstractNumId w:val="0"/>
  </w:num>
  <w:num w:numId="4" w16cid:durableId="275602950">
    <w:abstractNumId w:val="28"/>
  </w:num>
  <w:num w:numId="5" w16cid:durableId="1486360840">
    <w:abstractNumId w:val="2"/>
  </w:num>
  <w:num w:numId="6" w16cid:durableId="400830251">
    <w:abstractNumId w:val="9"/>
  </w:num>
  <w:num w:numId="7" w16cid:durableId="409691897">
    <w:abstractNumId w:val="33"/>
  </w:num>
  <w:num w:numId="8" w16cid:durableId="228880050">
    <w:abstractNumId w:val="19"/>
  </w:num>
  <w:num w:numId="9" w16cid:durableId="1094009415">
    <w:abstractNumId w:val="21"/>
  </w:num>
  <w:num w:numId="10" w16cid:durableId="1285572739">
    <w:abstractNumId w:val="26"/>
  </w:num>
  <w:num w:numId="11" w16cid:durableId="791285311">
    <w:abstractNumId w:val="31"/>
  </w:num>
  <w:num w:numId="12" w16cid:durableId="1388990297">
    <w:abstractNumId w:val="27"/>
  </w:num>
  <w:num w:numId="13" w16cid:durableId="18896844">
    <w:abstractNumId w:val="36"/>
  </w:num>
  <w:num w:numId="14" w16cid:durableId="207188967">
    <w:abstractNumId w:val="7"/>
  </w:num>
  <w:num w:numId="15" w16cid:durableId="1193348628">
    <w:abstractNumId w:val="18"/>
  </w:num>
  <w:num w:numId="16" w16cid:durableId="1028407219">
    <w:abstractNumId w:val="3"/>
  </w:num>
  <w:num w:numId="17" w16cid:durableId="138424824">
    <w:abstractNumId w:val="22"/>
  </w:num>
  <w:num w:numId="18" w16cid:durableId="997808923">
    <w:abstractNumId w:val="29"/>
  </w:num>
  <w:num w:numId="19" w16cid:durableId="45615683">
    <w:abstractNumId w:val="8"/>
  </w:num>
  <w:num w:numId="20" w16cid:durableId="838228266">
    <w:abstractNumId w:val="37"/>
  </w:num>
  <w:num w:numId="21" w16cid:durableId="498497945">
    <w:abstractNumId w:val="13"/>
  </w:num>
  <w:num w:numId="22" w16cid:durableId="304432051">
    <w:abstractNumId w:val="39"/>
  </w:num>
  <w:num w:numId="23" w16cid:durableId="62801392">
    <w:abstractNumId w:val="24"/>
  </w:num>
  <w:num w:numId="24" w16cid:durableId="1616474423">
    <w:abstractNumId w:val="30"/>
  </w:num>
  <w:num w:numId="25" w16cid:durableId="328950178">
    <w:abstractNumId w:val="41"/>
  </w:num>
  <w:num w:numId="26" w16cid:durableId="703098010">
    <w:abstractNumId w:val="4"/>
  </w:num>
  <w:num w:numId="27" w16cid:durableId="1978994426">
    <w:abstractNumId w:val="15"/>
  </w:num>
  <w:num w:numId="28" w16cid:durableId="1795828653">
    <w:abstractNumId w:val="40"/>
  </w:num>
  <w:num w:numId="29" w16cid:durableId="1902053504">
    <w:abstractNumId w:val="44"/>
  </w:num>
  <w:num w:numId="30" w16cid:durableId="101266293">
    <w:abstractNumId w:val="10"/>
  </w:num>
  <w:num w:numId="31" w16cid:durableId="1872066338">
    <w:abstractNumId w:val="1"/>
  </w:num>
  <w:num w:numId="32" w16cid:durableId="587732565">
    <w:abstractNumId w:val="16"/>
  </w:num>
  <w:num w:numId="33" w16cid:durableId="589628980">
    <w:abstractNumId w:val="14"/>
  </w:num>
  <w:num w:numId="34" w16cid:durableId="848371418">
    <w:abstractNumId w:val="42"/>
  </w:num>
  <w:num w:numId="35" w16cid:durableId="973406709">
    <w:abstractNumId w:val="17"/>
  </w:num>
  <w:num w:numId="36" w16cid:durableId="594367755">
    <w:abstractNumId w:val="6"/>
  </w:num>
  <w:num w:numId="37" w16cid:durableId="1036199690">
    <w:abstractNumId w:val="34"/>
  </w:num>
  <w:num w:numId="38" w16cid:durableId="1516847452">
    <w:abstractNumId w:val="11"/>
  </w:num>
  <w:num w:numId="39" w16cid:durableId="759764271">
    <w:abstractNumId w:val="35"/>
  </w:num>
  <w:num w:numId="40" w16cid:durableId="1583176112">
    <w:abstractNumId w:val="20"/>
  </w:num>
  <w:num w:numId="41" w16cid:durableId="13650100">
    <w:abstractNumId w:val="38"/>
  </w:num>
  <w:num w:numId="42" w16cid:durableId="1259800473">
    <w:abstractNumId w:val="12"/>
  </w:num>
  <w:num w:numId="43" w16cid:durableId="2139687472">
    <w:abstractNumId w:val="23"/>
  </w:num>
  <w:num w:numId="44" w16cid:durableId="995647443">
    <w:abstractNumId w:val="43"/>
  </w:num>
  <w:num w:numId="45" w16cid:durableId="18706056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47"/>
    <w:rsid w:val="000111DF"/>
    <w:rsid w:val="0001295D"/>
    <w:rsid w:val="00041A0A"/>
    <w:rsid w:val="00043CAA"/>
    <w:rsid w:val="00056816"/>
    <w:rsid w:val="00075432"/>
    <w:rsid w:val="000910E5"/>
    <w:rsid w:val="000968ED"/>
    <w:rsid w:val="000A30EC"/>
    <w:rsid w:val="000A3260"/>
    <w:rsid w:val="000A3D97"/>
    <w:rsid w:val="000B5B36"/>
    <w:rsid w:val="000D3DAB"/>
    <w:rsid w:val="000D42A9"/>
    <w:rsid w:val="000F5E56"/>
    <w:rsid w:val="00121D10"/>
    <w:rsid w:val="0012493D"/>
    <w:rsid w:val="001362EE"/>
    <w:rsid w:val="001406E1"/>
    <w:rsid w:val="00140F22"/>
    <w:rsid w:val="00155D8A"/>
    <w:rsid w:val="001647D5"/>
    <w:rsid w:val="00167832"/>
    <w:rsid w:val="00176FD1"/>
    <w:rsid w:val="001832A6"/>
    <w:rsid w:val="0019592A"/>
    <w:rsid w:val="001B3F24"/>
    <w:rsid w:val="001D2BF0"/>
    <w:rsid w:val="001D4107"/>
    <w:rsid w:val="001F1C46"/>
    <w:rsid w:val="00203D24"/>
    <w:rsid w:val="00210D5F"/>
    <w:rsid w:val="0021217E"/>
    <w:rsid w:val="002326AB"/>
    <w:rsid w:val="00243430"/>
    <w:rsid w:val="00247976"/>
    <w:rsid w:val="00250149"/>
    <w:rsid w:val="00262607"/>
    <w:rsid w:val="002634C4"/>
    <w:rsid w:val="00265354"/>
    <w:rsid w:val="00273181"/>
    <w:rsid w:val="002876C3"/>
    <w:rsid w:val="002928D3"/>
    <w:rsid w:val="002A7B3A"/>
    <w:rsid w:val="002D0D55"/>
    <w:rsid w:val="002F1FE6"/>
    <w:rsid w:val="002F3F26"/>
    <w:rsid w:val="002F4E68"/>
    <w:rsid w:val="0030305B"/>
    <w:rsid w:val="00303282"/>
    <w:rsid w:val="00312F7F"/>
    <w:rsid w:val="00321316"/>
    <w:rsid w:val="00321EB3"/>
    <w:rsid w:val="00327E12"/>
    <w:rsid w:val="003452A8"/>
    <w:rsid w:val="00361450"/>
    <w:rsid w:val="00364F1E"/>
    <w:rsid w:val="003673CF"/>
    <w:rsid w:val="00374F5B"/>
    <w:rsid w:val="00376168"/>
    <w:rsid w:val="003803C8"/>
    <w:rsid w:val="003845C1"/>
    <w:rsid w:val="003A6F89"/>
    <w:rsid w:val="003B2539"/>
    <w:rsid w:val="003B355C"/>
    <w:rsid w:val="003B3581"/>
    <w:rsid w:val="003B38C1"/>
    <w:rsid w:val="003C17A1"/>
    <w:rsid w:val="003C34E9"/>
    <w:rsid w:val="003C39AE"/>
    <w:rsid w:val="003F20F4"/>
    <w:rsid w:val="003F700B"/>
    <w:rsid w:val="00413353"/>
    <w:rsid w:val="00414970"/>
    <w:rsid w:val="00423E3E"/>
    <w:rsid w:val="00427AF4"/>
    <w:rsid w:val="004434C3"/>
    <w:rsid w:val="004467F2"/>
    <w:rsid w:val="0045246E"/>
    <w:rsid w:val="00452F85"/>
    <w:rsid w:val="004617F8"/>
    <w:rsid w:val="00461B51"/>
    <w:rsid w:val="004647DA"/>
    <w:rsid w:val="00474062"/>
    <w:rsid w:val="00474E01"/>
    <w:rsid w:val="00477D6B"/>
    <w:rsid w:val="0048522D"/>
    <w:rsid w:val="00495E20"/>
    <w:rsid w:val="004C14C3"/>
    <w:rsid w:val="004C7814"/>
    <w:rsid w:val="004D29A8"/>
    <w:rsid w:val="004F2DEB"/>
    <w:rsid w:val="005019FF"/>
    <w:rsid w:val="00501AC2"/>
    <w:rsid w:val="0050470A"/>
    <w:rsid w:val="0053057A"/>
    <w:rsid w:val="00556076"/>
    <w:rsid w:val="00560A29"/>
    <w:rsid w:val="005740C5"/>
    <w:rsid w:val="0057440F"/>
    <w:rsid w:val="00591847"/>
    <w:rsid w:val="0059409E"/>
    <w:rsid w:val="005B2C79"/>
    <w:rsid w:val="005B453D"/>
    <w:rsid w:val="005C3700"/>
    <w:rsid w:val="005C5B64"/>
    <w:rsid w:val="005C6649"/>
    <w:rsid w:val="005E7B89"/>
    <w:rsid w:val="005F0828"/>
    <w:rsid w:val="005F234A"/>
    <w:rsid w:val="005F5C87"/>
    <w:rsid w:val="00600D30"/>
    <w:rsid w:val="00605827"/>
    <w:rsid w:val="00646050"/>
    <w:rsid w:val="006713CA"/>
    <w:rsid w:val="00676C5C"/>
    <w:rsid w:val="006A516B"/>
    <w:rsid w:val="006B590A"/>
    <w:rsid w:val="006B5C12"/>
    <w:rsid w:val="006C5888"/>
    <w:rsid w:val="006D27D2"/>
    <w:rsid w:val="006D7AAB"/>
    <w:rsid w:val="006D7C7A"/>
    <w:rsid w:val="006F641A"/>
    <w:rsid w:val="006F788E"/>
    <w:rsid w:val="00702D35"/>
    <w:rsid w:val="00703CC1"/>
    <w:rsid w:val="00707712"/>
    <w:rsid w:val="0070778E"/>
    <w:rsid w:val="00716489"/>
    <w:rsid w:val="00720EFD"/>
    <w:rsid w:val="0072534F"/>
    <w:rsid w:val="00750C1A"/>
    <w:rsid w:val="007854AF"/>
    <w:rsid w:val="0079149A"/>
    <w:rsid w:val="00793A7C"/>
    <w:rsid w:val="007969D1"/>
    <w:rsid w:val="007A0E2A"/>
    <w:rsid w:val="007A398A"/>
    <w:rsid w:val="007C4902"/>
    <w:rsid w:val="007D1613"/>
    <w:rsid w:val="007E077F"/>
    <w:rsid w:val="007E4889"/>
    <w:rsid w:val="007E4C0E"/>
    <w:rsid w:val="007E5C17"/>
    <w:rsid w:val="00820911"/>
    <w:rsid w:val="008243C0"/>
    <w:rsid w:val="0087334A"/>
    <w:rsid w:val="00884566"/>
    <w:rsid w:val="008A134B"/>
    <w:rsid w:val="008A5C4D"/>
    <w:rsid w:val="008B2CC1"/>
    <w:rsid w:val="008B4EC1"/>
    <w:rsid w:val="008B60B2"/>
    <w:rsid w:val="008D1B10"/>
    <w:rsid w:val="008F5AFF"/>
    <w:rsid w:val="0090731E"/>
    <w:rsid w:val="00916EE2"/>
    <w:rsid w:val="0093527D"/>
    <w:rsid w:val="00937E11"/>
    <w:rsid w:val="0094554E"/>
    <w:rsid w:val="00947238"/>
    <w:rsid w:val="009476FE"/>
    <w:rsid w:val="00965E9C"/>
    <w:rsid w:val="00966A22"/>
    <w:rsid w:val="0096722F"/>
    <w:rsid w:val="00980843"/>
    <w:rsid w:val="009816B5"/>
    <w:rsid w:val="0099406E"/>
    <w:rsid w:val="0099577B"/>
    <w:rsid w:val="00995BFD"/>
    <w:rsid w:val="009B0855"/>
    <w:rsid w:val="009B48A1"/>
    <w:rsid w:val="009B51CF"/>
    <w:rsid w:val="009C6539"/>
    <w:rsid w:val="009D5243"/>
    <w:rsid w:val="009D6985"/>
    <w:rsid w:val="009E0E86"/>
    <w:rsid w:val="009E1721"/>
    <w:rsid w:val="009E1DAA"/>
    <w:rsid w:val="009E2791"/>
    <w:rsid w:val="009E3F6F"/>
    <w:rsid w:val="009E6552"/>
    <w:rsid w:val="009F499F"/>
    <w:rsid w:val="00A33241"/>
    <w:rsid w:val="00A37342"/>
    <w:rsid w:val="00A42DAF"/>
    <w:rsid w:val="00A448AB"/>
    <w:rsid w:val="00A45BD8"/>
    <w:rsid w:val="00A62919"/>
    <w:rsid w:val="00A869B7"/>
    <w:rsid w:val="00A90F0A"/>
    <w:rsid w:val="00AA589B"/>
    <w:rsid w:val="00AB51EC"/>
    <w:rsid w:val="00AC205C"/>
    <w:rsid w:val="00AC20E9"/>
    <w:rsid w:val="00AC574F"/>
    <w:rsid w:val="00AD30FC"/>
    <w:rsid w:val="00AD37BE"/>
    <w:rsid w:val="00AD5F3C"/>
    <w:rsid w:val="00AF0A6B"/>
    <w:rsid w:val="00B05A69"/>
    <w:rsid w:val="00B16840"/>
    <w:rsid w:val="00B26A4F"/>
    <w:rsid w:val="00B42CA9"/>
    <w:rsid w:val="00B51FF7"/>
    <w:rsid w:val="00B63965"/>
    <w:rsid w:val="00B75281"/>
    <w:rsid w:val="00B86A18"/>
    <w:rsid w:val="00B92F1F"/>
    <w:rsid w:val="00B953D5"/>
    <w:rsid w:val="00B9734B"/>
    <w:rsid w:val="00BA1FAA"/>
    <w:rsid w:val="00BA30E2"/>
    <w:rsid w:val="00BB49ED"/>
    <w:rsid w:val="00BB781F"/>
    <w:rsid w:val="00BC6536"/>
    <w:rsid w:val="00BF7B7A"/>
    <w:rsid w:val="00C02697"/>
    <w:rsid w:val="00C11BFE"/>
    <w:rsid w:val="00C3436A"/>
    <w:rsid w:val="00C5068F"/>
    <w:rsid w:val="00C60E4B"/>
    <w:rsid w:val="00C66AB2"/>
    <w:rsid w:val="00C73194"/>
    <w:rsid w:val="00C84A1C"/>
    <w:rsid w:val="00C86D74"/>
    <w:rsid w:val="00C91553"/>
    <w:rsid w:val="00C925E7"/>
    <w:rsid w:val="00CB3DBA"/>
    <w:rsid w:val="00CC3E2D"/>
    <w:rsid w:val="00CD04F1"/>
    <w:rsid w:val="00CE19F8"/>
    <w:rsid w:val="00CF4777"/>
    <w:rsid w:val="00CF681A"/>
    <w:rsid w:val="00D03C5D"/>
    <w:rsid w:val="00D07C78"/>
    <w:rsid w:val="00D15106"/>
    <w:rsid w:val="00D17E3E"/>
    <w:rsid w:val="00D33600"/>
    <w:rsid w:val="00D45252"/>
    <w:rsid w:val="00D50D33"/>
    <w:rsid w:val="00D512F3"/>
    <w:rsid w:val="00D60B2C"/>
    <w:rsid w:val="00D67EAE"/>
    <w:rsid w:val="00D71B4D"/>
    <w:rsid w:val="00D8520D"/>
    <w:rsid w:val="00D90B96"/>
    <w:rsid w:val="00D93D55"/>
    <w:rsid w:val="00DC17E3"/>
    <w:rsid w:val="00DD7B7F"/>
    <w:rsid w:val="00DE16E3"/>
    <w:rsid w:val="00DE6632"/>
    <w:rsid w:val="00DF3DEE"/>
    <w:rsid w:val="00E01288"/>
    <w:rsid w:val="00E076A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EE5B86"/>
    <w:rsid w:val="00F043DE"/>
    <w:rsid w:val="00F10E7C"/>
    <w:rsid w:val="00F1217E"/>
    <w:rsid w:val="00F248CE"/>
    <w:rsid w:val="00F37C4D"/>
    <w:rsid w:val="00F66152"/>
    <w:rsid w:val="00F76CB4"/>
    <w:rsid w:val="00F90C07"/>
    <w:rsid w:val="00F9165B"/>
    <w:rsid w:val="00FA17DA"/>
    <w:rsid w:val="00FA25A6"/>
    <w:rsid w:val="00FA6CAF"/>
    <w:rsid w:val="00FC482F"/>
    <w:rsid w:val="00FD0B86"/>
    <w:rsid w:val="00FD1C52"/>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94A5"/>
  <w15:docId w15:val="{E6569D57-EF86-43B3-9991-2CCBC2B2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37C4D"/>
    <w:pPr>
      <w:keepNext/>
      <w:spacing w:before="240" w:after="60"/>
      <w:outlineLvl w:val="1"/>
    </w:pPr>
    <w:rPr>
      <w:rFonts w:ascii="Calibri" w:hAnsi="Calibri"/>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rsid w:val="00D3360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4A1C"/>
    <w:rPr>
      <w:color w:val="0000FF" w:themeColor="hyperlink"/>
      <w:u w:val="single"/>
    </w:rPr>
  </w:style>
  <w:style w:type="character" w:styleId="UnresolvedMention">
    <w:name w:val="Unresolved Mention"/>
    <w:basedOn w:val="DefaultParagraphFont"/>
    <w:uiPriority w:val="99"/>
    <w:semiHidden/>
    <w:unhideWhenUsed/>
    <w:rsid w:val="00C8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6F35-079E-4268-A400-FD8862C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927</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CWS/11/26</vt:lpstr>
      <vt:lpstr>CWS/11/26</vt:lpstr>
    </vt:vector>
  </TitlesOfParts>
  <Company>WIPO</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CWS/11/26</dc:title>
  <dc:creator>WIPO</dc:creator>
  <cp:keywords>اللجنة المعنية بمعايير الويبو الدورة الثانية عشرة</cp:keywords>
  <cp:lastModifiedBy>BLANCHET Gaspard</cp:lastModifiedBy>
  <cp:revision>51</cp:revision>
  <cp:lastPrinted>2023-11-10T12:46:00Z</cp:lastPrinted>
  <dcterms:created xsi:type="dcterms:W3CDTF">2024-07-30T11:44:00Z</dcterms:created>
  <dcterms:modified xsi:type="dcterms:W3CDTF">2024-08-20T10:32:00Z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7f803cd8,782bd98,2fa182a8</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2024-08-08T12:26:12Z</vt:lpwstr>
  </property>
  <property fmtid="{D5CDD505-2E9C-101B-9397-08002B2CF9AE}" pid="13" name="MSIP_Label_bfc084f7-b690-4c43-8ee6-d475b6d3461d_Method">
    <vt:lpwstr>Privileged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dd046f42-94bf-4a87-8a1e-249d1d265a05</vt:lpwstr>
  </property>
  <property fmtid="{D5CDD505-2E9C-101B-9397-08002B2CF9AE}" pid="17" name="MSIP_Label_bfc084f7-b690-4c43-8ee6-d475b6d3461d_ContentBits">
    <vt:lpwstr>2</vt:lpwstr>
  </property>
</Properties>
</file>