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2B624"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1674034" wp14:editId="2116FF4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2E3601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2126250" w14:textId="3CF93D92" w:rsidR="008B2CC1" w:rsidRPr="00D8520D" w:rsidRDefault="0070778E" w:rsidP="00250149">
      <w:pPr>
        <w:bidi w:val="0"/>
        <w:rPr>
          <w:rFonts w:ascii="Arial Black" w:hAnsi="Arial Black"/>
          <w:caps/>
          <w:sz w:val="15"/>
          <w:szCs w:val="15"/>
          <w:rtl/>
          <w:lang w:bidi="ar-EG"/>
        </w:rPr>
      </w:pPr>
      <w:bookmarkStart w:id="0" w:name="Code"/>
      <w:bookmarkEnd w:id="0"/>
      <w:r>
        <w:rPr>
          <w:rFonts w:ascii="Arial Black" w:hAnsi="Arial Black"/>
          <w:caps/>
          <w:sz w:val="15"/>
          <w:szCs w:val="15"/>
        </w:rPr>
        <w:t>CWS/1</w:t>
      </w:r>
      <w:r w:rsidR="00D8520D">
        <w:rPr>
          <w:rFonts w:ascii="Arial Black" w:hAnsi="Arial Black"/>
          <w:caps/>
          <w:sz w:val="15"/>
          <w:szCs w:val="15"/>
        </w:rPr>
        <w:t>2/</w:t>
      </w:r>
      <w:r w:rsidR="003803C8">
        <w:rPr>
          <w:rFonts w:ascii="Arial Black" w:hAnsi="Arial Black"/>
          <w:caps/>
          <w:sz w:val="15"/>
          <w:szCs w:val="15"/>
        </w:rPr>
        <w:t>2</w:t>
      </w:r>
      <w:r w:rsidR="00DC2FBB">
        <w:rPr>
          <w:rFonts w:ascii="Arial Black" w:hAnsi="Arial Black"/>
          <w:caps/>
          <w:sz w:val="15"/>
          <w:szCs w:val="15"/>
        </w:rPr>
        <w:t>4</w:t>
      </w:r>
    </w:p>
    <w:p w14:paraId="56526BBB" w14:textId="77777777" w:rsidR="008B2CC1" w:rsidRPr="00DA22FA" w:rsidRDefault="00CC3E2D" w:rsidP="00CC3E2D">
      <w:pPr>
        <w:jc w:val="right"/>
        <w:rPr>
          <w:rFonts w:asciiTheme="minorHAnsi" w:hAnsiTheme="minorHAnsi" w:cstheme="minorHAnsi"/>
          <w:b/>
          <w:bCs/>
          <w:caps/>
          <w:sz w:val="15"/>
          <w:szCs w:val="15"/>
        </w:rPr>
      </w:pPr>
      <w:bookmarkStart w:id="1" w:name="Original"/>
      <w:r w:rsidRPr="00DA22FA">
        <w:rPr>
          <w:rFonts w:asciiTheme="minorHAnsi" w:hAnsiTheme="minorHAnsi" w:cstheme="minorHAnsi" w:hint="cs"/>
          <w:b/>
          <w:bCs/>
          <w:caps/>
          <w:sz w:val="15"/>
          <w:szCs w:val="15"/>
          <w:rtl/>
        </w:rPr>
        <w:t xml:space="preserve">الأصل: </w:t>
      </w:r>
      <w:r w:rsidR="00F37C4D" w:rsidRPr="00DA22FA">
        <w:rPr>
          <w:rFonts w:ascii="Arial Black" w:hAnsi="Arial Black" w:hint="cs"/>
          <w:b/>
          <w:bCs/>
          <w:caps/>
          <w:sz w:val="15"/>
          <w:szCs w:val="15"/>
          <w:rtl/>
        </w:rPr>
        <w:t>بالإنكليزية</w:t>
      </w:r>
    </w:p>
    <w:p w14:paraId="32FBC884" w14:textId="3713D6F4" w:rsidR="008B2CC1" w:rsidRPr="00D8520D" w:rsidRDefault="00CC3E2D" w:rsidP="00F37C4D">
      <w:pPr>
        <w:spacing w:after="1200"/>
        <w:jc w:val="right"/>
        <w:rPr>
          <w:rFonts w:asciiTheme="minorHAnsi" w:hAnsiTheme="minorHAnsi" w:cstheme="minorHAnsi"/>
          <w:b/>
          <w:bCs/>
          <w:caps/>
          <w:sz w:val="15"/>
          <w:szCs w:val="15"/>
          <w:rtl/>
          <w:lang w:val="fr-FR" w:bidi="ar-SY"/>
        </w:rPr>
      </w:pPr>
      <w:bookmarkStart w:id="2" w:name="Date"/>
      <w:bookmarkEnd w:id="1"/>
      <w:r w:rsidRPr="00DA22FA">
        <w:rPr>
          <w:rFonts w:asciiTheme="minorHAnsi" w:hAnsiTheme="minorHAnsi" w:cstheme="minorHAnsi" w:hint="cs"/>
          <w:b/>
          <w:bCs/>
          <w:caps/>
          <w:sz w:val="15"/>
          <w:szCs w:val="15"/>
          <w:rtl/>
        </w:rPr>
        <w:t>التاريخ:</w:t>
      </w:r>
      <w:r w:rsidR="00F37C4D" w:rsidRPr="00DA22FA">
        <w:rPr>
          <w:rFonts w:asciiTheme="minorHAnsi" w:hAnsiTheme="minorHAnsi" w:cstheme="minorHAnsi" w:hint="cs"/>
          <w:b/>
          <w:bCs/>
          <w:caps/>
          <w:sz w:val="15"/>
          <w:szCs w:val="15"/>
          <w:rtl/>
        </w:rPr>
        <w:t xml:space="preserve"> </w:t>
      </w:r>
      <w:r w:rsidR="00DC2FBB" w:rsidRPr="00DA22FA">
        <w:rPr>
          <w:rFonts w:asciiTheme="minorHAnsi" w:hAnsiTheme="minorHAnsi" w:cstheme="minorHAnsi" w:hint="cs"/>
          <w:b/>
          <w:bCs/>
          <w:caps/>
          <w:sz w:val="15"/>
          <w:szCs w:val="15"/>
          <w:rtl/>
          <w:lang w:bidi="ar-SY"/>
        </w:rPr>
        <w:t>15</w:t>
      </w:r>
      <w:r w:rsidR="00D8520D" w:rsidRPr="00DA22FA">
        <w:rPr>
          <w:rFonts w:asciiTheme="minorHAnsi" w:hAnsiTheme="minorHAnsi" w:cstheme="minorHAnsi" w:hint="cs"/>
          <w:b/>
          <w:bCs/>
          <w:caps/>
          <w:sz w:val="15"/>
          <w:szCs w:val="15"/>
          <w:rtl/>
          <w:lang w:bidi="ar-SY"/>
        </w:rPr>
        <w:t xml:space="preserve"> </w:t>
      </w:r>
      <w:r w:rsidR="009E0E86" w:rsidRPr="00DA22FA">
        <w:rPr>
          <w:rFonts w:asciiTheme="minorHAnsi" w:hAnsiTheme="minorHAnsi" w:cstheme="minorHAnsi" w:hint="cs"/>
          <w:b/>
          <w:bCs/>
          <w:caps/>
          <w:sz w:val="15"/>
          <w:szCs w:val="15"/>
          <w:rtl/>
          <w:lang w:bidi="ar-SY"/>
        </w:rPr>
        <w:t>أغسطس</w:t>
      </w:r>
      <w:r w:rsidR="00D8520D">
        <w:rPr>
          <w:rFonts w:asciiTheme="minorHAnsi" w:hAnsiTheme="minorHAnsi" w:cstheme="minorHAnsi" w:hint="cs"/>
          <w:b/>
          <w:bCs/>
          <w:caps/>
          <w:sz w:val="15"/>
          <w:szCs w:val="15"/>
          <w:rtl/>
          <w:lang w:bidi="ar-SY"/>
        </w:rPr>
        <w:t xml:space="preserve"> 2024</w:t>
      </w:r>
    </w:p>
    <w:bookmarkEnd w:id="2"/>
    <w:p w14:paraId="514FE311" w14:textId="77777777" w:rsidR="00DC2FBB" w:rsidRPr="00DA22FA" w:rsidRDefault="00DC2FBB" w:rsidP="00DC2FBB">
      <w:pPr>
        <w:pStyle w:val="Heading1"/>
        <w:rPr>
          <w:rFonts w:asciiTheme="minorHAnsi" w:hAnsiTheme="minorHAnsi" w:cstheme="minorHAnsi"/>
          <w:sz w:val="40"/>
          <w:rtl/>
        </w:rPr>
      </w:pPr>
      <w:r w:rsidRPr="00DA22FA">
        <w:rPr>
          <w:rFonts w:asciiTheme="minorHAnsi" w:hAnsiTheme="minorHAnsi" w:cstheme="minorHAnsi"/>
          <w:rtl/>
        </w:rPr>
        <w:t>اللجنة المعنية بمعايير الويبو (لجنة المعايير)</w:t>
      </w:r>
    </w:p>
    <w:p w14:paraId="00C6E363" w14:textId="77777777" w:rsidR="00DC2FBB" w:rsidRPr="002C422F" w:rsidRDefault="00DC2FBB" w:rsidP="00DC2FBB">
      <w:pPr>
        <w:outlineLvl w:val="1"/>
        <w:rPr>
          <w:rFonts w:asciiTheme="minorHAnsi" w:hAnsiTheme="minorHAnsi" w:cstheme="minorHAnsi"/>
          <w:b/>
          <w:sz w:val="24"/>
          <w:szCs w:val="24"/>
          <w:rtl/>
        </w:rPr>
      </w:pPr>
      <w:r w:rsidRPr="002C422F">
        <w:rPr>
          <w:rFonts w:asciiTheme="minorHAnsi" w:hAnsiTheme="minorHAnsi" w:cstheme="minorHAnsi"/>
          <w:b/>
          <w:bCs/>
          <w:sz w:val="24"/>
          <w:szCs w:val="24"/>
          <w:rtl/>
        </w:rPr>
        <w:t>الدورة الثانية عشرة</w:t>
      </w:r>
    </w:p>
    <w:p w14:paraId="690E0921" w14:textId="77777777" w:rsidR="00DC2FBB" w:rsidRPr="002C422F" w:rsidRDefault="00DC2FBB" w:rsidP="00DC2FBB">
      <w:pPr>
        <w:spacing w:after="720"/>
        <w:outlineLvl w:val="1"/>
        <w:rPr>
          <w:rFonts w:asciiTheme="minorHAnsi" w:hAnsiTheme="minorHAnsi" w:cstheme="minorHAnsi"/>
          <w:b/>
          <w:sz w:val="24"/>
          <w:szCs w:val="24"/>
          <w:rtl/>
        </w:rPr>
      </w:pPr>
      <w:r w:rsidRPr="002C422F">
        <w:rPr>
          <w:rFonts w:asciiTheme="minorHAnsi" w:hAnsiTheme="minorHAnsi" w:cstheme="minorHAnsi"/>
          <w:b/>
          <w:bCs/>
          <w:sz w:val="24"/>
          <w:szCs w:val="24"/>
          <w:rtl/>
        </w:rPr>
        <w:t>جنيف، من 16 إلى 19 سبتمبر 2024</w:t>
      </w:r>
    </w:p>
    <w:p w14:paraId="5A8131B8" w14:textId="77777777" w:rsidR="00DC2FBB" w:rsidRPr="00C53690" w:rsidRDefault="00DC2FBB" w:rsidP="00DC2FBB">
      <w:pPr>
        <w:spacing w:after="360"/>
        <w:outlineLvl w:val="0"/>
        <w:rPr>
          <w:rFonts w:asciiTheme="minorHAnsi" w:hAnsiTheme="minorHAnsi" w:cstheme="minorHAnsi"/>
          <w:b/>
          <w:bCs/>
          <w:caps/>
          <w:sz w:val="24"/>
          <w:rtl/>
        </w:rPr>
      </w:pPr>
      <w:bookmarkStart w:id="3" w:name="TitleOfDoc"/>
      <w:r w:rsidRPr="00C53690">
        <w:rPr>
          <w:rFonts w:asciiTheme="minorHAnsi" w:hAnsiTheme="minorHAnsi" w:cstheme="minorHAnsi"/>
          <w:b/>
          <w:bCs/>
          <w:caps/>
          <w:sz w:val="24"/>
          <w:szCs w:val="24"/>
          <w:rtl/>
        </w:rPr>
        <w:t>تقرير بشأن التقارير التقنية السنوية لعام 2023</w:t>
      </w:r>
    </w:p>
    <w:p w14:paraId="295D5961" w14:textId="77777777" w:rsidR="00DC2FBB" w:rsidRPr="002C422F" w:rsidRDefault="00DC2FBB" w:rsidP="00DC2FBB">
      <w:pPr>
        <w:spacing w:after="240"/>
        <w:rPr>
          <w:rFonts w:asciiTheme="minorHAnsi" w:hAnsiTheme="minorHAnsi" w:cstheme="minorHAnsi"/>
          <w:i/>
          <w:rtl/>
        </w:rPr>
      </w:pPr>
      <w:bookmarkStart w:id="4" w:name="Prepared"/>
      <w:bookmarkEnd w:id="3"/>
      <w:bookmarkEnd w:id="4"/>
      <w:r w:rsidRPr="002C422F">
        <w:rPr>
          <w:rFonts w:asciiTheme="minorHAnsi" w:hAnsiTheme="minorHAnsi" w:cstheme="minorHAnsi"/>
          <w:i/>
          <w:iCs/>
          <w:rtl/>
        </w:rPr>
        <w:t>وثيقة من إعداد الأمانة</w:t>
      </w:r>
    </w:p>
    <w:p w14:paraId="6686C7E9" w14:textId="77777777" w:rsidR="0012493D" w:rsidRPr="009E0E86" w:rsidRDefault="0012493D" w:rsidP="009E0E86">
      <w:pPr>
        <w:spacing w:after="360"/>
        <w:outlineLvl w:val="0"/>
        <w:rPr>
          <w:i/>
          <w:iCs/>
          <w:rtl/>
          <w:lang w:bidi="ar-EG"/>
        </w:rPr>
      </w:pPr>
    </w:p>
    <w:p w14:paraId="2E880CA3" w14:textId="2A6CE4D8" w:rsidR="00DC2FBB" w:rsidRPr="00DA22FA" w:rsidRDefault="00DC2FBB" w:rsidP="00DC2FBB">
      <w:pPr>
        <w:pStyle w:val="Heading2"/>
        <w:spacing w:before="0"/>
        <w:rPr>
          <w:rFonts w:eastAsia="Malgun Gothic"/>
          <w:b w:val="0"/>
          <w:bCs/>
          <w:caps w:val="0"/>
          <w:sz w:val="26"/>
          <w:szCs w:val="26"/>
          <w:rtl/>
        </w:rPr>
      </w:pPr>
      <w:r w:rsidRPr="00DA22FA">
        <w:rPr>
          <w:rFonts w:hint="cs"/>
          <w:b w:val="0"/>
          <w:bCs/>
          <w:caps w:val="0"/>
          <w:sz w:val="26"/>
          <w:szCs w:val="26"/>
          <w:rtl/>
        </w:rPr>
        <w:t>ملخص</w:t>
      </w:r>
    </w:p>
    <w:p w14:paraId="34598994" w14:textId="58974F2D" w:rsidR="00DC2FBB" w:rsidRPr="00B80DE6" w:rsidRDefault="00C53690" w:rsidP="00DC2FBB">
      <w:pPr>
        <w:pStyle w:val="ONUMFS"/>
        <w:numPr>
          <w:ilvl w:val="0"/>
          <w:numId w:val="0"/>
        </w:numPr>
        <w:rPr>
          <w:rtl/>
        </w:rPr>
      </w:pPr>
      <w:r>
        <w:rPr>
          <w:rFonts w:hint="cs"/>
          <w:rtl/>
        </w:rPr>
        <w:t>1.</w:t>
      </w:r>
      <w:r>
        <w:rPr>
          <w:rtl/>
        </w:rPr>
        <w:tab/>
      </w:r>
      <w:r w:rsidR="00DC2FBB">
        <w:rPr>
          <w:rFonts w:hint="cs"/>
          <w:rtl/>
        </w:rPr>
        <w:t xml:space="preserve">تتضمن هذه الوثيقة معلومات عن التقارير التقنية السنوية التي قدمتها مكاتب الملكية الفكرية في عام </w:t>
      </w:r>
      <w:r w:rsidR="00DC2FBB" w:rsidRPr="00D5664D">
        <w:rPr>
          <w:rFonts w:hint="cs"/>
          <w:rtl/>
        </w:rPr>
        <w:t>2024</w:t>
      </w:r>
      <w:r w:rsidR="00DC2FBB">
        <w:rPr>
          <w:rFonts w:hint="cs"/>
          <w:rtl/>
        </w:rPr>
        <w:t>. وبما أن الفترة التجريبية باستخدام النسق المبسط قد انتهت بزيادة في عدد التقارير السنوية المستلمة، يقترح المكتب الدولي مواصلة جمع التقارير التقنية السنوية.</w:t>
      </w:r>
    </w:p>
    <w:p w14:paraId="69FFCDBA" w14:textId="77777777" w:rsidR="00DC2FBB" w:rsidRPr="00DA22FA" w:rsidRDefault="00DC2FBB" w:rsidP="00DC2FBB">
      <w:pPr>
        <w:pStyle w:val="Heading2"/>
        <w:spacing w:before="0"/>
        <w:rPr>
          <w:rFonts w:eastAsia="Malgun Gothic"/>
          <w:b w:val="0"/>
          <w:bCs/>
          <w:caps w:val="0"/>
          <w:sz w:val="26"/>
          <w:szCs w:val="26"/>
          <w:rtl/>
        </w:rPr>
      </w:pPr>
      <w:r w:rsidRPr="00DA22FA">
        <w:rPr>
          <w:rFonts w:hint="cs"/>
          <w:b w:val="0"/>
          <w:bCs/>
          <w:caps w:val="0"/>
          <w:sz w:val="26"/>
          <w:szCs w:val="26"/>
          <w:rtl/>
        </w:rPr>
        <w:t>معلومات أساسية</w:t>
      </w:r>
    </w:p>
    <w:p w14:paraId="1584460B" w14:textId="08359A04" w:rsidR="00DC2FBB" w:rsidRPr="00B80DE6" w:rsidRDefault="00C53690" w:rsidP="00DC2FBB">
      <w:pPr>
        <w:pStyle w:val="ONUMFS"/>
        <w:numPr>
          <w:ilvl w:val="0"/>
          <w:numId w:val="0"/>
        </w:numPr>
        <w:rPr>
          <w:rtl/>
        </w:rPr>
      </w:pPr>
      <w:r>
        <w:rPr>
          <w:rFonts w:hint="cs"/>
          <w:rtl/>
        </w:rPr>
        <w:t>2.</w:t>
      </w:r>
      <w:r>
        <w:rPr>
          <w:rtl/>
        </w:rPr>
        <w:tab/>
      </w:r>
      <w:r w:rsidR="00DC2FBB">
        <w:rPr>
          <w:rFonts w:hint="cs"/>
          <w:rtl/>
        </w:rPr>
        <w:t>يجمع المكتب الدولي التقارير التقنية السنوية منذ عام 1978 وينشرها على موقع الويبو الإلكتروني منذ عام 1998. ولا تزال مكاتب الملكية الفكرية مدعوة إلى تقديم تقاريرها التقنية السنوية في إطار المهمة رقم 24 التي يرد وصفها كما يلي:</w:t>
      </w:r>
    </w:p>
    <w:p w14:paraId="0E7FD5F0" w14:textId="60DAF27A" w:rsidR="00DC2FBB" w:rsidRPr="00B80DE6" w:rsidRDefault="00DC2FBB" w:rsidP="00DC2FBB">
      <w:pPr>
        <w:pStyle w:val="ONUMFS"/>
        <w:numPr>
          <w:ilvl w:val="0"/>
          <w:numId w:val="0"/>
        </w:numPr>
        <w:ind w:left="567"/>
        <w:rPr>
          <w:i/>
          <w:iCs/>
          <w:rtl/>
        </w:rPr>
      </w:pPr>
      <w:r>
        <w:rPr>
          <w:rFonts w:hint="cs"/>
          <w:i/>
          <w:iCs/>
          <w:rtl/>
        </w:rPr>
        <w:t>“</w:t>
      </w:r>
      <w:r w:rsidR="00C178EA" w:rsidRPr="00C178EA">
        <w:rPr>
          <w:i/>
          <w:iCs/>
          <w:rtl/>
        </w:rPr>
        <w:t>جمع التقارير التقنية السنوية بشأن أنشطة أعضاء اللجنة في مجال المعلومات المتعلقة بالبراءات والعلامات التجارية والتصاميم الصناعية ونشرها (التقرير التقني السنوي بشأن المعلومات المتعلقة بالبراءات، والتقرير التقني السنوي بشأن العلامات التجارية، والتقرير التقني السنوي بشأن التصاميم الصناعية)</w:t>
      </w:r>
      <w:r>
        <w:rPr>
          <w:rFonts w:hint="cs"/>
          <w:i/>
          <w:iCs/>
          <w:rtl/>
        </w:rPr>
        <w:t>”</w:t>
      </w:r>
    </w:p>
    <w:p w14:paraId="593F05AB" w14:textId="19EE0F11" w:rsidR="00DC2FBB" w:rsidRPr="00B80DE6" w:rsidRDefault="00C53690" w:rsidP="00DC2FBB">
      <w:pPr>
        <w:rPr>
          <w:rtl/>
        </w:rPr>
      </w:pPr>
      <w:r>
        <w:rPr>
          <w:rFonts w:hint="cs"/>
          <w:rtl/>
        </w:rPr>
        <w:t>3.</w:t>
      </w:r>
      <w:r>
        <w:rPr>
          <w:rtl/>
        </w:rPr>
        <w:tab/>
      </w:r>
      <w:r w:rsidR="00DC2FBB">
        <w:rPr>
          <w:rFonts w:hint="cs"/>
          <w:rtl/>
        </w:rPr>
        <w:t xml:space="preserve">وخلال الدورة التاسعة للجنة المعايير المنعقدة في عام 2021، </w:t>
      </w:r>
      <w:r w:rsidR="00C178EA">
        <w:rPr>
          <w:rFonts w:hint="cs"/>
          <w:rtl/>
        </w:rPr>
        <w:t>و</w:t>
      </w:r>
      <w:r w:rsidR="00DC2FBB">
        <w:rPr>
          <w:rFonts w:hint="cs"/>
          <w:rtl/>
        </w:rPr>
        <w:t xml:space="preserve">بعد أن أحاطت </w:t>
      </w:r>
      <w:r w:rsidR="00C178EA">
        <w:rPr>
          <w:rFonts w:hint="cs"/>
          <w:rtl/>
        </w:rPr>
        <w:t xml:space="preserve">لجنة </w:t>
      </w:r>
      <w:r w:rsidR="0087457E">
        <w:rPr>
          <w:rFonts w:hint="cs"/>
          <w:rtl/>
        </w:rPr>
        <w:t xml:space="preserve">المعايير </w:t>
      </w:r>
      <w:r w:rsidR="00DC2FBB">
        <w:rPr>
          <w:rFonts w:hint="cs"/>
          <w:rtl/>
        </w:rPr>
        <w:t>علما</w:t>
      </w:r>
      <w:r w:rsidR="00C178EA">
        <w:rPr>
          <w:rFonts w:hint="cs"/>
          <w:rtl/>
        </w:rPr>
        <w:t>ً</w:t>
      </w:r>
      <w:r w:rsidR="00DC2FBB">
        <w:rPr>
          <w:rFonts w:hint="cs"/>
          <w:rtl/>
        </w:rPr>
        <w:t xml:space="preserve"> بانخفاض المشاركة وفائدتها، نظرت في خيارين اقترحهما المكتب الدولي لتحسين جمع التقارير التقنية السنوية وهما: وقف جمع التقارير </w:t>
      </w:r>
      <w:r w:rsidR="008C01BF">
        <w:rPr>
          <w:rFonts w:hint="cs"/>
          <w:rtl/>
        </w:rPr>
        <w:t>التقنية</w:t>
      </w:r>
      <w:r w:rsidR="00DC2FBB">
        <w:rPr>
          <w:rFonts w:hint="cs"/>
          <w:rtl/>
        </w:rPr>
        <w:t xml:space="preserve"> السنوية وتبسيط جمع التقارير التقنية السنوية من خلال جمع روابط ل</w:t>
      </w:r>
      <w:r w:rsidR="0087457E">
        <w:rPr>
          <w:rFonts w:hint="cs"/>
          <w:rtl/>
        </w:rPr>
        <w:t>تلك</w:t>
      </w:r>
      <w:r w:rsidR="00DC2FBB">
        <w:rPr>
          <w:rFonts w:hint="cs"/>
          <w:rtl/>
        </w:rPr>
        <w:t xml:space="preserve"> المعلومات من المواقع الإلكترونية لمكاتب الملكية الفكرية. وقد أعد المكتب الدولي الخيار</w:t>
      </w:r>
      <w:r w:rsidR="0087457E">
        <w:rPr>
          <w:rFonts w:hint="cs"/>
          <w:rtl/>
        </w:rPr>
        <w:t>ين المذكورين</w:t>
      </w:r>
      <w:r w:rsidR="00DC2FBB">
        <w:rPr>
          <w:rFonts w:hint="cs"/>
          <w:rtl/>
        </w:rPr>
        <w:t xml:space="preserve"> على أساس أن هذا النوع من المعلومات متاح الآن عادة على نطاق واسع من خلال مصادر أخرى، ومن ثم قد تكون الأغراض الأصلية لهذه التقارير التقنية السنوية قد تحققت من خلال وسائل أخرى. وعلى وجه الخصوص، البيانات التقنية ذات الصلة متاحة في التقارير السنوية لمكاتب الملكية الفكرية ومواقعها الإلكترونية، وعدد التقارير التقنية السنوية المقدمة </w:t>
      </w:r>
      <w:r w:rsidR="0087457E">
        <w:rPr>
          <w:rFonts w:hint="cs"/>
          <w:rtl/>
        </w:rPr>
        <w:t>في تناقص</w:t>
      </w:r>
      <w:r w:rsidR="00DC2FBB">
        <w:rPr>
          <w:rFonts w:hint="cs"/>
          <w:rtl/>
        </w:rPr>
        <w:t>، و</w:t>
      </w:r>
      <w:r w:rsidR="0087457E">
        <w:rPr>
          <w:rFonts w:hint="cs"/>
          <w:rtl/>
        </w:rPr>
        <w:t xml:space="preserve">هناك </w:t>
      </w:r>
      <w:r w:rsidR="00DC2FBB">
        <w:rPr>
          <w:rFonts w:hint="cs"/>
          <w:rtl/>
        </w:rPr>
        <w:t xml:space="preserve">عدد </w:t>
      </w:r>
      <w:r w:rsidR="0087457E">
        <w:rPr>
          <w:rFonts w:hint="cs"/>
          <w:rtl/>
        </w:rPr>
        <w:t xml:space="preserve">قليل من </w:t>
      </w:r>
      <w:r w:rsidR="00DC2FBB">
        <w:rPr>
          <w:rFonts w:hint="cs"/>
          <w:rtl/>
        </w:rPr>
        <w:t xml:space="preserve">المستخدمين المتصفحين للتقارير التقنية السنوية. انظر(ي) الوثيقة </w:t>
      </w:r>
      <w:r w:rsidR="00DC2FBB">
        <w:t>CWS/9/18</w:t>
      </w:r>
      <w:r w:rsidR="00DC2FBB">
        <w:rPr>
          <w:rFonts w:hint="cs"/>
          <w:rtl/>
        </w:rPr>
        <w:t>.</w:t>
      </w:r>
    </w:p>
    <w:p w14:paraId="61C954C6" w14:textId="77777777" w:rsidR="00DC2FBB" w:rsidRPr="00B80DE6" w:rsidRDefault="00DC2FBB" w:rsidP="00DC2FBB"/>
    <w:p w14:paraId="03C6201A" w14:textId="7674C314" w:rsidR="00DC2FBB" w:rsidRPr="00B80DE6" w:rsidRDefault="00C53690" w:rsidP="00DC2FBB">
      <w:pPr>
        <w:rPr>
          <w:rtl/>
        </w:rPr>
      </w:pPr>
      <w:r>
        <w:rPr>
          <w:rFonts w:hint="cs"/>
          <w:rtl/>
        </w:rPr>
        <w:t>4.</w:t>
      </w:r>
      <w:r>
        <w:rPr>
          <w:rtl/>
        </w:rPr>
        <w:tab/>
      </w:r>
      <w:r w:rsidR="0087457E">
        <w:rPr>
          <w:rFonts w:hint="cs"/>
          <w:rtl/>
        </w:rPr>
        <w:t>و</w:t>
      </w:r>
      <w:r w:rsidR="00DC2FBB">
        <w:rPr>
          <w:rFonts w:hint="cs"/>
          <w:rtl/>
        </w:rPr>
        <w:t xml:space="preserve">أثناء الدورة نفسها، وافقت لجنة المعايير على </w:t>
      </w:r>
      <w:r w:rsidR="0087457E">
        <w:rPr>
          <w:rFonts w:hint="cs"/>
          <w:rtl/>
        </w:rPr>
        <w:t>تجريب</w:t>
      </w:r>
      <w:r w:rsidR="00DC2FBB">
        <w:rPr>
          <w:rFonts w:hint="cs"/>
          <w:rtl/>
        </w:rPr>
        <w:t xml:space="preserve"> استخدام نسق مبسط يمكن </w:t>
      </w:r>
      <w:r w:rsidR="0087457E">
        <w:rPr>
          <w:rFonts w:hint="cs"/>
          <w:rtl/>
        </w:rPr>
        <w:t>عبره ل</w:t>
      </w:r>
      <w:r w:rsidR="00DC2FBB">
        <w:rPr>
          <w:rFonts w:hint="cs"/>
          <w:rtl/>
        </w:rPr>
        <w:t>مكاتب الملكية الفكرية توفير روابط إلى تقريرها السنوي أو موقعها الإلكتروني بدلا</w:t>
      </w:r>
      <w:r w:rsidR="0087457E">
        <w:rPr>
          <w:rFonts w:hint="cs"/>
          <w:rtl/>
        </w:rPr>
        <w:t>ً</w:t>
      </w:r>
      <w:r w:rsidR="00DC2FBB">
        <w:rPr>
          <w:rFonts w:hint="cs"/>
          <w:rtl/>
        </w:rPr>
        <w:t xml:space="preserve"> من تفصيل أنشطتها وأنظمتها من خلال تقديم نص، لمدة 3 سنوات (انظر الفقرة 104 </w:t>
      </w:r>
      <w:r w:rsidR="00DC2FBB">
        <w:rPr>
          <w:rFonts w:hint="cs"/>
          <w:rtl/>
        </w:rPr>
        <w:lastRenderedPageBreak/>
        <w:t xml:space="preserve">من الوثيقة </w:t>
      </w:r>
      <w:r w:rsidR="00DC2FBB">
        <w:t>CWS/9/25</w:t>
      </w:r>
      <w:r w:rsidR="00DC2FBB">
        <w:rPr>
          <w:rFonts w:hint="cs"/>
          <w:rtl/>
        </w:rPr>
        <w:t>). واتفقت لجنة المعايير أيضا</w:t>
      </w:r>
      <w:r w:rsidR="0087457E">
        <w:rPr>
          <w:rFonts w:hint="cs"/>
          <w:rtl/>
        </w:rPr>
        <w:t>ً</w:t>
      </w:r>
      <w:r w:rsidR="00DC2FBB">
        <w:rPr>
          <w:rFonts w:hint="cs"/>
          <w:rtl/>
        </w:rPr>
        <w:t xml:space="preserve"> على أنه بعد هذه الفترة ستعيد النظر </w:t>
      </w:r>
      <w:r w:rsidR="008C01BF">
        <w:rPr>
          <w:rFonts w:hint="cs"/>
          <w:rtl/>
        </w:rPr>
        <w:t>فيما</w:t>
      </w:r>
      <w:r w:rsidR="00DC2FBB">
        <w:rPr>
          <w:rFonts w:hint="cs"/>
          <w:rtl/>
        </w:rPr>
        <w:t xml:space="preserve"> إذا كانت ستستمر في جمع التقارير التقنية السنوية في دورتها الثانية عشرة. (انظر الفقرة 105 من الوثيقة </w:t>
      </w:r>
      <w:r w:rsidR="00DC2FBB">
        <w:t>CWS/9/25</w:t>
      </w:r>
      <w:r w:rsidR="00DC2FBB">
        <w:rPr>
          <w:rFonts w:hint="cs"/>
          <w:rtl/>
        </w:rPr>
        <w:t>).</w:t>
      </w:r>
    </w:p>
    <w:p w14:paraId="62CA35B3" w14:textId="77777777" w:rsidR="00DC2FBB" w:rsidRPr="00B80DE6" w:rsidRDefault="00DC2FBB" w:rsidP="00DC2FBB"/>
    <w:p w14:paraId="027AECF9" w14:textId="77777777" w:rsidR="00DC2FBB" w:rsidRPr="00DA22FA" w:rsidRDefault="00DC2FBB" w:rsidP="00DC2FBB">
      <w:pPr>
        <w:pStyle w:val="Heading2"/>
        <w:spacing w:before="0"/>
        <w:rPr>
          <w:b w:val="0"/>
          <w:bCs/>
          <w:sz w:val="26"/>
          <w:szCs w:val="26"/>
          <w:rtl/>
        </w:rPr>
      </w:pPr>
      <w:r w:rsidRPr="00DA22FA">
        <w:rPr>
          <w:rFonts w:hint="cs"/>
          <w:b w:val="0"/>
          <w:bCs/>
          <w:caps w:val="0"/>
          <w:sz w:val="26"/>
          <w:szCs w:val="26"/>
          <w:rtl/>
        </w:rPr>
        <w:t>تقارير الأنشطة لعام 2023</w:t>
      </w:r>
    </w:p>
    <w:p w14:paraId="40E1B0DF" w14:textId="1319D178" w:rsidR="00DC2FBB" w:rsidRPr="00B80DE6" w:rsidRDefault="00C53690" w:rsidP="00DC2FBB">
      <w:pPr>
        <w:pStyle w:val="ONUMFS"/>
        <w:numPr>
          <w:ilvl w:val="0"/>
          <w:numId w:val="0"/>
        </w:numPr>
        <w:rPr>
          <w:rtl/>
        </w:rPr>
      </w:pPr>
      <w:r>
        <w:rPr>
          <w:rFonts w:hint="cs"/>
          <w:rtl/>
        </w:rPr>
        <w:t>5.</w:t>
      </w:r>
      <w:r>
        <w:rPr>
          <w:rtl/>
        </w:rPr>
        <w:tab/>
      </w:r>
      <w:r w:rsidR="00DC2FBB">
        <w:rPr>
          <w:rFonts w:hint="cs"/>
          <w:rtl/>
        </w:rPr>
        <w:t xml:space="preserve">في أبريل 2024، أصدرت الأمانة التعميمات </w:t>
      </w:r>
      <w:r w:rsidR="00DC2FBB">
        <w:t>C.CWS.182</w:t>
      </w:r>
      <w:r w:rsidR="00DC2FBB">
        <w:rPr>
          <w:rFonts w:hint="cs"/>
          <w:rtl/>
        </w:rPr>
        <w:t xml:space="preserve"> و</w:t>
      </w:r>
      <w:r w:rsidR="00DC2FBB">
        <w:t>C.CWS.183</w:t>
      </w:r>
      <w:r w:rsidR="00DC2FBB">
        <w:rPr>
          <w:rFonts w:hint="cs"/>
          <w:rtl/>
        </w:rPr>
        <w:t xml:space="preserve"> و</w:t>
      </w:r>
      <w:r w:rsidR="00DC2FBB">
        <w:t>C.CWS.184</w:t>
      </w:r>
      <w:r w:rsidR="00DC2FBB">
        <w:rPr>
          <w:rFonts w:hint="cs"/>
          <w:rtl/>
        </w:rPr>
        <w:t xml:space="preserve">، طالبةً من مكاتب الملكية </w:t>
      </w:r>
      <w:r w:rsidR="00AD6D81">
        <w:rPr>
          <w:rFonts w:hint="cs"/>
          <w:rtl/>
        </w:rPr>
        <w:t>الفكرية</w:t>
      </w:r>
      <w:r w:rsidR="00DC2FBB">
        <w:rPr>
          <w:rFonts w:hint="cs"/>
          <w:rtl/>
        </w:rPr>
        <w:t xml:space="preserve"> تقديم التقارير التقنية السنوية الراصدة لأنشطتها التقنية في عام 2023، لكل حق من حقوق الملكية الصناعية الرئيسية. وقدم </w:t>
      </w:r>
      <w:r w:rsidR="00AD6D81">
        <w:rPr>
          <w:rFonts w:hint="cs"/>
          <w:rtl/>
        </w:rPr>
        <w:t>24</w:t>
      </w:r>
      <w:r w:rsidR="00DC2FBB">
        <w:rPr>
          <w:rFonts w:hint="cs"/>
          <w:rtl/>
        </w:rPr>
        <w:t xml:space="preserve"> مكتبا</w:t>
      </w:r>
      <w:r w:rsidR="00AD6D81">
        <w:rPr>
          <w:rFonts w:hint="cs"/>
          <w:rtl/>
        </w:rPr>
        <w:t>ً</w:t>
      </w:r>
      <w:r w:rsidR="00DC2FBB">
        <w:rPr>
          <w:rFonts w:hint="cs"/>
          <w:rtl/>
        </w:rPr>
        <w:t xml:space="preserve"> للملكية الفكرية 65 تقريرا</w:t>
      </w:r>
      <w:r w:rsidR="00AD6D81">
        <w:rPr>
          <w:rFonts w:hint="cs"/>
          <w:rtl/>
        </w:rPr>
        <w:t>ً</w:t>
      </w:r>
      <w:r w:rsidR="00DC2FBB">
        <w:rPr>
          <w:rFonts w:hint="cs"/>
          <w:rtl/>
        </w:rPr>
        <w:t xml:space="preserve"> تقنيا</w:t>
      </w:r>
      <w:r w:rsidR="00AD6D81">
        <w:rPr>
          <w:rFonts w:hint="cs"/>
          <w:rtl/>
        </w:rPr>
        <w:t>ٍ</w:t>
      </w:r>
      <w:r w:rsidR="00DC2FBB">
        <w:rPr>
          <w:rFonts w:hint="cs"/>
          <w:rtl/>
        </w:rPr>
        <w:t xml:space="preserve"> سنويا</w:t>
      </w:r>
      <w:r w:rsidR="00AD6D81">
        <w:rPr>
          <w:rFonts w:hint="cs"/>
          <w:rtl/>
        </w:rPr>
        <w:t>ً</w:t>
      </w:r>
      <w:r w:rsidR="00DC2FBB">
        <w:rPr>
          <w:rFonts w:hint="cs"/>
          <w:rtl/>
        </w:rPr>
        <w:t xml:space="preserve">. ويمثل ذلك زيادة طفيفة عن العام الماضي، حيث تم استلام 53 </w:t>
      </w:r>
      <w:r w:rsidR="00AD6D81">
        <w:rPr>
          <w:rFonts w:hint="cs"/>
          <w:rtl/>
        </w:rPr>
        <w:t>تقريراً</w:t>
      </w:r>
      <w:r w:rsidR="00DC2FBB">
        <w:rPr>
          <w:rFonts w:hint="cs"/>
          <w:rtl/>
        </w:rPr>
        <w:t xml:space="preserve"> من 24 مكتبا</w:t>
      </w:r>
      <w:r w:rsidR="00AD6D81">
        <w:rPr>
          <w:rFonts w:hint="cs"/>
          <w:rtl/>
        </w:rPr>
        <w:t>ً</w:t>
      </w:r>
      <w:r w:rsidR="00DC2FBB">
        <w:rPr>
          <w:rFonts w:hint="cs"/>
          <w:rtl/>
        </w:rPr>
        <w:t xml:space="preserve"> للملكية الفكرية بشأن أنشطتها في</w:t>
      </w:r>
      <w:r w:rsidR="008C01BF">
        <w:rPr>
          <w:rFonts w:hint="cs"/>
          <w:rtl/>
        </w:rPr>
        <w:t xml:space="preserve"> </w:t>
      </w:r>
      <w:r w:rsidR="00DC2FBB">
        <w:rPr>
          <w:rFonts w:hint="cs"/>
          <w:rtl/>
        </w:rPr>
        <w:t xml:space="preserve">عام 2022. </w:t>
      </w:r>
      <w:r w:rsidR="008C01BF">
        <w:rPr>
          <w:rFonts w:hint="cs"/>
          <w:rtl/>
        </w:rPr>
        <w:t>و</w:t>
      </w:r>
      <w:r w:rsidR="00AD6D81">
        <w:rPr>
          <w:rFonts w:hint="cs"/>
          <w:rtl/>
        </w:rPr>
        <w:t xml:space="preserve">نُشرت </w:t>
      </w:r>
      <w:r w:rsidR="00DC2FBB">
        <w:rPr>
          <w:rFonts w:hint="cs"/>
          <w:rtl/>
        </w:rPr>
        <w:t xml:space="preserve">التقارير التقنية السنوية لعام 2023 على موقع </w:t>
      </w:r>
      <w:r w:rsidR="00052D08">
        <w:rPr>
          <w:rFonts w:hint="cs"/>
          <w:rtl/>
        </w:rPr>
        <w:t>ال</w:t>
      </w:r>
      <w:r w:rsidR="00DC2FBB">
        <w:rPr>
          <w:rFonts w:hint="cs"/>
          <w:rtl/>
        </w:rPr>
        <w:t xml:space="preserve">ويكي الخاص بالتقارير التقنية السنوية </w:t>
      </w:r>
      <w:r w:rsidR="00052D08">
        <w:rPr>
          <w:rFonts w:hint="cs"/>
          <w:rtl/>
        </w:rPr>
        <w:t>والمتاح</w:t>
      </w:r>
      <w:r w:rsidR="00FF2FCC">
        <w:rPr>
          <w:rFonts w:hint="cs"/>
          <w:rtl/>
        </w:rPr>
        <w:t xml:space="preserve"> على</w:t>
      </w:r>
      <w:r w:rsidR="00DC2FBB">
        <w:rPr>
          <w:rFonts w:hint="cs"/>
          <w:rtl/>
        </w:rPr>
        <w:t xml:space="preserve"> الرابط التالي:</w:t>
      </w:r>
      <w:hyperlink r:id="rId12" w:history="1">
        <w:r w:rsidR="00DC2FBB">
          <w:rPr>
            <w:rStyle w:val="Hyperlink"/>
            <w:rFonts w:hint="cs"/>
            <w:rtl/>
          </w:rPr>
          <w:t xml:space="preserve"> </w:t>
        </w:r>
        <w:r w:rsidR="00DC2FBB">
          <w:rPr>
            <w:rStyle w:val="Hyperlink"/>
          </w:rPr>
          <w:t>https://www3.wipo.int/confluence/display/ATR/Browse+by+Year</w:t>
        </w:r>
        <w:r w:rsidR="00DC2FBB">
          <w:rPr>
            <w:rStyle w:val="Hyperlink"/>
            <w:rFonts w:hint="cs"/>
            <w:rtl/>
          </w:rPr>
          <w:t>.</w:t>
        </w:r>
      </w:hyperlink>
    </w:p>
    <w:p w14:paraId="2D4B3F7F" w14:textId="77777777" w:rsidR="00DC2FBB" w:rsidRPr="00DA22FA" w:rsidRDefault="00DC2FBB" w:rsidP="00DC2FBB">
      <w:pPr>
        <w:pStyle w:val="Heading2"/>
        <w:spacing w:before="0"/>
        <w:rPr>
          <w:b w:val="0"/>
          <w:bCs/>
          <w:sz w:val="26"/>
          <w:szCs w:val="26"/>
          <w:rtl/>
        </w:rPr>
      </w:pPr>
      <w:r w:rsidRPr="00DA22FA">
        <w:rPr>
          <w:rFonts w:hint="cs"/>
          <w:b w:val="0"/>
          <w:bCs/>
          <w:caps w:val="0"/>
          <w:sz w:val="26"/>
          <w:szCs w:val="26"/>
          <w:rtl/>
        </w:rPr>
        <w:t>مقترح للاستمرار</w:t>
      </w:r>
    </w:p>
    <w:p w14:paraId="3ACFA582" w14:textId="45EA7526" w:rsidR="00DC2FBB" w:rsidRPr="002C0B18" w:rsidRDefault="00C53690" w:rsidP="00DC2FBB">
      <w:pPr>
        <w:spacing w:after="240"/>
        <w:rPr>
          <w:rtl/>
        </w:rPr>
      </w:pPr>
      <w:r>
        <w:rPr>
          <w:rFonts w:hint="cs"/>
          <w:rtl/>
        </w:rPr>
        <w:t>6.</w:t>
      </w:r>
      <w:r>
        <w:rPr>
          <w:rtl/>
        </w:rPr>
        <w:tab/>
      </w:r>
      <w:r w:rsidR="00DC2FBB">
        <w:rPr>
          <w:rFonts w:hint="cs"/>
          <w:rtl/>
        </w:rPr>
        <w:t>خلال السنوات الثلاث الماضية، سل</w:t>
      </w:r>
      <w:r w:rsidR="002006E3">
        <w:rPr>
          <w:rFonts w:hint="cs"/>
          <w:rtl/>
        </w:rPr>
        <w:t>ّ</w:t>
      </w:r>
      <w:r w:rsidR="00DC2FBB">
        <w:rPr>
          <w:rFonts w:hint="cs"/>
          <w:rtl/>
        </w:rPr>
        <w:t>م 17 مكتبا</w:t>
      </w:r>
      <w:r w:rsidR="00580375">
        <w:rPr>
          <w:rFonts w:hint="cs"/>
          <w:rtl/>
        </w:rPr>
        <w:t>ً</w:t>
      </w:r>
      <w:r w:rsidR="00DC2FBB">
        <w:rPr>
          <w:rFonts w:hint="cs"/>
          <w:rtl/>
        </w:rPr>
        <w:t xml:space="preserve"> للملكية الفكرية تقارير تقنية سنوية في عام 2022؛ وكان عدد </w:t>
      </w:r>
      <w:r w:rsidR="00580375">
        <w:rPr>
          <w:rFonts w:hint="cs"/>
          <w:rtl/>
        </w:rPr>
        <w:t>تلك</w:t>
      </w:r>
      <w:r w:rsidR="00DC2FBB">
        <w:rPr>
          <w:rFonts w:hint="cs"/>
          <w:rtl/>
        </w:rPr>
        <w:t xml:space="preserve"> المكاتب 24 مكتبا</w:t>
      </w:r>
      <w:r w:rsidR="00580375">
        <w:rPr>
          <w:rFonts w:hint="cs"/>
          <w:rtl/>
        </w:rPr>
        <w:t>ً</w:t>
      </w:r>
      <w:r w:rsidR="00DC2FBB">
        <w:rPr>
          <w:rFonts w:hint="cs"/>
          <w:rtl/>
        </w:rPr>
        <w:t xml:space="preserve"> في عام 2023 و24 مكتبا</w:t>
      </w:r>
      <w:r w:rsidR="00580375">
        <w:rPr>
          <w:rFonts w:hint="cs"/>
          <w:rtl/>
        </w:rPr>
        <w:t>ً</w:t>
      </w:r>
      <w:r w:rsidR="00DC2FBB">
        <w:rPr>
          <w:rFonts w:hint="cs"/>
          <w:rtl/>
        </w:rPr>
        <w:t xml:space="preserve"> في عام </w:t>
      </w:r>
      <w:r w:rsidR="008C01BF">
        <w:rPr>
          <w:rFonts w:hint="cs"/>
          <w:rtl/>
        </w:rPr>
        <w:t>2024.</w:t>
      </w:r>
      <w:r w:rsidR="00DC2FBB">
        <w:rPr>
          <w:rFonts w:hint="cs"/>
          <w:rtl/>
        </w:rPr>
        <w:t xml:space="preserve"> ويلاحظ المكتب الدولي أن عدد التقارير التقنية السنوية قد زاد خلال الفترة التجريبية ويبدو أن النموذج المبسط مفيد لتبسيط إعداد التقارير التقنية السنوية من قبل مكاتب الملكية </w:t>
      </w:r>
      <w:r w:rsidR="00580375">
        <w:rPr>
          <w:rFonts w:hint="cs"/>
          <w:rtl/>
        </w:rPr>
        <w:t>الفكرية</w:t>
      </w:r>
      <w:r w:rsidR="00DC2FBB">
        <w:rPr>
          <w:rFonts w:hint="cs"/>
          <w:rtl/>
        </w:rPr>
        <w:t>. و</w:t>
      </w:r>
      <w:r w:rsidR="00C25D89">
        <w:rPr>
          <w:rFonts w:hint="cs"/>
          <w:rtl/>
        </w:rPr>
        <w:t>ت</w:t>
      </w:r>
      <w:r w:rsidR="00DC2FBB">
        <w:rPr>
          <w:rFonts w:hint="cs"/>
          <w:rtl/>
        </w:rPr>
        <w:t>رد في الجدول التالي تفاصيل إضافية بشأن الأعداد المحد</w:t>
      </w:r>
      <w:r w:rsidR="00580375">
        <w:rPr>
          <w:rFonts w:hint="cs"/>
          <w:rtl/>
        </w:rPr>
        <w:t>ّ</w:t>
      </w:r>
      <w:r w:rsidR="00DC2FBB">
        <w:rPr>
          <w:rFonts w:hint="cs"/>
          <w:rtl/>
        </w:rPr>
        <w:t>دة لكل نوع من أنواع حقوق الملكية الفكرية:</w:t>
      </w:r>
    </w:p>
    <w:tbl>
      <w:tblPr>
        <w:tblStyle w:val="TableGrid"/>
        <w:bidiVisual/>
        <w:tblW w:w="0" w:type="auto"/>
        <w:tblLook w:val="04A0" w:firstRow="1" w:lastRow="0" w:firstColumn="1" w:lastColumn="0" w:noHBand="0" w:noVBand="1"/>
      </w:tblPr>
      <w:tblGrid>
        <w:gridCol w:w="2695"/>
        <w:gridCol w:w="1885"/>
        <w:gridCol w:w="2374"/>
        <w:gridCol w:w="2391"/>
      </w:tblGrid>
      <w:tr w:rsidR="00DC2FBB" w:rsidRPr="00B80DE6" w14:paraId="788323D1" w14:textId="77777777" w:rsidTr="00D56A28">
        <w:tc>
          <w:tcPr>
            <w:tcW w:w="2695" w:type="dxa"/>
            <w:shd w:val="clear" w:color="auto" w:fill="D9D9D9" w:themeFill="background1" w:themeFillShade="D9"/>
          </w:tcPr>
          <w:p w14:paraId="4B0D32CF" w14:textId="77777777" w:rsidR="00DC2FBB" w:rsidRPr="00B80DE6" w:rsidRDefault="00DC2FBB" w:rsidP="00D56A28">
            <w:pPr>
              <w:jc w:val="center"/>
              <w:rPr>
                <w:b/>
                <w:bCs/>
                <w:noProof/>
                <w:rtl/>
              </w:rPr>
            </w:pPr>
            <w:r>
              <w:rPr>
                <w:rFonts w:hint="cs"/>
                <w:b/>
                <w:bCs/>
                <w:rtl/>
              </w:rPr>
              <w:t>نوع التقرير التقني السنوي</w:t>
            </w:r>
          </w:p>
        </w:tc>
        <w:tc>
          <w:tcPr>
            <w:tcW w:w="1886" w:type="dxa"/>
            <w:shd w:val="clear" w:color="auto" w:fill="D9D9D9" w:themeFill="background1" w:themeFillShade="D9"/>
          </w:tcPr>
          <w:p w14:paraId="54630D15" w14:textId="77777777" w:rsidR="00DC2FBB" w:rsidRPr="00B80DE6" w:rsidRDefault="00DC2FBB" w:rsidP="00D56A28">
            <w:pPr>
              <w:jc w:val="center"/>
              <w:rPr>
                <w:b/>
                <w:bCs/>
                <w:noProof/>
                <w:rtl/>
              </w:rPr>
            </w:pPr>
            <w:r>
              <w:rPr>
                <w:rFonts w:hint="cs"/>
                <w:b/>
                <w:bCs/>
                <w:rtl/>
              </w:rPr>
              <w:t>أنشطة عام 2021:</w:t>
            </w:r>
          </w:p>
        </w:tc>
        <w:tc>
          <w:tcPr>
            <w:tcW w:w="2375" w:type="dxa"/>
            <w:shd w:val="clear" w:color="auto" w:fill="D9D9D9" w:themeFill="background1" w:themeFillShade="D9"/>
          </w:tcPr>
          <w:p w14:paraId="76F9CF51" w14:textId="77777777" w:rsidR="00DC2FBB" w:rsidRPr="00B80DE6" w:rsidRDefault="00DC2FBB" w:rsidP="00D56A28">
            <w:pPr>
              <w:jc w:val="center"/>
              <w:rPr>
                <w:b/>
                <w:bCs/>
                <w:noProof/>
                <w:rtl/>
              </w:rPr>
            </w:pPr>
            <w:r>
              <w:rPr>
                <w:rFonts w:hint="cs"/>
                <w:b/>
                <w:bCs/>
                <w:rtl/>
              </w:rPr>
              <w:t>أنشطة عام 2022:</w:t>
            </w:r>
          </w:p>
        </w:tc>
        <w:tc>
          <w:tcPr>
            <w:tcW w:w="2392" w:type="dxa"/>
            <w:shd w:val="clear" w:color="auto" w:fill="D9D9D9" w:themeFill="background1" w:themeFillShade="D9"/>
          </w:tcPr>
          <w:p w14:paraId="68935DD2" w14:textId="77777777" w:rsidR="00DC2FBB" w:rsidRPr="00B80DE6" w:rsidRDefault="00DC2FBB" w:rsidP="00D56A28">
            <w:pPr>
              <w:jc w:val="center"/>
              <w:rPr>
                <w:b/>
                <w:bCs/>
                <w:noProof/>
                <w:rtl/>
              </w:rPr>
            </w:pPr>
            <w:r>
              <w:rPr>
                <w:rFonts w:hint="cs"/>
                <w:b/>
                <w:bCs/>
                <w:rtl/>
              </w:rPr>
              <w:t>أنشطة عام 2023:</w:t>
            </w:r>
          </w:p>
        </w:tc>
      </w:tr>
      <w:tr w:rsidR="00DC2FBB" w:rsidRPr="00B80DE6" w14:paraId="5D05401B" w14:textId="77777777" w:rsidTr="00D56A28">
        <w:tc>
          <w:tcPr>
            <w:tcW w:w="2695" w:type="dxa"/>
          </w:tcPr>
          <w:p w14:paraId="5A0203A8" w14:textId="77777777" w:rsidR="00DC2FBB" w:rsidRPr="00B80DE6" w:rsidRDefault="00DC2FBB" w:rsidP="00D56A28">
            <w:pPr>
              <w:rPr>
                <w:noProof/>
                <w:rtl/>
              </w:rPr>
            </w:pPr>
            <w:r>
              <w:rPr>
                <w:rFonts w:hint="cs"/>
                <w:rtl/>
              </w:rPr>
              <w:t>معلومات التصاميم الصناعية</w:t>
            </w:r>
          </w:p>
        </w:tc>
        <w:tc>
          <w:tcPr>
            <w:tcW w:w="1886" w:type="dxa"/>
          </w:tcPr>
          <w:p w14:paraId="1A533241" w14:textId="77777777" w:rsidR="00DC2FBB" w:rsidRPr="00B80DE6" w:rsidRDefault="00DC2FBB" w:rsidP="00D56A28">
            <w:pPr>
              <w:jc w:val="center"/>
              <w:rPr>
                <w:noProof/>
                <w:rtl/>
              </w:rPr>
            </w:pPr>
            <w:r>
              <w:rPr>
                <w:rFonts w:hint="cs"/>
                <w:rtl/>
              </w:rPr>
              <w:t>15</w:t>
            </w:r>
          </w:p>
        </w:tc>
        <w:tc>
          <w:tcPr>
            <w:tcW w:w="2375" w:type="dxa"/>
          </w:tcPr>
          <w:p w14:paraId="04BBA283" w14:textId="77777777" w:rsidR="00DC2FBB" w:rsidRPr="00B80DE6" w:rsidRDefault="00DC2FBB" w:rsidP="00D56A28">
            <w:pPr>
              <w:jc w:val="center"/>
              <w:rPr>
                <w:noProof/>
                <w:rtl/>
              </w:rPr>
            </w:pPr>
            <w:r>
              <w:rPr>
                <w:rFonts w:hint="cs"/>
                <w:rtl/>
              </w:rPr>
              <w:t>18</w:t>
            </w:r>
          </w:p>
        </w:tc>
        <w:tc>
          <w:tcPr>
            <w:tcW w:w="2392" w:type="dxa"/>
          </w:tcPr>
          <w:p w14:paraId="2D56263A" w14:textId="77777777" w:rsidR="00DC2FBB" w:rsidRPr="00B80DE6" w:rsidRDefault="00DC2FBB" w:rsidP="00D56A28">
            <w:pPr>
              <w:jc w:val="center"/>
              <w:rPr>
                <w:noProof/>
                <w:rtl/>
              </w:rPr>
            </w:pPr>
            <w:r>
              <w:rPr>
                <w:rFonts w:hint="cs"/>
                <w:rtl/>
              </w:rPr>
              <w:t>19</w:t>
            </w:r>
          </w:p>
        </w:tc>
      </w:tr>
      <w:tr w:rsidR="00DC2FBB" w:rsidRPr="00B80DE6" w14:paraId="63BFDEAE" w14:textId="77777777" w:rsidTr="00D56A28">
        <w:tc>
          <w:tcPr>
            <w:tcW w:w="2695" w:type="dxa"/>
          </w:tcPr>
          <w:p w14:paraId="2D793F20" w14:textId="77777777" w:rsidR="00DC2FBB" w:rsidRPr="00B80DE6" w:rsidRDefault="00DC2FBB" w:rsidP="00D56A28">
            <w:pPr>
              <w:rPr>
                <w:noProof/>
                <w:rtl/>
              </w:rPr>
            </w:pPr>
            <w:r>
              <w:rPr>
                <w:rFonts w:hint="cs"/>
                <w:rtl/>
              </w:rPr>
              <w:t>معلومات البراءات</w:t>
            </w:r>
          </w:p>
        </w:tc>
        <w:tc>
          <w:tcPr>
            <w:tcW w:w="1886" w:type="dxa"/>
          </w:tcPr>
          <w:p w14:paraId="1F777702" w14:textId="77777777" w:rsidR="00DC2FBB" w:rsidRPr="00B80DE6" w:rsidRDefault="00DC2FBB" w:rsidP="00D56A28">
            <w:pPr>
              <w:jc w:val="center"/>
              <w:rPr>
                <w:noProof/>
                <w:rtl/>
              </w:rPr>
            </w:pPr>
            <w:r>
              <w:rPr>
                <w:rFonts w:hint="cs"/>
                <w:rtl/>
              </w:rPr>
              <w:t>17</w:t>
            </w:r>
          </w:p>
        </w:tc>
        <w:tc>
          <w:tcPr>
            <w:tcW w:w="2375" w:type="dxa"/>
          </w:tcPr>
          <w:p w14:paraId="451D4D09" w14:textId="77777777" w:rsidR="00DC2FBB" w:rsidRPr="00B80DE6" w:rsidRDefault="00DC2FBB" w:rsidP="00D56A28">
            <w:pPr>
              <w:jc w:val="center"/>
              <w:rPr>
                <w:noProof/>
                <w:rtl/>
              </w:rPr>
            </w:pPr>
            <w:r>
              <w:rPr>
                <w:rFonts w:hint="cs"/>
                <w:rtl/>
              </w:rPr>
              <w:t>17</w:t>
            </w:r>
          </w:p>
        </w:tc>
        <w:tc>
          <w:tcPr>
            <w:tcW w:w="2392" w:type="dxa"/>
          </w:tcPr>
          <w:p w14:paraId="10212CC9" w14:textId="77777777" w:rsidR="00DC2FBB" w:rsidRPr="00B80DE6" w:rsidRDefault="00DC2FBB" w:rsidP="00D56A28">
            <w:pPr>
              <w:jc w:val="center"/>
              <w:rPr>
                <w:noProof/>
                <w:rtl/>
              </w:rPr>
            </w:pPr>
            <w:r>
              <w:rPr>
                <w:rFonts w:hint="cs"/>
                <w:rtl/>
              </w:rPr>
              <w:t>22</w:t>
            </w:r>
          </w:p>
        </w:tc>
      </w:tr>
      <w:tr w:rsidR="00DC2FBB" w:rsidRPr="00B80DE6" w14:paraId="412DD85F" w14:textId="77777777" w:rsidTr="00D56A28">
        <w:tc>
          <w:tcPr>
            <w:tcW w:w="2695" w:type="dxa"/>
            <w:tcBorders>
              <w:bottom w:val="single" w:sz="4" w:space="0" w:color="auto"/>
            </w:tcBorders>
          </w:tcPr>
          <w:p w14:paraId="52CE93E0" w14:textId="77777777" w:rsidR="00DC2FBB" w:rsidRPr="00B80DE6" w:rsidRDefault="00DC2FBB" w:rsidP="00D56A28">
            <w:pPr>
              <w:rPr>
                <w:noProof/>
                <w:rtl/>
              </w:rPr>
            </w:pPr>
            <w:r>
              <w:rPr>
                <w:rFonts w:hint="cs"/>
                <w:rtl/>
              </w:rPr>
              <w:t>معلومات العلامات التجارية</w:t>
            </w:r>
          </w:p>
        </w:tc>
        <w:tc>
          <w:tcPr>
            <w:tcW w:w="1886" w:type="dxa"/>
            <w:tcBorders>
              <w:bottom w:val="single" w:sz="4" w:space="0" w:color="auto"/>
            </w:tcBorders>
          </w:tcPr>
          <w:p w14:paraId="5A0BC9F8" w14:textId="77777777" w:rsidR="00DC2FBB" w:rsidRPr="00B80DE6" w:rsidRDefault="00DC2FBB" w:rsidP="00D56A28">
            <w:pPr>
              <w:jc w:val="center"/>
              <w:rPr>
                <w:noProof/>
                <w:rtl/>
              </w:rPr>
            </w:pPr>
            <w:r>
              <w:rPr>
                <w:rFonts w:hint="cs"/>
                <w:rtl/>
              </w:rPr>
              <w:t>15</w:t>
            </w:r>
          </w:p>
        </w:tc>
        <w:tc>
          <w:tcPr>
            <w:tcW w:w="2375" w:type="dxa"/>
            <w:tcBorders>
              <w:bottom w:val="single" w:sz="4" w:space="0" w:color="auto"/>
            </w:tcBorders>
          </w:tcPr>
          <w:p w14:paraId="115027E2" w14:textId="77777777" w:rsidR="00DC2FBB" w:rsidRPr="00B80DE6" w:rsidRDefault="00DC2FBB" w:rsidP="00D56A28">
            <w:pPr>
              <w:jc w:val="center"/>
              <w:rPr>
                <w:noProof/>
                <w:rtl/>
              </w:rPr>
            </w:pPr>
            <w:r>
              <w:rPr>
                <w:rFonts w:hint="cs"/>
                <w:rtl/>
              </w:rPr>
              <w:t>18</w:t>
            </w:r>
          </w:p>
        </w:tc>
        <w:tc>
          <w:tcPr>
            <w:tcW w:w="2392" w:type="dxa"/>
            <w:tcBorders>
              <w:bottom w:val="single" w:sz="4" w:space="0" w:color="auto"/>
            </w:tcBorders>
          </w:tcPr>
          <w:p w14:paraId="4B16B516" w14:textId="77777777" w:rsidR="00DC2FBB" w:rsidRPr="00B80DE6" w:rsidRDefault="00DC2FBB" w:rsidP="00D56A28">
            <w:pPr>
              <w:jc w:val="center"/>
              <w:rPr>
                <w:noProof/>
                <w:rtl/>
              </w:rPr>
            </w:pPr>
            <w:r>
              <w:rPr>
                <w:rFonts w:hint="cs"/>
                <w:rtl/>
              </w:rPr>
              <w:t>25</w:t>
            </w:r>
          </w:p>
        </w:tc>
      </w:tr>
      <w:tr w:rsidR="00DC2FBB" w:rsidRPr="00CD6DE9" w14:paraId="4F0CA341" w14:textId="77777777" w:rsidTr="00D56A28">
        <w:tc>
          <w:tcPr>
            <w:tcW w:w="2695" w:type="dxa"/>
            <w:shd w:val="clear" w:color="auto" w:fill="FFFFFF" w:themeFill="background1"/>
          </w:tcPr>
          <w:p w14:paraId="16D28403" w14:textId="77777777" w:rsidR="00DC2FBB" w:rsidRPr="005978F0" w:rsidRDefault="00DC2FBB" w:rsidP="00D56A28">
            <w:pPr>
              <w:rPr>
                <w:b/>
                <w:bCs/>
                <w:noProof/>
                <w:rtl/>
              </w:rPr>
            </w:pPr>
            <w:r>
              <w:rPr>
                <w:rFonts w:hint="cs"/>
                <w:b/>
                <w:bCs/>
                <w:rtl/>
              </w:rPr>
              <w:t>إجمالي عدد التقارير التقنية السنوية</w:t>
            </w:r>
          </w:p>
        </w:tc>
        <w:tc>
          <w:tcPr>
            <w:tcW w:w="1886" w:type="dxa"/>
            <w:shd w:val="clear" w:color="auto" w:fill="FFFFFF" w:themeFill="background1"/>
          </w:tcPr>
          <w:p w14:paraId="251F3637" w14:textId="77777777" w:rsidR="00DC2FBB" w:rsidRPr="005978F0" w:rsidRDefault="00DC2FBB" w:rsidP="00D56A28">
            <w:pPr>
              <w:jc w:val="center"/>
              <w:rPr>
                <w:b/>
                <w:bCs/>
                <w:noProof/>
                <w:rtl/>
              </w:rPr>
            </w:pPr>
            <w:r>
              <w:rPr>
                <w:rFonts w:hint="cs"/>
                <w:b/>
                <w:bCs/>
                <w:rtl/>
              </w:rPr>
              <w:t>47</w:t>
            </w:r>
          </w:p>
        </w:tc>
        <w:tc>
          <w:tcPr>
            <w:tcW w:w="2375" w:type="dxa"/>
            <w:shd w:val="clear" w:color="auto" w:fill="FFFFFF" w:themeFill="background1"/>
          </w:tcPr>
          <w:p w14:paraId="396FAEA1" w14:textId="77777777" w:rsidR="00DC2FBB" w:rsidRPr="005978F0" w:rsidRDefault="00DC2FBB" w:rsidP="00D56A28">
            <w:pPr>
              <w:jc w:val="center"/>
              <w:rPr>
                <w:b/>
                <w:bCs/>
                <w:noProof/>
                <w:rtl/>
              </w:rPr>
            </w:pPr>
            <w:r>
              <w:rPr>
                <w:rFonts w:hint="cs"/>
                <w:b/>
                <w:bCs/>
                <w:rtl/>
              </w:rPr>
              <w:t>53</w:t>
            </w:r>
          </w:p>
        </w:tc>
        <w:tc>
          <w:tcPr>
            <w:tcW w:w="2392" w:type="dxa"/>
            <w:shd w:val="clear" w:color="auto" w:fill="FFFFFF" w:themeFill="background1"/>
          </w:tcPr>
          <w:p w14:paraId="0C8B1761" w14:textId="77777777" w:rsidR="00DC2FBB" w:rsidRPr="005978F0" w:rsidRDefault="00DC2FBB" w:rsidP="00D56A28">
            <w:pPr>
              <w:jc w:val="center"/>
              <w:rPr>
                <w:b/>
                <w:bCs/>
                <w:noProof/>
                <w:rtl/>
              </w:rPr>
            </w:pPr>
            <w:r>
              <w:rPr>
                <w:rFonts w:hint="cs"/>
                <w:b/>
                <w:bCs/>
                <w:rtl/>
              </w:rPr>
              <w:t>65</w:t>
            </w:r>
          </w:p>
        </w:tc>
      </w:tr>
    </w:tbl>
    <w:p w14:paraId="32DFC53D" w14:textId="5630E724" w:rsidR="00DC2FBB" w:rsidRPr="00B80DE6" w:rsidRDefault="00C53690" w:rsidP="00DC2FBB">
      <w:pPr>
        <w:pStyle w:val="ONUMFS"/>
        <w:numPr>
          <w:ilvl w:val="0"/>
          <w:numId w:val="0"/>
        </w:numPr>
        <w:spacing w:before="240"/>
        <w:rPr>
          <w:rtl/>
        </w:rPr>
      </w:pPr>
      <w:r>
        <w:rPr>
          <w:rFonts w:hint="cs"/>
          <w:rtl/>
        </w:rPr>
        <w:t>7.</w:t>
      </w:r>
      <w:r>
        <w:rPr>
          <w:rtl/>
        </w:rPr>
        <w:tab/>
      </w:r>
      <w:r w:rsidR="00580375">
        <w:rPr>
          <w:rFonts w:hint="cs"/>
          <w:rtl/>
        </w:rPr>
        <w:t>و</w:t>
      </w:r>
      <w:r w:rsidR="00DC2FBB">
        <w:rPr>
          <w:rFonts w:hint="cs"/>
          <w:rtl/>
        </w:rPr>
        <w:t xml:space="preserve">فيما يتعلق بعدد الزيارات إلى صفحات التقارير التقنية السنوية خلال السنوات الثلاث الماضية، ازداد مؤخرا عدد الزيارات إلى أحدث التقارير التقنية السنوية في الفترة المعنية. وعلى الرغم من أن </w:t>
      </w:r>
      <w:r w:rsidR="00D80174">
        <w:rPr>
          <w:rFonts w:hint="cs"/>
          <w:rtl/>
        </w:rPr>
        <w:t>ذلك</w:t>
      </w:r>
      <w:r w:rsidR="00DC2FBB">
        <w:rPr>
          <w:rFonts w:hint="cs"/>
          <w:rtl/>
        </w:rPr>
        <w:t xml:space="preserve"> يمث</w:t>
      </w:r>
      <w:r w:rsidR="00D80174">
        <w:rPr>
          <w:rFonts w:hint="cs"/>
          <w:rtl/>
        </w:rPr>
        <w:t>ّ</w:t>
      </w:r>
      <w:r w:rsidR="00DC2FBB">
        <w:rPr>
          <w:rFonts w:hint="cs"/>
          <w:rtl/>
        </w:rPr>
        <w:t>ل عددا</w:t>
      </w:r>
      <w:r w:rsidR="00D80174">
        <w:rPr>
          <w:rFonts w:hint="cs"/>
          <w:rtl/>
        </w:rPr>
        <w:t>ً</w:t>
      </w:r>
      <w:r w:rsidR="00DC2FBB">
        <w:rPr>
          <w:rFonts w:hint="cs"/>
          <w:rtl/>
        </w:rPr>
        <w:t xml:space="preserve"> صغيرا</w:t>
      </w:r>
      <w:r w:rsidR="00D80174">
        <w:rPr>
          <w:rFonts w:hint="cs"/>
          <w:rtl/>
        </w:rPr>
        <w:t>ً</w:t>
      </w:r>
      <w:r w:rsidR="00DC2FBB">
        <w:rPr>
          <w:rFonts w:hint="cs"/>
          <w:rtl/>
        </w:rPr>
        <w:t xml:space="preserve"> من الزيارات مقارنة بموارد معايير الويبو الأخرى، فإن توحيد هذه المعلومات لا يزال ي</w:t>
      </w:r>
      <w:r w:rsidR="00D80174">
        <w:rPr>
          <w:rFonts w:hint="cs"/>
          <w:rtl/>
        </w:rPr>
        <w:t>ُ</w:t>
      </w:r>
      <w:r w:rsidR="00DC2FBB">
        <w:rPr>
          <w:rFonts w:hint="cs"/>
          <w:rtl/>
        </w:rPr>
        <w:t>عتبر مفيدا</w:t>
      </w:r>
      <w:r w:rsidR="00D80174">
        <w:rPr>
          <w:rFonts w:hint="cs"/>
          <w:rtl/>
        </w:rPr>
        <w:t>ً</w:t>
      </w:r>
      <w:r w:rsidR="00DC2FBB">
        <w:rPr>
          <w:rFonts w:hint="cs"/>
          <w:rtl/>
        </w:rPr>
        <w:t xml:space="preserve">. </w:t>
      </w:r>
      <w:r w:rsidR="00D80174">
        <w:rPr>
          <w:rFonts w:hint="cs"/>
          <w:rtl/>
        </w:rPr>
        <w:t>وي</w:t>
      </w:r>
      <w:r w:rsidR="00DC2FBB">
        <w:rPr>
          <w:rFonts w:hint="cs"/>
          <w:rtl/>
        </w:rPr>
        <w:t>رد مزيد من التفاصيل حول عدد فرادى الزائرين ومشاهدات الصفح</w:t>
      </w:r>
      <w:r w:rsidR="00D80174">
        <w:rPr>
          <w:rFonts w:hint="cs"/>
          <w:rtl/>
        </w:rPr>
        <w:t>ات</w:t>
      </w:r>
      <w:r w:rsidR="00DC2FBB">
        <w:rPr>
          <w:rFonts w:hint="cs"/>
          <w:rtl/>
        </w:rPr>
        <w:t xml:space="preserve"> في الجدول أدناه:  </w:t>
      </w:r>
    </w:p>
    <w:tbl>
      <w:tblPr>
        <w:tblStyle w:val="TableGrid"/>
        <w:bidiVisual/>
        <w:tblW w:w="9355" w:type="dxa"/>
        <w:tblLook w:val="04A0" w:firstRow="1" w:lastRow="0" w:firstColumn="1" w:lastColumn="0" w:noHBand="0" w:noVBand="1"/>
      </w:tblPr>
      <w:tblGrid>
        <w:gridCol w:w="1915"/>
        <w:gridCol w:w="2400"/>
        <w:gridCol w:w="2520"/>
        <w:gridCol w:w="2520"/>
      </w:tblGrid>
      <w:tr w:rsidR="00DC2FBB" w:rsidRPr="00B80DE6" w14:paraId="4FE120E7" w14:textId="77777777" w:rsidTr="00D56A28">
        <w:tc>
          <w:tcPr>
            <w:tcW w:w="1915" w:type="dxa"/>
            <w:shd w:val="clear" w:color="auto" w:fill="D9D9D9" w:themeFill="background1" w:themeFillShade="D9"/>
          </w:tcPr>
          <w:p w14:paraId="4D9E79B8" w14:textId="77777777" w:rsidR="00DC2FBB" w:rsidRPr="002C0B18" w:rsidRDefault="00DC2FBB" w:rsidP="00D56A28">
            <w:pPr>
              <w:jc w:val="center"/>
              <w:rPr>
                <w:b/>
                <w:bCs/>
                <w:rtl/>
              </w:rPr>
            </w:pPr>
            <w:r>
              <w:rPr>
                <w:rFonts w:hint="cs"/>
                <w:b/>
                <w:bCs/>
                <w:rtl/>
              </w:rPr>
              <w:t>الفترة</w:t>
            </w:r>
          </w:p>
        </w:tc>
        <w:tc>
          <w:tcPr>
            <w:tcW w:w="2400" w:type="dxa"/>
            <w:shd w:val="clear" w:color="auto" w:fill="D9D9D9" w:themeFill="background1" w:themeFillShade="D9"/>
          </w:tcPr>
          <w:p w14:paraId="53B06966" w14:textId="77777777" w:rsidR="00DC2FBB" w:rsidRPr="002C0B18" w:rsidRDefault="00DC2FBB" w:rsidP="00D56A28">
            <w:pPr>
              <w:jc w:val="center"/>
              <w:rPr>
                <w:b/>
                <w:bCs/>
                <w:rtl/>
              </w:rPr>
            </w:pPr>
            <w:r>
              <w:rPr>
                <w:rFonts w:hint="cs"/>
                <w:b/>
                <w:bCs/>
                <w:rtl/>
              </w:rPr>
              <w:t>أغسطس 2021 - يوليو 2022</w:t>
            </w:r>
          </w:p>
        </w:tc>
        <w:tc>
          <w:tcPr>
            <w:tcW w:w="2520" w:type="dxa"/>
            <w:shd w:val="clear" w:color="auto" w:fill="D9D9D9" w:themeFill="background1" w:themeFillShade="D9"/>
          </w:tcPr>
          <w:p w14:paraId="31C85AED" w14:textId="77777777" w:rsidR="00DC2FBB" w:rsidRPr="002C0B18" w:rsidRDefault="00DC2FBB" w:rsidP="00D56A28">
            <w:pPr>
              <w:jc w:val="center"/>
              <w:rPr>
                <w:b/>
                <w:bCs/>
                <w:rtl/>
              </w:rPr>
            </w:pPr>
            <w:r>
              <w:rPr>
                <w:rFonts w:hint="cs"/>
                <w:b/>
                <w:bCs/>
                <w:rtl/>
              </w:rPr>
              <w:t>أغسطس 2022 - يوليو 2023</w:t>
            </w:r>
          </w:p>
        </w:tc>
        <w:tc>
          <w:tcPr>
            <w:tcW w:w="2520" w:type="dxa"/>
            <w:shd w:val="clear" w:color="auto" w:fill="D9D9D9" w:themeFill="background1" w:themeFillShade="D9"/>
          </w:tcPr>
          <w:p w14:paraId="6E550D03" w14:textId="77777777" w:rsidR="00DC2FBB" w:rsidRPr="002C0B18" w:rsidRDefault="00DC2FBB" w:rsidP="00D56A28">
            <w:pPr>
              <w:jc w:val="center"/>
              <w:rPr>
                <w:b/>
                <w:bCs/>
                <w:rtl/>
              </w:rPr>
            </w:pPr>
            <w:r>
              <w:rPr>
                <w:rFonts w:hint="cs"/>
                <w:b/>
                <w:bCs/>
                <w:rtl/>
              </w:rPr>
              <w:t>أغسطس 2023 - يوليو 2024</w:t>
            </w:r>
          </w:p>
        </w:tc>
      </w:tr>
      <w:tr w:rsidR="00DC2FBB" w:rsidRPr="00B80DE6" w14:paraId="5D3C2807" w14:textId="77777777" w:rsidTr="00D56A28">
        <w:tc>
          <w:tcPr>
            <w:tcW w:w="1915" w:type="dxa"/>
          </w:tcPr>
          <w:p w14:paraId="0AB81EA7" w14:textId="77777777" w:rsidR="00DC2FBB" w:rsidRPr="00B80DE6" w:rsidRDefault="00DC2FBB" w:rsidP="00D56A28">
            <w:pPr>
              <w:rPr>
                <w:rtl/>
              </w:rPr>
            </w:pPr>
            <w:r>
              <w:rPr>
                <w:rFonts w:hint="cs"/>
                <w:rtl/>
              </w:rPr>
              <w:t>مجموع الزيارات إلى صفحات التقارير التقنية السنوية</w:t>
            </w:r>
          </w:p>
        </w:tc>
        <w:tc>
          <w:tcPr>
            <w:tcW w:w="2400" w:type="dxa"/>
          </w:tcPr>
          <w:p w14:paraId="547CB340" w14:textId="73DD6A3E" w:rsidR="00DC2FBB" w:rsidRPr="00B80DE6" w:rsidRDefault="00DC2FBB" w:rsidP="00D56A28">
            <w:pPr>
              <w:rPr>
                <w:rtl/>
              </w:rPr>
            </w:pPr>
            <w:r>
              <w:rPr>
                <w:rFonts w:hint="cs"/>
                <w:rtl/>
              </w:rPr>
              <w:t xml:space="preserve">فرادى الزائرين 701 (مشاهدة </w:t>
            </w:r>
            <w:r w:rsidR="00D5664D">
              <w:rPr>
                <w:rFonts w:hint="cs"/>
                <w:rtl/>
              </w:rPr>
              <w:t>ال</w:t>
            </w:r>
            <w:r>
              <w:rPr>
                <w:rFonts w:hint="cs"/>
                <w:rtl/>
              </w:rPr>
              <w:t>صفحات: 2,817</w:t>
            </w:r>
            <w:r w:rsidR="00D5664D">
              <w:rPr>
                <w:rFonts w:hint="cs"/>
                <w:rtl/>
              </w:rPr>
              <w:t>)</w:t>
            </w:r>
          </w:p>
        </w:tc>
        <w:tc>
          <w:tcPr>
            <w:tcW w:w="2520" w:type="dxa"/>
          </w:tcPr>
          <w:p w14:paraId="4EF57C22" w14:textId="77777777" w:rsidR="00DC2FBB" w:rsidRPr="00B80DE6" w:rsidRDefault="00DC2FBB" w:rsidP="00D56A28">
            <w:pPr>
              <w:rPr>
                <w:rtl/>
              </w:rPr>
            </w:pPr>
            <w:r>
              <w:rPr>
                <w:rFonts w:hint="cs"/>
                <w:rtl/>
              </w:rPr>
              <w:t>862 (3,758)</w:t>
            </w:r>
          </w:p>
        </w:tc>
        <w:tc>
          <w:tcPr>
            <w:tcW w:w="2520" w:type="dxa"/>
          </w:tcPr>
          <w:p w14:paraId="3AA8150B" w14:textId="77777777" w:rsidR="00DC2FBB" w:rsidRPr="00B80DE6" w:rsidRDefault="00DC2FBB" w:rsidP="00D56A28">
            <w:pPr>
              <w:rPr>
                <w:rtl/>
              </w:rPr>
            </w:pPr>
            <w:r>
              <w:rPr>
                <w:rFonts w:hint="cs"/>
                <w:rtl/>
              </w:rPr>
              <w:t>768 (3,126)</w:t>
            </w:r>
          </w:p>
        </w:tc>
      </w:tr>
      <w:tr w:rsidR="00DC2FBB" w:rsidRPr="00B80DE6" w14:paraId="23F09A38" w14:textId="77777777" w:rsidTr="00D56A28">
        <w:tc>
          <w:tcPr>
            <w:tcW w:w="1915" w:type="dxa"/>
          </w:tcPr>
          <w:p w14:paraId="67D876FF" w14:textId="77777777" w:rsidR="00DC2FBB" w:rsidRPr="00B80DE6" w:rsidRDefault="00DC2FBB" w:rsidP="00D56A28">
            <w:pPr>
              <w:rPr>
                <w:rtl/>
              </w:rPr>
            </w:pPr>
            <w:r>
              <w:rPr>
                <w:rFonts w:hint="cs"/>
                <w:rtl/>
              </w:rPr>
              <w:t>الصفحة الرئيسية للتقارير التقنية السنوية</w:t>
            </w:r>
          </w:p>
        </w:tc>
        <w:tc>
          <w:tcPr>
            <w:tcW w:w="2400" w:type="dxa"/>
          </w:tcPr>
          <w:p w14:paraId="765A0866" w14:textId="77777777" w:rsidR="00DC2FBB" w:rsidRPr="00B80DE6" w:rsidRDefault="00DC2FBB" w:rsidP="00D56A28">
            <w:pPr>
              <w:rPr>
                <w:rtl/>
              </w:rPr>
            </w:pPr>
            <w:r>
              <w:rPr>
                <w:rFonts w:hint="cs"/>
                <w:rtl/>
              </w:rPr>
              <w:t>351 (935)</w:t>
            </w:r>
          </w:p>
        </w:tc>
        <w:tc>
          <w:tcPr>
            <w:tcW w:w="2520" w:type="dxa"/>
          </w:tcPr>
          <w:p w14:paraId="7701233E" w14:textId="77777777" w:rsidR="00DC2FBB" w:rsidRPr="00B80DE6" w:rsidRDefault="00DC2FBB" w:rsidP="00D56A28">
            <w:pPr>
              <w:rPr>
                <w:rtl/>
              </w:rPr>
            </w:pPr>
            <w:r>
              <w:rPr>
                <w:rFonts w:hint="cs"/>
                <w:rtl/>
              </w:rPr>
              <w:t>515 (1,365)</w:t>
            </w:r>
          </w:p>
        </w:tc>
        <w:tc>
          <w:tcPr>
            <w:tcW w:w="2520" w:type="dxa"/>
          </w:tcPr>
          <w:p w14:paraId="01B1FAD6" w14:textId="77777777" w:rsidR="00DC2FBB" w:rsidRPr="00B80DE6" w:rsidRDefault="00DC2FBB" w:rsidP="00D56A28">
            <w:pPr>
              <w:rPr>
                <w:rtl/>
              </w:rPr>
            </w:pPr>
            <w:r>
              <w:rPr>
                <w:rFonts w:hint="cs"/>
                <w:rtl/>
              </w:rPr>
              <w:t>300 (899)</w:t>
            </w:r>
          </w:p>
        </w:tc>
      </w:tr>
      <w:tr w:rsidR="00DC2FBB" w:rsidRPr="00B80DE6" w14:paraId="16B3B65C" w14:textId="77777777" w:rsidTr="00D56A28">
        <w:tc>
          <w:tcPr>
            <w:tcW w:w="1915" w:type="dxa"/>
          </w:tcPr>
          <w:p w14:paraId="60590BD8" w14:textId="77777777" w:rsidR="00DC2FBB" w:rsidRPr="00B80DE6" w:rsidRDefault="00DC2FBB" w:rsidP="00D56A28">
            <w:pPr>
              <w:rPr>
                <w:rtl/>
              </w:rPr>
            </w:pPr>
            <w:r>
              <w:rPr>
                <w:rFonts w:hint="cs"/>
                <w:rtl/>
              </w:rPr>
              <w:t>صفحة التقارير التقنية السنوية لعام 2020</w:t>
            </w:r>
          </w:p>
        </w:tc>
        <w:tc>
          <w:tcPr>
            <w:tcW w:w="2400" w:type="dxa"/>
          </w:tcPr>
          <w:p w14:paraId="53284279" w14:textId="77777777" w:rsidR="00DC2FBB" w:rsidRPr="002C0B18" w:rsidRDefault="00DC2FBB" w:rsidP="00D56A28">
            <w:pPr>
              <w:rPr>
                <w:rtl/>
              </w:rPr>
            </w:pPr>
            <w:r>
              <w:rPr>
                <w:rFonts w:hint="cs"/>
                <w:rtl/>
              </w:rPr>
              <w:t>113 (267)*</w:t>
            </w:r>
          </w:p>
        </w:tc>
        <w:tc>
          <w:tcPr>
            <w:tcW w:w="2520" w:type="dxa"/>
          </w:tcPr>
          <w:p w14:paraId="4A8AF01A" w14:textId="77777777" w:rsidR="00DC2FBB" w:rsidRPr="00B80DE6" w:rsidRDefault="00DC2FBB" w:rsidP="00D56A28">
            <w:pPr>
              <w:rPr>
                <w:rtl/>
              </w:rPr>
            </w:pPr>
            <w:r>
              <w:rPr>
                <w:rFonts w:hint="cs"/>
                <w:rtl/>
              </w:rPr>
              <w:t>83 (141)</w:t>
            </w:r>
          </w:p>
        </w:tc>
        <w:tc>
          <w:tcPr>
            <w:tcW w:w="2520" w:type="dxa"/>
          </w:tcPr>
          <w:p w14:paraId="4F29EE9C" w14:textId="77777777" w:rsidR="00DC2FBB" w:rsidRPr="00B80DE6" w:rsidRDefault="00DC2FBB" w:rsidP="00D56A28">
            <w:pPr>
              <w:rPr>
                <w:rtl/>
              </w:rPr>
            </w:pPr>
            <w:r>
              <w:rPr>
                <w:rFonts w:hint="cs"/>
                <w:rtl/>
              </w:rPr>
              <w:t>27 (37)</w:t>
            </w:r>
          </w:p>
        </w:tc>
      </w:tr>
      <w:tr w:rsidR="00DC2FBB" w:rsidRPr="00B80DE6" w14:paraId="2288F4FD" w14:textId="77777777" w:rsidTr="00D56A28">
        <w:tc>
          <w:tcPr>
            <w:tcW w:w="1915" w:type="dxa"/>
          </w:tcPr>
          <w:p w14:paraId="0767992E" w14:textId="77777777" w:rsidR="00DC2FBB" w:rsidRPr="00B80DE6" w:rsidRDefault="00DC2FBB" w:rsidP="00D56A28">
            <w:pPr>
              <w:rPr>
                <w:rtl/>
              </w:rPr>
            </w:pPr>
            <w:r>
              <w:rPr>
                <w:rFonts w:hint="cs"/>
                <w:rtl/>
              </w:rPr>
              <w:t>صفحة التقارير التقنية السنوية لعام 2021</w:t>
            </w:r>
          </w:p>
        </w:tc>
        <w:tc>
          <w:tcPr>
            <w:tcW w:w="2400" w:type="dxa"/>
          </w:tcPr>
          <w:p w14:paraId="2C6C1E34" w14:textId="77777777" w:rsidR="00DC2FBB" w:rsidRPr="00B80DE6" w:rsidRDefault="00DC2FBB" w:rsidP="00D56A28">
            <w:pPr>
              <w:rPr>
                <w:rtl/>
              </w:rPr>
            </w:pPr>
            <w:r>
              <w:rPr>
                <w:rFonts w:hint="cs"/>
                <w:rtl/>
              </w:rPr>
              <w:t>غير متاح</w:t>
            </w:r>
          </w:p>
        </w:tc>
        <w:tc>
          <w:tcPr>
            <w:tcW w:w="2520" w:type="dxa"/>
          </w:tcPr>
          <w:p w14:paraId="4ACF75F9" w14:textId="77777777" w:rsidR="00DC2FBB" w:rsidRPr="002C0B18" w:rsidRDefault="00DC2FBB" w:rsidP="00D56A28">
            <w:pPr>
              <w:rPr>
                <w:rtl/>
              </w:rPr>
            </w:pPr>
            <w:r>
              <w:rPr>
                <w:rFonts w:hint="cs"/>
                <w:rtl/>
              </w:rPr>
              <w:t>95 (213)*</w:t>
            </w:r>
          </w:p>
        </w:tc>
        <w:tc>
          <w:tcPr>
            <w:tcW w:w="2520" w:type="dxa"/>
          </w:tcPr>
          <w:p w14:paraId="13EDBD6F" w14:textId="77777777" w:rsidR="00DC2FBB" w:rsidRPr="00B80DE6" w:rsidRDefault="00DC2FBB" w:rsidP="00D56A28">
            <w:pPr>
              <w:rPr>
                <w:rtl/>
              </w:rPr>
            </w:pPr>
            <w:r>
              <w:rPr>
                <w:rFonts w:hint="cs"/>
                <w:rtl/>
              </w:rPr>
              <w:t>28 (52)</w:t>
            </w:r>
          </w:p>
        </w:tc>
      </w:tr>
      <w:tr w:rsidR="00DC2FBB" w:rsidRPr="00B80DE6" w14:paraId="7DDCFBF9" w14:textId="77777777" w:rsidTr="00D56A28">
        <w:tc>
          <w:tcPr>
            <w:tcW w:w="1915" w:type="dxa"/>
          </w:tcPr>
          <w:p w14:paraId="7B2B4115" w14:textId="77777777" w:rsidR="00DC2FBB" w:rsidRPr="00B80DE6" w:rsidRDefault="00DC2FBB" w:rsidP="00D56A28">
            <w:pPr>
              <w:rPr>
                <w:rtl/>
              </w:rPr>
            </w:pPr>
            <w:r>
              <w:rPr>
                <w:rFonts w:hint="cs"/>
                <w:rtl/>
              </w:rPr>
              <w:t>صفحة التقارير التقنية السنوية لعام 2022</w:t>
            </w:r>
          </w:p>
        </w:tc>
        <w:tc>
          <w:tcPr>
            <w:tcW w:w="2400" w:type="dxa"/>
          </w:tcPr>
          <w:p w14:paraId="456CC527" w14:textId="77777777" w:rsidR="00DC2FBB" w:rsidRPr="00B80DE6" w:rsidRDefault="00DC2FBB" w:rsidP="00D56A28">
            <w:pPr>
              <w:rPr>
                <w:rtl/>
              </w:rPr>
            </w:pPr>
            <w:r>
              <w:rPr>
                <w:rFonts w:hint="cs"/>
                <w:rtl/>
              </w:rPr>
              <w:t>غير متاح</w:t>
            </w:r>
          </w:p>
        </w:tc>
        <w:tc>
          <w:tcPr>
            <w:tcW w:w="2520" w:type="dxa"/>
          </w:tcPr>
          <w:p w14:paraId="78D45330" w14:textId="77777777" w:rsidR="00DC2FBB" w:rsidRPr="00B80DE6" w:rsidRDefault="00DC2FBB" w:rsidP="00D56A28">
            <w:pPr>
              <w:rPr>
                <w:rtl/>
              </w:rPr>
            </w:pPr>
            <w:r>
              <w:rPr>
                <w:rFonts w:hint="cs"/>
                <w:rtl/>
              </w:rPr>
              <w:t>غير متاح</w:t>
            </w:r>
          </w:p>
        </w:tc>
        <w:tc>
          <w:tcPr>
            <w:tcW w:w="2520" w:type="dxa"/>
          </w:tcPr>
          <w:p w14:paraId="04885978" w14:textId="77777777" w:rsidR="00DC2FBB" w:rsidRPr="005978F0" w:rsidRDefault="00DC2FBB" w:rsidP="00D56A28">
            <w:pPr>
              <w:rPr>
                <w:b/>
                <w:bCs/>
                <w:rtl/>
              </w:rPr>
            </w:pPr>
            <w:r>
              <w:rPr>
                <w:rFonts w:hint="cs"/>
                <w:b/>
                <w:bCs/>
                <w:rtl/>
              </w:rPr>
              <w:t>230 (497)*</w:t>
            </w:r>
          </w:p>
        </w:tc>
      </w:tr>
      <w:tr w:rsidR="00DC2FBB" w:rsidRPr="00B80DE6" w14:paraId="03A6582F" w14:textId="77777777" w:rsidTr="00D56A28">
        <w:tc>
          <w:tcPr>
            <w:tcW w:w="1915" w:type="dxa"/>
          </w:tcPr>
          <w:p w14:paraId="21BB862E" w14:textId="77777777" w:rsidR="00DC2FBB" w:rsidRPr="00B80DE6" w:rsidRDefault="00DC2FBB" w:rsidP="00D56A28"/>
        </w:tc>
        <w:tc>
          <w:tcPr>
            <w:tcW w:w="2400" w:type="dxa"/>
          </w:tcPr>
          <w:p w14:paraId="32175CF7" w14:textId="77777777" w:rsidR="00DC2FBB" w:rsidRPr="00B80DE6" w:rsidRDefault="00DC2FBB" w:rsidP="00D56A28"/>
        </w:tc>
        <w:tc>
          <w:tcPr>
            <w:tcW w:w="2520" w:type="dxa"/>
          </w:tcPr>
          <w:p w14:paraId="455649CB" w14:textId="77777777" w:rsidR="00DC2FBB" w:rsidRPr="00B80DE6" w:rsidRDefault="00DC2FBB" w:rsidP="00D56A28"/>
        </w:tc>
        <w:tc>
          <w:tcPr>
            <w:tcW w:w="2520" w:type="dxa"/>
          </w:tcPr>
          <w:p w14:paraId="1A59D753" w14:textId="77777777" w:rsidR="00DC2FBB" w:rsidRPr="00B80DE6" w:rsidRDefault="00DC2FBB" w:rsidP="00D56A28"/>
        </w:tc>
      </w:tr>
    </w:tbl>
    <w:p w14:paraId="1F91AC10" w14:textId="4FC280F4" w:rsidR="00DC2FBB" w:rsidRPr="00B80DE6" w:rsidRDefault="00DC2FBB" w:rsidP="00DC2FBB">
      <w:pPr>
        <w:rPr>
          <w:rtl/>
        </w:rPr>
      </w:pPr>
      <w:r>
        <w:rPr>
          <w:rFonts w:hint="cs"/>
          <w:rtl/>
        </w:rPr>
        <w:t xml:space="preserve">(* : أحدث التقارير التقنية السنوية في الفترة </w:t>
      </w:r>
      <w:r w:rsidR="00D5664D">
        <w:rPr>
          <w:rFonts w:hint="cs"/>
          <w:rtl/>
        </w:rPr>
        <w:t>المعنية</w:t>
      </w:r>
      <w:r>
        <w:rPr>
          <w:rFonts w:hint="cs"/>
          <w:rtl/>
        </w:rPr>
        <w:t>)</w:t>
      </w:r>
    </w:p>
    <w:p w14:paraId="3282A300" w14:textId="686106EC" w:rsidR="00D5664D" w:rsidRDefault="00C53690" w:rsidP="00DC2FBB">
      <w:pPr>
        <w:pStyle w:val="ONUMFS"/>
        <w:numPr>
          <w:ilvl w:val="0"/>
          <w:numId w:val="0"/>
        </w:numPr>
        <w:spacing w:before="240"/>
        <w:rPr>
          <w:rtl/>
        </w:rPr>
      </w:pPr>
      <w:r>
        <w:rPr>
          <w:rFonts w:hint="cs"/>
          <w:rtl/>
        </w:rPr>
        <w:t>8.</w:t>
      </w:r>
      <w:r>
        <w:rPr>
          <w:rtl/>
        </w:rPr>
        <w:tab/>
      </w:r>
      <w:r w:rsidR="00DC2FBB">
        <w:rPr>
          <w:rFonts w:hint="cs"/>
          <w:rtl/>
        </w:rPr>
        <w:t xml:space="preserve">بالنظر إلى </w:t>
      </w:r>
      <w:r w:rsidR="00BE0880">
        <w:rPr>
          <w:rFonts w:hint="cs"/>
          <w:rtl/>
        </w:rPr>
        <w:t>العدد المتزايد</w:t>
      </w:r>
      <w:r w:rsidR="00DC2FBB">
        <w:rPr>
          <w:rFonts w:hint="cs"/>
          <w:rtl/>
        </w:rPr>
        <w:t xml:space="preserve"> </w:t>
      </w:r>
      <w:r w:rsidR="00BE0880">
        <w:rPr>
          <w:rFonts w:hint="cs"/>
          <w:rtl/>
        </w:rPr>
        <w:t>ل</w:t>
      </w:r>
      <w:r w:rsidR="00DC2FBB">
        <w:rPr>
          <w:rFonts w:hint="cs"/>
          <w:rtl/>
        </w:rPr>
        <w:t xml:space="preserve">لتقارير </w:t>
      </w:r>
      <w:r>
        <w:rPr>
          <w:rFonts w:hint="cs"/>
          <w:rtl/>
        </w:rPr>
        <w:t>التقنية</w:t>
      </w:r>
      <w:r w:rsidR="00DC2FBB">
        <w:rPr>
          <w:rFonts w:hint="cs"/>
          <w:rtl/>
        </w:rPr>
        <w:t xml:space="preserve"> السنوية التي توفرها المكاتب وعدد الزيارات إلى صفحات التقارير التقنية السنوية خلال السنوات الثلاث الماضية، يقترح المكتب الدولي مواصلة جمع التقارير التقنية السنوية باستخدام النموذج المبسط.</w:t>
      </w:r>
    </w:p>
    <w:p w14:paraId="6F6E9D05" w14:textId="77777777" w:rsidR="00D5664D" w:rsidRDefault="00D5664D">
      <w:pPr>
        <w:bidi w:val="0"/>
        <w:rPr>
          <w:rtl/>
        </w:rPr>
      </w:pPr>
      <w:r>
        <w:rPr>
          <w:rtl/>
        </w:rPr>
        <w:br w:type="page"/>
      </w:r>
    </w:p>
    <w:p w14:paraId="58B411E3" w14:textId="5648F1D4" w:rsidR="00DC2FBB" w:rsidRPr="00B80DE6" w:rsidRDefault="00C53690" w:rsidP="00DC2FBB">
      <w:pPr>
        <w:pStyle w:val="ONUMFS"/>
        <w:numPr>
          <w:ilvl w:val="0"/>
          <w:numId w:val="0"/>
        </w:numPr>
        <w:rPr>
          <w:rtl/>
        </w:rPr>
      </w:pPr>
      <w:r>
        <w:rPr>
          <w:rFonts w:hint="cs"/>
          <w:rtl/>
        </w:rPr>
        <w:lastRenderedPageBreak/>
        <w:t>9.</w:t>
      </w:r>
      <w:r>
        <w:rPr>
          <w:rtl/>
        </w:rPr>
        <w:tab/>
      </w:r>
      <w:r w:rsidR="00D5664D">
        <w:rPr>
          <w:rFonts w:hint="cs"/>
          <w:rtl/>
        </w:rPr>
        <w:t>و</w:t>
      </w:r>
      <w:r w:rsidR="00DC2FBB">
        <w:rPr>
          <w:rFonts w:hint="cs"/>
          <w:rtl/>
        </w:rPr>
        <w:t>بالإضافة إلى ذلك، يمكن استخدام التقرير التقني السنوي لجمع المعلومات عن أنشطة المكاتب بشأن معايير الويبو أو</w:t>
      </w:r>
      <w:r w:rsidR="00BE0880">
        <w:rPr>
          <w:rFonts w:hint="eastAsia"/>
          <w:rtl/>
        </w:rPr>
        <w:t> </w:t>
      </w:r>
      <w:r w:rsidR="00DC2FBB">
        <w:rPr>
          <w:rFonts w:hint="cs"/>
          <w:rtl/>
        </w:rPr>
        <w:t>المسائل الأخرى ذات الصلة، بما في ذلك بيانات الملكية الفكرية وخدمات المعلومات ونشر البيانات. وإذا توقف جمع التقارير التقنية السنوية فستفقد لجنة المعايير إحدى وسائل جمع البيانات من المكاتب. ولجمع أنشطة المكاتب بشأن معايير الويبو، يقترح المكتب الدولي إضافة موضوع جديد إلى النموذج المبسط يتعلق بالأنشطة المتعلقة باستخدام المكاتب لمعايير الويبو أو تنفيذها</w:t>
      </w:r>
      <w:r w:rsidR="00BE0880">
        <w:rPr>
          <w:rFonts w:hint="cs"/>
          <w:rtl/>
        </w:rPr>
        <w:t xml:space="preserve"> لتلك المعايير</w:t>
      </w:r>
      <w:r w:rsidR="00DC2FBB">
        <w:rPr>
          <w:rFonts w:hint="cs"/>
          <w:rtl/>
        </w:rPr>
        <w:t>.</w:t>
      </w:r>
      <w:r>
        <w:rPr>
          <w:rFonts w:hint="cs"/>
          <w:rtl/>
        </w:rPr>
        <w:t xml:space="preserve"> </w:t>
      </w:r>
      <w:r w:rsidR="00DC2FBB">
        <w:rPr>
          <w:rFonts w:hint="cs"/>
          <w:rtl/>
        </w:rPr>
        <w:t xml:space="preserve">والغرض من </w:t>
      </w:r>
      <w:r w:rsidR="00BE0880">
        <w:rPr>
          <w:rFonts w:hint="cs"/>
          <w:rtl/>
        </w:rPr>
        <w:t>ذلك</w:t>
      </w:r>
      <w:r w:rsidR="00DC2FBB">
        <w:rPr>
          <w:rFonts w:hint="cs"/>
          <w:rtl/>
        </w:rPr>
        <w:t xml:space="preserve"> الموضوع هو تحديد معايير الويبو </w:t>
      </w:r>
      <w:r w:rsidR="00BE0880">
        <w:rPr>
          <w:rFonts w:hint="cs"/>
          <w:rtl/>
        </w:rPr>
        <w:t xml:space="preserve">المستخدمة </w:t>
      </w:r>
      <w:r w:rsidR="00DC2FBB">
        <w:rPr>
          <w:rFonts w:hint="cs"/>
          <w:rtl/>
        </w:rPr>
        <w:t>وكيفية استخدامها.</w:t>
      </w:r>
      <w:r>
        <w:rPr>
          <w:rFonts w:hint="cs"/>
          <w:rtl/>
        </w:rPr>
        <w:t xml:space="preserve"> </w:t>
      </w:r>
      <w:r w:rsidR="00BE0880">
        <w:rPr>
          <w:rFonts w:hint="cs"/>
          <w:rtl/>
        </w:rPr>
        <w:t>و</w:t>
      </w:r>
      <w:r w:rsidR="00DC2FBB">
        <w:rPr>
          <w:rFonts w:hint="cs"/>
          <w:rtl/>
        </w:rPr>
        <w:t>الموضوع المقترح هو كما يلي:</w:t>
      </w:r>
    </w:p>
    <w:p w14:paraId="0F1F17F8" w14:textId="512246F3" w:rsidR="00DC2FBB" w:rsidRPr="00B80DE6" w:rsidRDefault="00DC2FBB" w:rsidP="00DC2FBB">
      <w:pPr>
        <w:pStyle w:val="ONUMFS"/>
        <w:numPr>
          <w:ilvl w:val="0"/>
          <w:numId w:val="0"/>
        </w:numPr>
        <w:ind w:left="567"/>
        <w:rPr>
          <w:rtl/>
        </w:rPr>
      </w:pPr>
      <w:r>
        <w:rPr>
          <w:rFonts w:hint="cs"/>
          <w:rtl/>
        </w:rPr>
        <w:t>"</w:t>
      </w:r>
      <w:r w:rsidRPr="00C53690">
        <w:rPr>
          <w:rFonts w:hint="cs"/>
          <w:i/>
          <w:iCs/>
          <w:rtl/>
        </w:rPr>
        <w:t>أنشطة تنفيذ معايير الويبو المتعلقة بمعلومات البراءات (العلامات التجارية أو التصاميم الصناعية)</w:t>
      </w:r>
      <w:r>
        <w:rPr>
          <w:rFonts w:hint="cs"/>
          <w:rtl/>
        </w:rPr>
        <w:t>"</w:t>
      </w:r>
    </w:p>
    <w:p w14:paraId="36E74B27" w14:textId="77777777" w:rsidR="00DC2FBB" w:rsidRPr="00B80DE6" w:rsidRDefault="00DC2FBB" w:rsidP="00DC2FBB">
      <w:pPr>
        <w:pStyle w:val="ONUMFS"/>
        <w:numPr>
          <w:ilvl w:val="0"/>
          <w:numId w:val="0"/>
        </w:numPr>
      </w:pPr>
    </w:p>
    <w:p w14:paraId="623AEAA3" w14:textId="36F43AEE" w:rsidR="00DC2FBB" w:rsidRPr="00C53690" w:rsidRDefault="00C53690" w:rsidP="00DC2FBB">
      <w:pPr>
        <w:pStyle w:val="ONUMFS"/>
        <w:numPr>
          <w:ilvl w:val="0"/>
          <w:numId w:val="0"/>
        </w:numPr>
        <w:spacing w:after="120"/>
        <w:ind w:left="5463" w:firstLine="567"/>
        <w:rPr>
          <w:i/>
          <w:iCs/>
          <w:rtl/>
        </w:rPr>
      </w:pPr>
      <w:r>
        <w:rPr>
          <w:rFonts w:hint="cs"/>
          <w:rtl/>
        </w:rPr>
        <w:t>10</w:t>
      </w:r>
      <w:r w:rsidRPr="00C53690">
        <w:rPr>
          <w:rFonts w:hint="cs"/>
          <w:rtl/>
        </w:rPr>
        <w:t>.</w:t>
      </w:r>
      <w:r w:rsidRPr="00C53690">
        <w:rPr>
          <w:i/>
          <w:iCs/>
          <w:rtl/>
        </w:rPr>
        <w:tab/>
      </w:r>
      <w:r w:rsidR="00DC2FBB" w:rsidRPr="00C53690">
        <w:rPr>
          <w:rFonts w:hint="cs"/>
          <w:i/>
          <w:iCs/>
          <w:rtl/>
        </w:rPr>
        <w:t xml:space="preserve">إن لجنة المعايير مدعوة إلى ما يلي: </w:t>
      </w:r>
    </w:p>
    <w:p w14:paraId="09485665" w14:textId="1C49198C" w:rsidR="00DC2FBB" w:rsidRPr="00B80DE6" w:rsidRDefault="00C53690" w:rsidP="00BE0880">
      <w:pPr>
        <w:pStyle w:val="ONUMFS"/>
        <w:numPr>
          <w:ilvl w:val="0"/>
          <w:numId w:val="0"/>
        </w:numPr>
        <w:spacing w:after="120"/>
        <w:ind w:left="6803"/>
        <w:rPr>
          <w:rtl/>
        </w:rPr>
      </w:pPr>
      <w:r>
        <w:rPr>
          <w:rFonts w:hint="cs"/>
          <w:i/>
          <w:iCs/>
          <w:rtl/>
        </w:rPr>
        <w:t>(أ)</w:t>
      </w:r>
      <w:r>
        <w:rPr>
          <w:i/>
          <w:iCs/>
          <w:rtl/>
        </w:rPr>
        <w:tab/>
      </w:r>
      <w:r w:rsidR="00DC2FBB">
        <w:rPr>
          <w:rFonts w:hint="cs"/>
          <w:i/>
          <w:iCs/>
          <w:rtl/>
        </w:rPr>
        <w:t>الإحاطة علما</w:t>
      </w:r>
      <w:r w:rsidR="00BE0880">
        <w:rPr>
          <w:rFonts w:hint="cs"/>
          <w:i/>
          <w:iCs/>
          <w:rtl/>
        </w:rPr>
        <w:t>ً</w:t>
      </w:r>
      <w:r w:rsidR="00DC2FBB">
        <w:rPr>
          <w:rFonts w:hint="cs"/>
          <w:i/>
          <w:iCs/>
          <w:rtl/>
        </w:rPr>
        <w:t xml:space="preserve"> بمحتوى هذه الوثيقة؛</w:t>
      </w:r>
      <w:r w:rsidR="00DC2FBB">
        <w:rPr>
          <w:rFonts w:hint="cs"/>
          <w:rtl/>
        </w:rPr>
        <w:t xml:space="preserve"> </w:t>
      </w:r>
    </w:p>
    <w:p w14:paraId="372718BD" w14:textId="75AC6E36" w:rsidR="00DC2FBB" w:rsidRPr="00B80DE6" w:rsidRDefault="00C53690" w:rsidP="00BE0880">
      <w:pPr>
        <w:pStyle w:val="ONUMFS"/>
        <w:numPr>
          <w:ilvl w:val="0"/>
          <w:numId w:val="0"/>
        </w:numPr>
        <w:spacing w:after="120"/>
        <w:ind w:left="6803"/>
        <w:rPr>
          <w:rtl/>
        </w:rPr>
      </w:pPr>
      <w:r>
        <w:rPr>
          <w:rFonts w:hint="cs"/>
          <w:i/>
          <w:iCs/>
          <w:rtl/>
        </w:rPr>
        <w:t>(ب)</w:t>
      </w:r>
      <w:r>
        <w:rPr>
          <w:i/>
          <w:iCs/>
          <w:rtl/>
        </w:rPr>
        <w:tab/>
      </w:r>
      <w:r w:rsidR="00DC2FBB">
        <w:rPr>
          <w:rFonts w:hint="cs"/>
          <w:i/>
          <w:iCs/>
          <w:rtl/>
        </w:rPr>
        <w:t xml:space="preserve">والموافقة على </w:t>
      </w:r>
      <w:r w:rsidR="00BE0880">
        <w:rPr>
          <w:rFonts w:hint="cs"/>
          <w:i/>
          <w:iCs/>
          <w:rtl/>
        </w:rPr>
        <w:t>مواصلة</w:t>
      </w:r>
      <w:r w:rsidR="00DC2FBB">
        <w:rPr>
          <w:rFonts w:hint="cs"/>
          <w:i/>
          <w:iCs/>
          <w:rtl/>
        </w:rPr>
        <w:t xml:space="preserve"> </w:t>
      </w:r>
      <w:r w:rsidR="00BE0880">
        <w:rPr>
          <w:rFonts w:hint="cs"/>
          <w:i/>
          <w:iCs/>
          <w:rtl/>
        </w:rPr>
        <w:t>جمع</w:t>
      </w:r>
      <w:r w:rsidR="00DC2FBB">
        <w:rPr>
          <w:rFonts w:hint="cs"/>
          <w:i/>
          <w:iCs/>
          <w:rtl/>
        </w:rPr>
        <w:t xml:space="preserve"> التقارير التقنية السنوية على النحو المشار إليه في الفقرة 8 أعلاه؛</w:t>
      </w:r>
    </w:p>
    <w:p w14:paraId="71ECDF67" w14:textId="2A3A84DE" w:rsidR="00DC2FBB" w:rsidRPr="00B80DE6" w:rsidRDefault="00C53690" w:rsidP="00BE0880">
      <w:pPr>
        <w:pStyle w:val="ONUMFS"/>
        <w:numPr>
          <w:ilvl w:val="0"/>
          <w:numId w:val="0"/>
        </w:numPr>
        <w:spacing w:after="120"/>
        <w:ind w:left="6803"/>
        <w:rPr>
          <w:rtl/>
        </w:rPr>
      </w:pPr>
      <w:r>
        <w:rPr>
          <w:rFonts w:hint="cs"/>
          <w:i/>
          <w:iCs/>
          <w:rtl/>
        </w:rPr>
        <w:t>(ج)</w:t>
      </w:r>
      <w:r>
        <w:rPr>
          <w:i/>
          <w:iCs/>
          <w:rtl/>
        </w:rPr>
        <w:tab/>
      </w:r>
      <w:r w:rsidR="00DC2FBB">
        <w:rPr>
          <w:rFonts w:hint="cs"/>
          <w:i/>
          <w:iCs/>
          <w:rtl/>
        </w:rPr>
        <w:t>والنظر في الموضوع الجديد المقترح</w:t>
      </w:r>
      <w:r w:rsidR="00BE0880">
        <w:rPr>
          <w:rFonts w:hint="cs"/>
          <w:i/>
          <w:iCs/>
          <w:rtl/>
        </w:rPr>
        <w:t xml:space="preserve">، </w:t>
      </w:r>
      <w:r w:rsidR="00DC2FBB">
        <w:rPr>
          <w:rFonts w:hint="cs"/>
          <w:i/>
          <w:iCs/>
          <w:rtl/>
        </w:rPr>
        <w:t>الذي ينبغي إضافته إلى النموذج المبسط على النحو المشار إليه في الفقرة 9 أعلاه</w:t>
      </w:r>
      <w:r w:rsidR="00BE0880">
        <w:rPr>
          <w:rFonts w:hint="cs"/>
          <w:i/>
          <w:iCs/>
          <w:rtl/>
        </w:rPr>
        <w:t>، والموافقة عليه</w:t>
      </w:r>
      <w:r w:rsidR="00DC2FBB">
        <w:rPr>
          <w:rFonts w:hint="cs"/>
          <w:i/>
          <w:iCs/>
          <w:rtl/>
        </w:rPr>
        <w:t>.</w:t>
      </w:r>
    </w:p>
    <w:p w14:paraId="5E5254F5" w14:textId="77777777" w:rsidR="00DC2FBB" w:rsidRPr="00C53690" w:rsidRDefault="00DC2FBB" w:rsidP="00BE0880">
      <w:pPr>
        <w:pStyle w:val="Endofdocument"/>
        <w:bidi/>
        <w:spacing w:before="480"/>
        <w:ind w:left="5489"/>
        <w:rPr>
          <w:rFonts w:asciiTheme="minorHAnsi" w:hAnsiTheme="minorHAnsi" w:cstheme="minorHAnsi"/>
          <w:rtl/>
        </w:rPr>
      </w:pPr>
      <w:r w:rsidRPr="00C53690">
        <w:rPr>
          <w:rFonts w:asciiTheme="minorHAnsi" w:hAnsiTheme="minorHAnsi" w:cstheme="minorHAnsi"/>
          <w:sz w:val="22"/>
          <w:szCs w:val="22"/>
          <w:rtl/>
        </w:rPr>
        <w:t>[نهاية الوثيقة]</w:t>
      </w:r>
    </w:p>
    <w:sectPr w:rsidR="00DC2FBB" w:rsidRPr="00C53690" w:rsidSect="00CC3E2D">
      <w:headerReference w:type="default" r:id="rId13"/>
      <w:footerReference w:type="even" r:id="rId14"/>
      <w:footerReference w:type="default" r:id="rId15"/>
      <w:footerReference w:type="first" r:id="rId16"/>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A91A8" w14:textId="77777777" w:rsidR="0001295D" w:rsidRDefault="0001295D">
      <w:r>
        <w:separator/>
      </w:r>
    </w:p>
  </w:endnote>
  <w:endnote w:type="continuationSeparator" w:id="0">
    <w:p w14:paraId="623C999C" w14:textId="77777777" w:rsidR="0001295D" w:rsidRDefault="0001295D" w:rsidP="003B38C1">
      <w:r>
        <w:separator/>
      </w:r>
    </w:p>
    <w:p w14:paraId="49DDED8F" w14:textId="77777777" w:rsidR="0001295D" w:rsidRPr="003B38C1" w:rsidRDefault="0001295D" w:rsidP="003B38C1">
      <w:pPr>
        <w:spacing w:after="60"/>
        <w:rPr>
          <w:sz w:val="17"/>
        </w:rPr>
      </w:pPr>
      <w:r>
        <w:rPr>
          <w:sz w:val="17"/>
        </w:rPr>
        <w:t>[Endnote continued from previous page]</w:t>
      </w:r>
    </w:p>
  </w:endnote>
  <w:endnote w:type="continuationNotice" w:id="1">
    <w:p w14:paraId="35390FE3" w14:textId="77777777" w:rsidR="0001295D" w:rsidRPr="003B38C1" w:rsidRDefault="000129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A5F5F" w14:textId="15DA6581" w:rsidR="00495E20" w:rsidRDefault="00495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BCFA7" w14:textId="56F87CD9" w:rsidR="00495E20" w:rsidRDefault="00495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8B9BD" w14:textId="2D8B6042" w:rsidR="00495E20" w:rsidRDefault="00495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815A5" w14:textId="77777777" w:rsidR="0001295D" w:rsidRDefault="0001295D">
      <w:r>
        <w:separator/>
      </w:r>
    </w:p>
  </w:footnote>
  <w:footnote w:type="continuationSeparator" w:id="0">
    <w:p w14:paraId="5BC947AD" w14:textId="77777777" w:rsidR="0001295D" w:rsidRDefault="0001295D" w:rsidP="008B60B2">
      <w:r>
        <w:separator/>
      </w:r>
    </w:p>
    <w:p w14:paraId="53CF9356" w14:textId="77777777" w:rsidR="0001295D" w:rsidRPr="00ED77FB" w:rsidRDefault="0001295D" w:rsidP="008B60B2">
      <w:pPr>
        <w:spacing w:after="60"/>
        <w:rPr>
          <w:sz w:val="17"/>
          <w:szCs w:val="17"/>
        </w:rPr>
      </w:pPr>
      <w:r w:rsidRPr="00ED77FB">
        <w:rPr>
          <w:sz w:val="17"/>
          <w:szCs w:val="17"/>
        </w:rPr>
        <w:t>[Footnote continued from previous page]</w:t>
      </w:r>
    </w:p>
  </w:footnote>
  <w:footnote w:type="continuationNotice" w:id="1">
    <w:p w14:paraId="7EB9F9A7" w14:textId="77777777" w:rsidR="0001295D" w:rsidRPr="00ED77FB" w:rsidRDefault="000129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D6AF" w14:textId="12ABCC5B" w:rsidR="00D07C78" w:rsidRPr="002326AB" w:rsidRDefault="00FE5D75" w:rsidP="007969D1">
    <w:pPr>
      <w:bidi w:val="0"/>
      <w:rPr>
        <w:caps/>
      </w:rPr>
    </w:pPr>
    <w:r>
      <w:rPr>
        <w:caps/>
      </w:rPr>
      <w:t>CWS</w:t>
    </w:r>
    <w:r w:rsidR="00250149">
      <w:rPr>
        <w:caps/>
      </w:rPr>
      <w:t>/</w:t>
    </w:r>
    <w:r w:rsidR="00D8520D">
      <w:rPr>
        <w:caps/>
      </w:rPr>
      <w:t>12/</w:t>
    </w:r>
    <w:r w:rsidR="003803C8">
      <w:rPr>
        <w:caps/>
      </w:rPr>
      <w:t>2</w:t>
    </w:r>
    <w:r w:rsidR="00DC2FBB">
      <w:rPr>
        <w:rFonts w:hint="cs"/>
        <w:caps/>
        <w:rtl/>
      </w:rPr>
      <w:t>4</w:t>
    </w:r>
  </w:p>
  <w:p w14:paraId="0F45B3F8" w14:textId="77777777" w:rsidR="00D07C78" w:rsidRDefault="00D07C78" w:rsidP="00210D5F">
    <w:pPr>
      <w:bidi w:val="0"/>
    </w:pPr>
    <w:r>
      <w:fldChar w:fldCharType="begin"/>
    </w:r>
    <w:r>
      <w:instrText xml:space="preserve"> PAGE  \* MERGEFORMAT </w:instrText>
    </w:r>
    <w:r>
      <w:fldChar w:fldCharType="separate"/>
    </w:r>
    <w:r w:rsidR="00B63965">
      <w:rPr>
        <w:noProof/>
      </w:rPr>
      <w:t>2</w:t>
    </w:r>
    <w:r>
      <w:fldChar w:fldCharType="end"/>
    </w:r>
  </w:p>
  <w:p w14:paraId="0015F402" w14:textId="77777777" w:rsidR="00D07C78" w:rsidRDefault="00D07C78" w:rsidP="00210D5F">
    <w:pPr>
      <w:bidi w:val="0"/>
    </w:pPr>
  </w:p>
  <w:p w14:paraId="653EAC11"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AD44E1"/>
    <w:multiLevelType w:val="hybridMultilevel"/>
    <w:tmpl w:val="7642591E"/>
    <w:lvl w:ilvl="0" w:tplc="94D8B612">
      <w:start w:val="2"/>
      <w:numFmt w:val="arabicAlpha"/>
      <w:lvlText w:val="(%1)"/>
      <w:lvlJc w:val="left"/>
      <w:pPr>
        <w:ind w:left="6390" w:hanging="360"/>
      </w:pPr>
      <w:rPr>
        <w:rFonts w:hint="default"/>
        <w:i/>
      </w:rPr>
    </w:lvl>
    <w:lvl w:ilvl="1" w:tplc="040C0019" w:tentative="1">
      <w:start w:val="1"/>
      <w:numFmt w:val="lowerLetter"/>
      <w:lvlText w:val="%2."/>
      <w:lvlJc w:val="left"/>
      <w:pPr>
        <w:ind w:left="7110" w:hanging="360"/>
      </w:pPr>
    </w:lvl>
    <w:lvl w:ilvl="2" w:tplc="040C001B" w:tentative="1">
      <w:start w:val="1"/>
      <w:numFmt w:val="lowerRoman"/>
      <w:lvlText w:val="%3."/>
      <w:lvlJc w:val="right"/>
      <w:pPr>
        <w:ind w:left="7830" w:hanging="180"/>
      </w:pPr>
    </w:lvl>
    <w:lvl w:ilvl="3" w:tplc="040C000F" w:tentative="1">
      <w:start w:val="1"/>
      <w:numFmt w:val="decimal"/>
      <w:lvlText w:val="%4."/>
      <w:lvlJc w:val="left"/>
      <w:pPr>
        <w:ind w:left="8550" w:hanging="360"/>
      </w:pPr>
    </w:lvl>
    <w:lvl w:ilvl="4" w:tplc="040C0019" w:tentative="1">
      <w:start w:val="1"/>
      <w:numFmt w:val="lowerLetter"/>
      <w:lvlText w:val="%5."/>
      <w:lvlJc w:val="left"/>
      <w:pPr>
        <w:ind w:left="9270" w:hanging="360"/>
      </w:pPr>
    </w:lvl>
    <w:lvl w:ilvl="5" w:tplc="040C001B" w:tentative="1">
      <w:start w:val="1"/>
      <w:numFmt w:val="lowerRoman"/>
      <w:lvlText w:val="%6."/>
      <w:lvlJc w:val="right"/>
      <w:pPr>
        <w:ind w:left="9990" w:hanging="180"/>
      </w:pPr>
    </w:lvl>
    <w:lvl w:ilvl="6" w:tplc="040C000F" w:tentative="1">
      <w:start w:val="1"/>
      <w:numFmt w:val="decimal"/>
      <w:lvlText w:val="%7."/>
      <w:lvlJc w:val="left"/>
      <w:pPr>
        <w:ind w:left="10710" w:hanging="360"/>
      </w:pPr>
    </w:lvl>
    <w:lvl w:ilvl="7" w:tplc="040C0019" w:tentative="1">
      <w:start w:val="1"/>
      <w:numFmt w:val="lowerLetter"/>
      <w:lvlText w:val="%8."/>
      <w:lvlJc w:val="left"/>
      <w:pPr>
        <w:ind w:left="11430" w:hanging="360"/>
      </w:pPr>
    </w:lvl>
    <w:lvl w:ilvl="8" w:tplc="040C001B" w:tentative="1">
      <w:start w:val="1"/>
      <w:numFmt w:val="lowerRoman"/>
      <w:lvlText w:val="%9."/>
      <w:lvlJc w:val="right"/>
      <w:pPr>
        <w:ind w:left="12150" w:hanging="180"/>
      </w:pPr>
    </w:lvl>
  </w:abstractNum>
  <w:abstractNum w:abstractNumId="2" w15:restartNumberingAfterBreak="0">
    <w:nsid w:val="04F273BE"/>
    <w:multiLevelType w:val="hybridMultilevel"/>
    <w:tmpl w:val="1136A020"/>
    <w:lvl w:ilvl="0" w:tplc="CD68B876">
      <w:start w:val="1"/>
      <w:numFmt w:val="arabicAbjad"/>
      <w:lvlText w:val="(%1)"/>
      <w:lvlJc w:val="left"/>
      <w:pPr>
        <w:ind w:left="720" w:hanging="360"/>
      </w:pPr>
      <w:rPr>
        <w:rFonts w:ascii="Arial" w:eastAsia="Arial" w:hAnsi="Arial" w:cs="Arial" w:hint="default"/>
        <w:color w:val="auto"/>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6F0FE1"/>
    <w:multiLevelType w:val="hybridMultilevel"/>
    <w:tmpl w:val="9F1A49DE"/>
    <w:lvl w:ilvl="0" w:tplc="7F78BE94">
      <w:numFmt w:val="bullet"/>
      <w:lvlText w:val="-"/>
      <w:lvlJc w:val="left"/>
      <w:pPr>
        <w:ind w:left="927" w:hanging="360"/>
      </w:pPr>
      <w:rPr>
        <w:rFonts w:ascii="Calibri" w:eastAsia="Times New Roman" w:hAnsi="Calibri" w:cs="Calibri"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8"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1DB07FE"/>
    <w:multiLevelType w:val="hybridMultilevel"/>
    <w:tmpl w:val="92EE5A92"/>
    <w:lvl w:ilvl="0" w:tplc="5B28816A">
      <w:start w:val="1"/>
      <w:numFmt w:val="lowerLetter"/>
      <w:lvlText w:val="(%1)"/>
      <w:lvlJc w:val="left"/>
      <w:pPr>
        <w:ind w:left="6750" w:hanging="360"/>
      </w:pPr>
      <w:rPr>
        <w:rFonts w:hint="default"/>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2" w15:restartNumberingAfterBreak="0">
    <w:nsid w:val="22955CD6"/>
    <w:multiLevelType w:val="hybridMultilevel"/>
    <w:tmpl w:val="A9CED5FE"/>
    <w:lvl w:ilvl="0" w:tplc="DDA6CF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9A166A"/>
    <w:multiLevelType w:val="hybridMultilevel"/>
    <w:tmpl w:val="48DCB116"/>
    <w:lvl w:ilvl="0" w:tplc="DDA6CF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174A68"/>
    <w:multiLevelType w:val="hybridMultilevel"/>
    <w:tmpl w:val="207A3412"/>
    <w:lvl w:ilvl="0" w:tplc="3B6CFC3C">
      <w:start w:val="5"/>
      <w:numFmt w:val="arabicAlpha"/>
      <w:lvlText w:val="(%1)"/>
      <w:lvlJc w:val="left"/>
      <w:pPr>
        <w:ind w:left="6030" w:hanging="360"/>
      </w:pPr>
      <w:rPr>
        <w:rFonts w:hint="default"/>
        <w:i/>
      </w:rPr>
    </w:lvl>
    <w:lvl w:ilvl="1" w:tplc="040C0019" w:tentative="1">
      <w:start w:val="1"/>
      <w:numFmt w:val="lowerLetter"/>
      <w:lvlText w:val="%2."/>
      <w:lvlJc w:val="left"/>
      <w:pPr>
        <w:ind w:left="6750" w:hanging="360"/>
      </w:pPr>
    </w:lvl>
    <w:lvl w:ilvl="2" w:tplc="040C001B" w:tentative="1">
      <w:start w:val="1"/>
      <w:numFmt w:val="lowerRoman"/>
      <w:lvlText w:val="%3."/>
      <w:lvlJc w:val="right"/>
      <w:pPr>
        <w:ind w:left="7470" w:hanging="180"/>
      </w:pPr>
    </w:lvl>
    <w:lvl w:ilvl="3" w:tplc="040C000F" w:tentative="1">
      <w:start w:val="1"/>
      <w:numFmt w:val="decimal"/>
      <w:lvlText w:val="%4."/>
      <w:lvlJc w:val="left"/>
      <w:pPr>
        <w:ind w:left="8190" w:hanging="360"/>
      </w:pPr>
    </w:lvl>
    <w:lvl w:ilvl="4" w:tplc="040C0019" w:tentative="1">
      <w:start w:val="1"/>
      <w:numFmt w:val="lowerLetter"/>
      <w:lvlText w:val="%5."/>
      <w:lvlJc w:val="left"/>
      <w:pPr>
        <w:ind w:left="8910" w:hanging="360"/>
      </w:pPr>
    </w:lvl>
    <w:lvl w:ilvl="5" w:tplc="040C001B" w:tentative="1">
      <w:start w:val="1"/>
      <w:numFmt w:val="lowerRoman"/>
      <w:lvlText w:val="%6."/>
      <w:lvlJc w:val="right"/>
      <w:pPr>
        <w:ind w:left="9630" w:hanging="180"/>
      </w:pPr>
    </w:lvl>
    <w:lvl w:ilvl="6" w:tplc="040C000F" w:tentative="1">
      <w:start w:val="1"/>
      <w:numFmt w:val="decimal"/>
      <w:lvlText w:val="%7."/>
      <w:lvlJc w:val="left"/>
      <w:pPr>
        <w:ind w:left="10350" w:hanging="360"/>
      </w:pPr>
    </w:lvl>
    <w:lvl w:ilvl="7" w:tplc="040C0019" w:tentative="1">
      <w:start w:val="1"/>
      <w:numFmt w:val="lowerLetter"/>
      <w:lvlText w:val="%8."/>
      <w:lvlJc w:val="left"/>
      <w:pPr>
        <w:ind w:left="11070" w:hanging="360"/>
      </w:pPr>
    </w:lvl>
    <w:lvl w:ilvl="8" w:tplc="040C001B" w:tentative="1">
      <w:start w:val="1"/>
      <w:numFmt w:val="lowerRoman"/>
      <w:lvlText w:val="%9."/>
      <w:lvlJc w:val="right"/>
      <w:pPr>
        <w:ind w:left="11790" w:hanging="180"/>
      </w:pPr>
    </w:lvl>
  </w:abstractNum>
  <w:abstractNum w:abstractNumId="15"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8C75D1"/>
    <w:multiLevelType w:val="hybridMultilevel"/>
    <w:tmpl w:val="56905EDC"/>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7"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BC4888"/>
    <w:multiLevelType w:val="hybridMultilevel"/>
    <w:tmpl w:val="23D650A8"/>
    <w:lvl w:ilvl="0" w:tplc="AE56C4F2">
      <w:start w:val="1"/>
      <w:numFmt w:val="arabicAbjad"/>
      <w:lvlText w:val="(%1)"/>
      <w:lvlJc w:val="left"/>
      <w:pPr>
        <w:ind w:left="6313" w:hanging="360"/>
      </w:pPr>
      <w:rPr>
        <w:rFonts w:ascii="Calibri" w:eastAsia="Arial" w:hAnsi="Calibri" w:cs="Calibri" w:hint="default"/>
        <w:color w:val="auto"/>
        <w:spacing w:val="-1"/>
        <w:w w:val="99"/>
        <w:sz w:val="22"/>
        <w:szCs w:val="22"/>
      </w:rPr>
    </w:lvl>
    <w:lvl w:ilvl="1" w:tplc="04090019" w:tentative="1">
      <w:start w:val="1"/>
      <w:numFmt w:val="lowerLetter"/>
      <w:lvlText w:val="%2."/>
      <w:lvlJc w:val="left"/>
      <w:pPr>
        <w:ind w:left="7033" w:hanging="360"/>
      </w:pPr>
    </w:lvl>
    <w:lvl w:ilvl="2" w:tplc="0409001B" w:tentative="1">
      <w:start w:val="1"/>
      <w:numFmt w:val="lowerRoman"/>
      <w:lvlText w:val="%3."/>
      <w:lvlJc w:val="right"/>
      <w:pPr>
        <w:ind w:left="7753" w:hanging="180"/>
      </w:pPr>
    </w:lvl>
    <w:lvl w:ilvl="3" w:tplc="0409000F" w:tentative="1">
      <w:start w:val="1"/>
      <w:numFmt w:val="decimal"/>
      <w:lvlText w:val="%4."/>
      <w:lvlJc w:val="left"/>
      <w:pPr>
        <w:ind w:left="8473" w:hanging="360"/>
      </w:pPr>
    </w:lvl>
    <w:lvl w:ilvl="4" w:tplc="04090019" w:tentative="1">
      <w:start w:val="1"/>
      <w:numFmt w:val="lowerLetter"/>
      <w:lvlText w:val="%5."/>
      <w:lvlJc w:val="left"/>
      <w:pPr>
        <w:ind w:left="9193" w:hanging="360"/>
      </w:pPr>
    </w:lvl>
    <w:lvl w:ilvl="5" w:tplc="0409001B" w:tentative="1">
      <w:start w:val="1"/>
      <w:numFmt w:val="lowerRoman"/>
      <w:lvlText w:val="%6."/>
      <w:lvlJc w:val="right"/>
      <w:pPr>
        <w:ind w:left="9913" w:hanging="180"/>
      </w:pPr>
    </w:lvl>
    <w:lvl w:ilvl="6" w:tplc="0409000F" w:tentative="1">
      <w:start w:val="1"/>
      <w:numFmt w:val="decimal"/>
      <w:lvlText w:val="%7."/>
      <w:lvlJc w:val="left"/>
      <w:pPr>
        <w:ind w:left="10633" w:hanging="360"/>
      </w:pPr>
    </w:lvl>
    <w:lvl w:ilvl="7" w:tplc="04090019" w:tentative="1">
      <w:start w:val="1"/>
      <w:numFmt w:val="lowerLetter"/>
      <w:lvlText w:val="%8."/>
      <w:lvlJc w:val="left"/>
      <w:pPr>
        <w:ind w:left="11353" w:hanging="360"/>
      </w:pPr>
    </w:lvl>
    <w:lvl w:ilvl="8" w:tplc="0409001B" w:tentative="1">
      <w:start w:val="1"/>
      <w:numFmt w:val="lowerRoman"/>
      <w:lvlText w:val="%9."/>
      <w:lvlJc w:val="right"/>
      <w:pPr>
        <w:ind w:left="12073" w:hanging="180"/>
      </w:pPr>
    </w:lvl>
  </w:abstractNum>
  <w:abstractNum w:abstractNumId="19" w15:restartNumberingAfterBreak="0">
    <w:nsid w:val="33447A0E"/>
    <w:multiLevelType w:val="hybridMultilevel"/>
    <w:tmpl w:val="6068D7B2"/>
    <w:lvl w:ilvl="0" w:tplc="7F78BE94">
      <w:numFmt w:val="bullet"/>
      <w:lvlText w:val="-"/>
      <w:lvlJc w:val="left"/>
      <w:pPr>
        <w:ind w:left="1494" w:hanging="360"/>
      </w:pPr>
      <w:rPr>
        <w:rFonts w:ascii="Calibri" w:eastAsia="Times New Roman" w:hAnsi="Calibri" w:cs="Calibri"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20"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2" w15:restartNumberingAfterBreak="0">
    <w:nsid w:val="3D896D22"/>
    <w:multiLevelType w:val="hybridMultilevel"/>
    <w:tmpl w:val="1B8AE810"/>
    <w:lvl w:ilvl="0" w:tplc="1AC09582">
      <w:start w:val="1"/>
      <w:numFmt w:val="arabicAlpha"/>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217C83"/>
    <w:multiLevelType w:val="hybridMultilevel"/>
    <w:tmpl w:val="168A049E"/>
    <w:lvl w:ilvl="0" w:tplc="15F0EEB6">
      <w:numFmt w:val="bullet"/>
      <w:lvlText w:val="•"/>
      <w:lvlJc w:val="left"/>
      <w:pPr>
        <w:ind w:left="1440" w:hanging="360"/>
      </w:pPr>
      <w:rPr>
        <w:rFonts w:ascii="Arial" w:eastAsia="SimSu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5E06D58"/>
    <w:multiLevelType w:val="hybridMultilevel"/>
    <w:tmpl w:val="798C791A"/>
    <w:lvl w:ilvl="0" w:tplc="1B5ACAEC">
      <w:start w:val="1"/>
      <w:numFmt w:val="lowerLetter"/>
      <w:lvlText w:val="(%1)"/>
      <w:lvlJc w:val="left"/>
      <w:pPr>
        <w:ind w:left="6030" w:hanging="360"/>
      </w:pPr>
      <w:rPr>
        <w:rFonts w:hint="default"/>
        <w:i/>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9"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BC2B5E"/>
    <w:multiLevelType w:val="hybridMultilevel"/>
    <w:tmpl w:val="E3189E2E"/>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7" w15:restartNumberingAfterBreak="0">
    <w:nsid w:val="59F26271"/>
    <w:multiLevelType w:val="hybridMultilevel"/>
    <w:tmpl w:val="B44C4D6A"/>
    <w:lvl w:ilvl="0" w:tplc="DDA6CF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92456D"/>
    <w:multiLevelType w:val="hybridMultilevel"/>
    <w:tmpl w:val="579EA3E2"/>
    <w:lvl w:ilvl="0" w:tplc="DDA6CF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CB6211"/>
    <w:multiLevelType w:val="hybridMultilevel"/>
    <w:tmpl w:val="E50ECE30"/>
    <w:lvl w:ilvl="0" w:tplc="DDA6CF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3B0E02"/>
    <w:multiLevelType w:val="hybridMultilevel"/>
    <w:tmpl w:val="EF5E8486"/>
    <w:lvl w:ilvl="0" w:tplc="7F78BE94">
      <w:numFmt w:val="bullet"/>
      <w:lvlText w:val="-"/>
      <w:lvlJc w:val="left"/>
      <w:pPr>
        <w:ind w:left="927" w:hanging="360"/>
      </w:pPr>
      <w:rPr>
        <w:rFonts w:ascii="Calibri" w:eastAsia="Times New Roman" w:hAnsi="Calibri" w:cs="Calibri"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46" w15:restartNumberingAfterBreak="0">
    <w:nsid w:val="7A5C679D"/>
    <w:multiLevelType w:val="hybridMultilevel"/>
    <w:tmpl w:val="6A18AA7C"/>
    <w:lvl w:ilvl="0" w:tplc="15F0EEB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873411">
    <w:abstractNumId w:val="6"/>
  </w:num>
  <w:num w:numId="2" w16cid:durableId="1329098559">
    <w:abstractNumId w:val="27"/>
  </w:num>
  <w:num w:numId="3" w16cid:durableId="559949353">
    <w:abstractNumId w:val="0"/>
  </w:num>
  <w:num w:numId="4" w16cid:durableId="275602950">
    <w:abstractNumId w:val="31"/>
  </w:num>
  <w:num w:numId="5" w16cid:durableId="1486360840">
    <w:abstractNumId w:val="3"/>
  </w:num>
  <w:num w:numId="6" w16cid:durableId="400830251">
    <w:abstractNumId w:val="10"/>
  </w:num>
  <w:num w:numId="7" w16cid:durableId="409691897">
    <w:abstractNumId w:val="36"/>
  </w:num>
  <w:num w:numId="8" w16cid:durableId="228880050">
    <w:abstractNumId w:val="21"/>
  </w:num>
  <w:num w:numId="9" w16cid:durableId="1094009415">
    <w:abstractNumId w:val="23"/>
  </w:num>
  <w:num w:numId="10" w16cid:durableId="1285572739">
    <w:abstractNumId w:val="29"/>
  </w:num>
  <w:num w:numId="11" w16cid:durableId="791285311">
    <w:abstractNumId w:val="34"/>
  </w:num>
  <w:num w:numId="12" w16cid:durableId="1388990297">
    <w:abstractNumId w:val="30"/>
  </w:num>
  <w:num w:numId="13" w16cid:durableId="18896844">
    <w:abstractNumId w:val="39"/>
  </w:num>
  <w:num w:numId="14" w16cid:durableId="207188967">
    <w:abstractNumId w:val="8"/>
  </w:num>
  <w:num w:numId="15" w16cid:durableId="1193348628">
    <w:abstractNumId w:val="20"/>
  </w:num>
  <w:num w:numId="16" w16cid:durableId="1028407219">
    <w:abstractNumId w:val="4"/>
  </w:num>
  <w:num w:numId="17" w16cid:durableId="138424824">
    <w:abstractNumId w:val="24"/>
  </w:num>
  <w:num w:numId="18" w16cid:durableId="997808923">
    <w:abstractNumId w:val="32"/>
  </w:num>
  <w:num w:numId="19" w16cid:durableId="45615683">
    <w:abstractNumId w:val="9"/>
  </w:num>
  <w:num w:numId="20" w16cid:durableId="838228266">
    <w:abstractNumId w:val="40"/>
  </w:num>
  <w:num w:numId="21" w16cid:durableId="498497945">
    <w:abstractNumId w:val="15"/>
  </w:num>
  <w:num w:numId="22" w16cid:durableId="304432051">
    <w:abstractNumId w:val="42"/>
  </w:num>
  <w:num w:numId="23" w16cid:durableId="62801392">
    <w:abstractNumId w:val="26"/>
  </w:num>
  <w:num w:numId="24" w16cid:durableId="1616474423">
    <w:abstractNumId w:val="33"/>
  </w:num>
  <w:num w:numId="25" w16cid:durableId="328950178">
    <w:abstractNumId w:val="44"/>
  </w:num>
  <w:num w:numId="26" w16cid:durableId="703098010">
    <w:abstractNumId w:val="5"/>
  </w:num>
  <w:num w:numId="27" w16cid:durableId="1978994426">
    <w:abstractNumId w:val="17"/>
  </w:num>
  <w:num w:numId="28" w16cid:durableId="1795828653">
    <w:abstractNumId w:val="43"/>
  </w:num>
  <w:num w:numId="29" w16cid:durableId="1902053504">
    <w:abstractNumId w:val="47"/>
  </w:num>
  <w:num w:numId="30" w16cid:durableId="101266293">
    <w:abstractNumId w:val="11"/>
  </w:num>
  <w:num w:numId="31" w16cid:durableId="1872066338">
    <w:abstractNumId w:val="2"/>
  </w:num>
  <w:num w:numId="32" w16cid:durableId="587732565">
    <w:abstractNumId w:val="18"/>
  </w:num>
  <w:num w:numId="33" w16cid:durableId="589628980">
    <w:abstractNumId w:val="16"/>
  </w:num>
  <w:num w:numId="34" w16cid:durableId="848371418">
    <w:abstractNumId w:val="45"/>
  </w:num>
  <w:num w:numId="35" w16cid:durableId="973406709">
    <w:abstractNumId w:val="19"/>
  </w:num>
  <w:num w:numId="36" w16cid:durableId="594367755">
    <w:abstractNumId w:val="7"/>
  </w:num>
  <w:num w:numId="37" w16cid:durableId="1036199690">
    <w:abstractNumId w:val="37"/>
  </w:num>
  <w:num w:numId="38" w16cid:durableId="1516847452">
    <w:abstractNumId w:val="12"/>
  </w:num>
  <w:num w:numId="39" w16cid:durableId="759764271">
    <w:abstractNumId w:val="38"/>
  </w:num>
  <w:num w:numId="40" w16cid:durableId="1583176112">
    <w:abstractNumId w:val="22"/>
  </w:num>
  <w:num w:numId="41" w16cid:durableId="13650100">
    <w:abstractNumId w:val="41"/>
  </w:num>
  <w:num w:numId="42" w16cid:durableId="1259800473">
    <w:abstractNumId w:val="13"/>
  </w:num>
  <w:num w:numId="43" w16cid:durableId="2139687472">
    <w:abstractNumId w:val="25"/>
  </w:num>
  <w:num w:numId="44" w16cid:durableId="995647443">
    <w:abstractNumId w:val="46"/>
  </w:num>
  <w:num w:numId="45" w16cid:durableId="1870605674">
    <w:abstractNumId w:val="35"/>
  </w:num>
  <w:num w:numId="46" w16cid:durableId="976225653">
    <w:abstractNumId w:val="28"/>
  </w:num>
  <w:num w:numId="47" w16cid:durableId="287779597">
    <w:abstractNumId w:val="1"/>
  </w:num>
  <w:num w:numId="48" w16cid:durableId="1600286134">
    <w:abstractNumId w:val="14"/>
  </w:num>
  <w:num w:numId="49" w16cid:durableId="2110932229">
    <w:abstractNumId w:val="10"/>
  </w:num>
  <w:num w:numId="50" w16cid:durableId="603927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47"/>
    <w:rsid w:val="000111DF"/>
    <w:rsid w:val="0001295D"/>
    <w:rsid w:val="00041A0A"/>
    <w:rsid w:val="00043CAA"/>
    <w:rsid w:val="00052D08"/>
    <w:rsid w:val="00056816"/>
    <w:rsid w:val="00075432"/>
    <w:rsid w:val="000910E5"/>
    <w:rsid w:val="000968ED"/>
    <w:rsid w:val="000A30EC"/>
    <w:rsid w:val="000A3260"/>
    <w:rsid w:val="000A3D97"/>
    <w:rsid w:val="000B5B36"/>
    <w:rsid w:val="000D3DAB"/>
    <w:rsid w:val="000D42A9"/>
    <w:rsid w:val="000F5E56"/>
    <w:rsid w:val="00121D10"/>
    <w:rsid w:val="0012493D"/>
    <w:rsid w:val="001362EE"/>
    <w:rsid w:val="001406E1"/>
    <w:rsid w:val="00140F22"/>
    <w:rsid w:val="00155D8A"/>
    <w:rsid w:val="001647D5"/>
    <w:rsid w:val="00167832"/>
    <w:rsid w:val="00176FD1"/>
    <w:rsid w:val="001832A6"/>
    <w:rsid w:val="0019592A"/>
    <w:rsid w:val="001B3F24"/>
    <w:rsid w:val="001D2BF0"/>
    <w:rsid w:val="001D4107"/>
    <w:rsid w:val="002006E3"/>
    <w:rsid w:val="00203D24"/>
    <w:rsid w:val="00210D5F"/>
    <w:rsid w:val="0021217E"/>
    <w:rsid w:val="002326AB"/>
    <w:rsid w:val="00243430"/>
    <w:rsid w:val="00247976"/>
    <w:rsid w:val="00250149"/>
    <w:rsid w:val="00262607"/>
    <w:rsid w:val="002634C4"/>
    <w:rsid w:val="00265273"/>
    <w:rsid w:val="00265354"/>
    <w:rsid w:val="00273181"/>
    <w:rsid w:val="002876C3"/>
    <w:rsid w:val="002928D3"/>
    <w:rsid w:val="002A7B3A"/>
    <w:rsid w:val="002D0D55"/>
    <w:rsid w:val="002F1FE6"/>
    <w:rsid w:val="002F3F26"/>
    <w:rsid w:val="002F4E68"/>
    <w:rsid w:val="0030305B"/>
    <w:rsid w:val="00303282"/>
    <w:rsid w:val="00312F7F"/>
    <w:rsid w:val="00321316"/>
    <w:rsid w:val="00321EB3"/>
    <w:rsid w:val="00327E12"/>
    <w:rsid w:val="003452A8"/>
    <w:rsid w:val="00361450"/>
    <w:rsid w:val="00364F1E"/>
    <w:rsid w:val="00365B8C"/>
    <w:rsid w:val="003673CF"/>
    <w:rsid w:val="00374F5B"/>
    <w:rsid w:val="00376168"/>
    <w:rsid w:val="003803C8"/>
    <w:rsid w:val="003845C1"/>
    <w:rsid w:val="003A6F89"/>
    <w:rsid w:val="003B2539"/>
    <w:rsid w:val="003B355C"/>
    <w:rsid w:val="003B3581"/>
    <w:rsid w:val="003B38C1"/>
    <w:rsid w:val="003C17A1"/>
    <w:rsid w:val="003C34E9"/>
    <w:rsid w:val="003C39AE"/>
    <w:rsid w:val="003E12F8"/>
    <w:rsid w:val="003E46E3"/>
    <w:rsid w:val="003F20F4"/>
    <w:rsid w:val="003F700B"/>
    <w:rsid w:val="00414970"/>
    <w:rsid w:val="00423E3E"/>
    <w:rsid w:val="00427AF4"/>
    <w:rsid w:val="004434C3"/>
    <w:rsid w:val="004467F2"/>
    <w:rsid w:val="00447033"/>
    <w:rsid w:val="0045246E"/>
    <w:rsid w:val="00452F85"/>
    <w:rsid w:val="00461B51"/>
    <w:rsid w:val="004647DA"/>
    <w:rsid w:val="00474062"/>
    <w:rsid w:val="00474E01"/>
    <w:rsid w:val="00477D6B"/>
    <w:rsid w:val="0048522D"/>
    <w:rsid w:val="00495E20"/>
    <w:rsid w:val="004C14C3"/>
    <w:rsid w:val="004C7814"/>
    <w:rsid w:val="004D29A8"/>
    <w:rsid w:val="004F12EA"/>
    <w:rsid w:val="004F2DEB"/>
    <w:rsid w:val="005019FF"/>
    <w:rsid w:val="00501AC2"/>
    <w:rsid w:val="0050470A"/>
    <w:rsid w:val="0053057A"/>
    <w:rsid w:val="00551D3E"/>
    <w:rsid w:val="00556076"/>
    <w:rsid w:val="00560A29"/>
    <w:rsid w:val="005740C5"/>
    <w:rsid w:val="0057440F"/>
    <w:rsid w:val="00580375"/>
    <w:rsid w:val="00591847"/>
    <w:rsid w:val="0059409E"/>
    <w:rsid w:val="005B2C79"/>
    <w:rsid w:val="005B453D"/>
    <w:rsid w:val="005C3700"/>
    <w:rsid w:val="005C5B64"/>
    <w:rsid w:val="005C6649"/>
    <w:rsid w:val="005E79C0"/>
    <w:rsid w:val="005E7B89"/>
    <w:rsid w:val="005F0828"/>
    <w:rsid w:val="005F234A"/>
    <w:rsid w:val="005F5C87"/>
    <w:rsid w:val="00600D30"/>
    <w:rsid w:val="00605827"/>
    <w:rsid w:val="00646050"/>
    <w:rsid w:val="006713CA"/>
    <w:rsid w:val="00676C5C"/>
    <w:rsid w:val="006A516B"/>
    <w:rsid w:val="006B590A"/>
    <w:rsid w:val="006B5C12"/>
    <w:rsid w:val="006C5888"/>
    <w:rsid w:val="006D27D2"/>
    <w:rsid w:val="006D7AAB"/>
    <w:rsid w:val="006D7C7A"/>
    <w:rsid w:val="006F26DE"/>
    <w:rsid w:val="006F641A"/>
    <w:rsid w:val="006F788E"/>
    <w:rsid w:val="00702D35"/>
    <w:rsid w:val="00703CC1"/>
    <w:rsid w:val="00707712"/>
    <w:rsid w:val="0070778E"/>
    <w:rsid w:val="00716489"/>
    <w:rsid w:val="00720EFD"/>
    <w:rsid w:val="0072534F"/>
    <w:rsid w:val="00750C1A"/>
    <w:rsid w:val="007854AF"/>
    <w:rsid w:val="0079149A"/>
    <w:rsid w:val="00793A7C"/>
    <w:rsid w:val="007969D1"/>
    <w:rsid w:val="007A0E2A"/>
    <w:rsid w:val="007A398A"/>
    <w:rsid w:val="007C4203"/>
    <w:rsid w:val="007C4902"/>
    <w:rsid w:val="007D1613"/>
    <w:rsid w:val="007E077F"/>
    <w:rsid w:val="007E4889"/>
    <w:rsid w:val="007E4C0E"/>
    <w:rsid w:val="007E5C17"/>
    <w:rsid w:val="00820911"/>
    <w:rsid w:val="008243C0"/>
    <w:rsid w:val="0087334A"/>
    <w:rsid w:val="0087457E"/>
    <w:rsid w:val="00884566"/>
    <w:rsid w:val="008A134B"/>
    <w:rsid w:val="008A5C4D"/>
    <w:rsid w:val="008B2CC1"/>
    <w:rsid w:val="008B4EC1"/>
    <w:rsid w:val="008B60B2"/>
    <w:rsid w:val="008C01BF"/>
    <w:rsid w:val="008D1B10"/>
    <w:rsid w:val="008F5AFF"/>
    <w:rsid w:val="0090731E"/>
    <w:rsid w:val="00916EE2"/>
    <w:rsid w:val="0093527D"/>
    <w:rsid w:val="00937E11"/>
    <w:rsid w:val="0094554E"/>
    <w:rsid w:val="00947238"/>
    <w:rsid w:val="009476FE"/>
    <w:rsid w:val="00965E9C"/>
    <w:rsid w:val="00966A22"/>
    <w:rsid w:val="0096722F"/>
    <w:rsid w:val="00980843"/>
    <w:rsid w:val="009816B5"/>
    <w:rsid w:val="0099406E"/>
    <w:rsid w:val="0099577B"/>
    <w:rsid w:val="00995BFD"/>
    <w:rsid w:val="009B0855"/>
    <w:rsid w:val="009B48A1"/>
    <w:rsid w:val="009B51CF"/>
    <w:rsid w:val="009C6539"/>
    <w:rsid w:val="009D5243"/>
    <w:rsid w:val="009D6985"/>
    <w:rsid w:val="009E0E86"/>
    <w:rsid w:val="009E1721"/>
    <w:rsid w:val="009E1DAA"/>
    <w:rsid w:val="009E2791"/>
    <w:rsid w:val="009E3F6F"/>
    <w:rsid w:val="009E6552"/>
    <w:rsid w:val="009F499F"/>
    <w:rsid w:val="00A33241"/>
    <w:rsid w:val="00A37342"/>
    <w:rsid w:val="00A419E0"/>
    <w:rsid w:val="00A42DAF"/>
    <w:rsid w:val="00A448AB"/>
    <w:rsid w:val="00A45BD8"/>
    <w:rsid w:val="00A62919"/>
    <w:rsid w:val="00A67E05"/>
    <w:rsid w:val="00A869B7"/>
    <w:rsid w:val="00A90F0A"/>
    <w:rsid w:val="00AA589B"/>
    <w:rsid w:val="00AB51EC"/>
    <w:rsid w:val="00AC205C"/>
    <w:rsid w:val="00AC20E9"/>
    <w:rsid w:val="00AC4EC2"/>
    <w:rsid w:val="00AC574F"/>
    <w:rsid w:val="00AD30FC"/>
    <w:rsid w:val="00AD37BE"/>
    <w:rsid w:val="00AD5F3C"/>
    <w:rsid w:val="00AD6D81"/>
    <w:rsid w:val="00AF0A6B"/>
    <w:rsid w:val="00B05A69"/>
    <w:rsid w:val="00B16840"/>
    <w:rsid w:val="00B26A4F"/>
    <w:rsid w:val="00B42CA9"/>
    <w:rsid w:val="00B51FF7"/>
    <w:rsid w:val="00B63965"/>
    <w:rsid w:val="00B75281"/>
    <w:rsid w:val="00B86A18"/>
    <w:rsid w:val="00B92F1F"/>
    <w:rsid w:val="00B953D5"/>
    <w:rsid w:val="00B9734B"/>
    <w:rsid w:val="00BA1FAA"/>
    <w:rsid w:val="00BA30E2"/>
    <w:rsid w:val="00BB49ED"/>
    <w:rsid w:val="00BB781F"/>
    <w:rsid w:val="00BC6536"/>
    <w:rsid w:val="00BE0880"/>
    <w:rsid w:val="00BF7B7A"/>
    <w:rsid w:val="00C02697"/>
    <w:rsid w:val="00C11BFE"/>
    <w:rsid w:val="00C178EA"/>
    <w:rsid w:val="00C25D89"/>
    <w:rsid w:val="00C3436A"/>
    <w:rsid w:val="00C40222"/>
    <w:rsid w:val="00C5068F"/>
    <w:rsid w:val="00C53690"/>
    <w:rsid w:val="00C60E4B"/>
    <w:rsid w:val="00C66AB2"/>
    <w:rsid w:val="00C73194"/>
    <w:rsid w:val="00C84A1C"/>
    <w:rsid w:val="00C86D74"/>
    <w:rsid w:val="00C91553"/>
    <w:rsid w:val="00C925E7"/>
    <w:rsid w:val="00CB3DBA"/>
    <w:rsid w:val="00CC3E2D"/>
    <w:rsid w:val="00CD04F1"/>
    <w:rsid w:val="00CE19F8"/>
    <w:rsid w:val="00CF1183"/>
    <w:rsid w:val="00CF4777"/>
    <w:rsid w:val="00CF681A"/>
    <w:rsid w:val="00D03C5D"/>
    <w:rsid w:val="00D07C78"/>
    <w:rsid w:val="00D15106"/>
    <w:rsid w:val="00D17E3E"/>
    <w:rsid w:val="00D33600"/>
    <w:rsid w:val="00D45252"/>
    <w:rsid w:val="00D50D33"/>
    <w:rsid w:val="00D512F3"/>
    <w:rsid w:val="00D5664D"/>
    <w:rsid w:val="00D60B2C"/>
    <w:rsid w:val="00D67EAE"/>
    <w:rsid w:val="00D71B4D"/>
    <w:rsid w:val="00D80174"/>
    <w:rsid w:val="00D8520D"/>
    <w:rsid w:val="00D90B96"/>
    <w:rsid w:val="00D93D55"/>
    <w:rsid w:val="00DA22FA"/>
    <w:rsid w:val="00DC17E3"/>
    <w:rsid w:val="00DC2FBB"/>
    <w:rsid w:val="00DD7B7F"/>
    <w:rsid w:val="00DE16E3"/>
    <w:rsid w:val="00DE6632"/>
    <w:rsid w:val="00DF3DEE"/>
    <w:rsid w:val="00E01288"/>
    <w:rsid w:val="00E076AF"/>
    <w:rsid w:val="00E15015"/>
    <w:rsid w:val="00E15F75"/>
    <w:rsid w:val="00E17738"/>
    <w:rsid w:val="00E23ECB"/>
    <w:rsid w:val="00E319DF"/>
    <w:rsid w:val="00E335FE"/>
    <w:rsid w:val="00E66CC5"/>
    <w:rsid w:val="00E704BB"/>
    <w:rsid w:val="00E91C3A"/>
    <w:rsid w:val="00EA2B00"/>
    <w:rsid w:val="00EA7D6E"/>
    <w:rsid w:val="00EB2F76"/>
    <w:rsid w:val="00EC4E49"/>
    <w:rsid w:val="00ED6EB7"/>
    <w:rsid w:val="00ED77FB"/>
    <w:rsid w:val="00EE307E"/>
    <w:rsid w:val="00EE45FA"/>
    <w:rsid w:val="00EE5B86"/>
    <w:rsid w:val="00F043DE"/>
    <w:rsid w:val="00F10E7C"/>
    <w:rsid w:val="00F1217E"/>
    <w:rsid w:val="00F248CE"/>
    <w:rsid w:val="00F37C4D"/>
    <w:rsid w:val="00F66152"/>
    <w:rsid w:val="00F76CB4"/>
    <w:rsid w:val="00F90C07"/>
    <w:rsid w:val="00F9165B"/>
    <w:rsid w:val="00FA17DA"/>
    <w:rsid w:val="00FA25A6"/>
    <w:rsid w:val="00FA6CAF"/>
    <w:rsid w:val="00FC482F"/>
    <w:rsid w:val="00FD0B86"/>
    <w:rsid w:val="00FD1C52"/>
    <w:rsid w:val="00FE5D75"/>
    <w:rsid w:val="00FF0CA4"/>
    <w:rsid w:val="00FF2F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394A5"/>
  <w15:docId w15:val="{E6569D57-EF86-43B3-9991-2CCBC2B2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F37C4D"/>
    <w:pPr>
      <w:keepNext/>
      <w:spacing w:before="240" w:after="60"/>
      <w:outlineLvl w:val="1"/>
    </w:pPr>
    <w:rPr>
      <w:rFonts w:ascii="Calibri" w:hAnsi="Calibri"/>
      <w:b/>
      <w:i/>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table" w:styleId="TableGrid">
    <w:name w:val="Table Grid"/>
    <w:basedOn w:val="TableNormal"/>
    <w:uiPriority w:val="39"/>
    <w:rsid w:val="00D33600"/>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84A1C"/>
    <w:rPr>
      <w:color w:val="0000FF" w:themeColor="hyperlink"/>
      <w:u w:val="single"/>
    </w:rPr>
  </w:style>
  <w:style w:type="character" w:styleId="UnresolvedMention">
    <w:name w:val="Unresolved Mention"/>
    <w:basedOn w:val="DefaultParagraphFont"/>
    <w:uiPriority w:val="99"/>
    <w:semiHidden/>
    <w:unhideWhenUsed/>
    <w:rsid w:val="00C84A1C"/>
    <w:rPr>
      <w:color w:val="605E5C"/>
      <w:shd w:val="clear" w:color="auto" w:fill="E1DFDD"/>
    </w:rPr>
  </w:style>
  <w:style w:type="paragraph" w:customStyle="1" w:styleId="Endofdocument">
    <w:name w:val="End of document"/>
    <w:basedOn w:val="Normal"/>
    <w:rsid w:val="00DC2FBB"/>
    <w:pPr>
      <w:bidi w:val="0"/>
      <w:spacing w:line="260" w:lineRule="atLeast"/>
      <w:ind w:left="5534"/>
    </w:pPr>
    <w:rPr>
      <w:rFonts w:eastAsia="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wipo.int/confluence/display/ATR/Browse+by+Ye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86F35-079E-4268-A400-FD8862CA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3</Pages>
  <Words>891</Words>
  <Characters>4886</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CWS/12/24 (Arabic)</vt:lpstr>
      <vt:lpstr>CWS/11/26</vt:lpstr>
    </vt:vector>
  </TitlesOfParts>
  <Company>WIPO</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CWS/12/24</dc:title>
  <dc:creator>WIPO</dc:creator>
  <cp:keywords>اللجنة المعنية بمعايير الويبو (لجنة المعايير)</cp:keywords>
  <cp:lastModifiedBy>BLANCHET Gaspard</cp:lastModifiedBy>
  <cp:revision>12</cp:revision>
  <cp:lastPrinted>2024-08-21T15:14:00Z</cp:lastPrinted>
  <dcterms:created xsi:type="dcterms:W3CDTF">2024-08-20T08:26:00Z</dcterms:created>
  <dcterms:modified xsi:type="dcterms:W3CDTF">2024-08-26T13:08:00Z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2024-08-20T09:33:59Z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5783041c-8cf9-49a1-ab8d-bed53818a7e9</vt:lpwstr>
  </property>
  <property fmtid="{D5CDD505-2E9C-101B-9397-08002B2CF9AE}" pid="14" name="MSIP_Label_20773ee6-353b-4fb9-a59d-0b94c8c67bea_ContentBits">
    <vt:lpwstr>0</vt:lpwstr>
  </property>
</Properties>
</file>