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050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78B9BD43" wp14:editId="089EAE9A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59E915A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270D4AE3" w14:textId="0EE57794" w:rsidR="008B2CC1" w:rsidRPr="008A39DA" w:rsidRDefault="0070778E" w:rsidP="008A39DA">
      <w:pPr>
        <w:bidi w:val="0"/>
        <w:rPr>
          <w:rFonts w:ascii="Arial Black" w:hAnsi="Arial Black"/>
          <w:caps/>
          <w:sz w:val="15"/>
          <w:szCs w:val="15"/>
          <w:lang w:val="fr-CH"/>
        </w:rPr>
      </w:pP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CWS/1</w:t>
      </w:r>
      <w:r w:rsidR="00520830">
        <w:rPr>
          <w:rFonts w:ascii="Arial Black" w:hAnsi="Arial Black"/>
          <w:caps/>
          <w:sz w:val="15"/>
          <w:szCs w:val="15"/>
        </w:rPr>
        <w:t>2</w:t>
      </w:r>
      <w:r w:rsidR="00FE5D75" w:rsidRPr="00FE5D75">
        <w:rPr>
          <w:rFonts w:ascii="Arial Black" w:hAnsi="Arial Black"/>
          <w:caps/>
          <w:sz w:val="15"/>
          <w:szCs w:val="15"/>
        </w:rPr>
        <w:t>/</w:t>
      </w:r>
      <w:r w:rsidR="000826E9">
        <w:rPr>
          <w:rFonts w:ascii="Arial Black" w:hAnsi="Arial Black"/>
          <w:caps/>
          <w:sz w:val="15"/>
          <w:szCs w:val="15"/>
        </w:rPr>
        <w:t>22</w:t>
      </w:r>
    </w:p>
    <w:p w14:paraId="43FEB78A" w14:textId="77777777" w:rsidR="008B2CC1" w:rsidRPr="0070778E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70778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B20A80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1DD3F124" w14:textId="6D08DA86" w:rsidR="008B2CC1" w:rsidRPr="00222782" w:rsidRDefault="00CC3E2D" w:rsidP="008A39DA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2278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57F02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E37DB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17</w:t>
      </w:r>
      <w:r w:rsidR="00222782" w:rsidRPr="00222782">
        <w:rPr>
          <w:rFonts w:asciiTheme="minorHAnsi" w:hAnsiTheme="minorHAnsi"/>
          <w:b/>
          <w:bCs/>
          <w:caps/>
          <w:sz w:val="15"/>
          <w:szCs w:val="15"/>
          <w:rtl/>
        </w:rPr>
        <w:t xml:space="preserve">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يو</w:t>
      </w:r>
      <w:r w:rsidR="00714F25">
        <w:rPr>
          <w:rFonts w:asciiTheme="minorHAnsi" w:hAnsiTheme="minorHAnsi" w:hint="cs"/>
          <w:b/>
          <w:bCs/>
          <w:caps/>
          <w:sz w:val="15"/>
          <w:szCs w:val="15"/>
          <w:rtl/>
        </w:rPr>
        <w:t>ل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يو</w:t>
      </w:r>
      <w:r w:rsidR="008A39DA">
        <w:rPr>
          <w:rFonts w:asciiTheme="minorHAnsi" w:hAnsiTheme="minorHAnsi" w:hint="cs"/>
          <w:b/>
          <w:bCs/>
          <w:caps/>
          <w:sz w:val="15"/>
          <w:szCs w:val="15"/>
          <w:rtl/>
        </w:rPr>
        <w:t xml:space="preserve"> </w:t>
      </w:r>
      <w:r w:rsidR="00520830">
        <w:rPr>
          <w:rFonts w:asciiTheme="minorHAnsi" w:hAnsi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66D6BAE8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56CD4566" w14:textId="591F048B" w:rsidR="00A90F0A" w:rsidRPr="00D67EAE" w:rsidRDefault="00D67EAE" w:rsidP="0070778E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ال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ث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ا</w:t>
      </w:r>
      <w:r w:rsidR="00520830">
        <w:rPr>
          <w:rFonts w:asciiTheme="minorHAnsi" w:hAnsiTheme="minorHAnsi" w:cstheme="minorHAnsi" w:hint="cs"/>
          <w:bCs/>
          <w:sz w:val="24"/>
          <w:szCs w:val="24"/>
          <w:rtl/>
        </w:rPr>
        <w:t>ن</w:t>
      </w:r>
      <w:r w:rsidR="00E15F75">
        <w:rPr>
          <w:rFonts w:asciiTheme="minorHAnsi" w:hAnsiTheme="minorHAnsi" w:cstheme="minorHAnsi" w:hint="cs"/>
          <w:bCs/>
          <w:sz w:val="24"/>
          <w:szCs w:val="24"/>
          <w:rtl/>
        </w:rPr>
        <w:t>ية عشرة</w:t>
      </w:r>
    </w:p>
    <w:p w14:paraId="1BEC4235" w14:textId="145295DF" w:rsidR="008B2CC1" w:rsidRPr="00D67EAE" w:rsidRDefault="00D67EAE" w:rsidP="0070778E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520830" w:rsidRPr="00520830">
        <w:rPr>
          <w:rFonts w:asciiTheme="minorHAnsi" w:hAnsiTheme="minorHAnsi"/>
          <w:bCs/>
          <w:sz w:val="24"/>
          <w:szCs w:val="24"/>
          <w:rtl/>
        </w:rPr>
        <w:t>من 16 إلى 19 سبتمبر 2024</w:t>
      </w:r>
    </w:p>
    <w:p w14:paraId="51B4B129" w14:textId="71D0A683" w:rsidR="008B2CC1" w:rsidRPr="00262607" w:rsidRDefault="00FE37DB" w:rsidP="00262607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3" w:name="TitleOfDoc"/>
      <w:r>
        <w:rPr>
          <w:rFonts w:asciiTheme="minorHAnsi" w:hAnsiTheme="minorHAnsi" w:hint="cs"/>
          <w:caps/>
          <w:sz w:val="24"/>
          <w:szCs w:val="24"/>
          <w:rtl/>
        </w:rPr>
        <w:t xml:space="preserve">توصيات بشأن تكنولوجيا المعلومات </w:t>
      </w:r>
      <w:r w:rsidR="006B449E">
        <w:rPr>
          <w:rFonts w:asciiTheme="minorHAnsi" w:hAnsiTheme="minorHAnsi" w:hint="cs"/>
          <w:caps/>
          <w:sz w:val="24"/>
          <w:szCs w:val="24"/>
          <w:rtl/>
          <w:lang w:val="fr-FR" w:bidi="ar-SY"/>
        </w:rPr>
        <w:t>و</w:t>
      </w:r>
      <w:r w:rsidR="006B449E">
        <w:rPr>
          <w:rFonts w:asciiTheme="minorHAnsi" w:hAnsiTheme="minorHAnsi" w:hint="cs"/>
          <w:caps/>
          <w:sz w:val="24"/>
          <w:szCs w:val="24"/>
          <w:rtl/>
        </w:rPr>
        <w:t xml:space="preserve">إدارة </w:t>
      </w:r>
      <w:r>
        <w:rPr>
          <w:rFonts w:asciiTheme="minorHAnsi" w:hAnsiTheme="minorHAnsi" w:hint="cs"/>
          <w:caps/>
          <w:sz w:val="24"/>
          <w:szCs w:val="24"/>
          <w:rtl/>
        </w:rPr>
        <w:t>الملكية الفكرية</w:t>
      </w:r>
    </w:p>
    <w:p w14:paraId="1BFD5DCB" w14:textId="06FA472E" w:rsidR="00222782" w:rsidRDefault="00222782" w:rsidP="00222782">
      <w:pPr>
        <w:spacing w:after="960"/>
        <w:rPr>
          <w:i/>
          <w:iCs/>
          <w:rtl/>
        </w:rPr>
      </w:pPr>
      <w:bookmarkStart w:id="4" w:name="Prepared"/>
      <w:bookmarkEnd w:id="3"/>
      <w:bookmarkEnd w:id="4"/>
      <w:r>
        <w:rPr>
          <w:rFonts w:hint="cs"/>
          <w:i/>
          <w:iCs/>
          <w:rtl/>
        </w:rPr>
        <w:t xml:space="preserve">وثيقة من إعداد </w:t>
      </w:r>
      <w:r w:rsidR="00FE37DB">
        <w:rPr>
          <w:rFonts w:hint="cs"/>
          <w:i/>
          <w:iCs/>
          <w:rtl/>
        </w:rPr>
        <w:t>المكتب الدولي</w:t>
      </w:r>
    </w:p>
    <w:p w14:paraId="144A3321" w14:textId="562A1901" w:rsidR="00FE37DB" w:rsidRPr="00FE37DB" w:rsidRDefault="00FE37DB" w:rsidP="00FE37DB">
      <w:pPr>
        <w:pStyle w:val="Heading1"/>
        <w:spacing w:after="240"/>
        <w:rPr>
          <w:sz w:val="26"/>
          <w:szCs w:val="26"/>
          <w:rtl/>
        </w:rPr>
      </w:pPr>
      <w:r w:rsidRPr="00FE37DB">
        <w:rPr>
          <w:rFonts w:hint="cs"/>
          <w:sz w:val="26"/>
          <w:szCs w:val="26"/>
          <w:rtl/>
        </w:rPr>
        <w:t>ملخص</w:t>
      </w:r>
    </w:p>
    <w:p w14:paraId="3FCEB7DF" w14:textId="72BEB045" w:rsidR="00FE37DB" w:rsidRDefault="00FE37DB" w:rsidP="00FE37DB">
      <w:pPr>
        <w:pStyle w:val="ONUMA"/>
      </w:pPr>
      <w:r w:rsidRPr="00FE37DB">
        <w:rPr>
          <w:rtl/>
        </w:rPr>
        <w:t>تقدم فرقة العمل المعنية باستراتيجية تكنولوجيا المعلومات والاتصالات مجموعة من مشاريع توصيات منقحة بشأن تكنولوجيا المعلومات والاتصالات وإدارة الملكية الفكرية</w:t>
      </w:r>
      <w:r w:rsidR="006B449E">
        <w:rPr>
          <w:rFonts w:hint="cs"/>
          <w:rtl/>
        </w:rPr>
        <w:t>،</w:t>
      </w:r>
      <w:r w:rsidR="006B449E">
        <w:rPr>
          <w:rFonts w:hint="cs"/>
          <w:rtl/>
          <w:lang w:bidi="ar-SY"/>
        </w:rPr>
        <w:t xml:space="preserve"> </w:t>
      </w:r>
      <w:r w:rsidRPr="00FE37DB">
        <w:rPr>
          <w:rtl/>
        </w:rPr>
        <w:t>ل</w:t>
      </w:r>
      <w:r w:rsidR="006B449E">
        <w:rPr>
          <w:rFonts w:hint="cs"/>
          <w:rtl/>
        </w:rPr>
        <w:t>تن</w:t>
      </w:r>
      <w:r w:rsidRPr="00FE37DB">
        <w:rPr>
          <w:rtl/>
        </w:rPr>
        <w:t>ظر فيها اللجنة المعنية بمعايير الويبو (</w:t>
      </w:r>
      <w:r w:rsidR="006B449E">
        <w:rPr>
          <w:rFonts w:hint="cs"/>
          <w:rtl/>
        </w:rPr>
        <w:t>لجنة المعايير</w:t>
      </w:r>
      <w:r w:rsidRPr="00FE37DB">
        <w:rPr>
          <w:rtl/>
        </w:rPr>
        <w:t>)</w:t>
      </w:r>
      <w:r w:rsidR="006B449E">
        <w:rPr>
          <w:rFonts w:hint="cs"/>
          <w:rtl/>
        </w:rPr>
        <w:t xml:space="preserve"> وتعتمدها</w:t>
      </w:r>
      <w:r w:rsidRPr="00FE37DB">
        <w:rPr>
          <w:rtl/>
        </w:rPr>
        <w:t xml:space="preserve">. </w:t>
      </w:r>
      <w:r w:rsidR="006B449E">
        <w:rPr>
          <w:rFonts w:hint="cs"/>
          <w:rtl/>
        </w:rPr>
        <w:t>و</w:t>
      </w:r>
      <w:r w:rsidRPr="00FE37DB">
        <w:rPr>
          <w:rtl/>
        </w:rPr>
        <w:t>ينبغي أن تنظر مكاتب الملكية الفكرية في تنفيذ هذه التوصيات.</w:t>
      </w:r>
    </w:p>
    <w:p w14:paraId="44EF0302" w14:textId="0FD665C7" w:rsidR="00FE37DB" w:rsidRPr="00FE37DB" w:rsidRDefault="00FE37DB" w:rsidP="00FE37DB">
      <w:pPr>
        <w:pStyle w:val="Heading1"/>
        <w:spacing w:after="240"/>
        <w:rPr>
          <w:sz w:val="26"/>
          <w:szCs w:val="26"/>
          <w:rtl/>
          <w:lang w:val="fr-FR" w:bidi="ar-SY"/>
        </w:rPr>
      </w:pPr>
      <w:r w:rsidRPr="00FE37DB">
        <w:rPr>
          <w:rFonts w:hint="cs"/>
          <w:sz w:val="26"/>
          <w:szCs w:val="26"/>
          <w:rtl/>
          <w:lang w:val="fr-FR" w:bidi="ar-SY"/>
        </w:rPr>
        <w:t>معلومات أساسية</w:t>
      </w:r>
    </w:p>
    <w:p w14:paraId="774BE28D" w14:textId="5430FE0C" w:rsidR="00FE37DB" w:rsidRDefault="006B449E" w:rsidP="00FE37DB">
      <w:pPr>
        <w:pStyle w:val="ONUMA"/>
      </w:pPr>
      <w:r>
        <w:rPr>
          <w:rFonts w:hint="cs"/>
          <w:rtl/>
        </w:rPr>
        <w:t>أحاطت</w:t>
      </w:r>
      <w:r w:rsidR="00FE37DB">
        <w:rPr>
          <w:rtl/>
        </w:rPr>
        <w:t xml:space="preserve"> لجنة المعايير</w:t>
      </w:r>
      <w:r>
        <w:rPr>
          <w:rFonts w:hint="cs"/>
          <w:rtl/>
          <w:lang w:val="fr-FR" w:bidi="ar-SY"/>
        </w:rPr>
        <w:t xml:space="preserve">، </w:t>
      </w:r>
      <w:r>
        <w:rPr>
          <w:rtl/>
        </w:rPr>
        <w:t xml:space="preserve">في دورتها السادسة </w:t>
      </w:r>
      <w:r>
        <w:rPr>
          <w:rFonts w:hint="cs"/>
          <w:rtl/>
        </w:rPr>
        <w:t xml:space="preserve">التي عُقدت </w:t>
      </w:r>
      <w:r>
        <w:rPr>
          <w:rtl/>
        </w:rPr>
        <w:t xml:space="preserve">في عام 2018، </w:t>
      </w:r>
      <w:r>
        <w:rPr>
          <w:rFonts w:hint="cs"/>
          <w:rtl/>
        </w:rPr>
        <w:t>علماً</w:t>
      </w:r>
      <w:r>
        <w:rPr>
          <w:rtl/>
        </w:rPr>
        <w:t xml:space="preserve"> </w:t>
      </w:r>
      <w:r w:rsidR="00FE37DB">
        <w:rPr>
          <w:rtl/>
        </w:rPr>
        <w:t>"</w:t>
      </w:r>
      <w:r>
        <w:rPr>
          <w:rFonts w:hint="cs"/>
          <w:rtl/>
        </w:rPr>
        <w:t>بالأربعين توصية</w:t>
      </w:r>
      <w:r w:rsidR="00FE37DB">
        <w:rPr>
          <w:rtl/>
        </w:rPr>
        <w:t xml:space="preserve">" التي </w:t>
      </w:r>
      <w:r>
        <w:rPr>
          <w:rFonts w:hint="cs"/>
          <w:rtl/>
        </w:rPr>
        <w:t>أُعدّت</w:t>
      </w:r>
      <w:r w:rsidR="00FE37DB">
        <w:rPr>
          <w:rtl/>
        </w:rPr>
        <w:t xml:space="preserve"> </w:t>
      </w:r>
      <w:r>
        <w:rPr>
          <w:rFonts w:hint="cs"/>
          <w:rtl/>
        </w:rPr>
        <w:t>خلال</w:t>
      </w:r>
      <w:r w:rsidR="00FE37DB">
        <w:rPr>
          <w:rtl/>
        </w:rPr>
        <w:t xml:space="preserve"> اجتماع مكاتب الملكية الفكرية بشأن استراتيجيات تكنولوجيا المعلومات والاتصالات والذكاء الاصطناعي لإدارة الملكية الفكرية، والذي عقده المكتب الدولي </w:t>
      </w:r>
      <w:r>
        <w:rPr>
          <w:rFonts w:hint="cs"/>
          <w:rtl/>
        </w:rPr>
        <w:t>ل</w:t>
      </w:r>
      <w:r w:rsidR="00FE37DB">
        <w:rPr>
          <w:rtl/>
        </w:rPr>
        <w:t xml:space="preserve">دعم تبادل الآراء والخبرات في مجال تكنولوجيا المعلومات والاتصالات وإدارة الأعمال من أجل إدارة </w:t>
      </w:r>
      <w:r>
        <w:rPr>
          <w:rFonts w:hint="cs"/>
          <w:rtl/>
        </w:rPr>
        <w:t>مكاتب الملكية الفكرية على نحو فعال</w:t>
      </w:r>
      <w:r w:rsidR="00FE37DB">
        <w:rPr>
          <w:rtl/>
        </w:rPr>
        <w:t xml:space="preserve">. </w:t>
      </w:r>
      <w:r>
        <w:rPr>
          <w:rFonts w:hint="cs"/>
          <w:rtl/>
        </w:rPr>
        <w:t>و</w:t>
      </w:r>
      <w:r w:rsidR="00FE37DB">
        <w:rPr>
          <w:rtl/>
        </w:rPr>
        <w:t xml:space="preserve">أحاطت لجنة المعايير علماً بتحليل الأمانة </w:t>
      </w:r>
      <w:r>
        <w:rPr>
          <w:rFonts w:hint="cs"/>
          <w:rtl/>
        </w:rPr>
        <w:t>للتوصيات الأربعين</w:t>
      </w:r>
      <w:r w:rsidR="00FE37DB">
        <w:rPr>
          <w:rtl/>
        </w:rPr>
        <w:t xml:space="preserve"> </w:t>
      </w:r>
      <w:r w:rsidR="000F50F0">
        <w:rPr>
          <w:rFonts w:hint="cs"/>
          <w:rtl/>
        </w:rPr>
        <w:t>وصلتها</w:t>
      </w:r>
      <w:r>
        <w:rPr>
          <w:rFonts w:hint="cs"/>
          <w:rtl/>
        </w:rPr>
        <w:t xml:space="preserve"> </w:t>
      </w:r>
      <w:r w:rsidR="000F50F0">
        <w:rPr>
          <w:rFonts w:hint="cs"/>
          <w:rtl/>
        </w:rPr>
        <w:t>ب</w:t>
      </w:r>
      <w:r w:rsidR="00FE37DB">
        <w:rPr>
          <w:rtl/>
        </w:rPr>
        <w:t>أنشطة اللجنة</w:t>
      </w:r>
      <w:r w:rsidR="000F50F0">
        <w:rPr>
          <w:rFonts w:hint="cs"/>
          <w:rtl/>
        </w:rPr>
        <w:t xml:space="preserve">، مع </w:t>
      </w:r>
      <w:r w:rsidR="00FE37DB">
        <w:rPr>
          <w:rtl/>
        </w:rPr>
        <w:t xml:space="preserve">ثلاث مجموعات من التوصيات (انظر الفقرات من 17 إلى 27 من الوثيقة </w:t>
      </w:r>
      <w:r w:rsidR="00FE37DB">
        <w:t>CWS/6/34</w:t>
      </w:r>
      <w:r w:rsidR="00FE37DB">
        <w:rPr>
          <w:rtl/>
        </w:rPr>
        <w:t>).</w:t>
      </w:r>
    </w:p>
    <w:p w14:paraId="345513F8" w14:textId="1C160BE2" w:rsidR="00FE37DB" w:rsidRDefault="00FE37DB" w:rsidP="00F2264B">
      <w:pPr>
        <w:pStyle w:val="ONUMA"/>
      </w:pPr>
      <w:r>
        <w:rPr>
          <w:rFonts w:hint="cs"/>
          <w:rtl/>
        </w:rPr>
        <w:t>و</w:t>
      </w:r>
      <w:r>
        <w:rPr>
          <w:rtl/>
        </w:rPr>
        <w:t>عملت فرقة العمل المعنية باستراتيجية تكنولوجيا المعلومات والاتصالات على تحليل مدى ملاءمة تلك التوصيات الأربعين لأنشطة لجنة المعايير وأولوياتها</w:t>
      </w:r>
      <w:r w:rsidR="00B34675">
        <w:rPr>
          <w:rFonts w:hint="cs"/>
          <w:rtl/>
        </w:rPr>
        <w:t xml:space="preserve">، </w:t>
      </w:r>
      <w:r>
        <w:rPr>
          <w:rtl/>
        </w:rPr>
        <w:t>بالنظر إلى نتائج الدراستين الاستقصائيتين اللتين أجرتهما فرقة العمل أولاً</w:t>
      </w:r>
      <w:r w:rsidR="00B34675">
        <w:rPr>
          <w:rFonts w:hint="cs"/>
          <w:rtl/>
        </w:rPr>
        <w:t xml:space="preserve">، ثم </w:t>
      </w:r>
      <w:r>
        <w:rPr>
          <w:rtl/>
        </w:rPr>
        <w:t xml:space="preserve">أعضاء لجنة المعايير (انظر الوثيقة </w:t>
      </w:r>
      <w:r>
        <w:t>CWS/ 21/11</w:t>
      </w:r>
      <w:r>
        <w:rPr>
          <w:rtl/>
        </w:rPr>
        <w:t>).</w:t>
      </w:r>
      <w:r w:rsidR="00F2264B">
        <w:rPr>
          <w:rtl/>
        </w:rPr>
        <w:br w:type="page"/>
      </w:r>
    </w:p>
    <w:p w14:paraId="54DD8185" w14:textId="768EEC1F" w:rsidR="00FE37DB" w:rsidRDefault="00FE37DB" w:rsidP="00FE37DB">
      <w:pPr>
        <w:pStyle w:val="ONUMA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علاوة على ذلك، وافقت فرقة العمل على إعادة تجميع التوصيات الأربعين في ضوء ولاية لجنة المعايير، التي </w:t>
      </w:r>
      <w:r w:rsidR="00B34675">
        <w:rPr>
          <w:rFonts w:hint="cs"/>
          <w:rtl/>
        </w:rPr>
        <w:t>اعتُمدت</w:t>
      </w:r>
      <w:r>
        <w:rPr>
          <w:rtl/>
        </w:rPr>
        <w:t xml:space="preserve"> في عام 2022، وبالتزامن مع نتائج </w:t>
      </w:r>
      <w:r w:rsidR="00B34675">
        <w:rPr>
          <w:rFonts w:hint="cs"/>
          <w:rtl/>
        </w:rPr>
        <w:t>الدراسة الاستقصائية</w:t>
      </w:r>
      <w:r>
        <w:rPr>
          <w:rtl/>
        </w:rPr>
        <w:t xml:space="preserve">. </w:t>
      </w:r>
      <w:r w:rsidR="00B34675">
        <w:rPr>
          <w:rFonts w:hint="cs"/>
          <w:rtl/>
        </w:rPr>
        <w:t>و</w:t>
      </w:r>
      <w:r>
        <w:rPr>
          <w:rtl/>
        </w:rPr>
        <w:t>بالإضافة إلى ذلك، ومن أجل تحسين التوصيات الأربعين الأصلية، اتفقت فرقة العمل على:</w:t>
      </w:r>
    </w:p>
    <w:p w14:paraId="50BEB1F8" w14:textId="5C87C9AA" w:rsidR="00FE37DB" w:rsidRDefault="00FE37DB" w:rsidP="00FE37DB">
      <w:pPr>
        <w:pStyle w:val="ONUMA"/>
        <w:numPr>
          <w:ilvl w:val="0"/>
          <w:numId w:val="17"/>
        </w:numPr>
        <w:spacing w:after="0"/>
      </w:pPr>
      <w:r>
        <w:rPr>
          <w:rtl/>
        </w:rPr>
        <w:t>إضافة توصيات جديدة</w:t>
      </w:r>
      <w:r w:rsidR="00B34675">
        <w:rPr>
          <w:rFonts w:hint="cs"/>
          <w:rtl/>
        </w:rPr>
        <w:t>؛</w:t>
      </w:r>
    </w:p>
    <w:p w14:paraId="3EBE4B17" w14:textId="5E3F4043" w:rsidR="00FE37DB" w:rsidRDefault="000F50F0" w:rsidP="00FE37DB">
      <w:pPr>
        <w:pStyle w:val="ONUMA"/>
        <w:numPr>
          <w:ilvl w:val="0"/>
          <w:numId w:val="17"/>
        </w:numPr>
        <w:spacing w:after="0"/>
      </w:pPr>
      <w:r>
        <w:rPr>
          <w:rFonts w:hint="cs"/>
          <w:rtl/>
        </w:rPr>
        <w:t xml:space="preserve">أن </w:t>
      </w:r>
      <w:r w:rsidR="00FE37DB">
        <w:rPr>
          <w:rtl/>
        </w:rPr>
        <w:t>بعضها لم يعد صالحاً؛</w:t>
      </w:r>
    </w:p>
    <w:p w14:paraId="25537C96" w14:textId="710DA10C" w:rsidR="00FE37DB" w:rsidRDefault="00FE37DB" w:rsidP="00FE37DB">
      <w:pPr>
        <w:pStyle w:val="ONUMA"/>
        <w:numPr>
          <w:ilvl w:val="0"/>
          <w:numId w:val="17"/>
        </w:numPr>
        <w:spacing w:after="0"/>
      </w:pPr>
      <w:r>
        <w:rPr>
          <w:rtl/>
        </w:rPr>
        <w:t>تعميم بعض التوصيات؛</w:t>
      </w:r>
    </w:p>
    <w:p w14:paraId="0EDF480F" w14:textId="10BC7029" w:rsidR="00FE37DB" w:rsidRDefault="00FE37DB" w:rsidP="00FE37DB">
      <w:pPr>
        <w:pStyle w:val="ONUMA"/>
        <w:numPr>
          <w:ilvl w:val="0"/>
          <w:numId w:val="17"/>
        </w:numPr>
        <w:spacing w:after="0"/>
      </w:pPr>
      <w:r>
        <w:rPr>
          <w:rtl/>
        </w:rPr>
        <w:t xml:space="preserve">جعل بعض التوصيات أكثر </w:t>
      </w:r>
      <w:r w:rsidR="000F50F0">
        <w:rPr>
          <w:rFonts w:hint="cs"/>
          <w:rtl/>
          <w:lang w:val="fr-FR" w:bidi="ar-SY"/>
        </w:rPr>
        <w:t>تفصيلاً</w:t>
      </w:r>
      <w:r>
        <w:rPr>
          <w:rtl/>
        </w:rPr>
        <w:t xml:space="preserve"> أو وضوحاً؛</w:t>
      </w:r>
    </w:p>
    <w:p w14:paraId="26DC1874" w14:textId="78C3B072" w:rsidR="00FE37DB" w:rsidRDefault="00FE37DB" w:rsidP="00B34675">
      <w:pPr>
        <w:pStyle w:val="ONUMA"/>
        <w:numPr>
          <w:ilvl w:val="0"/>
          <w:numId w:val="17"/>
        </w:numPr>
        <w:spacing w:after="0"/>
      </w:pPr>
      <w:r>
        <w:rPr>
          <w:rtl/>
        </w:rPr>
        <w:t xml:space="preserve">النظر في بعض التوصيات </w:t>
      </w:r>
      <w:r w:rsidR="000F50F0">
        <w:rPr>
          <w:rFonts w:hint="cs"/>
          <w:rtl/>
        </w:rPr>
        <w:t>من قبيل</w:t>
      </w:r>
      <w:r w:rsidR="00B34675">
        <w:rPr>
          <w:rFonts w:hint="cs"/>
          <w:rtl/>
        </w:rPr>
        <w:t xml:space="preserve"> التوصيات 17 و23 و32 و33</w:t>
      </w:r>
      <w:r>
        <w:rPr>
          <w:rtl/>
        </w:rPr>
        <w:t xml:space="preserve"> التي </w:t>
      </w:r>
      <w:r w:rsidR="00B34675">
        <w:rPr>
          <w:rFonts w:hint="cs"/>
          <w:rtl/>
        </w:rPr>
        <w:t>نُفّذت أو استُكملت؛</w:t>
      </w:r>
    </w:p>
    <w:p w14:paraId="64A2EC09" w14:textId="28FD02D7" w:rsidR="00FE37DB" w:rsidRDefault="00FE37DB" w:rsidP="00FE37DB">
      <w:pPr>
        <w:pStyle w:val="ONUMA"/>
        <w:numPr>
          <w:ilvl w:val="0"/>
          <w:numId w:val="17"/>
        </w:numPr>
      </w:pPr>
      <w:r>
        <w:rPr>
          <w:rtl/>
        </w:rPr>
        <w:t>تقليل عدد التوصيات حتى تتمكن مكاتب الملكية الفكرية من التركيز على تنفيذها ضمن الإطار الزمني المقترح.</w:t>
      </w:r>
    </w:p>
    <w:p w14:paraId="59460390" w14:textId="3010337B" w:rsidR="00FE37DB" w:rsidRDefault="00B34675" w:rsidP="00FE37DB">
      <w:pPr>
        <w:pStyle w:val="ONUMA"/>
      </w:pPr>
      <w:r>
        <w:rPr>
          <w:rFonts w:hint="cs"/>
          <w:rtl/>
        </w:rPr>
        <w:t>و</w:t>
      </w:r>
      <w:r w:rsidR="00FE37DB">
        <w:rPr>
          <w:rtl/>
        </w:rPr>
        <w:t>للنظر في</w:t>
      </w:r>
      <w:r>
        <w:rPr>
          <w:rFonts w:hint="cs"/>
          <w:rtl/>
        </w:rPr>
        <w:t xml:space="preserve"> التوصيات</w:t>
      </w:r>
      <w:r w:rsidR="00FE37DB">
        <w:rPr>
          <w:rtl/>
        </w:rPr>
        <w:t xml:space="preserve"> </w:t>
      </w:r>
      <w:r>
        <w:rPr>
          <w:rFonts w:hint="cs"/>
          <w:rtl/>
        </w:rPr>
        <w:t>خلال</w:t>
      </w:r>
      <w:r w:rsidR="00FE37DB">
        <w:rPr>
          <w:rtl/>
        </w:rPr>
        <w:t xml:space="preserve"> الدورة الحادية عشرة للجنة المعايير، أعدت فرقة العمل المعنية باستراتيجية تكنولوجيا المعلومات والاتصالات مجموعة جديدة </w:t>
      </w:r>
      <w:r w:rsidR="000F50F0">
        <w:rPr>
          <w:rFonts w:hint="cs"/>
          <w:rtl/>
        </w:rPr>
        <w:t xml:space="preserve">تتكون </w:t>
      </w:r>
      <w:r w:rsidR="00FE37DB">
        <w:rPr>
          <w:rtl/>
        </w:rPr>
        <w:t xml:space="preserve">من 10 توصيات بشأن تكنولوجيا المعلومات والاتصالات </w:t>
      </w:r>
      <w:r w:rsidR="001B6F0C">
        <w:rPr>
          <w:rFonts w:hint="cs"/>
          <w:rtl/>
        </w:rPr>
        <w:t>و</w:t>
      </w:r>
      <w:r w:rsidR="001B6F0C">
        <w:rPr>
          <w:rtl/>
        </w:rPr>
        <w:t xml:space="preserve">إدارة </w:t>
      </w:r>
      <w:r w:rsidR="00FE37DB">
        <w:rPr>
          <w:rtl/>
        </w:rPr>
        <w:t>الملكية الفكرية</w:t>
      </w:r>
      <w:r w:rsidR="001B6F0C">
        <w:rPr>
          <w:rFonts w:hint="cs"/>
          <w:rtl/>
        </w:rPr>
        <w:t xml:space="preserve">، </w:t>
      </w:r>
      <w:r w:rsidR="00FE37DB">
        <w:rPr>
          <w:rtl/>
        </w:rPr>
        <w:t xml:space="preserve">مع الإجراءات المقابلة لها (انظر </w:t>
      </w:r>
      <w:r w:rsidR="001B6F0C">
        <w:rPr>
          <w:rFonts w:hint="cs"/>
          <w:rtl/>
        </w:rPr>
        <w:t>ال</w:t>
      </w:r>
      <w:r w:rsidR="00FE37DB">
        <w:rPr>
          <w:rtl/>
        </w:rPr>
        <w:t xml:space="preserve">مرفق </w:t>
      </w:r>
      <w:r w:rsidR="001B6F0C">
        <w:rPr>
          <w:rFonts w:hint="cs"/>
          <w:rtl/>
        </w:rPr>
        <w:t>ب</w:t>
      </w:r>
      <w:r w:rsidR="00FE37DB">
        <w:rPr>
          <w:rtl/>
        </w:rPr>
        <w:t xml:space="preserve">الوثيقة </w:t>
      </w:r>
      <w:r w:rsidR="00FE37DB">
        <w:t>CWS/11/18</w:t>
      </w:r>
      <w:r w:rsidR="00FE37DB">
        <w:rPr>
          <w:rtl/>
        </w:rPr>
        <w:t>).</w:t>
      </w:r>
    </w:p>
    <w:p w14:paraId="5C6B3ADB" w14:textId="31D30597" w:rsidR="00FE37DB" w:rsidRDefault="00FE37DB" w:rsidP="00FE37DB">
      <w:pPr>
        <w:pStyle w:val="ONUMA"/>
      </w:pPr>
      <w:r>
        <w:rPr>
          <w:rtl/>
        </w:rPr>
        <w:t xml:space="preserve"> وطلبت لجنة المعايير، في دورتها الحادية عشرة، من الأمانة إصدار تعميم </w:t>
      </w:r>
      <w:r w:rsidR="000F50F0">
        <w:rPr>
          <w:rFonts w:hint="cs"/>
          <w:rtl/>
        </w:rPr>
        <w:t>لدعوة</w:t>
      </w:r>
      <w:r>
        <w:rPr>
          <w:rtl/>
        </w:rPr>
        <w:t xml:space="preserve"> أعضا</w:t>
      </w:r>
      <w:r w:rsidR="000F50F0">
        <w:rPr>
          <w:rFonts w:hint="cs"/>
          <w:rtl/>
        </w:rPr>
        <w:t>ئ</w:t>
      </w:r>
      <w:r>
        <w:rPr>
          <w:rtl/>
        </w:rPr>
        <w:t xml:space="preserve">ها إلى </w:t>
      </w:r>
      <w:r w:rsidR="006E326A">
        <w:rPr>
          <w:rFonts w:hint="cs"/>
          <w:rtl/>
        </w:rPr>
        <w:t>تقديم تعليقات</w:t>
      </w:r>
      <w:r>
        <w:rPr>
          <w:rtl/>
        </w:rPr>
        <w:t xml:space="preserve"> على التوصيات العشر</w:t>
      </w:r>
      <w:r w:rsidR="006E326A">
        <w:rPr>
          <w:rFonts w:hint="cs"/>
          <w:rtl/>
        </w:rPr>
        <w:t xml:space="preserve"> الجديدة</w:t>
      </w:r>
      <w:r>
        <w:rPr>
          <w:rtl/>
        </w:rPr>
        <w:t xml:space="preserve"> المقترحة. وطلبت لجنة المعايير أيضاً من فرقة العمل المعنية باستراتيجية تكنولوجيا المعلومات والاتصالات أن تقدم تقريراً عن نتائج الردود على هذا التعميم</w:t>
      </w:r>
      <w:r w:rsidR="000F50F0">
        <w:rPr>
          <w:rFonts w:hint="cs"/>
          <w:rtl/>
        </w:rPr>
        <w:t xml:space="preserve"> </w:t>
      </w:r>
      <w:r>
        <w:rPr>
          <w:rtl/>
        </w:rPr>
        <w:t xml:space="preserve">في دورتها الثانية عشرة (انظر الفقرتين 158 و159 من الوثيقة </w:t>
      </w:r>
      <w:r>
        <w:t>CWS/11/28</w:t>
      </w:r>
      <w:r>
        <w:rPr>
          <w:rtl/>
        </w:rPr>
        <w:t>).</w:t>
      </w:r>
    </w:p>
    <w:p w14:paraId="3172D569" w14:textId="4CC52D70" w:rsidR="00FE37DB" w:rsidRPr="00FE37DB" w:rsidRDefault="00FE37DB" w:rsidP="00FE37DB">
      <w:pPr>
        <w:pStyle w:val="Heading1"/>
        <w:spacing w:after="240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مقترح</w:t>
      </w:r>
      <w:r w:rsidR="006E326A">
        <w:rPr>
          <w:rFonts w:hint="cs"/>
          <w:sz w:val="26"/>
          <w:szCs w:val="26"/>
          <w:rtl/>
        </w:rPr>
        <w:t xml:space="preserve"> </w:t>
      </w:r>
      <w:r w:rsidR="000F50F0">
        <w:rPr>
          <w:rFonts w:hint="cs"/>
          <w:sz w:val="26"/>
          <w:szCs w:val="26"/>
          <w:rtl/>
        </w:rPr>
        <w:t xml:space="preserve">بشأن </w:t>
      </w:r>
      <w:r w:rsidR="006E326A">
        <w:rPr>
          <w:rFonts w:hint="cs"/>
          <w:sz w:val="26"/>
          <w:szCs w:val="26"/>
          <w:rtl/>
        </w:rPr>
        <w:t>ال</w:t>
      </w:r>
      <w:r>
        <w:rPr>
          <w:rFonts w:hint="cs"/>
          <w:sz w:val="26"/>
          <w:szCs w:val="26"/>
          <w:rtl/>
        </w:rPr>
        <w:t xml:space="preserve">توصيات </w:t>
      </w:r>
      <w:r w:rsidR="006E326A">
        <w:rPr>
          <w:rFonts w:hint="cs"/>
          <w:sz w:val="26"/>
          <w:szCs w:val="26"/>
          <w:rtl/>
        </w:rPr>
        <w:t>المعدّلة</w:t>
      </w:r>
    </w:p>
    <w:p w14:paraId="104DB403" w14:textId="439DA975" w:rsidR="00FE37DB" w:rsidRDefault="00FE37DB" w:rsidP="00FE37DB">
      <w:pPr>
        <w:pStyle w:val="ONUMA"/>
        <w:rPr>
          <w:rtl/>
        </w:rPr>
      </w:pPr>
      <w:r>
        <w:rPr>
          <w:rtl/>
        </w:rPr>
        <w:t>رد</w:t>
      </w:r>
      <w:r w:rsidR="000F50F0">
        <w:rPr>
          <w:rFonts w:hint="cs"/>
          <w:rtl/>
        </w:rPr>
        <w:t>ّ</w:t>
      </w:r>
      <w:r w:rsidR="006E326A">
        <w:rPr>
          <w:rFonts w:hint="cs"/>
          <w:rtl/>
        </w:rPr>
        <w:t>ت</w:t>
      </w:r>
      <w:r>
        <w:rPr>
          <w:rtl/>
        </w:rPr>
        <w:t xml:space="preserve"> </w:t>
      </w:r>
      <w:r w:rsidR="006E326A">
        <w:rPr>
          <w:rFonts w:hint="cs"/>
          <w:rtl/>
        </w:rPr>
        <w:t>الدول الأعضاء التالية على</w:t>
      </w:r>
      <w:r>
        <w:rPr>
          <w:rtl/>
        </w:rPr>
        <w:t xml:space="preserve"> التعميم </w:t>
      </w:r>
      <w:r w:rsidR="006E326A">
        <w:rPr>
          <w:lang w:val="fr-CH" w:bidi="ar-SY"/>
        </w:rPr>
        <w:t>C.CWS 180</w:t>
      </w:r>
      <w:r>
        <w:t xml:space="preserve"> </w:t>
      </w:r>
      <w:r>
        <w:rPr>
          <w:rtl/>
        </w:rPr>
        <w:t>: أستراليا وألمانيا وليتوانيا والمكسيك وموز</w:t>
      </w:r>
      <w:r w:rsidR="006E326A">
        <w:rPr>
          <w:rFonts w:hint="cs"/>
          <w:rtl/>
          <w:lang w:bidi="ar-SY"/>
        </w:rPr>
        <w:t>ا</w:t>
      </w:r>
      <w:r>
        <w:rPr>
          <w:rtl/>
        </w:rPr>
        <w:t>مبيق ونيجيريا والنرويج.</w:t>
      </w:r>
    </w:p>
    <w:p w14:paraId="0FFF9EF3" w14:textId="5AED902D" w:rsidR="00FE37DB" w:rsidRDefault="00FE37DB" w:rsidP="00FE37DB">
      <w:pPr>
        <w:pStyle w:val="ONUMA"/>
        <w:rPr>
          <w:rtl/>
        </w:rPr>
      </w:pPr>
      <w:r>
        <w:rPr>
          <w:rtl/>
        </w:rPr>
        <w:t xml:space="preserve">وبالنظر إلى التعليقات الموضوعية التي </w:t>
      </w:r>
      <w:r w:rsidR="006E326A">
        <w:rPr>
          <w:rFonts w:hint="cs"/>
          <w:rtl/>
        </w:rPr>
        <w:t>وردت رداً على</w:t>
      </w:r>
      <w:r>
        <w:rPr>
          <w:rtl/>
        </w:rPr>
        <w:t xml:space="preserve"> </w:t>
      </w:r>
      <w:r w:rsidR="006E326A">
        <w:rPr>
          <w:rFonts w:hint="cs"/>
          <w:rtl/>
        </w:rPr>
        <w:t>ا</w:t>
      </w:r>
      <w:r>
        <w:rPr>
          <w:rtl/>
        </w:rPr>
        <w:t xml:space="preserve">لتعميم وكذلك التعليقات الواردة في الدورة الحادية عشرة للجنة المعايير، أعدت فرقة العمل </w:t>
      </w:r>
      <w:r w:rsidR="006E326A">
        <w:rPr>
          <w:rFonts w:hint="cs"/>
          <w:rtl/>
        </w:rPr>
        <w:t>مقترحاً</w:t>
      </w:r>
      <w:r>
        <w:rPr>
          <w:rtl/>
        </w:rPr>
        <w:t xml:space="preserve"> نهائي</w:t>
      </w:r>
      <w:r w:rsidR="006E326A">
        <w:rPr>
          <w:rFonts w:hint="cs"/>
          <w:rtl/>
        </w:rPr>
        <w:t>اً</w:t>
      </w:r>
      <w:r>
        <w:rPr>
          <w:rtl/>
        </w:rPr>
        <w:t xml:space="preserve"> لمجموعة من التوصيات بشأن تكنولوجيا المعلومات والاتصالات و</w:t>
      </w:r>
      <w:r w:rsidR="006E326A">
        <w:rPr>
          <w:rFonts w:hint="cs"/>
          <w:rtl/>
        </w:rPr>
        <w:t xml:space="preserve">إدارة </w:t>
      </w:r>
      <w:r>
        <w:rPr>
          <w:rtl/>
        </w:rPr>
        <w:t xml:space="preserve">الملكية الفكرية وقدمته، وهو مستنسخ في المرفق </w:t>
      </w:r>
      <w:r w:rsidR="006E326A">
        <w:rPr>
          <w:rFonts w:hint="cs"/>
          <w:rtl/>
        </w:rPr>
        <w:t>ب</w:t>
      </w:r>
      <w:r>
        <w:rPr>
          <w:rtl/>
        </w:rPr>
        <w:t>هذه الوثيقة</w:t>
      </w:r>
      <w:r w:rsidR="006E326A">
        <w:rPr>
          <w:rFonts w:hint="cs"/>
          <w:rtl/>
        </w:rPr>
        <w:t>، بغرض ا</w:t>
      </w:r>
      <w:r>
        <w:rPr>
          <w:rtl/>
        </w:rPr>
        <w:t>لنظر فيه واعتماده.</w:t>
      </w:r>
    </w:p>
    <w:p w14:paraId="2818803A" w14:textId="68695B3E" w:rsidR="00FE37DB" w:rsidRDefault="006E326A" w:rsidP="00FE37DB">
      <w:pPr>
        <w:pStyle w:val="ONUMA"/>
      </w:pPr>
      <w:r>
        <w:rPr>
          <w:rFonts w:hint="cs"/>
          <w:rtl/>
        </w:rPr>
        <w:t>وفيما يلي</w:t>
      </w:r>
      <w:r w:rsidR="00FE37DB">
        <w:rPr>
          <w:rtl/>
        </w:rPr>
        <w:t xml:space="preserve"> ملخص </w:t>
      </w:r>
      <w:r>
        <w:rPr>
          <w:rFonts w:hint="cs"/>
          <w:rtl/>
        </w:rPr>
        <w:t>للتغييرات التي أدخلت على</w:t>
      </w:r>
      <w:r w:rsidR="00FE37DB">
        <w:rPr>
          <w:rtl/>
        </w:rPr>
        <w:t xml:space="preserve"> </w:t>
      </w:r>
      <w:r>
        <w:rPr>
          <w:rFonts w:hint="cs"/>
          <w:rtl/>
        </w:rPr>
        <w:t>مشاريع</w:t>
      </w:r>
      <w:r w:rsidR="00FE37DB">
        <w:rPr>
          <w:rtl/>
        </w:rPr>
        <w:t xml:space="preserve"> التوصيات العشر</w:t>
      </w:r>
      <w:r>
        <w:rPr>
          <w:rFonts w:hint="cs"/>
          <w:rtl/>
        </w:rPr>
        <w:t xml:space="preserve">، </w:t>
      </w:r>
      <w:r w:rsidR="00FE37DB">
        <w:rPr>
          <w:rtl/>
        </w:rPr>
        <w:t xml:space="preserve">منذ </w:t>
      </w:r>
      <w:r>
        <w:rPr>
          <w:rFonts w:hint="cs"/>
          <w:rtl/>
        </w:rPr>
        <w:t>انعقاد الدورة</w:t>
      </w:r>
      <w:r w:rsidR="00FE37DB">
        <w:rPr>
          <w:rtl/>
        </w:rPr>
        <w:t xml:space="preserve"> الأخيرة:</w:t>
      </w:r>
    </w:p>
    <w:p w14:paraId="4F4A787C" w14:textId="77777777" w:rsidR="00FE37DB" w:rsidRDefault="00FE37DB" w:rsidP="00FE37DB">
      <w:pPr>
        <w:pStyle w:val="ONUMA"/>
        <w:numPr>
          <w:ilvl w:val="0"/>
          <w:numId w:val="20"/>
        </w:numPr>
        <w:spacing w:after="0"/>
        <w:rPr>
          <w:rtl/>
        </w:rPr>
      </w:pPr>
      <w:r>
        <w:rPr>
          <w:rtl/>
        </w:rPr>
        <w:t>إعادة ترتيب التوصيات لتحسين التدفق؛</w:t>
      </w:r>
    </w:p>
    <w:p w14:paraId="76FD1B7D" w14:textId="2B852FC0" w:rsidR="00FE37DB" w:rsidRDefault="00FE37DB" w:rsidP="00FE37DB">
      <w:pPr>
        <w:pStyle w:val="ONUMA"/>
        <w:numPr>
          <w:ilvl w:val="0"/>
          <w:numId w:val="20"/>
        </w:numPr>
        <w:spacing w:after="0"/>
        <w:rPr>
          <w:rtl/>
        </w:rPr>
      </w:pPr>
      <w:r>
        <w:rPr>
          <w:rtl/>
        </w:rPr>
        <w:t>إزالة الصياغة المكررة بين التوصية والإجراءات الموصى بها</w:t>
      </w:r>
      <w:r w:rsidR="006E326A">
        <w:rPr>
          <w:rFonts w:hint="cs"/>
          <w:rtl/>
        </w:rPr>
        <w:t>؛</w:t>
      </w:r>
    </w:p>
    <w:p w14:paraId="67148092" w14:textId="2A836D1F" w:rsidR="00FE37DB" w:rsidRDefault="006E326A" w:rsidP="00FE37DB">
      <w:pPr>
        <w:pStyle w:val="ONUMA"/>
        <w:numPr>
          <w:ilvl w:val="0"/>
          <w:numId w:val="20"/>
        </w:numPr>
        <w:spacing w:after="0"/>
        <w:rPr>
          <w:rtl/>
        </w:rPr>
      </w:pPr>
      <w:r>
        <w:rPr>
          <w:rFonts w:hint="cs"/>
          <w:rtl/>
        </w:rPr>
        <w:t xml:space="preserve">إدخال </w:t>
      </w:r>
      <w:r w:rsidR="00FE37DB">
        <w:rPr>
          <w:rtl/>
        </w:rPr>
        <w:t xml:space="preserve">تغييرات تحريرية طفيفة </w:t>
      </w:r>
      <w:r>
        <w:rPr>
          <w:rFonts w:hint="cs"/>
          <w:rtl/>
        </w:rPr>
        <w:t xml:space="preserve">من أجل </w:t>
      </w:r>
      <w:r w:rsidR="00FE37DB">
        <w:rPr>
          <w:rtl/>
        </w:rPr>
        <w:t xml:space="preserve">الوضوح </w:t>
      </w:r>
      <w:r>
        <w:rPr>
          <w:rFonts w:hint="cs"/>
          <w:rtl/>
        </w:rPr>
        <w:t>و</w:t>
      </w:r>
      <w:r w:rsidR="00FE37DB">
        <w:rPr>
          <w:rtl/>
        </w:rPr>
        <w:t>الاتساق؛</w:t>
      </w:r>
    </w:p>
    <w:p w14:paraId="18954C1D" w14:textId="16551ACA" w:rsidR="00FE37DB" w:rsidRDefault="006E326A" w:rsidP="00FE37DB">
      <w:pPr>
        <w:pStyle w:val="ONUMA"/>
        <w:numPr>
          <w:ilvl w:val="0"/>
          <w:numId w:val="20"/>
        </w:numPr>
        <w:spacing w:after="0"/>
        <w:rPr>
          <w:rtl/>
        </w:rPr>
      </w:pPr>
      <w:r>
        <w:rPr>
          <w:rFonts w:hint="cs"/>
          <w:rtl/>
        </w:rPr>
        <w:t>إدخال تعديلات</w:t>
      </w:r>
      <w:r w:rsidR="00FE37DB">
        <w:rPr>
          <w:rtl/>
        </w:rPr>
        <w:t xml:space="preserve"> على إجراء التوصية 1 </w:t>
      </w:r>
      <w:r>
        <w:rPr>
          <w:rFonts w:hint="cs"/>
          <w:rtl/>
        </w:rPr>
        <w:t>لاستعراض</w:t>
      </w:r>
      <w:r w:rsidR="00FE37DB">
        <w:rPr>
          <w:rtl/>
        </w:rPr>
        <w:t xml:space="preserve"> الإجراءات ذات الصلة بحقوق الملكية الفكرية المختلفة ومواءمتها حيثما أمكن؛</w:t>
      </w:r>
    </w:p>
    <w:p w14:paraId="3295BDAB" w14:textId="02DFAB12" w:rsidR="00FE37DB" w:rsidRDefault="006E326A" w:rsidP="00FE37DB">
      <w:pPr>
        <w:pStyle w:val="ONUMA"/>
        <w:numPr>
          <w:ilvl w:val="0"/>
          <w:numId w:val="20"/>
        </w:numPr>
        <w:spacing w:after="0"/>
        <w:rPr>
          <w:rtl/>
        </w:rPr>
      </w:pPr>
      <w:r>
        <w:rPr>
          <w:rFonts w:hint="cs"/>
          <w:rtl/>
        </w:rPr>
        <w:t>إدخال تعديلات</w:t>
      </w:r>
      <w:r>
        <w:rPr>
          <w:rtl/>
        </w:rPr>
        <w:t xml:space="preserve"> </w:t>
      </w:r>
      <w:r w:rsidR="00FE37DB">
        <w:rPr>
          <w:rtl/>
        </w:rPr>
        <w:t xml:space="preserve">على التوصية 2 لتوسيع نطاق المنتدى ليشمل قضايا تكنولوجيا المعلومات والاتصالات ذات الاهتمام المشترك؛ </w:t>
      </w:r>
    </w:p>
    <w:p w14:paraId="538C41CC" w14:textId="009F74C8" w:rsidR="00FE37DB" w:rsidRDefault="006E326A" w:rsidP="00FE37DB">
      <w:pPr>
        <w:pStyle w:val="ONUMA"/>
        <w:numPr>
          <w:ilvl w:val="0"/>
          <w:numId w:val="20"/>
        </w:numPr>
      </w:pPr>
      <w:r>
        <w:rPr>
          <w:rFonts w:hint="cs"/>
          <w:rtl/>
        </w:rPr>
        <w:t>إدخال تعديلات</w:t>
      </w:r>
      <w:r>
        <w:rPr>
          <w:rtl/>
        </w:rPr>
        <w:t xml:space="preserve"> </w:t>
      </w:r>
      <w:r w:rsidR="00FE37DB">
        <w:rPr>
          <w:rtl/>
        </w:rPr>
        <w:t xml:space="preserve">لجعل التوصية 10 </w:t>
      </w:r>
      <w:r w:rsidR="00586237">
        <w:rPr>
          <w:rFonts w:hint="cs"/>
          <w:rtl/>
        </w:rPr>
        <w:t>أكثر عمومية وعالية المستوى للتمييز</w:t>
      </w:r>
      <w:r w:rsidR="00FE37DB">
        <w:rPr>
          <w:rtl/>
        </w:rPr>
        <w:t xml:space="preserve"> بين </w:t>
      </w:r>
      <w:r w:rsidR="00586237">
        <w:rPr>
          <w:rFonts w:hint="cs"/>
          <w:rtl/>
        </w:rPr>
        <w:t>سلاسل الكتل</w:t>
      </w:r>
      <w:r w:rsidR="00FE37DB">
        <w:rPr>
          <w:rtl/>
        </w:rPr>
        <w:t xml:space="preserve"> والذكاء الاصطناعي </w:t>
      </w:r>
      <w:r w:rsidR="00586237">
        <w:rPr>
          <w:rFonts w:hint="cs"/>
          <w:rtl/>
        </w:rPr>
        <w:t>ك</w:t>
      </w:r>
      <w:r w:rsidR="00FE37DB">
        <w:rPr>
          <w:rtl/>
        </w:rPr>
        <w:t xml:space="preserve">تخصصات مختلفة </w:t>
      </w:r>
      <w:r w:rsidR="00586237">
        <w:rPr>
          <w:rFonts w:hint="cs"/>
          <w:rtl/>
        </w:rPr>
        <w:t>ذات إمكانيات</w:t>
      </w:r>
      <w:r w:rsidR="00FE37DB">
        <w:rPr>
          <w:rtl/>
        </w:rPr>
        <w:t xml:space="preserve"> ونطاق</w:t>
      </w:r>
      <w:r w:rsidR="00586237">
        <w:rPr>
          <w:rFonts w:hint="cs"/>
          <w:rtl/>
        </w:rPr>
        <w:t xml:space="preserve">ات </w:t>
      </w:r>
      <w:r w:rsidR="00FE37DB">
        <w:rPr>
          <w:rtl/>
        </w:rPr>
        <w:t>استخدام</w:t>
      </w:r>
      <w:r w:rsidR="00586237" w:rsidRPr="00586237">
        <w:rPr>
          <w:rFonts w:hint="cs"/>
          <w:rtl/>
        </w:rPr>
        <w:t xml:space="preserve"> </w:t>
      </w:r>
      <w:r w:rsidR="00586237">
        <w:rPr>
          <w:rFonts w:hint="cs"/>
          <w:rtl/>
        </w:rPr>
        <w:t>مختلفة</w:t>
      </w:r>
      <w:r w:rsidR="00FE37DB">
        <w:rPr>
          <w:rtl/>
        </w:rPr>
        <w:t>.</w:t>
      </w:r>
    </w:p>
    <w:p w14:paraId="7BAF56C9" w14:textId="7CF64192" w:rsidR="00FE37DB" w:rsidRDefault="00FE37DB" w:rsidP="00FE37DB">
      <w:pPr>
        <w:pStyle w:val="ONUMA"/>
      </w:pPr>
      <w:r w:rsidRPr="00FE37DB">
        <w:rPr>
          <w:rtl/>
        </w:rPr>
        <w:t>و</w:t>
      </w:r>
      <w:r w:rsidR="00282DEB">
        <w:rPr>
          <w:rFonts w:hint="cs"/>
          <w:rtl/>
        </w:rPr>
        <w:t>ت</w:t>
      </w:r>
      <w:r w:rsidRPr="00FE37DB">
        <w:rPr>
          <w:rtl/>
        </w:rPr>
        <w:t xml:space="preserve">قترح </w:t>
      </w:r>
      <w:r w:rsidR="00282DEB">
        <w:rPr>
          <w:rFonts w:hint="cs"/>
          <w:rtl/>
        </w:rPr>
        <w:t>فرقة</w:t>
      </w:r>
      <w:r w:rsidRPr="00FE37DB">
        <w:rPr>
          <w:rtl/>
        </w:rPr>
        <w:t xml:space="preserve"> العمل أن</w:t>
      </w:r>
      <w:r w:rsidR="00282DEB">
        <w:rPr>
          <w:rFonts w:hint="cs"/>
          <w:rtl/>
        </w:rPr>
        <w:t xml:space="preserve"> تنظر</w:t>
      </w:r>
      <w:r w:rsidRPr="00FE37DB">
        <w:rPr>
          <w:rtl/>
        </w:rPr>
        <w:t xml:space="preserve"> </w:t>
      </w:r>
      <w:r w:rsidR="00282DEB" w:rsidRPr="00FE37DB">
        <w:rPr>
          <w:rtl/>
        </w:rPr>
        <w:t xml:space="preserve">مكاتب الملكية الفكرية </w:t>
      </w:r>
      <w:r w:rsidRPr="00FE37DB">
        <w:rPr>
          <w:rtl/>
        </w:rPr>
        <w:t>في تنفيذ التوصيا</w:t>
      </w:r>
      <w:r w:rsidR="00282DEB">
        <w:rPr>
          <w:rFonts w:hint="cs"/>
          <w:rtl/>
        </w:rPr>
        <w:t>ت</w:t>
      </w:r>
      <w:r w:rsidRPr="00FE37DB">
        <w:rPr>
          <w:rtl/>
        </w:rPr>
        <w:t>. وفي هذا الصدد، يُقترح تقديم تقرير بهذه التوصيات إلى الجمعية العامة للويبو في عام 2025</w:t>
      </w:r>
      <w:r w:rsidR="00282DEB">
        <w:rPr>
          <w:rFonts w:hint="cs"/>
          <w:rtl/>
        </w:rPr>
        <w:t xml:space="preserve">، </w:t>
      </w:r>
      <w:r w:rsidRPr="00FE37DB">
        <w:rPr>
          <w:rtl/>
        </w:rPr>
        <w:t xml:space="preserve">بمجرد اعتمادها </w:t>
      </w:r>
      <w:r w:rsidR="00282DEB">
        <w:rPr>
          <w:rFonts w:hint="cs"/>
          <w:rtl/>
        </w:rPr>
        <w:t>في دورة</w:t>
      </w:r>
      <w:r w:rsidRPr="00FE37DB">
        <w:rPr>
          <w:rtl/>
        </w:rPr>
        <w:t xml:space="preserve"> لجنة المعايير. </w:t>
      </w:r>
      <w:r w:rsidR="00282DEB">
        <w:rPr>
          <w:rFonts w:hint="cs"/>
          <w:rtl/>
        </w:rPr>
        <w:t>وبالإضافة إلى</w:t>
      </w:r>
      <w:r w:rsidRPr="00FE37DB">
        <w:rPr>
          <w:rtl/>
        </w:rPr>
        <w:t xml:space="preserve"> ذلك، يُقترح أيض</w:t>
      </w:r>
      <w:r w:rsidR="00282DEB">
        <w:rPr>
          <w:rFonts w:hint="cs"/>
          <w:rtl/>
        </w:rPr>
        <w:t>اً</w:t>
      </w:r>
      <w:r w:rsidRPr="00FE37DB">
        <w:rPr>
          <w:rtl/>
        </w:rPr>
        <w:t xml:space="preserve"> تشجيع مكاتب الملكية </w:t>
      </w:r>
      <w:r w:rsidR="00282DEB">
        <w:rPr>
          <w:rFonts w:hint="cs"/>
          <w:rtl/>
        </w:rPr>
        <w:t>الفكرية</w:t>
      </w:r>
      <w:r w:rsidRPr="00FE37DB">
        <w:rPr>
          <w:rtl/>
        </w:rPr>
        <w:t xml:space="preserve"> على تنفيذ مجموعة التوصيات </w:t>
      </w:r>
      <w:r w:rsidR="00282DEB">
        <w:rPr>
          <w:rFonts w:hint="cs"/>
          <w:rtl/>
        </w:rPr>
        <w:t>وتبادل</w:t>
      </w:r>
      <w:r w:rsidRPr="00FE37DB">
        <w:rPr>
          <w:rtl/>
        </w:rPr>
        <w:t xml:space="preserve"> خططها أو خبراتها في تنفيذ</w:t>
      </w:r>
      <w:r w:rsidR="000C31E3">
        <w:rPr>
          <w:rFonts w:hint="cs"/>
          <w:rtl/>
        </w:rPr>
        <w:t>ها</w:t>
      </w:r>
      <w:r w:rsidRPr="00FE37DB">
        <w:rPr>
          <w:rtl/>
        </w:rPr>
        <w:t>.</w:t>
      </w:r>
    </w:p>
    <w:p w14:paraId="1C9B04EF" w14:textId="3D20D92E" w:rsidR="00FE37DB" w:rsidRPr="00FE37DB" w:rsidRDefault="00FE37DB" w:rsidP="00FE37DB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>
        <w:rPr>
          <w:rFonts w:hint="cs"/>
          <w:i/>
          <w:iCs/>
          <w:rtl/>
        </w:rPr>
        <w:t xml:space="preserve">11. </w:t>
      </w:r>
      <w:r>
        <w:rPr>
          <w:i/>
          <w:iCs/>
          <w:rtl/>
        </w:rPr>
        <w:tab/>
      </w:r>
      <w:r w:rsidRPr="00FE37DB">
        <w:rPr>
          <w:i/>
          <w:iCs/>
          <w:rtl/>
        </w:rPr>
        <w:t>إن لجنة المعايير مدعوة إلى:</w:t>
      </w:r>
    </w:p>
    <w:p w14:paraId="02190C3C" w14:textId="282FACCF" w:rsidR="00FE37DB" w:rsidRPr="00FE37DB" w:rsidRDefault="00FE37DB" w:rsidP="00FE37DB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(أ)</w:t>
      </w:r>
      <w:r w:rsidRPr="00FE37DB">
        <w:rPr>
          <w:i/>
          <w:iCs/>
          <w:rtl/>
        </w:rPr>
        <w:tab/>
      </w:r>
      <w:r w:rsidR="00282DEB">
        <w:rPr>
          <w:rFonts w:hint="cs"/>
          <w:i/>
          <w:iCs/>
          <w:rtl/>
        </w:rPr>
        <w:t>الإحاطة علماً</w:t>
      </w:r>
      <w:r w:rsidRPr="00FE37DB">
        <w:rPr>
          <w:i/>
          <w:iCs/>
          <w:rtl/>
        </w:rPr>
        <w:t xml:space="preserve"> </w:t>
      </w:r>
      <w:r w:rsidR="00282DEB">
        <w:rPr>
          <w:rFonts w:hint="cs"/>
          <w:i/>
          <w:iCs/>
          <w:rtl/>
        </w:rPr>
        <w:t>ب</w:t>
      </w:r>
      <w:r w:rsidRPr="00FE37DB">
        <w:rPr>
          <w:i/>
          <w:iCs/>
          <w:rtl/>
        </w:rPr>
        <w:t>محتوى هذه الوثيقة و</w:t>
      </w:r>
      <w:r w:rsidR="00282DEB">
        <w:rPr>
          <w:rFonts w:hint="cs"/>
          <w:i/>
          <w:iCs/>
          <w:rtl/>
        </w:rPr>
        <w:t>ال</w:t>
      </w:r>
      <w:r w:rsidRPr="00FE37DB">
        <w:rPr>
          <w:i/>
          <w:iCs/>
          <w:rtl/>
        </w:rPr>
        <w:t xml:space="preserve">مرفق </w:t>
      </w:r>
      <w:r w:rsidR="00282DEB">
        <w:rPr>
          <w:rFonts w:hint="cs"/>
          <w:i/>
          <w:iCs/>
          <w:rtl/>
        </w:rPr>
        <w:t>ب</w:t>
      </w:r>
      <w:r w:rsidRPr="00FE37DB">
        <w:rPr>
          <w:i/>
          <w:iCs/>
          <w:rtl/>
        </w:rPr>
        <w:t>هذه الوثيقة؛</w:t>
      </w:r>
    </w:p>
    <w:p w14:paraId="15F7113F" w14:textId="66CCBB38" w:rsidR="00F2264B" w:rsidRDefault="00FE37DB" w:rsidP="00FE37DB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t>(ب)</w:t>
      </w:r>
      <w:r w:rsidRPr="00FE37DB">
        <w:rPr>
          <w:i/>
          <w:iCs/>
          <w:rtl/>
        </w:rPr>
        <w:tab/>
      </w:r>
      <w:r w:rsidR="00282DEB">
        <w:rPr>
          <w:rFonts w:hint="cs"/>
          <w:i/>
          <w:iCs/>
          <w:rtl/>
        </w:rPr>
        <w:t>و</w:t>
      </w:r>
      <w:r w:rsidRPr="00FE37DB">
        <w:rPr>
          <w:i/>
          <w:iCs/>
          <w:rtl/>
        </w:rPr>
        <w:t xml:space="preserve">النظر في مجموعة التوصيات الواردة في </w:t>
      </w:r>
      <w:r w:rsidR="00282DEB">
        <w:rPr>
          <w:rFonts w:hint="cs"/>
          <w:i/>
          <w:iCs/>
          <w:rtl/>
        </w:rPr>
        <w:t>ال</w:t>
      </w:r>
      <w:r w:rsidRPr="00FE37DB">
        <w:rPr>
          <w:i/>
          <w:iCs/>
          <w:rtl/>
        </w:rPr>
        <w:t xml:space="preserve">مرفق </w:t>
      </w:r>
      <w:r w:rsidR="00282DEB">
        <w:rPr>
          <w:rFonts w:hint="cs"/>
          <w:i/>
          <w:iCs/>
          <w:rtl/>
        </w:rPr>
        <w:t>ب</w:t>
      </w:r>
      <w:r w:rsidRPr="00FE37DB">
        <w:rPr>
          <w:i/>
          <w:iCs/>
          <w:rtl/>
        </w:rPr>
        <w:t>هذه الوثيقة واعتمادها؛</w:t>
      </w:r>
      <w:r w:rsidR="00F2264B">
        <w:rPr>
          <w:i/>
          <w:iCs/>
          <w:rtl/>
        </w:rPr>
        <w:br w:type="page"/>
      </w:r>
    </w:p>
    <w:p w14:paraId="425D6140" w14:textId="0F77E26F" w:rsidR="00FE37DB" w:rsidRPr="00FE37DB" w:rsidRDefault="00FE37DB" w:rsidP="00FE37DB">
      <w:pPr>
        <w:pStyle w:val="ONUMA"/>
        <w:numPr>
          <w:ilvl w:val="0"/>
          <w:numId w:val="0"/>
        </w:numPr>
        <w:ind w:left="5534"/>
        <w:rPr>
          <w:i/>
          <w:iCs/>
          <w:rtl/>
        </w:rPr>
      </w:pPr>
      <w:r w:rsidRPr="00FE37DB">
        <w:rPr>
          <w:i/>
          <w:iCs/>
          <w:rtl/>
        </w:rPr>
        <w:lastRenderedPageBreak/>
        <w:t>(ج)</w:t>
      </w:r>
      <w:r w:rsidRPr="00FE37DB">
        <w:rPr>
          <w:i/>
          <w:iCs/>
          <w:rtl/>
        </w:rPr>
        <w:tab/>
      </w:r>
      <w:r w:rsidR="00282DEB">
        <w:rPr>
          <w:rFonts w:hint="cs"/>
          <w:i/>
          <w:iCs/>
          <w:rtl/>
        </w:rPr>
        <w:t>و</w:t>
      </w:r>
      <w:r w:rsidRPr="00FE37DB">
        <w:rPr>
          <w:i/>
          <w:iCs/>
          <w:rtl/>
        </w:rPr>
        <w:t>الموافقة على تقديم مجموعة التوصيات إلى الجمعية العامة للويبو في عام 2025</w:t>
      </w:r>
      <w:r w:rsidR="00282DEB">
        <w:rPr>
          <w:rFonts w:hint="cs"/>
          <w:i/>
          <w:iCs/>
          <w:rtl/>
        </w:rPr>
        <w:t>،</w:t>
      </w:r>
      <w:r w:rsidRPr="00FE37DB">
        <w:rPr>
          <w:i/>
          <w:iCs/>
          <w:rtl/>
        </w:rPr>
        <w:t xml:space="preserve"> على النحو المقترح في الفقرة 10 أعلاه؛ </w:t>
      </w:r>
    </w:p>
    <w:p w14:paraId="78E73280" w14:textId="337C5C47" w:rsidR="00FE37DB" w:rsidRPr="00FE37DB" w:rsidRDefault="00FE37DB" w:rsidP="005B132B">
      <w:pPr>
        <w:pStyle w:val="ONUMA"/>
        <w:numPr>
          <w:ilvl w:val="0"/>
          <w:numId w:val="0"/>
        </w:numPr>
        <w:spacing w:after="480"/>
        <w:ind w:left="5534"/>
        <w:rPr>
          <w:i/>
          <w:iCs/>
          <w:rtl/>
        </w:rPr>
      </w:pPr>
      <w:r w:rsidRPr="00FE37DB">
        <w:rPr>
          <w:i/>
          <w:iCs/>
          <w:rtl/>
        </w:rPr>
        <w:t>(د)</w:t>
      </w:r>
      <w:r w:rsidRPr="00FE37DB">
        <w:rPr>
          <w:i/>
          <w:iCs/>
          <w:rtl/>
        </w:rPr>
        <w:tab/>
      </w:r>
      <w:r w:rsidR="00282DEB">
        <w:rPr>
          <w:rFonts w:hint="cs"/>
          <w:i/>
          <w:iCs/>
          <w:rtl/>
        </w:rPr>
        <w:t>و</w:t>
      </w:r>
      <w:r w:rsidRPr="00FE37DB">
        <w:rPr>
          <w:i/>
          <w:iCs/>
          <w:rtl/>
        </w:rPr>
        <w:t>تشجيع أعضائها على تنفيذ مجموعة التوصيات ومطال</w:t>
      </w:r>
      <w:r w:rsidR="00C114E2">
        <w:rPr>
          <w:rFonts w:hint="cs"/>
          <w:i/>
          <w:iCs/>
          <w:rtl/>
        </w:rPr>
        <w:t xml:space="preserve">بتهم </w:t>
      </w:r>
      <w:r w:rsidRPr="00FE37DB">
        <w:rPr>
          <w:i/>
          <w:iCs/>
          <w:rtl/>
        </w:rPr>
        <w:t>بتبادل خططهم أو خبراتهم في تنفيذ تلك التوصيات</w:t>
      </w:r>
      <w:r w:rsidR="00C114E2">
        <w:rPr>
          <w:rFonts w:hint="cs"/>
          <w:i/>
          <w:iCs/>
          <w:rtl/>
        </w:rPr>
        <w:t xml:space="preserve">، </w:t>
      </w:r>
      <w:r w:rsidRPr="00FE37DB">
        <w:rPr>
          <w:i/>
          <w:iCs/>
          <w:rtl/>
        </w:rPr>
        <w:t>في الدورة القادمة للجنة المعايير</w:t>
      </w:r>
      <w:r w:rsidR="00C114E2">
        <w:rPr>
          <w:rFonts w:hint="cs"/>
          <w:i/>
          <w:iCs/>
          <w:rtl/>
        </w:rPr>
        <w:t xml:space="preserve">، </w:t>
      </w:r>
      <w:r w:rsidRPr="00FE37DB">
        <w:rPr>
          <w:i/>
          <w:iCs/>
          <w:rtl/>
        </w:rPr>
        <w:t>على النحو الم</w:t>
      </w:r>
      <w:r w:rsidR="00C114E2">
        <w:rPr>
          <w:rFonts w:hint="cs"/>
          <w:i/>
          <w:iCs/>
          <w:rtl/>
        </w:rPr>
        <w:t>ُ</w:t>
      </w:r>
      <w:r w:rsidRPr="00FE37DB">
        <w:rPr>
          <w:i/>
          <w:iCs/>
          <w:rtl/>
        </w:rPr>
        <w:t>شار إليه في الفقرة 10 أعلاه.</w:t>
      </w:r>
    </w:p>
    <w:p w14:paraId="08A33876" w14:textId="5E6F537D" w:rsidR="00943B6A" w:rsidRPr="00D8439E" w:rsidRDefault="00943B6A" w:rsidP="00943B6A">
      <w:pPr>
        <w:pStyle w:val="Endofdocument-Annex"/>
        <w:rPr>
          <w:rtl/>
        </w:rPr>
      </w:pPr>
      <w:r>
        <w:rPr>
          <w:rFonts w:hint="cs"/>
          <w:rtl/>
        </w:rPr>
        <w:t>[</w:t>
      </w:r>
      <w:r w:rsidR="00FE37DB">
        <w:rPr>
          <w:rFonts w:hint="cs"/>
          <w:rtl/>
        </w:rPr>
        <w:t>يلي ذلك المرفق</w:t>
      </w:r>
      <w:r>
        <w:rPr>
          <w:rFonts w:hint="cs"/>
          <w:rtl/>
        </w:rPr>
        <w:t>]</w:t>
      </w:r>
    </w:p>
    <w:sectPr w:rsidR="00943B6A" w:rsidRPr="00D8439E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B61E9" w14:textId="77777777" w:rsidR="00272B22" w:rsidRDefault="00272B22">
      <w:r>
        <w:separator/>
      </w:r>
    </w:p>
  </w:endnote>
  <w:endnote w:type="continuationSeparator" w:id="0">
    <w:p w14:paraId="7AF3494B" w14:textId="77777777" w:rsidR="00272B22" w:rsidRDefault="00272B22" w:rsidP="003B38C1">
      <w:r>
        <w:separator/>
      </w:r>
    </w:p>
    <w:p w14:paraId="624FBA0E" w14:textId="77777777" w:rsidR="00272B22" w:rsidRPr="003B38C1" w:rsidRDefault="00272B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D04AC48" w14:textId="77777777" w:rsidR="00272B22" w:rsidRPr="003B38C1" w:rsidRDefault="00272B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869D" w14:textId="77777777" w:rsidR="00272B22" w:rsidRDefault="00272B22">
      <w:r>
        <w:separator/>
      </w:r>
    </w:p>
  </w:footnote>
  <w:footnote w:type="continuationSeparator" w:id="0">
    <w:p w14:paraId="533B7E6D" w14:textId="77777777" w:rsidR="00272B22" w:rsidRDefault="00272B22" w:rsidP="008B60B2">
      <w:r>
        <w:separator/>
      </w:r>
    </w:p>
    <w:p w14:paraId="2C6DF9DC" w14:textId="77777777" w:rsidR="00272B22" w:rsidRPr="00ED77FB" w:rsidRDefault="00272B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F28595D" w14:textId="77777777" w:rsidR="00272B22" w:rsidRPr="00ED77FB" w:rsidRDefault="00272B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E0FA" w14:textId="39A130F7" w:rsidR="00D07C78" w:rsidRPr="00FE37DB" w:rsidRDefault="00FE5D75" w:rsidP="007969D1">
    <w:pPr>
      <w:bidi w:val="0"/>
      <w:rPr>
        <w:caps/>
        <w:rtl/>
        <w:lang w:val="fr-CH"/>
      </w:rPr>
    </w:pPr>
    <w:r>
      <w:rPr>
        <w:caps/>
      </w:rPr>
      <w:t>CWS</w:t>
    </w:r>
    <w:r w:rsidR="00250149">
      <w:rPr>
        <w:caps/>
      </w:rPr>
      <w:t>/</w:t>
    </w:r>
    <w:r w:rsidR="00E15F75">
      <w:rPr>
        <w:caps/>
      </w:rPr>
      <w:t>1</w:t>
    </w:r>
    <w:r w:rsidR="00117603">
      <w:rPr>
        <w:caps/>
      </w:rPr>
      <w:t>2</w:t>
    </w:r>
    <w:r w:rsidR="00250149">
      <w:rPr>
        <w:caps/>
      </w:rPr>
      <w:t>/</w:t>
    </w:r>
    <w:r w:rsidR="00FE37DB">
      <w:t>22</w:t>
    </w:r>
  </w:p>
  <w:p w14:paraId="7B46C4F6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703A0">
      <w:rPr>
        <w:noProof/>
      </w:rPr>
      <w:t>4</w:t>
    </w:r>
    <w:r>
      <w:fldChar w:fldCharType="end"/>
    </w:r>
  </w:p>
  <w:p w14:paraId="64FF1204" w14:textId="77777777" w:rsidR="00D07C78" w:rsidRDefault="00D07C78" w:rsidP="00210D5F">
    <w:pPr>
      <w:bidi w:val="0"/>
    </w:pPr>
  </w:p>
  <w:p w14:paraId="28631F03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37B13DC"/>
    <w:multiLevelType w:val="hybridMultilevel"/>
    <w:tmpl w:val="A56A7164"/>
    <w:lvl w:ilvl="0" w:tplc="6F3A76D6">
      <w:start w:val="1"/>
      <w:numFmt w:val="arabicAbjad"/>
      <w:pStyle w:val="ListParagraph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05D5"/>
    <w:multiLevelType w:val="hybridMultilevel"/>
    <w:tmpl w:val="116837B8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F9048C"/>
    <w:multiLevelType w:val="hybridMultilevel"/>
    <w:tmpl w:val="601C7E26"/>
    <w:lvl w:ilvl="0" w:tplc="CA826D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49A0"/>
    <w:multiLevelType w:val="hybridMultilevel"/>
    <w:tmpl w:val="924A841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86B6A"/>
    <w:multiLevelType w:val="hybridMultilevel"/>
    <w:tmpl w:val="031EEFB2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7C80"/>
    <w:multiLevelType w:val="hybridMultilevel"/>
    <w:tmpl w:val="8302458A"/>
    <w:lvl w:ilvl="0" w:tplc="277870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0061B"/>
    <w:multiLevelType w:val="multilevel"/>
    <w:tmpl w:val="A6603754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1689942921">
    <w:abstractNumId w:val="8"/>
  </w:num>
  <w:num w:numId="2" w16cid:durableId="441920480">
    <w:abstractNumId w:val="0"/>
  </w:num>
  <w:num w:numId="3" w16cid:durableId="1850176673">
    <w:abstractNumId w:val="3"/>
  </w:num>
  <w:num w:numId="4" w16cid:durableId="2107647081">
    <w:abstractNumId w:val="9"/>
  </w:num>
  <w:num w:numId="5" w16cid:durableId="114569756">
    <w:abstractNumId w:val="1"/>
  </w:num>
  <w:num w:numId="6" w16cid:durableId="2019889674">
    <w:abstractNumId w:val="1"/>
    <w:lvlOverride w:ilvl="0">
      <w:startOverride w:val="1"/>
    </w:lvlOverride>
  </w:num>
  <w:num w:numId="7" w16cid:durableId="1200893741">
    <w:abstractNumId w:val="1"/>
    <w:lvlOverride w:ilvl="0">
      <w:startOverride w:val="1"/>
    </w:lvlOverride>
  </w:num>
  <w:num w:numId="8" w16cid:durableId="850296747">
    <w:abstractNumId w:val="1"/>
    <w:lvlOverride w:ilvl="0">
      <w:startOverride w:val="1"/>
    </w:lvlOverride>
  </w:num>
  <w:num w:numId="9" w16cid:durableId="475755672">
    <w:abstractNumId w:val="1"/>
    <w:lvlOverride w:ilvl="0">
      <w:startOverride w:val="1"/>
    </w:lvlOverride>
  </w:num>
  <w:num w:numId="10" w16cid:durableId="90470468">
    <w:abstractNumId w:val="1"/>
    <w:lvlOverride w:ilvl="0">
      <w:startOverride w:val="1"/>
    </w:lvlOverride>
  </w:num>
  <w:num w:numId="11" w16cid:durableId="392046539">
    <w:abstractNumId w:val="1"/>
  </w:num>
  <w:num w:numId="12" w16cid:durableId="1268585383">
    <w:abstractNumId w:val="7"/>
  </w:num>
  <w:num w:numId="13" w16cid:durableId="402148171">
    <w:abstractNumId w:val="1"/>
  </w:num>
  <w:num w:numId="14" w16cid:durableId="276566343">
    <w:abstractNumId w:val="9"/>
  </w:num>
  <w:num w:numId="15" w16cid:durableId="1854227908">
    <w:abstractNumId w:val="1"/>
  </w:num>
  <w:num w:numId="16" w16cid:durableId="99570287">
    <w:abstractNumId w:val="9"/>
  </w:num>
  <w:num w:numId="17" w16cid:durableId="1840778615">
    <w:abstractNumId w:val="6"/>
  </w:num>
  <w:num w:numId="18" w16cid:durableId="1243494098">
    <w:abstractNumId w:val="2"/>
  </w:num>
  <w:num w:numId="19" w16cid:durableId="1305160800">
    <w:abstractNumId w:val="5"/>
  </w:num>
  <w:num w:numId="20" w16cid:durableId="163802424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FB0"/>
    <w:rsid w:val="00005FA0"/>
    <w:rsid w:val="00041A0A"/>
    <w:rsid w:val="00043CAA"/>
    <w:rsid w:val="00056816"/>
    <w:rsid w:val="00075432"/>
    <w:rsid w:val="000826E9"/>
    <w:rsid w:val="00090A19"/>
    <w:rsid w:val="000910E5"/>
    <w:rsid w:val="000968ED"/>
    <w:rsid w:val="000A3D97"/>
    <w:rsid w:val="000B5B36"/>
    <w:rsid w:val="000C31E3"/>
    <w:rsid w:val="000D3DAB"/>
    <w:rsid w:val="000D42A9"/>
    <w:rsid w:val="000F50F0"/>
    <w:rsid w:val="000F5E56"/>
    <w:rsid w:val="00117603"/>
    <w:rsid w:val="001362EE"/>
    <w:rsid w:val="001406E1"/>
    <w:rsid w:val="00140F22"/>
    <w:rsid w:val="00155D8A"/>
    <w:rsid w:val="001647D5"/>
    <w:rsid w:val="00167832"/>
    <w:rsid w:val="00167F09"/>
    <w:rsid w:val="00176FD1"/>
    <w:rsid w:val="001832A6"/>
    <w:rsid w:val="0019592A"/>
    <w:rsid w:val="001B6F0C"/>
    <w:rsid w:val="001C536D"/>
    <w:rsid w:val="001D4107"/>
    <w:rsid w:val="00203D24"/>
    <w:rsid w:val="00210D5F"/>
    <w:rsid w:val="0021217E"/>
    <w:rsid w:val="00222782"/>
    <w:rsid w:val="002326AB"/>
    <w:rsid w:val="00243430"/>
    <w:rsid w:val="00250149"/>
    <w:rsid w:val="00262607"/>
    <w:rsid w:val="002634C4"/>
    <w:rsid w:val="00265354"/>
    <w:rsid w:val="00272B22"/>
    <w:rsid w:val="00273181"/>
    <w:rsid w:val="00282DEB"/>
    <w:rsid w:val="002928D3"/>
    <w:rsid w:val="002A3714"/>
    <w:rsid w:val="002A7B3A"/>
    <w:rsid w:val="002F1FE6"/>
    <w:rsid w:val="002F2D9B"/>
    <w:rsid w:val="002F4E68"/>
    <w:rsid w:val="00303282"/>
    <w:rsid w:val="00305719"/>
    <w:rsid w:val="00312F7F"/>
    <w:rsid w:val="00321316"/>
    <w:rsid w:val="00321EB3"/>
    <w:rsid w:val="00327E12"/>
    <w:rsid w:val="003452A8"/>
    <w:rsid w:val="00361450"/>
    <w:rsid w:val="003673CF"/>
    <w:rsid w:val="00376168"/>
    <w:rsid w:val="003845C1"/>
    <w:rsid w:val="003848F1"/>
    <w:rsid w:val="003A6F89"/>
    <w:rsid w:val="003B1954"/>
    <w:rsid w:val="003B355C"/>
    <w:rsid w:val="003B3581"/>
    <w:rsid w:val="003B38C1"/>
    <w:rsid w:val="003C17A1"/>
    <w:rsid w:val="003C34E9"/>
    <w:rsid w:val="003F20F4"/>
    <w:rsid w:val="004049ED"/>
    <w:rsid w:val="00423E3E"/>
    <w:rsid w:val="00427AF4"/>
    <w:rsid w:val="004434C3"/>
    <w:rsid w:val="00445346"/>
    <w:rsid w:val="0045246E"/>
    <w:rsid w:val="00452F85"/>
    <w:rsid w:val="00461B51"/>
    <w:rsid w:val="004647DA"/>
    <w:rsid w:val="00474062"/>
    <w:rsid w:val="00477D6B"/>
    <w:rsid w:val="00481FA9"/>
    <w:rsid w:val="0048522D"/>
    <w:rsid w:val="004D29A8"/>
    <w:rsid w:val="004D2D45"/>
    <w:rsid w:val="004F2DEB"/>
    <w:rsid w:val="0050171F"/>
    <w:rsid w:val="005019FF"/>
    <w:rsid w:val="0050470A"/>
    <w:rsid w:val="00520830"/>
    <w:rsid w:val="0053057A"/>
    <w:rsid w:val="00556076"/>
    <w:rsid w:val="00560A29"/>
    <w:rsid w:val="005740C5"/>
    <w:rsid w:val="00586237"/>
    <w:rsid w:val="0059409E"/>
    <w:rsid w:val="005B132B"/>
    <w:rsid w:val="005B2C79"/>
    <w:rsid w:val="005B453D"/>
    <w:rsid w:val="005C5B64"/>
    <w:rsid w:val="005C6649"/>
    <w:rsid w:val="005E7B89"/>
    <w:rsid w:val="005F0828"/>
    <w:rsid w:val="005F2529"/>
    <w:rsid w:val="00600D30"/>
    <w:rsid w:val="00605827"/>
    <w:rsid w:val="00646050"/>
    <w:rsid w:val="006713CA"/>
    <w:rsid w:val="00676C5C"/>
    <w:rsid w:val="006A516B"/>
    <w:rsid w:val="006B1301"/>
    <w:rsid w:val="006B449E"/>
    <w:rsid w:val="006B5C12"/>
    <w:rsid w:val="006D27D2"/>
    <w:rsid w:val="006D7AAB"/>
    <w:rsid w:val="006D7C7A"/>
    <w:rsid w:val="006E326A"/>
    <w:rsid w:val="006E724C"/>
    <w:rsid w:val="006F641A"/>
    <w:rsid w:val="0070778E"/>
    <w:rsid w:val="00714F25"/>
    <w:rsid w:val="00720EFD"/>
    <w:rsid w:val="00750C1A"/>
    <w:rsid w:val="007641CE"/>
    <w:rsid w:val="00765699"/>
    <w:rsid w:val="007854AF"/>
    <w:rsid w:val="0079149A"/>
    <w:rsid w:val="00793A7C"/>
    <w:rsid w:val="007969D1"/>
    <w:rsid w:val="007A0E2A"/>
    <w:rsid w:val="007A398A"/>
    <w:rsid w:val="007C1935"/>
    <w:rsid w:val="007C4902"/>
    <w:rsid w:val="007D1613"/>
    <w:rsid w:val="007E4889"/>
    <w:rsid w:val="007E4C0E"/>
    <w:rsid w:val="00820911"/>
    <w:rsid w:val="008243C0"/>
    <w:rsid w:val="008A134B"/>
    <w:rsid w:val="008A39DA"/>
    <w:rsid w:val="008A5C4D"/>
    <w:rsid w:val="008B2CC1"/>
    <w:rsid w:val="008B60B2"/>
    <w:rsid w:val="008D1B10"/>
    <w:rsid w:val="0090731E"/>
    <w:rsid w:val="00916EE2"/>
    <w:rsid w:val="0093527D"/>
    <w:rsid w:val="009366BA"/>
    <w:rsid w:val="00942569"/>
    <w:rsid w:val="00943B6A"/>
    <w:rsid w:val="0094554E"/>
    <w:rsid w:val="00947238"/>
    <w:rsid w:val="009476FE"/>
    <w:rsid w:val="00957F02"/>
    <w:rsid w:val="00966A22"/>
    <w:rsid w:val="0096722F"/>
    <w:rsid w:val="00977618"/>
    <w:rsid w:val="00980843"/>
    <w:rsid w:val="0099406E"/>
    <w:rsid w:val="009949D6"/>
    <w:rsid w:val="009B0855"/>
    <w:rsid w:val="009B48A1"/>
    <w:rsid w:val="009B51CF"/>
    <w:rsid w:val="009C2651"/>
    <w:rsid w:val="009E1721"/>
    <w:rsid w:val="009E2791"/>
    <w:rsid w:val="009E3F6F"/>
    <w:rsid w:val="009F3FB0"/>
    <w:rsid w:val="009F499F"/>
    <w:rsid w:val="00A225D4"/>
    <w:rsid w:val="00A33241"/>
    <w:rsid w:val="00A35D44"/>
    <w:rsid w:val="00A37342"/>
    <w:rsid w:val="00A42DAF"/>
    <w:rsid w:val="00A448AB"/>
    <w:rsid w:val="00A45BD8"/>
    <w:rsid w:val="00A61D32"/>
    <w:rsid w:val="00A703A0"/>
    <w:rsid w:val="00A82FF2"/>
    <w:rsid w:val="00A869B7"/>
    <w:rsid w:val="00A90F0A"/>
    <w:rsid w:val="00AA589B"/>
    <w:rsid w:val="00AB4792"/>
    <w:rsid w:val="00AC205C"/>
    <w:rsid w:val="00AC20E9"/>
    <w:rsid w:val="00AC65C6"/>
    <w:rsid w:val="00AD30FC"/>
    <w:rsid w:val="00AD5F3C"/>
    <w:rsid w:val="00AD75F1"/>
    <w:rsid w:val="00AF0A6B"/>
    <w:rsid w:val="00B05A69"/>
    <w:rsid w:val="00B20A80"/>
    <w:rsid w:val="00B26A4F"/>
    <w:rsid w:val="00B30749"/>
    <w:rsid w:val="00B34675"/>
    <w:rsid w:val="00B42CA9"/>
    <w:rsid w:val="00B51FF7"/>
    <w:rsid w:val="00B53F5C"/>
    <w:rsid w:val="00B75281"/>
    <w:rsid w:val="00B86A18"/>
    <w:rsid w:val="00B92F1F"/>
    <w:rsid w:val="00B953D5"/>
    <w:rsid w:val="00B9734B"/>
    <w:rsid w:val="00BA30E2"/>
    <w:rsid w:val="00BB781F"/>
    <w:rsid w:val="00BC6536"/>
    <w:rsid w:val="00C114E2"/>
    <w:rsid w:val="00C11BFE"/>
    <w:rsid w:val="00C16A60"/>
    <w:rsid w:val="00C3436A"/>
    <w:rsid w:val="00C5068F"/>
    <w:rsid w:val="00C60E4B"/>
    <w:rsid w:val="00C63245"/>
    <w:rsid w:val="00C73194"/>
    <w:rsid w:val="00C770F5"/>
    <w:rsid w:val="00C86D74"/>
    <w:rsid w:val="00C91553"/>
    <w:rsid w:val="00C925E7"/>
    <w:rsid w:val="00CB3DBA"/>
    <w:rsid w:val="00CC258D"/>
    <w:rsid w:val="00CC3E2D"/>
    <w:rsid w:val="00CD04F1"/>
    <w:rsid w:val="00CE19F8"/>
    <w:rsid w:val="00CF681A"/>
    <w:rsid w:val="00D07C78"/>
    <w:rsid w:val="00D340D1"/>
    <w:rsid w:val="00D45252"/>
    <w:rsid w:val="00D512F3"/>
    <w:rsid w:val="00D60B2C"/>
    <w:rsid w:val="00D67EAE"/>
    <w:rsid w:val="00D71B4D"/>
    <w:rsid w:val="00D80943"/>
    <w:rsid w:val="00D90B96"/>
    <w:rsid w:val="00D93D55"/>
    <w:rsid w:val="00DC17E3"/>
    <w:rsid w:val="00DD7B7F"/>
    <w:rsid w:val="00E15015"/>
    <w:rsid w:val="00E15F75"/>
    <w:rsid w:val="00E17738"/>
    <w:rsid w:val="00E2006D"/>
    <w:rsid w:val="00E23ECB"/>
    <w:rsid w:val="00E319DF"/>
    <w:rsid w:val="00E335FE"/>
    <w:rsid w:val="00E52632"/>
    <w:rsid w:val="00E66CC5"/>
    <w:rsid w:val="00E91C3A"/>
    <w:rsid w:val="00EA2B00"/>
    <w:rsid w:val="00EA7D6E"/>
    <w:rsid w:val="00EB2F76"/>
    <w:rsid w:val="00EC4E49"/>
    <w:rsid w:val="00ED6EB7"/>
    <w:rsid w:val="00ED77FB"/>
    <w:rsid w:val="00EE307E"/>
    <w:rsid w:val="00EE45FA"/>
    <w:rsid w:val="00F043DE"/>
    <w:rsid w:val="00F10E7C"/>
    <w:rsid w:val="00F1217E"/>
    <w:rsid w:val="00F2264B"/>
    <w:rsid w:val="00F248CE"/>
    <w:rsid w:val="00F42225"/>
    <w:rsid w:val="00F66152"/>
    <w:rsid w:val="00F76CB4"/>
    <w:rsid w:val="00F90C07"/>
    <w:rsid w:val="00F9165B"/>
    <w:rsid w:val="00FA17DA"/>
    <w:rsid w:val="00FA6CAF"/>
    <w:rsid w:val="00FC482F"/>
    <w:rsid w:val="00FD0B86"/>
    <w:rsid w:val="00FE37DB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34722"/>
  <w15:docId w15:val="{ACC96AB2-A52A-4F62-A571-9E83052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4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BodyText"/>
    <w:uiPriority w:val="34"/>
    <w:qFormat/>
    <w:rsid w:val="009949D6"/>
    <w:pPr>
      <w:numPr>
        <w:numId w:val="5"/>
      </w:numPr>
    </w:pPr>
  </w:style>
  <w:style w:type="paragraph" w:customStyle="1" w:styleId="Endofdocument">
    <w:name w:val="End of document"/>
    <w:basedOn w:val="Normal"/>
    <w:rsid w:val="00943B6A"/>
    <w:pPr>
      <w:bidi w:val="0"/>
      <w:spacing w:line="260" w:lineRule="atLeast"/>
      <w:ind w:left="5534"/>
    </w:pPr>
    <w:rPr>
      <w:rFonts w:eastAsia="Times New Roman" w:cs="Times New Roman"/>
      <w:sz w:val="20"/>
      <w:szCs w:val="20"/>
      <w:lang w:eastAsia="en-US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BF19-F204-4F88-B0C1-89933E9E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3663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CWS/11/1 PROV 2. (Arabic)</vt:lpstr>
      <vt:lpstr>CWS/11/1 PROV 2. (Arabic)</vt:lpstr>
    </vt:vector>
  </TitlesOfParts>
  <Company>WIPO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CWS/12/22</dc:title>
  <dc:creator>WIPO</dc:creator>
  <cp:keywords/>
  <cp:lastModifiedBy>BLANCHET Gaspard</cp:lastModifiedBy>
  <cp:revision>13</cp:revision>
  <cp:lastPrinted>2024-07-22T12:01:00Z</cp:lastPrinted>
  <dcterms:created xsi:type="dcterms:W3CDTF">2024-07-22T04:13:00Z</dcterms:created>
  <dcterms:modified xsi:type="dcterms:W3CDTF">2024-07-25T10:01:00Z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fb579b81-4821-48d9-a92c-679b3f27fe89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2023-10-03T09:42:48Z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985a1b2b-23de-4c91-afe2-d7cd76cc92a9</vt:lpwstr>
  </property>
  <property fmtid="{D5CDD505-2E9C-101B-9397-08002B2CF9AE}" pid="14" name="MSIP_Label_20773ee6-353b-4fb9-a59d-0b94c8c67bea_ContentBits">
    <vt:lpwstr>0</vt:lpwstr>
  </property>
</Properties>
</file>