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83A67"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55F83B4" wp14:editId="0C4C415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761F1C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8F53711" w14:textId="77777777"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E15F75">
        <w:rPr>
          <w:rFonts w:ascii="Arial Black" w:hAnsi="Arial Black"/>
          <w:caps/>
          <w:sz w:val="15"/>
          <w:szCs w:val="15"/>
        </w:rPr>
        <w:t>1</w:t>
      </w:r>
      <w:r w:rsidR="00FE5D75" w:rsidRPr="00FE5D75">
        <w:rPr>
          <w:rFonts w:ascii="Arial Black" w:hAnsi="Arial Black"/>
          <w:caps/>
          <w:sz w:val="15"/>
          <w:szCs w:val="15"/>
        </w:rPr>
        <w:t>/</w:t>
      </w:r>
      <w:r w:rsidR="00B720CD">
        <w:rPr>
          <w:rFonts w:ascii="Arial Black" w:hAnsi="Arial Black"/>
          <w:caps/>
          <w:sz w:val="15"/>
          <w:szCs w:val="15"/>
        </w:rPr>
        <w:t>22</w:t>
      </w:r>
    </w:p>
    <w:p w14:paraId="024E631E" w14:textId="77777777" w:rsidR="008B2CC1" w:rsidRPr="004E166B" w:rsidRDefault="00CC3E2D" w:rsidP="00CC3E2D">
      <w:pPr>
        <w:jc w:val="right"/>
        <w:rPr>
          <w:rFonts w:asciiTheme="minorHAnsi" w:hAnsiTheme="minorHAnsi" w:cstheme="minorHAnsi"/>
          <w:b/>
          <w:bCs/>
          <w:caps/>
          <w:sz w:val="15"/>
          <w:szCs w:val="15"/>
          <w:rtl/>
          <w:lang w:val="fr-CH"/>
        </w:rPr>
      </w:pPr>
      <w:bookmarkStart w:id="1" w:name="Original"/>
      <w:r w:rsidRPr="0070778E">
        <w:rPr>
          <w:rFonts w:asciiTheme="minorHAnsi" w:hAnsiTheme="minorHAnsi" w:cstheme="minorHAnsi" w:hint="cs"/>
          <w:b/>
          <w:bCs/>
          <w:caps/>
          <w:sz w:val="15"/>
          <w:szCs w:val="15"/>
          <w:rtl/>
        </w:rPr>
        <w:t xml:space="preserve">الأصل: </w:t>
      </w:r>
      <w:r w:rsidR="004E166B">
        <w:rPr>
          <w:rFonts w:asciiTheme="minorHAnsi" w:hAnsiTheme="minorHAnsi" w:cstheme="minorHAnsi" w:hint="cs"/>
          <w:b/>
          <w:bCs/>
          <w:caps/>
          <w:sz w:val="15"/>
          <w:szCs w:val="15"/>
          <w:rtl/>
          <w:lang w:val="fr-CH"/>
        </w:rPr>
        <w:t>بالإنكليزية</w:t>
      </w:r>
    </w:p>
    <w:p w14:paraId="143D2482" w14:textId="77777777"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B720CD">
        <w:rPr>
          <w:rFonts w:asciiTheme="minorHAnsi" w:hAnsiTheme="minorHAnsi" w:cstheme="minorHAnsi" w:hint="cs"/>
          <w:b/>
          <w:bCs/>
          <w:caps/>
          <w:sz w:val="15"/>
          <w:szCs w:val="15"/>
          <w:rtl/>
        </w:rPr>
        <w:t>2</w:t>
      </w:r>
      <w:r w:rsidR="004E166B">
        <w:rPr>
          <w:rFonts w:asciiTheme="minorHAnsi" w:hAnsiTheme="minorHAnsi" w:cstheme="minorHAnsi" w:hint="cs"/>
          <w:b/>
          <w:bCs/>
          <w:caps/>
          <w:sz w:val="15"/>
          <w:szCs w:val="15"/>
          <w:rtl/>
        </w:rPr>
        <w:t xml:space="preserve"> </w:t>
      </w:r>
      <w:r w:rsidR="00B720CD">
        <w:rPr>
          <w:rFonts w:asciiTheme="minorHAnsi" w:hAnsiTheme="minorHAnsi" w:cstheme="minorHAnsi" w:hint="cs"/>
          <w:b/>
          <w:bCs/>
          <w:caps/>
          <w:sz w:val="15"/>
          <w:szCs w:val="15"/>
          <w:rtl/>
        </w:rPr>
        <w:t>نوفمبر</w:t>
      </w:r>
      <w:r w:rsidR="004E166B">
        <w:rPr>
          <w:rFonts w:asciiTheme="minorHAnsi" w:hAnsiTheme="minorHAnsi" w:cstheme="minorHAnsi" w:hint="cs"/>
          <w:b/>
          <w:bCs/>
          <w:caps/>
          <w:sz w:val="15"/>
          <w:szCs w:val="15"/>
          <w:rtl/>
        </w:rPr>
        <w:t xml:space="preserve"> 2023</w:t>
      </w:r>
    </w:p>
    <w:bookmarkEnd w:id="2"/>
    <w:p w14:paraId="08AE41F6"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20251D5C" w14:textId="77777777" w:rsidR="00A90F0A" w:rsidRPr="0080078B" w:rsidRDefault="00D67EAE" w:rsidP="0070778E">
      <w:pPr>
        <w:outlineLvl w:val="1"/>
        <w:rPr>
          <w:rFonts w:asciiTheme="minorHAnsi" w:hAnsiTheme="minorHAnsi" w:cstheme="minorHAnsi"/>
          <w:bCs/>
          <w:sz w:val="24"/>
          <w:szCs w:val="24"/>
          <w:lang w:val="fr-FR"/>
        </w:rPr>
      </w:pPr>
      <w:r w:rsidRPr="00D67EAE">
        <w:rPr>
          <w:rFonts w:asciiTheme="minorHAnsi" w:hAnsiTheme="minorHAnsi" w:cstheme="minorHAnsi" w:hint="cs"/>
          <w:bCs/>
          <w:sz w:val="24"/>
          <w:szCs w:val="24"/>
          <w:rtl/>
        </w:rPr>
        <w:t xml:space="preserve">الدورة </w:t>
      </w:r>
      <w:r w:rsidR="00E15F75">
        <w:rPr>
          <w:rFonts w:asciiTheme="minorHAnsi" w:hAnsiTheme="minorHAnsi" w:cstheme="minorHAnsi" w:hint="cs"/>
          <w:bCs/>
          <w:sz w:val="24"/>
          <w:szCs w:val="24"/>
          <w:rtl/>
        </w:rPr>
        <w:t>الحادية عشرة</w:t>
      </w:r>
    </w:p>
    <w:p w14:paraId="4AE42598"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15F75">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E15F75">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ديسمبر</w:t>
      </w:r>
      <w:r w:rsidR="00250149">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2023</w:t>
      </w:r>
    </w:p>
    <w:p w14:paraId="2D830386" w14:textId="77777777" w:rsidR="008B2CC1" w:rsidRPr="00262607" w:rsidRDefault="00B720CD" w:rsidP="00262607">
      <w:pPr>
        <w:spacing w:after="360"/>
        <w:outlineLvl w:val="0"/>
        <w:rPr>
          <w:rFonts w:asciiTheme="minorHAnsi" w:hAnsiTheme="minorHAnsi" w:cstheme="minorHAnsi"/>
          <w:caps/>
          <w:sz w:val="24"/>
          <w:szCs w:val="24"/>
        </w:rPr>
      </w:pPr>
      <w:bookmarkStart w:id="3" w:name="TitleOfDoc"/>
      <w:r w:rsidRPr="00B720CD">
        <w:rPr>
          <w:rFonts w:asciiTheme="minorHAnsi" w:hAnsiTheme="minorHAnsi"/>
          <w:caps/>
          <w:sz w:val="24"/>
          <w:szCs w:val="24"/>
          <w:rtl/>
        </w:rPr>
        <w:t>تقرير فرقة العمل المعنية بتوحيد الأسماء (المهمة رقم 55)</w:t>
      </w:r>
    </w:p>
    <w:p w14:paraId="162AF437" w14:textId="77777777" w:rsidR="004E166B" w:rsidRPr="004D39C4" w:rsidRDefault="00B720CD" w:rsidP="004E166B">
      <w:pPr>
        <w:spacing w:after="960"/>
        <w:rPr>
          <w:i/>
          <w:rtl/>
        </w:rPr>
      </w:pPr>
      <w:bookmarkStart w:id="4" w:name="Prepared"/>
      <w:bookmarkEnd w:id="3"/>
      <w:bookmarkEnd w:id="4"/>
      <w:r w:rsidRPr="00B720CD">
        <w:rPr>
          <w:i/>
          <w:iCs/>
          <w:rtl/>
        </w:rPr>
        <w:t>وثيقة من إعداد المشرفان على فرقة العمل المعنية بتوحيد الأسماء</w:t>
      </w:r>
    </w:p>
    <w:p w14:paraId="08E78EDE" w14:textId="77777777" w:rsidR="004E166B" w:rsidRPr="00AF7026" w:rsidRDefault="004E166B" w:rsidP="004E166B">
      <w:pPr>
        <w:pStyle w:val="Heading2"/>
        <w:rPr>
          <w:rtl/>
        </w:rPr>
      </w:pPr>
      <w:r w:rsidRPr="00AF7026">
        <w:rPr>
          <w:rFonts w:hint="cs"/>
          <w:rtl/>
        </w:rPr>
        <w:t>ملخص</w:t>
      </w:r>
    </w:p>
    <w:p w14:paraId="3660868F" w14:textId="77777777" w:rsidR="004E166B" w:rsidRPr="005A4C02" w:rsidRDefault="00B62797" w:rsidP="004E166B">
      <w:pPr>
        <w:pStyle w:val="ONUMA"/>
        <w:rPr>
          <w:rtl/>
        </w:rPr>
      </w:pPr>
      <w:r w:rsidRPr="00B62797">
        <w:rPr>
          <w:rtl/>
        </w:rPr>
        <w:t xml:space="preserve">تتولى فرقة العمل المعنية بتوحيد الأسماء مسؤولية وضع </w:t>
      </w:r>
      <w:r w:rsidR="005E68B2">
        <w:rPr>
          <w:rFonts w:hint="cs"/>
          <w:rtl/>
        </w:rPr>
        <w:t>معايير</w:t>
      </w:r>
      <w:r w:rsidRPr="00B62797">
        <w:rPr>
          <w:rtl/>
        </w:rPr>
        <w:t xml:space="preserve"> للويبو لمساعدة مكاتب الملكية الصناعية على تحسين</w:t>
      </w:r>
      <w:r>
        <w:rPr>
          <w:rFonts w:hint="cs"/>
          <w:rtl/>
        </w:rPr>
        <w:t xml:space="preserve"> </w:t>
      </w:r>
      <w:r w:rsidRPr="00B62797">
        <w:rPr>
          <w:rtl/>
        </w:rPr>
        <w:t xml:space="preserve">"الجودة في المنبع" فيما يتعلق </w:t>
      </w:r>
      <w:r>
        <w:rPr>
          <w:rFonts w:hint="cs"/>
          <w:rtl/>
        </w:rPr>
        <w:t>بأسماء المودعين</w:t>
      </w:r>
      <w:r w:rsidRPr="00B62797">
        <w:rPr>
          <w:rtl/>
        </w:rPr>
        <w:t xml:space="preserve">. </w:t>
      </w:r>
      <w:r w:rsidR="00A8227E">
        <w:rPr>
          <w:rFonts w:hint="cs"/>
          <w:rtl/>
        </w:rPr>
        <w:t>وانتهت</w:t>
      </w:r>
      <w:r w:rsidRPr="00B62797">
        <w:rPr>
          <w:rtl/>
        </w:rPr>
        <w:t xml:space="preserve"> </w:t>
      </w:r>
      <w:r w:rsidR="00A8227E">
        <w:rPr>
          <w:rFonts w:hint="cs"/>
          <w:rtl/>
        </w:rPr>
        <w:t>فرقة</w:t>
      </w:r>
      <w:r w:rsidRPr="00B62797">
        <w:rPr>
          <w:rtl/>
        </w:rPr>
        <w:t xml:space="preserve"> العمل من</w:t>
      </w:r>
      <w:r w:rsidR="00A8227E">
        <w:rPr>
          <w:rFonts w:hint="cs"/>
          <w:rtl/>
        </w:rPr>
        <w:t xml:space="preserve"> إعداد</w:t>
      </w:r>
      <w:r w:rsidRPr="00B62797">
        <w:rPr>
          <w:rtl/>
        </w:rPr>
        <w:t xml:space="preserve"> </w:t>
      </w:r>
      <w:r w:rsidR="00B90C9C">
        <w:rPr>
          <w:rFonts w:hint="cs"/>
          <w:rtl/>
        </w:rPr>
        <w:t>مقترح نهائي</w:t>
      </w:r>
      <w:r w:rsidRPr="00B62797">
        <w:rPr>
          <w:rtl/>
        </w:rPr>
        <w:t xml:space="preserve"> </w:t>
      </w:r>
      <w:r w:rsidR="005E68B2">
        <w:rPr>
          <w:rFonts w:hint="cs"/>
          <w:rtl/>
        </w:rPr>
        <w:t>ل</w:t>
      </w:r>
      <w:r w:rsidRPr="00B62797">
        <w:rPr>
          <w:rtl/>
        </w:rPr>
        <w:t xml:space="preserve">مجموعة من المبادئ التوجيهية بشأن عملية </w:t>
      </w:r>
      <w:r w:rsidR="00A8227E">
        <w:rPr>
          <w:rFonts w:hint="cs"/>
          <w:rtl/>
        </w:rPr>
        <w:t>تنقية</w:t>
      </w:r>
      <w:r w:rsidRPr="00B62797">
        <w:rPr>
          <w:rtl/>
        </w:rPr>
        <w:t xml:space="preserve"> بيانات الأسماء</w:t>
      </w:r>
      <w:r w:rsidR="004E166B">
        <w:rPr>
          <w:rtl/>
        </w:rPr>
        <w:t>.</w:t>
      </w:r>
    </w:p>
    <w:p w14:paraId="3016E05C" w14:textId="77777777" w:rsidR="004E166B" w:rsidRPr="00AF7026" w:rsidRDefault="004E166B" w:rsidP="004E166B">
      <w:pPr>
        <w:pStyle w:val="Heading2"/>
        <w:rPr>
          <w:rFonts w:eastAsia="Malgun Gothic"/>
          <w:szCs w:val="22"/>
          <w:rtl/>
        </w:rPr>
      </w:pPr>
      <w:r w:rsidRPr="00AF7026">
        <w:rPr>
          <w:rtl/>
        </w:rPr>
        <w:t>معلومات أساسية</w:t>
      </w:r>
    </w:p>
    <w:p w14:paraId="78A9FD0A" w14:textId="77777777" w:rsidR="004E166B" w:rsidRPr="005A4C02" w:rsidRDefault="000A50FF" w:rsidP="004E166B">
      <w:pPr>
        <w:pStyle w:val="ONUMA"/>
        <w:rPr>
          <w:rtl/>
        </w:rPr>
      </w:pPr>
      <w:r w:rsidRPr="000A50FF">
        <w:rPr>
          <w:rtl/>
        </w:rPr>
        <w:t xml:space="preserve">أُنشئت فرقة العمل المعنية بتوحيد الأسماء، والتي شارك في </w:t>
      </w:r>
      <w:r>
        <w:rPr>
          <w:rFonts w:hint="cs"/>
          <w:rtl/>
        </w:rPr>
        <w:t>الإشراف عليها</w:t>
      </w:r>
      <w:r w:rsidRPr="000A50FF">
        <w:rPr>
          <w:rtl/>
        </w:rPr>
        <w:t xml:space="preserve"> المكتب الكوري للملكية الفكرية والمكتب الدولي، في </w:t>
      </w:r>
      <w:r>
        <w:rPr>
          <w:rFonts w:hint="cs"/>
          <w:rtl/>
        </w:rPr>
        <w:t>الدورة</w:t>
      </w:r>
      <w:r w:rsidRPr="000A50FF">
        <w:rPr>
          <w:rtl/>
        </w:rPr>
        <w:t xml:space="preserve"> الخامسة للجنة المعنية بمعايير الويبو (</w:t>
      </w:r>
      <w:r>
        <w:rPr>
          <w:rFonts w:hint="cs"/>
          <w:rtl/>
        </w:rPr>
        <w:t>لجنة المعايير</w:t>
      </w:r>
      <w:r w:rsidRPr="000A50FF">
        <w:rPr>
          <w:rtl/>
        </w:rPr>
        <w:t xml:space="preserve">)، المنعقدة في عام 2017، وتم تكليفها بالمهمة رقم 55، </w:t>
      </w:r>
      <w:r w:rsidR="00285996">
        <w:rPr>
          <w:rFonts w:hint="cs"/>
          <w:rtl/>
        </w:rPr>
        <w:t>وتنص على</w:t>
      </w:r>
      <w:r>
        <w:rPr>
          <w:rFonts w:hint="cs"/>
          <w:rtl/>
        </w:rPr>
        <w:t xml:space="preserve"> ما </w:t>
      </w:r>
      <w:r w:rsidRPr="000A50FF">
        <w:rPr>
          <w:rtl/>
        </w:rPr>
        <w:t>يلي</w:t>
      </w:r>
      <w:r w:rsidR="004E166B">
        <w:rPr>
          <w:rtl/>
        </w:rPr>
        <w:t>:</w:t>
      </w:r>
    </w:p>
    <w:p w14:paraId="2C5D5DBF" w14:textId="77777777" w:rsidR="004A7991" w:rsidRPr="004A7991" w:rsidRDefault="004E166B" w:rsidP="004A7991">
      <w:pPr>
        <w:pStyle w:val="ONUMFS"/>
        <w:numPr>
          <w:ilvl w:val="0"/>
          <w:numId w:val="0"/>
        </w:numPr>
        <w:ind w:left="567"/>
        <w:rPr>
          <w:i/>
          <w:iCs/>
          <w:rtl/>
        </w:rPr>
      </w:pPr>
      <w:r w:rsidRPr="001D556C">
        <w:rPr>
          <w:i/>
          <w:iCs/>
          <w:rtl/>
        </w:rPr>
        <w:t>"</w:t>
      </w:r>
      <w:r w:rsidR="004A7991" w:rsidRPr="004A7991">
        <w:rPr>
          <w:i/>
          <w:iCs/>
          <w:rtl/>
        </w:rPr>
        <w:t>القيام بما يلي بنية وضع معيار للويبو يساعد مكاتب الملكية الصناعية على تحسين "الجودة في المنبع" فيما يتعلق بأسماء المودعين:</w:t>
      </w:r>
    </w:p>
    <w:p w14:paraId="14E23EA2" w14:textId="77777777" w:rsidR="004A7991" w:rsidRPr="004A7991" w:rsidRDefault="004A7991" w:rsidP="004A7991">
      <w:pPr>
        <w:pStyle w:val="ONUMFS"/>
        <w:ind w:left="567"/>
        <w:rPr>
          <w:i/>
          <w:iCs/>
          <w:rtl/>
        </w:rPr>
      </w:pPr>
      <w:r>
        <w:rPr>
          <w:rFonts w:hint="cs"/>
          <w:i/>
          <w:iCs/>
          <w:rtl/>
        </w:rPr>
        <w:t>"</w:t>
      </w:r>
      <w:r w:rsidRPr="004A7991">
        <w:rPr>
          <w:i/>
          <w:iCs/>
          <w:rtl/>
        </w:rPr>
        <w:t>1" إجراء دراسة استقصائية بشأن استخدام مكاتب الملكية الصناعية لأدوات تعريف المُودعين وبشأن المشكلات التي قد ترتبط بذلك،</w:t>
      </w:r>
    </w:p>
    <w:p w14:paraId="468982F3" w14:textId="77777777" w:rsidR="004E166B" w:rsidRPr="001D556C" w:rsidRDefault="004A7991" w:rsidP="004A7991">
      <w:pPr>
        <w:pStyle w:val="ONUMFS"/>
        <w:numPr>
          <w:ilvl w:val="0"/>
          <w:numId w:val="0"/>
        </w:numPr>
        <w:ind w:left="567"/>
        <w:rPr>
          <w:i/>
          <w:iCs/>
          <w:rtl/>
        </w:rPr>
      </w:pPr>
      <w:r w:rsidRPr="004A7991">
        <w:rPr>
          <w:i/>
          <w:iCs/>
          <w:rtl/>
        </w:rPr>
        <w:t>"2" وإعداد اقتراح بشأن الإجراءات المستقبلية الرامية إلى توحيد أسماء المودعين في وثائق الملكية الصناعية وعرضه على اللجنة المعنية بمعايير الويبو للنظر فيه.</w:t>
      </w:r>
      <w:r w:rsidR="004E166B" w:rsidRPr="001D556C">
        <w:rPr>
          <w:i/>
          <w:iCs/>
          <w:rtl/>
        </w:rPr>
        <w:t xml:space="preserve">" </w:t>
      </w:r>
    </w:p>
    <w:p w14:paraId="247183AA" w14:textId="77777777" w:rsidR="002400CB" w:rsidRDefault="004A7991" w:rsidP="002400CB">
      <w:pPr>
        <w:pStyle w:val="ONUMA"/>
      </w:pPr>
      <w:r w:rsidRPr="004A7991">
        <w:rPr>
          <w:rtl/>
        </w:rPr>
        <w:t xml:space="preserve">وأحاطت لجنة المعايير </w:t>
      </w:r>
      <w:r>
        <w:rPr>
          <w:rFonts w:hint="cs"/>
          <w:rtl/>
        </w:rPr>
        <w:t>في دورتها السابعة المنعقدة في 2019</w:t>
      </w:r>
      <w:r w:rsidRPr="004A7991">
        <w:rPr>
          <w:rtl/>
        </w:rPr>
        <w:t xml:space="preserve">علما بأن الأمانة قد عممت </w:t>
      </w:r>
      <w:r>
        <w:rPr>
          <w:rFonts w:hint="cs"/>
          <w:rtl/>
        </w:rPr>
        <w:t>دراسة استقصائية</w:t>
      </w:r>
      <w:r w:rsidRPr="004A7991">
        <w:rPr>
          <w:rtl/>
        </w:rPr>
        <w:t xml:space="preserve"> بشأن استخدام مكاتب الملكية الفكرية لأدوات تعريف المودعين في نوفمبر 2018، على النحو المتفق عليه في الدورة السادسة للجنة المعايير</w:t>
      </w:r>
      <w:r w:rsidR="004E166B" w:rsidRPr="005A4C02">
        <w:t>.</w:t>
      </w:r>
      <w:r>
        <w:rPr>
          <w:rFonts w:hint="cs"/>
          <w:rtl/>
        </w:rPr>
        <w:t xml:space="preserve"> ومنذ</w:t>
      </w:r>
      <w:r w:rsidRPr="004A7991">
        <w:rPr>
          <w:rtl/>
        </w:rPr>
        <w:t xml:space="preserve"> استكمال </w:t>
      </w:r>
      <w:r>
        <w:rPr>
          <w:rFonts w:hint="cs"/>
          <w:rtl/>
        </w:rPr>
        <w:t>الدراسة الاستقصائية</w:t>
      </w:r>
      <w:r w:rsidRPr="004A7991">
        <w:rPr>
          <w:rtl/>
        </w:rPr>
        <w:t xml:space="preserve"> بشأن استخدام أدوات تعريف المودعين، اقترحت فرقة العمل تنقيح وصف المهمة رقم 55 بإزالة </w:t>
      </w:r>
      <w:r w:rsidRPr="004A7991">
        <w:rPr>
          <w:rtl/>
        </w:rPr>
        <w:lastRenderedPageBreak/>
        <w:t xml:space="preserve">الصياغة </w:t>
      </w:r>
      <w:r>
        <w:rPr>
          <w:rFonts w:hint="cs"/>
          <w:rtl/>
        </w:rPr>
        <w:t>التي تشير إلى تلك</w:t>
      </w:r>
      <w:r w:rsidRPr="004A7991">
        <w:rPr>
          <w:rtl/>
        </w:rPr>
        <w:t xml:space="preserve"> </w:t>
      </w:r>
      <w:r>
        <w:rPr>
          <w:rFonts w:hint="cs"/>
          <w:rtl/>
        </w:rPr>
        <w:t>الدراسة الاستقصائية</w:t>
      </w:r>
      <w:r w:rsidRPr="004A7991">
        <w:rPr>
          <w:rtl/>
        </w:rPr>
        <w:t>.</w:t>
      </w:r>
      <w:r w:rsidR="000757E6">
        <w:rPr>
          <w:rFonts w:hint="cs"/>
          <w:rtl/>
        </w:rPr>
        <w:t xml:space="preserve"> </w:t>
      </w:r>
      <w:r w:rsidR="000757E6" w:rsidRPr="000757E6">
        <w:rPr>
          <w:rtl/>
        </w:rPr>
        <w:t>ووافقت لجنة المعايير على الوصف المنقح للمهمة رقم 55، الذي أصبح نصه الآن كما يلي:</w:t>
      </w:r>
    </w:p>
    <w:p w14:paraId="31D4CD00" w14:textId="77777777" w:rsidR="002400CB" w:rsidRPr="002400CB" w:rsidRDefault="002400CB" w:rsidP="002400CB">
      <w:pPr>
        <w:pStyle w:val="ONUMFS"/>
        <w:numPr>
          <w:ilvl w:val="0"/>
          <w:numId w:val="0"/>
        </w:numPr>
        <w:ind w:left="567"/>
        <w:rPr>
          <w:i/>
          <w:iCs/>
          <w:rtl/>
        </w:rPr>
      </w:pPr>
      <w:r w:rsidRPr="002400CB">
        <w:rPr>
          <w:i/>
          <w:iCs/>
          <w:rtl/>
        </w:rPr>
        <w:t xml:space="preserve">"الاعتزام بوضع معيار للويبو يساعد مكاتب الملكية الصناعية على تحسين" الجودة في المنبع" فيما يتعلق بأسماء المودعين؛ وإعداد مقترح بالإجراءات المستقبلية الرامية إلى توحيد أسماء المودعين في وثائق الملكية الصناعية وعرضه على اللجنة المعنية بمعايير الويبو للنظر فيه." </w:t>
      </w:r>
    </w:p>
    <w:p w14:paraId="4BC95456" w14:textId="77777777" w:rsidR="002400CB" w:rsidRPr="005A4C02" w:rsidRDefault="002400CB" w:rsidP="002400CB">
      <w:pPr>
        <w:pStyle w:val="ONUMA"/>
        <w:numPr>
          <w:ilvl w:val="0"/>
          <w:numId w:val="0"/>
        </w:numPr>
        <w:ind w:firstLine="567"/>
        <w:rPr>
          <w:rtl/>
        </w:rPr>
      </w:pPr>
      <w:r>
        <w:rPr>
          <w:rtl/>
        </w:rPr>
        <w:t xml:space="preserve">(انظر </w:t>
      </w:r>
      <w:r>
        <w:rPr>
          <w:rFonts w:hint="cs"/>
          <w:rtl/>
        </w:rPr>
        <w:t xml:space="preserve">الفقرات من 72 إلى 79 من </w:t>
      </w:r>
      <w:r>
        <w:rPr>
          <w:rtl/>
        </w:rPr>
        <w:t>الوثيق</w:t>
      </w:r>
      <w:r>
        <w:rPr>
          <w:rFonts w:hint="cs"/>
          <w:rtl/>
        </w:rPr>
        <w:t>ة</w:t>
      </w:r>
      <w:r>
        <w:rPr>
          <w:rtl/>
        </w:rPr>
        <w:t xml:space="preserve"> </w:t>
      </w:r>
      <w:r w:rsidRPr="002400CB">
        <w:t>CWS/7/29</w:t>
      </w:r>
      <w:r>
        <w:rPr>
          <w:rtl/>
        </w:rPr>
        <w:t>)</w:t>
      </w:r>
    </w:p>
    <w:p w14:paraId="05B55132" w14:textId="77777777" w:rsidR="00E93AAF" w:rsidRPr="00E93AAF" w:rsidRDefault="00E93AAF" w:rsidP="00E93AAF">
      <w:pPr>
        <w:pStyle w:val="ONUMA"/>
      </w:pPr>
      <w:r>
        <w:rPr>
          <w:rFonts w:hint="cs"/>
          <w:rtl/>
        </w:rPr>
        <w:t>و</w:t>
      </w:r>
      <w:r w:rsidRPr="00E93AAF">
        <w:rPr>
          <w:rtl/>
        </w:rPr>
        <w:t xml:space="preserve">طلبت لجنة المعايير في دورتها الثامنة في عام 2020 من فرقة العمل إعداد </w:t>
      </w:r>
      <w:r>
        <w:rPr>
          <w:rFonts w:hint="cs"/>
          <w:rtl/>
        </w:rPr>
        <w:t xml:space="preserve">مقترح </w:t>
      </w:r>
      <w:r w:rsidRPr="00E93AAF">
        <w:rPr>
          <w:rtl/>
        </w:rPr>
        <w:t xml:space="preserve">توصيات لتحسين جودة بيانات </w:t>
      </w:r>
      <w:r>
        <w:rPr>
          <w:rFonts w:hint="cs"/>
          <w:rtl/>
        </w:rPr>
        <w:t>المودعين</w:t>
      </w:r>
      <w:r w:rsidRPr="00E93AAF">
        <w:rPr>
          <w:rtl/>
        </w:rPr>
        <w:t xml:space="preserve"> لدعم توحيد الأسماء في الدورة التاسعة للجنة المعايير.</w:t>
      </w:r>
    </w:p>
    <w:p w14:paraId="17F89880" w14:textId="77777777" w:rsidR="00E93AAF" w:rsidRPr="00E93AAF" w:rsidRDefault="00E93AAF" w:rsidP="00E93AAF">
      <w:pPr>
        <w:pStyle w:val="ONUMA"/>
      </w:pPr>
      <w:r>
        <w:rPr>
          <w:rFonts w:hint="cs"/>
          <w:rtl/>
        </w:rPr>
        <w:t>وأحاطت</w:t>
      </w:r>
      <w:r w:rsidRPr="00E93AAF">
        <w:rPr>
          <w:rtl/>
        </w:rPr>
        <w:t xml:space="preserve"> لجنة المعايير في دورتها التاسعة في عام 2021</w:t>
      </w:r>
      <w:r>
        <w:rPr>
          <w:rFonts w:hint="cs"/>
          <w:rtl/>
        </w:rPr>
        <w:t xml:space="preserve"> علما ب</w:t>
      </w:r>
      <w:r w:rsidRPr="00E93AAF">
        <w:rPr>
          <w:rtl/>
        </w:rPr>
        <w:t xml:space="preserve">خطة </w:t>
      </w:r>
      <w:r>
        <w:rPr>
          <w:rFonts w:hint="cs"/>
          <w:rtl/>
        </w:rPr>
        <w:t>فرقة</w:t>
      </w:r>
      <w:r w:rsidRPr="00E93AAF">
        <w:rPr>
          <w:rtl/>
        </w:rPr>
        <w:t xml:space="preserve"> العمل لمواصلة </w:t>
      </w:r>
      <w:r>
        <w:rPr>
          <w:rFonts w:hint="cs"/>
          <w:rtl/>
        </w:rPr>
        <w:t>تجميع</w:t>
      </w:r>
      <w:r w:rsidRPr="00E93AAF">
        <w:rPr>
          <w:rtl/>
        </w:rPr>
        <w:t xml:space="preserve"> ممارسات </w:t>
      </w:r>
      <w:r>
        <w:rPr>
          <w:rFonts w:hint="cs"/>
          <w:rtl/>
        </w:rPr>
        <w:t>تنقية</w:t>
      </w:r>
      <w:r w:rsidRPr="00E93AAF">
        <w:rPr>
          <w:rtl/>
        </w:rPr>
        <w:t xml:space="preserve"> البيانات من أعضاء </w:t>
      </w:r>
      <w:r>
        <w:rPr>
          <w:rFonts w:hint="cs"/>
          <w:rtl/>
        </w:rPr>
        <w:t>فرقة</w:t>
      </w:r>
      <w:r w:rsidRPr="00E93AAF">
        <w:rPr>
          <w:rtl/>
        </w:rPr>
        <w:t xml:space="preserve"> العمل في عام 2022 وإعداد توصيات للدورة </w:t>
      </w:r>
      <w:r w:rsidR="00432CC0">
        <w:rPr>
          <w:rFonts w:hint="cs"/>
          <w:rtl/>
        </w:rPr>
        <w:t>المقبلة</w:t>
      </w:r>
      <w:r w:rsidRPr="00E93AAF">
        <w:rPr>
          <w:rtl/>
        </w:rPr>
        <w:t xml:space="preserve"> للجنة المعايير.</w:t>
      </w:r>
    </w:p>
    <w:p w14:paraId="36FF15DB" w14:textId="77777777" w:rsidR="004E166B" w:rsidRPr="005A4C02" w:rsidRDefault="009B093D" w:rsidP="00E93AAF">
      <w:pPr>
        <w:pStyle w:val="ONUMA"/>
      </w:pPr>
      <w:r w:rsidRPr="009B093D">
        <w:rPr>
          <w:rtl/>
        </w:rPr>
        <w:t xml:space="preserve">وأحاطت لجنة المعايير </w:t>
      </w:r>
      <w:r w:rsidR="00E93AAF" w:rsidRPr="00E93AAF">
        <w:rPr>
          <w:rtl/>
        </w:rPr>
        <w:t>في دورتها العاشرة في عام 2022</w:t>
      </w:r>
      <w:r w:rsidR="007021B3">
        <w:rPr>
          <w:rFonts w:hint="cs"/>
          <w:rtl/>
        </w:rPr>
        <w:t xml:space="preserve"> علما ب</w:t>
      </w:r>
      <w:r w:rsidR="00E93AAF" w:rsidRPr="00E93AAF">
        <w:rPr>
          <w:rtl/>
        </w:rPr>
        <w:t xml:space="preserve">التقدم الذي أحرزته فرقة العمل المعنية بتوحيد الأسماء. وعلى وجه الخصوص، أبلغت فرقة العمل عن التقدم الذي أحرزته في صياغة التوصيات بشأن </w:t>
      </w:r>
      <w:r w:rsidR="007021B3">
        <w:rPr>
          <w:rFonts w:hint="cs"/>
          <w:rtl/>
        </w:rPr>
        <w:t>تنقية</w:t>
      </w:r>
      <w:r w:rsidR="00E93AAF" w:rsidRPr="00E93AAF">
        <w:rPr>
          <w:rtl/>
        </w:rPr>
        <w:t xml:space="preserve"> البيانات </w:t>
      </w:r>
      <w:r w:rsidR="008A1342">
        <w:rPr>
          <w:rFonts w:hint="cs"/>
          <w:rtl/>
        </w:rPr>
        <w:t>لتقييس</w:t>
      </w:r>
      <w:r w:rsidR="00E93AAF" w:rsidRPr="00E93AAF">
        <w:rPr>
          <w:rtl/>
        </w:rPr>
        <w:t xml:space="preserve"> الأسماء، دعما لتوحيد الأسماء. </w:t>
      </w:r>
      <w:r w:rsidR="008A1342">
        <w:rPr>
          <w:rFonts w:hint="cs"/>
          <w:rtl/>
        </w:rPr>
        <w:t>و</w:t>
      </w:r>
      <w:r w:rsidR="00E93AAF" w:rsidRPr="00E93AAF">
        <w:rPr>
          <w:rtl/>
        </w:rPr>
        <w:t xml:space="preserve">كانت مسودة التوصيات، التي تغطي الاعتبارات العامة المتعلقة بتلقي بيانات </w:t>
      </w:r>
      <w:r w:rsidR="008A1342">
        <w:rPr>
          <w:rFonts w:hint="cs"/>
          <w:rtl/>
        </w:rPr>
        <w:t xml:space="preserve">تلك </w:t>
      </w:r>
      <w:r w:rsidR="00E93AAF" w:rsidRPr="00E93AAF">
        <w:rPr>
          <w:rtl/>
        </w:rPr>
        <w:t xml:space="preserve">الأسماء </w:t>
      </w:r>
      <w:r w:rsidR="008A1342">
        <w:rPr>
          <w:rFonts w:hint="cs"/>
          <w:rtl/>
        </w:rPr>
        <w:t xml:space="preserve">بعد </w:t>
      </w:r>
      <w:r w:rsidR="00E93AAF" w:rsidRPr="00E93AAF">
        <w:rPr>
          <w:rtl/>
        </w:rPr>
        <w:t xml:space="preserve">معالجتها </w:t>
      </w:r>
      <w:r w:rsidR="008A1342">
        <w:rPr>
          <w:rFonts w:hint="cs"/>
          <w:rtl/>
        </w:rPr>
        <w:t>وتنقيتها ثم</w:t>
      </w:r>
      <w:r w:rsidR="00E93AAF" w:rsidRPr="00E93AAF">
        <w:rPr>
          <w:rtl/>
        </w:rPr>
        <w:t xml:space="preserve"> نشرها، في مرحلة مبكرة جدًا ولم تتوصل</w:t>
      </w:r>
      <w:r w:rsidR="008A1342">
        <w:rPr>
          <w:rFonts w:hint="cs"/>
          <w:rtl/>
        </w:rPr>
        <w:t xml:space="preserve"> فرقة العمل</w:t>
      </w:r>
      <w:r w:rsidR="00E93AAF" w:rsidRPr="00E93AAF">
        <w:rPr>
          <w:rtl/>
        </w:rPr>
        <w:t xml:space="preserve"> إلى إجماع </w:t>
      </w:r>
      <w:r w:rsidR="008A1342">
        <w:rPr>
          <w:rFonts w:hint="cs"/>
          <w:rtl/>
        </w:rPr>
        <w:t>بشأنها</w:t>
      </w:r>
      <w:r w:rsidR="00E93AAF" w:rsidRPr="00E93AAF">
        <w:rPr>
          <w:rtl/>
        </w:rPr>
        <w:t xml:space="preserve">. وبدلاً من ذلك، </w:t>
      </w:r>
      <w:r w:rsidR="008A1342">
        <w:rPr>
          <w:rFonts w:hint="cs"/>
          <w:rtl/>
        </w:rPr>
        <w:t>قُدمت</w:t>
      </w:r>
      <w:r w:rsidR="00E93AAF" w:rsidRPr="00E93AAF">
        <w:rPr>
          <w:rtl/>
        </w:rPr>
        <w:t xml:space="preserve"> إلى لجنة المعايير لأغراض </w:t>
      </w:r>
      <w:r w:rsidR="008A1342">
        <w:rPr>
          <w:rFonts w:hint="cs"/>
          <w:rtl/>
        </w:rPr>
        <w:t xml:space="preserve">الإعلام وإبداء </w:t>
      </w:r>
      <w:r w:rsidR="00E93AAF" w:rsidRPr="00E93AAF">
        <w:rPr>
          <w:rtl/>
        </w:rPr>
        <w:t>التعليقات</w:t>
      </w:r>
      <w:r w:rsidR="008A1342">
        <w:rPr>
          <w:rFonts w:hint="cs"/>
          <w:rtl/>
        </w:rPr>
        <w:t xml:space="preserve"> عليها</w:t>
      </w:r>
      <w:r w:rsidR="00E93AAF" w:rsidRPr="00E93AAF">
        <w:rPr>
          <w:rtl/>
        </w:rPr>
        <w:t xml:space="preserve">. وأبلغت فرقة العمل عن خطط لتقديم توصيات إلى الدورة الحادية عشرة للجنة المعايير. (انظر الفقرات من 113 إلى 116 من الوثيقة </w:t>
      </w:r>
      <w:r w:rsidR="00E93AAF" w:rsidRPr="00E93AAF">
        <w:t>CWS/10/22</w:t>
      </w:r>
      <w:r w:rsidR="00E93AAF" w:rsidRPr="00E93AAF">
        <w:rPr>
          <w:rtl/>
        </w:rPr>
        <w:t>.)</w:t>
      </w:r>
    </w:p>
    <w:p w14:paraId="72F6449A" w14:textId="77777777" w:rsidR="004E166B" w:rsidRPr="005A4C02" w:rsidRDefault="00684A94" w:rsidP="004E166B">
      <w:pPr>
        <w:pStyle w:val="Heading2"/>
        <w:rPr>
          <w:rFonts w:eastAsia="Malgun Gothic"/>
          <w:szCs w:val="22"/>
          <w:rtl/>
        </w:rPr>
      </w:pPr>
      <w:r>
        <w:rPr>
          <w:rFonts w:hint="cs"/>
          <w:rtl/>
        </w:rPr>
        <w:t>التقدم المحرز في</w:t>
      </w:r>
      <w:r w:rsidR="004E166B" w:rsidRPr="005A4C02">
        <w:rPr>
          <w:rtl/>
        </w:rPr>
        <w:t xml:space="preserve"> المهمة رقم </w:t>
      </w:r>
      <w:r>
        <w:rPr>
          <w:rFonts w:hint="cs"/>
          <w:rtl/>
        </w:rPr>
        <w:t>55</w:t>
      </w:r>
    </w:p>
    <w:p w14:paraId="6CB2C42D" w14:textId="77777777" w:rsidR="004E166B" w:rsidRPr="004E166B" w:rsidRDefault="004E166B" w:rsidP="004E166B">
      <w:pPr>
        <w:pStyle w:val="Heading3"/>
        <w:rPr>
          <w:rtl/>
        </w:rPr>
      </w:pPr>
      <w:r w:rsidRPr="004E166B">
        <w:rPr>
          <w:rFonts w:hint="cs"/>
          <w:rtl/>
        </w:rPr>
        <w:t>الأهداف</w:t>
      </w:r>
    </w:p>
    <w:p w14:paraId="211CD27C" w14:textId="77777777" w:rsidR="004E166B" w:rsidRDefault="00B855E3" w:rsidP="00B855E3">
      <w:pPr>
        <w:pStyle w:val="ONUMA"/>
        <w:rPr>
          <w:rtl/>
        </w:rPr>
      </w:pPr>
      <w:r w:rsidRPr="00B855E3">
        <w:rPr>
          <w:rtl/>
        </w:rPr>
        <w:t xml:space="preserve">أشارت فرقة العمل المعنية بتوحيد الأسماء إلى أهدافها، على النحو المحدد في المهمة رقم 55، فيما يتعلق بتقديم توصيات تهدف إلى </w:t>
      </w:r>
      <w:r w:rsidR="00D227DD">
        <w:rPr>
          <w:rFonts w:hint="cs"/>
          <w:rtl/>
        </w:rPr>
        <w:t>التعبير عن</w:t>
      </w:r>
      <w:r w:rsidRPr="00B855E3">
        <w:rPr>
          <w:rtl/>
        </w:rPr>
        <w:t xml:space="preserve"> الممارسات العامة التي يمكن لمكاتب الملكية الفكرية تطبيقها لدعم </w:t>
      </w:r>
      <w:r w:rsidR="00D227DD">
        <w:rPr>
          <w:rFonts w:hint="cs"/>
          <w:rtl/>
        </w:rPr>
        <w:t xml:space="preserve">تنقية </w:t>
      </w:r>
      <w:r w:rsidRPr="00B855E3">
        <w:rPr>
          <w:rtl/>
        </w:rPr>
        <w:t xml:space="preserve">بيانات العملاء. وهذا بدوره يدعم </w:t>
      </w:r>
      <w:r w:rsidR="0045731B">
        <w:rPr>
          <w:rFonts w:hint="cs"/>
          <w:rtl/>
        </w:rPr>
        <w:t xml:space="preserve">استفادة </w:t>
      </w:r>
      <w:r w:rsidR="0045731B" w:rsidRPr="00B855E3">
        <w:rPr>
          <w:rtl/>
        </w:rPr>
        <w:t xml:space="preserve">المستخدمين النهائيين </w:t>
      </w:r>
      <w:r w:rsidR="0045731B">
        <w:rPr>
          <w:rFonts w:hint="cs"/>
          <w:rtl/>
        </w:rPr>
        <w:t>من</w:t>
      </w:r>
      <w:r w:rsidR="00ED0E62">
        <w:rPr>
          <w:rFonts w:hint="cs"/>
          <w:rtl/>
        </w:rPr>
        <w:t xml:space="preserve"> </w:t>
      </w:r>
      <w:r w:rsidR="00C61823">
        <w:rPr>
          <w:rFonts w:hint="cs"/>
          <w:rtl/>
        </w:rPr>
        <w:t xml:space="preserve">تقنيات </w:t>
      </w:r>
      <w:r w:rsidRPr="00B855E3">
        <w:rPr>
          <w:rtl/>
        </w:rPr>
        <w:t xml:space="preserve">توحيد الأسماء </w:t>
      </w:r>
      <w:r w:rsidR="00C61823">
        <w:rPr>
          <w:rFonts w:hint="cs"/>
          <w:rtl/>
        </w:rPr>
        <w:t>و</w:t>
      </w:r>
      <w:r w:rsidRPr="00B855E3">
        <w:rPr>
          <w:rtl/>
        </w:rPr>
        <w:t>مطابق</w:t>
      </w:r>
      <w:r w:rsidR="00C61823">
        <w:rPr>
          <w:rFonts w:hint="cs"/>
          <w:rtl/>
        </w:rPr>
        <w:t xml:space="preserve">تها </w:t>
      </w:r>
      <w:r w:rsidRPr="00B855E3">
        <w:rPr>
          <w:rtl/>
        </w:rPr>
        <w:t>بشكل أفضل.</w:t>
      </w:r>
    </w:p>
    <w:p w14:paraId="69C39452" w14:textId="77777777" w:rsidR="004E166B" w:rsidRPr="005A4C02" w:rsidRDefault="004E166B" w:rsidP="004E166B">
      <w:pPr>
        <w:pStyle w:val="Heading3"/>
        <w:rPr>
          <w:rtl/>
        </w:rPr>
      </w:pPr>
      <w:r w:rsidRPr="005A4C02">
        <w:rPr>
          <w:rtl/>
        </w:rPr>
        <w:t>الإجراءات ذات الصلة لعام 2023</w:t>
      </w:r>
    </w:p>
    <w:p w14:paraId="0F1DED40" w14:textId="77777777" w:rsidR="004E166B" w:rsidRPr="005A4C02" w:rsidRDefault="00B855E3" w:rsidP="004E166B">
      <w:pPr>
        <w:pStyle w:val="ONUMA"/>
        <w:rPr>
          <w:iCs/>
          <w:rtl/>
        </w:rPr>
      </w:pPr>
      <w:r w:rsidRPr="00B855E3">
        <w:rPr>
          <w:rtl/>
        </w:rPr>
        <w:t xml:space="preserve">خططت فرقة العمل المعنية بتوحيد الأسماء لوضع الصيغة النهائية </w:t>
      </w:r>
      <w:r w:rsidR="00AD5EC1">
        <w:rPr>
          <w:rFonts w:hint="cs"/>
          <w:rtl/>
        </w:rPr>
        <w:t>من ا</w:t>
      </w:r>
      <w:r w:rsidRPr="00B855E3">
        <w:rPr>
          <w:rtl/>
        </w:rPr>
        <w:t xml:space="preserve">لتوصيات على أساس </w:t>
      </w:r>
      <w:r w:rsidR="00AD5EC1">
        <w:rPr>
          <w:rFonts w:hint="cs"/>
          <w:rtl/>
        </w:rPr>
        <w:t>مسودة</w:t>
      </w:r>
      <w:r w:rsidRPr="00B855E3">
        <w:rPr>
          <w:rtl/>
        </w:rPr>
        <w:t xml:space="preserve"> العمل المقدم</w:t>
      </w:r>
      <w:r w:rsidR="00E76700">
        <w:rPr>
          <w:rFonts w:hint="cs"/>
          <w:rtl/>
        </w:rPr>
        <w:t>ة</w:t>
      </w:r>
      <w:r w:rsidRPr="00B855E3">
        <w:rPr>
          <w:rtl/>
        </w:rPr>
        <w:t xml:space="preserve"> إلى الدورة العاشرة للجنة المعايير. </w:t>
      </w:r>
      <w:r w:rsidR="00AD5EC1">
        <w:rPr>
          <w:rFonts w:hint="cs"/>
          <w:rtl/>
        </w:rPr>
        <w:t>و</w:t>
      </w:r>
      <w:r w:rsidRPr="00B855E3">
        <w:rPr>
          <w:rtl/>
        </w:rPr>
        <w:t>ناقش</w:t>
      </w:r>
      <w:r w:rsidR="002D25D9">
        <w:rPr>
          <w:rFonts w:hint="cs"/>
          <w:rtl/>
        </w:rPr>
        <w:t>ت</w:t>
      </w:r>
      <w:r w:rsidRPr="00B855E3">
        <w:rPr>
          <w:rtl/>
        </w:rPr>
        <w:t xml:space="preserve"> </w:t>
      </w:r>
      <w:r w:rsidR="00AD5EC1">
        <w:rPr>
          <w:rFonts w:hint="cs"/>
          <w:rtl/>
        </w:rPr>
        <w:t>فرقة</w:t>
      </w:r>
      <w:r w:rsidRPr="00B855E3">
        <w:rPr>
          <w:rtl/>
        </w:rPr>
        <w:t xml:space="preserve"> العمل هذا الأمر من خلال </w:t>
      </w:r>
      <w:r w:rsidR="007F262E">
        <w:rPr>
          <w:rFonts w:hint="cs"/>
          <w:rtl/>
        </w:rPr>
        <w:t>صفحة الويكي</w:t>
      </w:r>
      <w:r w:rsidRPr="00B855E3">
        <w:rPr>
          <w:rtl/>
        </w:rPr>
        <w:t xml:space="preserve"> الخاصة به</w:t>
      </w:r>
      <w:r w:rsidR="007F262E">
        <w:rPr>
          <w:rFonts w:hint="cs"/>
          <w:rtl/>
        </w:rPr>
        <w:t>ا</w:t>
      </w:r>
      <w:r w:rsidRPr="00B855E3">
        <w:rPr>
          <w:rtl/>
        </w:rPr>
        <w:t xml:space="preserve"> واجتمع</w:t>
      </w:r>
      <w:r w:rsidR="007F262E">
        <w:rPr>
          <w:rFonts w:hint="cs"/>
          <w:rtl/>
        </w:rPr>
        <w:t>ت</w:t>
      </w:r>
      <w:r w:rsidRPr="00B855E3">
        <w:rPr>
          <w:rtl/>
        </w:rPr>
        <w:t xml:space="preserve"> افتراضيًا في سبتمبر 2023.</w:t>
      </w:r>
    </w:p>
    <w:p w14:paraId="0A237377" w14:textId="77777777" w:rsidR="004E166B" w:rsidRPr="005A4C02" w:rsidRDefault="004E166B" w:rsidP="004E166B">
      <w:pPr>
        <w:pStyle w:val="Heading3"/>
        <w:rPr>
          <w:rtl/>
        </w:rPr>
      </w:pPr>
      <w:r w:rsidRPr="005A4C02">
        <w:rPr>
          <w:rtl/>
        </w:rPr>
        <w:t>التحديات أو التبعيات المحتملة</w:t>
      </w:r>
    </w:p>
    <w:p w14:paraId="0D114D16" w14:textId="77777777" w:rsidR="004E166B" w:rsidRPr="005A4C02" w:rsidRDefault="00C97B82" w:rsidP="004E166B">
      <w:pPr>
        <w:pStyle w:val="ONUMA"/>
        <w:rPr>
          <w:iCs/>
          <w:rtl/>
        </w:rPr>
      </w:pPr>
      <w:r w:rsidRPr="00C97B82">
        <w:rPr>
          <w:rtl/>
        </w:rPr>
        <w:t xml:space="preserve">حددت فرقة العمل التحدي الرئيسي الذي </w:t>
      </w:r>
      <w:r w:rsidR="002D25D9">
        <w:rPr>
          <w:rFonts w:hint="cs"/>
          <w:rtl/>
        </w:rPr>
        <w:t>سيعيق قيامها بهذا العمل</w:t>
      </w:r>
      <w:r w:rsidRPr="00C97B82">
        <w:rPr>
          <w:rtl/>
        </w:rPr>
        <w:t xml:space="preserve">، وهو </w:t>
      </w:r>
      <w:r w:rsidR="00EE793C">
        <w:rPr>
          <w:rFonts w:hint="cs"/>
          <w:rtl/>
        </w:rPr>
        <w:t xml:space="preserve">محدودية </w:t>
      </w:r>
      <w:r w:rsidRPr="00C97B82">
        <w:rPr>
          <w:rtl/>
        </w:rPr>
        <w:t xml:space="preserve">مشاركة أعضاء فرقة العمل في </w:t>
      </w:r>
      <w:r w:rsidR="00EE793C">
        <w:rPr>
          <w:rFonts w:hint="cs"/>
          <w:rtl/>
        </w:rPr>
        <w:t>استعراض</w:t>
      </w:r>
      <w:r w:rsidRPr="00C97B82">
        <w:rPr>
          <w:rtl/>
        </w:rPr>
        <w:t xml:space="preserve"> وتحسين مسودة الوثيقة. ويمكن أن يكون </w:t>
      </w:r>
      <w:r w:rsidR="00EE793C">
        <w:rPr>
          <w:rFonts w:hint="cs"/>
          <w:rtl/>
        </w:rPr>
        <w:t>مقترح</w:t>
      </w:r>
      <w:r w:rsidRPr="00C97B82">
        <w:rPr>
          <w:rtl/>
        </w:rPr>
        <w:t xml:space="preserve"> مجموعة المبادئ التوجيهية </w:t>
      </w:r>
      <w:r w:rsidR="00EE793C">
        <w:rPr>
          <w:rFonts w:hint="cs"/>
          <w:rtl/>
        </w:rPr>
        <w:t>لتنقية</w:t>
      </w:r>
      <w:r w:rsidRPr="00C97B82">
        <w:rPr>
          <w:rtl/>
        </w:rPr>
        <w:t xml:space="preserve"> بيانات الأسماء أكثر شمولا إذا أجرت فرقة العمل مناقشة تفاعلية أكثر.</w:t>
      </w:r>
    </w:p>
    <w:p w14:paraId="6BC708F3" w14:textId="77777777" w:rsidR="004E166B" w:rsidRPr="005A4C02" w:rsidRDefault="004E166B" w:rsidP="004E166B">
      <w:pPr>
        <w:pStyle w:val="Heading3"/>
        <w:rPr>
          <w:rtl/>
        </w:rPr>
      </w:pPr>
      <w:r w:rsidRPr="005A4C02">
        <w:rPr>
          <w:rtl/>
        </w:rPr>
        <w:t>تقييم التقدم</w:t>
      </w:r>
    </w:p>
    <w:p w14:paraId="4DAF48D0" w14:textId="77777777" w:rsidR="004E166B" w:rsidRPr="005A4C02" w:rsidRDefault="00C97B82" w:rsidP="004E166B">
      <w:pPr>
        <w:pStyle w:val="ONUMA"/>
        <w:rPr>
          <w:iCs/>
          <w:rtl/>
        </w:rPr>
      </w:pPr>
      <w:r w:rsidRPr="00C97B82">
        <w:rPr>
          <w:rtl/>
        </w:rPr>
        <w:t xml:space="preserve">أعدت فرقة العمل </w:t>
      </w:r>
      <w:r w:rsidR="00E76700">
        <w:rPr>
          <w:rFonts w:hint="cs"/>
          <w:rtl/>
        </w:rPr>
        <w:t>المقترح</w:t>
      </w:r>
      <w:r w:rsidRPr="00C97B82">
        <w:rPr>
          <w:rtl/>
        </w:rPr>
        <w:t xml:space="preserve"> النهائي استنادا إلى </w:t>
      </w:r>
      <w:r w:rsidR="00E76700">
        <w:rPr>
          <w:rFonts w:hint="cs"/>
          <w:rtl/>
        </w:rPr>
        <w:t>مسودة</w:t>
      </w:r>
      <w:r w:rsidRPr="00C97B82">
        <w:rPr>
          <w:rtl/>
        </w:rPr>
        <w:t xml:space="preserve"> العمل المقدم</w:t>
      </w:r>
      <w:r w:rsidR="00E76700">
        <w:rPr>
          <w:rFonts w:hint="cs"/>
          <w:rtl/>
        </w:rPr>
        <w:t>ة</w:t>
      </w:r>
      <w:r w:rsidRPr="00C97B82">
        <w:rPr>
          <w:rtl/>
        </w:rPr>
        <w:t xml:space="preserve"> إلى الدورة العاشرة للجنة المعايير (انظر الوثيقة </w:t>
      </w:r>
      <w:r w:rsidRPr="00C97B82">
        <w:t>CWS/10/17</w:t>
      </w:r>
      <w:r w:rsidRPr="00C97B82">
        <w:rPr>
          <w:rtl/>
        </w:rPr>
        <w:t xml:space="preserve">) وفي ضوء التعليقات التي قدمها أعضاء فرقة العمل على </w:t>
      </w:r>
      <w:r w:rsidR="00E76700">
        <w:rPr>
          <w:rFonts w:hint="cs"/>
          <w:rtl/>
        </w:rPr>
        <w:t>تلك المسودة</w:t>
      </w:r>
      <w:r w:rsidRPr="00C97B82">
        <w:rPr>
          <w:rtl/>
        </w:rPr>
        <w:t xml:space="preserve">. ويقدم </w:t>
      </w:r>
      <w:r w:rsidR="00907421">
        <w:rPr>
          <w:rFonts w:hint="cs"/>
          <w:rtl/>
        </w:rPr>
        <w:t>المقترح</w:t>
      </w:r>
      <w:r w:rsidRPr="00C97B82">
        <w:rPr>
          <w:rtl/>
        </w:rPr>
        <w:t xml:space="preserve"> النهائي إلى الدورة الحالية، في الوثيقة </w:t>
      </w:r>
      <w:r w:rsidRPr="00C97B82">
        <w:t>CWS/11/23</w:t>
      </w:r>
      <w:r w:rsidRPr="00C97B82">
        <w:rPr>
          <w:rtl/>
        </w:rPr>
        <w:t>، لتنظر فيه لجنة المعايير.</w:t>
      </w:r>
    </w:p>
    <w:p w14:paraId="58893B30" w14:textId="77777777" w:rsidR="00C97B82" w:rsidRDefault="00D43DB9" w:rsidP="00C97B82">
      <w:pPr>
        <w:pStyle w:val="ONUMA"/>
      </w:pPr>
      <w:r>
        <w:rPr>
          <w:rFonts w:hint="cs"/>
          <w:rtl/>
        </w:rPr>
        <w:t>وتقترح</w:t>
      </w:r>
      <w:r w:rsidR="00C97B82">
        <w:rPr>
          <w:rtl/>
        </w:rPr>
        <w:t xml:space="preserve"> </w:t>
      </w:r>
      <w:r>
        <w:rPr>
          <w:rFonts w:hint="cs"/>
          <w:rtl/>
        </w:rPr>
        <w:t>فرقة</w:t>
      </w:r>
      <w:r w:rsidR="00C97B82">
        <w:rPr>
          <w:rtl/>
        </w:rPr>
        <w:t xml:space="preserve"> العمل تعديل وصف المهمة رقم 55 </w:t>
      </w:r>
      <w:r w:rsidR="006A3B8C">
        <w:rPr>
          <w:rFonts w:hint="cs"/>
          <w:rtl/>
        </w:rPr>
        <w:t>ليصبح نصه</w:t>
      </w:r>
      <w:r w:rsidR="00C97B82">
        <w:rPr>
          <w:rtl/>
        </w:rPr>
        <w:t xml:space="preserve"> </w:t>
      </w:r>
      <w:r w:rsidR="006A3B8C">
        <w:rPr>
          <w:rFonts w:hint="cs"/>
          <w:rtl/>
        </w:rPr>
        <w:t>كما</w:t>
      </w:r>
      <w:r w:rsidR="00C97B82">
        <w:rPr>
          <w:rtl/>
        </w:rPr>
        <w:t xml:space="preserve"> </w:t>
      </w:r>
      <w:r w:rsidR="006A3B8C">
        <w:rPr>
          <w:rFonts w:hint="cs"/>
          <w:rtl/>
        </w:rPr>
        <w:t>يلي</w:t>
      </w:r>
      <w:r w:rsidR="00C97B82">
        <w:rPr>
          <w:rtl/>
        </w:rPr>
        <w:t>:</w:t>
      </w:r>
    </w:p>
    <w:p w14:paraId="23B0824C" w14:textId="77777777" w:rsidR="00C97B82" w:rsidRDefault="00C97B82" w:rsidP="001B342F">
      <w:pPr>
        <w:pStyle w:val="ONUMA"/>
        <w:numPr>
          <w:ilvl w:val="2"/>
          <w:numId w:val="38"/>
        </w:numPr>
        <w:ind w:left="850" w:hanging="284"/>
      </w:pPr>
      <w:r>
        <w:rPr>
          <w:rtl/>
        </w:rPr>
        <w:t>استبدال كلمة "صناعي" بكلمة "فكري" لضمان الاتساق مع أوصاف المهام الأخرى.</w:t>
      </w:r>
    </w:p>
    <w:p w14:paraId="458359A0" w14:textId="77777777" w:rsidR="00C97B82" w:rsidRDefault="00806D46" w:rsidP="001B342F">
      <w:pPr>
        <w:pStyle w:val="ONUMA"/>
        <w:numPr>
          <w:ilvl w:val="2"/>
          <w:numId w:val="38"/>
        </w:numPr>
        <w:ind w:left="850" w:hanging="284"/>
      </w:pPr>
      <w:r>
        <w:rPr>
          <w:rFonts w:hint="cs"/>
          <w:rtl/>
        </w:rPr>
        <w:t>و</w:t>
      </w:r>
      <w:r w:rsidR="00C92536">
        <w:rPr>
          <w:rFonts w:hint="cs"/>
          <w:rtl/>
        </w:rPr>
        <w:t>نقل</w:t>
      </w:r>
      <w:r w:rsidR="00C97B82">
        <w:rPr>
          <w:rtl/>
        </w:rPr>
        <w:t xml:space="preserve"> الهدف </w:t>
      </w:r>
      <w:r w:rsidR="00985A93">
        <w:rPr>
          <w:rFonts w:hint="cs"/>
          <w:rtl/>
        </w:rPr>
        <w:t>ووضعه في</w:t>
      </w:r>
      <w:r w:rsidR="00C97B82">
        <w:rPr>
          <w:rtl/>
        </w:rPr>
        <w:t xml:space="preserve"> بداية الوصف؛ </w:t>
      </w:r>
    </w:p>
    <w:p w14:paraId="5B123BEB" w14:textId="77777777" w:rsidR="00C97B82" w:rsidRDefault="00806D46" w:rsidP="001B342F">
      <w:pPr>
        <w:pStyle w:val="ONUMA"/>
        <w:numPr>
          <w:ilvl w:val="2"/>
          <w:numId w:val="38"/>
        </w:numPr>
        <w:ind w:left="850" w:hanging="284"/>
      </w:pPr>
      <w:r>
        <w:rPr>
          <w:rFonts w:hint="cs"/>
          <w:rtl/>
        </w:rPr>
        <w:t>و</w:t>
      </w:r>
      <w:r w:rsidR="00C97B82">
        <w:rPr>
          <w:rtl/>
        </w:rPr>
        <w:t>تعميم "أسماء المودعين" بإزالة كلمة "</w:t>
      </w:r>
      <w:r>
        <w:rPr>
          <w:rFonts w:hint="cs"/>
          <w:rtl/>
        </w:rPr>
        <w:t>ال</w:t>
      </w:r>
      <w:r w:rsidR="00C97B82">
        <w:rPr>
          <w:rtl/>
        </w:rPr>
        <w:t>مودع" حيث ينبغي أن تأخذ الأسماء في الاعتبار ليس فقط أسماء المودعين بل أسماء أخرى مثل أسماء أصحاب التسجيل والممثلين القانونيين.</w:t>
      </w:r>
    </w:p>
    <w:p w14:paraId="65919CAE" w14:textId="77777777" w:rsidR="00C97B82" w:rsidRDefault="00C97B82" w:rsidP="00C97B82">
      <w:pPr>
        <w:pStyle w:val="ONUMA"/>
      </w:pPr>
      <w:r>
        <w:rPr>
          <w:rtl/>
        </w:rPr>
        <w:t>وفيما يلي الوصف الجديد المقترح للمهمة رقم 55:</w:t>
      </w:r>
    </w:p>
    <w:p w14:paraId="1E34B826" w14:textId="77777777" w:rsidR="00C97B82" w:rsidRPr="00806D46" w:rsidRDefault="00C97B82" w:rsidP="00806D46">
      <w:pPr>
        <w:pStyle w:val="ONUMFS"/>
        <w:numPr>
          <w:ilvl w:val="0"/>
          <w:numId w:val="0"/>
        </w:numPr>
        <w:ind w:left="567"/>
        <w:rPr>
          <w:i/>
          <w:iCs/>
        </w:rPr>
      </w:pPr>
      <w:r w:rsidRPr="00806D46">
        <w:rPr>
          <w:i/>
          <w:iCs/>
          <w:rtl/>
        </w:rPr>
        <w:lastRenderedPageBreak/>
        <w:t xml:space="preserve">"إعداد مقترح </w:t>
      </w:r>
      <w:r w:rsidR="00806D46">
        <w:rPr>
          <w:rFonts w:hint="cs"/>
          <w:i/>
          <w:iCs/>
          <w:rtl/>
        </w:rPr>
        <w:t>ا</w:t>
      </w:r>
      <w:r w:rsidRPr="00806D46">
        <w:rPr>
          <w:i/>
          <w:iCs/>
          <w:rtl/>
        </w:rPr>
        <w:t xml:space="preserve">لإجراءات المستقبلية الرامية إلى تحقيق توحيد الأسماء في وثائق الملكية الفكرية، </w:t>
      </w:r>
      <w:r w:rsidR="00806D46">
        <w:rPr>
          <w:rFonts w:hint="cs"/>
          <w:i/>
          <w:iCs/>
          <w:rtl/>
        </w:rPr>
        <w:t>بنية</w:t>
      </w:r>
      <w:r w:rsidRPr="00806D46">
        <w:rPr>
          <w:i/>
          <w:iCs/>
          <w:rtl/>
        </w:rPr>
        <w:t xml:space="preserve"> وضع معيار للويبو </w:t>
      </w:r>
      <w:r w:rsidR="00806D46">
        <w:rPr>
          <w:rFonts w:hint="cs"/>
          <w:i/>
          <w:iCs/>
          <w:rtl/>
        </w:rPr>
        <w:t>يساعد</w:t>
      </w:r>
      <w:r w:rsidRPr="00806D46">
        <w:rPr>
          <w:i/>
          <w:iCs/>
          <w:rtl/>
        </w:rPr>
        <w:t xml:space="preserve"> مكاتب الملكية الفكرية على </w:t>
      </w:r>
      <w:r w:rsidR="00806D46">
        <w:rPr>
          <w:rFonts w:hint="cs"/>
          <w:i/>
          <w:iCs/>
          <w:rtl/>
        </w:rPr>
        <w:t>تحسين</w:t>
      </w:r>
      <w:r w:rsidRPr="00806D46">
        <w:rPr>
          <w:i/>
          <w:iCs/>
          <w:rtl/>
        </w:rPr>
        <w:t xml:space="preserve"> "</w:t>
      </w:r>
      <w:r w:rsidR="00806D46">
        <w:rPr>
          <w:rFonts w:hint="cs"/>
          <w:i/>
          <w:iCs/>
          <w:rtl/>
        </w:rPr>
        <w:t>ال</w:t>
      </w:r>
      <w:r w:rsidRPr="00806D46">
        <w:rPr>
          <w:i/>
          <w:iCs/>
          <w:rtl/>
        </w:rPr>
        <w:t>جودة</w:t>
      </w:r>
      <w:r w:rsidR="00806D46">
        <w:rPr>
          <w:rFonts w:hint="cs"/>
          <w:i/>
          <w:iCs/>
          <w:rtl/>
        </w:rPr>
        <w:t xml:space="preserve"> في المنبع</w:t>
      </w:r>
      <w:r w:rsidRPr="00806D46">
        <w:rPr>
          <w:i/>
          <w:iCs/>
          <w:rtl/>
        </w:rPr>
        <w:t>" فيما يتعلق بالأسماء."</w:t>
      </w:r>
    </w:p>
    <w:p w14:paraId="678943B9" w14:textId="77777777" w:rsidR="004E166B" w:rsidRPr="005A4C02" w:rsidRDefault="004E166B" w:rsidP="004E166B">
      <w:pPr>
        <w:pStyle w:val="Heading2"/>
        <w:rPr>
          <w:rtl/>
        </w:rPr>
      </w:pPr>
      <w:r w:rsidRPr="005A4C02">
        <w:rPr>
          <w:rtl/>
        </w:rPr>
        <w:t>خطة العمل</w:t>
      </w:r>
    </w:p>
    <w:p w14:paraId="17F7F9B5" w14:textId="77777777" w:rsidR="004E166B" w:rsidRPr="005A4C02" w:rsidRDefault="00C97B82" w:rsidP="00C97B82">
      <w:pPr>
        <w:pStyle w:val="ONUMA"/>
        <w:rPr>
          <w:rtl/>
        </w:rPr>
      </w:pPr>
      <w:r w:rsidRPr="00C97B82">
        <w:rPr>
          <w:rtl/>
        </w:rPr>
        <w:t xml:space="preserve">ستقوم فرقة العمل بإعداد </w:t>
      </w:r>
      <w:r w:rsidR="000C03A2">
        <w:rPr>
          <w:rFonts w:hint="cs"/>
          <w:rtl/>
        </w:rPr>
        <w:t>مقترح</w:t>
      </w:r>
      <w:r w:rsidRPr="00C97B82">
        <w:rPr>
          <w:rtl/>
        </w:rPr>
        <w:t xml:space="preserve"> </w:t>
      </w:r>
      <w:r w:rsidR="000C03A2">
        <w:rPr>
          <w:rFonts w:hint="cs"/>
          <w:rtl/>
        </w:rPr>
        <w:t>ا</w:t>
      </w:r>
      <w:r w:rsidRPr="00C97B82">
        <w:rPr>
          <w:rtl/>
        </w:rPr>
        <w:t xml:space="preserve">لإجراءات المستقبلية وتقديمه للنظر فيه في الدورة القادمة للجنة المعايير، مع مراعاة الأنشطة ذات الصلة للدول الأعضاء، بما في ذلك المشروع التجريبي </w:t>
      </w:r>
      <w:r w:rsidR="000C03A2">
        <w:rPr>
          <w:rFonts w:hint="cs"/>
          <w:rtl/>
        </w:rPr>
        <w:t>لأدوات التعريف</w:t>
      </w:r>
      <w:r w:rsidRPr="00C97B82">
        <w:rPr>
          <w:rtl/>
        </w:rPr>
        <w:t xml:space="preserve"> </w:t>
      </w:r>
      <w:r w:rsidR="000C03A2">
        <w:rPr>
          <w:rFonts w:hint="cs"/>
          <w:rtl/>
        </w:rPr>
        <w:t>الشاملة</w:t>
      </w:r>
      <w:r w:rsidRPr="00C97B82">
        <w:rPr>
          <w:rtl/>
        </w:rPr>
        <w:t xml:space="preserve"> الذي يتعاون فيه المكتب الدولي مع العديد من مكاتب الملكية الفكرية.</w:t>
      </w:r>
    </w:p>
    <w:p w14:paraId="1F336501" w14:textId="77777777" w:rsidR="000C03A2" w:rsidRDefault="004E166B" w:rsidP="004E166B">
      <w:pPr>
        <w:pStyle w:val="ONUMA"/>
        <w:ind w:left="5575"/>
        <w:rPr>
          <w:i/>
          <w:iCs/>
        </w:rPr>
      </w:pPr>
      <w:r w:rsidRPr="004E166B">
        <w:rPr>
          <w:i/>
          <w:iCs/>
          <w:rtl/>
        </w:rPr>
        <w:t>إن لجنة المعايير مدعوة إلى</w:t>
      </w:r>
      <w:r w:rsidR="000C03A2">
        <w:rPr>
          <w:rFonts w:hint="cs"/>
          <w:i/>
          <w:iCs/>
          <w:rtl/>
        </w:rPr>
        <w:t xml:space="preserve"> ما يلي:</w:t>
      </w:r>
    </w:p>
    <w:p w14:paraId="11B69F73" w14:textId="77777777" w:rsidR="004E166B" w:rsidRDefault="004E166B" w:rsidP="00F92B6A">
      <w:pPr>
        <w:pStyle w:val="ONUMA"/>
        <w:numPr>
          <w:ilvl w:val="0"/>
          <w:numId w:val="42"/>
        </w:numPr>
        <w:tabs>
          <w:tab w:val="right" w:pos="6520"/>
        </w:tabs>
        <w:ind w:left="6236" w:firstLine="0"/>
        <w:rPr>
          <w:i/>
          <w:iCs/>
        </w:rPr>
      </w:pPr>
      <w:r w:rsidRPr="004E166B">
        <w:rPr>
          <w:i/>
          <w:iCs/>
          <w:rtl/>
        </w:rPr>
        <w:t>الإحاطة علماً بمضمون هذه الوثيقة</w:t>
      </w:r>
      <w:r w:rsidR="000C03A2">
        <w:rPr>
          <w:rFonts w:hint="cs"/>
          <w:i/>
          <w:iCs/>
          <w:rtl/>
        </w:rPr>
        <w:t>؛</w:t>
      </w:r>
    </w:p>
    <w:p w14:paraId="260FA837" w14:textId="77777777" w:rsidR="004E166B" w:rsidRPr="000C03A2" w:rsidRDefault="00CC3508" w:rsidP="00F92B6A">
      <w:pPr>
        <w:pStyle w:val="ONUMA"/>
        <w:numPr>
          <w:ilvl w:val="0"/>
          <w:numId w:val="42"/>
        </w:numPr>
        <w:tabs>
          <w:tab w:val="right" w:pos="6520"/>
          <w:tab w:val="right" w:pos="6661"/>
        </w:tabs>
        <w:ind w:left="6236" w:firstLine="0"/>
        <w:rPr>
          <w:i/>
          <w:iCs/>
          <w:rtl/>
        </w:rPr>
      </w:pPr>
      <w:r>
        <w:rPr>
          <w:rFonts w:hint="cs"/>
          <w:i/>
          <w:iCs/>
          <w:rtl/>
        </w:rPr>
        <w:t>و</w:t>
      </w:r>
      <w:r w:rsidR="000C03A2" w:rsidRPr="000C03A2">
        <w:rPr>
          <w:i/>
          <w:iCs/>
          <w:rtl/>
        </w:rPr>
        <w:t>دراسة واعتماد التعديل المقترح على وصف المهمة رقم 55 المشار إليه في الفقرتين 11 و12.</w:t>
      </w:r>
    </w:p>
    <w:p w14:paraId="41B50A9D" w14:textId="77777777" w:rsidR="004E166B" w:rsidRPr="002743BA" w:rsidRDefault="004E166B" w:rsidP="004E166B">
      <w:pPr>
        <w:pStyle w:val="ONUMA"/>
        <w:numPr>
          <w:ilvl w:val="0"/>
          <w:numId w:val="0"/>
        </w:numPr>
        <w:ind w:left="5575"/>
        <w:rPr>
          <w:rtl/>
        </w:rPr>
      </w:pPr>
    </w:p>
    <w:p w14:paraId="5965118F" w14:textId="77777777" w:rsidR="004E166B" w:rsidRPr="004E166B" w:rsidRDefault="004E166B" w:rsidP="004E166B">
      <w:pPr>
        <w:pStyle w:val="Endofdocument"/>
        <w:bidi/>
        <w:rPr>
          <w:rFonts w:asciiTheme="minorHAnsi" w:hAnsiTheme="minorHAnsi" w:cstheme="minorHAnsi"/>
          <w:sz w:val="22"/>
          <w:szCs w:val="22"/>
          <w:rtl/>
        </w:rPr>
      </w:pPr>
      <w:r w:rsidRPr="002743BA">
        <w:rPr>
          <w:rFonts w:asciiTheme="minorHAnsi" w:hAnsiTheme="minorHAnsi" w:cstheme="minorHAnsi"/>
          <w:sz w:val="22"/>
          <w:szCs w:val="22"/>
          <w:rtl/>
        </w:rPr>
        <w:t>[</w:t>
      </w:r>
      <w:r w:rsidRPr="004E166B">
        <w:rPr>
          <w:rFonts w:asciiTheme="minorHAnsi" w:hAnsiTheme="minorHAnsi" w:cstheme="minorHAnsi"/>
          <w:sz w:val="22"/>
          <w:szCs w:val="22"/>
          <w:rtl/>
        </w:rPr>
        <w:t>نهاية الوثيقة]</w:t>
      </w:r>
    </w:p>
    <w:sectPr w:rsidR="004E166B" w:rsidRPr="004E166B"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3DEA" w14:textId="77777777" w:rsidR="00C80AB2" w:rsidRDefault="00C80AB2">
      <w:r>
        <w:separator/>
      </w:r>
    </w:p>
  </w:endnote>
  <w:endnote w:type="continuationSeparator" w:id="0">
    <w:p w14:paraId="155508AF" w14:textId="77777777" w:rsidR="00C80AB2" w:rsidRDefault="00C80AB2" w:rsidP="003B38C1">
      <w:r>
        <w:separator/>
      </w:r>
    </w:p>
    <w:p w14:paraId="7A3AEFB9" w14:textId="77777777" w:rsidR="00C80AB2" w:rsidRPr="003B38C1" w:rsidRDefault="00C80AB2" w:rsidP="003B38C1">
      <w:pPr>
        <w:spacing w:after="60"/>
        <w:rPr>
          <w:sz w:val="17"/>
        </w:rPr>
      </w:pPr>
      <w:r>
        <w:rPr>
          <w:sz w:val="17"/>
        </w:rPr>
        <w:t>[Endnote continued from previous page]</w:t>
      </w:r>
    </w:p>
  </w:endnote>
  <w:endnote w:type="continuationNotice" w:id="1">
    <w:p w14:paraId="4CEEAE4E" w14:textId="77777777" w:rsidR="00C80AB2" w:rsidRPr="003B38C1" w:rsidRDefault="00C80A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CFCE" w14:textId="77777777" w:rsidR="00AF7026" w:rsidRDefault="00AF7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1F96" w14:textId="77777777" w:rsidR="00AF7026" w:rsidRDefault="00AF7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01BE" w14:textId="77777777" w:rsidR="00AF7026" w:rsidRDefault="00AF7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2B1B7" w14:textId="77777777" w:rsidR="00C80AB2" w:rsidRDefault="00C80AB2">
      <w:r>
        <w:separator/>
      </w:r>
    </w:p>
  </w:footnote>
  <w:footnote w:type="continuationSeparator" w:id="0">
    <w:p w14:paraId="1087580C" w14:textId="77777777" w:rsidR="00C80AB2" w:rsidRDefault="00C80AB2" w:rsidP="008B60B2">
      <w:r>
        <w:separator/>
      </w:r>
    </w:p>
    <w:p w14:paraId="33496E65" w14:textId="77777777" w:rsidR="00C80AB2" w:rsidRPr="00ED77FB" w:rsidRDefault="00C80AB2" w:rsidP="008B60B2">
      <w:pPr>
        <w:spacing w:after="60"/>
        <w:rPr>
          <w:sz w:val="17"/>
          <w:szCs w:val="17"/>
        </w:rPr>
      </w:pPr>
      <w:r w:rsidRPr="00ED77FB">
        <w:rPr>
          <w:sz w:val="17"/>
          <w:szCs w:val="17"/>
        </w:rPr>
        <w:t>[Footnote continued from previous page]</w:t>
      </w:r>
    </w:p>
  </w:footnote>
  <w:footnote w:type="continuationNotice" w:id="1">
    <w:p w14:paraId="27FE83AD" w14:textId="77777777" w:rsidR="00C80AB2" w:rsidRPr="00ED77FB" w:rsidRDefault="00C80AB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4C3A" w14:textId="77777777" w:rsidR="00AF7026" w:rsidRDefault="00AF7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CC75" w14:textId="77777777" w:rsidR="004E166B" w:rsidRPr="002326AB" w:rsidRDefault="00FE5D75" w:rsidP="004E166B">
    <w:pPr>
      <w:bidi w:val="0"/>
      <w:rPr>
        <w:caps/>
      </w:rPr>
    </w:pPr>
    <w:r>
      <w:rPr>
        <w:caps/>
      </w:rPr>
      <w:t>CWS</w:t>
    </w:r>
    <w:r w:rsidR="00250149">
      <w:rPr>
        <w:caps/>
      </w:rPr>
      <w:t>/</w:t>
    </w:r>
    <w:r w:rsidR="00E15F75">
      <w:rPr>
        <w:caps/>
      </w:rPr>
      <w:t>11</w:t>
    </w:r>
    <w:r w:rsidR="00250149">
      <w:rPr>
        <w:caps/>
      </w:rPr>
      <w:t>/</w:t>
    </w:r>
    <w:r w:rsidR="00CC3508">
      <w:rPr>
        <w:caps/>
      </w:rPr>
      <w:t>22</w:t>
    </w:r>
  </w:p>
  <w:p w14:paraId="0AEC6937" w14:textId="77777777" w:rsidR="00D07C78" w:rsidRDefault="00D07C78" w:rsidP="00210D5F">
    <w:pPr>
      <w:bidi w:val="0"/>
    </w:pPr>
    <w:r>
      <w:fldChar w:fldCharType="begin"/>
    </w:r>
    <w:r>
      <w:instrText xml:space="preserve"> PAGE  \* MERGEFORMAT </w:instrText>
    </w:r>
    <w:r>
      <w:fldChar w:fldCharType="separate"/>
    </w:r>
    <w:r w:rsidR="00E62184">
      <w:rPr>
        <w:noProof/>
      </w:rPr>
      <w:t>3</w:t>
    </w:r>
    <w:r>
      <w:fldChar w:fldCharType="end"/>
    </w:r>
  </w:p>
  <w:p w14:paraId="2A8D2C1D" w14:textId="77777777" w:rsidR="00D07C78" w:rsidRDefault="00D07C78" w:rsidP="00210D5F">
    <w:pPr>
      <w:bidi w:val="0"/>
    </w:pPr>
  </w:p>
  <w:p w14:paraId="04E212CE"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FABB" w14:textId="77777777" w:rsidR="00AF7026" w:rsidRDefault="00AF7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1872BD"/>
    <w:multiLevelType w:val="hybridMultilevel"/>
    <w:tmpl w:val="063C669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A427A"/>
    <w:multiLevelType w:val="hybridMultilevel"/>
    <w:tmpl w:val="D9145A98"/>
    <w:lvl w:ilvl="0" w:tplc="D5DA932E">
      <w:start w:val="1"/>
      <w:numFmt w:val="arabicAlpha"/>
      <w:lvlText w:val="(%1)"/>
      <w:lvlJc w:val="left"/>
      <w:pPr>
        <w:ind w:left="5935" w:hanging="360"/>
      </w:pPr>
      <w:rPr>
        <w:rFonts w:hint="default"/>
      </w:rPr>
    </w:lvl>
    <w:lvl w:ilvl="1" w:tplc="380C0019" w:tentative="1">
      <w:start w:val="1"/>
      <w:numFmt w:val="lowerLetter"/>
      <w:lvlText w:val="%2."/>
      <w:lvlJc w:val="left"/>
      <w:pPr>
        <w:ind w:left="6655" w:hanging="360"/>
      </w:pPr>
    </w:lvl>
    <w:lvl w:ilvl="2" w:tplc="380C001B" w:tentative="1">
      <w:start w:val="1"/>
      <w:numFmt w:val="lowerRoman"/>
      <w:lvlText w:val="%3."/>
      <w:lvlJc w:val="right"/>
      <w:pPr>
        <w:ind w:left="7375" w:hanging="180"/>
      </w:pPr>
    </w:lvl>
    <w:lvl w:ilvl="3" w:tplc="380C000F" w:tentative="1">
      <w:start w:val="1"/>
      <w:numFmt w:val="decimal"/>
      <w:lvlText w:val="%4."/>
      <w:lvlJc w:val="left"/>
      <w:pPr>
        <w:ind w:left="8095" w:hanging="360"/>
      </w:pPr>
    </w:lvl>
    <w:lvl w:ilvl="4" w:tplc="380C0019" w:tentative="1">
      <w:start w:val="1"/>
      <w:numFmt w:val="lowerLetter"/>
      <w:lvlText w:val="%5."/>
      <w:lvlJc w:val="left"/>
      <w:pPr>
        <w:ind w:left="8815" w:hanging="360"/>
      </w:pPr>
    </w:lvl>
    <w:lvl w:ilvl="5" w:tplc="380C001B" w:tentative="1">
      <w:start w:val="1"/>
      <w:numFmt w:val="lowerRoman"/>
      <w:lvlText w:val="%6."/>
      <w:lvlJc w:val="right"/>
      <w:pPr>
        <w:ind w:left="9535" w:hanging="180"/>
      </w:pPr>
    </w:lvl>
    <w:lvl w:ilvl="6" w:tplc="380C000F" w:tentative="1">
      <w:start w:val="1"/>
      <w:numFmt w:val="decimal"/>
      <w:lvlText w:val="%7."/>
      <w:lvlJc w:val="left"/>
      <w:pPr>
        <w:ind w:left="10255" w:hanging="360"/>
      </w:pPr>
    </w:lvl>
    <w:lvl w:ilvl="7" w:tplc="380C0019" w:tentative="1">
      <w:start w:val="1"/>
      <w:numFmt w:val="lowerLetter"/>
      <w:lvlText w:val="%8."/>
      <w:lvlJc w:val="left"/>
      <w:pPr>
        <w:ind w:left="10975" w:hanging="360"/>
      </w:pPr>
    </w:lvl>
    <w:lvl w:ilvl="8" w:tplc="380C001B" w:tentative="1">
      <w:start w:val="1"/>
      <w:numFmt w:val="lowerRoman"/>
      <w:lvlText w:val="%9."/>
      <w:lvlJc w:val="right"/>
      <w:pPr>
        <w:ind w:left="11695"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BF07875"/>
    <w:multiLevelType w:val="hybridMultilevel"/>
    <w:tmpl w:val="BE96F980"/>
    <w:lvl w:ilvl="0" w:tplc="6832A66E">
      <w:start w:val="1"/>
      <w:numFmt w:val="bullet"/>
      <w:pStyle w:val="ONUMFS"/>
      <w:lvlText w:val=""/>
      <w:lvlJc w:val="left"/>
      <w:pPr>
        <w:ind w:left="720" w:hanging="360"/>
      </w:pPr>
      <w:rPr>
        <w:rFonts w:ascii="Symbol" w:hAnsi="Symbol" w:hint="default"/>
      </w:rPr>
    </w:lvl>
    <w:lvl w:ilvl="1" w:tplc="15F0EEB6">
      <w:numFmt w:val="bullet"/>
      <w:lvlText w:val="•"/>
      <w:lvlJc w:val="left"/>
      <w:pPr>
        <w:ind w:left="1650" w:hanging="570"/>
      </w:pPr>
      <w:rPr>
        <w:rFonts w:ascii="Arial" w:eastAsia="SimSun" w:hAnsi="Arial" w:cs="Arial" w:hint="default"/>
      </w:rPr>
    </w:lvl>
    <w:lvl w:ilvl="2" w:tplc="2B08402C">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523430"/>
    <w:multiLevelType w:val="hybridMultilevel"/>
    <w:tmpl w:val="99224E2C"/>
    <w:lvl w:ilvl="0" w:tplc="04090001">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20061B"/>
    <w:multiLevelType w:val="multilevel"/>
    <w:tmpl w:val="9140D1D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8" w15:restartNumberingAfterBreak="0">
    <w:nsid w:val="5A510F77"/>
    <w:multiLevelType w:val="hybridMultilevel"/>
    <w:tmpl w:val="6A0821AC"/>
    <w:lvl w:ilvl="0" w:tplc="BE485ECE">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BE485ECE">
      <w:start w:val="1"/>
      <w:numFmt w:val="bullet"/>
      <w:lvlText w:val=""/>
      <w:lvlJc w:val="left"/>
      <w:pPr>
        <w:ind w:left="2160" w:hanging="360"/>
      </w:pPr>
      <w:rPr>
        <w:rFonts w:ascii="Symbol" w:hAnsi="Symbol"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9" w15:restartNumberingAfterBreak="0">
    <w:nsid w:val="5F674420"/>
    <w:multiLevelType w:val="hybridMultilevel"/>
    <w:tmpl w:val="99C83514"/>
    <w:lvl w:ilvl="0" w:tplc="09F66B76">
      <w:start w:val="1"/>
      <w:numFmt w:val="arabicAbjad"/>
      <w:lvlText w:val="(%1)"/>
      <w:lvlJc w:val="left"/>
      <w:pPr>
        <w:ind w:left="6655" w:hanging="360"/>
      </w:pPr>
      <w:rPr>
        <w:rFonts w:hint="default"/>
      </w:rPr>
    </w:lvl>
    <w:lvl w:ilvl="1" w:tplc="380C0019" w:tentative="1">
      <w:start w:val="1"/>
      <w:numFmt w:val="lowerLetter"/>
      <w:lvlText w:val="%2."/>
      <w:lvlJc w:val="left"/>
      <w:pPr>
        <w:ind w:left="7375" w:hanging="360"/>
      </w:pPr>
    </w:lvl>
    <w:lvl w:ilvl="2" w:tplc="380C001B" w:tentative="1">
      <w:start w:val="1"/>
      <w:numFmt w:val="lowerRoman"/>
      <w:lvlText w:val="%3."/>
      <w:lvlJc w:val="right"/>
      <w:pPr>
        <w:ind w:left="8095" w:hanging="180"/>
      </w:pPr>
    </w:lvl>
    <w:lvl w:ilvl="3" w:tplc="380C000F" w:tentative="1">
      <w:start w:val="1"/>
      <w:numFmt w:val="decimal"/>
      <w:lvlText w:val="%4."/>
      <w:lvlJc w:val="left"/>
      <w:pPr>
        <w:ind w:left="8815" w:hanging="360"/>
      </w:pPr>
    </w:lvl>
    <w:lvl w:ilvl="4" w:tplc="380C0019" w:tentative="1">
      <w:start w:val="1"/>
      <w:numFmt w:val="lowerLetter"/>
      <w:lvlText w:val="%5."/>
      <w:lvlJc w:val="left"/>
      <w:pPr>
        <w:ind w:left="9535" w:hanging="360"/>
      </w:pPr>
    </w:lvl>
    <w:lvl w:ilvl="5" w:tplc="380C001B" w:tentative="1">
      <w:start w:val="1"/>
      <w:numFmt w:val="lowerRoman"/>
      <w:lvlText w:val="%6."/>
      <w:lvlJc w:val="right"/>
      <w:pPr>
        <w:ind w:left="10255" w:hanging="180"/>
      </w:pPr>
    </w:lvl>
    <w:lvl w:ilvl="6" w:tplc="380C000F" w:tentative="1">
      <w:start w:val="1"/>
      <w:numFmt w:val="decimal"/>
      <w:lvlText w:val="%7."/>
      <w:lvlJc w:val="left"/>
      <w:pPr>
        <w:ind w:left="10975" w:hanging="360"/>
      </w:pPr>
    </w:lvl>
    <w:lvl w:ilvl="7" w:tplc="380C0019" w:tentative="1">
      <w:start w:val="1"/>
      <w:numFmt w:val="lowerLetter"/>
      <w:lvlText w:val="%8."/>
      <w:lvlJc w:val="left"/>
      <w:pPr>
        <w:ind w:left="11695" w:hanging="360"/>
      </w:pPr>
    </w:lvl>
    <w:lvl w:ilvl="8" w:tplc="380C001B" w:tentative="1">
      <w:start w:val="1"/>
      <w:numFmt w:val="lowerRoman"/>
      <w:lvlText w:val="%9."/>
      <w:lvlJc w:val="right"/>
      <w:pPr>
        <w:ind w:left="12415" w:hanging="180"/>
      </w:pPr>
    </w:lvl>
  </w:abstractNum>
  <w:abstractNum w:abstractNumId="30"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E23CAC"/>
    <w:multiLevelType w:val="hybridMultilevel"/>
    <w:tmpl w:val="7C4CFB46"/>
    <w:lvl w:ilvl="0" w:tplc="BE485ECE">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1160515">
    <w:abstractNumId w:val="6"/>
  </w:num>
  <w:num w:numId="2" w16cid:durableId="411590420">
    <w:abstractNumId w:val="19"/>
  </w:num>
  <w:num w:numId="3" w16cid:durableId="955677999">
    <w:abstractNumId w:val="0"/>
  </w:num>
  <w:num w:numId="4" w16cid:durableId="1816217673">
    <w:abstractNumId w:val="23"/>
  </w:num>
  <w:num w:numId="5" w16cid:durableId="439036331">
    <w:abstractNumId w:val="2"/>
  </w:num>
  <w:num w:numId="6" w16cid:durableId="1777796564">
    <w:abstractNumId w:val="10"/>
  </w:num>
  <w:num w:numId="7" w16cid:durableId="681661408">
    <w:abstractNumId w:val="27"/>
  </w:num>
  <w:num w:numId="8" w16cid:durableId="832720185">
    <w:abstractNumId w:val="15"/>
  </w:num>
  <w:num w:numId="9" w16cid:durableId="326791531">
    <w:abstractNumId w:val="16"/>
  </w:num>
  <w:num w:numId="10" w16cid:durableId="551188354">
    <w:abstractNumId w:val="20"/>
  </w:num>
  <w:num w:numId="11" w16cid:durableId="1920480512">
    <w:abstractNumId w:val="26"/>
  </w:num>
  <w:num w:numId="12" w16cid:durableId="729504355">
    <w:abstractNumId w:val="21"/>
  </w:num>
  <w:num w:numId="13" w16cid:durableId="1237279823">
    <w:abstractNumId w:val="30"/>
  </w:num>
  <w:num w:numId="14" w16cid:durableId="1576090478">
    <w:abstractNumId w:val="8"/>
  </w:num>
  <w:num w:numId="15" w16cid:durableId="334574832">
    <w:abstractNumId w:val="14"/>
  </w:num>
  <w:num w:numId="16" w16cid:durableId="219949047">
    <w:abstractNumId w:val="3"/>
  </w:num>
  <w:num w:numId="17" w16cid:durableId="246962567">
    <w:abstractNumId w:val="17"/>
  </w:num>
  <w:num w:numId="18" w16cid:durableId="2058049381">
    <w:abstractNumId w:val="24"/>
  </w:num>
  <w:num w:numId="19" w16cid:durableId="294258086">
    <w:abstractNumId w:val="9"/>
  </w:num>
  <w:num w:numId="20" w16cid:durableId="2104261144">
    <w:abstractNumId w:val="32"/>
  </w:num>
  <w:num w:numId="21" w16cid:durableId="1628849203">
    <w:abstractNumId w:val="12"/>
  </w:num>
  <w:num w:numId="22" w16cid:durableId="1314138462">
    <w:abstractNumId w:val="33"/>
  </w:num>
  <w:num w:numId="23" w16cid:durableId="216284777">
    <w:abstractNumId w:val="18"/>
  </w:num>
  <w:num w:numId="24" w16cid:durableId="886406723">
    <w:abstractNumId w:val="25"/>
  </w:num>
  <w:num w:numId="25" w16cid:durableId="907302103">
    <w:abstractNumId w:val="35"/>
  </w:num>
  <w:num w:numId="26" w16cid:durableId="28383913">
    <w:abstractNumId w:val="4"/>
  </w:num>
  <w:num w:numId="27" w16cid:durableId="489685459">
    <w:abstractNumId w:val="13"/>
  </w:num>
  <w:num w:numId="28" w16cid:durableId="1480806623">
    <w:abstractNumId w:val="34"/>
  </w:num>
  <w:num w:numId="29" w16cid:durableId="1765491875">
    <w:abstractNumId w:val="36"/>
  </w:num>
  <w:num w:numId="30" w16cid:durableId="1727021395">
    <w:abstractNumId w:val="11"/>
  </w:num>
  <w:num w:numId="31" w16cid:durableId="1899050173">
    <w:abstractNumId w:val="7"/>
  </w:num>
  <w:num w:numId="32" w16cid:durableId="1384137183">
    <w:abstractNumId w:val="31"/>
  </w:num>
  <w:num w:numId="33" w16cid:durableId="51856175">
    <w:abstractNumId w:val="1"/>
  </w:num>
  <w:num w:numId="34" w16cid:durableId="501166797">
    <w:abstractNumId w:val="22"/>
  </w:num>
  <w:num w:numId="35" w16cid:durableId="442044671">
    <w:abstractNumId w:val="7"/>
  </w:num>
  <w:num w:numId="36" w16cid:durableId="147601879">
    <w:abstractNumId w:val="27"/>
  </w:num>
  <w:num w:numId="37" w16cid:durableId="1533685099">
    <w:abstractNumId w:val="27"/>
  </w:num>
  <w:num w:numId="38" w16cid:durableId="385571075">
    <w:abstractNumId w:val="28"/>
  </w:num>
  <w:num w:numId="39" w16cid:durableId="1807358173">
    <w:abstractNumId w:val="27"/>
  </w:num>
  <w:num w:numId="40" w16cid:durableId="279412240">
    <w:abstractNumId w:val="7"/>
  </w:num>
  <w:num w:numId="41" w16cid:durableId="2039969304">
    <w:abstractNumId w:val="5"/>
  </w:num>
  <w:num w:numId="42" w16cid:durableId="904991634">
    <w:abstractNumId w:val="29"/>
  </w:num>
  <w:num w:numId="43" w16cid:durableId="1596746541">
    <w:abstractNumId w:val="27"/>
  </w:num>
  <w:num w:numId="44" w16cid:durableId="3885761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10C"/>
    <w:rsid w:val="00041A0A"/>
    <w:rsid w:val="00043CAA"/>
    <w:rsid w:val="00056816"/>
    <w:rsid w:val="00075432"/>
    <w:rsid w:val="000757E6"/>
    <w:rsid w:val="000910E5"/>
    <w:rsid w:val="000968ED"/>
    <w:rsid w:val="000A3D97"/>
    <w:rsid w:val="000A50FF"/>
    <w:rsid w:val="000B5B36"/>
    <w:rsid w:val="000C03A2"/>
    <w:rsid w:val="000D3DAB"/>
    <w:rsid w:val="000D42A9"/>
    <w:rsid w:val="000F5E56"/>
    <w:rsid w:val="001362EE"/>
    <w:rsid w:val="001406E1"/>
    <w:rsid w:val="00140F22"/>
    <w:rsid w:val="00155D8A"/>
    <w:rsid w:val="001647D5"/>
    <w:rsid w:val="00167832"/>
    <w:rsid w:val="00176FD1"/>
    <w:rsid w:val="001832A6"/>
    <w:rsid w:val="0019592A"/>
    <w:rsid w:val="001B342F"/>
    <w:rsid w:val="001D4107"/>
    <w:rsid w:val="001D556C"/>
    <w:rsid w:val="00203D24"/>
    <w:rsid w:val="00210D5F"/>
    <w:rsid w:val="0021217E"/>
    <w:rsid w:val="002246CB"/>
    <w:rsid w:val="002326AB"/>
    <w:rsid w:val="002400CB"/>
    <w:rsid w:val="00243430"/>
    <w:rsid w:val="00250149"/>
    <w:rsid w:val="0025617F"/>
    <w:rsid w:val="00262607"/>
    <w:rsid w:val="002634C4"/>
    <w:rsid w:val="00265354"/>
    <w:rsid w:val="00273181"/>
    <w:rsid w:val="002743BA"/>
    <w:rsid w:val="00285996"/>
    <w:rsid w:val="002928D3"/>
    <w:rsid w:val="002A7B3A"/>
    <w:rsid w:val="002C5460"/>
    <w:rsid w:val="002D25D9"/>
    <w:rsid w:val="002F1FE6"/>
    <w:rsid w:val="002F4E68"/>
    <w:rsid w:val="00303282"/>
    <w:rsid w:val="00312F7F"/>
    <w:rsid w:val="00321316"/>
    <w:rsid w:val="00321EB3"/>
    <w:rsid w:val="00327E12"/>
    <w:rsid w:val="003356B0"/>
    <w:rsid w:val="003452A8"/>
    <w:rsid w:val="00361450"/>
    <w:rsid w:val="003673CF"/>
    <w:rsid w:val="00376168"/>
    <w:rsid w:val="003845C1"/>
    <w:rsid w:val="003A6F89"/>
    <w:rsid w:val="003B355C"/>
    <w:rsid w:val="003B3581"/>
    <w:rsid w:val="003B38C1"/>
    <w:rsid w:val="003C17A1"/>
    <w:rsid w:val="003C34E9"/>
    <w:rsid w:val="003F20F4"/>
    <w:rsid w:val="00423E3E"/>
    <w:rsid w:val="00427AF4"/>
    <w:rsid w:val="00432CC0"/>
    <w:rsid w:val="004434C3"/>
    <w:rsid w:val="0045246E"/>
    <w:rsid w:val="00452F85"/>
    <w:rsid w:val="0045731B"/>
    <w:rsid w:val="00461B51"/>
    <w:rsid w:val="004647DA"/>
    <w:rsid w:val="00474062"/>
    <w:rsid w:val="00477D6B"/>
    <w:rsid w:val="0048522D"/>
    <w:rsid w:val="004A7991"/>
    <w:rsid w:val="004D29A8"/>
    <w:rsid w:val="004E166B"/>
    <w:rsid w:val="004F2DEB"/>
    <w:rsid w:val="005019FF"/>
    <w:rsid w:val="0050470A"/>
    <w:rsid w:val="0053057A"/>
    <w:rsid w:val="00556076"/>
    <w:rsid w:val="00560A29"/>
    <w:rsid w:val="005740C5"/>
    <w:rsid w:val="0059409E"/>
    <w:rsid w:val="005B2C79"/>
    <w:rsid w:val="005B453D"/>
    <w:rsid w:val="005C2F7D"/>
    <w:rsid w:val="005C5B64"/>
    <w:rsid w:val="005C6649"/>
    <w:rsid w:val="005E68B2"/>
    <w:rsid w:val="005E7B89"/>
    <w:rsid w:val="005F0828"/>
    <w:rsid w:val="00600D30"/>
    <w:rsid w:val="00605827"/>
    <w:rsid w:val="006370A1"/>
    <w:rsid w:val="00646050"/>
    <w:rsid w:val="006713CA"/>
    <w:rsid w:val="00676C5C"/>
    <w:rsid w:val="00684A94"/>
    <w:rsid w:val="006A3B8C"/>
    <w:rsid w:val="006A516B"/>
    <w:rsid w:val="006B5C12"/>
    <w:rsid w:val="006D27D2"/>
    <w:rsid w:val="006D7AAB"/>
    <w:rsid w:val="006D7C7A"/>
    <w:rsid w:val="006F641A"/>
    <w:rsid w:val="007021B3"/>
    <w:rsid w:val="0070778E"/>
    <w:rsid w:val="00720EFD"/>
    <w:rsid w:val="00747B2C"/>
    <w:rsid w:val="00750C1A"/>
    <w:rsid w:val="007854AF"/>
    <w:rsid w:val="0079149A"/>
    <w:rsid w:val="00793A7C"/>
    <w:rsid w:val="007969D1"/>
    <w:rsid w:val="007A0E2A"/>
    <w:rsid w:val="007A398A"/>
    <w:rsid w:val="007C4902"/>
    <w:rsid w:val="007D1613"/>
    <w:rsid w:val="007E210C"/>
    <w:rsid w:val="007E4889"/>
    <w:rsid w:val="007E4C0E"/>
    <w:rsid w:val="007F262E"/>
    <w:rsid w:val="0080078B"/>
    <w:rsid w:val="00806D46"/>
    <w:rsid w:val="00820911"/>
    <w:rsid w:val="008243C0"/>
    <w:rsid w:val="008A1342"/>
    <w:rsid w:val="008A134B"/>
    <w:rsid w:val="008A5C4D"/>
    <w:rsid w:val="008B2CC1"/>
    <w:rsid w:val="008B60B2"/>
    <w:rsid w:val="008D1B10"/>
    <w:rsid w:val="0090731E"/>
    <w:rsid w:val="00907421"/>
    <w:rsid w:val="00916EE2"/>
    <w:rsid w:val="0093527D"/>
    <w:rsid w:val="0094554E"/>
    <w:rsid w:val="00947238"/>
    <w:rsid w:val="009476FE"/>
    <w:rsid w:val="00966A22"/>
    <w:rsid w:val="0096722F"/>
    <w:rsid w:val="00980843"/>
    <w:rsid w:val="00985A93"/>
    <w:rsid w:val="0099406E"/>
    <w:rsid w:val="009B0855"/>
    <w:rsid w:val="009B093D"/>
    <w:rsid w:val="009B48A1"/>
    <w:rsid w:val="009B51CF"/>
    <w:rsid w:val="009E1721"/>
    <w:rsid w:val="009E2791"/>
    <w:rsid w:val="009E3F6F"/>
    <w:rsid w:val="009F499F"/>
    <w:rsid w:val="00A33241"/>
    <w:rsid w:val="00A37342"/>
    <w:rsid w:val="00A42DAF"/>
    <w:rsid w:val="00A448AB"/>
    <w:rsid w:val="00A45BD8"/>
    <w:rsid w:val="00A77537"/>
    <w:rsid w:val="00A8227E"/>
    <w:rsid w:val="00A869B7"/>
    <w:rsid w:val="00A90F0A"/>
    <w:rsid w:val="00AA589B"/>
    <w:rsid w:val="00AC205C"/>
    <w:rsid w:val="00AC20E9"/>
    <w:rsid w:val="00AD30FC"/>
    <w:rsid w:val="00AD5EC1"/>
    <w:rsid w:val="00AD5F3C"/>
    <w:rsid w:val="00AF0A6B"/>
    <w:rsid w:val="00AF7026"/>
    <w:rsid w:val="00B05A69"/>
    <w:rsid w:val="00B26A4F"/>
    <w:rsid w:val="00B42CA9"/>
    <w:rsid w:val="00B51FF7"/>
    <w:rsid w:val="00B62797"/>
    <w:rsid w:val="00B720CD"/>
    <w:rsid w:val="00B75281"/>
    <w:rsid w:val="00B855E3"/>
    <w:rsid w:val="00B86A18"/>
    <w:rsid w:val="00B90C9C"/>
    <w:rsid w:val="00B92F1F"/>
    <w:rsid w:val="00B953D5"/>
    <w:rsid w:val="00B9734B"/>
    <w:rsid w:val="00BA30E2"/>
    <w:rsid w:val="00BB781F"/>
    <w:rsid w:val="00BC6536"/>
    <w:rsid w:val="00C11BFE"/>
    <w:rsid w:val="00C3436A"/>
    <w:rsid w:val="00C5068F"/>
    <w:rsid w:val="00C60E4B"/>
    <w:rsid w:val="00C61823"/>
    <w:rsid w:val="00C71D78"/>
    <w:rsid w:val="00C73194"/>
    <w:rsid w:val="00C80AB2"/>
    <w:rsid w:val="00C86D74"/>
    <w:rsid w:val="00C91553"/>
    <w:rsid w:val="00C92536"/>
    <w:rsid w:val="00C925E7"/>
    <w:rsid w:val="00C97B82"/>
    <w:rsid w:val="00CB3DBA"/>
    <w:rsid w:val="00CC3508"/>
    <w:rsid w:val="00CC3D17"/>
    <w:rsid w:val="00CC3E2D"/>
    <w:rsid w:val="00CD04F1"/>
    <w:rsid w:val="00CE19F8"/>
    <w:rsid w:val="00CF681A"/>
    <w:rsid w:val="00D07C78"/>
    <w:rsid w:val="00D227DD"/>
    <w:rsid w:val="00D43DB9"/>
    <w:rsid w:val="00D45252"/>
    <w:rsid w:val="00D512F3"/>
    <w:rsid w:val="00D60B2C"/>
    <w:rsid w:val="00D67EAE"/>
    <w:rsid w:val="00D71B4D"/>
    <w:rsid w:val="00D90B96"/>
    <w:rsid w:val="00D93D55"/>
    <w:rsid w:val="00DC17E3"/>
    <w:rsid w:val="00DD7B7F"/>
    <w:rsid w:val="00E15015"/>
    <w:rsid w:val="00E15F75"/>
    <w:rsid w:val="00E17738"/>
    <w:rsid w:val="00E23ECB"/>
    <w:rsid w:val="00E319DF"/>
    <w:rsid w:val="00E335FE"/>
    <w:rsid w:val="00E62184"/>
    <w:rsid w:val="00E66CC5"/>
    <w:rsid w:val="00E76700"/>
    <w:rsid w:val="00E91C3A"/>
    <w:rsid w:val="00E93AAF"/>
    <w:rsid w:val="00EA2B00"/>
    <w:rsid w:val="00EA7D6E"/>
    <w:rsid w:val="00EB0D50"/>
    <w:rsid w:val="00EB2F76"/>
    <w:rsid w:val="00EC4E49"/>
    <w:rsid w:val="00ED0E62"/>
    <w:rsid w:val="00ED6EB7"/>
    <w:rsid w:val="00ED77FB"/>
    <w:rsid w:val="00EE307E"/>
    <w:rsid w:val="00EE45FA"/>
    <w:rsid w:val="00EE793C"/>
    <w:rsid w:val="00F043DE"/>
    <w:rsid w:val="00F10E7C"/>
    <w:rsid w:val="00F1217E"/>
    <w:rsid w:val="00F248CE"/>
    <w:rsid w:val="00F66152"/>
    <w:rsid w:val="00F76CB4"/>
    <w:rsid w:val="00F90C07"/>
    <w:rsid w:val="00F9165B"/>
    <w:rsid w:val="00F92B6A"/>
    <w:rsid w:val="00FA17DA"/>
    <w:rsid w:val="00FA6CAF"/>
    <w:rsid w:val="00FC482F"/>
    <w:rsid w:val="00FD0B86"/>
    <w:rsid w:val="00FD59CD"/>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721328"/>
  <w15:docId w15:val="{043F9523-4C1C-47CC-B2F1-2B813212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4E166B"/>
    <w:pPr>
      <w:keepNext/>
      <w:spacing w:before="240" w:after="60"/>
      <w:outlineLvl w:val="1"/>
    </w:pPr>
    <w:rPr>
      <w:rFonts w:ascii="Calibri" w:hAnsi="Calibri"/>
      <w:b/>
      <w:i/>
      <w:caps/>
      <w:sz w:val="28"/>
      <w:szCs w:val="28"/>
    </w:rPr>
  </w:style>
  <w:style w:type="paragraph" w:styleId="Heading3">
    <w:name w:val="heading 3"/>
    <w:basedOn w:val="Normal"/>
    <w:next w:val="Normal"/>
    <w:qFormat/>
    <w:rsid w:val="004E166B"/>
    <w:pPr>
      <w:keepNext/>
      <w:outlineLvl w:val="2"/>
    </w:pPr>
    <w:rPr>
      <w:rFonts w:ascii="Calibri" w:hAnsi="Calibri"/>
      <w:b/>
      <w:sz w:val="24"/>
      <w:szCs w:val="24"/>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4E166B"/>
    <w:pPr>
      <w:numPr>
        <w:numId w:val="31"/>
      </w:numPr>
    </w:pPr>
    <w:rPr>
      <w:rFonts w:ascii="Calibri" w:hAnsi="Calibri"/>
    </w:r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paragraph" w:customStyle="1" w:styleId="Endofdocument">
    <w:name w:val="End of document"/>
    <w:basedOn w:val="Normal"/>
    <w:rsid w:val="004E166B"/>
    <w:pPr>
      <w:bidi w:val="0"/>
      <w:spacing w:line="260" w:lineRule="atLeast"/>
      <w:ind w:left="5534"/>
    </w:pPr>
    <w:rPr>
      <w:rFonts w:eastAsia="Times New Roman" w:cs="Times New Roman"/>
      <w:sz w:val="20"/>
      <w:szCs w:val="20"/>
      <w:lang w:eastAsia="en-US" w:bidi="ar-EG"/>
    </w:rPr>
  </w:style>
  <w:style w:type="character" w:styleId="Hyperlink">
    <w:name w:val="Hyperlink"/>
    <w:uiPriority w:val="99"/>
    <w:unhideWhenUsed/>
    <w:rsid w:val="004E16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CWS_1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3E2C4-3751-4AA0-8772-C4CD2847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CWS_11_AR.dotx</Template>
  <TotalTime>1</TotalTime>
  <Pages>3</Pages>
  <Words>832</Words>
  <Characters>4285</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CWS/11/13 (Arabic)</vt:lpstr>
      <vt:lpstr>CWS/11/13 (Arabic)</vt:lpstr>
    </vt:vector>
  </TitlesOfParts>
  <Company>WIPO</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CWS/11/13 (Arabic)</dc:title>
  <dc:creator>ENDANI Ahmad</dc:creator>
  <cp:keywords>FOR OFFICIAL USE ONLY</cp:keywords>
  <cp:lastModifiedBy>YOUSSEF Randa</cp:lastModifiedBy>
  <cp:revision>2</cp:revision>
  <cp:lastPrinted>2023-10-19T14:35:00Z</cp:lastPrinted>
  <dcterms:created xsi:type="dcterms:W3CDTF">2023-11-08T11:27:00Z</dcterms:created>
  <dcterms:modified xsi:type="dcterms:W3CDTF">2023-11-08T11:27:00Z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2023-10-19T14:25:26Z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c83898ce-1f92-4e07-8904-bd8c6aa101be</vt:lpwstr>
  </property>
  <property fmtid="{D5CDD505-2E9C-101B-9397-08002B2CF9AE}" pid="14" name="MSIP_Label_20773ee6-353b-4fb9-a59d-0b94c8c67bea_ContentBits">
    <vt:lpwstr>0</vt:lpwstr>
  </property>
</Properties>
</file>