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91A6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70778E" w:rsidP="00250149">
      <w:pPr>
        <w:bidi w:val="0"/>
        <w:rPr>
          <w:rFonts w:ascii="Arial Black" w:hAnsi="Arial Black"/>
          <w:caps/>
          <w:sz w:val="15"/>
          <w:szCs w:val="15"/>
        </w:rPr>
      </w:pP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>CWS/10</w:t>
      </w:r>
      <w:r w:rsidR="00FE5D75" w:rsidRPr="00FE5D75">
        <w:rPr>
          <w:rFonts w:ascii="Arial Black" w:hAnsi="Arial Black"/>
          <w:caps/>
          <w:sz w:val="15"/>
          <w:szCs w:val="15"/>
        </w:rPr>
        <w:t>/</w:t>
      </w:r>
      <w:r w:rsidR="00D62C5F">
        <w:rPr>
          <w:rFonts w:ascii="Arial Black" w:hAnsi="Arial Black"/>
          <w:caps/>
          <w:sz w:val="15"/>
          <w:szCs w:val="15"/>
        </w:rPr>
        <w:t>19</w:t>
      </w:r>
    </w:p>
    <w:p w:rsidR="008B2CC1" w:rsidRPr="0070778E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Original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62607" w:rsidRPr="0070778E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B2CC1" w:rsidRPr="0070778E" w:rsidRDefault="00CC3E2D" w:rsidP="00D62C5F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262607"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D62C5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</w:t>
      </w:r>
      <w:r w:rsidR="0044191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70778E"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>س</w:t>
      </w:r>
      <w:r w:rsidR="00441910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>بتمبر 2022</w:t>
      </w:r>
    </w:p>
    <w:bookmarkEnd w:id="3"/>
    <w:p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:rsidR="00A90F0A" w:rsidRPr="00D67EAE" w:rsidRDefault="00D67EAE" w:rsidP="0070778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العاشرة</w:t>
      </w:r>
    </w:p>
    <w:p w:rsidR="008B2CC1" w:rsidRPr="00D67EAE" w:rsidRDefault="00D67EAE" w:rsidP="0070778E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21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25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0778E">
        <w:rPr>
          <w:rFonts w:asciiTheme="minorHAnsi" w:hAnsiTheme="minorHAnsi" w:cstheme="minorHAnsi" w:hint="cs"/>
          <w:bCs/>
          <w:sz w:val="24"/>
          <w:szCs w:val="24"/>
          <w:rtl/>
        </w:rPr>
        <w:t>2022</w:t>
      </w:r>
    </w:p>
    <w:p w:rsidR="008B2CC1" w:rsidRPr="00262607" w:rsidRDefault="00D62C5F" w:rsidP="00D62C5F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4" w:name="TitleOfDoc"/>
      <w:r>
        <w:rPr>
          <w:rFonts w:asciiTheme="minorHAnsi" w:hAnsiTheme="minorHAnsi" w:hint="cs"/>
          <w:caps/>
          <w:sz w:val="24"/>
          <w:szCs w:val="24"/>
          <w:rtl/>
        </w:rPr>
        <w:t xml:space="preserve">تقرير عن </w:t>
      </w:r>
      <w:r w:rsidRPr="00D62C5F">
        <w:rPr>
          <w:rFonts w:asciiTheme="minorHAnsi" w:hAnsiTheme="minorHAnsi"/>
          <w:caps/>
          <w:sz w:val="24"/>
          <w:szCs w:val="24"/>
          <w:rtl/>
        </w:rPr>
        <w:t>ال</w:t>
      </w:r>
      <w:r>
        <w:rPr>
          <w:rFonts w:asciiTheme="minorHAnsi" w:hAnsiTheme="minorHAnsi"/>
          <w:caps/>
          <w:sz w:val="24"/>
          <w:szCs w:val="24"/>
          <w:rtl/>
        </w:rPr>
        <w:t xml:space="preserve">تقارير التقنية السنوية لعام </w:t>
      </w:r>
      <w:r>
        <w:rPr>
          <w:rFonts w:asciiTheme="minorHAnsi" w:hAnsiTheme="minorHAnsi" w:hint="cs"/>
          <w:caps/>
          <w:sz w:val="24"/>
          <w:szCs w:val="24"/>
          <w:rtl/>
        </w:rPr>
        <w:t>2021</w:t>
      </w:r>
    </w:p>
    <w:p w:rsidR="002928D3" w:rsidRDefault="00441910" w:rsidP="00D62C5F">
      <w:pPr>
        <w:spacing w:after="600"/>
        <w:rPr>
          <w:rFonts w:asciiTheme="minorHAnsi" w:hAnsiTheme="minorHAnsi" w:cstheme="minorHAnsi"/>
          <w:iCs/>
        </w:rPr>
      </w:pPr>
      <w:bookmarkStart w:id="5" w:name="Prepared"/>
      <w:bookmarkEnd w:id="4"/>
      <w:bookmarkEnd w:id="5"/>
      <w:r w:rsidRPr="00441910">
        <w:rPr>
          <w:rFonts w:asciiTheme="minorHAnsi" w:hAnsiTheme="minorHAnsi"/>
          <w:iCs/>
          <w:rtl/>
        </w:rPr>
        <w:t xml:space="preserve">وثيقة من </w:t>
      </w:r>
      <w:r w:rsidR="00D62C5F" w:rsidRPr="00D62C5F">
        <w:rPr>
          <w:rFonts w:asciiTheme="minorHAnsi" w:hAnsiTheme="minorHAnsi"/>
          <w:iCs/>
          <w:rtl/>
        </w:rPr>
        <w:t>إعداد المكتب الدولي</w:t>
      </w:r>
    </w:p>
    <w:p w:rsidR="00441910" w:rsidRPr="00441910" w:rsidRDefault="00441910" w:rsidP="00D62C5F">
      <w:pPr>
        <w:pStyle w:val="Heading2"/>
        <w:rPr>
          <w:i/>
          <w:iCs w:val="0"/>
          <w:sz w:val="24"/>
          <w:szCs w:val="24"/>
          <w:lang w:bidi="ar-LB"/>
        </w:rPr>
      </w:pPr>
      <w:r w:rsidRPr="00441910">
        <w:rPr>
          <w:rFonts w:hint="cs"/>
          <w:i/>
          <w:iCs w:val="0"/>
          <w:sz w:val="24"/>
          <w:szCs w:val="24"/>
          <w:rtl/>
          <w:lang w:bidi="ar-LB"/>
        </w:rPr>
        <w:t>م</w:t>
      </w:r>
      <w:r w:rsidR="00D62C5F">
        <w:rPr>
          <w:rFonts w:hint="cs"/>
          <w:i/>
          <w:iCs w:val="0"/>
          <w:sz w:val="24"/>
          <w:szCs w:val="24"/>
          <w:rtl/>
          <w:lang w:bidi="ar-LB"/>
        </w:rPr>
        <w:t>علومات أساسية</w:t>
      </w:r>
    </w:p>
    <w:p w:rsidR="00D62C5F" w:rsidRDefault="00D62C5F" w:rsidP="00334E66">
      <w:pPr>
        <w:pStyle w:val="ONUMA"/>
        <w:rPr>
          <w:lang w:bidi="ar-LB"/>
        </w:rPr>
      </w:pPr>
      <w:r w:rsidRPr="00D62C5F">
        <w:rPr>
          <w:rtl/>
          <w:lang w:bidi="ar-LB"/>
        </w:rPr>
        <w:t>وافقت</w:t>
      </w:r>
      <w:r w:rsidRPr="00D62C5F">
        <w:rPr>
          <w:rtl/>
        </w:rPr>
        <w:t xml:space="preserve"> </w:t>
      </w:r>
      <w:r w:rsidRPr="00D62C5F">
        <w:rPr>
          <w:rtl/>
          <w:lang w:bidi="ar-LB"/>
        </w:rPr>
        <w:t xml:space="preserve">اللجنة المعنية بمعايير الويبو </w:t>
      </w:r>
      <w:r>
        <w:rPr>
          <w:rFonts w:hint="cs"/>
          <w:rtl/>
          <w:lang w:bidi="ar-LB"/>
        </w:rPr>
        <w:t>(</w:t>
      </w:r>
      <w:r w:rsidRPr="00D62C5F">
        <w:rPr>
          <w:rtl/>
          <w:lang w:bidi="ar-LB"/>
        </w:rPr>
        <w:t>لجنة المعايير</w:t>
      </w:r>
      <w:r>
        <w:rPr>
          <w:rFonts w:hint="cs"/>
          <w:rtl/>
          <w:lang w:bidi="ar-LB"/>
        </w:rPr>
        <w:t>)</w:t>
      </w:r>
      <w:r w:rsidRPr="00D62C5F">
        <w:rPr>
          <w:rtl/>
          <w:lang w:bidi="ar-LB"/>
        </w:rPr>
        <w:t>، في دورتها التاسعة في عام 2021، على تعديل طريقة جمع التقارير ال</w:t>
      </w:r>
      <w:r>
        <w:rPr>
          <w:rFonts w:hint="cs"/>
          <w:rtl/>
          <w:lang w:bidi="ar-LB"/>
        </w:rPr>
        <w:t>تق</w:t>
      </w:r>
      <w:r w:rsidRPr="00D62C5F">
        <w:rPr>
          <w:rtl/>
          <w:lang w:bidi="ar-LB"/>
        </w:rPr>
        <w:t xml:space="preserve">نية السنوية في ضوء انخفاض معدلات المشاركة من قبل مكاتب الملكية الفكرية. </w:t>
      </w:r>
      <w:r>
        <w:rPr>
          <w:rFonts w:hint="cs"/>
          <w:rtl/>
          <w:lang w:bidi="ar-LB"/>
        </w:rPr>
        <w:t>و</w:t>
      </w:r>
      <w:r w:rsidRPr="00D62C5F">
        <w:rPr>
          <w:rtl/>
          <w:lang w:bidi="ar-LB"/>
        </w:rPr>
        <w:t>تبنت</w:t>
      </w:r>
      <w:r>
        <w:rPr>
          <w:rFonts w:hint="cs"/>
          <w:rtl/>
          <w:lang w:bidi="ar-LB"/>
        </w:rPr>
        <w:t xml:space="preserve"> لجنة المعايير</w:t>
      </w:r>
      <w:r w:rsidRPr="00D62C5F">
        <w:rPr>
          <w:rtl/>
          <w:lang w:bidi="ar-LB"/>
        </w:rPr>
        <w:t xml:space="preserve"> </w:t>
      </w:r>
      <w:r>
        <w:rPr>
          <w:rtl/>
          <w:lang w:bidi="ar-LB"/>
        </w:rPr>
        <w:t>نسق</w:t>
      </w:r>
      <w:r w:rsidRPr="00D62C5F">
        <w:rPr>
          <w:rtl/>
          <w:lang w:bidi="ar-LB"/>
        </w:rPr>
        <w:t>ا</w:t>
      </w:r>
      <w:r>
        <w:rPr>
          <w:rFonts w:hint="cs"/>
          <w:rtl/>
          <w:lang w:bidi="ar-LB"/>
        </w:rPr>
        <w:t>ً</w:t>
      </w:r>
      <w:r>
        <w:rPr>
          <w:rtl/>
          <w:lang w:bidi="ar-LB"/>
        </w:rPr>
        <w:t xml:space="preserve"> مبسط</w:t>
      </w:r>
      <w:r w:rsidRPr="00D62C5F">
        <w:rPr>
          <w:rtl/>
          <w:lang w:bidi="ar-LB"/>
        </w:rPr>
        <w:t>ا</w:t>
      </w:r>
      <w:r>
        <w:rPr>
          <w:rFonts w:hint="cs"/>
          <w:rtl/>
          <w:lang w:bidi="ar-LB"/>
        </w:rPr>
        <w:t>ً</w:t>
      </w:r>
      <w:r w:rsidRPr="00D62C5F">
        <w:rPr>
          <w:rtl/>
          <w:lang w:bidi="ar-LB"/>
        </w:rPr>
        <w:t xml:space="preserve"> توفر </w:t>
      </w:r>
      <w:r>
        <w:rPr>
          <w:rFonts w:hint="cs"/>
          <w:rtl/>
          <w:lang w:bidi="ar-LB"/>
        </w:rPr>
        <w:t xml:space="preserve">بموجبه </w:t>
      </w:r>
      <w:r w:rsidRPr="00D62C5F">
        <w:rPr>
          <w:rtl/>
          <w:lang w:bidi="ar-LB"/>
        </w:rPr>
        <w:t>مكاتب الملكية الفكرية روابط لتقريرها السنوي أو موقعها الإلكتروني بدلاً من النص إ</w:t>
      </w:r>
      <w:r>
        <w:rPr>
          <w:rFonts w:hint="cs"/>
          <w:rtl/>
          <w:lang w:bidi="ar-LB"/>
        </w:rPr>
        <w:t xml:space="preserve">ن </w:t>
      </w:r>
      <w:r w:rsidRPr="00D62C5F">
        <w:rPr>
          <w:rtl/>
          <w:lang w:bidi="ar-LB"/>
        </w:rPr>
        <w:t>اختار</w:t>
      </w:r>
      <w:r>
        <w:rPr>
          <w:rFonts w:hint="cs"/>
          <w:rtl/>
          <w:lang w:bidi="ar-LB"/>
        </w:rPr>
        <w:t xml:space="preserve">ت </w:t>
      </w:r>
      <w:r w:rsidRPr="00D62C5F">
        <w:rPr>
          <w:rtl/>
          <w:lang w:bidi="ar-LB"/>
        </w:rPr>
        <w:t xml:space="preserve">ذلك. </w:t>
      </w:r>
      <w:r>
        <w:rPr>
          <w:rFonts w:hint="cs"/>
          <w:rtl/>
          <w:lang w:bidi="ar-LB"/>
        </w:rPr>
        <w:t>و</w:t>
      </w:r>
      <w:r w:rsidRPr="00D62C5F">
        <w:rPr>
          <w:rtl/>
          <w:lang w:bidi="ar-LB"/>
        </w:rPr>
        <w:t>سيستخد</w:t>
      </w:r>
      <w:r>
        <w:rPr>
          <w:rtl/>
          <w:lang w:bidi="ar-LB"/>
        </w:rPr>
        <w:t>م ال</w:t>
      </w:r>
      <w:r w:rsidRPr="00D62C5F">
        <w:rPr>
          <w:rtl/>
          <w:lang w:bidi="ar-LB"/>
        </w:rPr>
        <w:t>نسق المبسط لمدة ثلاث سنوات، ثم ستعيد</w:t>
      </w:r>
      <w:r>
        <w:rPr>
          <w:rFonts w:hint="cs"/>
          <w:rtl/>
          <w:lang w:bidi="ar-LB"/>
        </w:rPr>
        <w:t xml:space="preserve"> لجنة المعايير ا</w:t>
      </w:r>
      <w:r w:rsidRPr="00D62C5F">
        <w:rPr>
          <w:rtl/>
          <w:lang w:bidi="ar-LB"/>
        </w:rPr>
        <w:t xml:space="preserve">لنظر فيما إذا كانت ستستمر في جمع </w:t>
      </w:r>
      <w:r w:rsidR="00334E66" w:rsidRPr="00D62C5F">
        <w:rPr>
          <w:rtl/>
          <w:lang w:bidi="ar-LB"/>
        </w:rPr>
        <w:t>التقارير ال</w:t>
      </w:r>
      <w:r w:rsidR="00334E66">
        <w:rPr>
          <w:rFonts w:hint="cs"/>
          <w:rtl/>
          <w:lang w:bidi="ar-LB"/>
        </w:rPr>
        <w:t>تق</w:t>
      </w:r>
      <w:r w:rsidR="00334E66" w:rsidRPr="00D62C5F">
        <w:rPr>
          <w:rtl/>
          <w:lang w:bidi="ar-LB"/>
        </w:rPr>
        <w:t xml:space="preserve">نية السنوية </w:t>
      </w:r>
      <w:r w:rsidRPr="00D62C5F">
        <w:rPr>
          <w:rtl/>
          <w:lang w:bidi="ar-LB"/>
        </w:rPr>
        <w:t>أم لا. (انظر</w:t>
      </w:r>
      <w:r w:rsidR="00334E66">
        <w:rPr>
          <w:rFonts w:hint="cs"/>
          <w:rtl/>
          <w:lang w:bidi="ar-LB"/>
        </w:rPr>
        <w:t>(ي)</w:t>
      </w:r>
      <w:r w:rsidRPr="00D62C5F">
        <w:rPr>
          <w:rtl/>
          <w:lang w:bidi="ar-LB"/>
        </w:rPr>
        <w:t xml:space="preserve"> الفقرات 97 إلى 105 من الوثيقة </w:t>
      </w:r>
      <w:r w:rsidRPr="00D62C5F">
        <w:rPr>
          <w:lang w:bidi="ar-LB"/>
        </w:rPr>
        <w:t>CWS/9/25</w:t>
      </w:r>
      <w:r w:rsidRPr="00D62C5F">
        <w:rPr>
          <w:rtl/>
          <w:lang w:bidi="ar-LB"/>
        </w:rPr>
        <w:t>).</w:t>
      </w:r>
    </w:p>
    <w:p w:rsidR="00334E66" w:rsidRPr="00334E66" w:rsidRDefault="00334E66" w:rsidP="00334E66">
      <w:pPr>
        <w:pStyle w:val="Heading2"/>
        <w:rPr>
          <w:i/>
          <w:iCs w:val="0"/>
          <w:sz w:val="24"/>
          <w:szCs w:val="24"/>
          <w:lang w:bidi="ar-LB"/>
        </w:rPr>
      </w:pPr>
      <w:r w:rsidRPr="00334E66">
        <w:rPr>
          <w:i/>
          <w:iCs w:val="0"/>
          <w:sz w:val="24"/>
          <w:szCs w:val="24"/>
          <w:rtl/>
          <w:lang w:bidi="ar-LB"/>
        </w:rPr>
        <w:t xml:space="preserve">تقرير عن </w:t>
      </w:r>
      <w:r w:rsidRPr="00334E66">
        <w:rPr>
          <w:rFonts w:hint="cs"/>
          <w:i/>
          <w:iCs w:val="0"/>
          <w:sz w:val="24"/>
          <w:szCs w:val="24"/>
          <w:rtl/>
          <w:lang w:bidi="ar-LB"/>
        </w:rPr>
        <w:t>الأ</w:t>
      </w:r>
      <w:r w:rsidRPr="00334E66">
        <w:rPr>
          <w:i/>
          <w:iCs w:val="0"/>
          <w:sz w:val="24"/>
          <w:szCs w:val="24"/>
          <w:rtl/>
          <w:lang w:bidi="ar-LB"/>
        </w:rPr>
        <w:t>نشط</w:t>
      </w:r>
      <w:r w:rsidRPr="00334E66">
        <w:rPr>
          <w:rFonts w:hint="cs"/>
          <w:i/>
          <w:iCs w:val="0"/>
          <w:sz w:val="24"/>
          <w:szCs w:val="24"/>
          <w:rtl/>
          <w:lang w:bidi="ar-LB"/>
        </w:rPr>
        <w:t>ة</w:t>
      </w:r>
    </w:p>
    <w:p w:rsidR="00334E66" w:rsidRDefault="00334E66" w:rsidP="00334E66">
      <w:pPr>
        <w:pStyle w:val="ONUMA"/>
        <w:rPr>
          <w:lang w:bidi="ar-LB"/>
        </w:rPr>
      </w:pPr>
      <w:r w:rsidRPr="00334E66">
        <w:rPr>
          <w:rtl/>
          <w:lang w:bidi="ar-LB"/>
        </w:rPr>
        <w:t xml:space="preserve">في أبريل 2022، وزعت الأمانة نموذجًا </w:t>
      </w:r>
      <w:r>
        <w:rPr>
          <w:rFonts w:hint="cs"/>
          <w:rtl/>
          <w:lang w:bidi="ar-LB"/>
        </w:rPr>
        <w:t>ل</w:t>
      </w:r>
      <w:r w:rsidRPr="00D62C5F">
        <w:rPr>
          <w:rtl/>
          <w:lang w:bidi="ar-LB"/>
        </w:rPr>
        <w:t>لتقارير ال</w:t>
      </w:r>
      <w:r>
        <w:rPr>
          <w:rFonts w:hint="cs"/>
          <w:rtl/>
          <w:lang w:bidi="ar-LB"/>
        </w:rPr>
        <w:t>تق</w:t>
      </w:r>
      <w:r w:rsidRPr="00D62C5F">
        <w:rPr>
          <w:rtl/>
          <w:lang w:bidi="ar-LB"/>
        </w:rPr>
        <w:t>نية السنوية</w:t>
      </w:r>
      <w:r>
        <w:rPr>
          <w:rFonts w:hint="cs"/>
          <w:rtl/>
          <w:lang w:bidi="ar-LB"/>
        </w:rPr>
        <w:t xml:space="preserve"> </w:t>
      </w:r>
      <w:r w:rsidRPr="00334E66">
        <w:rPr>
          <w:rtl/>
          <w:lang w:bidi="ar-LB"/>
        </w:rPr>
        <w:t xml:space="preserve">المبسطة لمقدمي </w:t>
      </w:r>
      <w:r>
        <w:rPr>
          <w:rFonts w:hint="cs"/>
          <w:rtl/>
          <w:lang w:bidi="ar-LB"/>
        </w:rPr>
        <w:t xml:space="preserve">هذه </w:t>
      </w:r>
      <w:r w:rsidRPr="00D62C5F">
        <w:rPr>
          <w:rtl/>
          <w:lang w:bidi="ar-LB"/>
        </w:rPr>
        <w:t xml:space="preserve">التقارير </w:t>
      </w:r>
      <w:r w:rsidRPr="00334E66">
        <w:rPr>
          <w:rtl/>
          <w:lang w:bidi="ar-LB"/>
        </w:rPr>
        <w:t xml:space="preserve">المسجلين للتعليق. </w:t>
      </w:r>
      <w:r>
        <w:rPr>
          <w:rFonts w:hint="cs"/>
          <w:rtl/>
          <w:lang w:bidi="ar-LB"/>
        </w:rPr>
        <w:t>و</w:t>
      </w:r>
      <w:r w:rsidRPr="00334E66">
        <w:rPr>
          <w:rtl/>
          <w:lang w:bidi="ar-LB"/>
        </w:rPr>
        <w:t>استجابت أربع</w:t>
      </w:r>
      <w:r>
        <w:rPr>
          <w:rFonts w:hint="cs"/>
          <w:rtl/>
          <w:lang w:bidi="ar-LB"/>
        </w:rPr>
        <w:t>ة</w:t>
      </w:r>
      <w:r w:rsidRPr="00334E66"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>م</w:t>
      </w:r>
      <w:r w:rsidRPr="00334E66">
        <w:rPr>
          <w:rtl/>
          <w:lang w:bidi="ar-LB"/>
        </w:rPr>
        <w:t>ك</w:t>
      </w:r>
      <w:r>
        <w:rPr>
          <w:rFonts w:hint="cs"/>
          <w:rtl/>
          <w:lang w:bidi="ar-LB"/>
        </w:rPr>
        <w:t>ا</w:t>
      </w:r>
      <w:r w:rsidRPr="00334E66">
        <w:rPr>
          <w:rtl/>
          <w:lang w:bidi="ar-LB"/>
        </w:rPr>
        <w:t xml:space="preserve">تب </w:t>
      </w:r>
      <w:r>
        <w:rPr>
          <w:rFonts w:hint="cs"/>
          <w:rtl/>
          <w:lang w:bidi="ar-LB"/>
        </w:rPr>
        <w:t>للملكية الفكرية على الطلب</w:t>
      </w:r>
      <w:r w:rsidRPr="00334E66">
        <w:rPr>
          <w:rtl/>
          <w:lang w:bidi="ar-LB"/>
        </w:rPr>
        <w:t xml:space="preserve">، </w:t>
      </w:r>
      <w:r>
        <w:rPr>
          <w:rFonts w:hint="cs"/>
          <w:rtl/>
          <w:lang w:bidi="ar-LB"/>
        </w:rPr>
        <w:t>و</w:t>
      </w:r>
      <w:r w:rsidRPr="00334E66">
        <w:rPr>
          <w:rtl/>
          <w:lang w:bidi="ar-LB"/>
        </w:rPr>
        <w:t>دعم</w:t>
      </w:r>
      <w:r>
        <w:rPr>
          <w:rFonts w:hint="cs"/>
          <w:rtl/>
          <w:lang w:bidi="ar-LB"/>
        </w:rPr>
        <w:t>ت</w:t>
      </w:r>
      <w:r w:rsidRPr="00334E66">
        <w:rPr>
          <w:rtl/>
          <w:lang w:bidi="ar-LB"/>
        </w:rPr>
        <w:t xml:space="preserve"> جميعها </w:t>
      </w:r>
      <w:r>
        <w:rPr>
          <w:rFonts w:hint="cs"/>
          <w:rtl/>
          <w:lang w:bidi="ar-LB"/>
        </w:rPr>
        <w:t>ا</w:t>
      </w:r>
      <w:r w:rsidRPr="00334E66">
        <w:rPr>
          <w:rtl/>
          <w:lang w:bidi="ar-LB"/>
        </w:rPr>
        <w:t xml:space="preserve">لنموذج المبسط طالما ظلت ممارسات </w:t>
      </w:r>
      <w:r w:rsidRPr="00D62C5F">
        <w:rPr>
          <w:rtl/>
          <w:lang w:bidi="ar-LB"/>
        </w:rPr>
        <w:t>التقارير ال</w:t>
      </w:r>
      <w:r>
        <w:rPr>
          <w:rFonts w:hint="cs"/>
          <w:rtl/>
          <w:lang w:bidi="ar-LB"/>
        </w:rPr>
        <w:t>تق</w:t>
      </w:r>
      <w:r w:rsidRPr="00D62C5F">
        <w:rPr>
          <w:rtl/>
          <w:lang w:bidi="ar-LB"/>
        </w:rPr>
        <w:t xml:space="preserve">نية السنوية </w:t>
      </w:r>
      <w:r w:rsidRPr="00334E66">
        <w:rPr>
          <w:rtl/>
          <w:lang w:bidi="ar-LB"/>
        </w:rPr>
        <w:t>الأخرى كما هي (أي الإعلان عن جمع</w:t>
      </w:r>
      <w:r>
        <w:rPr>
          <w:rFonts w:hint="cs"/>
          <w:rtl/>
          <w:lang w:bidi="ar-LB"/>
        </w:rPr>
        <w:t xml:space="preserve"> </w:t>
      </w:r>
      <w:r w:rsidRPr="00D62C5F">
        <w:rPr>
          <w:rtl/>
          <w:lang w:bidi="ar-LB"/>
        </w:rPr>
        <w:t>التقارير ال</w:t>
      </w:r>
      <w:r>
        <w:rPr>
          <w:rFonts w:hint="cs"/>
          <w:rtl/>
          <w:lang w:bidi="ar-LB"/>
        </w:rPr>
        <w:t>تق</w:t>
      </w:r>
      <w:r w:rsidRPr="00D62C5F">
        <w:rPr>
          <w:rtl/>
          <w:lang w:bidi="ar-LB"/>
        </w:rPr>
        <w:t>نية السنوية</w:t>
      </w:r>
      <w:r>
        <w:rPr>
          <w:rFonts w:hint="cs"/>
          <w:rtl/>
          <w:lang w:bidi="ar-LB"/>
        </w:rPr>
        <w:t xml:space="preserve"> </w:t>
      </w:r>
      <w:r w:rsidRPr="00334E66">
        <w:rPr>
          <w:rtl/>
          <w:lang w:bidi="ar-LB"/>
        </w:rPr>
        <w:t>عبر ال</w:t>
      </w:r>
      <w:r>
        <w:rPr>
          <w:rFonts w:hint="cs"/>
          <w:rtl/>
          <w:lang w:bidi="ar-LB"/>
        </w:rPr>
        <w:t xml:space="preserve">تعميمات </w:t>
      </w:r>
      <w:r>
        <w:rPr>
          <w:rtl/>
          <w:lang w:bidi="ar-LB"/>
        </w:rPr>
        <w:t xml:space="preserve">والسماح </w:t>
      </w:r>
      <w:r w:rsidRPr="00334E66">
        <w:rPr>
          <w:rtl/>
          <w:lang w:bidi="ar-LB"/>
        </w:rPr>
        <w:t>ل</w:t>
      </w:r>
      <w:r>
        <w:rPr>
          <w:rFonts w:hint="cs"/>
          <w:rtl/>
          <w:lang w:bidi="ar-LB"/>
        </w:rPr>
        <w:t>م</w:t>
      </w:r>
      <w:r w:rsidRPr="00334E66">
        <w:rPr>
          <w:rtl/>
          <w:lang w:bidi="ar-LB"/>
        </w:rPr>
        <w:t>ك</w:t>
      </w:r>
      <w:r>
        <w:rPr>
          <w:rFonts w:hint="cs"/>
          <w:rtl/>
          <w:lang w:bidi="ar-LB"/>
        </w:rPr>
        <w:t>ا</w:t>
      </w:r>
      <w:r w:rsidRPr="00334E66">
        <w:rPr>
          <w:rtl/>
          <w:lang w:bidi="ar-LB"/>
        </w:rPr>
        <w:t>تب</w:t>
      </w:r>
      <w:r w:rsidRPr="00334E66">
        <w:rPr>
          <w:rFonts w:hint="cs"/>
          <w:rtl/>
          <w:lang w:bidi="ar-LB"/>
        </w:rPr>
        <w:t xml:space="preserve"> </w:t>
      </w:r>
      <w:r>
        <w:rPr>
          <w:rFonts w:hint="cs"/>
          <w:rtl/>
          <w:lang w:bidi="ar-LB"/>
        </w:rPr>
        <w:t>الملكية الفكرية</w:t>
      </w:r>
      <w:r w:rsidRPr="00334E66">
        <w:rPr>
          <w:rtl/>
          <w:lang w:bidi="ar-LB"/>
        </w:rPr>
        <w:t xml:space="preserve"> بتقديم إجابات نصية كاملة). وأكدت الأمانة أن هذه الممارسات ستستمر لمدة ثلاث سنوات </w:t>
      </w:r>
      <w:r>
        <w:rPr>
          <w:rFonts w:hint="cs"/>
          <w:rtl/>
          <w:lang w:bidi="ar-LB"/>
        </w:rPr>
        <w:t xml:space="preserve">بهدف </w:t>
      </w:r>
      <w:r w:rsidRPr="00334E66">
        <w:rPr>
          <w:rtl/>
          <w:lang w:bidi="ar-LB"/>
        </w:rPr>
        <w:t xml:space="preserve">تجربة </w:t>
      </w:r>
      <w:r>
        <w:rPr>
          <w:rFonts w:hint="cs"/>
          <w:rtl/>
          <w:lang w:bidi="ar-LB"/>
        </w:rPr>
        <w:t xml:space="preserve">النسق </w:t>
      </w:r>
      <w:r w:rsidRPr="00334E66">
        <w:rPr>
          <w:rtl/>
          <w:lang w:bidi="ar-LB"/>
        </w:rPr>
        <w:t>المبسط.</w:t>
      </w:r>
    </w:p>
    <w:p w:rsidR="00334E66" w:rsidRDefault="00334E66" w:rsidP="00334E66">
      <w:pPr>
        <w:pStyle w:val="ONUMA"/>
        <w:rPr>
          <w:lang w:bidi="ar-LB"/>
        </w:rPr>
      </w:pPr>
      <w:r>
        <w:rPr>
          <w:rFonts w:hint="cs"/>
          <w:rtl/>
          <w:lang w:bidi="ar-LB"/>
        </w:rPr>
        <w:t>و</w:t>
      </w:r>
      <w:r w:rsidRPr="00334E66">
        <w:rPr>
          <w:rtl/>
          <w:lang w:bidi="ar-LB"/>
        </w:rPr>
        <w:t xml:space="preserve">في يونيو 2022، أصدرت الأمانة </w:t>
      </w:r>
      <w:r>
        <w:rPr>
          <w:rFonts w:hint="cs"/>
          <w:rtl/>
          <w:lang w:bidi="ar-LB"/>
        </w:rPr>
        <w:t>ال</w:t>
      </w:r>
      <w:r w:rsidRPr="00334E66">
        <w:rPr>
          <w:rtl/>
          <w:lang w:bidi="ar-LB"/>
        </w:rPr>
        <w:t xml:space="preserve">تعميمات </w:t>
      </w:r>
      <w:r w:rsidRPr="00334E66">
        <w:rPr>
          <w:lang w:bidi="ar-LB"/>
        </w:rPr>
        <w:t>C. CWS 158</w:t>
      </w:r>
      <w:r w:rsidRPr="00334E66">
        <w:rPr>
          <w:rtl/>
          <w:lang w:bidi="ar-LB"/>
        </w:rPr>
        <w:t xml:space="preserve"> و159 </w:t>
      </w:r>
      <w:r w:rsidRPr="00334E66">
        <w:rPr>
          <w:lang w:bidi="ar-LB"/>
        </w:rPr>
        <w:t>C. CWS</w:t>
      </w:r>
      <w:r w:rsidRPr="00334E66">
        <w:rPr>
          <w:rtl/>
          <w:lang w:bidi="ar-LB"/>
        </w:rPr>
        <w:t xml:space="preserve"> و160 </w:t>
      </w:r>
      <w:r w:rsidRPr="00334E66">
        <w:rPr>
          <w:lang w:bidi="ar-LB"/>
        </w:rPr>
        <w:t>C. CWS</w:t>
      </w:r>
      <w:r w:rsidRPr="00334E66">
        <w:rPr>
          <w:rtl/>
          <w:lang w:bidi="ar-LB"/>
        </w:rPr>
        <w:t xml:space="preserve"> تطلب </w:t>
      </w:r>
      <w:r>
        <w:rPr>
          <w:rFonts w:hint="cs"/>
          <w:rtl/>
          <w:lang w:bidi="ar-LB"/>
        </w:rPr>
        <w:t xml:space="preserve">فيها </w:t>
      </w:r>
      <w:r w:rsidRPr="00334E66">
        <w:rPr>
          <w:rtl/>
          <w:lang w:bidi="ar-LB"/>
        </w:rPr>
        <w:t xml:space="preserve">من مكاتب الملكية الفكرية تقديم </w:t>
      </w:r>
      <w:r w:rsidRPr="00D62C5F">
        <w:rPr>
          <w:rtl/>
          <w:lang w:bidi="ar-LB"/>
        </w:rPr>
        <w:t xml:space="preserve">تقارير </w:t>
      </w:r>
      <w:r>
        <w:rPr>
          <w:rFonts w:hint="cs"/>
          <w:rtl/>
          <w:lang w:bidi="ar-LB"/>
        </w:rPr>
        <w:t>تق</w:t>
      </w:r>
      <w:r w:rsidRPr="00D62C5F">
        <w:rPr>
          <w:rtl/>
          <w:lang w:bidi="ar-LB"/>
        </w:rPr>
        <w:t>نية سنوية</w:t>
      </w:r>
      <w:r>
        <w:rPr>
          <w:rFonts w:hint="cs"/>
          <w:rtl/>
          <w:lang w:bidi="ar-LB"/>
        </w:rPr>
        <w:t xml:space="preserve"> </w:t>
      </w:r>
      <w:r w:rsidRPr="00334E66">
        <w:rPr>
          <w:rtl/>
          <w:lang w:bidi="ar-LB"/>
        </w:rPr>
        <w:t>عن أنشطتها في عام 2021. وقد استلم</w:t>
      </w:r>
      <w:r>
        <w:rPr>
          <w:rFonts w:hint="cs"/>
          <w:rtl/>
          <w:lang w:bidi="ar-LB"/>
        </w:rPr>
        <w:t>ت</w:t>
      </w:r>
      <w:r w:rsidRPr="00334E66"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 xml:space="preserve">مساهمات </w:t>
      </w:r>
      <w:r w:rsidRPr="00334E66">
        <w:rPr>
          <w:rtl/>
          <w:lang w:bidi="ar-LB"/>
        </w:rPr>
        <w:t xml:space="preserve">من 17 مكتبًا للملكية الفكرية. ويمثل هذا انخفاضًا طفيفًا عن العام الماضي، </w:t>
      </w:r>
      <w:r>
        <w:rPr>
          <w:rFonts w:hint="cs"/>
          <w:rtl/>
          <w:lang w:bidi="ar-LB"/>
        </w:rPr>
        <w:t xml:space="preserve">إذ جرى </w:t>
      </w:r>
      <w:r w:rsidRPr="00334E66">
        <w:rPr>
          <w:rtl/>
          <w:lang w:bidi="ar-LB"/>
        </w:rPr>
        <w:t xml:space="preserve">استلام </w:t>
      </w:r>
      <w:r>
        <w:rPr>
          <w:rFonts w:hint="cs"/>
          <w:rtl/>
          <w:lang w:bidi="ar-LB"/>
        </w:rPr>
        <w:t xml:space="preserve">مساهمات </w:t>
      </w:r>
      <w:r w:rsidRPr="00334E66">
        <w:rPr>
          <w:rtl/>
          <w:lang w:bidi="ar-LB"/>
        </w:rPr>
        <w:t xml:space="preserve">من 19 مكتبًا للملكية الفكرية </w:t>
      </w:r>
      <w:r>
        <w:rPr>
          <w:rFonts w:hint="cs"/>
          <w:rtl/>
          <w:lang w:bidi="ar-LB"/>
        </w:rPr>
        <w:t>بش</w:t>
      </w:r>
      <w:r w:rsidRPr="00334E66">
        <w:rPr>
          <w:rtl/>
          <w:lang w:bidi="ar-LB"/>
        </w:rPr>
        <w:t>أن أنشطتها في عام 2020.</w:t>
      </w:r>
    </w:p>
    <w:p w:rsidR="00334E66" w:rsidRDefault="00334E66" w:rsidP="00FE066C">
      <w:pPr>
        <w:pStyle w:val="ONUMA"/>
        <w:rPr>
          <w:lang w:bidi="ar-LB"/>
        </w:rPr>
      </w:pPr>
      <w:r>
        <w:rPr>
          <w:rFonts w:hint="cs"/>
          <w:rtl/>
          <w:lang w:bidi="ar-LB"/>
        </w:rPr>
        <w:t>و</w:t>
      </w:r>
      <w:r w:rsidRPr="00334E66">
        <w:rPr>
          <w:rtl/>
          <w:lang w:bidi="ar-LB"/>
        </w:rPr>
        <w:t xml:space="preserve">استخدمت سبعة </w:t>
      </w:r>
      <w:r>
        <w:rPr>
          <w:rFonts w:hint="cs"/>
          <w:rtl/>
          <w:lang w:bidi="ar-LB"/>
        </w:rPr>
        <w:t xml:space="preserve">مكاتب </w:t>
      </w:r>
      <w:r w:rsidRPr="00334E66">
        <w:rPr>
          <w:rtl/>
          <w:lang w:bidi="ar-LB"/>
        </w:rPr>
        <w:t>من</w:t>
      </w:r>
      <w:r>
        <w:rPr>
          <w:rFonts w:hint="cs"/>
          <w:rtl/>
          <w:lang w:bidi="ar-LB"/>
        </w:rPr>
        <w:t xml:space="preserve"> أصل</w:t>
      </w:r>
      <w:r w:rsidRPr="00334E66">
        <w:rPr>
          <w:rtl/>
          <w:lang w:bidi="ar-LB"/>
        </w:rPr>
        <w:t xml:space="preserve"> 17 مكتبًا للملكية الفكرية قدم</w:t>
      </w:r>
      <w:r>
        <w:rPr>
          <w:rFonts w:hint="cs"/>
          <w:rtl/>
          <w:lang w:bidi="ar-LB"/>
        </w:rPr>
        <w:t>ت</w:t>
      </w:r>
      <w:r w:rsidRPr="00334E66">
        <w:rPr>
          <w:rtl/>
          <w:lang w:bidi="ar-LB"/>
        </w:rPr>
        <w:t xml:space="preserve"> </w:t>
      </w:r>
      <w:r>
        <w:rPr>
          <w:rFonts w:hint="cs"/>
          <w:rtl/>
          <w:lang w:bidi="ar-LB"/>
        </w:rPr>
        <w:t xml:space="preserve">مساهمات </w:t>
      </w:r>
      <w:r w:rsidRPr="00334E66">
        <w:rPr>
          <w:rtl/>
          <w:lang w:bidi="ar-LB"/>
        </w:rPr>
        <w:t xml:space="preserve">لعام 2021 نسق </w:t>
      </w:r>
      <w:r w:rsidRPr="00D62C5F">
        <w:rPr>
          <w:rtl/>
          <w:lang w:bidi="ar-LB"/>
        </w:rPr>
        <w:t>التقارير ال</w:t>
      </w:r>
      <w:r>
        <w:rPr>
          <w:rFonts w:hint="cs"/>
          <w:rtl/>
          <w:lang w:bidi="ar-LB"/>
        </w:rPr>
        <w:t>تق</w:t>
      </w:r>
      <w:r w:rsidRPr="00D62C5F">
        <w:rPr>
          <w:rtl/>
          <w:lang w:bidi="ar-LB"/>
        </w:rPr>
        <w:t xml:space="preserve">نية السنوية </w:t>
      </w:r>
      <w:r w:rsidRPr="00334E66">
        <w:rPr>
          <w:rtl/>
          <w:lang w:bidi="ar-LB"/>
        </w:rPr>
        <w:t>المبسط لتوفير روابط إلى المعلومات الموجودة على مواقع</w:t>
      </w:r>
      <w:r>
        <w:rPr>
          <w:rFonts w:hint="cs"/>
          <w:rtl/>
          <w:lang w:bidi="ar-LB"/>
        </w:rPr>
        <w:t xml:space="preserve">ها الإلكترونية </w:t>
      </w:r>
      <w:r w:rsidRPr="00334E66">
        <w:rPr>
          <w:rtl/>
          <w:lang w:bidi="ar-LB"/>
        </w:rPr>
        <w:t xml:space="preserve">بشكل أساسي. </w:t>
      </w:r>
      <w:r>
        <w:rPr>
          <w:rFonts w:hint="cs"/>
          <w:rtl/>
          <w:lang w:bidi="ar-LB"/>
        </w:rPr>
        <w:t xml:space="preserve">ولكن </w:t>
      </w:r>
      <w:r w:rsidR="00FE066C">
        <w:rPr>
          <w:rFonts w:hint="cs"/>
          <w:rtl/>
          <w:lang w:bidi="ar-LB"/>
        </w:rPr>
        <w:t xml:space="preserve">حتى في صفوف </w:t>
      </w:r>
      <w:r w:rsidRPr="00334E66">
        <w:rPr>
          <w:rtl/>
          <w:lang w:bidi="ar-LB"/>
        </w:rPr>
        <w:t>هؤلاء المشارك</w:t>
      </w:r>
      <w:r w:rsidR="00FE066C">
        <w:rPr>
          <w:rFonts w:hint="cs"/>
          <w:rtl/>
          <w:lang w:bidi="ar-LB"/>
        </w:rPr>
        <w:t>ي</w:t>
      </w:r>
      <w:r w:rsidRPr="00334E66">
        <w:rPr>
          <w:rtl/>
          <w:lang w:bidi="ar-LB"/>
        </w:rPr>
        <w:t>ن</w:t>
      </w:r>
      <w:r w:rsidR="00FE066C">
        <w:rPr>
          <w:rFonts w:hint="cs"/>
          <w:rtl/>
          <w:lang w:bidi="ar-LB"/>
        </w:rPr>
        <w:t>،</w:t>
      </w:r>
      <w:r w:rsidRPr="00334E66">
        <w:rPr>
          <w:rtl/>
          <w:lang w:bidi="ar-LB"/>
        </w:rPr>
        <w:t xml:space="preserve"> </w:t>
      </w:r>
      <w:r w:rsidR="00FE066C">
        <w:rPr>
          <w:rFonts w:hint="cs"/>
          <w:rtl/>
          <w:lang w:bidi="ar-LB"/>
        </w:rPr>
        <w:t xml:space="preserve">لا زال عدد مهم يقدّم النصوص </w:t>
      </w:r>
      <w:r w:rsidRPr="00334E66">
        <w:rPr>
          <w:rtl/>
          <w:lang w:bidi="ar-LB"/>
        </w:rPr>
        <w:t>لأغراض تعليمية أو ل</w:t>
      </w:r>
      <w:r w:rsidR="00FE066C">
        <w:rPr>
          <w:rFonts w:hint="cs"/>
          <w:rtl/>
          <w:lang w:bidi="ar-LB"/>
        </w:rPr>
        <w:t xml:space="preserve">توفير </w:t>
      </w:r>
      <w:r w:rsidRPr="00334E66">
        <w:rPr>
          <w:rtl/>
          <w:lang w:bidi="ar-LB"/>
        </w:rPr>
        <w:t>معلومات غير مت</w:t>
      </w:r>
      <w:r w:rsidR="00FE066C">
        <w:rPr>
          <w:rFonts w:hint="cs"/>
          <w:rtl/>
          <w:lang w:bidi="ar-LB"/>
        </w:rPr>
        <w:t xml:space="preserve">احة </w:t>
      </w:r>
      <w:r w:rsidRPr="00334E66">
        <w:rPr>
          <w:rtl/>
          <w:lang w:bidi="ar-LB"/>
        </w:rPr>
        <w:t xml:space="preserve">على </w:t>
      </w:r>
      <w:r w:rsidR="00FE066C">
        <w:rPr>
          <w:rFonts w:hint="cs"/>
          <w:rtl/>
          <w:lang w:bidi="ar-LB"/>
        </w:rPr>
        <w:t>ال</w:t>
      </w:r>
      <w:r w:rsidRPr="00334E66">
        <w:rPr>
          <w:rtl/>
          <w:lang w:bidi="ar-LB"/>
        </w:rPr>
        <w:t>مو</w:t>
      </w:r>
      <w:r w:rsidR="00FE066C">
        <w:rPr>
          <w:rFonts w:hint="cs"/>
          <w:rtl/>
          <w:lang w:bidi="ar-LB"/>
        </w:rPr>
        <w:t>ا</w:t>
      </w:r>
      <w:r w:rsidRPr="00334E66">
        <w:rPr>
          <w:rtl/>
          <w:lang w:bidi="ar-LB"/>
        </w:rPr>
        <w:t xml:space="preserve">قع </w:t>
      </w:r>
      <w:r w:rsidR="00FE066C">
        <w:rPr>
          <w:rFonts w:hint="cs"/>
          <w:rtl/>
          <w:lang w:bidi="ar-LB"/>
        </w:rPr>
        <w:t>الإلكترونية.</w:t>
      </w:r>
    </w:p>
    <w:p w:rsidR="00FE066C" w:rsidRDefault="00FE066C" w:rsidP="00FE066C">
      <w:pPr>
        <w:pStyle w:val="ONUMA"/>
        <w:keepNext/>
        <w:keepLines/>
        <w:rPr>
          <w:lang w:bidi="ar-LB"/>
        </w:rPr>
      </w:pPr>
      <w:r>
        <w:rPr>
          <w:rFonts w:hint="cs"/>
          <w:rtl/>
          <w:lang w:bidi="ar-LB"/>
        </w:rPr>
        <w:lastRenderedPageBreak/>
        <w:t xml:space="preserve">وحتى </w:t>
      </w:r>
      <w:r w:rsidRPr="00FE066C">
        <w:rPr>
          <w:rtl/>
          <w:lang w:bidi="ar-LB"/>
        </w:rPr>
        <w:t xml:space="preserve">وقت إعداد هذه الوثيقة، كان المكتب الدولي يعمل على نشر </w:t>
      </w:r>
      <w:r w:rsidRPr="00D62C5F">
        <w:rPr>
          <w:rtl/>
          <w:lang w:bidi="ar-LB"/>
        </w:rPr>
        <w:t>التقارير ال</w:t>
      </w:r>
      <w:r>
        <w:rPr>
          <w:rFonts w:hint="cs"/>
          <w:rtl/>
          <w:lang w:bidi="ar-LB"/>
        </w:rPr>
        <w:t>تق</w:t>
      </w:r>
      <w:r w:rsidRPr="00D62C5F">
        <w:rPr>
          <w:rtl/>
          <w:lang w:bidi="ar-LB"/>
        </w:rPr>
        <w:t>نية السنوية</w:t>
      </w:r>
      <w:r w:rsidRPr="00FE066C">
        <w:rPr>
          <w:rtl/>
          <w:lang w:bidi="ar-LB"/>
        </w:rPr>
        <w:t xml:space="preserve"> المقدمة</w:t>
      </w:r>
      <w:r w:rsidRPr="00D62C5F">
        <w:rPr>
          <w:rtl/>
          <w:lang w:bidi="ar-LB"/>
        </w:rPr>
        <w:t xml:space="preserve"> </w:t>
      </w:r>
      <w:r w:rsidRPr="00FE066C">
        <w:rPr>
          <w:rtl/>
          <w:lang w:bidi="ar-LB"/>
        </w:rPr>
        <w:t xml:space="preserve">لعام 2021. </w:t>
      </w:r>
      <w:r>
        <w:rPr>
          <w:rFonts w:hint="cs"/>
          <w:rtl/>
          <w:lang w:bidi="ar-LB"/>
        </w:rPr>
        <w:t>و</w:t>
      </w:r>
      <w:r w:rsidRPr="00FE066C">
        <w:rPr>
          <w:rtl/>
          <w:lang w:bidi="ar-LB"/>
        </w:rPr>
        <w:t>ست</w:t>
      </w:r>
      <w:r>
        <w:rPr>
          <w:rFonts w:hint="cs"/>
          <w:rtl/>
          <w:lang w:bidi="ar-LB"/>
        </w:rPr>
        <w:t xml:space="preserve">تاح </w:t>
      </w:r>
      <w:r w:rsidRPr="00FE066C">
        <w:rPr>
          <w:rtl/>
          <w:lang w:bidi="ar-LB"/>
        </w:rPr>
        <w:t xml:space="preserve">هذه </w:t>
      </w:r>
      <w:r w:rsidRPr="00D62C5F">
        <w:rPr>
          <w:rtl/>
          <w:lang w:bidi="ar-LB"/>
        </w:rPr>
        <w:t>التقارير</w:t>
      </w:r>
      <w:r w:rsidRPr="00FE066C">
        <w:rPr>
          <w:rtl/>
          <w:lang w:bidi="ar-LB"/>
        </w:rPr>
        <w:t xml:space="preserve">، في الوقت المناسب، </w:t>
      </w:r>
      <w:r>
        <w:rPr>
          <w:rFonts w:hint="cs"/>
          <w:rtl/>
          <w:lang w:bidi="ar-LB"/>
        </w:rPr>
        <w:t>على صفحة ال</w:t>
      </w:r>
      <w:r w:rsidRPr="00FE066C">
        <w:rPr>
          <w:rtl/>
          <w:lang w:bidi="ar-LB"/>
        </w:rPr>
        <w:t xml:space="preserve">ويكي </w:t>
      </w:r>
      <w:r>
        <w:rPr>
          <w:rFonts w:hint="cs"/>
          <w:rtl/>
          <w:lang w:bidi="ar-LB"/>
        </w:rPr>
        <w:t>الخاصة ب</w:t>
      </w:r>
      <w:r w:rsidRPr="00D62C5F">
        <w:rPr>
          <w:rtl/>
          <w:lang w:bidi="ar-LB"/>
        </w:rPr>
        <w:t>التقارير</w:t>
      </w:r>
      <w:r>
        <w:rPr>
          <w:rFonts w:hint="cs"/>
          <w:rtl/>
          <w:lang w:bidi="ar-LB"/>
        </w:rPr>
        <w:t xml:space="preserve"> </w:t>
      </w:r>
      <w:r w:rsidRPr="00D62C5F">
        <w:rPr>
          <w:rtl/>
          <w:lang w:bidi="ar-LB"/>
        </w:rPr>
        <w:t>ال</w:t>
      </w:r>
      <w:r>
        <w:rPr>
          <w:rFonts w:hint="cs"/>
          <w:rtl/>
          <w:lang w:bidi="ar-LB"/>
        </w:rPr>
        <w:t>تق</w:t>
      </w:r>
      <w:r w:rsidRPr="00D62C5F">
        <w:rPr>
          <w:rtl/>
          <w:lang w:bidi="ar-LB"/>
        </w:rPr>
        <w:t>نية السنوية</w:t>
      </w:r>
      <w:r w:rsidRPr="00FE066C">
        <w:rPr>
          <w:rtl/>
          <w:lang w:bidi="ar-LB"/>
        </w:rPr>
        <w:t xml:space="preserve"> على</w:t>
      </w:r>
      <w:r>
        <w:rPr>
          <w:rFonts w:hint="cs"/>
          <w:rtl/>
          <w:lang w:bidi="ar-LB"/>
        </w:rPr>
        <w:t xml:space="preserve"> الرابط</w:t>
      </w:r>
      <w:r w:rsidRPr="00FE066C">
        <w:rPr>
          <w:rtl/>
          <w:lang w:bidi="ar-LB"/>
        </w:rPr>
        <w:t>:</w:t>
      </w:r>
      <w:r>
        <w:rPr>
          <w:rFonts w:hint="cs"/>
          <w:rtl/>
          <w:lang w:bidi="ar-LB"/>
        </w:rPr>
        <w:t xml:space="preserve"> </w:t>
      </w:r>
      <w:hyperlink r:id="rId12" w:history="1">
        <w:r w:rsidRPr="005D0168">
          <w:rPr>
            <w:rStyle w:val="Hyperlink"/>
          </w:rPr>
          <w:t>https://www3.wipo.int/confluence/x/dgfBAw</w:t>
        </w:r>
      </w:hyperlink>
      <w:r w:rsidRPr="00FE066C">
        <w:rPr>
          <w:rtl/>
          <w:lang w:bidi="ar-LB"/>
        </w:rPr>
        <w:t>.</w:t>
      </w:r>
    </w:p>
    <w:p w:rsidR="00893C25" w:rsidRPr="00FE066C" w:rsidRDefault="00FE066C" w:rsidP="00FE066C">
      <w:pPr>
        <w:pStyle w:val="ONUMA"/>
        <w:ind w:left="5530"/>
        <w:rPr>
          <w:i/>
          <w:iCs/>
          <w:lang w:bidi="ar-LB"/>
        </w:rPr>
      </w:pPr>
      <w:r w:rsidRPr="00FE066C">
        <w:rPr>
          <w:i/>
          <w:iCs/>
          <w:rtl/>
          <w:lang w:bidi="ar-LB"/>
        </w:rPr>
        <w:t>إن لجنة المعايير مدعوة إلى الإحاطة علما بمضمون هذه الوثيقة</w:t>
      </w:r>
      <w:r>
        <w:rPr>
          <w:rFonts w:hint="cs"/>
          <w:i/>
          <w:iCs/>
          <w:rtl/>
          <w:lang w:bidi="ar-LB"/>
        </w:rPr>
        <w:t>.</w:t>
      </w:r>
    </w:p>
    <w:p w:rsidR="007969D1" w:rsidRPr="007969D1" w:rsidRDefault="007969D1" w:rsidP="00461B51">
      <w:pPr>
        <w:pStyle w:val="BodyText"/>
        <w:ind w:left="5530"/>
        <w:rPr>
          <w:rFonts w:eastAsia="Times New Roman"/>
          <w:rtl/>
          <w:lang w:eastAsia="en-US"/>
        </w:rPr>
      </w:pPr>
      <w:r w:rsidRPr="007969D1">
        <w:rPr>
          <w:rFonts w:eastAsia="Times New Roman"/>
          <w:rtl/>
          <w:lang w:eastAsia="en-US"/>
        </w:rPr>
        <w:t>[نهاية الوثيقة]</w:t>
      </w:r>
    </w:p>
    <w:sectPr w:rsidR="007969D1" w:rsidRPr="007969D1" w:rsidSect="00CC3E2D">
      <w:headerReference w:type="default" r:id="rId1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911" w:rsidRDefault="00B24911">
      <w:r>
        <w:separator/>
      </w:r>
    </w:p>
  </w:endnote>
  <w:endnote w:type="continuationSeparator" w:id="0">
    <w:p w:rsidR="00B24911" w:rsidRDefault="00B24911" w:rsidP="003B38C1">
      <w:r>
        <w:separator/>
      </w:r>
    </w:p>
    <w:p w:rsidR="00B24911" w:rsidRPr="003B38C1" w:rsidRDefault="00B2491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24911" w:rsidRPr="003B38C1" w:rsidRDefault="00B2491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911" w:rsidRDefault="00B24911">
      <w:r>
        <w:separator/>
      </w:r>
    </w:p>
  </w:footnote>
  <w:footnote w:type="continuationSeparator" w:id="0">
    <w:p w:rsidR="00B24911" w:rsidRDefault="00B24911" w:rsidP="008B60B2">
      <w:r>
        <w:separator/>
      </w:r>
    </w:p>
    <w:p w:rsidR="00B24911" w:rsidRPr="00ED77FB" w:rsidRDefault="00B2491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24911" w:rsidRPr="00ED77FB" w:rsidRDefault="00B2491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Default="00FE5D75" w:rsidP="007969D1">
    <w:pPr>
      <w:bidi w:val="0"/>
      <w:rPr>
        <w:caps/>
      </w:rPr>
    </w:pPr>
    <w:r>
      <w:rPr>
        <w:caps/>
      </w:rPr>
      <w:t>CWS</w:t>
    </w:r>
    <w:r w:rsidR="00250149">
      <w:rPr>
        <w:caps/>
      </w:rPr>
      <w:t>/</w:t>
    </w:r>
    <w:r w:rsidR="00AD5F3C">
      <w:rPr>
        <w:rFonts w:hint="cs"/>
        <w:caps/>
        <w:rtl/>
      </w:rPr>
      <w:t>10</w:t>
    </w:r>
    <w:r w:rsidR="00250149">
      <w:rPr>
        <w:caps/>
      </w:rPr>
      <w:t>/</w:t>
    </w:r>
    <w:r w:rsidR="002462D0">
      <w:rPr>
        <w:caps/>
      </w:rPr>
      <w:t>1</w:t>
    </w:r>
    <w:r w:rsidR="00FE066C">
      <w:rPr>
        <w:caps/>
      </w:rPr>
      <w:t>9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2F00FF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30C02"/>
    <w:multiLevelType w:val="hybridMultilevel"/>
    <w:tmpl w:val="9A461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C735C3"/>
    <w:multiLevelType w:val="hybridMultilevel"/>
    <w:tmpl w:val="C220E612"/>
    <w:lvl w:ilvl="0" w:tplc="533824A8">
      <w:start w:val="1"/>
      <w:numFmt w:val="arabicAlpha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3F683FE3"/>
    <w:multiLevelType w:val="hybridMultilevel"/>
    <w:tmpl w:val="4EEE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0A73FF"/>
    <w:multiLevelType w:val="hybridMultilevel"/>
    <w:tmpl w:val="6378755A"/>
    <w:lvl w:ilvl="0" w:tplc="9E20BBF6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C50665"/>
    <w:multiLevelType w:val="hybridMultilevel"/>
    <w:tmpl w:val="FDA0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20061B"/>
    <w:multiLevelType w:val="multilevel"/>
    <w:tmpl w:val="22AC71EC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3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B10E47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4A0617"/>
    <w:multiLevelType w:val="hybridMultilevel"/>
    <w:tmpl w:val="7FA8F634"/>
    <w:lvl w:ilvl="0" w:tplc="9E20BBF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71F1D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8"/>
  </w:num>
  <w:num w:numId="5">
    <w:abstractNumId w:val="1"/>
  </w:num>
  <w:num w:numId="6">
    <w:abstractNumId w:val="7"/>
  </w:num>
  <w:num w:numId="7">
    <w:abstractNumId w:val="22"/>
  </w:num>
  <w:num w:numId="8">
    <w:abstractNumId w:val="11"/>
  </w:num>
  <w:num w:numId="9">
    <w:abstractNumId w:val="12"/>
  </w:num>
  <w:num w:numId="10">
    <w:abstractNumId w:val="16"/>
  </w:num>
  <w:num w:numId="11">
    <w:abstractNumId w:val="21"/>
  </w:num>
  <w:num w:numId="12">
    <w:abstractNumId w:val="17"/>
  </w:num>
  <w:num w:numId="13">
    <w:abstractNumId w:val="23"/>
  </w:num>
  <w:num w:numId="14">
    <w:abstractNumId w:val="5"/>
  </w:num>
  <w:num w:numId="15">
    <w:abstractNumId w:val="10"/>
  </w:num>
  <w:num w:numId="16">
    <w:abstractNumId w:val="2"/>
  </w:num>
  <w:num w:numId="17">
    <w:abstractNumId w:val="13"/>
  </w:num>
  <w:num w:numId="18">
    <w:abstractNumId w:val="19"/>
  </w:num>
  <w:num w:numId="19">
    <w:abstractNumId w:val="6"/>
  </w:num>
  <w:num w:numId="20">
    <w:abstractNumId w:val="24"/>
  </w:num>
  <w:num w:numId="21">
    <w:abstractNumId w:val="8"/>
  </w:num>
  <w:num w:numId="22">
    <w:abstractNumId w:val="25"/>
  </w:num>
  <w:num w:numId="23">
    <w:abstractNumId w:val="14"/>
  </w:num>
  <w:num w:numId="24">
    <w:abstractNumId w:val="20"/>
  </w:num>
  <w:num w:numId="25">
    <w:abstractNumId w:val="27"/>
  </w:num>
  <w:num w:numId="26">
    <w:abstractNumId w:val="3"/>
  </w:num>
  <w:num w:numId="27">
    <w:abstractNumId w:val="9"/>
  </w:num>
  <w:num w:numId="28">
    <w:abstractNumId w:val="26"/>
  </w:num>
  <w:num w:numId="29">
    <w:abstractNumId w:val="28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0"/>
    <w:rsid w:val="00041A0A"/>
    <w:rsid w:val="00043CAA"/>
    <w:rsid w:val="00056816"/>
    <w:rsid w:val="000626C5"/>
    <w:rsid w:val="00075432"/>
    <w:rsid w:val="000910E5"/>
    <w:rsid w:val="000968ED"/>
    <w:rsid w:val="000A3D97"/>
    <w:rsid w:val="000B5B36"/>
    <w:rsid w:val="000D3DAB"/>
    <w:rsid w:val="000D42A9"/>
    <w:rsid w:val="000F5E56"/>
    <w:rsid w:val="001362EE"/>
    <w:rsid w:val="001406E1"/>
    <w:rsid w:val="00140F22"/>
    <w:rsid w:val="00155D8A"/>
    <w:rsid w:val="001647D5"/>
    <w:rsid w:val="00167832"/>
    <w:rsid w:val="00176FD1"/>
    <w:rsid w:val="001832A6"/>
    <w:rsid w:val="0019592A"/>
    <w:rsid w:val="001D4107"/>
    <w:rsid w:val="00203D24"/>
    <w:rsid w:val="00210D5F"/>
    <w:rsid w:val="0021217E"/>
    <w:rsid w:val="002326AB"/>
    <w:rsid w:val="00240A99"/>
    <w:rsid w:val="00243430"/>
    <w:rsid w:val="002462D0"/>
    <w:rsid w:val="00250149"/>
    <w:rsid w:val="00262607"/>
    <w:rsid w:val="002634C4"/>
    <w:rsid w:val="00265354"/>
    <w:rsid w:val="00273181"/>
    <w:rsid w:val="002928D3"/>
    <w:rsid w:val="002A7B3A"/>
    <w:rsid w:val="002F00FF"/>
    <w:rsid w:val="002F1FE6"/>
    <w:rsid w:val="002F4E68"/>
    <w:rsid w:val="00303282"/>
    <w:rsid w:val="00312F7F"/>
    <w:rsid w:val="00321316"/>
    <w:rsid w:val="00321EB3"/>
    <w:rsid w:val="00327E12"/>
    <w:rsid w:val="00334E66"/>
    <w:rsid w:val="003452A8"/>
    <w:rsid w:val="00361450"/>
    <w:rsid w:val="003673CF"/>
    <w:rsid w:val="00376168"/>
    <w:rsid w:val="003845C1"/>
    <w:rsid w:val="00394A48"/>
    <w:rsid w:val="003A6F89"/>
    <w:rsid w:val="003B355C"/>
    <w:rsid w:val="003B3581"/>
    <w:rsid w:val="003B38C1"/>
    <w:rsid w:val="003C17A1"/>
    <w:rsid w:val="003C34E9"/>
    <w:rsid w:val="003F20F4"/>
    <w:rsid w:val="00423E3E"/>
    <w:rsid w:val="00427AF4"/>
    <w:rsid w:val="00441910"/>
    <w:rsid w:val="004434C3"/>
    <w:rsid w:val="0045246E"/>
    <w:rsid w:val="00452F85"/>
    <w:rsid w:val="00461B51"/>
    <w:rsid w:val="004647DA"/>
    <w:rsid w:val="00474062"/>
    <w:rsid w:val="00477D6B"/>
    <w:rsid w:val="0048522D"/>
    <w:rsid w:val="004D29A8"/>
    <w:rsid w:val="004F2DEB"/>
    <w:rsid w:val="005019FF"/>
    <w:rsid w:val="0050470A"/>
    <w:rsid w:val="0053057A"/>
    <w:rsid w:val="00556076"/>
    <w:rsid w:val="00560A29"/>
    <w:rsid w:val="005740C5"/>
    <w:rsid w:val="0059409E"/>
    <w:rsid w:val="005B2C79"/>
    <w:rsid w:val="005B453D"/>
    <w:rsid w:val="005C5B64"/>
    <w:rsid w:val="005C6649"/>
    <w:rsid w:val="005E7B89"/>
    <w:rsid w:val="005F0828"/>
    <w:rsid w:val="00600D30"/>
    <w:rsid w:val="00605827"/>
    <w:rsid w:val="00646050"/>
    <w:rsid w:val="00663EF1"/>
    <w:rsid w:val="006713CA"/>
    <w:rsid w:val="00676C5C"/>
    <w:rsid w:val="006A516B"/>
    <w:rsid w:val="006B5C12"/>
    <w:rsid w:val="006C017C"/>
    <w:rsid w:val="006D27D2"/>
    <w:rsid w:val="006D7AAB"/>
    <w:rsid w:val="006D7C7A"/>
    <w:rsid w:val="006F641A"/>
    <w:rsid w:val="0070778E"/>
    <w:rsid w:val="00715E70"/>
    <w:rsid w:val="00720EFD"/>
    <w:rsid w:val="00750C1A"/>
    <w:rsid w:val="00764B64"/>
    <w:rsid w:val="007854AF"/>
    <w:rsid w:val="0079149A"/>
    <w:rsid w:val="00793A7C"/>
    <w:rsid w:val="007969D1"/>
    <w:rsid w:val="007A0E2A"/>
    <w:rsid w:val="007A398A"/>
    <w:rsid w:val="007C4902"/>
    <w:rsid w:val="007D1613"/>
    <w:rsid w:val="007E4889"/>
    <w:rsid w:val="007E4C0E"/>
    <w:rsid w:val="00820911"/>
    <w:rsid w:val="008243C0"/>
    <w:rsid w:val="00893C25"/>
    <w:rsid w:val="008A134B"/>
    <w:rsid w:val="008A5C4D"/>
    <w:rsid w:val="008B2CC1"/>
    <w:rsid w:val="008B60B2"/>
    <w:rsid w:val="008D1B10"/>
    <w:rsid w:val="0090731E"/>
    <w:rsid w:val="00916EE2"/>
    <w:rsid w:val="0093527D"/>
    <w:rsid w:val="0094554E"/>
    <w:rsid w:val="00947238"/>
    <w:rsid w:val="00966A22"/>
    <w:rsid w:val="0096722F"/>
    <w:rsid w:val="00980843"/>
    <w:rsid w:val="0099406E"/>
    <w:rsid w:val="009B0855"/>
    <w:rsid w:val="009B48A1"/>
    <w:rsid w:val="009B51CF"/>
    <w:rsid w:val="009E1721"/>
    <w:rsid w:val="009E2791"/>
    <w:rsid w:val="009E3F6F"/>
    <w:rsid w:val="009F499F"/>
    <w:rsid w:val="00A33241"/>
    <w:rsid w:val="00A37342"/>
    <w:rsid w:val="00A42DAF"/>
    <w:rsid w:val="00A45BD8"/>
    <w:rsid w:val="00A869B7"/>
    <w:rsid w:val="00A90F0A"/>
    <w:rsid w:val="00AA589B"/>
    <w:rsid w:val="00AC205C"/>
    <w:rsid w:val="00AD30FC"/>
    <w:rsid w:val="00AD5F3C"/>
    <w:rsid w:val="00AF0A6B"/>
    <w:rsid w:val="00B05A69"/>
    <w:rsid w:val="00B24911"/>
    <w:rsid w:val="00B42CA9"/>
    <w:rsid w:val="00B51FF7"/>
    <w:rsid w:val="00B75281"/>
    <w:rsid w:val="00B86A18"/>
    <w:rsid w:val="00B87BA4"/>
    <w:rsid w:val="00B92F1F"/>
    <w:rsid w:val="00B953D5"/>
    <w:rsid w:val="00B9734B"/>
    <w:rsid w:val="00BA30E2"/>
    <w:rsid w:val="00BB781F"/>
    <w:rsid w:val="00BC6536"/>
    <w:rsid w:val="00C11BFE"/>
    <w:rsid w:val="00C3436A"/>
    <w:rsid w:val="00C5068F"/>
    <w:rsid w:val="00C73194"/>
    <w:rsid w:val="00C86D74"/>
    <w:rsid w:val="00C91553"/>
    <w:rsid w:val="00C925E7"/>
    <w:rsid w:val="00CB3DBA"/>
    <w:rsid w:val="00CC3E2D"/>
    <w:rsid w:val="00CD04F1"/>
    <w:rsid w:val="00CE19F8"/>
    <w:rsid w:val="00CF681A"/>
    <w:rsid w:val="00D07C78"/>
    <w:rsid w:val="00D45252"/>
    <w:rsid w:val="00D512F3"/>
    <w:rsid w:val="00D60B2C"/>
    <w:rsid w:val="00D62C5F"/>
    <w:rsid w:val="00D67EAE"/>
    <w:rsid w:val="00D71B4D"/>
    <w:rsid w:val="00D90B96"/>
    <w:rsid w:val="00D93D55"/>
    <w:rsid w:val="00DC17E3"/>
    <w:rsid w:val="00DD7B7F"/>
    <w:rsid w:val="00DE44BC"/>
    <w:rsid w:val="00E15015"/>
    <w:rsid w:val="00E17738"/>
    <w:rsid w:val="00E23ECB"/>
    <w:rsid w:val="00E319DF"/>
    <w:rsid w:val="00E335FE"/>
    <w:rsid w:val="00E66CC5"/>
    <w:rsid w:val="00E91C3A"/>
    <w:rsid w:val="00EA2B00"/>
    <w:rsid w:val="00EA7D6E"/>
    <w:rsid w:val="00EB2F76"/>
    <w:rsid w:val="00EC4E49"/>
    <w:rsid w:val="00ED6EB7"/>
    <w:rsid w:val="00ED77FB"/>
    <w:rsid w:val="00EE307E"/>
    <w:rsid w:val="00EE45FA"/>
    <w:rsid w:val="00F043DE"/>
    <w:rsid w:val="00F10E7C"/>
    <w:rsid w:val="00F1217E"/>
    <w:rsid w:val="00F248CE"/>
    <w:rsid w:val="00F66152"/>
    <w:rsid w:val="00F76CB4"/>
    <w:rsid w:val="00F90C07"/>
    <w:rsid w:val="00F9165B"/>
    <w:rsid w:val="00FA17DA"/>
    <w:rsid w:val="00FA6CAF"/>
    <w:rsid w:val="00FC482F"/>
    <w:rsid w:val="00FD0B86"/>
    <w:rsid w:val="00FE066C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44D00F-46C7-4F7C-9484-47B1DBD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9149A"/>
    <w:pPr>
      <w:ind w:left="720"/>
      <w:contextualSpacing/>
    </w:pPr>
  </w:style>
  <w:style w:type="table" w:styleId="TableGrid">
    <w:name w:val="Table Grid"/>
    <w:basedOn w:val="TableNormal"/>
    <w:rsid w:val="00893C2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E06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E06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wipo.int/confluence/x/dgfBA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F7341-94FD-4B3A-845D-ABF60248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 PROV. (Arabic)</vt:lpstr>
    </vt:vector>
  </TitlesOfParts>
  <Company>WIPO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CWS/10/19</dc:title>
  <dc:creator>WIPO</dc:creator>
  <cp:keywords>FOR OFFICIAL USE ONLY</cp:keywords>
  <cp:lastModifiedBy>CHAVAS Louison</cp:lastModifiedBy>
  <cp:revision>2</cp:revision>
  <cp:lastPrinted>2022-09-21T12:31:00Z</cp:lastPrinted>
  <dcterms:created xsi:type="dcterms:W3CDTF">2022-09-23T15:20:00Z</dcterms:created>
  <dcterms:modified xsi:type="dcterms:W3CDTF">2022-09-23T15:20:00Z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fb579b81-4821-48d9-a92c-679b3f27fe89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