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2449EF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A1555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2449EF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 w:rsidRPr="00FE5D75">
        <w:rPr>
          <w:rFonts w:ascii="Arial Black" w:hAnsi="Arial Black"/>
          <w:caps/>
          <w:sz w:val="15"/>
          <w:szCs w:val="15"/>
        </w:rPr>
        <w:t>CWS/</w:t>
      </w:r>
      <w:r w:rsidR="0085479C">
        <w:rPr>
          <w:rFonts w:ascii="Arial Black" w:hAnsi="Arial Black"/>
          <w:caps/>
          <w:sz w:val="15"/>
          <w:szCs w:val="15"/>
        </w:rPr>
        <w:t>10</w:t>
      </w:r>
      <w:r w:rsidRPr="00FE5D75">
        <w:rPr>
          <w:rFonts w:ascii="Arial Black" w:hAnsi="Arial Black"/>
          <w:caps/>
          <w:sz w:val="15"/>
          <w:szCs w:val="15"/>
        </w:rPr>
        <w:t>/</w:t>
      </w:r>
      <w:r w:rsidR="0085479C">
        <w:rPr>
          <w:rFonts w:ascii="Arial Black" w:hAnsi="Arial Black"/>
          <w:caps/>
          <w:sz w:val="15"/>
          <w:szCs w:val="15"/>
        </w:rPr>
        <w:t>15</w:t>
      </w:r>
    </w:p>
    <w:p w:rsidR="008B2CC1" w:rsidRPr="0085479C" w:rsidRDefault="00CC3E2D" w:rsidP="002449EF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MA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Pr="00E0061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: </w:t>
      </w:r>
      <w:r w:rsidR="0085479C" w:rsidRPr="00E0061F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MA"/>
        </w:rPr>
        <w:t>بالإنكليزية</w:t>
      </w:r>
    </w:p>
    <w:p w:rsidR="008B2CC1" w:rsidRPr="00CC3E2D" w:rsidRDefault="00CC3E2D" w:rsidP="002449E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85479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19 سبتمبر 2022</w:t>
      </w:r>
    </w:p>
    <w:bookmarkEnd w:id="2"/>
    <w:p w:rsidR="008B2CC1" w:rsidRPr="00D67EAE" w:rsidRDefault="00250149" w:rsidP="002449EF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2449EF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85479C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85479C" w:rsidRDefault="00D67EAE" w:rsidP="002449E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  <w:lang w:val="fr-CA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85479C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85479C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85479C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</w:p>
    <w:p w:rsidR="008B2CC1" w:rsidRPr="00D67EAE" w:rsidRDefault="0085479C" w:rsidP="002449E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ت</w:t>
      </w:r>
      <w:r w:rsidRPr="0085479C">
        <w:rPr>
          <w:rFonts w:asciiTheme="minorHAnsi" w:hAnsiTheme="minorHAnsi"/>
          <w:caps/>
          <w:sz w:val="28"/>
          <w:szCs w:val="24"/>
          <w:rtl/>
        </w:rPr>
        <w:t>حليل نتائج الدراسة الاستقصائية بشأن ممارسات المكاتب فيما يتعلق بالتحول الرقمي</w:t>
      </w:r>
    </w:p>
    <w:p w:rsidR="002928D3" w:rsidRDefault="00D67EAE" w:rsidP="002449EF">
      <w:pPr>
        <w:spacing w:after="1040"/>
        <w:rPr>
          <w:rFonts w:asciiTheme="minorHAnsi" w:hAnsiTheme="minorHAnsi" w:cstheme="minorHAnsi"/>
          <w:iCs/>
          <w:rtl/>
          <w:lang w:bidi="ar-MA"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85479C">
        <w:rPr>
          <w:rFonts w:asciiTheme="minorHAnsi" w:hAnsiTheme="minorHAnsi" w:cstheme="minorHAnsi"/>
          <w:iCs/>
        </w:rPr>
        <w:t xml:space="preserve"> </w:t>
      </w:r>
      <w:r w:rsidR="0085479C">
        <w:rPr>
          <w:rFonts w:asciiTheme="minorHAnsi" w:hAnsiTheme="minorHAnsi" w:cstheme="minorHAnsi" w:hint="cs"/>
          <w:iCs/>
          <w:rtl/>
          <w:lang w:bidi="ar-MA"/>
        </w:rPr>
        <w:t>المكتب الدولي</w:t>
      </w:r>
    </w:p>
    <w:p w:rsidR="002E50DD" w:rsidRPr="007774F6" w:rsidRDefault="002E50DD" w:rsidP="002449EF">
      <w:pPr>
        <w:pStyle w:val="Heading2"/>
        <w:rPr>
          <w:i/>
          <w:iCs w:val="0"/>
          <w:sz w:val="24"/>
          <w:szCs w:val="24"/>
          <w:rtl/>
          <w:lang w:bidi="ar-MA"/>
        </w:rPr>
      </w:pPr>
      <w:r w:rsidRPr="007774F6">
        <w:rPr>
          <w:rFonts w:hint="cs"/>
          <w:i/>
          <w:iCs w:val="0"/>
          <w:sz w:val="24"/>
          <w:szCs w:val="24"/>
          <w:rtl/>
          <w:lang w:bidi="ar-MA"/>
        </w:rPr>
        <w:t>معلومات أساسية</w:t>
      </w:r>
    </w:p>
    <w:p w:rsidR="002E50DD" w:rsidRDefault="00A45058" w:rsidP="00FC4AF5">
      <w:pPr>
        <w:pStyle w:val="ListParagraph"/>
        <w:numPr>
          <w:ilvl w:val="0"/>
          <w:numId w:val="9"/>
        </w:numPr>
        <w:rPr>
          <w:lang w:bidi="ar-MA"/>
        </w:rPr>
      </w:pPr>
      <w:r w:rsidRPr="00A45058">
        <w:rPr>
          <w:rtl/>
          <w:lang w:bidi="ar-MA"/>
        </w:rPr>
        <w:t>أحاطت اللجنة المعنية بمعايير الويبو (لجنة المعايير)، في دورتها التاسعة لعام 2021، علماً بالتقدم الذي أحرزته فرقة ا</w:t>
      </w:r>
      <w:r w:rsidR="007E22AC">
        <w:rPr>
          <w:rtl/>
          <w:lang w:bidi="ar-MA"/>
        </w:rPr>
        <w:t xml:space="preserve">لعمل المعنية بالتحول الرقمي </w:t>
      </w:r>
      <w:r w:rsidR="007E22AC">
        <w:rPr>
          <w:rFonts w:hint="cs"/>
          <w:rtl/>
          <w:lang w:bidi="ar-MA"/>
        </w:rPr>
        <w:t>في</w:t>
      </w:r>
      <w:r w:rsidRPr="00A45058">
        <w:rPr>
          <w:rtl/>
          <w:lang w:bidi="ar-MA"/>
        </w:rPr>
        <w:t xml:space="preserve"> المهمة رقم 62. ووافقت لجنة المعايير على دراسة استقصائية اقترحتها فرقة العمل لجمع المعلومات من مكاتب الملكية الفكرية بشأن ممارساتها </w:t>
      </w:r>
      <w:r w:rsidR="005C0041">
        <w:rPr>
          <w:rFonts w:hint="cs"/>
          <w:rtl/>
          <w:lang w:bidi="ar-MA"/>
        </w:rPr>
        <w:t>الرقمية المتعلقة ب</w:t>
      </w:r>
      <w:r w:rsidR="00203ABA">
        <w:rPr>
          <w:rFonts w:hint="cs"/>
          <w:rtl/>
          <w:lang w:bidi="ar-MA"/>
        </w:rPr>
        <w:t>تلقي البيانات</w:t>
      </w:r>
      <w:r w:rsidR="00203ABA">
        <w:rPr>
          <w:rtl/>
          <w:lang w:bidi="ar-MA"/>
        </w:rPr>
        <w:t xml:space="preserve"> </w:t>
      </w:r>
      <w:r w:rsidR="00203ABA">
        <w:rPr>
          <w:rFonts w:hint="cs"/>
          <w:rtl/>
          <w:lang w:bidi="ar-MA"/>
        </w:rPr>
        <w:t>و</w:t>
      </w:r>
      <w:r w:rsidR="00203ABA">
        <w:rPr>
          <w:rtl/>
          <w:lang w:bidi="ar-MA"/>
        </w:rPr>
        <w:t>معالج</w:t>
      </w:r>
      <w:r w:rsidR="00203ABA">
        <w:rPr>
          <w:rFonts w:hint="cs"/>
          <w:rtl/>
          <w:lang w:bidi="ar-MA"/>
        </w:rPr>
        <w:t>تها</w:t>
      </w:r>
      <w:r w:rsidR="00203ABA">
        <w:rPr>
          <w:rtl/>
          <w:lang w:bidi="ar-MA"/>
        </w:rPr>
        <w:t xml:space="preserve"> و</w:t>
      </w:r>
      <w:r w:rsidR="00203ABA">
        <w:rPr>
          <w:rFonts w:hint="cs"/>
          <w:rtl/>
          <w:lang w:bidi="ar-MA"/>
        </w:rPr>
        <w:t>نشرها</w:t>
      </w:r>
      <w:r w:rsidRPr="00A45058">
        <w:rPr>
          <w:rtl/>
          <w:lang w:bidi="ar-MA"/>
        </w:rPr>
        <w:t xml:space="preserve">. </w:t>
      </w:r>
      <w:r w:rsidR="00FC4AF5">
        <w:rPr>
          <w:rFonts w:hint="cs"/>
          <w:rtl/>
          <w:lang w:bidi="ar-MA"/>
        </w:rPr>
        <w:t>(</w:t>
      </w:r>
      <w:r w:rsidRPr="00A45058">
        <w:rPr>
          <w:rtl/>
          <w:lang w:bidi="ar-MA"/>
        </w:rPr>
        <w:t>انظر</w:t>
      </w:r>
      <w:r w:rsidR="00FC4AF5">
        <w:rPr>
          <w:rFonts w:hint="cs"/>
          <w:rtl/>
          <w:lang w:bidi="ar-EG"/>
        </w:rPr>
        <w:t>(ي)</w:t>
      </w:r>
      <w:r w:rsidRPr="00A45058">
        <w:rPr>
          <w:rtl/>
          <w:lang w:bidi="ar-MA"/>
        </w:rPr>
        <w:t xml:space="preserve"> الفقرات من 89 إلى 95 من الوثيقة </w:t>
      </w:r>
      <w:r>
        <w:rPr>
          <w:lang w:bidi="ar-MA"/>
        </w:rPr>
        <w:t>CWS/9/25</w:t>
      </w:r>
      <w:r w:rsidR="00FC4AF5">
        <w:rPr>
          <w:rFonts w:hint="cs"/>
          <w:rtl/>
          <w:lang w:bidi="ar-MA"/>
        </w:rPr>
        <w:t>)</w:t>
      </w:r>
      <w:r>
        <w:rPr>
          <w:rFonts w:hint="cs"/>
          <w:rtl/>
          <w:lang w:bidi="ar-MA"/>
        </w:rPr>
        <w:t>.</w:t>
      </w:r>
    </w:p>
    <w:p w:rsidR="009E64DA" w:rsidRPr="007774F6" w:rsidRDefault="009E64DA" w:rsidP="002449EF">
      <w:pPr>
        <w:pStyle w:val="Heading2"/>
        <w:rPr>
          <w:i/>
          <w:iCs w:val="0"/>
          <w:sz w:val="24"/>
          <w:szCs w:val="24"/>
          <w:lang w:bidi="ar-MA"/>
        </w:rPr>
      </w:pPr>
      <w:r w:rsidRPr="007774F6">
        <w:rPr>
          <w:rFonts w:hint="cs"/>
          <w:i/>
          <w:iCs w:val="0"/>
          <w:sz w:val="24"/>
          <w:szCs w:val="24"/>
          <w:rtl/>
          <w:lang w:bidi="ar-MA"/>
        </w:rPr>
        <w:t>نتائج الدراسة الاستقصائية</w:t>
      </w:r>
    </w:p>
    <w:p w:rsidR="009E64DA" w:rsidRDefault="00E74463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E74463">
        <w:rPr>
          <w:rtl/>
          <w:lang w:bidi="ar-MA"/>
        </w:rPr>
        <w:t xml:space="preserve">في مارس 2022، أصدرت الأمانة التعميم </w:t>
      </w:r>
      <w:r w:rsidRPr="00E74463">
        <w:rPr>
          <w:lang w:bidi="ar-MA"/>
        </w:rPr>
        <w:t>C.CWS 155</w:t>
      </w:r>
      <w:r w:rsidRPr="00E74463">
        <w:rPr>
          <w:rtl/>
          <w:lang w:bidi="ar-MA"/>
        </w:rPr>
        <w:t xml:space="preserve"> الذي يدعو مكاتب الملكية الفكرية إلى المشاركة في الدراسة الاستقصا</w:t>
      </w:r>
      <w:r w:rsidR="001B0F71">
        <w:rPr>
          <w:rtl/>
          <w:lang w:bidi="ar-MA"/>
        </w:rPr>
        <w:t xml:space="preserve">ئية بشأن التحول الرقمي. ووردت </w:t>
      </w:r>
      <w:r w:rsidRPr="00E74463">
        <w:rPr>
          <w:rtl/>
          <w:lang w:bidi="ar-MA"/>
        </w:rPr>
        <w:t>ردود من 41 مكتباً للملكية الف</w:t>
      </w:r>
      <w:r w:rsidR="005C0041">
        <w:rPr>
          <w:rtl/>
          <w:lang w:bidi="ar-MA"/>
        </w:rPr>
        <w:t>كرية تغطي 40 دولة عضوا</w:t>
      </w:r>
      <w:r w:rsidR="00B323EA">
        <w:rPr>
          <w:rFonts w:hint="cs"/>
          <w:rtl/>
          <w:lang w:bidi="ar-MA"/>
        </w:rPr>
        <w:t>ً</w:t>
      </w:r>
      <w:r w:rsidR="005C0041">
        <w:rPr>
          <w:rtl/>
          <w:lang w:bidi="ar-MA"/>
        </w:rPr>
        <w:t xml:space="preserve"> ومنطقة. وي</w:t>
      </w:r>
      <w:r w:rsidR="005C0041">
        <w:rPr>
          <w:rFonts w:hint="cs"/>
          <w:rtl/>
          <w:lang w:bidi="ar-MA"/>
        </w:rPr>
        <w:t>ُعزى</w:t>
      </w:r>
      <w:r w:rsidRPr="00E74463">
        <w:rPr>
          <w:rtl/>
          <w:lang w:bidi="ar-MA"/>
        </w:rPr>
        <w:t xml:space="preserve"> الفرق بين الأرقام إلى</w:t>
      </w:r>
      <w:r w:rsidR="005C0041">
        <w:rPr>
          <w:rFonts w:hint="cs"/>
          <w:rtl/>
          <w:lang w:bidi="ar-MA"/>
        </w:rPr>
        <w:t xml:space="preserve"> اتّباع</w:t>
      </w:r>
      <w:r w:rsidR="005C0041">
        <w:rPr>
          <w:rtl/>
          <w:lang w:bidi="ar-MA"/>
        </w:rPr>
        <w:t xml:space="preserve"> ممارسة جديدة. </w:t>
      </w:r>
      <w:r w:rsidR="005C0041">
        <w:rPr>
          <w:rFonts w:hint="cs"/>
          <w:rtl/>
          <w:lang w:bidi="ar-MA"/>
        </w:rPr>
        <w:t>ف</w:t>
      </w:r>
      <w:r w:rsidRPr="00E74463">
        <w:rPr>
          <w:rtl/>
          <w:lang w:bidi="ar-MA"/>
        </w:rPr>
        <w:t>بدءا</w:t>
      </w:r>
      <w:r w:rsidR="00B323EA">
        <w:rPr>
          <w:rFonts w:hint="cs"/>
          <w:rtl/>
          <w:lang w:bidi="ar-MA"/>
        </w:rPr>
        <w:t>ً</w:t>
      </w:r>
      <w:r w:rsidRPr="00E74463">
        <w:rPr>
          <w:rtl/>
          <w:lang w:bidi="ar-MA"/>
        </w:rPr>
        <w:t xml:space="preserve"> من هذه الدراسة الاستقصا</w:t>
      </w:r>
      <w:r w:rsidR="00777E3D">
        <w:rPr>
          <w:rtl/>
          <w:lang w:bidi="ar-MA"/>
        </w:rPr>
        <w:t>ئية، بدأت الأمانة في تسجيل ونشر</w:t>
      </w:r>
      <w:r w:rsidR="00777E3D">
        <w:rPr>
          <w:lang w:bidi="ar-MA"/>
        </w:rPr>
        <w:t xml:space="preserve"> </w:t>
      </w:r>
      <w:r w:rsidRPr="00777E3D">
        <w:rPr>
          <w:rtl/>
          <w:lang w:bidi="ar-MA"/>
        </w:rPr>
        <w:t>ا</w:t>
      </w:r>
      <w:r w:rsidR="00777E3D" w:rsidRPr="00777E3D">
        <w:rPr>
          <w:rtl/>
          <w:lang w:bidi="ar-MA"/>
        </w:rPr>
        <w:t>لبيانات</w:t>
      </w:r>
      <w:r w:rsidRPr="00E74463">
        <w:rPr>
          <w:rtl/>
          <w:lang w:bidi="ar-MA"/>
        </w:rPr>
        <w:t xml:space="preserve"> المقدمة من كل مكتب ل</w:t>
      </w:r>
      <w:r w:rsidR="00777E3D">
        <w:rPr>
          <w:rtl/>
          <w:lang w:bidi="ar-MA"/>
        </w:rPr>
        <w:t xml:space="preserve">لملكية الفكرية على حدة، </w:t>
      </w:r>
      <w:r w:rsidR="00777E3D">
        <w:rPr>
          <w:rFonts w:hint="cs"/>
          <w:rtl/>
          <w:lang w:bidi="ar-MA"/>
        </w:rPr>
        <w:t>عوضاً عن</w:t>
      </w:r>
      <w:r w:rsidRPr="00E74463">
        <w:rPr>
          <w:rtl/>
          <w:lang w:bidi="ar-MA"/>
        </w:rPr>
        <w:t xml:space="preserve"> الممار</w:t>
      </w:r>
      <w:r w:rsidR="00777E3D">
        <w:rPr>
          <w:rtl/>
          <w:lang w:bidi="ar-MA"/>
        </w:rPr>
        <w:t>سة القديمة ال</w:t>
      </w:r>
      <w:r w:rsidR="00777E3D">
        <w:rPr>
          <w:rFonts w:hint="cs"/>
          <w:rtl/>
          <w:lang w:bidi="ar-MA"/>
        </w:rPr>
        <w:t>تي كانت تستلزم</w:t>
      </w:r>
      <w:r w:rsidR="00777E3D">
        <w:rPr>
          <w:rtl/>
          <w:lang w:bidi="ar-MA"/>
        </w:rPr>
        <w:t xml:space="preserve"> جمع</w:t>
      </w:r>
      <w:r w:rsidRPr="00E74463">
        <w:rPr>
          <w:rtl/>
          <w:lang w:bidi="ar-MA"/>
        </w:rPr>
        <w:t xml:space="preserve"> </w:t>
      </w:r>
      <w:r w:rsidRPr="00777E3D">
        <w:rPr>
          <w:rtl/>
          <w:lang w:bidi="ar-MA"/>
        </w:rPr>
        <w:t>البيانات</w:t>
      </w:r>
      <w:r w:rsidRPr="00E74463">
        <w:rPr>
          <w:rtl/>
          <w:lang w:bidi="ar-MA"/>
        </w:rPr>
        <w:t xml:space="preserve"> المقدمة من مكاتب متعددة للمكية الفكرية في دولة عضو واحدة. ووردت ردود على هذه الدراسة الاستقصائية من مكتبين مختلفين</w:t>
      </w:r>
      <w:r>
        <w:rPr>
          <w:rStyle w:val="FootnoteReference"/>
          <w:rtl/>
          <w:lang w:bidi="ar-MA"/>
        </w:rPr>
        <w:footnoteReference w:id="2"/>
      </w:r>
      <w:r w:rsidRPr="00E74463">
        <w:rPr>
          <w:rtl/>
          <w:lang w:bidi="ar-MA"/>
        </w:rPr>
        <w:t xml:space="preserve"> في الجزائر، وبالتالي فإن عدد مكاتب الملكية الفكرية المجيبة أعلى من عدد الدول الأعضاء بالإضافة إلى مكاتب الملكية الفكرية الإقليمية. ومن المقرر نشر نتائج الدراسة الاستقصائية في الجزء 7 من دلي</w:t>
      </w:r>
      <w:r w:rsidR="001B0F71">
        <w:rPr>
          <w:rtl/>
          <w:lang w:bidi="ar-MA"/>
        </w:rPr>
        <w:t xml:space="preserve">ل الويبو في خريف عام 2022، </w:t>
      </w:r>
      <w:r w:rsidR="00F43B62">
        <w:rPr>
          <w:rFonts w:hint="cs"/>
          <w:rtl/>
          <w:lang w:bidi="ar-MA"/>
        </w:rPr>
        <w:t>عندما</w:t>
      </w:r>
      <w:r w:rsidR="001B0F71">
        <w:rPr>
          <w:rFonts w:hint="cs"/>
          <w:rtl/>
          <w:lang w:bidi="ar-MA"/>
        </w:rPr>
        <w:t xml:space="preserve"> تتم</w:t>
      </w:r>
      <w:r w:rsidRPr="00E74463">
        <w:rPr>
          <w:rtl/>
          <w:lang w:bidi="ar-MA"/>
        </w:rPr>
        <w:t xml:space="preserve"> ترجمة جميع الردود وتنسيقها.</w:t>
      </w:r>
    </w:p>
    <w:p w:rsidR="00E74463" w:rsidRPr="007774F6" w:rsidRDefault="00E74463" w:rsidP="002449EF">
      <w:pPr>
        <w:pStyle w:val="Heading2"/>
        <w:rPr>
          <w:i/>
          <w:iCs w:val="0"/>
          <w:sz w:val="24"/>
          <w:szCs w:val="24"/>
          <w:lang w:bidi="ar-MA"/>
        </w:rPr>
      </w:pPr>
      <w:r w:rsidRPr="007774F6">
        <w:rPr>
          <w:rFonts w:hint="cs"/>
          <w:i/>
          <w:iCs w:val="0"/>
          <w:sz w:val="24"/>
          <w:szCs w:val="24"/>
          <w:rtl/>
          <w:lang w:bidi="ar-MA"/>
        </w:rPr>
        <w:t>تحليل الدراسة الاستقصائية</w:t>
      </w:r>
    </w:p>
    <w:p w:rsidR="00E74463" w:rsidRDefault="001B0F71" w:rsidP="00B323EA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tl/>
          <w:lang w:bidi="ar-MA"/>
        </w:rPr>
        <w:t>وردت ردود من 40 دولة عضوا</w:t>
      </w:r>
      <w:r>
        <w:rPr>
          <w:rFonts w:hint="cs"/>
          <w:rtl/>
          <w:lang w:bidi="ar-MA"/>
        </w:rPr>
        <w:t>ً</w:t>
      </w:r>
      <w:r>
        <w:rPr>
          <w:rtl/>
          <w:lang w:bidi="ar-MA"/>
        </w:rPr>
        <w:t xml:space="preserve"> وم</w:t>
      </w:r>
      <w:r>
        <w:rPr>
          <w:rFonts w:hint="cs"/>
          <w:rtl/>
          <w:lang w:bidi="ar-MA"/>
        </w:rPr>
        <w:t>كتباً</w:t>
      </w:r>
      <w:r>
        <w:rPr>
          <w:rtl/>
          <w:lang w:bidi="ar-MA"/>
        </w:rPr>
        <w:t xml:space="preserve"> إقليمي</w:t>
      </w:r>
      <w:r>
        <w:rPr>
          <w:rFonts w:hint="cs"/>
          <w:rtl/>
          <w:lang w:bidi="ar-MA"/>
        </w:rPr>
        <w:t>اً</w:t>
      </w:r>
      <w:r w:rsidR="00E15D12" w:rsidRPr="00E15D12">
        <w:rPr>
          <w:rtl/>
          <w:lang w:bidi="ar-MA"/>
        </w:rPr>
        <w:t xml:space="preserve"> للملكية الفكرية: أفغانستان؛ أستراليا؛  أذربيجان؛ البحرين؛  البرازيل؛  كندا؛ </w:t>
      </w:r>
      <w:r>
        <w:rPr>
          <w:rtl/>
          <w:lang w:bidi="ar-MA"/>
        </w:rPr>
        <w:t>شيلي؛  الصين؛ الدانمرك؛ الجزائر؛ إستونيا؛</w:t>
      </w:r>
      <w:r w:rsidR="00E15D12" w:rsidRPr="00E15D12">
        <w:rPr>
          <w:rtl/>
          <w:lang w:bidi="ar-MA"/>
        </w:rPr>
        <w:t xml:space="preserve"> إسبانيا؛ فنلندا؛ هونغ كونغ، الصين؛  كرواتيا؛ هنغاريا؛ </w:t>
      </w:r>
      <w:proofErr w:type="spellStart"/>
      <w:r w:rsidR="00E15D12" w:rsidRPr="00E15D12">
        <w:rPr>
          <w:rtl/>
          <w:lang w:bidi="ar-MA"/>
        </w:rPr>
        <w:t>أيرلندا</w:t>
      </w:r>
      <w:proofErr w:type="spellEnd"/>
      <w:r w:rsidR="00E15D12" w:rsidRPr="00E15D12">
        <w:rPr>
          <w:rtl/>
          <w:lang w:bidi="ar-MA"/>
        </w:rPr>
        <w:t>؛  إسرائيل؛ إي</w:t>
      </w:r>
      <w:r>
        <w:rPr>
          <w:rtl/>
          <w:lang w:bidi="ar-MA"/>
        </w:rPr>
        <w:t xml:space="preserve">طاليا؛ الأردن؛ اليابان؛ كينيا؛ </w:t>
      </w:r>
      <w:r w:rsidR="00E15D12" w:rsidRPr="00E15D12">
        <w:rPr>
          <w:rtl/>
          <w:lang w:bidi="ar-MA"/>
        </w:rPr>
        <w:t>جمهورية كوريا؛ ليتوانيا؛ جمهورية مولدوفا؛ المكسيك؛ نيوزيلندا؛  الفلبين؛ الاتحاد الروسي؛ الم</w:t>
      </w:r>
      <w:r>
        <w:rPr>
          <w:rtl/>
          <w:lang w:bidi="ar-MA"/>
        </w:rPr>
        <w:t xml:space="preserve">ملكة </w:t>
      </w:r>
      <w:r>
        <w:rPr>
          <w:rtl/>
          <w:lang w:bidi="ar-MA"/>
        </w:rPr>
        <w:lastRenderedPageBreak/>
        <w:t xml:space="preserve">العربية السعودية؛ السويد؛ </w:t>
      </w:r>
      <w:r w:rsidR="00E15D12" w:rsidRPr="00E15D12">
        <w:rPr>
          <w:rtl/>
          <w:lang w:bidi="ar-MA"/>
        </w:rPr>
        <w:t>سلوفاكيا؛ سان مارينو؛ تشاد</w:t>
      </w:r>
      <w:r w:rsidR="00B323EA">
        <w:rPr>
          <w:rFonts w:hint="cs"/>
          <w:rtl/>
          <w:lang w:bidi="ar-MA"/>
        </w:rPr>
        <w:t>؛</w:t>
      </w:r>
      <w:r w:rsidR="00E15D12" w:rsidRPr="00E15D12">
        <w:rPr>
          <w:rtl/>
          <w:lang w:bidi="ar-MA"/>
        </w:rPr>
        <w:t xml:space="preserve"> أوكرانيا؛ الولايا</w:t>
      </w:r>
      <w:r>
        <w:rPr>
          <w:rtl/>
          <w:lang w:bidi="ar-MA"/>
        </w:rPr>
        <w:t xml:space="preserve">ت المتحدة الأمريكية؛ أوروغواي؛ </w:t>
      </w:r>
      <w:r w:rsidR="00E15D12" w:rsidRPr="00E15D12">
        <w:rPr>
          <w:rtl/>
          <w:lang w:bidi="ar-MA"/>
        </w:rPr>
        <w:t xml:space="preserve">مكتب </w:t>
      </w:r>
      <w:proofErr w:type="spellStart"/>
      <w:r w:rsidR="00E15D12" w:rsidRPr="00E15D12">
        <w:rPr>
          <w:rtl/>
          <w:lang w:bidi="ar-MA"/>
        </w:rPr>
        <w:t>بنيلوكس</w:t>
      </w:r>
      <w:proofErr w:type="spellEnd"/>
      <w:r w:rsidR="00E15D12" w:rsidRPr="00E15D12">
        <w:rPr>
          <w:rtl/>
          <w:lang w:bidi="ar-MA"/>
        </w:rPr>
        <w:t xml:space="preserve"> للملكية الفكرية </w:t>
      </w:r>
      <w:r w:rsidR="00E15D12" w:rsidRPr="00E15D12">
        <w:rPr>
          <w:lang w:bidi="ar-MA"/>
        </w:rPr>
        <w:t>BOIP)</w:t>
      </w:r>
      <w:r>
        <w:rPr>
          <w:rFonts w:cs="Arial"/>
          <w:rtl/>
          <w:lang w:bidi="ar-MA"/>
        </w:rPr>
        <w:t>)</w:t>
      </w:r>
      <w:r>
        <w:rPr>
          <w:rtl/>
          <w:lang w:bidi="ar-MA"/>
        </w:rPr>
        <w:t xml:space="preserve">؛ </w:t>
      </w:r>
      <w:r w:rsidR="00E15D12" w:rsidRPr="00E15D12">
        <w:rPr>
          <w:rtl/>
          <w:lang w:bidi="ar-MA"/>
        </w:rPr>
        <w:t xml:space="preserve">مكتب الاتحاد الأوروبي للملكية الفكرية </w:t>
      </w:r>
      <w:r w:rsidR="00E15D12" w:rsidRPr="00E15D12">
        <w:rPr>
          <w:lang w:bidi="ar-MA"/>
        </w:rPr>
        <w:t>EUIPO)</w:t>
      </w:r>
      <w:r w:rsidR="00AC1810">
        <w:rPr>
          <w:rFonts w:cs="Arial"/>
          <w:rtl/>
          <w:lang w:bidi="ar-MA"/>
        </w:rPr>
        <w:t>)</w:t>
      </w:r>
      <w:r w:rsidR="00AC1810">
        <w:rPr>
          <w:rtl/>
          <w:lang w:bidi="ar-MA"/>
        </w:rPr>
        <w:t xml:space="preserve">؛ </w:t>
      </w:r>
      <w:r w:rsidR="00AC1810">
        <w:rPr>
          <w:rFonts w:hint="cs"/>
          <w:rtl/>
          <w:lang w:bidi="ar-MA"/>
        </w:rPr>
        <w:t>و</w:t>
      </w:r>
      <w:r w:rsidR="00E15D12" w:rsidRPr="00E15D12">
        <w:rPr>
          <w:rtl/>
          <w:lang w:bidi="ar-MA"/>
        </w:rPr>
        <w:t>المكتب الأوروبي للبراءات (</w:t>
      </w:r>
      <w:r w:rsidR="00550002">
        <w:rPr>
          <w:lang w:bidi="ar-MA"/>
        </w:rPr>
        <w:t>EPO</w:t>
      </w:r>
      <w:r w:rsidR="00550002">
        <w:rPr>
          <w:rFonts w:cs="Arial"/>
          <w:rtl/>
          <w:lang w:bidi="ar-MA"/>
        </w:rPr>
        <w:t>)</w:t>
      </w:r>
      <w:r w:rsidR="00550002">
        <w:rPr>
          <w:rFonts w:hint="cs"/>
          <w:rtl/>
          <w:lang w:bidi="ar-MA"/>
        </w:rPr>
        <w:t>.</w:t>
      </w:r>
    </w:p>
    <w:p w:rsidR="00E0061F" w:rsidRDefault="00E0061F" w:rsidP="00E0061F">
      <w:pPr>
        <w:pStyle w:val="ListParagraph"/>
        <w:rPr>
          <w:lang w:bidi="ar-MA"/>
        </w:rPr>
      </w:pPr>
    </w:p>
    <w:p w:rsidR="007A116C" w:rsidRDefault="007A116C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7A116C">
        <w:rPr>
          <w:rtl/>
          <w:lang w:bidi="ar-MA"/>
        </w:rPr>
        <w:t>وقد</w:t>
      </w:r>
      <w:r w:rsidR="00AC1810">
        <w:rPr>
          <w:rFonts w:hint="cs"/>
          <w:rtl/>
          <w:lang w:bidi="ar-MA"/>
        </w:rPr>
        <w:t>ّ</w:t>
      </w:r>
      <w:r w:rsidRPr="007A116C">
        <w:rPr>
          <w:rtl/>
          <w:lang w:bidi="ar-MA"/>
        </w:rPr>
        <w:t>م المكتب الدولي إلى فرقة العمل المعنية بالتحول الرقمي ردود مكاتب الملكية الفكرية ومشروع تحليل لنتائج الدراسة الاستقصائية لتنظر فيها وتعلق عليها. وبالتشاور مع المشرف على فرقة العمل، أُعدّ التحليل التالي.</w:t>
      </w:r>
    </w:p>
    <w:p w:rsidR="00E0061F" w:rsidRDefault="00E0061F" w:rsidP="00E0061F">
      <w:pPr>
        <w:pStyle w:val="ListParagraph"/>
        <w:rPr>
          <w:lang w:bidi="ar-MA"/>
        </w:rPr>
      </w:pPr>
    </w:p>
    <w:p w:rsidR="007A116C" w:rsidRDefault="00AC1810" w:rsidP="002449EF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tl/>
          <w:lang w:bidi="ar-MA"/>
        </w:rPr>
        <w:t xml:space="preserve">وفيما يلي بعض النقاط البارزة </w:t>
      </w:r>
      <w:r>
        <w:rPr>
          <w:rFonts w:hint="cs"/>
          <w:rtl/>
          <w:lang w:bidi="ar-MA"/>
        </w:rPr>
        <w:t>في</w:t>
      </w:r>
      <w:r>
        <w:rPr>
          <w:rtl/>
          <w:lang w:bidi="ar-MA"/>
        </w:rPr>
        <w:t xml:space="preserve"> النتائج. </w:t>
      </w:r>
      <w:r w:rsidR="00F9595F">
        <w:rPr>
          <w:rFonts w:hint="cs"/>
          <w:rtl/>
          <w:lang w:bidi="ar-MA"/>
        </w:rPr>
        <w:t>أشار</w:t>
      </w:r>
      <w:r w:rsidR="002614A8" w:rsidRPr="002614A8">
        <w:rPr>
          <w:rtl/>
          <w:lang w:bidi="ar-MA"/>
        </w:rPr>
        <w:t xml:space="preserve"> معظم المجيبين (31</w:t>
      </w:r>
      <w:r>
        <w:rPr>
          <w:rFonts w:hint="cs"/>
          <w:rtl/>
          <w:lang w:bidi="ar-MA"/>
        </w:rPr>
        <w:t xml:space="preserve"> مجيباً</w:t>
      </w:r>
      <w:r w:rsidR="002614A8" w:rsidRPr="002614A8">
        <w:rPr>
          <w:rtl/>
          <w:lang w:bidi="ar-MA"/>
        </w:rPr>
        <w:t xml:space="preserve">) إلى أن </w:t>
      </w:r>
      <w:r w:rsidR="002614A8" w:rsidRPr="002614A8">
        <w:rPr>
          <w:lang w:bidi="ar-MA"/>
        </w:rPr>
        <w:t>PDF</w:t>
      </w:r>
      <w:r w:rsidR="002614A8" w:rsidRPr="002614A8">
        <w:rPr>
          <w:rtl/>
          <w:lang w:bidi="ar-MA"/>
        </w:rPr>
        <w:t xml:space="preserve"> هو نسق الملفات الأكثر استخداماً يليه استخدام الورق (30</w:t>
      </w:r>
      <w:r w:rsidR="00F9595F">
        <w:rPr>
          <w:rFonts w:hint="cs"/>
          <w:rtl/>
          <w:lang w:bidi="ar-MA"/>
        </w:rPr>
        <w:t xml:space="preserve"> مجيباً</w:t>
      </w:r>
      <w:r w:rsidR="002614A8" w:rsidRPr="002614A8">
        <w:rPr>
          <w:rtl/>
          <w:lang w:bidi="ar-MA"/>
        </w:rPr>
        <w:t>) و</w:t>
      </w:r>
      <w:r w:rsidR="00F9595F">
        <w:rPr>
          <w:rFonts w:hint="cs"/>
          <w:rtl/>
          <w:lang w:bidi="ar-MA"/>
        </w:rPr>
        <w:t>نسق</w:t>
      </w:r>
      <w:r w:rsidR="002614A8" w:rsidRPr="002614A8">
        <w:rPr>
          <w:rtl/>
          <w:lang w:bidi="ar-MA"/>
        </w:rPr>
        <w:t xml:space="preserve"> </w:t>
      </w:r>
      <w:r w:rsidR="002614A8" w:rsidRPr="002614A8">
        <w:rPr>
          <w:lang w:bidi="ar-MA"/>
        </w:rPr>
        <w:t>Microsoft Word DOCX</w:t>
      </w:r>
      <w:r w:rsidR="002614A8" w:rsidRPr="002614A8">
        <w:rPr>
          <w:rtl/>
          <w:lang w:bidi="ar-MA"/>
        </w:rPr>
        <w:t xml:space="preserve"> في صيغة حرة (19</w:t>
      </w:r>
      <w:r>
        <w:rPr>
          <w:rFonts w:hint="cs"/>
          <w:rtl/>
          <w:lang w:bidi="ar-MA"/>
        </w:rPr>
        <w:t xml:space="preserve"> مجيباً</w:t>
      </w:r>
      <w:r w:rsidR="00F9595F">
        <w:rPr>
          <w:rtl/>
          <w:lang w:bidi="ar-MA"/>
        </w:rPr>
        <w:t>). و</w:t>
      </w:r>
      <w:r w:rsidR="00F9595F">
        <w:rPr>
          <w:rFonts w:hint="cs"/>
          <w:rtl/>
          <w:lang w:bidi="ar-MA"/>
        </w:rPr>
        <w:t>أشار</w:t>
      </w:r>
      <w:r w:rsidR="002614A8" w:rsidRPr="002614A8">
        <w:rPr>
          <w:rtl/>
          <w:lang w:bidi="ar-MA"/>
        </w:rPr>
        <w:t xml:space="preserve"> أكثر من نصف المجيبين (24</w:t>
      </w:r>
      <w:r>
        <w:rPr>
          <w:rFonts w:hint="cs"/>
          <w:rtl/>
          <w:lang w:bidi="ar-MA"/>
        </w:rPr>
        <w:t xml:space="preserve"> مجيباً</w:t>
      </w:r>
      <w:r w:rsidR="002614A8" w:rsidRPr="002614A8">
        <w:rPr>
          <w:rtl/>
          <w:lang w:bidi="ar-MA"/>
        </w:rPr>
        <w:t>) إلى</w:t>
      </w:r>
      <w:r w:rsidR="00EA778F">
        <w:rPr>
          <w:rtl/>
          <w:lang w:bidi="ar-MA"/>
        </w:rPr>
        <w:t xml:space="preserve"> أنهم ي</w:t>
      </w:r>
      <w:r w:rsidR="00EA778F">
        <w:rPr>
          <w:rFonts w:hint="cs"/>
          <w:rtl/>
          <w:lang w:bidi="ar-MA"/>
        </w:rPr>
        <w:t>وفّرون</w:t>
      </w:r>
      <w:r w:rsidR="002614A8" w:rsidRPr="002614A8">
        <w:rPr>
          <w:rtl/>
          <w:lang w:bidi="ar-MA"/>
        </w:rPr>
        <w:t xml:space="preserve"> عمليات التحقق الأولية القائمة على المحتوى لمقد</w:t>
      </w:r>
      <w:r w:rsidR="00EA778F">
        <w:rPr>
          <w:rFonts w:hint="cs"/>
          <w:rtl/>
          <w:lang w:bidi="ar-MA"/>
        </w:rPr>
        <w:t>ّ</w:t>
      </w:r>
      <w:r w:rsidR="002614A8" w:rsidRPr="002614A8">
        <w:rPr>
          <w:rtl/>
          <w:lang w:bidi="ar-MA"/>
        </w:rPr>
        <w:t>مي الطلبات قبل تقديم</w:t>
      </w:r>
      <w:r w:rsidR="00F43B62">
        <w:rPr>
          <w:rFonts w:hint="cs"/>
          <w:rtl/>
          <w:lang w:bidi="ar-MA"/>
        </w:rPr>
        <w:t>ه</w:t>
      </w:r>
      <w:r w:rsidR="00EA778F">
        <w:rPr>
          <w:rFonts w:hint="cs"/>
          <w:rtl/>
          <w:lang w:bidi="ar-MA"/>
        </w:rPr>
        <w:t>ا</w:t>
      </w:r>
      <w:r w:rsidR="002614A8" w:rsidRPr="002614A8">
        <w:rPr>
          <w:rtl/>
          <w:lang w:bidi="ar-MA"/>
        </w:rPr>
        <w:t xml:space="preserve"> لتقليل عدد حالات عدم الامتثال للإجراءات </w:t>
      </w:r>
      <w:r w:rsidR="00EA778F">
        <w:rPr>
          <w:rFonts w:hint="cs"/>
          <w:rtl/>
          <w:lang w:bidi="ar-MA"/>
        </w:rPr>
        <w:t>ال</w:t>
      </w:r>
      <w:r w:rsidR="002614A8" w:rsidRPr="002614A8">
        <w:rPr>
          <w:rtl/>
          <w:lang w:bidi="ar-MA"/>
        </w:rPr>
        <w:t xml:space="preserve">شكلية.  </w:t>
      </w:r>
    </w:p>
    <w:p w:rsidR="00E0061F" w:rsidRDefault="00E0061F" w:rsidP="00E0061F">
      <w:pPr>
        <w:pStyle w:val="ListParagraph"/>
        <w:rPr>
          <w:lang w:bidi="ar-MA"/>
        </w:rPr>
      </w:pPr>
    </w:p>
    <w:p w:rsidR="002614A8" w:rsidRDefault="00EA778F" w:rsidP="002449EF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tl/>
          <w:lang w:bidi="ar-MA"/>
        </w:rPr>
        <w:t xml:space="preserve">وفي سؤال ذي صلة، </w:t>
      </w:r>
      <w:r>
        <w:rPr>
          <w:rFonts w:hint="cs"/>
          <w:rtl/>
          <w:lang w:bidi="ar-MA"/>
        </w:rPr>
        <w:t>أجابت الأغلبية الساحقة</w:t>
      </w:r>
      <w:r w:rsidR="00F61B51" w:rsidRPr="00F61B51">
        <w:rPr>
          <w:rtl/>
          <w:lang w:bidi="ar-MA"/>
        </w:rPr>
        <w:t xml:space="preserve"> بنعم (38</w:t>
      </w:r>
      <w:r>
        <w:rPr>
          <w:rFonts w:hint="cs"/>
          <w:rtl/>
          <w:lang w:bidi="ar-MA"/>
        </w:rPr>
        <w:t xml:space="preserve"> إجابة</w:t>
      </w:r>
      <w:r w:rsidR="0084212D">
        <w:rPr>
          <w:rtl/>
          <w:lang w:bidi="ar-MA"/>
        </w:rPr>
        <w:t>)</w:t>
      </w:r>
      <w:r w:rsidR="0084212D">
        <w:rPr>
          <w:rFonts w:hint="cs"/>
          <w:rtl/>
          <w:lang w:bidi="ar-MA"/>
        </w:rPr>
        <w:t xml:space="preserve"> بشأن </w:t>
      </w:r>
      <w:r>
        <w:rPr>
          <w:rFonts w:hint="cs"/>
          <w:rtl/>
          <w:lang w:bidi="ar-MA"/>
        </w:rPr>
        <w:t>ا</w:t>
      </w:r>
      <w:r w:rsidR="008B6627">
        <w:rPr>
          <w:rtl/>
          <w:lang w:bidi="ar-MA"/>
        </w:rPr>
        <w:t xml:space="preserve">لمكاتب التي توفر أداة </w:t>
      </w:r>
      <w:r w:rsidR="008B6627">
        <w:rPr>
          <w:rFonts w:hint="cs"/>
          <w:rtl/>
          <w:lang w:bidi="ar-MA"/>
        </w:rPr>
        <w:t>تطهير</w:t>
      </w:r>
      <w:r w:rsidR="00F61B51" w:rsidRPr="00F61B51">
        <w:rPr>
          <w:rtl/>
          <w:lang w:bidi="ar-MA"/>
        </w:rPr>
        <w:t xml:space="preserve"> لإزالة البيانات الوصفية غير المرغوب فيها من الوث</w:t>
      </w:r>
      <w:r w:rsidR="008B6627">
        <w:rPr>
          <w:rtl/>
          <w:lang w:bidi="ar-MA"/>
        </w:rPr>
        <w:t xml:space="preserve">ائق قبل تقديمها. بالإضافة إلى ذلك، </w:t>
      </w:r>
      <w:r w:rsidR="00F61B51" w:rsidRPr="00F61B51">
        <w:rPr>
          <w:rtl/>
          <w:lang w:bidi="ar-MA"/>
        </w:rPr>
        <w:t>قد</w:t>
      </w:r>
      <w:r w:rsidR="008B6627">
        <w:rPr>
          <w:rFonts w:hint="cs"/>
          <w:rtl/>
          <w:lang w:bidi="ar-MA"/>
        </w:rPr>
        <w:t>ّ</w:t>
      </w:r>
      <w:r w:rsidR="00F61B51" w:rsidRPr="00F61B51">
        <w:rPr>
          <w:rtl/>
          <w:lang w:bidi="ar-MA"/>
        </w:rPr>
        <w:t>م عدد لا بأس به من المكاتب (29 مكتبا</w:t>
      </w:r>
      <w:r w:rsidR="008B6627">
        <w:rPr>
          <w:rFonts w:hint="cs"/>
          <w:rtl/>
          <w:lang w:bidi="ar-MA"/>
        </w:rPr>
        <w:t>ً</w:t>
      </w:r>
      <w:r w:rsidR="00F61B51" w:rsidRPr="00F61B51">
        <w:rPr>
          <w:rtl/>
          <w:lang w:bidi="ar-MA"/>
        </w:rPr>
        <w:t xml:space="preserve">) </w:t>
      </w:r>
      <w:r w:rsidR="008B6627">
        <w:rPr>
          <w:rtl/>
          <w:lang w:bidi="ar-MA"/>
        </w:rPr>
        <w:t xml:space="preserve">تعقيبات خلال عملية </w:t>
      </w:r>
      <w:r w:rsidR="008B6627">
        <w:rPr>
          <w:rFonts w:hint="cs"/>
          <w:rtl/>
          <w:lang w:bidi="ar-MA"/>
        </w:rPr>
        <w:t>تقديم الطلب</w:t>
      </w:r>
      <w:r w:rsidR="00F61B51" w:rsidRPr="00F61B51">
        <w:rPr>
          <w:rtl/>
          <w:lang w:bidi="ar-MA"/>
        </w:rPr>
        <w:t xml:space="preserve"> توض</w:t>
      </w:r>
      <w:r w:rsidR="00F43B62">
        <w:rPr>
          <w:rFonts w:hint="cs"/>
          <w:rtl/>
          <w:lang w:bidi="ar-MA"/>
        </w:rPr>
        <w:t>ّ</w:t>
      </w:r>
      <w:r w:rsidR="00F61B51" w:rsidRPr="00F61B51">
        <w:rPr>
          <w:rtl/>
          <w:lang w:bidi="ar-MA"/>
        </w:rPr>
        <w:t>ح بالتفصيل المشاكل المحتملة في الطلب المقدم، نتيجة لعمليات التحق</w:t>
      </w:r>
      <w:r w:rsidR="008B6627">
        <w:rPr>
          <w:rFonts w:hint="cs"/>
          <w:rtl/>
          <w:lang w:bidi="ar-MA"/>
        </w:rPr>
        <w:t>ّ</w:t>
      </w:r>
      <w:r w:rsidR="008B6627">
        <w:rPr>
          <w:rtl/>
          <w:lang w:bidi="ar-MA"/>
        </w:rPr>
        <w:t xml:space="preserve">ق التي </w:t>
      </w:r>
      <w:r w:rsidR="008B6627">
        <w:rPr>
          <w:rFonts w:hint="cs"/>
          <w:rtl/>
          <w:lang w:bidi="ar-MA"/>
        </w:rPr>
        <w:t>يجريه</w:t>
      </w:r>
      <w:r w:rsidR="00F61B51" w:rsidRPr="00F61B51">
        <w:rPr>
          <w:rtl/>
          <w:lang w:bidi="ar-MA"/>
        </w:rPr>
        <w:t>ا المكتب.</w:t>
      </w:r>
    </w:p>
    <w:p w:rsidR="00E0061F" w:rsidRDefault="00E0061F" w:rsidP="00E0061F">
      <w:pPr>
        <w:pStyle w:val="ListParagraph"/>
        <w:rPr>
          <w:lang w:bidi="ar-MA"/>
        </w:rPr>
      </w:pPr>
    </w:p>
    <w:p w:rsidR="00F61B51" w:rsidRDefault="006D7AA9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6D7AA9">
        <w:rPr>
          <w:rtl/>
          <w:lang w:bidi="ar-MA"/>
        </w:rPr>
        <w:t>وليس من المستغرب أن يذكر عدد كبير من المكاتب (31 مكتباً) أن وثائق الطلبات المقد</w:t>
      </w:r>
      <w:r w:rsidR="003402B3">
        <w:rPr>
          <w:rFonts w:hint="cs"/>
          <w:rtl/>
          <w:lang w:bidi="ar-MA"/>
        </w:rPr>
        <w:t>ّ</w:t>
      </w:r>
      <w:r w:rsidRPr="006D7AA9">
        <w:rPr>
          <w:rtl/>
          <w:lang w:bidi="ar-MA"/>
        </w:rPr>
        <w:t>م</w:t>
      </w:r>
      <w:r w:rsidR="003402B3">
        <w:rPr>
          <w:rtl/>
          <w:lang w:bidi="ar-MA"/>
        </w:rPr>
        <w:t xml:space="preserve">ة أصلاً تعتبر </w:t>
      </w:r>
      <w:r w:rsidR="003402B3">
        <w:rPr>
          <w:rFonts w:hint="cs"/>
          <w:rtl/>
          <w:lang w:bidi="ar-MA"/>
        </w:rPr>
        <w:t>نسخة</w:t>
      </w:r>
      <w:r w:rsidR="003402B3">
        <w:rPr>
          <w:rtl/>
          <w:lang w:bidi="ar-MA"/>
        </w:rPr>
        <w:t xml:space="preserve"> </w:t>
      </w:r>
      <w:r w:rsidR="003402B3">
        <w:rPr>
          <w:rFonts w:hint="cs"/>
          <w:rtl/>
          <w:lang w:bidi="ar-MA"/>
        </w:rPr>
        <w:t>ا</w:t>
      </w:r>
      <w:r w:rsidRPr="006D7AA9">
        <w:rPr>
          <w:rtl/>
          <w:lang w:bidi="ar-MA"/>
        </w:rPr>
        <w:t xml:space="preserve">لطلب </w:t>
      </w:r>
      <w:r w:rsidR="003402B3">
        <w:rPr>
          <w:rFonts w:hint="cs"/>
          <w:rtl/>
          <w:lang w:bidi="ar-MA"/>
        </w:rPr>
        <w:t>ذات الحجّية</w:t>
      </w:r>
      <w:r w:rsidRPr="006D7AA9">
        <w:rPr>
          <w:rtl/>
          <w:lang w:bidi="ar-MA"/>
        </w:rPr>
        <w:t>. وتحتفظ بعض المكاتب أيضاً بنسق الصور المقد</w:t>
      </w:r>
      <w:r w:rsidR="008B6627">
        <w:rPr>
          <w:rFonts w:hint="cs"/>
          <w:rtl/>
          <w:lang w:bidi="ar-MA"/>
        </w:rPr>
        <w:t>ّ</w:t>
      </w:r>
      <w:r w:rsidRPr="006D7AA9">
        <w:rPr>
          <w:rtl/>
          <w:lang w:bidi="ar-MA"/>
        </w:rPr>
        <w:t>م أصلا</w:t>
      </w:r>
      <w:r w:rsidR="008B6627">
        <w:rPr>
          <w:rFonts w:hint="cs"/>
          <w:rtl/>
          <w:lang w:bidi="ar-MA"/>
        </w:rPr>
        <w:t>ً</w:t>
      </w:r>
      <w:r w:rsidR="008B6627">
        <w:rPr>
          <w:rtl/>
          <w:lang w:bidi="ar-MA"/>
        </w:rPr>
        <w:t xml:space="preserve"> (12 مكتباً). </w:t>
      </w:r>
      <w:r w:rsidRPr="006D7AA9">
        <w:rPr>
          <w:rtl/>
          <w:lang w:bidi="ar-MA"/>
        </w:rPr>
        <w:t>بالإضافة إلى ذلك، أشارت معظم المكاتب إلى أنها ستعرض النسق المقدم أصلاً (27 مكتباً) لفحص الطلب</w:t>
      </w:r>
      <w:r w:rsidR="008C04D6">
        <w:rPr>
          <w:rFonts w:hint="cs"/>
          <w:rtl/>
          <w:lang w:bidi="ar-MA"/>
        </w:rPr>
        <w:t>ات</w:t>
      </w:r>
      <w:r w:rsidRPr="006D7AA9">
        <w:rPr>
          <w:rtl/>
          <w:lang w:bidi="ar-MA"/>
        </w:rPr>
        <w:t xml:space="preserve"> وإدارته</w:t>
      </w:r>
      <w:r w:rsidR="008C04D6">
        <w:rPr>
          <w:rFonts w:hint="cs"/>
          <w:rtl/>
          <w:lang w:bidi="ar-MA"/>
        </w:rPr>
        <w:t>ا</w:t>
      </w:r>
      <w:r w:rsidRPr="006D7AA9">
        <w:rPr>
          <w:rtl/>
          <w:lang w:bidi="ar-MA"/>
        </w:rPr>
        <w:t>.</w:t>
      </w:r>
    </w:p>
    <w:p w:rsidR="00E0061F" w:rsidRDefault="00E0061F" w:rsidP="00E0061F">
      <w:pPr>
        <w:pStyle w:val="ListParagraph"/>
        <w:rPr>
          <w:lang w:bidi="ar-MA"/>
        </w:rPr>
      </w:pPr>
    </w:p>
    <w:p w:rsidR="001E50E8" w:rsidRDefault="003402B3" w:rsidP="002449EF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tl/>
          <w:lang w:bidi="ar-MA"/>
        </w:rPr>
        <w:t>و</w:t>
      </w:r>
      <w:r>
        <w:rPr>
          <w:rFonts w:hint="cs"/>
          <w:rtl/>
          <w:lang w:bidi="ar-MA"/>
        </w:rPr>
        <w:t>أشار</w:t>
      </w:r>
      <w:r w:rsidR="001E50E8" w:rsidRPr="001E50E8">
        <w:rPr>
          <w:rtl/>
          <w:lang w:bidi="ar-MA"/>
        </w:rPr>
        <w:t xml:space="preserve"> المشرف على فرقة العمل إلى أن هذه المعلومات المتعلقة بالوثائق والصور المقدمة</w:t>
      </w:r>
      <w:r>
        <w:rPr>
          <w:rtl/>
          <w:lang w:bidi="ar-MA"/>
        </w:rPr>
        <w:t xml:space="preserve"> هي نقطة رئيسية ينبغي </w:t>
      </w:r>
      <w:r w:rsidR="003F774A">
        <w:rPr>
          <w:rFonts w:hint="cs"/>
          <w:rtl/>
          <w:lang w:bidi="ar-MA"/>
        </w:rPr>
        <w:t>أن تنظر فيها</w:t>
      </w:r>
      <w:r w:rsidR="003F774A">
        <w:rPr>
          <w:rtl/>
          <w:lang w:bidi="ar-MA"/>
        </w:rPr>
        <w:t xml:space="preserve"> فرقة العمل </w:t>
      </w:r>
      <w:r w:rsidR="003F774A">
        <w:rPr>
          <w:rFonts w:hint="cs"/>
          <w:rtl/>
          <w:lang w:bidi="ar-MA"/>
        </w:rPr>
        <w:t>عند التخطيط لعمل</w:t>
      </w:r>
      <w:r w:rsidR="003F774A">
        <w:rPr>
          <w:rtl/>
          <w:lang w:bidi="ar-MA"/>
        </w:rPr>
        <w:t xml:space="preserve"> المستقبل. وتعتبر المكاتب و</w:t>
      </w:r>
      <w:r w:rsidR="003F774A">
        <w:rPr>
          <w:rFonts w:hint="cs"/>
          <w:rtl/>
          <w:lang w:bidi="ar-MA"/>
        </w:rPr>
        <w:t>مقدّمو الطلبات على السواء</w:t>
      </w:r>
      <w:r w:rsidR="003F774A">
        <w:rPr>
          <w:rtl/>
          <w:lang w:bidi="ar-MA"/>
        </w:rPr>
        <w:t xml:space="preserve"> أن </w:t>
      </w:r>
      <w:r w:rsidR="003F774A">
        <w:rPr>
          <w:rFonts w:hint="cs"/>
          <w:rtl/>
          <w:lang w:bidi="ar-MA"/>
        </w:rPr>
        <w:t>ت</w:t>
      </w:r>
      <w:r w:rsidR="001E50E8" w:rsidRPr="001E50E8">
        <w:rPr>
          <w:rtl/>
          <w:lang w:bidi="ar-MA"/>
        </w:rPr>
        <w:t>قديم</w:t>
      </w:r>
      <w:r w:rsidR="003F774A">
        <w:rPr>
          <w:rFonts w:hint="cs"/>
          <w:rtl/>
          <w:lang w:bidi="ar-MA"/>
        </w:rPr>
        <w:t xml:space="preserve"> الطلب</w:t>
      </w:r>
      <w:r w:rsidR="001E50E8" w:rsidRPr="001E50E8">
        <w:rPr>
          <w:rtl/>
          <w:lang w:bidi="ar-MA"/>
        </w:rPr>
        <w:t xml:space="preserve"> الأصلي هو النس</w:t>
      </w:r>
      <w:r w:rsidR="002449EF">
        <w:rPr>
          <w:rtl/>
          <w:lang w:bidi="ar-MA"/>
        </w:rPr>
        <w:t xml:space="preserve">خة ذات الحجّية </w:t>
      </w:r>
      <w:r w:rsidR="002449EF">
        <w:rPr>
          <w:rFonts w:hint="cs"/>
          <w:rtl/>
          <w:lang w:bidi="ar-MA"/>
        </w:rPr>
        <w:t>ل</w:t>
      </w:r>
      <w:r w:rsidR="001E50E8" w:rsidRPr="001E50E8">
        <w:rPr>
          <w:rtl/>
          <w:lang w:bidi="ar-MA"/>
        </w:rPr>
        <w:t>لطلب، مما يعني أن</w:t>
      </w:r>
      <w:r w:rsidR="003F774A">
        <w:rPr>
          <w:rFonts w:hint="cs"/>
          <w:rtl/>
          <w:lang w:bidi="ar-MA"/>
        </w:rPr>
        <w:t>ه من الضروري أن تحتفظ ا</w:t>
      </w:r>
      <w:r w:rsidR="001E50E8" w:rsidRPr="001E50E8">
        <w:rPr>
          <w:rtl/>
          <w:lang w:bidi="ar-MA"/>
        </w:rPr>
        <w:t>لمكات</w:t>
      </w:r>
      <w:r w:rsidR="003F774A">
        <w:rPr>
          <w:rtl/>
          <w:lang w:bidi="ar-MA"/>
        </w:rPr>
        <w:t>ب</w:t>
      </w:r>
      <w:r w:rsidR="001E50E8" w:rsidRPr="001E50E8">
        <w:rPr>
          <w:rtl/>
          <w:lang w:bidi="ar-MA"/>
        </w:rPr>
        <w:t xml:space="preserve"> دائماً </w:t>
      </w:r>
      <w:r w:rsidR="003F774A">
        <w:rPr>
          <w:rtl/>
          <w:lang w:bidi="ar-MA"/>
        </w:rPr>
        <w:t xml:space="preserve">بالإيداع الأصلي في </w:t>
      </w:r>
      <w:r w:rsidR="003F774A">
        <w:rPr>
          <w:rFonts w:hint="cs"/>
          <w:rtl/>
          <w:lang w:bidi="ar-MA"/>
        </w:rPr>
        <w:t>صيغته</w:t>
      </w:r>
      <w:r w:rsidR="001E50E8" w:rsidRPr="001E50E8">
        <w:rPr>
          <w:rtl/>
          <w:lang w:bidi="ar-MA"/>
        </w:rPr>
        <w:t xml:space="preserve"> الأصلي</w:t>
      </w:r>
      <w:r w:rsidR="003F774A">
        <w:rPr>
          <w:rFonts w:hint="cs"/>
          <w:rtl/>
          <w:lang w:bidi="ar-MA"/>
        </w:rPr>
        <w:t>ة</w:t>
      </w:r>
      <w:r w:rsidR="001E50E8" w:rsidRPr="001E50E8">
        <w:rPr>
          <w:rtl/>
          <w:lang w:bidi="ar-MA"/>
        </w:rPr>
        <w:t>، إلى جانب أي تحويلات مط</w:t>
      </w:r>
      <w:r w:rsidR="003F774A">
        <w:rPr>
          <w:rtl/>
          <w:lang w:bidi="ar-MA"/>
        </w:rPr>
        <w:t xml:space="preserve">لوبة لمعالجة البيانات من أجل </w:t>
      </w:r>
      <w:r w:rsidR="003F774A">
        <w:rPr>
          <w:rFonts w:hint="cs"/>
          <w:rtl/>
          <w:lang w:bidi="ar-MA"/>
        </w:rPr>
        <w:t>تدفّق</w:t>
      </w:r>
      <w:r w:rsidR="001E50E8" w:rsidRPr="001E50E8">
        <w:rPr>
          <w:rtl/>
          <w:lang w:bidi="ar-MA"/>
        </w:rPr>
        <w:t xml:space="preserve"> العمل الداخلي.</w:t>
      </w:r>
    </w:p>
    <w:p w:rsidR="00E0061F" w:rsidRDefault="00E0061F" w:rsidP="00E0061F">
      <w:pPr>
        <w:pStyle w:val="ListParagraph"/>
        <w:rPr>
          <w:lang w:bidi="ar-MA"/>
        </w:rPr>
      </w:pPr>
    </w:p>
    <w:p w:rsidR="001E50E8" w:rsidRDefault="008C04D6" w:rsidP="002449EF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tl/>
          <w:lang w:bidi="ar-MA"/>
        </w:rPr>
        <w:t>وبال</w:t>
      </w:r>
      <w:r>
        <w:rPr>
          <w:rFonts w:hint="cs"/>
          <w:rtl/>
          <w:lang w:bidi="ar-MA"/>
        </w:rPr>
        <w:t>نسبة</w:t>
      </w:r>
      <w:r w:rsidR="00551E68" w:rsidRPr="00551E68">
        <w:rPr>
          <w:rtl/>
          <w:lang w:bidi="ar-MA"/>
        </w:rPr>
        <w:t xml:space="preserve"> إلى النشر، أشار معظم المجيبين إلى أنهم سيستخدمون نسق الوثائق المقدمة أصلا</w:t>
      </w:r>
      <w:r w:rsidR="003F774A">
        <w:rPr>
          <w:rFonts w:hint="cs"/>
          <w:rtl/>
          <w:lang w:bidi="ar-MA"/>
        </w:rPr>
        <w:t>ً</w:t>
      </w:r>
      <w:r w:rsidR="00551E68" w:rsidRPr="00551E68">
        <w:rPr>
          <w:rtl/>
          <w:lang w:bidi="ar-MA"/>
        </w:rPr>
        <w:t xml:space="preserve"> (20</w:t>
      </w:r>
      <w:r w:rsidR="003F774A">
        <w:rPr>
          <w:rFonts w:hint="cs"/>
          <w:rtl/>
          <w:lang w:bidi="ar-MA"/>
        </w:rPr>
        <w:t xml:space="preserve"> إجابة</w:t>
      </w:r>
      <w:r w:rsidR="00551E68" w:rsidRPr="00551E68">
        <w:rPr>
          <w:rtl/>
          <w:lang w:bidi="ar-MA"/>
        </w:rPr>
        <w:t>) أو نسقا</w:t>
      </w:r>
      <w:r w:rsidR="003F774A">
        <w:rPr>
          <w:rFonts w:hint="cs"/>
          <w:rtl/>
          <w:lang w:bidi="ar-MA"/>
        </w:rPr>
        <w:t>ً</w:t>
      </w:r>
      <w:r w:rsidR="00551E68" w:rsidRPr="00551E68">
        <w:rPr>
          <w:rtl/>
          <w:lang w:bidi="ar-MA"/>
        </w:rPr>
        <w:t xml:space="preserve"> </w:t>
      </w:r>
      <w:r w:rsidR="00E0061F">
        <w:rPr>
          <w:rFonts w:hint="cs"/>
          <w:rtl/>
          <w:lang w:bidi="ar-MA"/>
        </w:rPr>
        <w:t xml:space="preserve">قام </w:t>
      </w:r>
      <w:r w:rsidR="00E0061F" w:rsidRPr="00551E68">
        <w:rPr>
          <w:rFonts w:hint="cs"/>
          <w:rtl/>
          <w:lang w:bidi="ar-MA"/>
        </w:rPr>
        <w:t>المكتب</w:t>
      </w:r>
      <w:r w:rsidR="005571BA">
        <w:rPr>
          <w:rFonts w:hint="cs"/>
          <w:rtl/>
          <w:lang w:bidi="ar-MA"/>
        </w:rPr>
        <w:t xml:space="preserve"> بتحويله</w:t>
      </w:r>
      <w:r w:rsidR="00551E68" w:rsidRPr="00551E68">
        <w:rPr>
          <w:rtl/>
          <w:lang w:bidi="ar-MA"/>
        </w:rPr>
        <w:t xml:space="preserve"> (20</w:t>
      </w:r>
      <w:r w:rsidR="003F774A">
        <w:rPr>
          <w:rFonts w:hint="cs"/>
          <w:rtl/>
          <w:lang w:bidi="ar-MA"/>
        </w:rPr>
        <w:t xml:space="preserve"> إجابة</w:t>
      </w:r>
      <w:r w:rsidR="005571BA">
        <w:rPr>
          <w:rtl/>
          <w:lang w:bidi="ar-MA"/>
        </w:rPr>
        <w:t>). و</w:t>
      </w:r>
      <w:r w:rsidR="0084212D">
        <w:rPr>
          <w:rFonts w:hint="cs"/>
          <w:rtl/>
          <w:lang w:bidi="ar-MA"/>
        </w:rPr>
        <w:t>تجدر الإشارة إلى</w:t>
      </w:r>
      <w:r w:rsidR="00551E68" w:rsidRPr="00551E68">
        <w:rPr>
          <w:rtl/>
          <w:lang w:bidi="ar-MA"/>
        </w:rPr>
        <w:t xml:space="preserve"> أن هذا السؤال </w:t>
      </w:r>
      <w:r w:rsidR="005571BA">
        <w:rPr>
          <w:rtl/>
          <w:lang w:bidi="ar-MA"/>
        </w:rPr>
        <w:t>يتيح إجابات متعددة، لذلك قد ت</w:t>
      </w:r>
      <w:r w:rsidR="005571BA">
        <w:rPr>
          <w:rFonts w:hint="cs"/>
          <w:rtl/>
          <w:lang w:bidi="ar-MA"/>
        </w:rPr>
        <w:t>حدّد</w:t>
      </w:r>
      <w:r w:rsidR="005571BA">
        <w:rPr>
          <w:rtl/>
          <w:lang w:bidi="ar-MA"/>
        </w:rPr>
        <w:t xml:space="preserve"> المكاتب</w:t>
      </w:r>
      <w:r w:rsidR="00551E68" w:rsidRPr="00551E68">
        <w:rPr>
          <w:rtl/>
          <w:lang w:bidi="ar-MA"/>
        </w:rPr>
        <w:t xml:space="preserve"> أكثر من خيار واحد. وأشارت عدة مكاتب (10</w:t>
      </w:r>
      <w:r w:rsidR="005571BA">
        <w:rPr>
          <w:rFonts w:hint="cs"/>
          <w:rtl/>
          <w:lang w:bidi="ar-MA"/>
        </w:rPr>
        <w:t xml:space="preserve"> مكاتب</w:t>
      </w:r>
      <w:r w:rsidR="005571BA">
        <w:rPr>
          <w:rtl/>
          <w:lang w:bidi="ar-MA"/>
        </w:rPr>
        <w:t>) إلى أنها تعتزم وقف الم</w:t>
      </w:r>
      <w:r w:rsidR="005571BA">
        <w:rPr>
          <w:rFonts w:hint="cs"/>
          <w:rtl/>
          <w:lang w:bidi="ar-MA"/>
        </w:rPr>
        <w:t>نشورات</w:t>
      </w:r>
      <w:r w:rsidR="00551E68" w:rsidRPr="00551E68">
        <w:rPr>
          <w:rtl/>
          <w:lang w:bidi="ar-MA"/>
        </w:rPr>
        <w:t xml:space="preserve"> الورقية في السنوات الخمس المقبلة.</w:t>
      </w:r>
    </w:p>
    <w:p w:rsidR="00551E68" w:rsidRPr="007774F6" w:rsidRDefault="00551E68" w:rsidP="002449EF">
      <w:pPr>
        <w:pStyle w:val="Heading2"/>
        <w:rPr>
          <w:i/>
          <w:iCs w:val="0"/>
          <w:sz w:val="24"/>
          <w:szCs w:val="24"/>
          <w:lang w:bidi="ar-MA"/>
        </w:rPr>
      </w:pPr>
      <w:r w:rsidRPr="007774F6">
        <w:rPr>
          <w:rFonts w:hint="cs"/>
          <w:i/>
          <w:iCs w:val="0"/>
          <w:sz w:val="24"/>
          <w:szCs w:val="24"/>
          <w:rtl/>
          <w:lang w:bidi="ar-MA"/>
        </w:rPr>
        <w:t>إجراءات أخرى</w:t>
      </w:r>
    </w:p>
    <w:p w:rsidR="00551E68" w:rsidRDefault="00326D68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326D68">
        <w:rPr>
          <w:rtl/>
          <w:lang w:bidi="ar-MA"/>
        </w:rPr>
        <w:t>بعد استعراض نتائج هذه الدراسة الاستقصائية، يوصي المشرف على فرقة العمل بوضع خطة لفرقة</w:t>
      </w:r>
      <w:r w:rsidR="005571BA">
        <w:rPr>
          <w:rtl/>
          <w:lang w:bidi="ar-MA"/>
        </w:rPr>
        <w:t xml:space="preserve"> العمل </w:t>
      </w:r>
      <w:r w:rsidR="005571BA">
        <w:rPr>
          <w:rFonts w:hint="cs"/>
          <w:rtl/>
          <w:lang w:bidi="ar-MA"/>
        </w:rPr>
        <w:t>من أجل</w:t>
      </w:r>
      <w:r w:rsidRPr="00326D68">
        <w:rPr>
          <w:rtl/>
          <w:lang w:bidi="ar-MA"/>
        </w:rPr>
        <w:t xml:space="preserve"> العمل على تحق</w:t>
      </w:r>
      <w:r w:rsidR="00203ABA">
        <w:rPr>
          <w:rtl/>
          <w:lang w:bidi="ar-MA"/>
        </w:rPr>
        <w:t xml:space="preserve">يق التوحيد في مجالين </w:t>
      </w:r>
      <w:r w:rsidR="00203ABA">
        <w:rPr>
          <w:rFonts w:hint="cs"/>
          <w:rtl/>
          <w:lang w:bidi="ar-MA"/>
        </w:rPr>
        <w:t>ل</w:t>
      </w:r>
      <w:r w:rsidR="00203ABA">
        <w:rPr>
          <w:rtl/>
          <w:lang w:bidi="ar-MA"/>
        </w:rPr>
        <w:t xml:space="preserve">عملية </w:t>
      </w:r>
      <w:r w:rsidR="00203ABA">
        <w:rPr>
          <w:rFonts w:hint="cs"/>
          <w:rtl/>
          <w:lang w:bidi="ar-MA"/>
        </w:rPr>
        <w:t xml:space="preserve">تقديم </w:t>
      </w:r>
      <w:r w:rsidRPr="00326D68">
        <w:rPr>
          <w:rtl/>
          <w:lang w:bidi="ar-MA"/>
        </w:rPr>
        <w:t>طلبات البراءات</w:t>
      </w:r>
      <w:r w:rsidR="00203ABA">
        <w:rPr>
          <w:rtl/>
          <w:lang w:bidi="ar-MA"/>
        </w:rPr>
        <w:t xml:space="preserve">: </w:t>
      </w:r>
      <w:r w:rsidR="0084212D">
        <w:rPr>
          <w:rFonts w:hint="cs"/>
          <w:rtl/>
          <w:lang w:bidi="ar-MA"/>
        </w:rPr>
        <w:t>ال</w:t>
      </w:r>
      <w:r w:rsidR="00203ABA" w:rsidRPr="00203ABA">
        <w:rPr>
          <w:rFonts w:hint="cs"/>
          <w:rtl/>
          <w:lang w:bidi="ar-MA"/>
        </w:rPr>
        <w:t>تلقي</w:t>
      </w:r>
      <w:r w:rsidR="00203ABA">
        <w:rPr>
          <w:rtl/>
          <w:lang w:bidi="ar-MA"/>
        </w:rPr>
        <w:t xml:space="preserve"> و</w:t>
      </w:r>
      <w:r w:rsidR="003B5B2F">
        <w:rPr>
          <w:rFonts w:hint="cs"/>
          <w:rtl/>
          <w:lang w:bidi="ar-MA"/>
        </w:rPr>
        <w:t>الإرسال</w:t>
      </w:r>
      <w:r w:rsidRPr="00203ABA">
        <w:rPr>
          <w:rtl/>
          <w:lang w:bidi="ar-MA"/>
        </w:rPr>
        <w:t xml:space="preserve">. </w:t>
      </w:r>
      <w:r w:rsidR="00BB53DE">
        <w:rPr>
          <w:rFonts w:hint="cs"/>
          <w:rtl/>
          <w:lang w:bidi="ar-MA"/>
        </w:rPr>
        <w:t xml:space="preserve">والأرجح أن هذين المجالين </w:t>
      </w:r>
      <w:r w:rsidR="00BB53DE">
        <w:rPr>
          <w:rtl/>
          <w:lang w:bidi="ar-MA"/>
        </w:rPr>
        <w:t xml:space="preserve">هما </w:t>
      </w:r>
      <w:r w:rsidR="00BB53DE">
        <w:rPr>
          <w:rFonts w:hint="cs"/>
          <w:rtl/>
          <w:lang w:bidi="ar-MA"/>
        </w:rPr>
        <w:t>الأكثر قابلية</w:t>
      </w:r>
      <w:r w:rsidRPr="00326D68">
        <w:rPr>
          <w:rtl/>
          <w:lang w:bidi="ar-MA"/>
        </w:rPr>
        <w:t xml:space="preserve"> للتطبيق من حيث القواسم ال</w:t>
      </w:r>
      <w:r w:rsidR="00BB53DE">
        <w:rPr>
          <w:rtl/>
          <w:lang w:bidi="ar-MA"/>
        </w:rPr>
        <w:t>مشتركة بين المكاتب و</w:t>
      </w:r>
      <w:r w:rsidR="00BB53DE">
        <w:rPr>
          <w:rFonts w:hint="cs"/>
          <w:rtl/>
          <w:lang w:bidi="ar-MA"/>
        </w:rPr>
        <w:t xml:space="preserve">من شأنهما أن </w:t>
      </w:r>
      <w:r w:rsidR="00BB53DE">
        <w:rPr>
          <w:rtl/>
          <w:lang w:bidi="ar-MA"/>
        </w:rPr>
        <w:t>يساع</w:t>
      </w:r>
      <w:r w:rsidR="00BB53DE">
        <w:rPr>
          <w:rFonts w:hint="cs"/>
          <w:rtl/>
          <w:lang w:bidi="ar-MA"/>
        </w:rPr>
        <w:t>دا</w:t>
      </w:r>
      <w:r w:rsidR="00BB53DE">
        <w:rPr>
          <w:rtl/>
          <w:lang w:bidi="ar-MA"/>
        </w:rPr>
        <w:t xml:space="preserve"> </w:t>
      </w:r>
      <w:r w:rsidR="00BB53DE">
        <w:rPr>
          <w:rFonts w:hint="cs"/>
          <w:rtl/>
          <w:lang w:bidi="ar-MA"/>
        </w:rPr>
        <w:t>مقدّم</w:t>
      </w:r>
      <w:r w:rsidRPr="00326D68">
        <w:rPr>
          <w:rtl/>
          <w:lang w:bidi="ar-MA"/>
        </w:rPr>
        <w:t xml:space="preserve"> الطلب أيضاً.  </w:t>
      </w:r>
    </w:p>
    <w:p w:rsidR="00E0061F" w:rsidRDefault="00E0061F" w:rsidP="00E0061F">
      <w:pPr>
        <w:pStyle w:val="ListParagraph"/>
        <w:rPr>
          <w:lang w:bidi="ar-MA"/>
        </w:rPr>
      </w:pPr>
    </w:p>
    <w:p w:rsidR="00326D68" w:rsidRDefault="00F37902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F37902">
        <w:rPr>
          <w:rtl/>
          <w:lang w:bidi="ar-MA"/>
        </w:rPr>
        <w:t>تلقي الطلب</w:t>
      </w:r>
      <w:r w:rsidR="00BB53DE">
        <w:rPr>
          <w:rFonts w:hint="cs"/>
          <w:rtl/>
          <w:lang w:bidi="ar-MA"/>
        </w:rPr>
        <w:t>ات</w:t>
      </w:r>
      <w:r w:rsidRPr="00F37902">
        <w:rPr>
          <w:rtl/>
          <w:lang w:bidi="ar-MA"/>
        </w:rPr>
        <w:t xml:space="preserve"> - تتطلب معظم المكاتب </w:t>
      </w:r>
      <w:r w:rsidRPr="00BB53DE">
        <w:rPr>
          <w:rtl/>
          <w:lang w:bidi="ar-MA"/>
        </w:rPr>
        <w:t>معلومات مماثلة</w:t>
      </w:r>
      <w:r w:rsidR="00BB53DE">
        <w:rPr>
          <w:rtl/>
          <w:lang w:bidi="ar-MA"/>
        </w:rPr>
        <w:t xml:space="preserve"> </w:t>
      </w:r>
      <w:r w:rsidR="00BB53DE">
        <w:rPr>
          <w:rFonts w:hint="cs"/>
          <w:rtl/>
          <w:lang w:bidi="ar-MA"/>
        </w:rPr>
        <w:t>بشأن</w:t>
      </w:r>
      <w:r w:rsidRPr="00BB53DE">
        <w:rPr>
          <w:rtl/>
          <w:lang w:bidi="ar-MA"/>
        </w:rPr>
        <w:t xml:space="preserve"> تلقي</w:t>
      </w:r>
      <w:r w:rsidR="00BB53DE" w:rsidRPr="00BB53DE">
        <w:rPr>
          <w:rFonts w:hint="cs"/>
          <w:rtl/>
          <w:lang w:bidi="ar-MA"/>
        </w:rPr>
        <w:t xml:space="preserve"> الطلبات</w:t>
      </w:r>
      <w:r w:rsidR="00BB53DE">
        <w:rPr>
          <w:rtl/>
          <w:lang w:bidi="ar-MA"/>
        </w:rPr>
        <w:t>،</w:t>
      </w:r>
      <w:r w:rsidR="00BB53DE">
        <w:rPr>
          <w:rFonts w:hint="cs"/>
          <w:rtl/>
          <w:lang w:bidi="ar-MA"/>
        </w:rPr>
        <w:t xml:space="preserve"> تتعلق</w:t>
      </w:r>
      <w:r w:rsidRPr="00F37902">
        <w:rPr>
          <w:rtl/>
          <w:lang w:bidi="ar-MA"/>
        </w:rPr>
        <w:t xml:space="preserve"> </w:t>
      </w:r>
      <w:r w:rsidR="00BB53DE">
        <w:rPr>
          <w:rFonts w:hint="cs"/>
          <w:rtl/>
          <w:lang w:bidi="ar-MA"/>
        </w:rPr>
        <w:t>بال</w:t>
      </w:r>
      <w:r w:rsidRPr="00F37902">
        <w:rPr>
          <w:rtl/>
          <w:lang w:bidi="ar-MA"/>
        </w:rPr>
        <w:t xml:space="preserve">أساسيات مثل البيانات الضخمة والمطالبات وملخص المواصفات والرسومات. وينبغي لفرقة العمل أن تستكشف تحويل </w:t>
      </w:r>
      <w:proofErr w:type="spellStart"/>
      <w:r w:rsidRPr="00F37902">
        <w:rPr>
          <w:lang w:bidi="ar-MA"/>
        </w:rPr>
        <w:t>DocX</w:t>
      </w:r>
      <w:proofErr w:type="spellEnd"/>
      <w:r w:rsidRPr="00F37902">
        <w:rPr>
          <w:rtl/>
          <w:lang w:bidi="ar-MA"/>
        </w:rPr>
        <w:t xml:space="preserve"> إلى </w:t>
      </w:r>
      <w:r w:rsidRPr="00F37902">
        <w:rPr>
          <w:lang w:bidi="ar-MA"/>
        </w:rPr>
        <w:t>XML</w:t>
      </w:r>
      <w:r w:rsidRPr="00F37902">
        <w:rPr>
          <w:rtl/>
          <w:lang w:bidi="ar-MA"/>
        </w:rPr>
        <w:t xml:space="preserve"> كخيار</w:t>
      </w:r>
      <w:r w:rsidR="00BB53DE">
        <w:rPr>
          <w:rFonts w:hint="cs"/>
          <w:rtl/>
          <w:lang w:bidi="ar-MA"/>
        </w:rPr>
        <w:t xml:space="preserve"> يتاح</w:t>
      </w:r>
      <w:r w:rsidRPr="00F37902">
        <w:rPr>
          <w:rtl/>
          <w:lang w:bidi="ar-MA"/>
        </w:rPr>
        <w:t xml:space="preserve"> للمكاتب.</w:t>
      </w:r>
    </w:p>
    <w:p w:rsidR="00E0061F" w:rsidRDefault="00E0061F" w:rsidP="00E0061F">
      <w:pPr>
        <w:pStyle w:val="ListParagraph"/>
        <w:rPr>
          <w:lang w:bidi="ar-MA"/>
        </w:rPr>
      </w:pPr>
    </w:p>
    <w:p w:rsidR="00F37902" w:rsidRDefault="003B5B2F" w:rsidP="002449EF">
      <w:pPr>
        <w:pStyle w:val="ListParagraph"/>
        <w:numPr>
          <w:ilvl w:val="0"/>
          <w:numId w:val="9"/>
        </w:numPr>
        <w:rPr>
          <w:lang w:bidi="ar-MA"/>
        </w:rPr>
      </w:pPr>
      <w:r>
        <w:rPr>
          <w:rFonts w:hint="cs"/>
          <w:rtl/>
          <w:lang w:bidi="ar-MA"/>
        </w:rPr>
        <w:t>الإرسال</w:t>
      </w:r>
      <w:r w:rsidR="005954BE" w:rsidRPr="005954BE">
        <w:rPr>
          <w:rtl/>
          <w:lang w:bidi="ar-MA"/>
        </w:rPr>
        <w:t xml:space="preserve"> - </w:t>
      </w:r>
      <w:r w:rsidR="00AA646D">
        <w:rPr>
          <w:rtl/>
          <w:lang w:bidi="ar-MA"/>
        </w:rPr>
        <w:t xml:space="preserve">تقدم معظم المكاتب </w:t>
      </w:r>
      <w:r w:rsidR="00AA646D" w:rsidRPr="003B5B2F">
        <w:rPr>
          <w:rtl/>
          <w:lang w:bidi="ar-MA"/>
        </w:rPr>
        <w:t>منشورات (</w:t>
      </w:r>
      <w:r w:rsidR="00AA646D" w:rsidRPr="003B5B2F">
        <w:rPr>
          <w:rFonts w:hint="cs"/>
          <w:rtl/>
          <w:lang w:bidi="ar-MA"/>
        </w:rPr>
        <w:t>الإرسال</w:t>
      </w:r>
      <w:r w:rsidR="005954BE" w:rsidRPr="003B5B2F">
        <w:rPr>
          <w:rtl/>
          <w:lang w:bidi="ar-MA"/>
        </w:rPr>
        <w:t>) في نسق</w:t>
      </w:r>
      <w:r w:rsidR="005954BE" w:rsidRPr="005954BE">
        <w:rPr>
          <w:rtl/>
          <w:lang w:bidi="ar-MA"/>
        </w:rPr>
        <w:t xml:space="preserve"> واحد أو أكثر. ويمكن لفرقة العمل أن تعمل على تشجيع جميع المكاتب على تقديم منشوراتها في نسق مشترك للمعيار </w:t>
      </w:r>
      <w:r w:rsidR="005954BE" w:rsidRPr="005954BE">
        <w:rPr>
          <w:lang w:bidi="ar-MA"/>
        </w:rPr>
        <w:t>ST.96</w:t>
      </w:r>
      <w:r w:rsidR="00AA646D">
        <w:rPr>
          <w:rtl/>
          <w:lang w:bidi="ar-MA"/>
        </w:rPr>
        <w:t xml:space="preserve"> إلى جانب الأنساق الأخرى ال</w:t>
      </w:r>
      <w:r w:rsidR="00AA646D">
        <w:rPr>
          <w:rFonts w:hint="cs"/>
          <w:rtl/>
          <w:lang w:bidi="ar-MA"/>
        </w:rPr>
        <w:t>قائمة</w:t>
      </w:r>
      <w:r w:rsidR="005954BE" w:rsidRPr="005954BE">
        <w:rPr>
          <w:rtl/>
          <w:lang w:bidi="ar-MA"/>
        </w:rPr>
        <w:t>. ومن شأن ذلك أن يساعد مستخدمي المعلوما</w:t>
      </w:r>
      <w:r w:rsidR="00AA646D">
        <w:rPr>
          <w:rtl/>
          <w:lang w:bidi="ar-MA"/>
        </w:rPr>
        <w:t>ت المتعلقة بالبراءات على ا</w:t>
      </w:r>
      <w:r w:rsidR="00AA646D">
        <w:rPr>
          <w:rFonts w:hint="cs"/>
          <w:rtl/>
          <w:lang w:bidi="ar-MA"/>
        </w:rPr>
        <w:t xml:space="preserve">تّباع </w:t>
      </w:r>
      <w:r w:rsidR="005954BE" w:rsidRPr="005954BE">
        <w:rPr>
          <w:rtl/>
          <w:lang w:bidi="ar-MA"/>
        </w:rPr>
        <w:t>نسق مشترك واحد على الأقل يمكنهم الاعتماد عليه في استخدامهم للبيانات.</w:t>
      </w:r>
    </w:p>
    <w:p w:rsidR="00E0061F" w:rsidRDefault="00E0061F" w:rsidP="00E0061F">
      <w:pPr>
        <w:pStyle w:val="ListParagraph"/>
        <w:rPr>
          <w:lang w:bidi="ar-MA"/>
        </w:rPr>
      </w:pPr>
    </w:p>
    <w:p w:rsidR="00F37902" w:rsidRDefault="005954BE" w:rsidP="002449EF">
      <w:pPr>
        <w:pStyle w:val="ListParagraph"/>
        <w:numPr>
          <w:ilvl w:val="0"/>
          <w:numId w:val="9"/>
        </w:numPr>
        <w:rPr>
          <w:lang w:bidi="ar-MA"/>
        </w:rPr>
      </w:pPr>
      <w:r w:rsidRPr="005954BE">
        <w:rPr>
          <w:rtl/>
          <w:lang w:bidi="ar-MA"/>
        </w:rPr>
        <w:t>وإذا وافقت لجنة المعايير على محتوى تحليل الدراسة الاستقصائية أعلاه، فسوف ينشر مع نتائج الدراسة الاستقصائية في الجزء 7 من دليل الويبو.</w:t>
      </w:r>
    </w:p>
    <w:p w:rsidR="00E0061F" w:rsidRDefault="00E0061F" w:rsidP="00E0061F">
      <w:pPr>
        <w:pStyle w:val="ListParagraph"/>
        <w:rPr>
          <w:lang w:bidi="ar-MA"/>
        </w:rPr>
      </w:pPr>
    </w:p>
    <w:p w:rsidR="007774F6" w:rsidRDefault="005954BE" w:rsidP="00D4130A">
      <w:pPr>
        <w:pStyle w:val="ListParagraph"/>
        <w:numPr>
          <w:ilvl w:val="0"/>
          <w:numId w:val="9"/>
        </w:numPr>
        <w:spacing w:after="220"/>
        <w:ind w:left="5885" w:hanging="357"/>
        <w:rPr>
          <w:rFonts w:asciiTheme="minorHAnsi" w:hAnsiTheme="minorHAnsi" w:cstheme="minorHAnsi"/>
          <w:i/>
          <w:iCs/>
        </w:rPr>
      </w:pPr>
      <w:r w:rsidRPr="00E0061F">
        <w:rPr>
          <w:rFonts w:asciiTheme="minorHAnsi" w:hAnsiTheme="minorHAnsi" w:cstheme="minorHAnsi" w:hint="cs"/>
          <w:i/>
          <w:iCs/>
          <w:rtl/>
        </w:rPr>
        <w:t>إن لجنة المعايير مدعوّة إلى ما يلي:</w:t>
      </w:r>
    </w:p>
    <w:p w:rsidR="00D4130A" w:rsidRPr="00D4130A" w:rsidRDefault="00D4130A" w:rsidP="00D4130A">
      <w:pPr>
        <w:pStyle w:val="ListParagraph"/>
        <w:spacing w:after="220"/>
        <w:ind w:left="5885"/>
        <w:rPr>
          <w:rFonts w:asciiTheme="minorHAnsi" w:hAnsiTheme="minorHAnsi" w:cstheme="minorHAnsi"/>
          <w:i/>
          <w:iCs/>
        </w:rPr>
      </w:pPr>
      <w:bookmarkStart w:id="5" w:name="_GoBack"/>
      <w:bookmarkEnd w:id="5"/>
    </w:p>
    <w:p w:rsidR="005954BE" w:rsidRPr="00E0061F" w:rsidRDefault="005954BE" w:rsidP="002449EF">
      <w:pPr>
        <w:pStyle w:val="ListParagraph"/>
        <w:numPr>
          <w:ilvl w:val="0"/>
          <w:numId w:val="11"/>
        </w:numPr>
        <w:spacing w:after="220"/>
        <w:ind w:left="5885" w:hanging="357"/>
        <w:rPr>
          <w:rFonts w:asciiTheme="minorHAnsi" w:hAnsiTheme="minorHAnsi" w:cstheme="minorHAnsi"/>
          <w:i/>
          <w:iCs/>
        </w:rPr>
      </w:pPr>
      <w:r w:rsidRPr="00E0061F">
        <w:rPr>
          <w:rFonts w:asciiTheme="minorHAnsi" w:hAnsiTheme="minorHAnsi"/>
          <w:i/>
          <w:iCs/>
          <w:rtl/>
          <w:lang w:val="fr-CA"/>
        </w:rPr>
        <w:t>الإحاطة علما</w:t>
      </w:r>
      <w:r w:rsidRPr="00E0061F">
        <w:rPr>
          <w:rFonts w:asciiTheme="minorHAnsi" w:hAnsiTheme="minorHAnsi" w:hint="cs"/>
          <w:i/>
          <w:iCs/>
          <w:rtl/>
          <w:lang w:val="fr-CA"/>
        </w:rPr>
        <w:t>ً</w:t>
      </w:r>
      <w:r w:rsidRPr="00E0061F">
        <w:rPr>
          <w:rFonts w:asciiTheme="minorHAnsi" w:hAnsiTheme="minorHAnsi"/>
          <w:i/>
          <w:iCs/>
          <w:rtl/>
          <w:lang w:val="fr-CA"/>
        </w:rPr>
        <w:t xml:space="preserve"> بمضمون هذه الوثيقة؛</w:t>
      </w:r>
    </w:p>
    <w:p w:rsidR="00E0061F" w:rsidRPr="00E0061F" w:rsidRDefault="00E0061F" w:rsidP="00E0061F">
      <w:pPr>
        <w:pStyle w:val="ListParagraph"/>
        <w:spacing w:after="220"/>
        <w:ind w:left="5885"/>
        <w:rPr>
          <w:rFonts w:asciiTheme="minorHAnsi" w:hAnsiTheme="minorHAnsi" w:cstheme="minorHAnsi"/>
          <w:i/>
          <w:iCs/>
        </w:rPr>
      </w:pPr>
    </w:p>
    <w:p w:rsidR="005954BE" w:rsidRPr="00E0061F" w:rsidRDefault="005954BE" w:rsidP="002449EF">
      <w:pPr>
        <w:pStyle w:val="ListParagraph"/>
        <w:numPr>
          <w:ilvl w:val="0"/>
          <w:numId w:val="11"/>
        </w:numPr>
        <w:spacing w:after="220"/>
        <w:ind w:left="5885" w:hanging="357"/>
        <w:rPr>
          <w:rFonts w:asciiTheme="minorHAnsi" w:hAnsiTheme="minorHAnsi" w:cstheme="minorHAnsi"/>
          <w:i/>
          <w:iCs/>
        </w:rPr>
      </w:pPr>
      <w:r w:rsidRPr="00E0061F">
        <w:rPr>
          <w:rFonts w:asciiTheme="minorHAnsi" w:hAnsiTheme="minorHAnsi"/>
          <w:i/>
          <w:iCs/>
          <w:rtl/>
        </w:rPr>
        <w:t xml:space="preserve"> </w:t>
      </w:r>
      <w:r w:rsidR="00A86537" w:rsidRPr="00E0061F">
        <w:rPr>
          <w:rFonts w:asciiTheme="minorHAnsi" w:hAnsiTheme="minorHAnsi"/>
          <w:i/>
          <w:iCs/>
          <w:rtl/>
        </w:rPr>
        <w:t xml:space="preserve">النظر في محتويات تحليل الدراسة الاستقصائية الواردة في الفقرات من 3 إلى 9 أعلاه والموافقة </w:t>
      </w:r>
      <w:r w:rsidR="00A86537" w:rsidRPr="00E0061F">
        <w:rPr>
          <w:rFonts w:asciiTheme="minorHAnsi" w:hAnsiTheme="minorHAnsi"/>
          <w:i/>
          <w:iCs/>
          <w:rtl/>
        </w:rPr>
        <w:lastRenderedPageBreak/>
        <w:t>عليها</w:t>
      </w:r>
      <w:r w:rsidR="00AA646D" w:rsidRPr="00E0061F">
        <w:rPr>
          <w:rFonts w:asciiTheme="minorHAnsi" w:hAnsiTheme="minorHAnsi" w:hint="cs"/>
          <w:i/>
          <w:iCs/>
          <w:rtl/>
        </w:rPr>
        <w:t>،</w:t>
      </w:r>
      <w:r w:rsidR="00AA646D" w:rsidRPr="00E0061F">
        <w:rPr>
          <w:rFonts w:asciiTheme="minorHAnsi" w:hAnsiTheme="minorHAnsi"/>
          <w:i/>
          <w:iCs/>
          <w:rtl/>
        </w:rPr>
        <w:t xml:space="preserve"> </w:t>
      </w:r>
      <w:r w:rsidR="00AA646D" w:rsidRPr="00E0061F">
        <w:rPr>
          <w:rFonts w:asciiTheme="minorHAnsi" w:hAnsiTheme="minorHAnsi" w:hint="cs"/>
          <w:i/>
          <w:iCs/>
          <w:rtl/>
        </w:rPr>
        <w:t xml:space="preserve">لغرض </w:t>
      </w:r>
      <w:r w:rsidR="00A86537" w:rsidRPr="00E0061F">
        <w:rPr>
          <w:rFonts w:asciiTheme="minorHAnsi" w:hAnsiTheme="minorHAnsi"/>
          <w:i/>
          <w:iCs/>
          <w:rtl/>
        </w:rPr>
        <w:t>نشرها مع ن</w:t>
      </w:r>
      <w:r w:rsidR="00AA646D" w:rsidRPr="00E0061F">
        <w:rPr>
          <w:rFonts w:asciiTheme="minorHAnsi" w:hAnsiTheme="minorHAnsi"/>
          <w:i/>
          <w:iCs/>
          <w:rtl/>
        </w:rPr>
        <w:t>تائج الدراسة الاستقصائية</w:t>
      </w:r>
      <w:r w:rsidR="00A86537" w:rsidRPr="00E0061F">
        <w:rPr>
          <w:rFonts w:asciiTheme="minorHAnsi" w:hAnsiTheme="minorHAnsi"/>
          <w:i/>
          <w:iCs/>
          <w:rtl/>
        </w:rPr>
        <w:t xml:space="preserve"> في دليل الويبو؛</w:t>
      </w:r>
    </w:p>
    <w:p w:rsidR="00E0061F" w:rsidRPr="00E0061F" w:rsidRDefault="00E0061F" w:rsidP="00E0061F">
      <w:pPr>
        <w:pStyle w:val="ListParagraph"/>
        <w:spacing w:after="220"/>
        <w:ind w:left="5885"/>
        <w:rPr>
          <w:rFonts w:asciiTheme="minorHAnsi" w:hAnsiTheme="minorHAnsi" w:cstheme="minorHAnsi"/>
          <w:i/>
          <w:iCs/>
        </w:rPr>
      </w:pPr>
    </w:p>
    <w:p w:rsidR="005954BE" w:rsidRPr="00E5317D" w:rsidRDefault="00A86537" w:rsidP="002449EF">
      <w:pPr>
        <w:pStyle w:val="ListParagraph"/>
        <w:numPr>
          <w:ilvl w:val="0"/>
          <w:numId w:val="11"/>
        </w:numPr>
        <w:spacing w:after="220"/>
        <w:ind w:left="5885" w:hanging="357"/>
        <w:rPr>
          <w:rFonts w:asciiTheme="minorHAnsi" w:hAnsiTheme="minorHAnsi" w:cstheme="minorHAnsi"/>
          <w:rtl/>
        </w:rPr>
      </w:pPr>
      <w:r w:rsidRPr="00E0061F">
        <w:rPr>
          <w:rFonts w:asciiTheme="minorHAnsi" w:hAnsiTheme="minorHAnsi"/>
          <w:i/>
          <w:iCs/>
          <w:rtl/>
        </w:rPr>
        <w:t xml:space="preserve"> النظر في بنود عمل فرقة العمل المبي</w:t>
      </w:r>
      <w:r w:rsidR="00E5317D" w:rsidRPr="00E0061F">
        <w:rPr>
          <w:rFonts w:asciiTheme="minorHAnsi" w:hAnsiTheme="minorHAnsi" w:hint="cs"/>
          <w:i/>
          <w:iCs/>
          <w:rtl/>
        </w:rPr>
        <w:t>ّ</w:t>
      </w:r>
      <w:r w:rsidRPr="00E0061F">
        <w:rPr>
          <w:rFonts w:asciiTheme="minorHAnsi" w:hAnsiTheme="minorHAnsi"/>
          <w:i/>
          <w:iCs/>
          <w:rtl/>
        </w:rPr>
        <w:t>نة في الفقرات من 10 إلى 12 أعلاه والموافقة عليها</w:t>
      </w:r>
      <w:r w:rsidRPr="00A86537">
        <w:rPr>
          <w:rFonts w:asciiTheme="minorHAnsi" w:hAnsiTheme="minorHAnsi"/>
          <w:rtl/>
        </w:rPr>
        <w:t>.</w:t>
      </w:r>
    </w:p>
    <w:p w:rsidR="005954BE" w:rsidRPr="004422EE" w:rsidRDefault="005954BE" w:rsidP="002449EF">
      <w:pPr>
        <w:pStyle w:val="ListParagraph"/>
        <w:spacing w:after="220"/>
        <w:ind w:left="5885"/>
        <w:rPr>
          <w:rFonts w:asciiTheme="minorHAnsi" w:hAnsiTheme="minorHAnsi" w:cstheme="minorHAnsi"/>
          <w:rtl/>
        </w:rPr>
      </w:pPr>
    </w:p>
    <w:p w:rsidR="005954BE" w:rsidRPr="007F7881" w:rsidRDefault="00A86537" w:rsidP="007774F6">
      <w:pPr>
        <w:pStyle w:val="ListParagraph"/>
        <w:spacing w:after="1040"/>
        <w:ind w:left="5533"/>
        <w:rPr>
          <w:rFonts w:asciiTheme="minorHAnsi" w:hAnsiTheme="minorHAnsi" w:cstheme="minorHAnsi"/>
          <w:rtl/>
        </w:rPr>
      </w:pPr>
      <w:r>
        <w:rPr>
          <w:rFonts w:asciiTheme="minorHAnsi" w:hAnsiTheme="minorHAnsi" w:hint="cs"/>
          <w:rtl/>
        </w:rPr>
        <w:t xml:space="preserve">         </w:t>
      </w:r>
      <w:r>
        <w:rPr>
          <w:rFonts w:asciiTheme="minorHAnsi" w:hAnsiTheme="minorHAnsi"/>
          <w:rtl/>
        </w:rPr>
        <w:t>[</w:t>
      </w:r>
      <w:r>
        <w:rPr>
          <w:rFonts w:asciiTheme="minorHAnsi" w:hAnsiTheme="minorHAnsi" w:hint="cs"/>
          <w:rtl/>
        </w:rPr>
        <w:t>نهاية الوثيقة</w:t>
      </w:r>
      <w:r w:rsidR="005954BE" w:rsidRPr="007F7881">
        <w:rPr>
          <w:rFonts w:asciiTheme="minorHAnsi" w:hAnsiTheme="minorHAnsi"/>
          <w:rtl/>
        </w:rPr>
        <w:t>]</w:t>
      </w:r>
    </w:p>
    <w:p w:rsidR="00F37902" w:rsidRPr="005954BE" w:rsidRDefault="00F37902" w:rsidP="002449EF">
      <w:pPr>
        <w:rPr>
          <w:lang w:bidi="ar-MA"/>
        </w:rPr>
      </w:pPr>
    </w:p>
    <w:p w:rsidR="00FE5D75" w:rsidRDefault="00FE5D75" w:rsidP="002449EF">
      <w:pPr>
        <w:pStyle w:val="BodyText"/>
      </w:pPr>
    </w:p>
    <w:sectPr w:rsidR="00FE5D7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5B" w:rsidRDefault="0092085B">
      <w:r>
        <w:separator/>
      </w:r>
    </w:p>
  </w:endnote>
  <w:endnote w:type="continuationSeparator" w:id="0">
    <w:p w:rsidR="0092085B" w:rsidRDefault="0092085B" w:rsidP="003B38C1">
      <w:r>
        <w:separator/>
      </w:r>
    </w:p>
    <w:p w:rsidR="0092085B" w:rsidRPr="003B38C1" w:rsidRDefault="009208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085B" w:rsidRPr="003B38C1" w:rsidRDefault="009208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5B" w:rsidRDefault="0092085B">
      <w:r>
        <w:separator/>
      </w:r>
    </w:p>
  </w:footnote>
  <w:footnote w:type="continuationSeparator" w:id="0">
    <w:p w:rsidR="0092085B" w:rsidRDefault="0092085B" w:rsidP="008B60B2">
      <w:r>
        <w:separator/>
      </w:r>
    </w:p>
    <w:p w:rsidR="0092085B" w:rsidRPr="00ED77FB" w:rsidRDefault="009208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085B" w:rsidRPr="00ED77FB" w:rsidRDefault="009208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74463" w:rsidRDefault="00E74463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B0F71">
        <w:rPr>
          <w:rtl/>
        </w:rPr>
        <w:t>مكتبا الملكية الفكرية الم</w:t>
      </w:r>
      <w:r w:rsidR="001B0F71">
        <w:rPr>
          <w:rFonts w:hint="cs"/>
          <w:rtl/>
        </w:rPr>
        <w:t>قدّمان</w:t>
      </w:r>
      <w:r w:rsidRPr="00E74463">
        <w:rPr>
          <w:rtl/>
        </w:rPr>
        <w:t xml:space="preserve"> للبيانات هما "المعهد الوطني الجزائري للملكية الصناعية" و"الديوان الوطني الجزائري لحقوق المؤلف والحقوق المجاورة".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FE5D75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2449EF">
      <w:rPr>
        <w:rFonts w:hint="cs"/>
        <w:caps/>
        <w:rtl/>
      </w:rPr>
      <w:t>10</w:t>
    </w:r>
    <w:r w:rsidR="00250149">
      <w:rPr>
        <w:caps/>
      </w:rPr>
      <w:t>/</w:t>
    </w:r>
    <w:r w:rsidR="002449EF">
      <w:rPr>
        <w:rFonts w:hint="cs"/>
        <w:caps/>
        <w:rtl/>
      </w:rPr>
      <w:t>15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52017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F782D"/>
    <w:multiLevelType w:val="hybridMultilevel"/>
    <w:tmpl w:val="A0AED5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524768"/>
    <w:multiLevelType w:val="hybridMultilevel"/>
    <w:tmpl w:val="7C6481FC"/>
    <w:lvl w:ilvl="0" w:tplc="1766FE92">
      <w:start w:val="1"/>
      <w:numFmt w:val="arabicAbjad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70DA3D12"/>
    <w:multiLevelType w:val="hybridMultilevel"/>
    <w:tmpl w:val="ADDEB8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F7"/>
    <w:rsid w:val="00043CAA"/>
    <w:rsid w:val="00056816"/>
    <w:rsid w:val="00075432"/>
    <w:rsid w:val="00083DE6"/>
    <w:rsid w:val="000968ED"/>
    <w:rsid w:val="000A3D97"/>
    <w:rsid w:val="000E0CFA"/>
    <w:rsid w:val="000F5E56"/>
    <w:rsid w:val="001362EE"/>
    <w:rsid w:val="001406E1"/>
    <w:rsid w:val="00155D8A"/>
    <w:rsid w:val="001647D5"/>
    <w:rsid w:val="00167832"/>
    <w:rsid w:val="001832A6"/>
    <w:rsid w:val="0019592A"/>
    <w:rsid w:val="001B0F71"/>
    <w:rsid w:val="001D4107"/>
    <w:rsid w:val="001E50E8"/>
    <w:rsid w:val="00203ABA"/>
    <w:rsid w:val="00203D24"/>
    <w:rsid w:val="00210D5F"/>
    <w:rsid w:val="0021217E"/>
    <w:rsid w:val="002326AB"/>
    <w:rsid w:val="00243430"/>
    <w:rsid w:val="002449EF"/>
    <w:rsid w:val="00250149"/>
    <w:rsid w:val="002614A8"/>
    <w:rsid w:val="002634C4"/>
    <w:rsid w:val="002928D3"/>
    <w:rsid w:val="002E50DD"/>
    <w:rsid w:val="002F1FE6"/>
    <w:rsid w:val="002F4E68"/>
    <w:rsid w:val="003129F9"/>
    <w:rsid w:val="00312F7F"/>
    <w:rsid w:val="00321316"/>
    <w:rsid w:val="00326D68"/>
    <w:rsid w:val="003402B3"/>
    <w:rsid w:val="00361450"/>
    <w:rsid w:val="003673CF"/>
    <w:rsid w:val="003845C1"/>
    <w:rsid w:val="003A6F89"/>
    <w:rsid w:val="003B355C"/>
    <w:rsid w:val="003B38C1"/>
    <w:rsid w:val="003B5B2F"/>
    <w:rsid w:val="003C34E9"/>
    <w:rsid w:val="003F774A"/>
    <w:rsid w:val="00423E3E"/>
    <w:rsid w:val="00427AF4"/>
    <w:rsid w:val="0045246E"/>
    <w:rsid w:val="004647DA"/>
    <w:rsid w:val="00474062"/>
    <w:rsid w:val="00477D6B"/>
    <w:rsid w:val="005019FF"/>
    <w:rsid w:val="0051136F"/>
    <w:rsid w:val="0053057A"/>
    <w:rsid w:val="00550002"/>
    <w:rsid w:val="00551E68"/>
    <w:rsid w:val="00556076"/>
    <w:rsid w:val="005571BA"/>
    <w:rsid w:val="00560A29"/>
    <w:rsid w:val="005954BE"/>
    <w:rsid w:val="005C0041"/>
    <w:rsid w:val="005C6649"/>
    <w:rsid w:val="005E69F7"/>
    <w:rsid w:val="005E7B89"/>
    <w:rsid w:val="00605827"/>
    <w:rsid w:val="00646050"/>
    <w:rsid w:val="006713CA"/>
    <w:rsid w:val="00676C5C"/>
    <w:rsid w:val="00694E02"/>
    <w:rsid w:val="006B5C12"/>
    <w:rsid w:val="006D7AA9"/>
    <w:rsid w:val="006F641A"/>
    <w:rsid w:val="00720EFD"/>
    <w:rsid w:val="007774F6"/>
    <w:rsid w:val="00777E3D"/>
    <w:rsid w:val="007854AF"/>
    <w:rsid w:val="00793A7C"/>
    <w:rsid w:val="007A116C"/>
    <w:rsid w:val="007A398A"/>
    <w:rsid w:val="007C4902"/>
    <w:rsid w:val="007D1613"/>
    <w:rsid w:val="007E22AC"/>
    <w:rsid w:val="007E4C0E"/>
    <w:rsid w:val="0084212D"/>
    <w:rsid w:val="0085479C"/>
    <w:rsid w:val="008A134B"/>
    <w:rsid w:val="008B2CC1"/>
    <w:rsid w:val="008B60B2"/>
    <w:rsid w:val="008B6627"/>
    <w:rsid w:val="008C04D6"/>
    <w:rsid w:val="0090731E"/>
    <w:rsid w:val="00916EE2"/>
    <w:rsid w:val="0092085B"/>
    <w:rsid w:val="00966A22"/>
    <w:rsid w:val="0096722F"/>
    <w:rsid w:val="00980843"/>
    <w:rsid w:val="009B0855"/>
    <w:rsid w:val="009E1721"/>
    <w:rsid w:val="009E2791"/>
    <w:rsid w:val="009E3F6F"/>
    <w:rsid w:val="009E64DA"/>
    <w:rsid w:val="009F499F"/>
    <w:rsid w:val="00A37342"/>
    <w:rsid w:val="00A42DAF"/>
    <w:rsid w:val="00A45058"/>
    <w:rsid w:val="00A45BD8"/>
    <w:rsid w:val="00A71DDC"/>
    <w:rsid w:val="00A86537"/>
    <w:rsid w:val="00A869B7"/>
    <w:rsid w:val="00A90F0A"/>
    <w:rsid w:val="00AA646D"/>
    <w:rsid w:val="00AC1810"/>
    <w:rsid w:val="00AC205C"/>
    <w:rsid w:val="00AF0A6B"/>
    <w:rsid w:val="00B05A69"/>
    <w:rsid w:val="00B323EA"/>
    <w:rsid w:val="00B42CA9"/>
    <w:rsid w:val="00B51FF7"/>
    <w:rsid w:val="00B75281"/>
    <w:rsid w:val="00B92F1F"/>
    <w:rsid w:val="00B9734B"/>
    <w:rsid w:val="00BA30E2"/>
    <w:rsid w:val="00BB53DE"/>
    <w:rsid w:val="00BD0B9B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130A"/>
    <w:rsid w:val="00D45252"/>
    <w:rsid w:val="00D60B2C"/>
    <w:rsid w:val="00D67EAE"/>
    <w:rsid w:val="00D71B4D"/>
    <w:rsid w:val="00D90B96"/>
    <w:rsid w:val="00D93D55"/>
    <w:rsid w:val="00DD7B7F"/>
    <w:rsid w:val="00E0061F"/>
    <w:rsid w:val="00E15015"/>
    <w:rsid w:val="00E15D12"/>
    <w:rsid w:val="00E319DF"/>
    <w:rsid w:val="00E335FE"/>
    <w:rsid w:val="00E52017"/>
    <w:rsid w:val="00E5317D"/>
    <w:rsid w:val="00E66CC5"/>
    <w:rsid w:val="00E74463"/>
    <w:rsid w:val="00EA778F"/>
    <w:rsid w:val="00EA7D6E"/>
    <w:rsid w:val="00EB2F76"/>
    <w:rsid w:val="00EC4E49"/>
    <w:rsid w:val="00ED77FB"/>
    <w:rsid w:val="00EE45FA"/>
    <w:rsid w:val="00F043DE"/>
    <w:rsid w:val="00F37902"/>
    <w:rsid w:val="00F43B62"/>
    <w:rsid w:val="00F61B51"/>
    <w:rsid w:val="00F66152"/>
    <w:rsid w:val="00F76CB4"/>
    <w:rsid w:val="00F9165B"/>
    <w:rsid w:val="00F9595F"/>
    <w:rsid w:val="00FC482F"/>
    <w:rsid w:val="00FC4AF5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64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E50D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74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CFC5-E680-415B-9B58-CB70E749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2022-09-26T14:28:00Z</dcterms:created>
  <dcterms:modified xsi:type="dcterms:W3CDTF">2022-09-27T08:19:00Z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ae86edf4-5b5a-4f7d-bd8e-63bc5f7c712b</vt:lpwstr>
  </property>
</Properties>
</file>