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FD59B" w14:textId="77777777" w:rsidR="004F4BA2" w:rsidRPr="00592BE8" w:rsidRDefault="004F4BA2" w:rsidP="004F4BA2">
      <w:pPr>
        <w:pBdr>
          <w:bottom w:val="single" w:sz="4" w:space="10" w:color="auto"/>
        </w:pBdr>
        <w:spacing w:after="120"/>
        <w:rPr>
          <w:b/>
          <w:bCs/>
          <w:sz w:val="32"/>
          <w:szCs w:val="32"/>
          <w:lang w:bidi="ar-SA"/>
        </w:rPr>
      </w:pPr>
      <w:r w:rsidRPr="00592BE8">
        <w:rPr>
          <w:b/>
          <w:bCs/>
          <w:noProof/>
          <w:sz w:val="32"/>
          <w:szCs w:val="32"/>
          <w:lang w:eastAsia="en-US" w:bidi="ar-SA"/>
        </w:rPr>
        <mc:AlternateContent>
          <mc:Choice Requires="wpg">
            <w:drawing>
              <wp:inline distT="0" distB="0" distL="0" distR="0" wp14:anchorId="46F70F78" wp14:editId="0F193DDF">
                <wp:extent cx="2777259" cy="1333500"/>
                <wp:effectExtent l="0" t="0" r="4445" b="0"/>
                <wp:docPr id="5"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6" name="Picture 6"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7" name="Picture 7"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E22903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AUn83T&#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">
                  <v:imagedata r:id="rId10" o:title="شعار المنظمة العالمية للملكية الفكرية (الويبو)"/>
                </v:shape>
                <v:shape id="Picture 7"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">
                  <v:imagedata r:id="rId11" o:title="عربية"/>
                </v:shape>
                <w10:anchorlock/>
              </v:group>
            </w:pict>
          </mc:Fallback>
        </mc:AlternateContent>
      </w:r>
    </w:p>
    <w:p w14:paraId="6C7262DD" w14:textId="23FF8AF5" w:rsidR="004F4BA2" w:rsidRPr="00592BE8" w:rsidRDefault="004F4BA2" w:rsidP="004F4BA2">
      <w:pPr>
        <w:rPr>
          <w:rFonts w:ascii="Arial Black" w:hAnsi="Arial Black"/>
          <w:caps/>
          <w:sz w:val="15"/>
          <w:szCs w:val="15"/>
          <w:lang w:bidi="ar-SA"/>
        </w:rPr>
      </w:pPr>
      <w:r w:rsidRPr="00592BE8">
        <w:rPr>
          <w:rFonts w:ascii="Arial Black" w:hAnsi="Arial Black"/>
          <w:caps/>
          <w:sz w:val="15"/>
          <w:szCs w:val="15"/>
          <w:lang w:bidi="ar-SA"/>
        </w:rPr>
        <w:t>CWS/10/</w:t>
      </w:r>
      <w:r>
        <w:rPr>
          <w:rFonts w:ascii="Arial Black" w:hAnsi="Arial Black"/>
          <w:caps/>
          <w:sz w:val="15"/>
          <w:szCs w:val="15"/>
          <w:lang w:bidi="ar-SA"/>
        </w:rPr>
        <w:t>12</w:t>
      </w:r>
    </w:p>
    <w:p w14:paraId="7B47A407" w14:textId="77777777" w:rsidR="004F4BA2" w:rsidRPr="00592BE8" w:rsidRDefault="004F4BA2" w:rsidP="004F4BA2">
      <w:pPr>
        <w:bidi/>
        <w:jc w:val="right"/>
        <w:rPr>
          <w:b/>
          <w:bCs/>
          <w:caps/>
          <w:sz w:val="15"/>
          <w:szCs w:val="15"/>
          <w:lang w:bidi="ar-SA"/>
        </w:rPr>
      </w:pPr>
      <w:r w:rsidRPr="00592BE8">
        <w:rPr>
          <w:rFonts w:hint="cs"/>
          <w:b/>
          <w:bCs/>
          <w:caps/>
          <w:sz w:val="15"/>
          <w:szCs w:val="15"/>
          <w:rtl/>
          <w:lang w:bidi="ar-SA"/>
        </w:rPr>
        <w:t>الأصل: بالإنكليزية</w:t>
      </w:r>
    </w:p>
    <w:p w14:paraId="066CA88B" w14:textId="0B878326" w:rsidR="004F4BA2" w:rsidRPr="00592BE8" w:rsidRDefault="004F4BA2" w:rsidP="004F4BA2">
      <w:pPr>
        <w:bidi/>
        <w:spacing w:after="1200"/>
        <w:jc w:val="right"/>
        <w:rPr>
          <w:b/>
          <w:bCs/>
          <w:caps/>
          <w:sz w:val="15"/>
          <w:szCs w:val="15"/>
          <w:lang w:bidi="ar-SA"/>
        </w:rPr>
      </w:pPr>
      <w:r w:rsidRPr="00592BE8">
        <w:rPr>
          <w:rFonts w:hint="cs"/>
          <w:b/>
          <w:bCs/>
          <w:caps/>
          <w:sz w:val="15"/>
          <w:szCs w:val="15"/>
          <w:rtl/>
          <w:lang w:bidi="ar-SA"/>
        </w:rPr>
        <w:t xml:space="preserve">التاريخ: </w:t>
      </w:r>
      <w:r>
        <w:rPr>
          <w:rFonts w:hint="cs"/>
          <w:b/>
          <w:bCs/>
          <w:caps/>
          <w:sz w:val="15"/>
          <w:szCs w:val="15"/>
          <w:rtl/>
          <w:lang w:bidi="ar-SA"/>
        </w:rPr>
        <w:t>13</w:t>
      </w:r>
      <w:r w:rsidRPr="00592BE8">
        <w:rPr>
          <w:rFonts w:hint="cs"/>
          <w:b/>
          <w:bCs/>
          <w:caps/>
          <w:sz w:val="15"/>
          <w:szCs w:val="15"/>
          <w:rtl/>
          <w:lang w:bidi="ar-SA"/>
        </w:rPr>
        <w:t xml:space="preserve"> سبتمبر 2022</w:t>
      </w:r>
    </w:p>
    <w:p w14:paraId="3C662962" w14:textId="77777777" w:rsidR="004F4BA2" w:rsidRPr="004F4BA2" w:rsidRDefault="004F4BA2" w:rsidP="004F4BA2">
      <w:pPr>
        <w:keepNext/>
        <w:bidi/>
        <w:spacing w:after="480"/>
        <w:outlineLvl w:val="0"/>
        <w:rPr>
          <w:b/>
          <w:bCs/>
          <w:caps/>
          <w:kern w:val="32"/>
          <w:sz w:val="32"/>
          <w:szCs w:val="32"/>
          <w:lang w:bidi="ar-SA"/>
        </w:rPr>
      </w:pPr>
      <w:r w:rsidRPr="004F4BA2">
        <w:rPr>
          <w:rFonts w:hint="cs"/>
          <w:b/>
          <w:bCs/>
          <w:caps/>
          <w:kern w:val="32"/>
          <w:sz w:val="32"/>
          <w:szCs w:val="32"/>
          <w:rtl/>
          <w:lang w:bidi="ar-SA"/>
        </w:rPr>
        <w:t>اللجنة المعنية بمعايير الويبو</w:t>
      </w:r>
    </w:p>
    <w:p w14:paraId="364E65E6" w14:textId="77777777" w:rsidR="004F4BA2" w:rsidRPr="004F4BA2" w:rsidRDefault="004F4BA2" w:rsidP="004F4BA2">
      <w:pPr>
        <w:bidi/>
        <w:outlineLvl w:val="1"/>
        <w:rPr>
          <w:b/>
          <w:bCs/>
          <w:sz w:val="24"/>
          <w:szCs w:val="24"/>
          <w:lang w:bidi="ar-SA"/>
        </w:rPr>
      </w:pPr>
      <w:r w:rsidRPr="004F4BA2">
        <w:rPr>
          <w:rFonts w:hint="cs"/>
          <w:b/>
          <w:bCs/>
          <w:sz w:val="24"/>
          <w:szCs w:val="24"/>
          <w:rtl/>
          <w:lang w:bidi="ar-SA"/>
        </w:rPr>
        <w:t>الدورة العاشرة</w:t>
      </w:r>
    </w:p>
    <w:p w14:paraId="78A80576" w14:textId="77777777" w:rsidR="004F4BA2" w:rsidRPr="004F4BA2" w:rsidRDefault="004F4BA2" w:rsidP="004F4BA2">
      <w:pPr>
        <w:bidi/>
        <w:spacing w:after="720"/>
        <w:outlineLvl w:val="1"/>
        <w:rPr>
          <w:b/>
          <w:bCs/>
          <w:sz w:val="24"/>
          <w:szCs w:val="24"/>
          <w:lang w:bidi="ar-SA"/>
        </w:rPr>
      </w:pPr>
      <w:r w:rsidRPr="004F4BA2">
        <w:rPr>
          <w:rFonts w:hint="cs"/>
          <w:b/>
          <w:bCs/>
          <w:sz w:val="24"/>
          <w:szCs w:val="24"/>
          <w:rtl/>
          <w:lang w:bidi="ar-SA"/>
        </w:rPr>
        <w:t>جنيف، من 21 إلى 25 نوفمبر 2022</w:t>
      </w:r>
    </w:p>
    <w:p w14:paraId="7C92E2E6" w14:textId="77777777" w:rsidR="004F4BA2" w:rsidRPr="004F4BA2" w:rsidRDefault="004F4BA2" w:rsidP="004F4BA2">
      <w:pPr>
        <w:bidi/>
        <w:spacing w:after="360"/>
        <w:outlineLvl w:val="0"/>
        <w:rPr>
          <w:caps/>
          <w:sz w:val="28"/>
          <w:szCs w:val="28"/>
          <w:rtl/>
          <w:lang w:bidi="ar-SA"/>
        </w:rPr>
      </w:pPr>
      <w:bookmarkStart w:id="0" w:name="TitleOfDoc"/>
      <w:r w:rsidRPr="004F4BA2">
        <w:rPr>
          <w:rFonts w:hint="cs"/>
          <w:caps/>
          <w:sz w:val="28"/>
          <w:szCs w:val="28"/>
          <w:rtl/>
          <w:lang w:bidi="ar-SA"/>
        </w:rPr>
        <w:t>تقرير فرقة العمل المعنية بقوائم التسلسل</w:t>
      </w:r>
    </w:p>
    <w:p w14:paraId="2A178279" w14:textId="77777777" w:rsidR="004F4BA2" w:rsidRPr="004F4BA2" w:rsidRDefault="004F4BA2" w:rsidP="004F4BA2">
      <w:pPr>
        <w:bidi/>
        <w:spacing w:after="1040"/>
        <w:rPr>
          <w:i/>
          <w:iCs/>
          <w:szCs w:val="22"/>
          <w:rtl/>
          <w:lang w:bidi="ar-SA"/>
        </w:rPr>
      </w:pPr>
      <w:bookmarkStart w:id="1" w:name="Prepared"/>
      <w:bookmarkEnd w:id="0"/>
      <w:bookmarkEnd w:id="1"/>
      <w:r w:rsidRPr="004F4BA2">
        <w:rPr>
          <w:rFonts w:hint="cs"/>
          <w:i/>
          <w:iCs/>
          <w:szCs w:val="22"/>
          <w:rtl/>
          <w:lang w:bidi="ar-SA"/>
        </w:rPr>
        <w:t>وثيقة من إعداد المكتب الأوروبي للبراءات</w:t>
      </w:r>
    </w:p>
    <w:p w14:paraId="1864694F" w14:textId="77777777" w:rsidR="004F4BA2" w:rsidRPr="004F4BA2" w:rsidRDefault="0086331D" w:rsidP="004F4BA2">
      <w:pPr>
        <w:pStyle w:val="Heading2"/>
        <w:bidi/>
        <w:rPr>
          <w:bCs w:val="0"/>
          <w:iCs w:val="0"/>
          <w:szCs w:val="22"/>
          <w:rtl/>
        </w:rPr>
      </w:pPr>
      <w:r w:rsidRPr="004F4BA2">
        <w:rPr>
          <w:rFonts w:hint="cs"/>
          <w:bCs w:val="0"/>
          <w:iCs w:val="0"/>
          <w:szCs w:val="22"/>
          <w:rtl/>
        </w:rPr>
        <w:t>ملخص</w:t>
      </w:r>
    </w:p>
    <w:p w14:paraId="7F271C4C" w14:textId="77777777" w:rsidR="004F4BA2" w:rsidRPr="004F4BA2" w:rsidRDefault="0086331D" w:rsidP="004F4BA2">
      <w:pPr>
        <w:pStyle w:val="ONUMFS"/>
        <w:bidi/>
        <w:rPr>
          <w:szCs w:val="22"/>
          <w:rtl/>
        </w:rPr>
      </w:pPr>
      <w:r w:rsidRPr="004F4BA2">
        <w:rPr>
          <w:rFonts w:hint="cs"/>
          <w:szCs w:val="22"/>
          <w:rtl/>
        </w:rPr>
        <w:t>تقدِّم هذه الوثيقة ملخصاً لعمل فرقة العمل المعنية بقوائم التسلسل (</w:t>
      </w:r>
      <w:r w:rsidRPr="004F4BA2">
        <w:rPr>
          <w:szCs w:val="22"/>
        </w:rPr>
        <w:t>SEQL</w:t>
      </w:r>
      <w:r w:rsidRPr="004F4BA2">
        <w:rPr>
          <w:rFonts w:hint="cs"/>
          <w:szCs w:val="22"/>
          <w:rtl/>
        </w:rPr>
        <w:t>) منذ الدورة التاسعة للجنة المعنية بمعايير الويبو (لجنة المعايير).</w:t>
      </w:r>
      <w:r w:rsidR="004F4BA2" w:rsidRPr="004F4BA2">
        <w:rPr>
          <w:rFonts w:hint="cs"/>
          <w:szCs w:val="22"/>
          <w:rtl/>
        </w:rPr>
        <w:t xml:space="preserve"> </w:t>
      </w:r>
      <w:r w:rsidRPr="004F4BA2">
        <w:rPr>
          <w:rFonts w:hint="cs"/>
          <w:szCs w:val="22"/>
          <w:rtl/>
        </w:rPr>
        <w:t xml:space="preserve">وقد دخل معيار الويبو </w:t>
      </w:r>
      <w:r w:rsidRPr="004F4BA2">
        <w:rPr>
          <w:szCs w:val="22"/>
        </w:rPr>
        <w:t>ST.26</w:t>
      </w:r>
      <w:r w:rsidRPr="004F4BA2">
        <w:rPr>
          <w:rFonts w:hint="cs"/>
          <w:szCs w:val="22"/>
          <w:rtl/>
        </w:rPr>
        <w:t xml:space="preserve"> حيز النفاذ في 1 يوليو 2022، وتعمل فرقة العمل على تقديم نسخة مراجَعة من المعيار إبّان الدورة العاشرة للجنة المعايير.</w:t>
      </w:r>
    </w:p>
    <w:p w14:paraId="2ED650E3" w14:textId="69305B2F" w:rsidR="004F4BA2" w:rsidRPr="004F4BA2" w:rsidRDefault="0086331D" w:rsidP="004F4BA2">
      <w:pPr>
        <w:pStyle w:val="Heading2"/>
        <w:bidi/>
        <w:rPr>
          <w:bCs w:val="0"/>
          <w:iCs w:val="0"/>
          <w:szCs w:val="22"/>
          <w:rtl/>
        </w:rPr>
      </w:pPr>
      <w:r w:rsidRPr="004F4BA2">
        <w:rPr>
          <w:rFonts w:hint="cs"/>
          <w:bCs w:val="0"/>
          <w:iCs w:val="0"/>
          <w:szCs w:val="22"/>
          <w:rtl/>
        </w:rPr>
        <w:t>معلومات أساسية</w:t>
      </w:r>
    </w:p>
    <w:p w14:paraId="5B09525E" w14:textId="6E0E1F5E" w:rsidR="0086331D" w:rsidRPr="004F4BA2" w:rsidRDefault="0086331D" w:rsidP="0061472D">
      <w:pPr>
        <w:pStyle w:val="ONUMFS"/>
        <w:keepNext/>
        <w:bidi/>
        <w:rPr>
          <w:szCs w:val="22"/>
          <w:rtl/>
        </w:rPr>
      </w:pPr>
      <w:r w:rsidRPr="004F4BA2">
        <w:rPr>
          <w:rFonts w:hint="cs"/>
          <w:szCs w:val="22"/>
          <w:rtl/>
        </w:rPr>
        <w:t xml:space="preserve">أنشأت لجنة المعايير فرقة العمل المعنية بقوائم التسلسل في دورتها الأولى المعقودة في أكتوبر 2010 لتتولى المهمة رقم 44 (انظر الفقرة 29 من الوثيقة </w:t>
      </w:r>
      <w:r w:rsidRPr="004F4BA2">
        <w:rPr>
          <w:szCs w:val="22"/>
        </w:rPr>
        <w:t>CWS/1/10</w:t>
      </w:r>
      <w:r w:rsidRPr="004F4BA2">
        <w:rPr>
          <w:rFonts w:hint="cs"/>
          <w:szCs w:val="22"/>
          <w:rtl/>
        </w:rPr>
        <w:t>):</w:t>
      </w:r>
    </w:p>
    <w:p w14:paraId="1B2F28A3" w14:textId="24FE0BBA" w:rsidR="004F4BA2" w:rsidRPr="004F4BA2" w:rsidRDefault="0086331D" w:rsidP="004F4BA2">
      <w:pPr>
        <w:pStyle w:val="ONUME"/>
        <w:bidi/>
        <w:ind w:left="567"/>
        <w:rPr>
          <w:szCs w:val="22"/>
          <w:rtl/>
        </w:rPr>
      </w:pPr>
      <w:r w:rsidRPr="004F4BA2">
        <w:rPr>
          <w:rFonts w:hint="cs"/>
          <w:szCs w:val="22"/>
          <w:rtl/>
        </w:rPr>
        <w:t>"صياغة توصية بشأن عرض قوائم تسلسل النوويدات والأحماض الأمينية باستخدام لغة الترميز الموسعة (</w:t>
      </w:r>
      <w:r w:rsidRPr="004F4BA2">
        <w:rPr>
          <w:szCs w:val="22"/>
        </w:rPr>
        <w:t>XML</w:t>
      </w:r>
      <w:r w:rsidRPr="004F4BA2">
        <w:rPr>
          <w:rFonts w:hint="cs"/>
          <w:szCs w:val="22"/>
          <w:rtl/>
        </w:rPr>
        <w:t>) لاعتمادها معيارا للويبو.</w:t>
      </w:r>
      <w:r w:rsidR="004F4BA2" w:rsidRPr="004F4BA2">
        <w:rPr>
          <w:rFonts w:hint="cs"/>
          <w:szCs w:val="22"/>
          <w:rtl/>
        </w:rPr>
        <w:t xml:space="preserve"> </w:t>
      </w:r>
      <w:r w:rsidRPr="004F4BA2">
        <w:rPr>
          <w:rFonts w:hint="cs"/>
          <w:szCs w:val="22"/>
          <w:rtl/>
        </w:rPr>
        <w:t xml:space="preserve">وينبغي تقديم اقتراح معيار الويبو الجديد إلى جانب تقرير بشأن وقع المعيار المذكور على معيار الويبو الحالي </w:t>
      </w:r>
      <w:r w:rsidRPr="004F4BA2">
        <w:rPr>
          <w:szCs w:val="22"/>
        </w:rPr>
        <w:t>ST.25</w:t>
      </w:r>
      <w:r w:rsidRPr="004F4BA2">
        <w:rPr>
          <w:rFonts w:hint="cs"/>
          <w:szCs w:val="22"/>
          <w:rtl/>
        </w:rPr>
        <w:t xml:space="preserve">، إضافة إلى التغييرات الضرورية المقترح إدخالها على المعيار </w:t>
      </w:r>
      <w:r w:rsidRPr="004F4BA2">
        <w:rPr>
          <w:szCs w:val="22"/>
        </w:rPr>
        <w:t>ST.25</w:t>
      </w:r>
      <w:r w:rsidRPr="004F4BA2">
        <w:rPr>
          <w:rFonts w:hint="cs"/>
          <w:szCs w:val="22"/>
          <w:rtl/>
        </w:rPr>
        <w:t>."</w:t>
      </w:r>
    </w:p>
    <w:p w14:paraId="7D25C69F" w14:textId="77777777" w:rsidR="004F4BA2" w:rsidRPr="004F4BA2" w:rsidRDefault="0086331D" w:rsidP="004F4BA2">
      <w:pPr>
        <w:pStyle w:val="ONUMFS"/>
        <w:bidi/>
        <w:rPr>
          <w:szCs w:val="22"/>
          <w:rtl/>
        </w:rPr>
      </w:pPr>
      <w:r w:rsidRPr="004F4BA2">
        <w:rPr>
          <w:rFonts w:hint="cs"/>
          <w:szCs w:val="22"/>
          <w:rtl/>
        </w:rPr>
        <w:t>وطُلب من فرقة العمل "التنسيق مع الهيئة المناسبة من هيئات معاهدة التعاون بشأن البراءات فيما يخص الأثر المحتمل لذلك المعيار على المرفق جيم للتعليمات الإدارية الخاصة بتلك المعاهدة".</w:t>
      </w:r>
    </w:p>
    <w:p w14:paraId="2954C4BF" w14:textId="77777777" w:rsidR="004F4BA2" w:rsidRPr="004F4BA2" w:rsidRDefault="0086331D" w:rsidP="004F4BA2">
      <w:pPr>
        <w:pStyle w:val="ONUMFS"/>
        <w:bidi/>
        <w:rPr>
          <w:szCs w:val="22"/>
          <w:rtl/>
        </w:rPr>
      </w:pPr>
      <w:r w:rsidRPr="004F4BA2">
        <w:rPr>
          <w:rFonts w:hint="cs"/>
          <w:szCs w:val="22"/>
          <w:rtl/>
        </w:rPr>
        <w:t xml:space="preserve">وعُيّن المكتب الأوروبي للبراءات مشرفاً على فرقة العمل واعتُمد معيار الويبو الجديد - وهو المعيار </w:t>
      </w:r>
      <w:r w:rsidRPr="004F4BA2">
        <w:rPr>
          <w:szCs w:val="22"/>
        </w:rPr>
        <w:t>ST.26</w:t>
      </w:r>
      <w:r w:rsidRPr="004F4BA2">
        <w:rPr>
          <w:rFonts w:hint="cs"/>
          <w:szCs w:val="22"/>
          <w:rtl/>
        </w:rPr>
        <w:t xml:space="preserve"> - رسمياً في الدورة الرابعة للجنة المعايير المجتمعة مجدّداً (انظر الفقرة 52 من الوثيقة </w:t>
      </w:r>
      <w:r w:rsidRPr="004F4BA2">
        <w:rPr>
          <w:szCs w:val="22"/>
        </w:rPr>
        <w:t>CWS/4BIS/16</w:t>
      </w:r>
      <w:r w:rsidRPr="004F4BA2">
        <w:rPr>
          <w:rFonts w:hint="cs"/>
          <w:szCs w:val="22"/>
          <w:rtl/>
        </w:rPr>
        <w:t>) في مارس 2016.</w:t>
      </w:r>
    </w:p>
    <w:p w14:paraId="60707484" w14:textId="749CBA74" w:rsidR="004F4BA2" w:rsidRPr="004F4BA2" w:rsidRDefault="0086331D" w:rsidP="004F4BA2">
      <w:pPr>
        <w:pStyle w:val="ONUMFS"/>
        <w:bidi/>
        <w:rPr>
          <w:szCs w:val="22"/>
          <w:rtl/>
        </w:rPr>
      </w:pPr>
      <w:r w:rsidRPr="004F4BA2">
        <w:rPr>
          <w:rFonts w:hint="cs"/>
          <w:szCs w:val="22"/>
          <w:rtl/>
        </w:rPr>
        <w:t xml:space="preserve">واتفقت لجنة المعايير، في دورتها الخامسة، على أن يكون سيناريو "القطعية" خيار الانتقال الذي يقضي بأن يكون تاريخ الانتقال من معيار الويبو </w:t>
      </w:r>
      <w:r w:rsidRPr="004F4BA2">
        <w:rPr>
          <w:szCs w:val="22"/>
        </w:rPr>
        <w:t>ST.25</w:t>
      </w:r>
      <w:r w:rsidRPr="004F4BA2">
        <w:rPr>
          <w:rFonts w:hint="cs"/>
          <w:szCs w:val="22"/>
          <w:rtl/>
        </w:rPr>
        <w:t xml:space="preserve"> إلى معيار الويبو </w:t>
      </w:r>
      <w:r w:rsidRPr="004F4BA2">
        <w:rPr>
          <w:szCs w:val="22"/>
        </w:rPr>
        <w:t>ST.26</w:t>
      </w:r>
      <w:r w:rsidRPr="004F4BA2">
        <w:rPr>
          <w:rFonts w:hint="cs"/>
          <w:szCs w:val="22"/>
          <w:rtl/>
        </w:rPr>
        <w:t xml:space="preserve"> نفسه بالنسبة لجميع مكاتب الملكية الفكرية.</w:t>
      </w:r>
      <w:r w:rsidR="004F4BA2" w:rsidRPr="004F4BA2">
        <w:rPr>
          <w:rFonts w:hint="cs"/>
          <w:szCs w:val="22"/>
          <w:rtl/>
        </w:rPr>
        <w:t xml:space="preserve"> </w:t>
      </w:r>
      <w:r w:rsidRPr="004F4BA2">
        <w:rPr>
          <w:rFonts w:hint="cs"/>
          <w:szCs w:val="22"/>
          <w:rtl/>
        </w:rPr>
        <w:t>وقُرر أن يُعدّ تاريخ الإيداع الدولي التاريخ المرجعي وأن يكون شهر يناير 2022 تاريخ الانتقال (انظر الفقرتين 44</w:t>
      </w:r>
      <w:r w:rsidR="0061472D">
        <w:rPr>
          <w:rFonts w:hint="cs"/>
          <w:szCs w:val="22"/>
          <w:rtl/>
        </w:rPr>
        <w:t xml:space="preserve"> و</w:t>
      </w:r>
      <w:r w:rsidRPr="004F4BA2">
        <w:rPr>
          <w:rFonts w:hint="cs"/>
          <w:szCs w:val="22"/>
          <w:rtl/>
        </w:rPr>
        <w:t xml:space="preserve">45 من الوثيقة </w:t>
      </w:r>
      <w:r w:rsidRPr="004F4BA2">
        <w:rPr>
          <w:szCs w:val="22"/>
        </w:rPr>
        <w:t>CWS/5/22</w:t>
      </w:r>
      <w:r w:rsidRPr="004F4BA2">
        <w:rPr>
          <w:rFonts w:hint="cs"/>
          <w:szCs w:val="22"/>
          <w:rtl/>
        </w:rPr>
        <w:t>).</w:t>
      </w:r>
    </w:p>
    <w:p w14:paraId="18B264B9" w14:textId="77777777" w:rsidR="004F4BA2" w:rsidRPr="004F4BA2" w:rsidRDefault="0086331D" w:rsidP="0061472D">
      <w:pPr>
        <w:pStyle w:val="ONUMFS"/>
        <w:keepNext/>
        <w:bidi/>
        <w:rPr>
          <w:szCs w:val="22"/>
          <w:rtl/>
        </w:rPr>
      </w:pPr>
      <w:r w:rsidRPr="004F4BA2">
        <w:rPr>
          <w:rFonts w:hint="cs"/>
          <w:szCs w:val="22"/>
          <w:rtl/>
        </w:rPr>
        <w:lastRenderedPageBreak/>
        <w:t xml:space="preserve">وفي الدورة نفسها، أبلغ المكتب الدولي لجنة المعايير بأنه سيستحدث أداة برمجية جديدة مشتركة لتمكين المودعين من إعداد قوائم التسلسل والتحقق من توافقها مع معيار الويبو </w:t>
      </w:r>
      <w:r w:rsidRPr="004F4BA2">
        <w:rPr>
          <w:szCs w:val="22"/>
        </w:rPr>
        <w:t>ST.26</w:t>
      </w:r>
      <w:r w:rsidRPr="004F4BA2">
        <w:rPr>
          <w:rFonts w:hint="cs"/>
          <w:szCs w:val="22"/>
          <w:rtl/>
        </w:rPr>
        <w:t>.</w:t>
      </w:r>
      <w:r w:rsidR="004F4BA2" w:rsidRPr="004F4BA2">
        <w:rPr>
          <w:rFonts w:hint="cs"/>
          <w:szCs w:val="22"/>
          <w:rtl/>
        </w:rPr>
        <w:t xml:space="preserve"> </w:t>
      </w:r>
      <w:r w:rsidRPr="004F4BA2">
        <w:rPr>
          <w:rFonts w:hint="cs"/>
          <w:szCs w:val="22"/>
          <w:rtl/>
        </w:rPr>
        <w:t>ومن ثم فقد وافقت لجنة المعايير على تعديل وصف المهمة رقم 44 كما يلي:</w:t>
      </w:r>
    </w:p>
    <w:p w14:paraId="1468650A" w14:textId="5532CB69" w:rsidR="004F4BA2" w:rsidRPr="004F4BA2" w:rsidRDefault="0086331D" w:rsidP="004F4BA2">
      <w:pPr>
        <w:pStyle w:val="ONUME"/>
        <w:bidi/>
        <w:ind w:left="567"/>
        <w:rPr>
          <w:szCs w:val="22"/>
          <w:rtl/>
        </w:rPr>
      </w:pPr>
      <w:r w:rsidRPr="004F4BA2">
        <w:rPr>
          <w:rFonts w:hint="cs"/>
          <w:szCs w:val="22"/>
          <w:rtl/>
        </w:rPr>
        <w:t xml:space="preserve">"دعم المكتب الدولي عن طريق توفير متطلبات المستخدمين وتعليقاتهم بشأن البرنامج الحاسوبي للصياغة والتثبت وفقاً للمعيار </w:t>
      </w:r>
      <w:r w:rsidRPr="004F4BA2">
        <w:rPr>
          <w:szCs w:val="22"/>
        </w:rPr>
        <w:t>ST.26</w:t>
      </w:r>
      <w:r w:rsidRPr="004F4BA2">
        <w:rPr>
          <w:rFonts w:hint="cs"/>
          <w:szCs w:val="22"/>
          <w:rtl/>
        </w:rPr>
        <w:t xml:space="preserve">؛ ودعم المكتب الدولي في المراجعة اللاحقة للتعليمات الإدارية لمعاهدة التعاون بشأن البراءات؛ وإعداد المراجعات اللازمة لمعيار الويبو </w:t>
      </w:r>
      <w:r w:rsidRPr="004F4BA2">
        <w:rPr>
          <w:szCs w:val="22"/>
        </w:rPr>
        <w:t>ST.26</w:t>
      </w:r>
      <w:r w:rsidRPr="004F4BA2">
        <w:rPr>
          <w:rFonts w:hint="cs"/>
          <w:szCs w:val="22"/>
          <w:rtl/>
        </w:rPr>
        <w:t xml:space="preserve"> بناء على طلب اللجنة."</w:t>
      </w:r>
    </w:p>
    <w:p w14:paraId="7ECF7247" w14:textId="656A0378" w:rsidR="004F4BA2" w:rsidRPr="004F4BA2" w:rsidRDefault="0086331D" w:rsidP="004F4BA2">
      <w:pPr>
        <w:pStyle w:val="ONUMFS"/>
        <w:bidi/>
        <w:rPr>
          <w:szCs w:val="22"/>
          <w:rtl/>
        </w:rPr>
      </w:pPr>
      <w:r w:rsidRPr="004F4BA2">
        <w:rPr>
          <w:rFonts w:hint="cs"/>
          <w:szCs w:val="22"/>
          <w:rtl/>
        </w:rPr>
        <w:t xml:space="preserve">وفي الدورة السادسة للجنة المعايير في أكتوبر 2018، اعتمدت اللجنة النسخة المراجعة الثانية لمعيار الويبو </w:t>
      </w:r>
      <w:r w:rsidRPr="004F4BA2">
        <w:rPr>
          <w:szCs w:val="22"/>
        </w:rPr>
        <w:t>ST.26</w:t>
      </w:r>
      <w:r w:rsidRPr="004F4BA2">
        <w:rPr>
          <w:rFonts w:hint="cs"/>
          <w:szCs w:val="22"/>
          <w:rtl/>
        </w:rPr>
        <w:t xml:space="preserve"> (الإصدار</w:t>
      </w:r>
      <w:r w:rsidR="0061472D">
        <w:rPr>
          <w:rFonts w:hint="eastAsia"/>
          <w:szCs w:val="22"/>
          <w:rtl/>
        </w:rPr>
        <w:t> </w:t>
      </w:r>
      <w:r w:rsidRPr="004F4BA2">
        <w:rPr>
          <w:rFonts w:hint="cs"/>
          <w:szCs w:val="22"/>
          <w:rtl/>
        </w:rPr>
        <w:t xml:space="preserve">1.2)، على النحو الوراد في الوثيقة </w:t>
      </w:r>
      <w:r w:rsidRPr="004F4BA2">
        <w:rPr>
          <w:szCs w:val="22"/>
        </w:rPr>
        <w:t>CWS/6/16</w:t>
      </w:r>
      <w:r w:rsidRPr="004F4BA2">
        <w:rPr>
          <w:rFonts w:hint="cs"/>
          <w:szCs w:val="22"/>
          <w:rtl/>
        </w:rPr>
        <w:t>.</w:t>
      </w:r>
      <w:r w:rsidR="004F4BA2" w:rsidRPr="004F4BA2">
        <w:rPr>
          <w:rFonts w:hint="cs"/>
          <w:szCs w:val="22"/>
          <w:rtl/>
        </w:rPr>
        <w:t xml:space="preserve"> </w:t>
      </w:r>
      <w:r w:rsidRPr="004F4BA2">
        <w:rPr>
          <w:rFonts w:hint="cs"/>
          <w:szCs w:val="22"/>
          <w:rtl/>
        </w:rPr>
        <w:t xml:space="preserve">وشملت المراجعة تعديلات أُدخلت على المتن الرئيسي لمعيار الويبو </w:t>
      </w:r>
      <w:r w:rsidRPr="004F4BA2">
        <w:rPr>
          <w:szCs w:val="22"/>
        </w:rPr>
        <w:t>ST.26</w:t>
      </w:r>
      <w:r w:rsidRPr="004F4BA2">
        <w:rPr>
          <w:rFonts w:hint="cs"/>
          <w:szCs w:val="22"/>
          <w:rtl/>
        </w:rPr>
        <w:t xml:space="preserve"> ومرفقاته الأول والثاني والثالث والرابع والسادس، وإضافة مرفق سابع جديد بعنوان </w:t>
      </w:r>
      <w:r w:rsidRPr="004F4BA2">
        <w:rPr>
          <w:rFonts w:hint="cs"/>
          <w:i/>
          <w:iCs/>
          <w:szCs w:val="22"/>
          <w:rtl/>
        </w:rPr>
        <w:t xml:space="preserve">"توصية تحويل قائمة تسلسل من المعيار </w:t>
      </w:r>
      <w:r w:rsidRPr="004F4BA2">
        <w:rPr>
          <w:i/>
          <w:iCs/>
          <w:szCs w:val="22"/>
        </w:rPr>
        <w:t>ST.25</w:t>
      </w:r>
      <w:r w:rsidRPr="004F4BA2">
        <w:rPr>
          <w:rFonts w:hint="cs"/>
          <w:i/>
          <w:iCs/>
          <w:szCs w:val="22"/>
          <w:rtl/>
        </w:rPr>
        <w:t xml:space="preserve"> إلى المعيار </w:t>
      </w:r>
      <w:r w:rsidRPr="004F4BA2">
        <w:rPr>
          <w:i/>
          <w:iCs/>
          <w:szCs w:val="22"/>
        </w:rPr>
        <w:t>ST.26</w:t>
      </w:r>
      <w:r w:rsidRPr="004F4BA2">
        <w:rPr>
          <w:rFonts w:hint="cs"/>
          <w:i/>
          <w:iCs/>
          <w:szCs w:val="22"/>
          <w:rtl/>
        </w:rPr>
        <w:t>"</w:t>
      </w:r>
      <w:r w:rsidRPr="004F4BA2">
        <w:rPr>
          <w:rFonts w:hint="cs"/>
          <w:iCs/>
          <w:szCs w:val="22"/>
          <w:rtl/>
        </w:rPr>
        <w:t xml:space="preserve"> </w:t>
      </w:r>
      <w:r w:rsidRPr="004F4BA2">
        <w:rPr>
          <w:rFonts w:hint="cs"/>
          <w:szCs w:val="22"/>
          <w:rtl/>
        </w:rPr>
        <w:t>لتيسير الانتقال بين المعيار الأول إلى الثاني.</w:t>
      </w:r>
    </w:p>
    <w:p w14:paraId="3D2508DE" w14:textId="77777777" w:rsidR="004F4BA2" w:rsidRPr="004F4BA2" w:rsidRDefault="0086331D" w:rsidP="004F4BA2">
      <w:pPr>
        <w:pStyle w:val="ONUMFS"/>
        <w:bidi/>
        <w:rPr>
          <w:szCs w:val="22"/>
          <w:rtl/>
        </w:rPr>
      </w:pPr>
      <w:r w:rsidRPr="004F4BA2">
        <w:rPr>
          <w:rFonts w:hint="cs"/>
          <w:szCs w:val="22"/>
          <w:rtl/>
        </w:rPr>
        <w:t xml:space="preserve">وفي الدورة السابعة المعقودة في يوليو 2019، اعتمدت لجنة المعايير بعض التعديلات الموضوعية والتصويبات التحريرية على المرفقين الأول والسابع لمعيار الويبو </w:t>
      </w:r>
      <w:r w:rsidRPr="004F4BA2">
        <w:rPr>
          <w:szCs w:val="22"/>
        </w:rPr>
        <w:t>ST.26</w:t>
      </w:r>
      <w:r w:rsidRPr="004F4BA2">
        <w:rPr>
          <w:rFonts w:hint="cs"/>
          <w:szCs w:val="22"/>
          <w:rtl/>
        </w:rPr>
        <w:t xml:space="preserve"> (الإصدار 1.3) (انظر الوثيقة </w:t>
      </w:r>
      <w:r w:rsidRPr="004F4BA2">
        <w:rPr>
          <w:szCs w:val="22"/>
        </w:rPr>
        <w:t>CWS/7/14</w:t>
      </w:r>
      <w:r w:rsidRPr="004F4BA2">
        <w:rPr>
          <w:rFonts w:hint="cs"/>
          <w:szCs w:val="22"/>
          <w:rtl/>
        </w:rPr>
        <w:t>).</w:t>
      </w:r>
    </w:p>
    <w:p w14:paraId="2283CFC7" w14:textId="2FF10FFB" w:rsidR="004F4BA2" w:rsidRPr="004F4BA2" w:rsidRDefault="0086331D" w:rsidP="004F4BA2">
      <w:pPr>
        <w:pStyle w:val="ONUMFS"/>
        <w:bidi/>
        <w:rPr>
          <w:szCs w:val="22"/>
          <w:rtl/>
        </w:rPr>
      </w:pPr>
      <w:r w:rsidRPr="004F4BA2">
        <w:rPr>
          <w:rFonts w:hint="cs"/>
          <w:szCs w:val="22"/>
          <w:rtl/>
        </w:rPr>
        <w:t>ووافقت اللجنة في دورتها الثامنة المعقودة في ديسمبر 2020 على عدة مراجعات تحريرية وجوهرية (الإصدار 1.4) (انظر</w:t>
      </w:r>
      <w:r w:rsidR="0061472D">
        <w:rPr>
          <w:rFonts w:hint="eastAsia"/>
          <w:szCs w:val="22"/>
          <w:rtl/>
        </w:rPr>
        <w:t> </w:t>
      </w:r>
      <w:r w:rsidRPr="004F4BA2">
        <w:rPr>
          <w:rFonts w:hint="cs"/>
          <w:szCs w:val="22"/>
          <w:rtl/>
        </w:rPr>
        <w:t xml:space="preserve">الوثيقة </w:t>
      </w:r>
      <w:r w:rsidRPr="004F4BA2">
        <w:rPr>
          <w:szCs w:val="22"/>
        </w:rPr>
        <w:t>CWS/8/6 Rev.</w:t>
      </w:r>
      <w:r w:rsidRPr="004F4BA2">
        <w:rPr>
          <w:rFonts w:cs="Arial"/>
          <w:szCs w:val="22"/>
          <w:cs/>
        </w:rPr>
        <w:t>‎</w:t>
      </w:r>
      <w:r w:rsidRPr="004F4BA2">
        <w:rPr>
          <w:rFonts w:hint="cs"/>
          <w:szCs w:val="22"/>
          <w:rtl/>
        </w:rPr>
        <w:t>‏)‏.</w:t>
      </w:r>
    </w:p>
    <w:p w14:paraId="491999AB" w14:textId="4653A623" w:rsidR="0086331D" w:rsidRPr="004F4BA2" w:rsidRDefault="0086331D" w:rsidP="004F4BA2">
      <w:pPr>
        <w:pStyle w:val="ONUMFS"/>
        <w:bidi/>
        <w:rPr>
          <w:szCs w:val="22"/>
          <w:rtl/>
        </w:rPr>
      </w:pPr>
      <w:r w:rsidRPr="004F4BA2">
        <w:rPr>
          <w:rFonts w:hint="cs"/>
          <w:szCs w:val="22"/>
          <w:rtl/>
        </w:rPr>
        <w:t xml:space="preserve">ووافقت جمعية معاهدة البراءات، في دورتها الثالثة والخمسين المعقودة في أكتوبر 2021، على التعديلات المدخلة على اللائحة التنفيذية لمعاهدة التعاون بشأن البراءات بصيغتها المقترحة في مرفق الوثيقة </w:t>
      </w:r>
      <w:r w:rsidRPr="004F4BA2">
        <w:rPr>
          <w:szCs w:val="22"/>
        </w:rPr>
        <w:t>PCT/WG/13/8</w:t>
      </w:r>
      <w:r w:rsidRPr="004F4BA2">
        <w:rPr>
          <w:rFonts w:hint="cs"/>
          <w:szCs w:val="22"/>
          <w:rtl/>
        </w:rPr>
        <w:t>.</w:t>
      </w:r>
      <w:r w:rsidR="004F4BA2" w:rsidRPr="004F4BA2">
        <w:rPr>
          <w:rFonts w:hint="cs"/>
          <w:szCs w:val="22"/>
          <w:rtl/>
        </w:rPr>
        <w:t xml:space="preserve"> </w:t>
      </w:r>
      <w:r w:rsidRPr="004F4BA2">
        <w:rPr>
          <w:rFonts w:hint="cs"/>
          <w:szCs w:val="22"/>
          <w:rtl/>
        </w:rPr>
        <w:t xml:space="preserve">ووافقت الجمعية العامة للويبو على أن يكون التاريخ الجديد لدخول معيار الويبو </w:t>
      </w:r>
      <w:r w:rsidRPr="004F4BA2">
        <w:rPr>
          <w:szCs w:val="22"/>
        </w:rPr>
        <w:t>ST.26</w:t>
      </w:r>
      <w:r w:rsidRPr="004F4BA2">
        <w:rPr>
          <w:rFonts w:hint="cs"/>
          <w:szCs w:val="22"/>
          <w:rtl/>
        </w:rPr>
        <w:t xml:space="preserve"> حيز التنفيذ هو 1 يوليو 2022 على المستوى الوطني والإقليمي والدولي (انظر</w:t>
      </w:r>
      <w:r w:rsidR="0061472D">
        <w:rPr>
          <w:rFonts w:hint="eastAsia"/>
          <w:szCs w:val="22"/>
          <w:rtl/>
        </w:rPr>
        <w:t> </w:t>
      </w:r>
      <w:r w:rsidRPr="004F4BA2">
        <w:rPr>
          <w:rFonts w:hint="cs"/>
          <w:szCs w:val="22"/>
          <w:rtl/>
        </w:rPr>
        <w:t xml:space="preserve">الوثيقة </w:t>
      </w:r>
      <w:r w:rsidRPr="004F4BA2">
        <w:rPr>
          <w:szCs w:val="22"/>
        </w:rPr>
        <w:t>WO/GA/54/14</w:t>
      </w:r>
      <w:r w:rsidRPr="004F4BA2">
        <w:rPr>
          <w:rFonts w:hint="cs"/>
          <w:szCs w:val="22"/>
          <w:rtl/>
        </w:rPr>
        <w:t xml:space="preserve">، والفقرات 178 إلى 183 من تقرير الدورة الوارد في الوثيقة </w:t>
      </w:r>
      <w:r w:rsidRPr="004F4BA2">
        <w:rPr>
          <w:szCs w:val="22"/>
        </w:rPr>
        <w:t>WO/GA/54/15</w:t>
      </w:r>
      <w:r w:rsidRPr="004F4BA2">
        <w:rPr>
          <w:rFonts w:hint="cs"/>
          <w:szCs w:val="22"/>
          <w:rtl/>
        </w:rPr>
        <w:t>).</w:t>
      </w:r>
    </w:p>
    <w:p w14:paraId="24ADE39A" w14:textId="77777777" w:rsidR="004F4BA2" w:rsidRPr="004F4BA2" w:rsidRDefault="0086331D" w:rsidP="004F4BA2">
      <w:pPr>
        <w:pStyle w:val="Heading2"/>
        <w:bidi/>
        <w:rPr>
          <w:bCs w:val="0"/>
          <w:iCs w:val="0"/>
          <w:szCs w:val="22"/>
          <w:rtl/>
        </w:rPr>
      </w:pPr>
      <w:r w:rsidRPr="004F4BA2">
        <w:rPr>
          <w:rFonts w:hint="cs"/>
          <w:bCs w:val="0"/>
          <w:iCs w:val="0"/>
          <w:szCs w:val="22"/>
          <w:rtl/>
        </w:rPr>
        <w:t>تقرير مرحلي</w:t>
      </w:r>
    </w:p>
    <w:p w14:paraId="2C5E2FC6" w14:textId="77777777" w:rsidR="004F4BA2" w:rsidRPr="004F4BA2" w:rsidRDefault="0086331D" w:rsidP="004F4BA2">
      <w:pPr>
        <w:pStyle w:val="ONUMFS"/>
        <w:bidi/>
        <w:rPr>
          <w:szCs w:val="22"/>
          <w:rtl/>
        </w:rPr>
      </w:pPr>
      <w:r w:rsidRPr="004F4BA2">
        <w:rPr>
          <w:rFonts w:hint="cs"/>
          <w:szCs w:val="22"/>
          <w:rtl/>
        </w:rPr>
        <w:t xml:space="preserve">عقب الدورة التاسعة للجنة المعايير، أجرت فرقة العمل المعنية بقوائم التسلسل مناقشات على موقع الويكي لمناقشة التنقيحات المقترحة على معيار الويبو </w:t>
      </w:r>
      <w:r w:rsidRPr="004F4BA2">
        <w:rPr>
          <w:szCs w:val="22"/>
        </w:rPr>
        <w:t>ST.26</w:t>
      </w:r>
      <w:r w:rsidRPr="004F4BA2">
        <w:rPr>
          <w:rFonts w:hint="cs"/>
          <w:szCs w:val="22"/>
          <w:rtl/>
        </w:rPr>
        <w:t xml:space="preserve">، واجتمعت مرتين لمناقشة مسألة الأداء المبلغ عنها فيما يخص مجموعة أدوات </w:t>
      </w:r>
      <w:r w:rsidRPr="004F4BA2">
        <w:rPr>
          <w:szCs w:val="22"/>
        </w:rPr>
        <w:t>WIPO Sequence Suite</w:t>
      </w:r>
      <w:r w:rsidRPr="004F4BA2">
        <w:rPr>
          <w:rFonts w:hint="cs"/>
          <w:szCs w:val="22"/>
          <w:rtl/>
        </w:rPr>
        <w:t xml:space="preserve"> ونموذج الدعم بمجرد بدء إنتاج مجموعة أدوات </w:t>
      </w:r>
      <w:r w:rsidRPr="004F4BA2">
        <w:rPr>
          <w:szCs w:val="22"/>
        </w:rPr>
        <w:t>WIPO Sequence Suite</w:t>
      </w:r>
      <w:r w:rsidRPr="004F4BA2">
        <w:rPr>
          <w:rFonts w:hint="cs"/>
          <w:szCs w:val="22"/>
          <w:rtl/>
        </w:rPr>
        <w:t>.</w:t>
      </w:r>
    </w:p>
    <w:p w14:paraId="378DBFEC" w14:textId="7E583072" w:rsidR="004F4BA2" w:rsidRPr="004F4BA2" w:rsidRDefault="0086331D" w:rsidP="004F4BA2">
      <w:pPr>
        <w:pStyle w:val="ONUMFS"/>
        <w:bidi/>
        <w:rPr>
          <w:szCs w:val="22"/>
          <w:rtl/>
        </w:rPr>
      </w:pPr>
      <w:r w:rsidRPr="004F4BA2">
        <w:rPr>
          <w:rFonts w:hint="cs"/>
          <w:szCs w:val="22"/>
          <w:rtl/>
        </w:rPr>
        <w:t xml:space="preserve">ودخل معيار الويبو </w:t>
      </w:r>
      <w:r w:rsidRPr="004F4BA2">
        <w:rPr>
          <w:szCs w:val="22"/>
        </w:rPr>
        <w:t>ST.26</w:t>
      </w:r>
      <w:r w:rsidRPr="004F4BA2">
        <w:rPr>
          <w:rFonts w:hint="cs"/>
          <w:szCs w:val="22"/>
          <w:rtl/>
        </w:rPr>
        <w:t xml:space="preserve"> حيز النفاذ في 1 يوليو 2022، إلى جانب التعديلات التي أدخلت على اللائحة التنفيذية لمعاهدة التعاون بشأن البراءات، والتعليمات الإدارية لمعاهدة التعاون بشأن البراءات، والاستمارات، والمبادئ التوجيهية لمكاتب تسلم الطلبات بناء على معاهدة التعاون بشأن البراءات، والمبادئ التوجيهية للبحث الدولي والفحص التمهيدي الدولي بناء على معاهدة التعاون بشأن</w:t>
      </w:r>
      <w:r w:rsidR="0061472D">
        <w:rPr>
          <w:rFonts w:hint="eastAsia"/>
          <w:szCs w:val="22"/>
          <w:rtl/>
        </w:rPr>
        <w:t> </w:t>
      </w:r>
      <w:r w:rsidRPr="004F4BA2">
        <w:rPr>
          <w:rFonts w:hint="cs"/>
          <w:szCs w:val="22"/>
          <w:rtl/>
        </w:rPr>
        <w:t>البراءات.</w:t>
      </w:r>
    </w:p>
    <w:p w14:paraId="683BB54A" w14:textId="77777777" w:rsidR="004F4BA2" w:rsidRPr="004F4BA2" w:rsidRDefault="00C50E2D" w:rsidP="004F4BA2">
      <w:pPr>
        <w:pStyle w:val="Heading2"/>
        <w:bidi/>
        <w:rPr>
          <w:bCs w:val="0"/>
          <w:iCs w:val="0"/>
          <w:szCs w:val="22"/>
          <w:rtl/>
        </w:rPr>
      </w:pPr>
      <w:r w:rsidRPr="004F4BA2">
        <w:rPr>
          <w:rFonts w:hint="cs"/>
          <w:bCs w:val="0"/>
          <w:iCs w:val="0"/>
          <w:szCs w:val="22"/>
          <w:rtl/>
        </w:rPr>
        <w:t xml:space="preserve">مراجعة معيار الويبو </w:t>
      </w:r>
      <w:r w:rsidRPr="004F4BA2">
        <w:rPr>
          <w:bCs w:val="0"/>
          <w:iCs w:val="0"/>
          <w:szCs w:val="22"/>
        </w:rPr>
        <w:t>ST.26</w:t>
      </w:r>
    </w:p>
    <w:p w14:paraId="6944EBA5" w14:textId="540894A7" w:rsidR="004F4BA2" w:rsidRPr="004F4BA2" w:rsidRDefault="0086331D" w:rsidP="004F4BA2">
      <w:pPr>
        <w:pStyle w:val="ONUMFS"/>
        <w:bidi/>
        <w:rPr>
          <w:szCs w:val="22"/>
          <w:rtl/>
        </w:rPr>
      </w:pPr>
      <w:r w:rsidRPr="004F4BA2">
        <w:rPr>
          <w:rFonts w:hint="cs"/>
          <w:szCs w:val="22"/>
          <w:rtl/>
        </w:rPr>
        <w:t xml:space="preserve">أُجريت أحدث مراجعة لمعيار الويبو </w:t>
      </w:r>
      <w:r w:rsidRPr="004F4BA2">
        <w:rPr>
          <w:szCs w:val="22"/>
        </w:rPr>
        <w:t>ST.26</w:t>
      </w:r>
      <w:r w:rsidRPr="004F4BA2">
        <w:rPr>
          <w:rFonts w:hint="cs"/>
          <w:szCs w:val="22"/>
          <w:rtl/>
        </w:rPr>
        <w:t xml:space="preserve"> في نوفمبر 2021 إبّان الدورة التاسعة للجنة المعايير (الإصدار 1.5).</w:t>
      </w:r>
      <w:r w:rsidR="004F4BA2" w:rsidRPr="004F4BA2">
        <w:rPr>
          <w:rFonts w:hint="cs"/>
          <w:szCs w:val="22"/>
          <w:rtl/>
        </w:rPr>
        <w:t xml:space="preserve"> </w:t>
      </w:r>
      <w:r w:rsidRPr="004F4BA2">
        <w:rPr>
          <w:rFonts w:hint="cs"/>
          <w:szCs w:val="22"/>
          <w:rtl/>
        </w:rPr>
        <w:t xml:space="preserve">وتعلقت التغييرات بالمتن الرئيسي للمعيار والمرفقات الأول إلى الثالث (انظر الوثيقة </w:t>
      </w:r>
      <w:r w:rsidRPr="004F4BA2">
        <w:rPr>
          <w:szCs w:val="22"/>
        </w:rPr>
        <w:t>CWS/9/12 REV)</w:t>
      </w:r>
      <w:r w:rsidRPr="004F4BA2">
        <w:rPr>
          <w:rFonts w:hint="cs"/>
          <w:szCs w:val="22"/>
          <w:rtl/>
        </w:rPr>
        <w:t>، وشملت عدة تعديلات تحريرية و/أو طفيفة من أجل الوضوح والمواءمة مع قاعدة البيانات العالمية للبروتينات (</w:t>
      </w:r>
      <w:r w:rsidRPr="004F4BA2">
        <w:rPr>
          <w:szCs w:val="22"/>
        </w:rPr>
        <w:t>UniProt</w:t>
      </w:r>
      <w:r w:rsidRPr="004F4BA2">
        <w:rPr>
          <w:rFonts w:hint="cs"/>
          <w:szCs w:val="22"/>
          <w:rtl/>
        </w:rPr>
        <w:t>).</w:t>
      </w:r>
    </w:p>
    <w:p w14:paraId="79B75873" w14:textId="29814EAB" w:rsidR="004F4BA2" w:rsidRPr="004F4BA2" w:rsidRDefault="0086331D" w:rsidP="004F4BA2">
      <w:pPr>
        <w:pStyle w:val="ONUMFS"/>
        <w:bidi/>
        <w:rPr>
          <w:szCs w:val="22"/>
          <w:rtl/>
        </w:rPr>
      </w:pPr>
      <w:r w:rsidRPr="004F4BA2">
        <w:rPr>
          <w:rFonts w:hint="cs"/>
          <w:szCs w:val="22"/>
          <w:rtl/>
        </w:rPr>
        <w:t xml:space="preserve">وفي إطار المهمة رقم 44، ستُعدّ فرقة العمل اقتراحاً لمراجعة معيار الويبو </w:t>
      </w:r>
      <w:r w:rsidRPr="004F4BA2">
        <w:rPr>
          <w:szCs w:val="22"/>
        </w:rPr>
        <w:t>ST.26</w:t>
      </w:r>
      <w:r w:rsidRPr="004F4BA2">
        <w:rPr>
          <w:rFonts w:hint="cs"/>
          <w:szCs w:val="22"/>
          <w:rtl/>
        </w:rPr>
        <w:t xml:space="preserve"> (الإصدار 1.6)</w:t>
      </w:r>
      <w:r w:rsidR="00A4658C">
        <w:rPr>
          <w:rFonts w:hint="cs"/>
          <w:szCs w:val="22"/>
          <w:rtl/>
          <w:lang w:bidi="ar-SA"/>
        </w:rPr>
        <w:t xml:space="preserve"> </w:t>
      </w:r>
      <w:bookmarkStart w:id="2" w:name="_GoBack"/>
      <w:bookmarkEnd w:id="2"/>
      <w:r w:rsidRPr="004F4BA2">
        <w:rPr>
          <w:rFonts w:hint="cs"/>
          <w:szCs w:val="22"/>
          <w:rtl/>
        </w:rPr>
        <w:t>لتقدِّمه إلى لجنة المعايير للموافقة عليه إبّان دورتها العاشرة.</w:t>
      </w:r>
      <w:r w:rsidR="004F4BA2" w:rsidRPr="004F4BA2">
        <w:rPr>
          <w:rFonts w:hint="cs"/>
          <w:szCs w:val="22"/>
          <w:rtl/>
        </w:rPr>
        <w:t xml:space="preserve"> </w:t>
      </w:r>
      <w:r w:rsidRPr="004F4BA2">
        <w:rPr>
          <w:rFonts w:hint="cs"/>
          <w:szCs w:val="22"/>
          <w:rtl/>
        </w:rPr>
        <w:t>وتوفِّر المراجعة المقترحة تحسينات عامة تستند إلى الخبرة المكتسبة منذ دخول المعيار حيز التنفيذ في 1 يوليو 2022، بما في ذلك ثلاثة أمثلة جديدة ستضاف إلى المرفق السادس للمعيار.</w:t>
      </w:r>
      <w:r w:rsidR="004F4BA2" w:rsidRPr="004F4BA2">
        <w:rPr>
          <w:rFonts w:hint="cs"/>
          <w:szCs w:val="22"/>
          <w:rtl/>
        </w:rPr>
        <w:t xml:space="preserve"> </w:t>
      </w:r>
      <w:r w:rsidRPr="004F4BA2">
        <w:rPr>
          <w:rFonts w:hint="cs"/>
          <w:szCs w:val="22"/>
          <w:rtl/>
        </w:rPr>
        <w:t xml:space="preserve">وترد المزيد من التفاصيل بشأن المراجعة المقترحة في الوثيقة </w:t>
      </w:r>
      <w:r w:rsidRPr="004F4BA2">
        <w:rPr>
          <w:szCs w:val="22"/>
        </w:rPr>
        <w:t>CWS/10/13</w:t>
      </w:r>
      <w:r w:rsidRPr="004F4BA2">
        <w:rPr>
          <w:rFonts w:hint="cs"/>
          <w:szCs w:val="22"/>
          <w:rtl/>
        </w:rPr>
        <w:t>.</w:t>
      </w:r>
    </w:p>
    <w:p w14:paraId="6A5867A7" w14:textId="55A6C3EE" w:rsidR="004F4BA2" w:rsidRPr="004F4BA2" w:rsidRDefault="0086331D" w:rsidP="004F4BA2">
      <w:pPr>
        <w:pStyle w:val="Heading2"/>
        <w:keepLines/>
        <w:numPr>
          <w:ilvl w:val="1"/>
          <w:numId w:val="0"/>
        </w:numPr>
        <w:tabs>
          <w:tab w:val="num" w:pos="964"/>
        </w:tabs>
        <w:bidi/>
        <w:rPr>
          <w:bCs w:val="0"/>
          <w:iCs w:val="0"/>
          <w:szCs w:val="22"/>
          <w:rtl/>
        </w:rPr>
      </w:pPr>
      <w:r w:rsidRPr="004F4BA2">
        <w:rPr>
          <w:rFonts w:hint="cs"/>
          <w:bCs w:val="0"/>
          <w:iCs w:val="0"/>
          <w:szCs w:val="22"/>
          <w:rtl/>
        </w:rPr>
        <w:t xml:space="preserve">مجموعة أدوات </w:t>
      </w:r>
      <w:r w:rsidRPr="004F4BA2">
        <w:rPr>
          <w:bCs w:val="0"/>
          <w:iCs w:val="0"/>
          <w:szCs w:val="22"/>
        </w:rPr>
        <w:t>WIPO Sequence Suite</w:t>
      </w:r>
    </w:p>
    <w:p w14:paraId="77BE2704" w14:textId="1410FA20" w:rsidR="0086331D" w:rsidRPr="004F4BA2" w:rsidRDefault="0086331D" w:rsidP="004F4BA2">
      <w:pPr>
        <w:pStyle w:val="ONUMFS"/>
        <w:bidi/>
        <w:rPr>
          <w:szCs w:val="22"/>
          <w:rtl/>
        </w:rPr>
      </w:pPr>
      <w:r w:rsidRPr="004F4BA2">
        <w:rPr>
          <w:rFonts w:hint="cs"/>
          <w:szCs w:val="22"/>
          <w:rtl/>
        </w:rPr>
        <w:t xml:space="preserve">يعمل المكتب الدولي منذ عام 2018 على إعداد أداتين برمجيتين مختلفتين من أجل تمكين مودعي طلبات البراءات من إعداد قوائم تسلسل متوافقة مع معيار الويبو </w:t>
      </w:r>
      <w:r w:rsidRPr="004F4BA2">
        <w:rPr>
          <w:szCs w:val="22"/>
        </w:rPr>
        <w:t>ST.26</w:t>
      </w:r>
      <w:r w:rsidRPr="004F4BA2">
        <w:rPr>
          <w:rFonts w:hint="cs"/>
          <w:szCs w:val="22"/>
          <w:rtl/>
        </w:rPr>
        <w:t xml:space="preserve">، وتمكين مكاتب البراءات من التثبّت من امتثال بيانات قوائم التسلسل المودعة لمعيار الويبو </w:t>
      </w:r>
      <w:r w:rsidRPr="004F4BA2">
        <w:rPr>
          <w:szCs w:val="22"/>
        </w:rPr>
        <w:t>ST.26</w:t>
      </w:r>
      <w:r w:rsidRPr="004F4BA2">
        <w:rPr>
          <w:rFonts w:hint="cs"/>
          <w:szCs w:val="22"/>
          <w:rtl/>
        </w:rPr>
        <w:t>، وهاتان الأداتان هما:</w:t>
      </w:r>
    </w:p>
    <w:p w14:paraId="54EBCB8C" w14:textId="0FDE35F8" w:rsidR="0086331D" w:rsidRPr="0061472D" w:rsidRDefault="0086331D" w:rsidP="0061472D">
      <w:pPr>
        <w:pStyle w:val="ONUME"/>
        <w:numPr>
          <w:ilvl w:val="1"/>
          <w:numId w:val="5"/>
        </w:numPr>
        <w:bidi/>
        <w:ind w:left="567" w:firstLine="0"/>
        <w:rPr>
          <w:spacing w:val="-3"/>
          <w:szCs w:val="22"/>
          <w:rtl/>
        </w:rPr>
      </w:pPr>
      <w:r w:rsidRPr="0061472D">
        <w:rPr>
          <w:i/>
          <w:iCs/>
          <w:spacing w:val="-3"/>
          <w:szCs w:val="22"/>
        </w:rPr>
        <w:t>WIPO Sequence</w:t>
      </w:r>
      <w:r w:rsidR="0061472D" w:rsidRPr="0061472D">
        <w:rPr>
          <w:rFonts w:hint="cs"/>
          <w:i/>
          <w:iCs/>
          <w:spacing w:val="-3"/>
          <w:szCs w:val="22"/>
          <w:rtl/>
        </w:rPr>
        <w:t>:</w:t>
      </w:r>
      <w:r w:rsidR="004F4BA2" w:rsidRPr="0061472D">
        <w:rPr>
          <w:iCs/>
          <w:spacing w:val="-3"/>
          <w:szCs w:val="22"/>
          <w:rtl/>
        </w:rPr>
        <w:t xml:space="preserve"> </w:t>
      </w:r>
      <w:r w:rsidRPr="0061472D">
        <w:rPr>
          <w:rFonts w:hint="cs"/>
          <w:spacing w:val="-3"/>
          <w:szCs w:val="22"/>
          <w:rtl/>
        </w:rPr>
        <w:t>وهي أداة لمودعي الطلبات من أجل صياغة قوائم التسلسل والتثبت منها (تطبيق مكتبي مستقل)؛</w:t>
      </w:r>
    </w:p>
    <w:p w14:paraId="74ECA6E1" w14:textId="5F6F22F6" w:rsidR="0086331D" w:rsidRPr="004F4BA2" w:rsidRDefault="0086331D" w:rsidP="0061472D">
      <w:pPr>
        <w:pStyle w:val="ONUME"/>
        <w:numPr>
          <w:ilvl w:val="1"/>
          <w:numId w:val="5"/>
        </w:numPr>
        <w:bidi/>
        <w:ind w:left="567" w:firstLine="0"/>
        <w:rPr>
          <w:szCs w:val="22"/>
          <w:rtl/>
        </w:rPr>
      </w:pPr>
      <w:r w:rsidRPr="004F4BA2">
        <w:rPr>
          <w:i/>
          <w:iCs/>
          <w:szCs w:val="22"/>
        </w:rPr>
        <w:lastRenderedPageBreak/>
        <w:t>WIPO Sequence Validator</w:t>
      </w:r>
      <w:r w:rsidR="0061472D">
        <w:rPr>
          <w:rFonts w:hint="cs"/>
          <w:i/>
          <w:iCs/>
          <w:szCs w:val="22"/>
          <w:rtl/>
        </w:rPr>
        <w:t>:</w:t>
      </w:r>
      <w:r w:rsidR="004F4BA2" w:rsidRPr="004F4BA2">
        <w:rPr>
          <w:iCs/>
          <w:szCs w:val="22"/>
          <w:rtl/>
        </w:rPr>
        <w:t xml:space="preserve"> </w:t>
      </w:r>
      <w:r w:rsidRPr="004F4BA2">
        <w:rPr>
          <w:rFonts w:hint="cs"/>
          <w:szCs w:val="22"/>
          <w:rtl/>
        </w:rPr>
        <w:t xml:space="preserve">وهي أداة لمكاتب الملكية الفكرية من أجل التثبت تعمل بوصفها خدمة مستقلة في شبكة مكاتب الملكية الفكرية (خدمة شبكية صغيرة مدمجة في كل نظام لتكنولوجيا المعلومات في مكاتب الملكية الفكرية من أجل التحقق من امتثال قوائم التسلسل المودعة لمعيار الويبو </w:t>
      </w:r>
      <w:r w:rsidRPr="004F4BA2">
        <w:rPr>
          <w:szCs w:val="22"/>
        </w:rPr>
        <w:t>ST.26</w:t>
      </w:r>
      <w:r w:rsidRPr="004F4BA2">
        <w:rPr>
          <w:rFonts w:hint="cs"/>
          <w:szCs w:val="22"/>
          <w:rtl/>
        </w:rPr>
        <w:t>).</w:t>
      </w:r>
    </w:p>
    <w:p w14:paraId="06325D7D" w14:textId="77777777" w:rsidR="004F4BA2" w:rsidRPr="004F4BA2" w:rsidRDefault="0086331D" w:rsidP="004F4BA2">
      <w:pPr>
        <w:pStyle w:val="ONUME"/>
        <w:bidi/>
        <w:rPr>
          <w:szCs w:val="22"/>
          <w:rtl/>
        </w:rPr>
      </w:pPr>
      <w:r w:rsidRPr="004F4BA2">
        <w:rPr>
          <w:rFonts w:hint="cs"/>
          <w:szCs w:val="22"/>
          <w:rtl/>
        </w:rPr>
        <w:t xml:space="preserve">ويُشار إلى عنصري الأداة مجتمعين باسم مجموعة أدوات </w:t>
      </w:r>
      <w:r w:rsidRPr="004F4BA2">
        <w:rPr>
          <w:szCs w:val="22"/>
        </w:rPr>
        <w:t>WIPO Sequence Suite</w:t>
      </w:r>
      <w:r w:rsidRPr="004F4BA2">
        <w:rPr>
          <w:rFonts w:hint="cs"/>
          <w:szCs w:val="22"/>
          <w:rtl/>
        </w:rPr>
        <w:t>.</w:t>
      </w:r>
    </w:p>
    <w:p w14:paraId="1101DB8B" w14:textId="04D842B5" w:rsidR="004F4BA2" w:rsidRPr="004F4BA2" w:rsidRDefault="0086331D" w:rsidP="004F4BA2">
      <w:pPr>
        <w:pStyle w:val="ONUMFS"/>
        <w:bidi/>
        <w:rPr>
          <w:szCs w:val="22"/>
          <w:rtl/>
        </w:rPr>
      </w:pPr>
      <w:r w:rsidRPr="004F4BA2">
        <w:rPr>
          <w:rFonts w:hint="cs"/>
          <w:szCs w:val="22"/>
          <w:rtl/>
        </w:rPr>
        <w:t xml:space="preserve">وأحدث نسخة من أداة </w:t>
      </w:r>
      <w:r w:rsidRPr="004F4BA2">
        <w:rPr>
          <w:szCs w:val="22"/>
        </w:rPr>
        <w:t>WIPO Sequence</w:t>
      </w:r>
      <w:r w:rsidRPr="004F4BA2">
        <w:rPr>
          <w:rFonts w:hint="cs"/>
          <w:szCs w:val="22"/>
          <w:rtl/>
        </w:rPr>
        <w:t xml:space="preserve"> - أي الإصدار 2.1.2 - متاحة للتنزيل من موقع الويبو الإلكتروني</w:t>
      </w:r>
      <w:r w:rsidRPr="0061472D">
        <w:rPr>
          <w:rStyle w:val="FootnoteReference"/>
          <w:szCs w:val="22"/>
          <w:rtl/>
        </w:rPr>
        <w:footnoteReference w:id="2"/>
      </w:r>
      <w:r w:rsidRPr="004F4BA2">
        <w:rPr>
          <w:rFonts w:hint="cs"/>
          <w:szCs w:val="22"/>
          <w:rtl/>
        </w:rPr>
        <w:t>.</w:t>
      </w:r>
      <w:r w:rsidR="004F4BA2" w:rsidRPr="004F4BA2">
        <w:rPr>
          <w:rFonts w:hint="cs"/>
          <w:szCs w:val="22"/>
          <w:rtl/>
        </w:rPr>
        <w:t xml:space="preserve"> </w:t>
      </w:r>
      <w:r w:rsidRPr="004F4BA2">
        <w:rPr>
          <w:rFonts w:hint="cs"/>
          <w:szCs w:val="22"/>
          <w:rtl/>
        </w:rPr>
        <w:t xml:space="preserve">ويمكن لمكاتب الملكية الفكرية الحصول على أحدث نسخة من أداة </w:t>
      </w:r>
      <w:r w:rsidRPr="004F4BA2">
        <w:rPr>
          <w:szCs w:val="22"/>
        </w:rPr>
        <w:t>WIPO Sequence Validator</w:t>
      </w:r>
      <w:r w:rsidRPr="004F4BA2">
        <w:rPr>
          <w:rFonts w:hint="cs"/>
          <w:szCs w:val="22"/>
          <w:rtl/>
        </w:rPr>
        <w:t xml:space="preserve"> - أي الإصدار 2.1.1 - بالاتصال </w:t>
      </w:r>
      <w:r w:rsidRPr="0061472D">
        <w:rPr>
          <w:rFonts w:hint="cs"/>
          <w:szCs w:val="22"/>
          <w:rtl/>
        </w:rPr>
        <w:t xml:space="preserve">بالمكتب الدولي عن طريق البريد الإلكتروني على </w:t>
      </w:r>
      <w:hyperlink r:id="rId12" w:history="1">
        <w:r w:rsidR="0061472D" w:rsidRPr="0061472D">
          <w:rPr>
            <w:rStyle w:val="Hyperlink"/>
            <w:color w:val="auto"/>
            <w:szCs w:val="22"/>
          </w:rPr>
          <w:t>wiposequence@wipo.int</w:t>
        </w:r>
      </w:hyperlink>
      <w:r w:rsidR="0061472D">
        <w:rPr>
          <w:rFonts w:hint="cs"/>
          <w:szCs w:val="22"/>
          <w:rtl/>
        </w:rPr>
        <w:t>.</w:t>
      </w:r>
    </w:p>
    <w:p w14:paraId="0ED5FCE6" w14:textId="77777777" w:rsidR="004F4BA2" w:rsidRPr="004F4BA2" w:rsidRDefault="0086331D" w:rsidP="004F4BA2">
      <w:pPr>
        <w:pStyle w:val="ONUMFS"/>
        <w:bidi/>
        <w:rPr>
          <w:szCs w:val="22"/>
          <w:rtl/>
        </w:rPr>
      </w:pPr>
      <w:r w:rsidRPr="004F4BA2">
        <w:rPr>
          <w:rFonts w:hint="cs"/>
          <w:szCs w:val="22"/>
          <w:rtl/>
        </w:rPr>
        <w:t xml:space="preserve">وللحصول على مزيد من التفاصيل عن تطوير مجموعة أدوات </w:t>
      </w:r>
      <w:r w:rsidRPr="004F4BA2">
        <w:rPr>
          <w:szCs w:val="22"/>
        </w:rPr>
        <w:t>WIPO Sequence Suite</w:t>
      </w:r>
      <w:r w:rsidRPr="004F4BA2">
        <w:rPr>
          <w:rFonts w:hint="cs"/>
          <w:szCs w:val="22"/>
          <w:rtl/>
        </w:rPr>
        <w:t xml:space="preserve"> والعيوب المبلغ عنها وأنشطة التدريب المقدَّمة، ينبغي للجنة الرجوع إلى الوثيقة </w:t>
      </w:r>
      <w:r w:rsidRPr="004F4BA2">
        <w:rPr>
          <w:szCs w:val="22"/>
        </w:rPr>
        <w:t>CWS/10/14</w:t>
      </w:r>
      <w:r w:rsidRPr="004F4BA2">
        <w:rPr>
          <w:rFonts w:hint="cs"/>
          <w:szCs w:val="22"/>
          <w:rtl/>
        </w:rPr>
        <w:t>.</w:t>
      </w:r>
    </w:p>
    <w:p w14:paraId="62400246" w14:textId="0F5018D9" w:rsidR="004F4BA2" w:rsidRPr="004F4BA2" w:rsidRDefault="0086331D" w:rsidP="004F4BA2">
      <w:pPr>
        <w:pStyle w:val="Heading2"/>
        <w:bidi/>
        <w:rPr>
          <w:bCs w:val="0"/>
          <w:iCs w:val="0"/>
          <w:szCs w:val="22"/>
          <w:rtl/>
        </w:rPr>
      </w:pPr>
      <w:r w:rsidRPr="004F4BA2">
        <w:rPr>
          <w:rFonts w:hint="cs"/>
          <w:bCs w:val="0"/>
          <w:iCs w:val="0"/>
          <w:szCs w:val="22"/>
          <w:rtl/>
        </w:rPr>
        <w:t>خطة العمل والتعاون في المستقبل</w:t>
      </w:r>
    </w:p>
    <w:p w14:paraId="1C5DAE2D" w14:textId="21247586" w:rsidR="0086331D" w:rsidRPr="004F4BA2" w:rsidRDefault="0086331D" w:rsidP="0061472D">
      <w:pPr>
        <w:pStyle w:val="ONUMFS"/>
        <w:bidi/>
        <w:rPr>
          <w:szCs w:val="22"/>
          <w:rtl/>
        </w:rPr>
      </w:pPr>
      <w:r w:rsidRPr="004F4BA2">
        <w:rPr>
          <w:rFonts w:hint="cs"/>
          <w:szCs w:val="22"/>
          <w:rtl/>
        </w:rPr>
        <w:t xml:space="preserve">مع دخول معيار الويبو </w:t>
      </w:r>
      <w:r w:rsidRPr="004F4BA2">
        <w:rPr>
          <w:szCs w:val="22"/>
        </w:rPr>
        <w:t>ST.26</w:t>
      </w:r>
      <w:r w:rsidRPr="004F4BA2">
        <w:rPr>
          <w:rFonts w:hint="cs"/>
          <w:szCs w:val="22"/>
          <w:rtl/>
        </w:rPr>
        <w:t xml:space="preserve"> حيز النفاذ، يُرجى من مكاتب الملكية الفكرية التعاون مع المكتب الدولي عن طريق أداء المهام</w:t>
      </w:r>
      <w:r w:rsidR="0061472D">
        <w:rPr>
          <w:rFonts w:hint="eastAsia"/>
          <w:szCs w:val="22"/>
          <w:rtl/>
        </w:rPr>
        <w:t> </w:t>
      </w:r>
      <w:r w:rsidRPr="004F4BA2">
        <w:rPr>
          <w:rFonts w:hint="cs"/>
          <w:szCs w:val="22"/>
          <w:rtl/>
        </w:rPr>
        <w:t>التالية:</w:t>
      </w:r>
    </w:p>
    <w:p w14:paraId="225F0B89" w14:textId="77777777" w:rsidR="004F4BA2" w:rsidRPr="004F4BA2" w:rsidRDefault="0086331D" w:rsidP="0044021E">
      <w:pPr>
        <w:pStyle w:val="ONUME"/>
        <w:numPr>
          <w:ilvl w:val="0"/>
          <w:numId w:val="15"/>
        </w:numPr>
        <w:bidi/>
        <w:spacing w:after="120"/>
        <w:ind w:left="1134" w:hanging="567"/>
        <w:rPr>
          <w:szCs w:val="22"/>
          <w:rtl/>
        </w:rPr>
      </w:pPr>
      <w:r w:rsidRPr="004F4BA2">
        <w:rPr>
          <w:rFonts w:hint="cs"/>
          <w:szCs w:val="22"/>
          <w:rtl/>
        </w:rPr>
        <w:t xml:space="preserve">تقديم دعم من المستوى الأول إلى المستخدمين النهائيين لأداة </w:t>
      </w:r>
      <w:r w:rsidRPr="004F4BA2">
        <w:rPr>
          <w:szCs w:val="22"/>
        </w:rPr>
        <w:t>WIPO Sequence</w:t>
      </w:r>
      <w:r w:rsidRPr="004F4BA2">
        <w:rPr>
          <w:rFonts w:hint="cs"/>
          <w:szCs w:val="22"/>
          <w:rtl/>
        </w:rPr>
        <w:t>؛</w:t>
      </w:r>
    </w:p>
    <w:p w14:paraId="439A9E2F" w14:textId="77777777" w:rsidR="004F4BA2" w:rsidRPr="0044021E" w:rsidRDefault="0086331D" w:rsidP="0044021E">
      <w:pPr>
        <w:pStyle w:val="ONUME"/>
        <w:numPr>
          <w:ilvl w:val="0"/>
          <w:numId w:val="15"/>
        </w:numPr>
        <w:bidi/>
        <w:spacing w:after="120"/>
        <w:ind w:left="1134" w:hanging="567"/>
        <w:rPr>
          <w:spacing w:val="-3"/>
          <w:szCs w:val="22"/>
          <w:rtl/>
        </w:rPr>
      </w:pPr>
      <w:r w:rsidRPr="0044021E">
        <w:rPr>
          <w:rFonts w:hint="cs"/>
          <w:spacing w:val="-3"/>
          <w:szCs w:val="22"/>
          <w:rtl/>
        </w:rPr>
        <w:t xml:space="preserve">إحالة الطلبات التي لا يمكنها الرد عليها إلى فريق الدعم المعني بأداة </w:t>
      </w:r>
      <w:r w:rsidRPr="0044021E">
        <w:rPr>
          <w:spacing w:val="-3"/>
          <w:szCs w:val="22"/>
        </w:rPr>
        <w:t>WIPO Sequence</w:t>
      </w:r>
      <w:r w:rsidRPr="0044021E">
        <w:rPr>
          <w:rFonts w:hint="cs"/>
          <w:spacing w:val="-3"/>
          <w:szCs w:val="22"/>
          <w:rtl/>
        </w:rPr>
        <w:t xml:space="preserve"> الذي أُنشئ في المكتب الدولي؛</w:t>
      </w:r>
    </w:p>
    <w:p w14:paraId="04A0C9EA" w14:textId="77777777" w:rsidR="004F4BA2" w:rsidRPr="004F4BA2" w:rsidRDefault="0086331D" w:rsidP="0044021E">
      <w:pPr>
        <w:pStyle w:val="ONUME"/>
        <w:numPr>
          <w:ilvl w:val="0"/>
          <w:numId w:val="15"/>
        </w:numPr>
        <w:bidi/>
        <w:spacing w:after="120"/>
        <w:ind w:left="1134" w:hanging="567"/>
        <w:rPr>
          <w:szCs w:val="22"/>
          <w:rtl/>
        </w:rPr>
      </w:pPr>
      <w:r w:rsidRPr="004F4BA2">
        <w:rPr>
          <w:rFonts w:hint="cs"/>
          <w:szCs w:val="22"/>
          <w:rtl/>
        </w:rPr>
        <w:t xml:space="preserve">تشجيع مستخدميه النهائيين على الانتقال إلى أحدث إصدار من أداة </w:t>
      </w:r>
      <w:r w:rsidRPr="004F4BA2">
        <w:rPr>
          <w:szCs w:val="22"/>
        </w:rPr>
        <w:t>WIPO Sequence</w:t>
      </w:r>
      <w:r w:rsidRPr="004F4BA2">
        <w:rPr>
          <w:rFonts w:hint="cs"/>
          <w:szCs w:val="22"/>
          <w:rtl/>
        </w:rPr>
        <w:t xml:space="preserve"> والاشتراك في القائمة البريدية لأداة </w:t>
      </w:r>
      <w:r w:rsidRPr="004F4BA2">
        <w:rPr>
          <w:szCs w:val="22"/>
        </w:rPr>
        <w:t>WIPO Sequence</w:t>
      </w:r>
      <w:r w:rsidRPr="004F4BA2">
        <w:rPr>
          <w:rFonts w:hint="cs"/>
          <w:szCs w:val="22"/>
          <w:rtl/>
        </w:rPr>
        <w:t>؛</w:t>
      </w:r>
    </w:p>
    <w:p w14:paraId="29318EA2" w14:textId="1DB35A6D" w:rsidR="0086331D" w:rsidRPr="0044021E" w:rsidRDefault="0086331D" w:rsidP="0044021E">
      <w:pPr>
        <w:pStyle w:val="ONUME"/>
        <w:numPr>
          <w:ilvl w:val="0"/>
          <w:numId w:val="15"/>
        </w:numPr>
        <w:bidi/>
        <w:spacing w:after="120"/>
        <w:ind w:left="1134" w:hanging="567"/>
        <w:rPr>
          <w:spacing w:val="-3"/>
          <w:szCs w:val="22"/>
          <w:rtl/>
        </w:rPr>
      </w:pPr>
      <w:r w:rsidRPr="0044021E">
        <w:rPr>
          <w:rFonts w:hint="cs"/>
          <w:spacing w:val="-3"/>
          <w:szCs w:val="22"/>
          <w:rtl/>
        </w:rPr>
        <w:t xml:space="preserve">الحفاظ على تعميم أداة </w:t>
      </w:r>
      <w:r w:rsidRPr="0044021E">
        <w:rPr>
          <w:spacing w:val="-3"/>
          <w:szCs w:val="22"/>
        </w:rPr>
        <w:t>WIPO Sequence Validator</w:t>
      </w:r>
      <w:r w:rsidRPr="0044021E">
        <w:rPr>
          <w:rFonts w:hint="cs"/>
          <w:spacing w:val="-3"/>
          <w:szCs w:val="22"/>
          <w:rtl/>
        </w:rPr>
        <w:t xml:space="preserve"> وتحديثها إلى أحدث إصدار بمجرد أن ينشره المكتب الدولي؛</w:t>
      </w:r>
    </w:p>
    <w:p w14:paraId="5147E6EC" w14:textId="77777777" w:rsidR="004F4BA2" w:rsidRPr="004F4BA2" w:rsidRDefault="0086331D" w:rsidP="0044021E">
      <w:pPr>
        <w:pStyle w:val="ONUME"/>
        <w:numPr>
          <w:ilvl w:val="0"/>
          <w:numId w:val="15"/>
        </w:numPr>
        <w:bidi/>
        <w:ind w:left="1134" w:hanging="567"/>
        <w:rPr>
          <w:szCs w:val="22"/>
          <w:rtl/>
        </w:rPr>
      </w:pPr>
      <w:r w:rsidRPr="004F4BA2">
        <w:rPr>
          <w:rFonts w:hint="cs"/>
          <w:szCs w:val="22"/>
          <w:rtl/>
        </w:rPr>
        <w:t xml:space="preserve">المشاركة في مختلف المنتديات، بما في ذلك قاعدة المعارف الخاصة بمجموعة أدوات </w:t>
      </w:r>
      <w:r w:rsidRPr="004F4BA2">
        <w:rPr>
          <w:szCs w:val="22"/>
        </w:rPr>
        <w:t>WIPO Sequence</w:t>
      </w:r>
      <w:r w:rsidRPr="004F4BA2">
        <w:rPr>
          <w:rFonts w:hint="cs"/>
          <w:szCs w:val="22"/>
          <w:rtl/>
        </w:rPr>
        <w:t xml:space="preserve"> ومعيار الويبو </w:t>
      </w:r>
      <w:r w:rsidRPr="004F4BA2">
        <w:rPr>
          <w:szCs w:val="22"/>
        </w:rPr>
        <w:t>ST.26</w:t>
      </w:r>
      <w:r w:rsidRPr="004F4BA2">
        <w:rPr>
          <w:rFonts w:hint="cs"/>
          <w:szCs w:val="22"/>
          <w:rtl/>
        </w:rPr>
        <w:t xml:space="preserve"> وموقع الويكي الخاص بأداة </w:t>
      </w:r>
      <w:r w:rsidRPr="004F4BA2">
        <w:rPr>
          <w:szCs w:val="22"/>
        </w:rPr>
        <w:t>WIPO Sequence Validator</w:t>
      </w:r>
      <w:r w:rsidRPr="004F4BA2">
        <w:rPr>
          <w:rFonts w:hint="cs"/>
          <w:szCs w:val="22"/>
          <w:rtl/>
        </w:rPr>
        <w:t xml:space="preserve">، والتعاون على تحسين مجموعة أدوات </w:t>
      </w:r>
      <w:r w:rsidRPr="004F4BA2">
        <w:rPr>
          <w:szCs w:val="22"/>
        </w:rPr>
        <w:t>WIPO Sequence Suite</w:t>
      </w:r>
      <w:r w:rsidRPr="004F4BA2">
        <w:rPr>
          <w:rFonts w:hint="cs"/>
          <w:szCs w:val="22"/>
          <w:rtl/>
        </w:rPr>
        <w:t xml:space="preserve"> أو تحديثها.</w:t>
      </w:r>
    </w:p>
    <w:p w14:paraId="55262F64" w14:textId="4CA42C64" w:rsidR="0086331D" w:rsidRPr="004F4BA2" w:rsidRDefault="0086331D" w:rsidP="0061472D">
      <w:pPr>
        <w:pStyle w:val="ONUMFS"/>
        <w:keepNext/>
        <w:bidi/>
        <w:rPr>
          <w:szCs w:val="22"/>
          <w:rtl/>
        </w:rPr>
      </w:pPr>
      <w:r w:rsidRPr="004F4BA2">
        <w:rPr>
          <w:rFonts w:hint="cs"/>
          <w:szCs w:val="22"/>
          <w:rtl/>
        </w:rPr>
        <w:t>وفي المقابل، سيكون المكتب الدولي مسؤولاً عما يلي:</w:t>
      </w:r>
    </w:p>
    <w:p w14:paraId="5EC75C24" w14:textId="77777777" w:rsidR="004F4BA2" w:rsidRPr="004F4BA2" w:rsidRDefault="0086331D" w:rsidP="0044021E">
      <w:pPr>
        <w:pStyle w:val="ONUME"/>
        <w:numPr>
          <w:ilvl w:val="0"/>
          <w:numId w:val="15"/>
        </w:numPr>
        <w:bidi/>
        <w:spacing w:after="120"/>
        <w:ind w:left="1134" w:hanging="567"/>
        <w:rPr>
          <w:szCs w:val="22"/>
          <w:rtl/>
        </w:rPr>
      </w:pPr>
      <w:r w:rsidRPr="004F4BA2">
        <w:rPr>
          <w:rFonts w:hint="cs"/>
          <w:szCs w:val="22"/>
          <w:rtl/>
        </w:rPr>
        <w:t xml:space="preserve">إدخال جميع التغييرات البرمجية على مجموعة أدوات </w:t>
      </w:r>
      <w:r w:rsidRPr="004F4BA2">
        <w:rPr>
          <w:szCs w:val="22"/>
        </w:rPr>
        <w:t>WIPO Sequence Suite</w:t>
      </w:r>
      <w:r w:rsidRPr="004F4BA2">
        <w:rPr>
          <w:rFonts w:hint="cs"/>
          <w:szCs w:val="22"/>
          <w:rtl/>
        </w:rPr>
        <w:t xml:space="preserve"> والتواصل مع المكتب عند توفر إصدارات جديدة؛</w:t>
      </w:r>
    </w:p>
    <w:p w14:paraId="67184145" w14:textId="77777777" w:rsidR="004F4BA2" w:rsidRPr="004F4BA2" w:rsidRDefault="0086331D" w:rsidP="0044021E">
      <w:pPr>
        <w:pStyle w:val="ONUME"/>
        <w:numPr>
          <w:ilvl w:val="0"/>
          <w:numId w:val="15"/>
        </w:numPr>
        <w:bidi/>
        <w:spacing w:after="120"/>
        <w:ind w:left="1134" w:hanging="567"/>
        <w:rPr>
          <w:szCs w:val="22"/>
          <w:rtl/>
        </w:rPr>
      </w:pPr>
      <w:r w:rsidRPr="004F4BA2">
        <w:rPr>
          <w:rFonts w:hint="cs"/>
          <w:szCs w:val="22"/>
          <w:rtl/>
        </w:rPr>
        <w:t>الاستجابة لطلبات المكتب للحصول على دعم من المستوى الثاني وما فوقها في الوقت المناسب عن طريق تقديم الردود المناسبة إلى المكتب باللغة الإنكليزية؛</w:t>
      </w:r>
    </w:p>
    <w:p w14:paraId="292AF827" w14:textId="2126C31F" w:rsidR="0086331D" w:rsidRPr="004F4BA2" w:rsidRDefault="0086331D" w:rsidP="0044021E">
      <w:pPr>
        <w:pStyle w:val="ONUME"/>
        <w:numPr>
          <w:ilvl w:val="0"/>
          <w:numId w:val="15"/>
        </w:numPr>
        <w:bidi/>
        <w:spacing w:after="120"/>
        <w:ind w:left="1134" w:hanging="567"/>
        <w:rPr>
          <w:szCs w:val="22"/>
          <w:rtl/>
        </w:rPr>
      </w:pPr>
      <w:r w:rsidRPr="004F4BA2">
        <w:rPr>
          <w:rFonts w:hint="cs"/>
          <w:szCs w:val="22"/>
          <w:rtl/>
        </w:rPr>
        <w:t>وضع إجراء لإدخال تحديثات وتحسينات منتظمة على البرمجيات، مع مراعاة الطلبات التي قد يقدمها المكتب لإدخال تغييرات على البرمجيات؛</w:t>
      </w:r>
    </w:p>
    <w:p w14:paraId="707EA8D0" w14:textId="377AA521" w:rsidR="0086331D" w:rsidRPr="004F4BA2" w:rsidRDefault="0086331D" w:rsidP="0044021E">
      <w:pPr>
        <w:pStyle w:val="ONUME"/>
        <w:numPr>
          <w:ilvl w:val="0"/>
          <w:numId w:val="15"/>
        </w:numPr>
        <w:bidi/>
        <w:spacing w:after="120"/>
        <w:ind w:left="1134" w:hanging="567"/>
        <w:rPr>
          <w:szCs w:val="22"/>
          <w:rtl/>
        </w:rPr>
      </w:pPr>
      <w:r w:rsidRPr="004F4BA2">
        <w:rPr>
          <w:rFonts w:hint="cs"/>
          <w:szCs w:val="22"/>
          <w:rtl/>
        </w:rPr>
        <w:t xml:space="preserve">تحديد إجراء لإصلاح العيوب في مجموعة أدوات </w:t>
      </w:r>
      <w:r w:rsidRPr="004F4BA2">
        <w:rPr>
          <w:szCs w:val="22"/>
        </w:rPr>
        <w:t>WIPO Sequence Suite</w:t>
      </w:r>
      <w:r w:rsidRPr="004F4BA2">
        <w:rPr>
          <w:rFonts w:hint="cs"/>
          <w:szCs w:val="22"/>
          <w:rtl/>
        </w:rPr>
        <w:t xml:space="preserve"> ضمن مهلة زمنية محددة مسبقاً؛</w:t>
      </w:r>
    </w:p>
    <w:p w14:paraId="24A7E35A" w14:textId="77777777" w:rsidR="004F4BA2" w:rsidRPr="004F4BA2" w:rsidRDefault="0086331D" w:rsidP="0044021E">
      <w:pPr>
        <w:pStyle w:val="ONUME"/>
        <w:numPr>
          <w:ilvl w:val="0"/>
          <w:numId w:val="15"/>
        </w:numPr>
        <w:bidi/>
        <w:ind w:left="1134" w:hanging="567"/>
        <w:rPr>
          <w:szCs w:val="22"/>
          <w:rtl/>
        </w:rPr>
      </w:pPr>
      <w:r w:rsidRPr="004F4BA2">
        <w:rPr>
          <w:rFonts w:hint="cs"/>
          <w:szCs w:val="22"/>
          <w:rtl/>
        </w:rPr>
        <w:t xml:space="preserve">وضع وقيادة المنتدى الخاص بأداة </w:t>
      </w:r>
      <w:r w:rsidRPr="004F4BA2">
        <w:rPr>
          <w:szCs w:val="22"/>
        </w:rPr>
        <w:t>WIPO Sequence</w:t>
      </w:r>
      <w:r w:rsidRPr="004F4BA2">
        <w:rPr>
          <w:rFonts w:hint="cs"/>
          <w:szCs w:val="22"/>
          <w:rtl/>
        </w:rPr>
        <w:t xml:space="preserve"> حيث يشارك خبراء المكتب في الحفاظ على قاعدة المعارف الخاصة بمجموعة أدوات </w:t>
      </w:r>
      <w:r w:rsidRPr="004F4BA2">
        <w:rPr>
          <w:szCs w:val="22"/>
        </w:rPr>
        <w:t>WIPO Sequence</w:t>
      </w:r>
      <w:r w:rsidRPr="004F4BA2">
        <w:rPr>
          <w:rFonts w:hint="cs"/>
          <w:szCs w:val="22"/>
          <w:rtl/>
        </w:rPr>
        <w:t xml:space="preserve"> ومعيار الويبو </w:t>
      </w:r>
      <w:r w:rsidRPr="004F4BA2">
        <w:rPr>
          <w:szCs w:val="22"/>
        </w:rPr>
        <w:t>ST.26</w:t>
      </w:r>
      <w:r w:rsidRPr="004F4BA2">
        <w:rPr>
          <w:rFonts w:hint="cs"/>
          <w:szCs w:val="22"/>
          <w:rtl/>
        </w:rPr>
        <w:t>.</w:t>
      </w:r>
    </w:p>
    <w:p w14:paraId="322964F5" w14:textId="4E72C978" w:rsidR="0086331D" w:rsidRPr="004F4BA2" w:rsidRDefault="0086331D" w:rsidP="004F4BA2">
      <w:pPr>
        <w:pStyle w:val="ONUMFS"/>
        <w:bidi/>
        <w:rPr>
          <w:szCs w:val="22"/>
          <w:rtl/>
        </w:rPr>
      </w:pPr>
      <w:r w:rsidRPr="004F4BA2">
        <w:rPr>
          <w:rFonts w:hint="cs"/>
          <w:szCs w:val="22"/>
          <w:rtl/>
        </w:rPr>
        <w:t>وتبلغ فرقة العمل لجنة المعايير بخطة عملها للفترة 2022-2023، وهي كما يلي:</w:t>
      </w:r>
    </w:p>
    <w:p w14:paraId="7912D3AE" w14:textId="2403A814" w:rsidR="0086331D" w:rsidRPr="0061472D" w:rsidRDefault="0086331D" w:rsidP="0061472D">
      <w:pPr>
        <w:pStyle w:val="ONUME"/>
        <w:numPr>
          <w:ilvl w:val="0"/>
          <w:numId w:val="11"/>
        </w:numPr>
        <w:bidi/>
        <w:ind w:left="1134" w:hanging="567"/>
        <w:rPr>
          <w:szCs w:val="22"/>
          <w:rtl/>
        </w:rPr>
      </w:pPr>
      <w:r w:rsidRPr="0061472D">
        <w:rPr>
          <w:rFonts w:hint="cs"/>
          <w:szCs w:val="22"/>
          <w:rtl/>
        </w:rPr>
        <w:t xml:space="preserve">الحصول على موافقة لجنة المعايير في دورتها العاشرة لإجراء المراجعة المقترحة لمعيار الويبو </w:t>
      </w:r>
      <w:r w:rsidRPr="0061472D">
        <w:rPr>
          <w:szCs w:val="22"/>
        </w:rPr>
        <w:t>ST.26</w:t>
      </w:r>
      <w:r w:rsidRPr="0061472D">
        <w:rPr>
          <w:rFonts w:hint="cs"/>
          <w:szCs w:val="22"/>
          <w:rtl/>
        </w:rPr>
        <w:t xml:space="preserve"> أي إعداد الإصدار 1.6؛</w:t>
      </w:r>
    </w:p>
    <w:p w14:paraId="624FC1C1" w14:textId="22B74354" w:rsidR="0086331D" w:rsidRPr="004F4BA2" w:rsidRDefault="0086331D" w:rsidP="0061472D">
      <w:pPr>
        <w:pStyle w:val="ONUME"/>
        <w:numPr>
          <w:ilvl w:val="0"/>
          <w:numId w:val="11"/>
        </w:numPr>
        <w:bidi/>
        <w:ind w:left="1134" w:hanging="567"/>
        <w:rPr>
          <w:szCs w:val="22"/>
          <w:rtl/>
        </w:rPr>
      </w:pPr>
      <w:r w:rsidRPr="004F4BA2">
        <w:rPr>
          <w:rFonts w:hint="cs"/>
          <w:szCs w:val="22"/>
          <w:rtl/>
        </w:rPr>
        <w:t xml:space="preserve">دعم المكتب الدولي بالاستمرار في المشاركة في تطوير واختبار مجموعة أدوات </w:t>
      </w:r>
      <w:r w:rsidRPr="004F4BA2">
        <w:rPr>
          <w:szCs w:val="22"/>
        </w:rPr>
        <w:t>WIPO Sequence Suite</w:t>
      </w:r>
      <w:r w:rsidRPr="004F4BA2">
        <w:rPr>
          <w:rFonts w:hint="cs"/>
          <w:szCs w:val="22"/>
          <w:rtl/>
        </w:rPr>
        <w:t xml:space="preserve">، وإعداد مواد أخرى متصلة بها مثل قاعدة المعارف أو معايير الويبو التي يدخل فيها معيار الويبو </w:t>
      </w:r>
      <w:r w:rsidRPr="004F4BA2">
        <w:rPr>
          <w:szCs w:val="22"/>
        </w:rPr>
        <w:t>ST.26</w:t>
      </w:r>
      <w:r w:rsidRPr="004F4BA2">
        <w:rPr>
          <w:rFonts w:hint="cs"/>
          <w:szCs w:val="22"/>
          <w:rtl/>
        </w:rPr>
        <w:t>؛</w:t>
      </w:r>
    </w:p>
    <w:p w14:paraId="28C8F995" w14:textId="77777777" w:rsidR="0086331D" w:rsidRPr="004F4BA2" w:rsidRDefault="0086331D" w:rsidP="0061472D">
      <w:pPr>
        <w:pStyle w:val="ONUME"/>
        <w:numPr>
          <w:ilvl w:val="0"/>
          <w:numId w:val="11"/>
        </w:numPr>
        <w:bidi/>
        <w:ind w:left="1134" w:hanging="567"/>
        <w:rPr>
          <w:szCs w:val="22"/>
          <w:rtl/>
        </w:rPr>
      </w:pPr>
      <w:r w:rsidRPr="004F4BA2">
        <w:rPr>
          <w:rFonts w:hint="cs"/>
          <w:szCs w:val="22"/>
          <w:rtl/>
        </w:rPr>
        <w:lastRenderedPageBreak/>
        <w:t xml:space="preserve">العمل على أي مراجعة أخرى لمعيار الويبو </w:t>
      </w:r>
      <w:r w:rsidRPr="004F4BA2">
        <w:rPr>
          <w:szCs w:val="22"/>
        </w:rPr>
        <w:t>ST.26</w:t>
      </w:r>
      <w:r w:rsidRPr="004F4BA2">
        <w:rPr>
          <w:rFonts w:hint="cs"/>
          <w:szCs w:val="22"/>
          <w:rtl/>
        </w:rPr>
        <w:t>، عند الاقتضاء، لزيادة تيسير تنفيذ المكاتب والمودعين لها إلى جانب الحفاظ على توافقها مع متطلبات قاعدة البيانات التعاونية الدولية لتسلسل النوويدات (</w:t>
      </w:r>
      <w:r w:rsidRPr="004F4BA2">
        <w:rPr>
          <w:szCs w:val="22"/>
        </w:rPr>
        <w:t>INSDC</w:t>
      </w:r>
      <w:r w:rsidRPr="004F4BA2">
        <w:rPr>
          <w:rFonts w:hint="cs"/>
          <w:szCs w:val="22"/>
          <w:rtl/>
        </w:rPr>
        <w:t>) وقاعدة البيانات العالمية للبروتينات (</w:t>
      </w:r>
      <w:r w:rsidRPr="004F4BA2">
        <w:rPr>
          <w:szCs w:val="22"/>
        </w:rPr>
        <w:t>UniProt</w:t>
      </w:r>
      <w:r w:rsidRPr="004F4BA2">
        <w:rPr>
          <w:rFonts w:hint="cs"/>
          <w:szCs w:val="22"/>
          <w:rtl/>
        </w:rPr>
        <w:t>).</w:t>
      </w:r>
    </w:p>
    <w:p w14:paraId="5A39CD6E" w14:textId="57C9B69B" w:rsidR="0086331D" w:rsidRPr="0061472D" w:rsidRDefault="00764A80" w:rsidP="0044021E">
      <w:pPr>
        <w:pStyle w:val="ONUMFS"/>
        <w:bidi/>
        <w:ind w:left="5528"/>
        <w:rPr>
          <w:i/>
          <w:iCs/>
          <w:szCs w:val="22"/>
          <w:rtl/>
        </w:rPr>
      </w:pPr>
      <w:r w:rsidRPr="0061472D">
        <w:rPr>
          <w:rFonts w:hint="cs"/>
          <w:i/>
          <w:iCs/>
          <w:szCs w:val="22"/>
          <w:rtl/>
        </w:rPr>
        <w:t>إن لجنة المعايير مدعوة إلى القيام بما يلي:</w:t>
      </w:r>
    </w:p>
    <w:p w14:paraId="6B190097" w14:textId="7C7C5906" w:rsidR="0086331D" w:rsidRPr="004F4BA2" w:rsidRDefault="0086331D" w:rsidP="0044021E">
      <w:pPr>
        <w:pStyle w:val="ListParagraph"/>
        <w:widowControl w:val="0"/>
        <w:numPr>
          <w:ilvl w:val="0"/>
          <w:numId w:val="10"/>
        </w:numPr>
        <w:autoSpaceDE w:val="0"/>
        <w:autoSpaceDN w:val="0"/>
        <w:bidi/>
        <w:spacing w:after="220"/>
        <w:ind w:left="5528" w:firstLine="0"/>
        <w:contextualSpacing w:val="0"/>
        <w:rPr>
          <w:i/>
          <w:iCs/>
          <w:szCs w:val="22"/>
          <w:rtl/>
        </w:rPr>
      </w:pPr>
      <w:r w:rsidRPr="004F4BA2">
        <w:rPr>
          <w:rFonts w:hint="cs"/>
          <w:i/>
          <w:iCs/>
          <w:szCs w:val="22"/>
          <w:rtl/>
        </w:rPr>
        <w:t>الإحاطة علماً بمضمون هذه الوثيقة، بما في ذلك خطة عمل فرقة العمل المعنية بقوائم التسلسل، على النحو المشار إليه في الفقرة 20 من هذه الوثيقة؛</w:t>
      </w:r>
    </w:p>
    <w:p w14:paraId="39388017" w14:textId="77777777" w:rsidR="0086331D" w:rsidRPr="004F4BA2" w:rsidRDefault="0086331D" w:rsidP="0044021E">
      <w:pPr>
        <w:pStyle w:val="ListParagraph"/>
        <w:widowControl w:val="0"/>
        <w:numPr>
          <w:ilvl w:val="0"/>
          <w:numId w:val="10"/>
        </w:numPr>
        <w:autoSpaceDE w:val="0"/>
        <w:autoSpaceDN w:val="0"/>
        <w:bidi/>
        <w:spacing w:after="220"/>
        <w:ind w:left="5528" w:firstLine="0"/>
        <w:contextualSpacing w:val="0"/>
        <w:rPr>
          <w:i/>
          <w:iCs/>
          <w:szCs w:val="22"/>
          <w:rtl/>
        </w:rPr>
      </w:pPr>
      <w:r w:rsidRPr="004F4BA2">
        <w:rPr>
          <w:rFonts w:hint="cs"/>
          <w:i/>
          <w:iCs/>
          <w:szCs w:val="22"/>
          <w:rtl/>
        </w:rPr>
        <w:t xml:space="preserve">وطلب دعم مكاتب الملكية الفكرية فيما يتعلق باستخدام مجموعة أدوات </w:t>
      </w:r>
      <w:r w:rsidRPr="004F4BA2">
        <w:rPr>
          <w:i/>
          <w:iCs/>
          <w:szCs w:val="22"/>
        </w:rPr>
        <w:t>WIPO Sequence Suite</w:t>
      </w:r>
      <w:r w:rsidRPr="004F4BA2">
        <w:rPr>
          <w:rFonts w:hint="cs"/>
          <w:i/>
          <w:iCs/>
          <w:szCs w:val="22"/>
          <w:rtl/>
        </w:rPr>
        <w:t xml:space="preserve"> على النحو المشار إليه في الفقرة 18 من هذه الوثيقة.</w:t>
      </w:r>
    </w:p>
    <w:p w14:paraId="4796C719" w14:textId="77777777" w:rsidR="0086331D" w:rsidRPr="004F4BA2" w:rsidRDefault="0086331D" w:rsidP="0044021E">
      <w:pPr>
        <w:pStyle w:val="BodyText"/>
        <w:bidi/>
        <w:rPr>
          <w:i/>
          <w:iCs/>
          <w:szCs w:val="22"/>
        </w:rPr>
      </w:pPr>
    </w:p>
    <w:p w14:paraId="7E60F4A0" w14:textId="77777777" w:rsidR="0086331D" w:rsidRPr="004F4BA2" w:rsidRDefault="0086331D" w:rsidP="0044021E">
      <w:pPr>
        <w:pStyle w:val="BodyText"/>
        <w:bidi/>
        <w:rPr>
          <w:i/>
          <w:iCs/>
          <w:szCs w:val="22"/>
        </w:rPr>
      </w:pPr>
    </w:p>
    <w:p w14:paraId="6895A990" w14:textId="77777777" w:rsidR="0086331D" w:rsidRPr="004F4BA2" w:rsidRDefault="0086331D" w:rsidP="0061472D">
      <w:pPr>
        <w:pStyle w:val="BodyText"/>
        <w:bidi/>
        <w:ind w:left="5528"/>
        <w:rPr>
          <w:szCs w:val="22"/>
          <w:rtl/>
        </w:rPr>
      </w:pPr>
      <w:r w:rsidRPr="004F4BA2">
        <w:rPr>
          <w:rFonts w:hint="cs"/>
          <w:szCs w:val="22"/>
          <w:rtl/>
        </w:rPr>
        <w:t>[نهاية الوثيقة]</w:t>
      </w:r>
    </w:p>
    <w:sectPr w:rsidR="0086331D" w:rsidRPr="004F4BA2" w:rsidSect="00BA1256">
      <w:headerReference w:type="default" r:id="rId13"/>
      <w:endnotePr>
        <w:numFmt w:val="decimal"/>
      </w:endnotePr>
      <w:pgSz w:w="11907" w:h="16840" w:code="9"/>
      <w:pgMar w:top="562" w:right="1138" w:bottom="1296"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CCA0F" w14:textId="77777777" w:rsidR="00173BAD" w:rsidRDefault="00173BAD">
      <w:r>
        <w:separator/>
      </w:r>
    </w:p>
  </w:endnote>
  <w:endnote w:type="continuationSeparator" w:id="0">
    <w:p w14:paraId="25DEDA13" w14:textId="77777777" w:rsidR="00173BAD" w:rsidRDefault="00173BAD" w:rsidP="003B38C1">
      <w:r>
        <w:separator/>
      </w:r>
    </w:p>
    <w:p w14:paraId="7160BFCD" w14:textId="77777777" w:rsidR="00173BAD" w:rsidRPr="003B38C1" w:rsidRDefault="00173BAD" w:rsidP="003B38C1">
      <w:pPr>
        <w:spacing w:after="60"/>
        <w:rPr>
          <w:sz w:val="17"/>
        </w:rPr>
      </w:pPr>
      <w:r>
        <w:rPr>
          <w:sz w:val="17"/>
        </w:rPr>
        <w:t>[Endnote continued from previous page]</w:t>
      </w:r>
    </w:p>
  </w:endnote>
  <w:endnote w:type="continuationNotice" w:id="1">
    <w:p w14:paraId="65F08008" w14:textId="77777777" w:rsidR="00173BAD" w:rsidRPr="003B38C1" w:rsidRDefault="00173B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102DA" w14:textId="77777777" w:rsidR="00173BAD" w:rsidRDefault="00173BAD" w:rsidP="0061472D">
      <w:pPr>
        <w:bidi/>
      </w:pPr>
      <w:r>
        <w:separator/>
      </w:r>
    </w:p>
  </w:footnote>
  <w:footnote w:type="continuationSeparator" w:id="0">
    <w:p w14:paraId="3BE1E04E" w14:textId="77777777" w:rsidR="00173BAD" w:rsidRDefault="00173BAD" w:rsidP="008B60B2">
      <w:r>
        <w:separator/>
      </w:r>
    </w:p>
    <w:p w14:paraId="6366F377" w14:textId="77777777" w:rsidR="00173BAD" w:rsidRPr="00ED77FB" w:rsidRDefault="00173BAD" w:rsidP="008B60B2">
      <w:pPr>
        <w:spacing w:after="60"/>
        <w:rPr>
          <w:sz w:val="17"/>
          <w:szCs w:val="17"/>
        </w:rPr>
      </w:pPr>
      <w:r w:rsidRPr="00ED77FB">
        <w:rPr>
          <w:sz w:val="17"/>
          <w:szCs w:val="17"/>
        </w:rPr>
        <w:t>[Footnote continued from previous page]</w:t>
      </w:r>
    </w:p>
  </w:footnote>
  <w:footnote w:type="continuationNotice" w:id="1">
    <w:p w14:paraId="5F33EDA6" w14:textId="77777777" w:rsidR="00173BAD" w:rsidRPr="00ED77FB" w:rsidRDefault="00173BAD" w:rsidP="008B60B2">
      <w:pPr>
        <w:spacing w:before="60"/>
        <w:jc w:val="right"/>
        <w:rPr>
          <w:sz w:val="17"/>
          <w:szCs w:val="17"/>
        </w:rPr>
      </w:pPr>
      <w:r w:rsidRPr="00ED77FB">
        <w:rPr>
          <w:sz w:val="17"/>
          <w:szCs w:val="17"/>
        </w:rPr>
        <w:t>[Footnote continued on next page]</w:t>
      </w:r>
    </w:p>
  </w:footnote>
  <w:footnote w:id="2">
    <w:p w14:paraId="4B22CC4C" w14:textId="7783C79B" w:rsidR="0086331D" w:rsidRPr="009A75E2" w:rsidRDefault="0086331D" w:rsidP="0061472D">
      <w:pPr>
        <w:pStyle w:val="FootnoteText"/>
        <w:bidi/>
        <w:rPr>
          <w:rtl/>
        </w:rPr>
      </w:pPr>
      <w:r w:rsidRPr="0061472D">
        <w:rPr>
          <w:rStyle w:val="FootnoteReference"/>
          <w:rtl/>
        </w:rPr>
        <w:footnoteRef/>
      </w:r>
      <w:r w:rsidR="0044021E">
        <w:rPr>
          <w:rFonts w:hint="cs"/>
          <w:rtl/>
        </w:rPr>
        <w:t xml:space="preserve"> </w:t>
      </w:r>
      <w:hyperlink r:id="rId1" w:history="1">
        <w:r>
          <w:rPr>
            <w:rStyle w:val="Hyperlink"/>
          </w:rPr>
          <w:t>https://www.wipo.int/standards/ar/sequence/index.html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04531" w14:textId="7E2BF9AB" w:rsidR="004F4BA2" w:rsidRPr="0054328D" w:rsidRDefault="004F4BA2" w:rsidP="004F4BA2">
    <w:pPr>
      <w:rPr>
        <w:caps/>
        <w:szCs w:val="22"/>
        <w:lang w:val="en-GB" w:bidi="ar-SA"/>
      </w:rPr>
    </w:pPr>
    <w:r w:rsidRPr="0054328D">
      <w:rPr>
        <w:caps/>
        <w:szCs w:val="22"/>
        <w:lang w:bidi="ar-SA"/>
      </w:rPr>
      <w:t>CWS/10/</w:t>
    </w:r>
    <w:r>
      <w:rPr>
        <w:caps/>
        <w:szCs w:val="22"/>
        <w:lang w:val="en-GB" w:bidi="ar-SA"/>
      </w:rPr>
      <w:t>12</w:t>
    </w:r>
  </w:p>
  <w:p w14:paraId="78DB17C7" w14:textId="12C23240" w:rsidR="004F4BA2" w:rsidRPr="0054328D" w:rsidRDefault="004F4BA2" w:rsidP="004F4BA2">
    <w:pPr>
      <w:rPr>
        <w:szCs w:val="22"/>
        <w:lang w:bidi="ar-SA"/>
      </w:rPr>
    </w:pPr>
    <w:r w:rsidRPr="0054328D">
      <w:rPr>
        <w:szCs w:val="22"/>
        <w:lang w:bidi="ar-SA"/>
      </w:rPr>
      <w:fldChar w:fldCharType="begin"/>
    </w:r>
    <w:r w:rsidRPr="0054328D">
      <w:rPr>
        <w:szCs w:val="22"/>
        <w:lang w:bidi="ar-SA"/>
      </w:rPr>
      <w:instrText xml:space="preserve"> PAGE  \* MERGEFORMAT </w:instrText>
    </w:r>
    <w:r w:rsidRPr="0054328D">
      <w:rPr>
        <w:szCs w:val="22"/>
        <w:lang w:bidi="ar-SA"/>
      </w:rPr>
      <w:fldChar w:fldCharType="separate"/>
    </w:r>
    <w:r w:rsidR="00527270">
      <w:rPr>
        <w:noProof/>
        <w:szCs w:val="22"/>
        <w:lang w:bidi="ar-SA"/>
      </w:rPr>
      <w:t>4</w:t>
    </w:r>
    <w:r w:rsidRPr="0054328D">
      <w:rPr>
        <w:szCs w:val="22"/>
        <w:lang w:bidi="ar-SA"/>
      </w:rPr>
      <w:fldChar w:fldCharType="end"/>
    </w:r>
  </w:p>
  <w:p w14:paraId="082C293A" w14:textId="77777777" w:rsidR="004F4BA2" w:rsidRPr="0054328D" w:rsidRDefault="004F4BA2" w:rsidP="004F4BA2">
    <w:pPr>
      <w:rPr>
        <w:szCs w:val="22"/>
        <w:lang w:bidi="ar-SA"/>
      </w:rPr>
    </w:pPr>
  </w:p>
  <w:p w14:paraId="4046FE67" w14:textId="77777777" w:rsidR="00D07C78" w:rsidRPr="004F4BA2" w:rsidRDefault="00D07C78" w:rsidP="004F4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846A7E"/>
    <w:multiLevelType w:val="hybridMultilevel"/>
    <w:tmpl w:val="78445DD8"/>
    <w:lvl w:ilvl="0" w:tplc="51603708">
      <w:start w:val="1"/>
      <w:numFmt w:val="bullet"/>
      <w:lvlText w:val=""/>
      <w:lvlJc w:val="left"/>
      <w:pPr>
        <w:ind w:left="720" w:hanging="360"/>
      </w:pPr>
      <w:rPr>
        <w:rFonts w:ascii="Symbol" w:hAnsi="Symbol" w:hint="default"/>
      </w:rPr>
    </w:lvl>
    <w:lvl w:ilvl="1" w:tplc="58F892A6">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FAC2A2E8"/>
    <w:lvl w:ilvl="0">
      <w:start w:val="1"/>
      <w:numFmt w:val="decimal"/>
      <w:lvlRestart w:val="0"/>
      <w:lvlText w:val="%1."/>
      <w:lvlJc w:val="left"/>
      <w:pPr>
        <w:tabs>
          <w:tab w:val="num" w:pos="567"/>
        </w:tabs>
        <w:ind w:left="0" w:firstLine="0"/>
      </w:pPr>
      <w:rPr>
        <w:rFonts w:hint="default"/>
      </w:rPr>
    </w:lvl>
    <w:lvl w:ilvl="1">
      <w:start w:val="1"/>
      <w:numFmt w:val="arabicAbjad"/>
      <w:lvlText w:val="(%2)"/>
      <w:lvlJc w:val="left"/>
      <w:pPr>
        <w:ind w:left="927"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262C3D"/>
    <w:multiLevelType w:val="hybridMultilevel"/>
    <w:tmpl w:val="DCAE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85400"/>
    <w:multiLevelType w:val="hybridMultilevel"/>
    <w:tmpl w:val="430C70FE"/>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5E23AC"/>
    <w:multiLevelType w:val="hybridMultilevel"/>
    <w:tmpl w:val="74706332"/>
    <w:lvl w:ilvl="0" w:tplc="E8F477D2">
      <w:start w:val="1"/>
      <w:numFmt w:val="arabicAbjad"/>
      <w:lvlText w:val="(%1)"/>
      <w:lvlJc w:val="left"/>
      <w:pPr>
        <w:ind w:left="5518" w:hanging="567"/>
      </w:pPr>
      <w:rPr>
        <w:rFonts w:hint="default"/>
        <w:i w:val="0"/>
        <w:iCs/>
        <w:spacing w:val="-1"/>
        <w:w w:val="100"/>
        <w:sz w:val="22"/>
        <w:szCs w:val="22"/>
      </w:rPr>
    </w:lvl>
    <w:lvl w:ilvl="1" w:tplc="C812D310">
      <w:numFmt w:val="bullet"/>
      <w:lvlText w:val="•"/>
      <w:lvlJc w:val="left"/>
      <w:pPr>
        <w:ind w:left="5936" w:hanging="567"/>
      </w:pPr>
      <w:rPr>
        <w:rFonts w:hint="default"/>
      </w:rPr>
    </w:lvl>
    <w:lvl w:ilvl="2" w:tplc="A4F61A28">
      <w:numFmt w:val="bullet"/>
      <w:lvlText w:val="•"/>
      <w:lvlJc w:val="left"/>
      <w:pPr>
        <w:ind w:left="6353" w:hanging="567"/>
      </w:pPr>
      <w:rPr>
        <w:rFonts w:hint="default"/>
      </w:rPr>
    </w:lvl>
    <w:lvl w:ilvl="3" w:tplc="ECF2B61C">
      <w:numFmt w:val="bullet"/>
      <w:lvlText w:val="•"/>
      <w:lvlJc w:val="left"/>
      <w:pPr>
        <w:ind w:left="6769" w:hanging="567"/>
      </w:pPr>
      <w:rPr>
        <w:rFonts w:hint="default"/>
      </w:rPr>
    </w:lvl>
    <w:lvl w:ilvl="4" w:tplc="04BCF12C">
      <w:numFmt w:val="bullet"/>
      <w:lvlText w:val="•"/>
      <w:lvlJc w:val="left"/>
      <w:pPr>
        <w:ind w:left="7186" w:hanging="567"/>
      </w:pPr>
      <w:rPr>
        <w:rFonts w:hint="default"/>
      </w:rPr>
    </w:lvl>
    <w:lvl w:ilvl="5" w:tplc="E708CF08">
      <w:numFmt w:val="bullet"/>
      <w:lvlText w:val="•"/>
      <w:lvlJc w:val="left"/>
      <w:pPr>
        <w:ind w:left="7603" w:hanging="567"/>
      </w:pPr>
      <w:rPr>
        <w:rFonts w:hint="default"/>
      </w:rPr>
    </w:lvl>
    <w:lvl w:ilvl="6" w:tplc="09CC2B86">
      <w:numFmt w:val="bullet"/>
      <w:lvlText w:val="•"/>
      <w:lvlJc w:val="left"/>
      <w:pPr>
        <w:ind w:left="8019" w:hanging="567"/>
      </w:pPr>
      <w:rPr>
        <w:rFonts w:hint="default"/>
      </w:rPr>
    </w:lvl>
    <w:lvl w:ilvl="7" w:tplc="1194B5BE">
      <w:numFmt w:val="bullet"/>
      <w:lvlText w:val="•"/>
      <w:lvlJc w:val="left"/>
      <w:pPr>
        <w:ind w:left="8436" w:hanging="567"/>
      </w:pPr>
      <w:rPr>
        <w:rFonts w:hint="default"/>
      </w:rPr>
    </w:lvl>
    <w:lvl w:ilvl="8" w:tplc="D4DC8090">
      <w:numFmt w:val="bullet"/>
      <w:lvlText w:val="•"/>
      <w:lvlJc w:val="left"/>
      <w:pPr>
        <w:ind w:left="8853" w:hanging="567"/>
      </w:pPr>
      <w:rPr>
        <w:rFonts w:hint="default"/>
      </w:rPr>
    </w:lvl>
  </w:abstractNum>
  <w:abstractNum w:abstractNumId="8" w15:restartNumberingAfterBreak="0">
    <w:nsid w:val="33E47CF7"/>
    <w:multiLevelType w:val="hybridMultilevel"/>
    <w:tmpl w:val="900C7E6E"/>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E3C7B"/>
    <w:multiLevelType w:val="hybridMultilevel"/>
    <w:tmpl w:val="46B639D6"/>
    <w:lvl w:ilvl="0" w:tplc="04090001">
      <w:start w:val="1"/>
      <w:numFmt w:val="bullet"/>
      <w:lvlText w:val=""/>
      <w:lvlJc w:val="left"/>
      <w:pPr>
        <w:ind w:left="720" w:hanging="360"/>
      </w:pPr>
      <w:rPr>
        <w:rFonts w:ascii="Symbol" w:hAnsi="Symbol" w:hint="default"/>
      </w:rPr>
    </w:lvl>
    <w:lvl w:ilvl="1" w:tplc="58F892A6">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8B5EF3"/>
    <w:multiLevelType w:val="hybridMultilevel"/>
    <w:tmpl w:val="396AFDB4"/>
    <w:lvl w:ilvl="0" w:tplc="A7E46E7E">
      <w:start w:val="1"/>
      <w:numFmt w:val="arabicAbjad"/>
      <w:lvlText w:val="(%1)"/>
      <w:lvlJc w:val="left"/>
      <w:pPr>
        <w:ind w:left="720" w:hanging="360"/>
      </w:pPr>
      <w:rPr>
        <w:rFonts w:hint="default"/>
        <w:i/>
        <w:iCs w:val="0"/>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2E4740"/>
    <w:multiLevelType w:val="hybridMultilevel"/>
    <w:tmpl w:val="4C94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AD6639"/>
    <w:multiLevelType w:val="hybridMultilevel"/>
    <w:tmpl w:val="C7E6552E"/>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71790657"/>
    <w:multiLevelType w:val="hybridMultilevel"/>
    <w:tmpl w:val="FFD2E234"/>
    <w:lvl w:ilvl="0" w:tplc="F51255DA">
      <w:start w:val="1"/>
      <w:numFmt w:val="lowerLetter"/>
      <w:lvlText w:val="(%1)"/>
      <w:lvlJc w:val="left"/>
      <w:pPr>
        <w:ind w:left="5530" w:firstLine="680"/>
      </w:pPr>
      <w:rPr>
        <w:rFonts w:ascii="Arial" w:eastAsia="SimSun" w:hAnsi="Arial" w:cs="Arial" w:hint="default"/>
      </w:rPr>
    </w:lvl>
    <w:lvl w:ilvl="1" w:tplc="04090019" w:tentative="1">
      <w:start w:val="1"/>
      <w:numFmt w:val="lowerLetter"/>
      <w:lvlText w:val="%2."/>
      <w:lvlJc w:val="left"/>
      <w:pPr>
        <w:ind w:left="10922" w:hanging="360"/>
      </w:pPr>
    </w:lvl>
    <w:lvl w:ilvl="2" w:tplc="0409001B" w:tentative="1">
      <w:start w:val="1"/>
      <w:numFmt w:val="lowerRoman"/>
      <w:lvlText w:val="%3."/>
      <w:lvlJc w:val="right"/>
      <w:pPr>
        <w:ind w:left="11642" w:hanging="180"/>
      </w:pPr>
    </w:lvl>
    <w:lvl w:ilvl="3" w:tplc="0409000F" w:tentative="1">
      <w:start w:val="1"/>
      <w:numFmt w:val="decimal"/>
      <w:lvlText w:val="%4."/>
      <w:lvlJc w:val="left"/>
      <w:pPr>
        <w:ind w:left="12362" w:hanging="360"/>
      </w:pPr>
    </w:lvl>
    <w:lvl w:ilvl="4" w:tplc="04090019" w:tentative="1">
      <w:start w:val="1"/>
      <w:numFmt w:val="lowerLetter"/>
      <w:lvlText w:val="%5."/>
      <w:lvlJc w:val="left"/>
      <w:pPr>
        <w:ind w:left="13082" w:hanging="360"/>
      </w:pPr>
    </w:lvl>
    <w:lvl w:ilvl="5" w:tplc="0409001B" w:tentative="1">
      <w:start w:val="1"/>
      <w:numFmt w:val="lowerRoman"/>
      <w:lvlText w:val="%6."/>
      <w:lvlJc w:val="right"/>
      <w:pPr>
        <w:ind w:left="13802" w:hanging="180"/>
      </w:pPr>
    </w:lvl>
    <w:lvl w:ilvl="6" w:tplc="0409000F" w:tentative="1">
      <w:start w:val="1"/>
      <w:numFmt w:val="decimal"/>
      <w:lvlText w:val="%7."/>
      <w:lvlJc w:val="left"/>
      <w:pPr>
        <w:ind w:left="14522" w:hanging="360"/>
      </w:pPr>
    </w:lvl>
    <w:lvl w:ilvl="7" w:tplc="04090019" w:tentative="1">
      <w:start w:val="1"/>
      <w:numFmt w:val="lowerLetter"/>
      <w:lvlText w:val="%8."/>
      <w:lvlJc w:val="left"/>
      <w:pPr>
        <w:ind w:left="15242" w:hanging="360"/>
      </w:pPr>
    </w:lvl>
    <w:lvl w:ilvl="8" w:tplc="0409001B" w:tentative="1">
      <w:start w:val="1"/>
      <w:numFmt w:val="lowerRoman"/>
      <w:lvlText w:val="%9."/>
      <w:lvlJc w:val="right"/>
      <w:pPr>
        <w:ind w:left="15962" w:hanging="180"/>
      </w:pPr>
    </w:lvl>
  </w:abstractNum>
  <w:num w:numId="1">
    <w:abstractNumId w:val="5"/>
  </w:num>
  <w:num w:numId="2">
    <w:abstractNumId w:val="10"/>
  </w:num>
  <w:num w:numId="3">
    <w:abstractNumId w:val="0"/>
  </w:num>
  <w:num w:numId="4">
    <w:abstractNumId w:val="11"/>
  </w:num>
  <w:num w:numId="5">
    <w:abstractNumId w:val="2"/>
  </w:num>
  <w:num w:numId="6">
    <w:abstractNumId w:val="6"/>
  </w:num>
  <w:num w:numId="7">
    <w:abstractNumId w:val="8"/>
  </w:num>
  <w:num w:numId="8">
    <w:abstractNumId w:val="4"/>
  </w:num>
  <w:num w:numId="9">
    <w:abstractNumId w:val="15"/>
  </w:num>
  <w:num w:numId="10">
    <w:abstractNumId w:val="7"/>
  </w:num>
  <w:num w:numId="11">
    <w:abstractNumId w:val="12"/>
  </w:num>
  <w:num w:numId="12">
    <w:abstractNumId w:val="9"/>
  </w:num>
  <w:num w:numId="13">
    <w:abstractNumId w:val="13"/>
  </w:num>
  <w:num w:numId="14">
    <w:abstractNumId w:val="3"/>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C7"/>
    <w:rsid w:val="0001008D"/>
    <w:rsid w:val="000168DE"/>
    <w:rsid w:val="00017696"/>
    <w:rsid w:val="00043CAA"/>
    <w:rsid w:val="000446E1"/>
    <w:rsid w:val="00056816"/>
    <w:rsid w:val="00065F20"/>
    <w:rsid w:val="00075432"/>
    <w:rsid w:val="000968ED"/>
    <w:rsid w:val="000A3D97"/>
    <w:rsid w:val="000A7B44"/>
    <w:rsid w:val="000E74AC"/>
    <w:rsid w:val="000F5E56"/>
    <w:rsid w:val="001124EE"/>
    <w:rsid w:val="00126310"/>
    <w:rsid w:val="00135D7C"/>
    <w:rsid w:val="001362EE"/>
    <w:rsid w:val="001542E3"/>
    <w:rsid w:val="001647D5"/>
    <w:rsid w:val="00173BAD"/>
    <w:rsid w:val="00173C22"/>
    <w:rsid w:val="001832A6"/>
    <w:rsid w:val="00184F23"/>
    <w:rsid w:val="001D4107"/>
    <w:rsid w:val="001F2623"/>
    <w:rsid w:val="00203D24"/>
    <w:rsid w:val="0021217E"/>
    <w:rsid w:val="00222566"/>
    <w:rsid w:val="00224A5B"/>
    <w:rsid w:val="002326AB"/>
    <w:rsid w:val="00236266"/>
    <w:rsid w:val="002365A1"/>
    <w:rsid w:val="00243430"/>
    <w:rsid w:val="002634C4"/>
    <w:rsid w:val="002928D3"/>
    <w:rsid w:val="002C2B1E"/>
    <w:rsid w:val="002F1FE6"/>
    <w:rsid w:val="002F3890"/>
    <w:rsid w:val="002F4118"/>
    <w:rsid w:val="002F4E68"/>
    <w:rsid w:val="00312F7F"/>
    <w:rsid w:val="00316AC6"/>
    <w:rsid w:val="00341CE0"/>
    <w:rsid w:val="00361450"/>
    <w:rsid w:val="00363B7B"/>
    <w:rsid w:val="003673CF"/>
    <w:rsid w:val="0037612C"/>
    <w:rsid w:val="003845C1"/>
    <w:rsid w:val="00395243"/>
    <w:rsid w:val="003A2D7C"/>
    <w:rsid w:val="003A6F89"/>
    <w:rsid w:val="003B1BAC"/>
    <w:rsid w:val="003B38C1"/>
    <w:rsid w:val="003C34E9"/>
    <w:rsid w:val="003E35B0"/>
    <w:rsid w:val="00423E3E"/>
    <w:rsid w:val="00427AF4"/>
    <w:rsid w:val="0044021E"/>
    <w:rsid w:val="004647DA"/>
    <w:rsid w:val="00470061"/>
    <w:rsid w:val="00474062"/>
    <w:rsid w:val="00475A47"/>
    <w:rsid w:val="00477D6B"/>
    <w:rsid w:val="004B06FC"/>
    <w:rsid w:val="004C0D1B"/>
    <w:rsid w:val="004F4BA2"/>
    <w:rsid w:val="005019FF"/>
    <w:rsid w:val="00522531"/>
    <w:rsid w:val="00527270"/>
    <w:rsid w:val="0053057A"/>
    <w:rsid w:val="00556076"/>
    <w:rsid w:val="00560A29"/>
    <w:rsid w:val="00570C1C"/>
    <w:rsid w:val="00577C36"/>
    <w:rsid w:val="00581128"/>
    <w:rsid w:val="00592780"/>
    <w:rsid w:val="005C6649"/>
    <w:rsid w:val="00605827"/>
    <w:rsid w:val="0061472D"/>
    <w:rsid w:val="00646050"/>
    <w:rsid w:val="006713CA"/>
    <w:rsid w:val="00676C5C"/>
    <w:rsid w:val="00676FB4"/>
    <w:rsid w:val="006B4FE1"/>
    <w:rsid w:val="006D7667"/>
    <w:rsid w:val="006E4F82"/>
    <w:rsid w:val="00720EFD"/>
    <w:rsid w:val="00764A80"/>
    <w:rsid w:val="007820F7"/>
    <w:rsid w:val="007854AF"/>
    <w:rsid w:val="00793A7C"/>
    <w:rsid w:val="007A089D"/>
    <w:rsid w:val="007A1A18"/>
    <w:rsid w:val="007A398A"/>
    <w:rsid w:val="007B62EA"/>
    <w:rsid w:val="007D1613"/>
    <w:rsid w:val="007E4C0E"/>
    <w:rsid w:val="007F073F"/>
    <w:rsid w:val="00801B7C"/>
    <w:rsid w:val="00810E17"/>
    <w:rsid w:val="0081229E"/>
    <w:rsid w:val="0082055C"/>
    <w:rsid w:val="0083276C"/>
    <w:rsid w:val="00846CF6"/>
    <w:rsid w:val="0086331D"/>
    <w:rsid w:val="008A134B"/>
    <w:rsid w:val="008A2957"/>
    <w:rsid w:val="008B2CC1"/>
    <w:rsid w:val="008B60B2"/>
    <w:rsid w:val="0090731E"/>
    <w:rsid w:val="00916EE2"/>
    <w:rsid w:val="00920C40"/>
    <w:rsid w:val="00940330"/>
    <w:rsid w:val="00952B65"/>
    <w:rsid w:val="00954009"/>
    <w:rsid w:val="00955266"/>
    <w:rsid w:val="00957056"/>
    <w:rsid w:val="00960A12"/>
    <w:rsid w:val="00965D39"/>
    <w:rsid w:val="00966A22"/>
    <w:rsid w:val="0096722F"/>
    <w:rsid w:val="00971447"/>
    <w:rsid w:val="00980843"/>
    <w:rsid w:val="009B0BE4"/>
    <w:rsid w:val="009B63AA"/>
    <w:rsid w:val="009C3CDD"/>
    <w:rsid w:val="009E2791"/>
    <w:rsid w:val="009E3F6F"/>
    <w:rsid w:val="009F499F"/>
    <w:rsid w:val="00A37342"/>
    <w:rsid w:val="00A42DAF"/>
    <w:rsid w:val="00A44E43"/>
    <w:rsid w:val="00A45BD8"/>
    <w:rsid w:val="00A4658C"/>
    <w:rsid w:val="00A47C30"/>
    <w:rsid w:val="00A65034"/>
    <w:rsid w:val="00A8142E"/>
    <w:rsid w:val="00A869B7"/>
    <w:rsid w:val="00A90F0A"/>
    <w:rsid w:val="00AB602E"/>
    <w:rsid w:val="00AC205C"/>
    <w:rsid w:val="00AF0A6B"/>
    <w:rsid w:val="00B05A69"/>
    <w:rsid w:val="00B240C7"/>
    <w:rsid w:val="00B355B6"/>
    <w:rsid w:val="00B42BE3"/>
    <w:rsid w:val="00B442D7"/>
    <w:rsid w:val="00B44CDD"/>
    <w:rsid w:val="00B75281"/>
    <w:rsid w:val="00B86C0D"/>
    <w:rsid w:val="00B87A92"/>
    <w:rsid w:val="00B92F1F"/>
    <w:rsid w:val="00B9734B"/>
    <w:rsid w:val="00B97472"/>
    <w:rsid w:val="00BA1256"/>
    <w:rsid w:val="00BA30E2"/>
    <w:rsid w:val="00BC7238"/>
    <w:rsid w:val="00BE7036"/>
    <w:rsid w:val="00BF3D54"/>
    <w:rsid w:val="00C11BFE"/>
    <w:rsid w:val="00C33217"/>
    <w:rsid w:val="00C5068F"/>
    <w:rsid w:val="00C50E2D"/>
    <w:rsid w:val="00C63E6B"/>
    <w:rsid w:val="00C86D74"/>
    <w:rsid w:val="00CD04F1"/>
    <w:rsid w:val="00CF681A"/>
    <w:rsid w:val="00D02BB3"/>
    <w:rsid w:val="00D07C78"/>
    <w:rsid w:val="00D33640"/>
    <w:rsid w:val="00D45252"/>
    <w:rsid w:val="00D55EC5"/>
    <w:rsid w:val="00D64002"/>
    <w:rsid w:val="00D71B4D"/>
    <w:rsid w:val="00D9251F"/>
    <w:rsid w:val="00D93D55"/>
    <w:rsid w:val="00DA4116"/>
    <w:rsid w:val="00DD2276"/>
    <w:rsid w:val="00DD7B7F"/>
    <w:rsid w:val="00E15015"/>
    <w:rsid w:val="00E335FE"/>
    <w:rsid w:val="00E37B28"/>
    <w:rsid w:val="00E45755"/>
    <w:rsid w:val="00E4651C"/>
    <w:rsid w:val="00E47661"/>
    <w:rsid w:val="00E55A68"/>
    <w:rsid w:val="00E85F20"/>
    <w:rsid w:val="00E87C31"/>
    <w:rsid w:val="00EA10A2"/>
    <w:rsid w:val="00EA204D"/>
    <w:rsid w:val="00EA21F3"/>
    <w:rsid w:val="00EA7D6E"/>
    <w:rsid w:val="00EB2F76"/>
    <w:rsid w:val="00EC4E49"/>
    <w:rsid w:val="00ED77FB"/>
    <w:rsid w:val="00EE09E1"/>
    <w:rsid w:val="00EE0F3E"/>
    <w:rsid w:val="00EE45FA"/>
    <w:rsid w:val="00F01A9B"/>
    <w:rsid w:val="00F03064"/>
    <w:rsid w:val="00F043DE"/>
    <w:rsid w:val="00F66152"/>
    <w:rsid w:val="00F80C43"/>
    <w:rsid w:val="00F9165B"/>
    <w:rsid w:val="00FB2DEB"/>
    <w:rsid w:val="00FC482F"/>
    <w:rsid w:val="00FC7B2A"/>
    <w:rsid w:val="00FD3D6A"/>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62AAD"/>
  <w15:docId w15:val="{5110927A-CBFD-4410-BD52-01E081AF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Calibri"/>
        <w:lang w:val="fr-CH" w:eastAsia="fr-CH" w:bidi="ar-EG"/>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BE7036"/>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BE7036"/>
    <w:rPr>
      <w:rFonts w:ascii="Arial" w:eastAsia="SimSun" w:hAnsi="Arial" w:cs="Calibri"/>
      <w:bCs/>
      <w:iCs/>
      <w:caps/>
      <w:sz w:val="22"/>
      <w:szCs w:val="28"/>
      <w:lang w:val="en-US" w:eastAsia="zh-CN"/>
    </w:rPr>
  </w:style>
  <w:style w:type="character" w:styleId="FootnoteReference">
    <w:name w:val="footnote reference"/>
    <w:rsid w:val="00B240C7"/>
    <w:rPr>
      <w:vertAlign w:val="superscript"/>
    </w:rPr>
  </w:style>
  <w:style w:type="paragraph" w:customStyle="1" w:styleId="Endofdocument">
    <w:name w:val="End of document"/>
    <w:basedOn w:val="Normal"/>
    <w:rsid w:val="00B240C7"/>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B240C7"/>
    <w:rPr>
      <w:rFonts w:ascii="Arial" w:eastAsia="SimSun" w:hAnsi="Arial" w:cs="Calibri"/>
      <w:sz w:val="22"/>
      <w:lang w:val="en-US" w:eastAsia="zh-CN"/>
    </w:rPr>
  </w:style>
  <w:style w:type="character" w:customStyle="1" w:styleId="ONUMEChar">
    <w:name w:val="ONUM E Char"/>
    <w:basedOn w:val="DefaultParagraphFont"/>
    <w:link w:val="ONUME"/>
    <w:rsid w:val="00971447"/>
    <w:rPr>
      <w:rFonts w:ascii="Arial" w:eastAsia="SimSun" w:hAnsi="Arial" w:cs="Calibri"/>
      <w:sz w:val="22"/>
      <w:lang w:val="en-US" w:eastAsia="zh-CN"/>
    </w:rPr>
  </w:style>
  <w:style w:type="paragraph" w:styleId="ListParagraph">
    <w:name w:val="List Paragraph"/>
    <w:basedOn w:val="Normal"/>
    <w:uiPriority w:val="99"/>
    <w:qFormat/>
    <w:rsid w:val="00971447"/>
    <w:pPr>
      <w:ind w:left="720"/>
      <w:contextualSpacing/>
    </w:pPr>
    <w:rPr>
      <w:rFonts w:eastAsia="Times New Roman"/>
      <w:lang w:eastAsia="en-US"/>
    </w:rPr>
  </w:style>
  <w:style w:type="table" w:styleId="TableGrid">
    <w:name w:val="Table Grid"/>
    <w:basedOn w:val="TableNormal"/>
    <w:rsid w:val="0097144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71447"/>
    <w:rPr>
      <w:sz w:val="16"/>
      <w:szCs w:val="16"/>
    </w:rPr>
  </w:style>
  <w:style w:type="character" w:customStyle="1" w:styleId="CommentTextChar">
    <w:name w:val="Comment Text Char"/>
    <w:basedOn w:val="DefaultParagraphFont"/>
    <w:link w:val="CommentText"/>
    <w:semiHidden/>
    <w:rsid w:val="00971447"/>
    <w:rPr>
      <w:rFonts w:ascii="Arial" w:eastAsia="SimSun" w:hAnsi="Arial" w:cs="Calibri"/>
      <w:sz w:val="18"/>
      <w:lang w:val="en-US" w:eastAsia="zh-CN"/>
    </w:rPr>
  </w:style>
  <w:style w:type="character" w:styleId="Hyperlink">
    <w:name w:val="Hyperlink"/>
    <w:basedOn w:val="DefaultParagraphFont"/>
    <w:unhideWhenUsed/>
    <w:rsid w:val="00971447"/>
    <w:rPr>
      <w:color w:val="0000FF" w:themeColor="hyperlink"/>
      <w:u w:val="single"/>
    </w:rPr>
  </w:style>
  <w:style w:type="paragraph" w:styleId="BalloonText">
    <w:name w:val="Balloon Text"/>
    <w:basedOn w:val="Normal"/>
    <w:link w:val="BalloonTextChar"/>
    <w:semiHidden/>
    <w:unhideWhenUsed/>
    <w:rsid w:val="00971447"/>
    <w:rPr>
      <w:rFonts w:ascii="Segoe UI" w:hAnsi="Segoe UI"/>
      <w:sz w:val="18"/>
      <w:szCs w:val="18"/>
    </w:rPr>
  </w:style>
  <w:style w:type="character" w:customStyle="1" w:styleId="BalloonTextChar">
    <w:name w:val="Balloon Text Char"/>
    <w:basedOn w:val="DefaultParagraphFont"/>
    <w:link w:val="BalloonText"/>
    <w:semiHidden/>
    <w:rsid w:val="00971447"/>
    <w:rPr>
      <w:rFonts w:ascii="Segoe UI" w:eastAsia="SimSun" w:hAnsi="Segoe UI" w:cs="Calibri"/>
      <w:sz w:val="18"/>
      <w:szCs w:val="18"/>
      <w:lang w:val="en-US" w:eastAsia="zh-CN"/>
    </w:rPr>
  </w:style>
  <w:style w:type="paragraph" w:styleId="CommentSubject">
    <w:name w:val="annotation subject"/>
    <w:basedOn w:val="CommentText"/>
    <w:next w:val="CommentText"/>
    <w:link w:val="CommentSubjectChar"/>
    <w:semiHidden/>
    <w:unhideWhenUsed/>
    <w:rsid w:val="00FD3D6A"/>
    <w:rPr>
      <w:b/>
      <w:bCs/>
      <w:sz w:val="20"/>
    </w:rPr>
  </w:style>
  <w:style w:type="character" w:customStyle="1" w:styleId="CommentSubjectChar">
    <w:name w:val="Comment Subject Char"/>
    <w:basedOn w:val="CommentTextChar"/>
    <w:link w:val="CommentSubject"/>
    <w:semiHidden/>
    <w:rsid w:val="00FD3D6A"/>
    <w:rPr>
      <w:rFonts w:ascii="Arial" w:eastAsia="SimSun" w:hAnsi="Arial" w:cs="Calibri"/>
      <w:b/>
      <w:bCs/>
      <w:sz w:val="18"/>
      <w:lang w:val="en-US" w:eastAsia="zh-CN"/>
    </w:rPr>
  </w:style>
  <w:style w:type="character" w:styleId="FollowedHyperlink">
    <w:name w:val="FollowedHyperlink"/>
    <w:basedOn w:val="DefaultParagraphFont"/>
    <w:semiHidden/>
    <w:unhideWhenUsed/>
    <w:rsid w:val="00BF3D54"/>
    <w:rPr>
      <w:color w:val="800080" w:themeColor="followedHyperlink"/>
      <w:u w:val="single"/>
    </w:rPr>
  </w:style>
  <w:style w:type="character" w:customStyle="1" w:styleId="Heading1Char">
    <w:name w:val="Heading 1 Char"/>
    <w:basedOn w:val="DefaultParagraphFont"/>
    <w:link w:val="Heading1"/>
    <w:uiPriority w:val="99"/>
    <w:locked/>
    <w:rsid w:val="0086331D"/>
    <w:rPr>
      <w:rFonts w:ascii="Arial" w:eastAsia="SimSun" w:hAnsi="Arial" w:cs="Calibri"/>
      <w:b/>
      <w:bCs/>
      <w:caps/>
      <w:kern w:val="32"/>
      <w:sz w:val="22"/>
      <w:szCs w:val="32"/>
      <w:lang w:val="en-US" w:eastAsia="zh-CN"/>
    </w:rPr>
  </w:style>
  <w:style w:type="character" w:customStyle="1" w:styleId="UnresolvedMention">
    <w:name w:val="Unresolved Mention"/>
    <w:basedOn w:val="DefaultParagraphFont"/>
    <w:uiPriority w:val="99"/>
    <w:semiHidden/>
    <w:unhideWhenUsed/>
    <w:rsid w:val="00614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27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iposequence@wipo.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standards/ar/sequenc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C543A-97E4-4AD5-B2F3-A987B5EE6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1345</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CWS/10/12 (Arabic)</vt:lpstr>
    </vt:vector>
  </TitlesOfParts>
  <Company>WIPO</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CWS/10/12 (Arabic)</dc:title>
  <dc:subject>تقرير فرقة العمل المعنية بقوائم التسلسل</dc:subject>
  <dc:creator>WIPO</dc:creator>
  <cp:keywords>FOR OFFICIAL USE ONLY</cp:keywords>
  <cp:lastModifiedBy>YOUSSEF Randa</cp:lastModifiedBy>
  <cp:revision>3</cp:revision>
  <cp:lastPrinted>2022-09-15T12:01:00Z</cp:lastPrinted>
  <dcterms:created xsi:type="dcterms:W3CDTF">2022-09-15T12:01:00Z</dcterms:created>
  <dcterms:modified xsi:type="dcterms:W3CDTF">2022-09-15T12:01:00Z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de5a6129-51c6-4ec0-a3ff-e193b00bc12b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