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9C09" w14:textId="77777777" w:rsidR="004D7119" w:rsidRPr="007E4257" w:rsidRDefault="004D7119" w:rsidP="004D7119">
      <w:pPr>
        <w:jc w:val="right"/>
        <w:rPr>
          <w:rFonts w:ascii="Arial Black" w:hAnsi="Arial Black"/>
          <w:caps/>
          <w:sz w:val="15"/>
        </w:rPr>
      </w:pPr>
      <w:r w:rsidRPr="000A200F">
        <w:rPr>
          <w:rFonts w:cs="Times New Roman"/>
          <w:noProof/>
        </w:rPr>
        <w:drawing>
          <wp:inline distT="0" distB="0" distL="0" distR="0" wp14:anchorId="0BA2B45D" wp14:editId="7BEDFBC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22C45B" w14:textId="2A914406" w:rsidR="004D7119" w:rsidRPr="007E4257" w:rsidRDefault="004D7119" w:rsidP="004D711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11</w:t>
      </w:r>
    </w:p>
    <w:bookmarkEnd w:id="0"/>
    <w:p w14:paraId="0BD3D504" w14:textId="77777777" w:rsidR="004D7119" w:rsidRPr="007E4257" w:rsidRDefault="004D7119" w:rsidP="004D7119">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89FBAF7" w14:textId="5EBDCD48" w:rsidR="004D7119" w:rsidRPr="007E4257" w:rsidRDefault="004D7119" w:rsidP="004D7119">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Pr>
          <w:rFonts w:ascii="Arial Black" w:eastAsia="SimHei" w:hAnsi="Arial Black" w:hint="eastAsia"/>
          <w:b/>
          <w:sz w:val="15"/>
          <w:szCs w:val="15"/>
          <w:lang w:val="pt-BR"/>
        </w:rPr>
        <w:t>3</w:t>
      </w:r>
      <w:r w:rsidRPr="007E4257">
        <w:rPr>
          <w:rFonts w:ascii="SimHei" w:eastAsia="SimHei" w:hAnsi="Times New Roman" w:hint="eastAsia"/>
          <w:b/>
          <w:sz w:val="15"/>
          <w:szCs w:val="15"/>
        </w:rPr>
        <w:t>日</w:t>
      </w:r>
      <w:bookmarkEnd w:id="2"/>
    </w:p>
    <w:p w14:paraId="02D47EA2" w14:textId="77777777" w:rsidR="004D7119" w:rsidRPr="007E4257" w:rsidRDefault="004D7119" w:rsidP="004D7119">
      <w:pPr>
        <w:spacing w:after="600"/>
        <w:rPr>
          <w:rFonts w:ascii="SimHei" w:eastAsia="SimHei"/>
          <w:sz w:val="28"/>
          <w:szCs w:val="28"/>
        </w:rPr>
      </w:pPr>
      <w:r w:rsidRPr="003C0CD0">
        <w:rPr>
          <w:rFonts w:ascii="SimHei" w:eastAsia="SimHei" w:hint="eastAsia"/>
          <w:sz w:val="28"/>
          <w:szCs w:val="28"/>
        </w:rPr>
        <w:t>版权及相关权常设委员会</w:t>
      </w:r>
    </w:p>
    <w:p w14:paraId="2D0ACBB8" w14:textId="77777777" w:rsidR="004D7119" w:rsidRPr="007E4257" w:rsidRDefault="004D7119" w:rsidP="004D7119">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sz w:val="24"/>
          <w:szCs w:val="24"/>
        </w:rPr>
        <w:t>1</w:t>
      </w:r>
      <w:r>
        <w:rPr>
          <w:rFonts w:ascii="KaiTi" w:eastAsia="KaiTi" w:hAnsi="KaiTi" w:hint="eastAsia"/>
          <w:sz w:val="24"/>
          <w:szCs w:val="24"/>
        </w:rPr>
        <w:t>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12361489" w14:textId="24EF67AB" w:rsidR="004D7119" w:rsidRPr="007E4257" w:rsidRDefault="004D7119" w:rsidP="004D7119">
      <w:pPr>
        <w:spacing w:after="360"/>
        <w:rPr>
          <w:rFonts w:ascii="KaiTi" w:eastAsia="KaiTi" w:hAnsi="KaiTi" w:cs="Times New Roman"/>
          <w:sz w:val="24"/>
          <w:szCs w:val="32"/>
        </w:rPr>
      </w:pPr>
      <w:bookmarkStart w:id="3" w:name="TitleOfDoc"/>
      <w:r w:rsidRPr="004D7119">
        <w:rPr>
          <w:rFonts w:ascii="KaiTi" w:eastAsia="KaiTi" w:hAnsi="KaiTi" w:cs="Times New Roman" w:hint="eastAsia"/>
          <w:sz w:val="24"/>
          <w:szCs w:val="32"/>
        </w:rPr>
        <w:t>关于研究创意产业对成员国经济增长影响的提案</w:t>
      </w:r>
    </w:p>
    <w:p w14:paraId="3FBE8936" w14:textId="77777777" w:rsidR="004D7119" w:rsidRPr="000A200F" w:rsidRDefault="004D7119" w:rsidP="004D7119">
      <w:pPr>
        <w:spacing w:after="960"/>
        <w:rPr>
          <w:rFonts w:ascii="KaiTi" w:eastAsia="KaiTi" w:hAnsi="STKaiti" w:cs="Times New Roman"/>
          <w:szCs w:val="24"/>
        </w:rPr>
      </w:pPr>
      <w:bookmarkStart w:id="4" w:name="Prepared"/>
      <w:bookmarkEnd w:id="3"/>
      <w:r w:rsidRPr="000A200F">
        <w:rPr>
          <w:rFonts w:ascii="KaiTi" w:eastAsia="KaiTi" w:hAnsi="STKaiti" w:cs="Times New Roman" w:hint="eastAsia"/>
          <w:szCs w:val="24"/>
        </w:rPr>
        <w:t>美利坚合众国代表团编拟</w:t>
      </w:r>
    </w:p>
    <w:bookmarkEnd w:id="4"/>
    <w:p w14:paraId="18D428EE" w14:textId="095CC983" w:rsidR="00CE41A1" w:rsidRPr="000C68D3" w:rsidRDefault="00CE41A1">
      <w:pPr>
        <w:rPr>
          <w:rFonts w:ascii="SimSun" w:hAnsi="SimSun"/>
        </w:rPr>
      </w:pPr>
      <w:r w:rsidRPr="000C68D3">
        <w:rPr>
          <w:rFonts w:ascii="SimSun" w:hAnsi="SimSun"/>
        </w:rPr>
        <w:br w:type="page"/>
      </w:r>
    </w:p>
    <w:p w14:paraId="6FC7E365" w14:textId="74450349" w:rsidR="00CE41A1" w:rsidRPr="002452A3" w:rsidRDefault="00477E7C"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szCs w:val="22"/>
        </w:rPr>
        <w:lastRenderedPageBreak/>
        <w:t>美利坚合众国请秘书处开展一项研究，调查在强有力</w:t>
      </w:r>
      <w:r w:rsidR="00D82DA2" w:rsidRPr="002452A3">
        <w:rPr>
          <w:rFonts w:ascii="SimSun" w:hAnsi="SimSun" w:cs="Times New Roman"/>
          <w:szCs w:val="22"/>
        </w:rPr>
        <w:t>的</w:t>
      </w:r>
      <w:r w:rsidRPr="002452A3">
        <w:rPr>
          <w:rFonts w:ascii="SimSun" w:hAnsi="SimSun" w:cs="Times New Roman"/>
          <w:szCs w:val="22"/>
        </w:rPr>
        <w:t>版权保护和有效执法支持下</w:t>
      </w:r>
      <w:r w:rsidR="00B650AC" w:rsidRPr="002452A3">
        <w:rPr>
          <w:rFonts w:ascii="SimSun" w:hAnsi="SimSun" w:cs="Times New Roman"/>
          <w:szCs w:val="22"/>
        </w:rPr>
        <w:t>，</w:t>
      </w:r>
      <w:r w:rsidRPr="002452A3">
        <w:rPr>
          <w:rFonts w:ascii="SimSun" w:hAnsi="SimSun" w:cs="Times New Roman"/>
          <w:szCs w:val="22"/>
        </w:rPr>
        <w:t>创意产业对成员国经济增长的影响。</w:t>
      </w:r>
    </w:p>
    <w:p w14:paraId="54B0FB4D" w14:textId="2E59C172" w:rsidR="00CE41A1" w:rsidRPr="002452A3" w:rsidRDefault="00B650AC" w:rsidP="000C68D3">
      <w:pPr>
        <w:keepNext/>
        <w:spacing w:beforeLines="100" w:before="240" w:afterLines="50" w:after="120" w:line="340" w:lineRule="atLeast"/>
        <w:rPr>
          <w:rFonts w:ascii="SimSun" w:hAnsi="SimSun" w:cs="Times New Roman"/>
          <w:b/>
          <w:bCs/>
          <w:szCs w:val="22"/>
          <w:u w:val="single"/>
        </w:rPr>
      </w:pPr>
      <w:r w:rsidRPr="002452A3">
        <w:rPr>
          <w:rFonts w:ascii="SimSun" w:hAnsi="SimSun" w:cs="Times New Roman"/>
          <w:b/>
          <w:bCs/>
          <w:szCs w:val="22"/>
          <w:u w:val="single"/>
        </w:rPr>
        <w:t>背景</w:t>
      </w:r>
    </w:p>
    <w:p w14:paraId="7EC769B0" w14:textId="6F33550A" w:rsidR="00CE41A1" w:rsidRPr="002452A3" w:rsidRDefault="00B33641"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szCs w:val="22"/>
        </w:rPr>
        <w:t>经济研究和报告、案例研究及其他数据一致表明，</w:t>
      </w:r>
      <w:r w:rsidR="009F2B8F" w:rsidRPr="002452A3">
        <w:rPr>
          <w:rFonts w:ascii="SimSun" w:hAnsi="SimSun" w:cs="Times New Roman"/>
          <w:szCs w:val="22"/>
        </w:rPr>
        <w:t>创意产业，</w:t>
      </w:r>
      <w:r w:rsidRPr="002452A3">
        <w:rPr>
          <w:rFonts w:ascii="SimSun" w:hAnsi="SimSun" w:cs="Times New Roman"/>
          <w:szCs w:val="22"/>
        </w:rPr>
        <w:t>包括</w:t>
      </w:r>
      <w:r w:rsidR="009F2B8F" w:rsidRPr="002452A3">
        <w:rPr>
          <w:rFonts w:ascii="SimSun" w:hAnsi="SimSun" w:cs="Times New Roman"/>
          <w:szCs w:val="22"/>
        </w:rPr>
        <w:t>在</w:t>
      </w:r>
      <w:r w:rsidRPr="002452A3">
        <w:rPr>
          <w:rFonts w:ascii="SimSun" w:hAnsi="SimSun" w:cs="Times New Roman"/>
          <w:szCs w:val="22"/>
        </w:rPr>
        <w:t>数字环境</w:t>
      </w:r>
      <w:r w:rsidR="007E3959" w:rsidRPr="002452A3">
        <w:rPr>
          <w:rFonts w:ascii="SimSun" w:hAnsi="SimSun" w:cs="Times New Roman"/>
          <w:szCs w:val="22"/>
        </w:rPr>
        <w:t>中</w:t>
      </w:r>
      <w:r w:rsidR="000D1AF3" w:rsidRPr="002452A3">
        <w:rPr>
          <w:rFonts w:ascii="SimSun" w:hAnsi="SimSun" w:cs="Times New Roman"/>
          <w:szCs w:val="22"/>
        </w:rPr>
        <w:t>的产业</w:t>
      </w:r>
      <w:r w:rsidRPr="002452A3">
        <w:rPr>
          <w:rFonts w:ascii="SimSun" w:hAnsi="SimSun" w:cs="Times New Roman"/>
          <w:szCs w:val="22"/>
        </w:rPr>
        <w:t>，</w:t>
      </w:r>
      <w:r w:rsidR="00E17191" w:rsidRPr="002452A3">
        <w:rPr>
          <w:rFonts w:ascii="SimSun" w:hAnsi="SimSun" w:cs="Times New Roman" w:hint="eastAsia"/>
          <w:szCs w:val="22"/>
        </w:rPr>
        <w:t>显著促进了</w:t>
      </w:r>
      <w:r w:rsidRPr="002452A3">
        <w:rPr>
          <w:rFonts w:ascii="SimSun" w:hAnsi="SimSun" w:cs="Times New Roman"/>
          <w:szCs w:val="22"/>
        </w:rPr>
        <w:t>世界各国的经济增长和繁荣。这些</w:t>
      </w:r>
      <w:r w:rsidR="00680B3C" w:rsidRPr="002452A3">
        <w:rPr>
          <w:rFonts w:ascii="SimSun" w:hAnsi="SimSun" w:cs="Times New Roman" w:hint="eastAsia"/>
          <w:szCs w:val="22"/>
        </w:rPr>
        <w:t>重要</w:t>
      </w:r>
      <w:r w:rsidRPr="002452A3">
        <w:rPr>
          <w:rFonts w:ascii="SimSun" w:hAnsi="SimSun" w:cs="Times New Roman"/>
          <w:szCs w:val="22"/>
        </w:rPr>
        <w:t>产业涵盖广泛的媒介、</w:t>
      </w:r>
      <w:r w:rsidR="00F00BF6" w:rsidRPr="002452A3">
        <w:rPr>
          <w:rFonts w:ascii="SimSun" w:hAnsi="SimSun" w:cs="Times New Roman" w:hint="eastAsia"/>
          <w:szCs w:val="22"/>
        </w:rPr>
        <w:t>客体</w:t>
      </w:r>
      <w:r w:rsidRPr="002452A3">
        <w:rPr>
          <w:rFonts w:ascii="SimSun" w:hAnsi="SimSun" w:cs="Times New Roman"/>
          <w:szCs w:val="22"/>
        </w:rPr>
        <w:t>和创作者，其成功对各国的国内生产总值（GDP）、就业、国际贸易和外国直接投资（FDI）</w:t>
      </w:r>
      <w:r w:rsidR="00ED2B69" w:rsidRPr="002452A3">
        <w:rPr>
          <w:rFonts w:ascii="SimSun" w:hAnsi="SimSun" w:cs="Times New Roman"/>
          <w:szCs w:val="22"/>
        </w:rPr>
        <w:t>均有</w:t>
      </w:r>
      <w:r w:rsidRPr="002452A3">
        <w:rPr>
          <w:rFonts w:ascii="SimSun" w:hAnsi="SimSun" w:cs="Times New Roman"/>
          <w:szCs w:val="22"/>
        </w:rPr>
        <w:t>显著贡献。创意产业还通过利用</w:t>
      </w:r>
      <w:r w:rsidR="00F3405D" w:rsidRPr="002452A3">
        <w:rPr>
          <w:rFonts w:ascii="SimSun" w:hAnsi="SimSun" w:cs="Times New Roman"/>
          <w:szCs w:val="22"/>
        </w:rPr>
        <w:t>当地</w:t>
      </w:r>
      <w:r w:rsidRPr="002452A3">
        <w:rPr>
          <w:rFonts w:ascii="SimSun" w:hAnsi="SimSun" w:cs="Times New Roman"/>
          <w:szCs w:val="22"/>
        </w:rPr>
        <w:t>企业、中小企业（SME）和微型中小企业（MSME）开展创意活动</w:t>
      </w:r>
      <w:r w:rsidR="00F3405D" w:rsidRPr="002452A3">
        <w:rPr>
          <w:rFonts w:ascii="SimSun" w:hAnsi="SimSun" w:cs="Times New Roman"/>
          <w:szCs w:val="22"/>
        </w:rPr>
        <w:t>，</w:t>
      </w:r>
      <w:r w:rsidR="00F73414" w:rsidRPr="002452A3">
        <w:rPr>
          <w:rFonts w:ascii="SimSun" w:hAnsi="SimSun" w:cs="Times New Roman"/>
          <w:szCs w:val="22"/>
        </w:rPr>
        <w:t>增强国家</w:t>
      </w:r>
      <w:r w:rsidRPr="002452A3">
        <w:rPr>
          <w:rFonts w:ascii="SimSun" w:hAnsi="SimSun" w:cs="Times New Roman"/>
          <w:szCs w:val="22"/>
        </w:rPr>
        <w:t>经济。世界知识产权组织（</w:t>
      </w:r>
      <w:r w:rsidR="00741E47" w:rsidRPr="002452A3">
        <w:rPr>
          <w:rFonts w:ascii="SimSun" w:hAnsi="SimSun" w:cs="Times New Roman"/>
          <w:szCs w:val="22"/>
        </w:rPr>
        <w:t>产权组织</w:t>
      </w:r>
      <w:r w:rsidRPr="002452A3">
        <w:rPr>
          <w:rFonts w:ascii="SimSun" w:hAnsi="SimSun" w:cs="Times New Roman"/>
          <w:szCs w:val="22"/>
        </w:rPr>
        <w:t>）已认识到创意产业的经济重要性，并指出创意产业或版权产业“</w:t>
      </w:r>
      <w:r w:rsidR="00A25597" w:rsidRPr="002452A3">
        <w:rPr>
          <w:rFonts w:ascii="SimSun" w:hAnsi="SimSun" w:cs="Times New Roman"/>
          <w:szCs w:val="22"/>
        </w:rPr>
        <w:t>对</w:t>
      </w:r>
      <w:r w:rsidR="00D852A4" w:rsidRPr="002452A3">
        <w:rPr>
          <w:rFonts w:ascii="SimSun" w:hAnsi="SimSun" w:cs="Times New Roman"/>
          <w:szCs w:val="22"/>
        </w:rPr>
        <w:t>经济表现有着直接和间接的影响，被认为对实现重要的国家经济、社会目标日益重要</w:t>
      </w:r>
      <w:r w:rsidRPr="002452A3">
        <w:rPr>
          <w:rFonts w:ascii="SimSun" w:hAnsi="SimSun" w:cs="Times New Roman"/>
          <w:szCs w:val="22"/>
        </w:rPr>
        <w:t>”</w:t>
      </w:r>
      <w:r w:rsidR="00A25597" w:rsidRPr="002452A3">
        <w:rPr>
          <w:rStyle w:val="FootnoteReference"/>
          <w:rFonts w:ascii="SimSun" w:hAnsi="SimSun" w:cs="Times New Roman"/>
          <w:szCs w:val="22"/>
        </w:rPr>
        <w:footnoteReference w:id="2"/>
      </w:r>
      <w:r w:rsidR="00A25597" w:rsidRPr="002452A3">
        <w:rPr>
          <w:rFonts w:ascii="SimSun" w:hAnsi="SimSun" w:cs="Times New Roman"/>
          <w:szCs w:val="22"/>
        </w:rPr>
        <w:t>。</w:t>
      </w:r>
    </w:p>
    <w:p w14:paraId="6AE1A5F5" w14:textId="257F7EBD" w:rsidR="00CE41A1" w:rsidRPr="002452A3" w:rsidRDefault="003811E7" w:rsidP="000C68D3">
      <w:pPr>
        <w:spacing w:afterLines="50" w:after="120" w:line="340" w:lineRule="atLeast"/>
        <w:ind w:firstLineChars="200" w:firstLine="440"/>
        <w:jc w:val="both"/>
        <w:rPr>
          <w:rFonts w:ascii="SimSun" w:hAnsi="SimSun" w:cs="Times New Roman"/>
          <w:color w:val="000000" w:themeColor="text1"/>
          <w:szCs w:val="22"/>
        </w:rPr>
      </w:pPr>
      <w:r w:rsidRPr="002452A3">
        <w:rPr>
          <w:rFonts w:ascii="SimSun" w:hAnsi="SimSun" w:cs="Times New Roman"/>
          <w:color w:val="000000" w:themeColor="text1"/>
          <w:szCs w:val="22"/>
        </w:rPr>
        <w:t>本提案</w:t>
      </w:r>
      <w:r w:rsidR="005F49E7" w:rsidRPr="002452A3">
        <w:rPr>
          <w:rFonts w:ascii="SimSun" w:hAnsi="SimSun" w:cs="Times New Roman" w:hint="eastAsia"/>
          <w:color w:val="000000" w:themeColor="text1"/>
          <w:szCs w:val="22"/>
        </w:rPr>
        <w:t>为</w:t>
      </w:r>
      <w:r w:rsidR="003D5130" w:rsidRPr="002452A3">
        <w:rPr>
          <w:rFonts w:ascii="SimSun" w:hAnsi="SimSun" w:cs="Times New Roman" w:hint="eastAsia"/>
          <w:color w:val="000000" w:themeColor="text1"/>
          <w:szCs w:val="22"/>
        </w:rPr>
        <w:t>关于</w:t>
      </w:r>
      <w:r w:rsidRPr="002452A3">
        <w:rPr>
          <w:rFonts w:ascii="SimSun" w:hAnsi="SimSun" w:cs="Times New Roman"/>
          <w:color w:val="000000" w:themeColor="text1"/>
          <w:szCs w:val="22"/>
        </w:rPr>
        <w:t>版权</w:t>
      </w:r>
      <w:r w:rsidR="005F49E7" w:rsidRPr="002452A3">
        <w:rPr>
          <w:rFonts w:ascii="SimSun" w:hAnsi="SimSun" w:cs="Times New Roman" w:hint="eastAsia"/>
          <w:color w:val="000000" w:themeColor="text1"/>
          <w:szCs w:val="22"/>
        </w:rPr>
        <w:t>产业</w:t>
      </w:r>
      <w:r w:rsidRPr="002452A3">
        <w:rPr>
          <w:rFonts w:ascii="SimSun" w:hAnsi="SimSun" w:cs="Times New Roman"/>
          <w:color w:val="000000" w:themeColor="text1"/>
          <w:szCs w:val="22"/>
        </w:rPr>
        <w:t>或创意产业通过GDP、就业、国际贸易和</w:t>
      </w:r>
      <w:r w:rsidR="0097339B" w:rsidRPr="002452A3">
        <w:rPr>
          <w:rFonts w:ascii="SimSun" w:hAnsi="SimSun" w:cs="Times New Roman" w:hint="eastAsia"/>
          <w:color w:val="000000" w:themeColor="text1"/>
          <w:szCs w:val="22"/>
        </w:rPr>
        <w:t>FDI</w:t>
      </w:r>
      <w:r w:rsidRPr="002452A3">
        <w:rPr>
          <w:rFonts w:ascii="SimSun" w:hAnsi="SimSun" w:cs="Times New Roman"/>
          <w:color w:val="000000" w:themeColor="text1"/>
          <w:szCs w:val="22"/>
        </w:rPr>
        <w:t>对经济增长</w:t>
      </w:r>
      <w:r w:rsidRPr="000C68D3">
        <w:rPr>
          <w:rFonts w:ascii="SimSun" w:hAnsi="SimSun" w:cs="Times New Roman"/>
          <w:szCs w:val="22"/>
        </w:rPr>
        <w:t>贡献</w:t>
      </w:r>
      <w:r w:rsidRPr="002452A3">
        <w:rPr>
          <w:rFonts w:ascii="SimSun" w:hAnsi="SimSun" w:cs="Times New Roman"/>
          <w:color w:val="000000" w:themeColor="text1"/>
          <w:szCs w:val="22"/>
        </w:rPr>
        <w:t>的新</w:t>
      </w:r>
      <w:r w:rsidR="003D5130" w:rsidRPr="002452A3">
        <w:rPr>
          <w:rFonts w:ascii="SimSun" w:hAnsi="SimSun" w:cs="Times New Roman" w:hint="eastAsia"/>
          <w:color w:val="000000" w:themeColor="text1"/>
          <w:szCs w:val="22"/>
        </w:rPr>
        <w:t>汇总</w:t>
      </w:r>
      <w:r w:rsidRPr="002452A3">
        <w:rPr>
          <w:rFonts w:ascii="SimSun" w:hAnsi="SimSun" w:cs="Times New Roman"/>
          <w:color w:val="000000" w:themeColor="text1"/>
          <w:szCs w:val="22"/>
        </w:rPr>
        <w:t>研究</w:t>
      </w:r>
      <w:r w:rsidR="00146C8B" w:rsidRPr="002452A3">
        <w:rPr>
          <w:rFonts w:ascii="SimSun" w:hAnsi="SimSun" w:cs="Times New Roman" w:hint="eastAsia"/>
          <w:color w:val="000000" w:themeColor="text1"/>
          <w:szCs w:val="22"/>
        </w:rPr>
        <w:t>提供了</w:t>
      </w:r>
      <w:r w:rsidR="00146C8B" w:rsidRPr="002452A3">
        <w:rPr>
          <w:rFonts w:ascii="SimSun" w:hAnsi="SimSun" w:cs="Times New Roman"/>
          <w:color w:val="000000" w:themeColor="text1"/>
          <w:szCs w:val="22"/>
        </w:rPr>
        <w:t>一个框架</w:t>
      </w:r>
      <w:r w:rsidRPr="002452A3">
        <w:rPr>
          <w:rFonts w:ascii="SimSun" w:hAnsi="SimSun" w:cs="Times New Roman"/>
          <w:color w:val="000000" w:themeColor="text1"/>
          <w:szCs w:val="22"/>
        </w:rPr>
        <w:t>。</w:t>
      </w:r>
    </w:p>
    <w:p w14:paraId="78CB7C46" w14:textId="4220B784" w:rsidR="00CE41A1" w:rsidRPr="00C12619" w:rsidRDefault="0097339B" w:rsidP="000C68D3">
      <w:pPr>
        <w:keepNext/>
        <w:overflowPunct w:val="0"/>
        <w:spacing w:afterLines="50" w:after="120" w:line="340" w:lineRule="atLeast"/>
        <w:rPr>
          <w:rFonts w:ascii="KaiTi" w:eastAsia="KaiTi" w:hAnsi="KaiTi" w:cs="Times New Roman"/>
          <w:color w:val="000000" w:themeColor="text1"/>
          <w:szCs w:val="22"/>
          <w:u w:val="single"/>
        </w:rPr>
      </w:pPr>
      <w:r w:rsidRPr="00C12619">
        <w:rPr>
          <w:rFonts w:ascii="KaiTi" w:eastAsia="KaiTi" w:hAnsi="KaiTi" w:cs="Times New Roman" w:hint="eastAsia"/>
          <w:color w:val="000000" w:themeColor="text1"/>
          <w:szCs w:val="22"/>
          <w:u w:val="single"/>
        </w:rPr>
        <w:t>创意产业对GDP、就业增长和FDI的贡献</w:t>
      </w:r>
    </w:p>
    <w:p w14:paraId="037AF566" w14:textId="66F4E810" w:rsidR="00CE41A1" w:rsidRPr="002452A3" w:rsidRDefault="000F1547" w:rsidP="000C68D3">
      <w:pPr>
        <w:spacing w:afterLines="50" w:after="120" w:line="340" w:lineRule="atLeast"/>
        <w:ind w:firstLineChars="200" w:firstLine="440"/>
        <w:jc w:val="both"/>
        <w:rPr>
          <w:rFonts w:ascii="SimSun" w:hAnsi="SimSun" w:cs="Times New Roman"/>
          <w:color w:val="000000" w:themeColor="text1"/>
          <w:szCs w:val="22"/>
        </w:rPr>
      </w:pPr>
      <w:r w:rsidRPr="002452A3">
        <w:rPr>
          <w:rFonts w:ascii="SimSun" w:hAnsi="SimSun" w:cs="Times New Roman" w:hint="eastAsia"/>
          <w:color w:val="000000" w:themeColor="text1"/>
          <w:szCs w:val="22"/>
        </w:rPr>
        <w:t>版权产业或创意产业对世界各国的GDP增长有显著贡献。根据产权组织，来自创意产业的经济收益持续推动创意生产，增强一国经济。</w:t>
      </w:r>
      <w:r w:rsidR="00C2688E" w:rsidRPr="002452A3">
        <w:rPr>
          <w:rStyle w:val="FootnoteReference"/>
          <w:rFonts w:ascii="SimSun" w:hAnsi="SimSun" w:cs="Times New Roman"/>
          <w:color w:val="000000" w:themeColor="text1"/>
          <w:szCs w:val="22"/>
        </w:rPr>
        <w:footnoteReference w:id="3"/>
      </w:r>
      <w:r w:rsidRPr="002452A3">
        <w:rPr>
          <w:rFonts w:ascii="SimSun" w:hAnsi="SimSun" w:cs="Times New Roman" w:hint="eastAsia"/>
          <w:color w:val="000000" w:themeColor="text1"/>
          <w:szCs w:val="22"/>
        </w:rPr>
        <w:t>创意产业也创造了各种就业机会，涉及众多不同就业领域，优化了创意增长。创意产业中的每个部门均需要复杂的系统来创作、制作和向全球受众</w:t>
      </w:r>
      <w:r w:rsidR="00A710E6" w:rsidRPr="002452A3">
        <w:rPr>
          <w:rFonts w:ascii="SimSun" w:hAnsi="SimSun" w:cs="Times New Roman" w:hint="eastAsia"/>
          <w:color w:val="000000" w:themeColor="text1"/>
          <w:szCs w:val="22"/>
        </w:rPr>
        <w:t>传播</w:t>
      </w:r>
      <w:r w:rsidRPr="002452A3">
        <w:rPr>
          <w:rFonts w:ascii="SimSun" w:hAnsi="SimSun" w:cs="Times New Roman" w:hint="eastAsia"/>
          <w:color w:val="000000" w:themeColor="text1"/>
          <w:szCs w:val="22"/>
        </w:rPr>
        <w:t>受版权保护的材料。</w:t>
      </w:r>
      <w:r w:rsidR="00CD5FEA" w:rsidRPr="002452A3">
        <w:rPr>
          <w:rFonts w:ascii="SimSun" w:hAnsi="SimSun" w:cs="Times New Roman" w:hint="eastAsia"/>
          <w:color w:val="000000" w:themeColor="text1"/>
          <w:szCs w:val="22"/>
        </w:rPr>
        <w:t>创意产业在促进国际贸易和出口方面发挥着至关重要的作用。随着新兴技术不断重塑全球创意经济，许多国家正在加强其数字基础设施，并采取战略经济政策，</w:t>
      </w:r>
      <w:r w:rsidR="006646E0" w:rsidRPr="002452A3">
        <w:rPr>
          <w:rFonts w:ascii="SimSun" w:hAnsi="SimSun" w:cs="Times New Roman" w:hint="eastAsia"/>
          <w:color w:val="000000" w:themeColor="text1"/>
          <w:szCs w:val="22"/>
        </w:rPr>
        <w:t>将</w:t>
      </w:r>
      <w:r w:rsidR="00CD5FEA" w:rsidRPr="002452A3">
        <w:rPr>
          <w:rFonts w:ascii="SimSun" w:hAnsi="SimSun" w:cs="Times New Roman" w:hint="eastAsia"/>
          <w:color w:val="000000" w:themeColor="text1"/>
          <w:szCs w:val="22"/>
        </w:rPr>
        <w:t>创意出口</w:t>
      </w:r>
      <w:r w:rsidR="006646E0" w:rsidRPr="002452A3">
        <w:rPr>
          <w:rFonts w:ascii="SimSun" w:hAnsi="SimSun" w:cs="Times New Roman" w:hint="eastAsia"/>
          <w:color w:val="000000" w:themeColor="text1"/>
          <w:szCs w:val="22"/>
        </w:rPr>
        <w:t>的效益增至最大</w:t>
      </w:r>
      <w:r w:rsidR="00CD5FEA" w:rsidRPr="002452A3">
        <w:rPr>
          <w:rFonts w:ascii="SimSun" w:hAnsi="SimSun" w:cs="Times New Roman" w:hint="eastAsia"/>
          <w:color w:val="000000" w:themeColor="text1"/>
          <w:szCs w:val="22"/>
        </w:rPr>
        <w:t>。最后，支持创意产业的健全版权法律框架也与FDI</w:t>
      </w:r>
      <w:r w:rsidR="004E49EC" w:rsidRPr="002452A3">
        <w:rPr>
          <w:rFonts w:ascii="SimSun" w:hAnsi="SimSun" w:cs="Times New Roman" w:hint="eastAsia"/>
          <w:color w:val="000000" w:themeColor="text1"/>
          <w:szCs w:val="22"/>
        </w:rPr>
        <w:t>相关联</w:t>
      </w:r>
      <w:r w:rsidR="00CD5FEA" w:rsidRPr="002452A3">
        <w:rPr>
          <w:rFonts w:ascii="SimSun" w:hAnsi="SimSun" w:cs="Times New Roman" w:hint="eastAsia"/>
          <w:color w:val="000000" w:themeColor="text1"/>
          <w:szCs w:val="22"/>
        </w:rPr>
        <w:t>，FDI吸引专业</w:t>
      </w:r>
      <w:r w:rsidR="00D041E5" w:rsidRPr="002452A3">
        <w:rPr>
          <w:rFonts w:ascii="SimSun" w:hAnsi="SimSun" w:cs="Times New Roman" w:hint="eastAsia"/>
          <w:color w:val="000000" w:themeColor="text1"/>
          <w:szCs w:val="22"/>
        </w:rPr>
        <w:t>的</w:t>
      </w:r>
      <w:r w:rsidR="00CD5FEA" w:rsidRPr="002452A3">
        <w:rPr>
          <w:rFonts w:ascii="SimSun" w:hAnsi="SimSun" w:cs="Times New Roman" w:hint="eastAsia"/>
          <w:color w:val="000000" w:themeColor="text1"/>
          <w:szCs w:val="22"/>
        </w:rPr>
        <w:t>创意项目和跨境合作。</w:t>
      </w:r>
      <w:r w:rsidR="0043280E" w:rsidRPr="002452A3">
        <w:rPr>
          <w:rFonts w:ascii="SimSun" w:hAnsi="SimSun" w:cs="Times New Roman" w:hint="eastAsia"/>
          <w:color w:val="000000" w:themeColor="text1"/>
          <w:szCs w:val="22"/>
        </w:rPr>
        <w:t>保护创意项目所需的</w:t>
      </w:r>
      <w:r w:rsidR="00816C33" w:rsidRPr="002452A3">
        <w:rPr>
          <w:rFonts w:ascii="SimSun" w:hAnsi="SimSun" w:cs="Times New Roman" w:hint="eastAsia"/>
          <w:color w:val="000000" w:themeColor="text1"/>
          <w:szCs w:val="22"/>
        </w:rPr>
        <w:t>明确</w:t>
      </w:r>
      <w:r w:rsidR="00CD5FEA" w:rsidRPr="002452A3">
        <w:rPr>
          <w:rFonts w:ascii="SimSun" w:hAnsi="SimSun" w:cs="Times New Roman" w:hint="eastAsia"/>
          <w:color w:val="000000" w:themeColor="text1"/>
          <w:szCs w:val="22"/>
        </w:rPr>
        <w:t>、可预测的法律框架，</w:t>
      </w:r>
      <w:r w:rsidR="0043280E" w:rsidRPr="002452A3">
        <w:rPr>
          <w:rFonts w:ascii="SimSun" w:hAnsi="SimSun" w:cs="Times New Roman" w:hint="eastAsia"/>
          <w:color w:val="000000" w:themeColor="text1"/>
          <w:szCs w:val="22"/>
        </w:rPr>
        <w:t>以及</w:t>
      </w:r>
      <w:r w:rsidR="00CD5FEA" w:rsidRPr="002452A3">
        <w:rPr>
          <w:rFonts w:ascii="SimSun" w:hAnsi="SimSun" w:cs="Times New Roman" w:hint="eastAsia"/>
          <w:color w:val="000000" w:themeColor="text1"/>
          <w:szCs w:val="22"/>
        </w:rPr>
        <w:t>打击盗版作品</w:t>
      </w:r>
      <w:r w:rsidR="00105C3A" w:rsidRPr="002452A3">
        <w:rPr>
          <w:rFonts w:ascii="SimSun" w:hAnsi="SimSun" w:cs="Times New Roman" w:hint="eastAsia"/>
          <w:color w:val="000000" w:themeColor="text1"/>
          <w:szCs w:val="22"/>
        </w:rPr>
        <w:t>的强大执法体系</w:t>
      </w:r>
      <w:r w:rsidR="005B4741" w:rsidRPr="002452A3">
        <w:rPr>
          <w:rFonts w:ascii="SimSun" w:hAnsi="SimSun" w:cs="Times New Roman" w:hint="eastAsia"/>
          <w:color w:val="000000" w:themeColor="text1"/>
          <w:szCs w:val="22"/>
        </w:rPr>
        <w:t>是</w:t>
      </w:r>
      <w:r w:rsidR="00C12110" w:rsidRPr="002452A3">
        <w:rPr>
          <w:rFonts w:ascii="SimSun" w:hAnsi="SimSun" w:cs="Times New Roman" w:hint="eastAsia"/>
          <w:color w:val="000000" w:themeColor="text1"/>
          <w:szCs w:val="22"/>
        </w:rPr>
        <w:t>经</w:t>
      </w:r>
      <w:r w:rsidR="00CD5FEA" w:rsidRPr="002452A3">
        <w:rPr>
          <w:rFonts w:ascii="SimSun" w:hAnsi="SimSun" w:cs="Times New Roman" w:hint="eastAsia"/>
          <w:color w:val="000000" w:themeColor="text1"/>
          <w:szCs w:val="22"/>
        </w:rPr>
        <w:t>证明能够</w:t>
      </w:r>
      <w:r w:rsidR="005B4741" w:rsidRPr="002452A3">
        <w:rPr>
          <w:rFonts w:ascii="SimSun" w:hAnsi="SimSun" w:cs="Times New Roman" w:hint="eastAsia"/>
          <w:color w:val="000000" w:themeColor="text1"/>
          <w:szCs w:val="22"/>
        </w:rPr>
        <w:t>吸引</w:t>
      </w:r>
      <w:r w:rsidR="0019278E" w:rsidRPr="002452A3">
        <w:rPr>
          <w:rFonts w:ascii="SimSun" w:hAnsi="SimSun" w:cs="Times New Roman"/>
          <w:color w:val="000000" w:themeColor="text1"/>
          <w:szCs w:val="22"/>
        </w:rPr>
        <w:t>FDI</w:t>
      </w:r>
      <w:r w:rsidR="005B4741" w:rsidRPr="002452A3">
        <w:rPr>
          <w:rFonts w:ascii="SimSun" w:hAnsi="SimSun" w:cs="Times New Roman" w:hint="eastAsia"/>
          <w:color w:val="000000" w:themeColor="text1"/>
          <w:szCs w:val="22"/>
        </w:rPr>
        <w:t>到一个国家</w:t>
      </w:r>
      <w:r w:rsidR="0019278E" w:rsidRPr="002452A3">
        <w:rPr>
          <w:rFonts w:ascii="SimSun" w:hAnsi="SimSun" w:cs="Times New Roman" w:hint="eastAsia"/>
          <w:color w:val="000000" w:themeColor="text1"/>
          <w:szCs w:val="22"/>
        </w:rPr>
        <w:t>的要素</w:t>
      </w:r>
      <w:r w:rsidR="00CD5FEA" w:rsidRPr="002452A3">
        <w:rPr>
          <w:rFonts w:ascii="SimSun" w:hAnsi="SimSun" w:cs="Times New Roman" w:hint="eastAsia"/>
          <w:color w:val="000000" w:themeColor="text1"/>
          <w:szCs w:val="22"/>
        </w:rPr>
        <w:t>。</w:t>
      </w:r>
      <w:r w:rsidR="00483D54" w:rsidRPr="002452A3">
        <w:rPr>
          <w:rStyle w:val="FootnoteReference"/>
          <w:rFonts w:ascii="SimSun" w:hAnsi="SimSun" w:cs="Times New Roman"/>
          <w:color w:val="000000" w:themeColor="text1"/>
          <w:szCs w:val="22"/>
        </w:rPr>
        <w:footnoteReference w:id="4"/>
      </w:r>
    </w:p>
    <w:p w14:paraId="1F24FB0F" w14:textId="73A02641" w:rsidR="00CE41A1" w:rsidRPr="002452A3" w:rsidRDefault="00D51A67" w:rsidP="000C68D3">
      <w:pPr>
        <w:keepNext/>
        <w:spacing w:beforeLines="100" w:before="240" w:afterLines="50" w:after="120" w:line="340" w:lineRule="atLeast"/>
        <w:rPr>
          <w:rFonts w:ascii="SimSun" w:hAnsi="SimSun" w:cs="Times New Roman"/>
          <w:b/>
          <w:bCs/>
          <w:szCs w:val="22"/>
          <w:u w:val="single"/>
        </w:rPr>
      </w:pPr>
      <w:r w:rsidRPr="002452A3">
        <w:rPr>
          <w:rFonts w:ascii="SimSun" w:hAnsi="SimSun" w:cs="Times New Roman" w:hint="eastAsia"/>
          <w:b/>
          <w:bCs/>
          <w:szCs w:val="22"/>
          <w:u w:val="single"/>
        </w:rPr>
        <w:t>提案</w:t>
      </w:r>
    </w:p>
    <w:p w14:paraId="32715E44" w14:textId="2257D3CE" w:rsidR="00CE41A1" w:rsidRPr="002452A3" w:rsidRDefault="0019278E" w:rsidP="000C68D3">
      <w:pPr>
        <w:spacing w:afterLines="50" w:after="120" w:line="340" w:lineRule="atLeast"/>
        <w:rPr>
          <w:rFonts w:ascii="SimSun" w:hAnsi="SimSun" w:cs="Times New Roman"/>
          <w:b/>
          <w:bCs/>
          <w:szCs w:val="22"/>
        </w:rPr>
      </w:pPr>
      <w:r w:rsidRPr="002452A3">
        <w:rPr>
          <w:rFonts w:ascii="SimSun" w:hAnsi="SimSun" w:cs="Times New Roman" w:hint="eastAsia"/>
          <w:b/>
          <w:bCs/>
          <w:szCs w:val="22"/>
        </w:rPr>
        <w:t>创意产业与经济增长</w:t>
      </w:r>
      <w:r w:rsidR="000173A4" w:rsidRPr="002452A3">
        <w:rPr>
          <w:rFonts w:ascii="SimSun" w:hAnsi="SimSun" w:cs="Times New Roman" w:hint="eastAsia"/>
          <w:b/>
          <w:bCs/>
          <w:szCs w:val="22"/>
        </w:rPr>
        <w:t>的</w:t>
      </w:r>
      <w:r w:rsidR="005A0DF8" w:rsidRPr="002452A3">
        <w:rPr>
          <w:rFonts w:ascii="SimSun" w:hAnsi="SimSun" w:cs="Times New Roman" w:hint="eastAsia"/>
          <w:b/>
          <w:bCs/>
          <w:szCs w:val="22"/>
        </w:rPr>
        <w:t>汇总</w:t>
      </w:r>
      <w:r w:rsidRPr="002452A3">
        <w:rPr>
          <w:rFonts w:ascii="SimSun" w:hAnsi="SimSun" w:cs="Times New Roman" w:hint="eastAsia"/>
          <w:b/>
          <w:bCs/>
          <w:szCs w:val="22"/>
        </w:rPr>
        <w:t>研究</w:t>
      </w:r>
    </w:p>
    <w:p w14:paraId="49CD3F8D" w14:textId="2A1AEB14" w:rsidR="00CE41A1" w:rsidRPr="002452A3" w:rsidRDefault="009A0F1B"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hint="eastAsia"/>
          <w:szCs w:val="22"/>
        </w:rPr>
        <w:t>产权组织二十多年来</w:t>
      </w:r>
      <w:r w:rsidR="0035009D" w:rsidRPr="002452A3">
        <w:rPr>
          <w:rFonts w:ascii="SimSun" w:hAnsi="SimSun" w:cs="Times New Roman" w:hint="eastAsia"/>
          <w:szCs w:val="22"/>
        </w:rPr>
        <w:t>持续</w:t>
      </w:r>
      <w:r w:rsidRPr="002452A3">
        <w:rPr>
          <w:rFonts w:ascii="SimSun" w:hAnsi="SimSun" w:cs="Times New Roman" w:hint="eastAsia"/>
          <w:szCs w:val="22"/>
        </w:rPr>
        <w:t>研究版权产业或创意产业对</w:t>
      </w:r>
      <w:r w:rsidR="0035009D" w:rsidRPr="002452A3">
        <w:rPr>
          <w:rFonts w:ascii="SimSun" w:hAnsi="SimSun" w:cs="Times New Roman" w:hint="eastAsia"/>
          <w:szCs w:val="22"/>
        </w:rPr>
        <w:t>产权</w:t>
      </w:r>
      <w:r w:rsidR="000C6DFA">
        <w:rPr>
          <w:rFonts w:ascii="SimSun" w:hAnsi="SimSun" w:cs="Times New Roman" w:hint="eastAsia"/>
          <w:szCs w:val="22"/>
        </w:rPr>
        <w:t>组织</w:t>
      </w:r>
      <w:r w:rsidRPr="002452A3">
        <w:rPr>
          <w:rFonts w:ascii="SimSun" w:hAnsi="SimSun" w:cs="Times New Roman" w:hint="eastAsia"/>
          <w:szCs w:val="22"/>
        </w:rPr>
        <w:t>成员国经济的影响。2003年，</w:t>
      </w:r>
      <w:r w:rsidR="0035009D" w:rsidRPr="002452A3">
        <w:rPr>
          <w:rFonts w:ascii="SimSun" w:hAnsi="SimSun" w:cs="Times New Roman" w:hint="eastAsia"/>
          <w:szCs w:val="22"/>
        </w:rPr>
        <w:t>产权组织</w:t>
      </w:r>
      <w:r w:rsidRPr="002452A3">
        <w:rPr>
          <w:rFonts w:ascii="SimSun" w:hAnsi="SimSun" w:cs="Times New Roman" w:hint="eastAsia"/>
          <w:szCs w:val="22"/>
        </w:rPr>
        <w:t>发布了《</w:t>
      </w:r>
      <w:r w:rsidR="0035009D" w:rsidRPr="002452A3">
        <w:rPr>
          <w:rFonts w:ascii="SimSun" w:hAnsi="SimSun" w:cs="Times New Roman" w:hint="eastAsia"/>
          <w:szCs w:val="22"/>
        </w:rPr>
        <w:t>关于版权产业的经济贡献的调查指南》</w:t>
      </w:r>
      <w:r w:rsidRPr="002452A3">
        <w:rPr>
          <w:rFonts w:ascii="SimSun" w:hAnsi="SimSun" w:cs="Times New Roman" w:hint="eastAsia"/>
          <w:szCs w:val="22"/>
        </w:rPr>
        <w:t>，旨在为衡量版权产业</w:t>
      </w:r>
      <w:r w:rsidR="004B2E13" w:rsidRPr="002452A3">
        <w:rPr>
          <w:rFonts w:ascii="SimSun" w:hAnsi="SimSun" w:cs="Times New Roman" w:hint="eastAsia"/>
          <w:szCs w:val="22"/>
        </w:rPr>
        <w:t>的</w:t>
      </w:r>
      <w:r w:rsidRPr="002452A3">
        <w:rPr>
          <w:rFonts w:ascii="SimSun" w:hAnsi="SimSun" w:cs="Times New Roman" w:hint="eastAsia"/>
          <w:szCs w:val="22"/>
        </w:rPr>
        <w:t>规模提供一个通用框架，</w:t>
      </w:r>
      <w:r w:rsidR="00036C0A" w:rsidRPr="002452A3">
        <w:rPr>
          <w:rFonts w:ascii="SimSun" w:hAnsi="SimSun" w:cs="Times New Roman" w:hint="eastAsia"/>
          <w:szCs w:val="22"/>
        </w:rPr>
        <w:t>使</w:t>
      </w:r>
      <w:r w:rsidRPr="002452A3">
        <w:rPr>
          <w:rFonts w:ascii="SimSun" w:hAnsi="SimSun" w:cs="Times New Roman" w:hint="eastAsia"/>
          <w:szCs w:val="22"/>
        </w:rPr>
        <w:t>政策制定者、经济学家和数据科学家能够对这些产业</w:t>
      </w:r>
      <w:r w:rsidR="00B44618" w:rsidRPr="002452A3">
        <w:rPr>
          <w:rFonts w:ascii="SimSun" w:hAnsi="SimSun" w:cs="Times New Roman" w:hint="eastAsia"/>
          <w:szCs w:val="22"/>
        </w:rPr>
        <w:t>开展</w:t>
      </w:r>
      <w:r w:rsidRPr="002452A3">
        <w:rPr>
          <w:rFonts w:ascii="SimSun" w:hAnsi="SimSun" w:cs="Times New Roman" w:hint="eastAsia"/>
          <w:szCs w:val="22"/>
        </w:rPr>
        <w:t>有意义的比较。</w:t>
      </w:r>
      <w:r w:rsidR="006976B0" w:rsidRPr="002452A3">
        <w:rPr>
          <w:rFonts w:ascii="SimSun" w:hAnsi="SimSun" w:cs="Times New Roman" w:hint="eastAsia"/>
          <w:szCs w:val="22"/>
        </w:rPr>
        <w:t>产权组织</w:t>
      </w:r>
      <w:r w:rsidR="00B26A42" w:rsidRPr="002452A3">
        <w:rPr>
          <w:rFonts w:ascii="SimSun" w:hAnsi="SimSun" w:cs="Times New Roman" w:hint="eastAsia"/>
          <w:szCs w:val="22"/>
        </w:rPr>
        <w:t>于2015年更新了该指南及配套方法，指出“来自世界各地的200多位研究人员为该方法的应用做出了贡献，</w:t>
      </w:r>
      <w:r w:rsidR="007B3067" w:rsidRPr="002452A3">
        <w:rPr>
          <w:rFonts w:ascii="SimSun" w:hAnsi="SimSun" w:cs="Times New Roman" w:hint="eastAsia"/>
          <w:szCs w:val="22"/>
        </w:rPr>
        <w:t>增加了</w:t>
      </w:r>
      <w:r w:rsidR="00B26A42" w:rsidRPr="002452A3">
        <w:rPr>
          <w:rFonts w:ascii="SimSun" w:hAnsi="SimSun" w:cs="Times New Roman" w:hint="eastAsia"/>
          <w:szCs w:val="22"/>
        </w:rPr>
        <w:t>宝贵见解，引入创新</w:t>
      </w:r>
      <w:r w:rsidR="004D5C0F" w:rsidRPr="002452A3">
        <w:rPr>
          <w:rFonts w:ascii="SimSun" w:hAnsi="SimSun" w:cs="Times New Roman" w:hint="eastAsia"/>
          <w:szCs w:val="22"/>
        </w:rPr>
        <w:t>做法</w:t>
      </w:r>
      <w:r w:rsidR="00B26A42" w:rsidRPr="002452A3">
        <w:rPr>
          <w:rFonts w:ascii="SimSun" w:hAnsi="SimSun" w:cs="Times New Roman" w:hint="eastAsia"/>
          <w:szCs w:val="22"/>
        </w:rPr>
        <w:t>，并</w:t>
      </w:r>
      <w:r w:rsidR="00A6733B" w:rsidRPr="002452A3">
        <w:rPr>
          <w:rFonts w:ascii="SimSun" w:hAnsi="SimSun" w:cs="Times New Roman" w:hint="eastAsia"/>
          <w:szCs w:val="22"/>
        </w:rPr>
        <w:t>列出</w:t>
      </w:r>
      <w:r w:rsidR="00B26A42" w:rsidRPr="002452A3">
        <w:rPr>
          <w:rFonts w:ascii="SimSun" w:hAnsi="SimSun" w:cs="Times New Roman" w:hint="eastAsia"/>
          <w:szCs w:val="22"/>
        </w:rPr>
        <w:t>了</w:t>
      </w:r>
      <w:r w:rsidR="004D5C0F" w:rsidRPr="002452A3">
        <w:rPr>
          <w:rFonts w:ascii="SimSun" w:hAnsi="SimSun" w:cs="Times New Roman" w:hint="eastAsia"/>
          <w:szCs w:val="22"/>
        </w:rPr>
        <w:t>待</w:t>
      </w:r>
      <w:r w:rsidR="00B26A42" w:rsidRPr="002452A3">
        <w:rPr>
          <w:rFonts w:ascii="SimSun" w:hAnsi="SimSun" w:cs="Times New Roman" w:hint="eastAsia"/>
          <w:szCs w:val="22"/>
        </w:rPr>
        <w:t>进一步改进的领域”</w:t>
      </w:r>
      <w:r w:rsidR="0022554A" w:rsidRPr="002452A3">
        <w:rPr>
          <w:rFonts w:ascii="SimSun" w:hAnsi="SimSun" w:cs="Times New Roman" w:hint="eastAsia"/>
          <w:szCs w:val="22"/>
        </w:rPr>
        <w:t>。</w:t>
      </w:r>
      <w:r w:rsidR="00B26A42" w:rsidRPr="002452A3">
        <w:rPr>
          <w:rFonts w:ascii="SimSun" w:hAnsi="SimSun" w:cs="Times New Roman" w:hint="eastAsia"/>
          <w:szCs w:val="22"/>
        </w:rPr>
        <w:t>超过50个国家和地区</w:t>
      </w:r>
      <w:r w:rsidR="00C97FA4" w:rsidRPr="002452A3">
        <w:rPr>
          <w:rFonts w:ascii="SimSun" w:hAnsi="SimSun" w:cs="Times New Roman" w:hint="eastAsia"/>
          <w:szCs w:val="22"/>
        </w:rPr>
        <w:t>使用</w:t>
      </w:r>
      <w:r w:rsidR="00B26A42" w:rsidRPr="002452A3">
        <w:rPr>
          <w:rFonts w:ascii="SimSun" w:hAnsi="SimSun" w:cs="Times New Roman" w:hint="eastAsia"/>
          <w:szCs w:val="22"/>
        </w:rPr>
        <w:t>了</w:t>
      </w:r>
      <w:r w:rsidR="00307273" w:rsidRPr="002452A3">
        <w:rPr>
          <w:rFonts w:ascii="SimSun" w:hAnsi="SimSun" w:cs="Times New Roman" w:hint="eastAsia"/>
          <w:szCs w:val="22"/>
        </w:rPr>
        <w:t>这一</w:t>
      </w:r>
      <w:r w:rsidR="00B26A42" w:rsidRPr="002452A3">
        <w:rPr>
          <w:rFonts w:ascii="SimSun" w:hAnsi="SimSun" w:cs="Times New Roman" w:hint="eastAsia"/>
          <w:szCs w:val="22"/>
        </w:rPr>
        <w:t>方法，许多国家在过去二十年中利用该方法开展了多项研究。此外，</w:t>
      </w:r>
      <w:r w:rsidR="0063021C" w:rsidRPr="002452A3">
        <w:rPr>
          <w:rFonts w:ascii="SimSun" w:hAnsi="SimSun" w:cs="Times New Roman" w:hint="eastAsia"/>
          <w:szCs w:val="22"/>
        </w:rPr>
        <w:t>产权组织</w:t>
      </w:r>
      <w:r w:rsidR="006C448E" w:rsidRPr="002452A3">
        <w:rPr>
          <w:rFonts w:ascii="SimSun" w:hAnsi="SimSun" w:cs="Times New Roman" w:hint="eastAsia"/>
          <w:szCs w:val="22"/>
        </w:rPr>
        <w:t>在</w:t>
      </w:r>
      <w:r w:rsidR="00B26A42" w:rsidRPr="002452A3">
        <w:rPr>
          <w:rFonts w:ascii="SimSun" w:hAnsi="SimSun" w:cs="Times New Roman" w:hint="eastAsia"/>
          <w:szCs w:val="22"/>
        </w:rPr>
        <w:t>2015年和2021年发布了部分</w:t>
      </w:r>
      <w:r w:rsidR="007F6A45" w:rsidRPr="002452A3">
        <w:rPr>
          <w:rFonts w:ascii="SimSun" w:hAnsi="SimSun" w:cs="Times New Roman" w:hint="eastAsia"/>
          <w:szCs w:val="22"/>
        </w:rPr>
        <w:t>产权组织专项</w:t>
      </w:r>
      <w:r w:rsidR="00B26A42" w:rsidRPr="002452A3">
        <w:rPr>
          <w:rFonts w:ascii="SimSun" w:hAnsi="SimSun" w:cs="Times New Roman" w:hint="eastAsia"/>
          <w:szCs w:val="22"/>
        </w:rPr>
        <w:t>经济研究</w:t>
      </w:r>
      <w:r w:rsidR="006E4DB5" w:rsidRPr="002452A3">
        <w:rPr>
          <w:rFonts w:ascii="SimSun" w:hAnsi="SimSun" w:cs="Times New Roman" w:hint="eastAsia"/>
          <w:szCs w:val="22"/>
        </w:rPr>
        <w:t>结果</w:t>
      </w:r>
      <w:r w:rsidR="00B26A42" w:rsidRPr="002452A3">
        <w:rPr>
          <w:rFonts w:ascii="SimSun" w:hAnsi="SimSun" w:cs="Times New Roman" w:hint="eastAsia"/>
          <w:szCs w:val="22"/>
        </w:rPr>
        <w:t>的比较摘要。这些摘要展示了创意产业对</w:t>
      </w:r>
      <w:r w:rsidR="00A31E4D" w:rsidRPr="002452A3">
        <w:rPr>
          <w:rFonts w:ascii="SimSun" w:hAnsi="SimSun" w:cs="Times New Roman" w:hint="eastAsia"/>
          <w:szCs w:val="22"/>
        </w:rPr>
        <w:t>国家</w:t>
      </w:r>
      <w:r w:rsidR="00B26A42" w:rsidRPr="002452A3">
        <w:rPr>
          <w:rFonts w:ascii="SimSun" w:hAnsi="SimSun" w:cs="Times New Roman" w:hint="eastAsia"/>
          <w:szCs w:val="22"/>
        </w:rPr>
        <w:t>GDP和就业贡献的相对百分比，以及相关劳动生产率指数，该指数</w:t>
      </w:r>
      <w:r w:rsidR="003F1BC0" w:rsidRPr="002452A3">
        <w:rPr>
          <w:rFonts w:ascii="SimSun" w:hAnsi="SimSun" w:cs="Times New Roman" w:hint="eastAsia"/>
          <w:szCs w:val="22"/>
        </w:rPr>
        <w:t>表明</w:t>
      </w:r>
      <w:r w:rsidR="008E0655" w:rsidRPr="002452A3">
        <w:rPr>
          <w:rFonts w:ascii="SimSun" w:hAnsi="SimSun" w:cs="Times New Roman" w:hint="eastAsia"/>
          <w:szCs w:val="22"/>
        </w:rPr>
        <w:t>特定</w:t>
      </w:r>
      <w:r w:rsidR="00B26A42" w:rsidRPr="002452A3">
        <w:rPr>
          <w:rFonts w:ascii="SimSun" w:hAnsi="SimSun" w:cs="Times New Roman" w:hint="eastAsia"/>
          <w:szCs w:val="22"/>
        </w:rPr>
        <w:t>国家创意产业的</w:t>
      </w:r>
      <w:r w:rsidR="00562FA6" w:rsidRPr="002452A3">
        <w:rPr>
          <w:rFonts w:ascii="SimSun" w:hAnsi="SimSun" w:cs="Times New Roman" w:hint="eastAsia"/>
          <w:szCs w:val="22"/>
        </w:rPr>
        <w:t>潜在</w:t>
      </w:r>
      <w:r w:rsidR="00B26A42" w:rsidRPr="002452A3">
        <w:rPr>
          <w:rFonts w:ascii="SimSun" w:hAnsi="SimSun" w:cs="Times New Roman" w:hint="eastAsia"/>
          <w:szCs w:val="22"/>
        </w:rPr>
        <w:t>劳动效率低下。</w:t>
      </w:r>
    </w:p>
    <w:p w14:paraId="7E69856D" w14:textId="3551F1C8" w:rsidR="00CE41A1" w:rsidRPr="002452A3" w:rsidRDefault="006D75D0"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hint="eastAsia"/>
          <w:szCs w:val="22"/>
        </w:rPr>
        <w:lastRenderedPageBreak/>
        <w:t>鉴于全球创意产业</w:t>
      </w:r>
      <w:r w:rsidR="002920C7" w:rsidRPr="002452A3">
        <w:rPr>
          <w:rFonts w:ascii="SimSun" w:hAnsi="SimSun" w:cs="Times New Roman" w:hint="eastAsia"/>
          <w:szCs w:val="22"/>
        </w:rPr>
        <w:t>的</w:t>
      </w:r>
      <w:r w:rsidRPr="002452A3">
        <w:rPr>
          <w:rFonts w:ascii="SimSun" w:hAnsi="SimSun" w:cs="Times New Roman" w:hint="eastAsia"/>
          <w:szCs w:val="22"/>
        </w:rPr>
        <w:t>持续强劲增长，以及数字环境在创意作品的创作、制作和传播中发挥的变革性作用，现在正是重新审视和评估创意产业对产权组织成员国经济影响的良机。</w:t>
      </w:r>
      <w:r w:rsidR="004848A5" w:rsidRPr="002452A3">
        <w:rPr>
          <w:rFonts w:ascii="SimSun" w:hAnsi="SimSun" w:cs="Times New Roman" w:hint="eastAsia"/>
          <w:szCs w:val="22"/>
        </w:rPr>
        <w:t>产权组织</w:t>
      </w:r>
      <w:r w:rsidRPr="002452A3">
        <w:rPr>
          <w:rFonts w:ascii="SimSun" w:hAnsi="SimSun" w:cs="Times New Roman" w:hint="eastAsia"/>
          <w:szCs w:val="22"/>
        </w:rPr>
        <w:t>现有的许多经济研究已超过十年，</w:t>
      </w:r>
      <w:r w:rsidR="00490CF7" w:rsidRPr="002452A3">
        <w:rPr>
          <w:rFonts w:ascii="SimSun" w:hAnsi="SimSun" w:cs="Times New Roman" w:hint="eastAsia"/>
          <w:szCs w:val="22"/>
        </w:rPr>
        <w:t>未</w:t>
      </w:r>
      <w:r w:rsidR="007C3ACE" w:rsidRPr="002452A3">
        <w:rPr>
          <w:rFonts w:ascii="SimSun" w:hAnsi="SimSun" w:cs="Times New Roman" w:hint="eastAsia"/>
          <w:szCs w:val="22"/>
        </w:rPr>
        <w:t>反映</w:t>
      </w:r>
      <w:r w:rsidRPr="002452A3">
        <w:rPr>
          <w:rFonts w:ascii="SimSun" w:hAnsi="SimSun" w:cs="Times New Roman" w:hint="eastAsia"/>
          <w:szCs w:val="22"/>
        </w:rPr>
        <w:t>创意产业</w:t>
      </w:r>
      <w:r w:rsidR="00477B01" w:rsidRPr="002452A3">
        <w:rPr>
          <w:rFonts w:ascii="SimSun" w:hAnsi="SimSun" w:cs="Times New Roman" w:hint="eastAsia"/>
          <w:szCs w:val="22"/>
        </w:rPr>
        <w:t>如何运作</w:t>
      </w:r>
      <w:r w:rsidRPr="002452A3">
        <w:rPr>
          <w:rFonts w:ascii="SimSun" w:hAnsi="SimSun" w:cs="Times New Roman" w:hint="eastAsia"/>
          <w:szCs w:val="22"/>
        </w:rPr>
        <w:t>或成员国政府</w:t>
      </w:r>
      <w:r w:rsidR="00477B01" w:rsidRPr="002452A3">
        <w:rPr>
          <w:rFonts w:ascii="SimSun" w:hAnsi="SimSun" w:cs="Times New Roman" w:hint="eastAsia"/>
          <w:szCs w:val="22"/>
        </w:rPr>
        <w:t>如何</w:t>
      </w:r>
      <w:r w:rsidRPr="002452A3">
        <w:rPr>
          <w:rFonts w:ascii="SimSun" w:hAnsi="SimSun" w:cs="Times New Roman" w:hint="eastAsia"/>
          <w:szCs w:val="22"/>
        </w:rPr>
        <w:t>收集数字市场数据的最新发展。</w:t>
      </w:r>
    </w:p>
    <w:p w14:paraId="3130A71A" w14:textId="7A1AD89C" w:rsidR="00CE41A1" w:rsidRPr="002452A3" w:rsidRDefault="00894249"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hint="eastAsia"/>
          <w:szCs w:val="22"/>
        </w:rPr>
        <w:t>鉴于人工智能在过去三年</w:t>
      </w:r>
      <w:r w:rsidR="007C2920" w:rsidRPr="002452A3">
        <w:rPr>
          <w:rFonts w:ascii="SimSun" w:hAnsi="SimSun" w:cs="Times New Roman" w:hint="eastAsia"/>
          <w:szCs w:val="22"/>
        </w:rPr>
        <w:t>里</w:t>
      </w:r>
      <w:r w:rsidRPr="002452A3">
        <w:rPr>
          <w:rFonts w:ascii="SimSun" w:hAnsi="SimSun" w:cs="Times New Roman" w:hint="eastAsia"/>
          <w:szCs w:val="22"/>
        </w:rPr>
        <w:t>的爆炸式增长，</w:t>
      </w:r>
      <w:r w:rsidR="00B2056C" w:rsidRPr="002452A3">
        <w:rPr>
          <w:rFonts w:ascii="SimSun" w:hAnsi="SimSun" w:cs="Times New Roman" w:hint="eastAsia"/>
          <w:szCs w:val="22"/>
        </w:rPr>
        <w:t>及时</w:t>
      </w:r>
      <w:r w:rsidRPr="002452A3">
        <w:rPr>
          <w:rFonts w:ascii="SimSun" w:hAnsi="SimSun" w:cs="Times New Roman" w:hint="eastAsia"/>
          <w:szCs w:val="22"/>
        </w:rPr>
        <w:t>记录和评估当前创意产业的经济状况尤为重要。此类</w:t>
      </w:r>
      <w:r w:rsidR="0018439F" w:rsidRPr="002452A3">
        <w:rPr>
          <w:rFonts w:ascii="SimSun" w:hAnsi="SimSun" w:cs="Times New Roman" w:hint="eastAsia"/>
          <w:szCs w:val="22"/>
        </w:rPr>
        <w:t>文献</w:t>
      </w:r>
      <w:r w:rsidRPr="002452A3">
        <w:rPr>
          <w:rFonts w:ascii="SimSun" w:hAnsi="SimSun" w:cs="Times New Roman" w:hint="eastAsia"/>
          <w:szCs w:val="22"/>
        </w:rPr>
        <w:t>记录将</w:t>
      </w:r>
      <w:r w:rsidR="00A93F63" w:rsidRPr="002452A3">
        <w:rPr>
          <w:rFonts w:ascii="SimSun" w:hAnsi="SimSun" w:cs="Times New Roman" w:hint="eastAsia"/>
          <w:szCs w:val="22"/>
        </w:rPr>
        <w:t>作为</w:t>
      </w:r>
      <w:r w:rsidRPr="002452A3">
        <w:rPr>
          <w:rFonts w:ascii="SimSun" w:hAnsi="SimSun" w:cs="Times New Roman" w:hint="eastAsia"/>
          <w:szCs w:val="22"/>
        </w:rPr>
        <w:t>未来</w:t>
      </w:r>
      <w:r w:rsidR="00A93F63" w:rsidRPr="002452A3">
        <w:rPr>
          <w:rFonts w:ascii="SimSun" w:hAnsi="SimSun" w:cs="Times New Roman" w:hint="eastAsia"/>
          <w:szCs w:val="22"/>
        </w:rPr>
        <w:t>比较</w:t>
      </w:r>
      <w:r w:rsidRPr="002452A3">
        <w:rPr>
          <w:rFonts w:ascii="SimSun" w:hAnsi="SimSun" w:cs="Times New Roman" w:hint="eastAsia"/>
          <w:szCs w:val="22"/>
        </w:rPr>
        <w:t>以及制定创意</w:t>
      </w:r>
      <w:r w:rsidR="001444FD" w:rsidRPr="002452A3">
        <w:rPr>
          <w:rFonts w:ascii="SimSun" w:hAnsi="SimSun" w:cs="Times New Roman" w:hint="eastAsia"/>
          <w:szCs w:val="22"/>
        </w:rPr>
        <w:t>领域</w:t>
      </w:r>
      <w:r w:rsidR="00D70EA8" w:rsidRPr="002452A3">
        <w:rPr>
          <w:rFonts w:ascii="SimSun" w:hAnsi="SimSun" w:cs="Times New Roman" w:hint="eastAsia"/>
          <w:szCs w:val="22"/>
        </w:rPr>
        <w:t>可持续</w:t>
      </w:r>
      <w:r w:rsidRPr="002452A3">
        <w:rPr>
          <w:rFonts w:ascii="SimSun" w:hAnsi="SimSun" w:cs="Times New Roman" w:hint="eastAsia"/>
          <w:szCs w:val="22"/>
        </w:rPr>
        <w:t>增长的最佳</w:t>
      </w:r>
      <w:r w:rsidR="006949EF" w:rsidRPr="002452A3">
        <w:rPr>
          <w:rFonts w:ascii="SimSun" w:hAnsi="SimSun" w:cs="Times New Roman" w:hint="eastAsia"/>
          <w:szCs w:val="22"/>
        </w:rPr>
        <w:t>做法的基线</w:t>
      </w:r>
      <w:r w:rsidRPr="002452A3">
        <w:rPr>
          <w:rFonts w:ascii="SimSun" w:hAnsi="SimSun" w:cs="Times New Roman" w:hint="eastAsia"/>
          <w:szCs w:val="22"/>
        </w:rPr>
        <w:t>。</w:t>
      </w:r>
    </w:p>
    <w:p w14:paraId="0D3C6445" w14:textId="6100DB65" w:rsidR="00CE41A1" w:rsidRPr="002452A3" w:rsidRDefault="00666372" w:rsidP="000C68D3">
      <w:pPr>
        <w:spacing w:afterLines="50" w:after="120" w:line="340" w:lineRule="atLeast"/>
        <w:ind w:firstLineChars="200" w:firstLine="440"/>
        <w:jc w:val="both"/>
        <w:rPr>
          <w:rFonts w:ascii="SimSun" w:hAnsi="SimSun" w:cs="Times New Roman"/>
          <w:szCs w:val="22"/>
        </w:rPr>
      </w:pPr>
      <w:r w:rsidRPr="002452A3">
        <w:rPr>
          <w:rFonts w:ascii="SimSun" w:hAnsi="SimSun" w:cs="Times New Roman" w:hint="eastAsia"/>
          <w:szCs w:val="22"/>
        </w:rPr>
        <w:t>因此，</w:t>
      </w:r>
      <w:r w:rsidR="007835ED" w:rsidRPr="002452A3">
        <w:rPr>
          <w:rFonts w:ascii="SimSun" w:hAnsi="SimSun" w:cs="Times New Roman" w:hint="eastAsia"/>
          <w:szCs w:val="22"/>
        </w:rPr>
        <w:t>建议</w:t>
      </w:r>
      <w:r w:rsidRPr="002452A3">
        <w:rPr>
          <w:rFonts w:ascii="SimSun" w:hAnsi="SimSun" w:cs="Times New Roman" w:hint="eastAsia"/>
          <w:szCs w:val="22"/>
        </w:rPr>
        <w:t>产权组织</w:t>
      </w:r>
      <w:r w:rsidR="00080422" w:rsidRPr="002452A3">
        <w:rPr>
          <w:rFonts w:ascii="SimSun" w:hAnsi="SimSun" w:cs="Times New Roman" w:hint="eastAsia"/>
          <w:szCs w:val="22"/>
        </w:rPr>
        <w:t>知识产权和创新生态系统部门</w:t>
      </w:r>
      <w:r w:rsidRPr="002452A3">
        <w:rPr>
          <w:rFonts w:ascii="SimSun" w:hAnsi="SimSun" w:cs="Times New Roman" w:hint="eastAsia"/>
          <w:szCs w:val="22"/>
        </w:rPr>
        <w:t>与</w:t>
      </w:r>
      <w:r w:rsidR="003A0943" w:rsidRPr="002452A3">
        <w:rPr>
          <w:rFonts w:ascii="SimSun" w:hAnsi="SimSun" w:cs="Times New Roman" w:hint="eastAsia"/>
          <w:szCs w:val="22"/>
        </w:rPr>
        <w:t>版权和创意产业部门</w:t>
      </w:r>
      <w:r w:rsidRPr="002452A3">
        <w:rPr>
          <w:rFonts w:ascii="SimSun" w:hAnsi="SimSun" w:cs="Times New Roman" w:hint="eastAsia"/>
          <w:szCs w:val="22"/>
        </w:rPr>
        <w:t>协商</w:t>
      </w:r>
      <w:r w:rsidR="00844823" w:rsidRPr="002452A3">
        <w:rPr>
          <w:rFonts w:ascii="SimSun" w:hAnsi="SimSun" w:cs="Times New Roman" w:hint="eastAsia"/>
          <w:szCs w:val="22"/>
        </w:rPr>
        <w:t>编拟</w:t>
      </w:r>
      <w:r w:rsidRPr="002452A3">
        <w:rPr>
          <w:rFonts w:ascii="SimSun" w:hAnsi="SimSun" w:cs="Times New Roman" w:hint="eastAsia"/>
          <w:szCs w:val="22"/>
        </w:rPr>
        <w:t>一份新的</w:t>
      </w:r>
      <w:r w:rsidR="00684939" w:rsidRPr="002452A3">
        <w:rPr>
          <w:rFonts w:ascii="SimSun" w:hAnsi="SimSun" w:cs="Times New Roman" w:hint="eastAsia"/>
          <w:szCs w:val="22"/>
        </w:rPr>
        <w:t>“</w:t>
      </w:r>
      <w:r w:rsidRPr="002452A3">
        <w:rPr>
          <w:rFonts w:ascii="SimSun" w:hAnsi="SimSun" w:cs="Times New Roman" w:hint="eastAsia"/>
          <w:szCs w:val="22"/>
        </w:rPr>
        <w:t>创意产业与经济增长</w:t>
      </w:r>
      <w:r w:rsidR="00E06DC5" w:rsidRPr="002452A3">
        <w:rPr>
          <w:rFonts w:ascii="SimSun" w:hAnsi="SimSun" w:cs="Times New Roman" w:hint="eastAsia"/>
          <w:szCs w:val="22"/>
        </w:rPr>
        <w:t>的</w:t>
      </w:r>
      <w:r w:rsidR="00684939" w:rsidRPr="002452A3">
        <w:rPr>
          <w:rFonts w:ascii="SimSun" w:hAnsi="SimSun" w:cs="Times New Roman" w:hint="eastAsia"/>
          <w:szCs w:val="22"/>
        </w:rPr>
        <w:t>汇总</w:t>
      </w:r>
      <w:r w:rsidRPr="002452A3">
        <w:rPr>
          <w:rFonts w:ascii="SimSun" w:hAnsi="SimSun" w:cs="Times New Roman" w:hint="eastAsia"/>
          <w:szCs w:val="22"/>
        </w:rPr>
        <w:t>研究</w:t>
      </w:r>
      <w:r w:rsidR="00684939" w:rsidRPr="002452A3">
        <w:rPr>
          <w:rFonts w:ascii="SimSun" w:hAnsi="SimSun" w:cs="Times New Roman" w:hint="eastAsia"/>
          <w:szCs w:val="22"/>
        </w:rPr>
        <w:t>”</w:t>
      </w:r>
      <w:r w:rsidRPr="002452A3">
        <w:rPr>
          <w:rFonts w:ascii="SimSun" w:hAnsi="SimSun" w:cs="Times New Roman" w:hint="eastAsia"/>
          <w:szCs w:val="22"/>
        </w:rPr>
        <w:t>（以下简称“</w:t>
      </w:r>
      <w:r w:rsidR="009C47EE" w:rsidRPr="002452A3">
        <w:rPr>
          <w:rFonts w:ascii="SimSun" w:hAnsi="SimSun" w:cs="Times New Roman" w:hint="eastAsia"/>
          <w:szCs w:val="22"/>
        </w:rPr>
        <w:t>研究</w:t>
      </w:r>
      <w:r w:rsidRPr="002452A3">
        <w:rPr>
          <w:rFonts w:ascii="SimSun" w:hAnsi="SimSun" w:cs="Times New Roman" w:hint="eastAsia"/>
          <w:szCs w:val="22"/>
        </w:rPr>
        <w:t>”），重新评估以往的方法，纳入数字市场影响的新</w:t>
      </w:r>
      <w:r w:rsidR="00C02C93" w:rsidRPr="002452A3">
        <w:rPr>
          <w:rFonts w:ascii="SimSun" w:hAnsi="SimSun" w:cs="Times New Roman" w:hint="eastAsia"/>
          <w:szCs w:val="22"/>
        </w:rPr>
        <w:t>衡量</w:t>
      </w:r>
      <w:r w:rsidRPr="002452A3">
        <w:rPr>
          <w:rFonts w:ascii="SimSun" w:hAnsi="SimSun" w:cs="Times New Roman" w:hint="eastAsia"/>
          <w:szCs w:val="22"/>
        </w:rPr>
        <w:t>指标，并反映创意产业</w:t>
      </w:r>
      <w:r w:rsidR="003265DE" w:rsidRPr="002452A3">
        <w:rPr>
          <w:rFonts w:ascii="SimSun" w:hAnsi="SimSun" w:cs="Times New Roman" w:hint="eastAsia"/>
          <w:szCs w:val="22"/>
        </w:rPr>
        <w:t>在</w:t>
      </w:r>
      <w:r w:rsidRPr="002452A3">
        <w:rPr>
          <w:rFonts w:ascii="SimSun" w:hAnsi="SimSun" w:cs="Times New Roman" w:hint="eastAsia"/>
          <w:szCs w:val="22"/>
        </w:rPr>
        <w:t>产权组织成员国</w:t>
      </w:r>
      <w:r w:rsidR="005F082E" w:rsidRPr="002452A3">
        <w:rPr>
          <w:rFonts w:ascii="SimSun" w:hAnsi="SimSun" w:cs="Times New Roman" w:hint="eastAsia"/>
          <w:szCs w:val="22"/>
        </w:rPr>
        <w:t>的</w:t>
      </w:r>
      <w:r w:rsidRPr="002452A3">
        <w:rPr>
          <w:rFonts w:ascii="SimSun" w:hAnsi="SimSun" w:cs="Times New Roman" w:hint="eastAsia"/>
          <w:szCs w:val="22"/>
        </w:rPr>
        <w:t>当前经济影响。为确保</w:t>
      </w:r>
      <w:r w:rsidR="004A7EAB" w:rsidRPr="002452A3">
        <w:rPr>
          <w:rFonts w:ascii="SimSun" w:hAnsi="SimSun" w:cs="Times New Roman" w:hint="eastAsia"/>
          <w:szCs w:val="22"/>
        </w:rPr>
        <w:t>研究</w:t>
      </w:r>
      <w:r w:rsidRPr="002452A3">
        <w:rPr>
          <w:rFonts w:ascii="SimSun" w:hAnsi="SimSun" w:cs="Times New Roman" w:hint="eastAsia"/>
          <w:szCs w:val="22"/>
        </w:rPr>
        <w:t>与影响</w:t>
      </w:r>
      <w:r w:rsidR="0031157D" w:rsidRPr="002452A3">
        <w:rPr>
          <w:rFonts w:ascii="SimSun" w:hAnsi="SimSun" w:cs="Times New Roman" w:hint="eastAsia"/>
          <w:szCs w:val="22"/>
        </w:rPr>
        <w:t>全球</w:t>
      </w:r>
      <w:r w:rsidRPr="002452A3">
        <w:rPr>
          <w:rFonts w:ascii="SimSun" w:hAnsi="SimSun" w:cs="Times New Roman" w:hint="eastAsia"/>
          <w:szCs w:val="22"/>
        </w:rPr>
        <w:t>创作者和创意产业的现代经济发展</w:t>
      </w:r>
      <w:r w:rsidR="0019066A" w:rsidRPr="002452A3">
        <w:rPr>
          <w:rFonts w:ascii="SimSun" w:hAnsi="SimSun" w:cs="Times New Roman" w:hint="eastAsia"/>
          <w:szCs w:val="22"/>
        </w:rPr>
        <w:t>和</w:t>
      </w:r>
      <w:r w:rsidRPr="002452A3">
        <w:rPr>
          <w:rFonts w:ascii="SimSun" w:hAnsi="SimSun" w:cs="Times New Roman" w:hint="eastAsia"/>
          <w:szCs w:val="22"/>
        </w:rPr>
        <w:t>趋势</w:t>
      </w:r>
      <w:r w:rsidR="006F4F75" w:rsidRPr="002452A3">
        <w:rPr>
          <w:rFonts w:ascii="SimSun" w:hAnsi="SimSun" w:cs="Times New Roman" w:hint="eastAsia"/>
          <w:szCs w:val="22"/>
        </w:rPr>
        <w:t>相关联</w:t>
      </w:r>
      <w:r w:rsidRPr="002452A3">
        <w:rPr>
          <w:rFonts w:ascii="SimSun" w:hAnsi="SimSun" w:cs="Times New Roman" w:hint="eastAsia"/>
          <w:szCs w:val="22"/>
        </w:rPr>
        <w:t>，</w:t>
      </w:r>
      <w:r w:rsidR="00B6371C" w:rsidRPr="002452A3">
        <w:rPr>
          <w:rFonts w:ascii="SimSun" w:hAnsi="SimSun" w:cs="Times New Roman" w:hint="eastAsia"/>
          <w:szCs w:val="22"/>
        </w:rPr>
        <w:t>并且</w:t>
      </w:r>
      <w:r w:rsidR="00CA73AD" w:rsidRPr="002452A3">
        <w:rPr>
          <w:rFonts w:ascii="SimSun" w:hAnsi="SimSun" w:cs="Times New Roman" w:hint="eastAsia"/>
          <w:szCs w:val="22"/>
        </w:rPr>
        <w:t>能够</w:t>
      </w:r>
      <w:r w:rsidRPr="002452A3">
        <w:rPr>
          <w:rFonts w:ascii="SimSun" w:hAnsi="SimSun" w:cs="Times New Roman" w:hint="eastAsia"/>
          <w:szCs w:val="22"/>
        </w:rPr>
        <w:t>作为</w:t>
      </w:r>
      <w:r w:rsidR="00FE20E7" w:rsidRPr="002452A3">
        <w:rPr>
          <w:rFonts w:ascii="SimSun" w:hAnsi="SimSun" w:cs="Times New Roman" w:hint="eastAsia"/>
          <w:szCs w:val="22"/>
        </w:rPr>
        <w:t>不偏颇</w:t>
      </w:r>
      <w:r w:rsidRPr="002452A3">
        <w:rPr>
          <w:rFonts w:ascii="SimSun" w:hAnsi="SimSun" w:cs="Times New Roman" w:hint="eastAsia"/>
          <w:szCs w:val="22"/>
        </w:rPr>
        <w:t>且易于使用的比较工具，</w:t>
      </w:r>
      <w:r w:rsidR="00F71303" w:rsidRPr="002452A3">
        <w:rPr>
          <w:rFonts w:ascii="SimSun" w:hAnsi="SimSun" w:cs="Times New Roman" w:hint="eastAsia"/>
          <w:szCs w:val="22"/>
        </w:rPr>
        <w:t>研究</w:t>
      </w:r>
      <w:r w:rsidRPr="002452A3">
        <w:rPr>
          <w:rFonts w:ascii="SimSun" w:hAnsi="SimSun" w:cs="Times New Roman" w:hint="eastAsia"/>
          <w:szCs w:val="22"/>
        </w:rPr>
        <w:t>将包含以下参数：</w:t>
      </w:r>
    </w:p>
    <w:tbl>
      <w:tblPr>
        <w:tblStyle w:val="TableGrid"/>
        <w:tblW w:w="0" w:type="auto"/>
        <w:tblLook w:val="04A0" w:firstRow="1" w:lastRow="0" w:firstColumn="1" w:lastColumn="0" w:noHBand="0" w:noVBand="1"/>
      </w:tblPr>
      <w:tblGrid>
        <w:gridCol w:w="3593"/>
        <w:gridCol w:w="5752"/>
      </w:tblGrid>
      <w:tr w:rsidR="00CE41A1" w:rsidRPr="000C68D3" w14:paraId="3A5425DD" w14:textId="77777777" w:rsidTr="000C68D3">
        <w:tc>
          <w:tcPr>
            <w:tcW w:w="3593" w:type="dxa"/>
          </w:tcPr>
          <w:p w14:paraId="7218A4BD" w14:textId="4A47A917" w:rsidR="00CE41A1" w:rsidRPr="000C68D3" w:rsidRDefault="00A75630" w:rsidP="002452A3">
            <w:pPr>
              <w:spacing w:afterLines="50" w:after="120" w:line="340" w:lineRule="atLeast"/>
              <w:rPr>
                <w:rFonts w:ascii="SimSun" w:eastAsia="SimSun" w:hAnsi="SimSun" w:cs="Times New Roman"/>
                <w:b/>
                <w:bCs/>
                <w:szCs w:val="22"/>
              </w:rPr>
            </w:pPr>
            <w:r w:rsidRPr="000C68D3">
              <w:rPr>
                <w:rFonts w:ascii="SimSun" w:eastAsia="SimSun" w:hAnsi="SimSun" w:cs="Times New Roman" w:hint="eastAsia"/>
                <w:b/>
                <w:bCs/>
                <w:szCs w:val="22"/>
              </w:rPr>
              <w:t>参数</w:t>
            </w:r>
          </w:p>
        </w:tc>
        <w:tc>
          <w:tcPr>
            <w:tcW w:w="5752" w:type="dxa"/>
          </w:tcPr>
          <w:p w14:paraId="3674CFC9" w14:textId="2C92C554" w:rsidR="00CE41A1" w:rsidRPr="000C68D3" w:rsidRDefault="004571A0" w:rsidP="002452A3">
            <w:pPr>
              <w:spacing w:afterLines="50" w:after="120" w:line="340" w:lineRule="atLeast"/>
              <w:rPr>
                <w:rFonts w:ascii="SimSun" w:eastAsia="SimSun" w:hAnsi="SimSun" w:cs="Times New Roman"/>
                <w:b/>
                <w:bCs/>
                <w:szCs w:val="22"/>
              </w:rPr>
            </w:pPr>
            <w:r w:rsidRPr="000C68D3">
              <w:rPr>
                <w:rFonts w:ascii="SimSun" w:eastAsia="SimSun" w:hAnsi="SimSun" w:cs="Times New Roman" w:hint="eastAsia"/>
                <w:b/>
                <w:bCs/>
                <w:szCs w:val="22"/>
              </w:rPr>
              <w:t>说明</w:t>
            </w:r>
          </w:p>
        </w:tc>
      </w:tr>
      <w:tr w:rsidR="00CE41A1" w:rsidRPr="000C68D3" w14:paraId="2A90E6AD" w14:textId="77777777" w:rsidTr="000C68D3">
        <w:tc>
          <w:tcPr>
            <w:tcW w:w="3593" w:type="dxa"/>
          </w:tcPr>
          <w:p w14:paraId="493D72F1" w14:textId="10391BCC" w:rsidR="00CE41A1" w:rsidRPr="000C68D3" w:rsidRDefault="00A75630" w:rsidP="002452A3">
            <w:pPr>
              <w:spacing w:afterLines="50" w:after="120" w:line="340" w:lineRule="atLeast"/>
              <w:rPr>
                <w:rFonts w:ascii="SimSun" w:eastAsia="SimSun" w:hAnsi="SimSun" w:cs="Times New Roman"/>
                <w:szCs w:val="22"/>
              </w:rPr>
            </w:pPr>
            <w:r w:rsidRPr="000C68D3">
              <w:rPr>
                <w:rFonts w:ascii="SimSun" w:eastAsia="SimSun" w:hAnsi="SimSun" w:cs="Times New Roman" w:hint="eastAsia"/>
                <w:szCs w:val="22"/>
              </w:rPr>
              <w:t>方法</w:t>
            </w:r>
          </w:p>
        </w:tc>
        <w:tc>
          <w:tcPr>
            <w:tcW w:w="5752" w:type="dxa"/>
          </w:tcPr>
          <w:p w14:paraId="556F515B" w14:textId="13C50A47" w:rsidR="00CE41A1" w:rsidRPr="000C68D3" w:rsidRDefault="00A75630" w:rsidP="000C68D3">
            <w:pPr>
              <w:spacing w:afterLines="50" w:after="120" w:line="340" w:lineRule="atLeast"/>
              <w:jc w:val="both"/>
              <w:rPr>
                <w:rFonts w:ascii="SimSun" w:eastAsia="SimSun" w:hAnsi="SimSun" w:cs="Times New Roman"/>
                <w:szCs w:val="22"/>
              </w:rPr>
            </w:pPr>
            <w:r w:rsidRPr="000C68D3">
              <w:rPr>
                <w:rFonts w:ascii="SimSun" w:eastAsia="SimSun" w:hAnsi="SimSun" w:cs="Times New Roman" w:hint="eastAsia"/>
                <w:szCs w:val="22"/>
              </w:rPr>
              <w:t>研究将遵循2015年《</w:t>
            </w:r>
            <w:r w:rsidR="005B55F5" w:rsidRPr="000C68D3">
              <w:rPr>
                <w:rFonts w:ascii="SimSun" w:eastAsia="SimSun" w:hAnsi="SimSun" w:cs="Times New Roman" w:hint="eastAsia"/>
                <w:szCs w:val="22"/>
              </w:rPr>
              <w:t>产权组织关于版权产业的经济贡献的调查指南》</w:t>
            </w:r>
            <w:r w:rsidRPr="000C68D3">
              <w:rPr>
                <w:rFonts w:ascii="SimSun" w:eastAsia="SimSun" w:hAnsi="SimSun" w:cs="Times New Roman" w:hint="eastAsia"/>
                <w:szCs w:val="22"/>
              </w:rPr>
              <w:t>中</w:t>
            </w:r>
            <w:r w:rsidR="008D7A1E" w:rsidRPr="000C68D3">
              <w:rPr>
                <w:rFonts w:ascii="SimSun" w:eastAsia="SimSun" w:hAnsi="SimSun" w:cs="Times New Roman" w:hint="eastAsia"/>
                <w:szCs w:val="22"/>
              </w:rPr>
              <w:t>提供</w:t>
            </w:r>
            <w:r w:rsidRPr="000C68D3">
              <w:rPr>
                <w:rFonts w:ascii="SimSun" w:eastAsia="SimSun" w:hAnsi="SimSun" w:cs="Times New Roman" w:hint="eastAsia"/>
                <w:szCs w:val="22"/>
              </w:rPr>
              <w:t>的所有定义和计算。</w:t>
            </w:r>
          </w:p>
        </w:tc>
      </w:tr>
      <w:tr w:rsidR="00CE41A1" w:rsidRPr="000C68D3" w14:paraId="647E045F" w14:textId="77777777" w:rsidTr="000C68D3">
        <w:tc>
          <w:tcPr>
            <w:tcW w:w="3593" w:type="dxa"/>
          </w:tcPr>
          <w:p w14:paraId="13EE53CA" w14:textId="79EC09F1" w:rsidR="00CE41A1" w:rsidRPr="000C68D3" w:rsidRDefault="00BF3EEF" w:rsidP="002452A3">
            <w:pPr>
              <w:spacing w:afterLines="50" w:after="120" w:line="340" w:lineRule="atLeast"/>
              <w:rPr>
                <w:rFonts w:ascii="SimSun" w:eastAsia="SimSun" w:hAnsi="SimSun" w:cs="Times New Roman"/>
                <w:szCs w:val="22"/>
              </w:rPr>
            </w:pPr>
            <w:r w:rsidRPr="000C68D3">
              <w:rPr>
                <w:rFonts w:ascii="SimSun" w:eastAsia="SimSun" w:hAnsi="SimSun" w:cs="Times New Roman" w:hint="eastAsia"/>
                <w:szCs w:val="22"/>
              </w:rPr>
              <w:t>数据集</w:t>
            </w:r>
          </w:p>
        </w:tc>
        <w:tc>
          <w:tcPr>
            <w:tcW w:w="5752" w:type="dxa"/>
          </w:tcPr>
          <w:p w14:paraId="39113729" w14:textId="72AAAE81" w:rsidR="00CE41A1" w:rsidRPr="000C68D3" w:rsidRDefault="009C3A9B" w:rsidP="000C68D3">
            <w:pPr>
              <w:spacing w:afterLines="50" w:after="120" w:line="340" w:lineRule="atLeast"/>
              <w:jc w:val="both"/>
              <w:rPr>
                <w:rFonts w:ascii="SimSun" w:eastAsia="SimSun" w:hAnsi="SimSun" w:cs="Times New Roman"/>
                <w:szCs w:val="22"/>
              </w:rPr>
            </w:pPr>
            <w:r w:rsidRPr="000C68D3">
              <w:rPr>
                <w:rFonts w:ascii="SimSun" w:eastAsia="SimSun" w:hAnsi="SimSun" w:cs="Times New Roman" w:hint="eastAsia"/>
                <w:szCs w:val="22"/>
              </w:rPr>
              <w:t>成员国用于计算研究结果的数据必须来自</w:t>
            </w:r>
            <w:r w:rsidR="005F3324" w:rsidRPr="000C68D3">
              <w:rPr>
                <w:rFonts w:ascii="SimSun" w:eastAsia="SimSun" w:hAnsi="SimSun" w:cs="Times New Roman" w:hint="eastAsia"/>
                <w:szCs w:val="22"/>
              </w:rPr>
              <w:t>本</w:t>
            </w:r>
            <w:r w:rsidRPr="000C68D3">
              <w:rPr>
                <w:rFonts w:ascii="SimSun" w:eastAsia="SimSun" w:hAnsi="SimSun" w:cs="Times New Roman" w:hint="eastAsia"/>
                <w:szCs w:val="22"/>
              </w:rPr>
              <w:t>研究</w:t>
            </w:r>
            <w:r w:rsidR="001C4519" w:rsidRPr="000C68D3">
              <w:rPr>
                <w:rFonts w:ascii="SimSun" w:eastAsia="SimSun" w:hAnsi="SimSun" w:cs="Times New Roman" w:hint="eastAsia"/>
                <w:szCs w:val="22"/>
              </w:rPr>
              <w:t>得到</w:t>
            </w:r>
            <w:r w:rsidR="006F125B" w:rsidRPr="000C68D3">
              <w:rPr>
                <w:rFonts w:ascii="SimSun" w:eastAsia="SimSun" w:hAnsi="SimSun" w:cs="Times New Roman" w:hint="eastAsia"/>
                <w:szCs w:val="22"/>
              </w:rPr>
              <w:t>批准时</w:t>
            </w:r>
            <w:r w:rsidRPr="000C68D3">
              <w:rPr>
                <w:rFonts w:ascii="SimSun" w:eastAsia="SimSun" w:hAnsi="SimSun" w:cs="Times New Roman" w:hint="eastAsia"/>
                <w:szCs w:val="22"/>
              </w:rPr>
              <w:t>可</w:t>
            </w:r>
            <w:r w:rsidR="004132EF" w:rsidRPr="000C68D3">
              <w:rPr>
                <w:rFonts w:ascii="SimSun" w:eastAsia="SimSun" w:hAnsi="SimSun" w:cs="Times New Roman" w:hint="eastAsia"/>
                <w:szCs w:val="22"/>
              </w:rPr>
              <w:t>用</w:t>
            </w:r>
            <w:r w:rsidRPr="000C68D3">
              <w:rPr>
                <w:rFonts w:ascii="SimSun" w:eastAsia="SimSun" w:hAnsi="SimSun" w:cs="Times New Roman" w:hint="eastAsia"/>
                <w:szCs w:val="22"/>
              </w:rPr>
              <w:t>的最新国家经济数据。</w:t>
            </w:r>
          </w:p>
        </w:tc>
      </w:tr>
      <w:tr w:rsidR="00CE41A1" w:rsidRPr="000C68D3" w14:paraId="22D12330" w14:textId="77777777" w:rsidTr="000C68D3">
        <w:tc>
          <w:tcPr>
            <w:tcW w:w="3593" w:type="dxa"/>
          </w:tcPr>
          <w:p w14:paraId="517AA09B" w14:textId="63E18611" w:rsidR="00CE41A1" w:rsidRPr="000C68D3" w:rsidRDefault="00604E74" w:rsidP="002452A3">
            <w:pPr>
              <w:spacing w:afterLines="50" w:after="120" w:line="340" w:lineRule="atLeast"/>
              <w:rPr>
                <w:rFonts w:ascii="SimSun" w:eastAsia="SimSun" w:hAnsi="SimSun" w:cs="Times New Roman"/>
                <w:szCs w:val="22"/>
              </w:rPr>
            </w:pPr>
            <w:r w:rsidRPr="000C68D3">
              <w:rPr>
                <w:rFonts w:ascii="SimSun" w:eastAsia="SimSun" w:hAnsi="SimSun" w:cs="Times New Roman" w:hint="eastAsia"/>
                <w:szCs w:val="22"/>
              </w:rPr>
              <w:t>衡量</w:t>
            </w:r>
            <w:r w:rsidR="00557D45" w:rsidRPr="000C68D3">
              <w:rPr>
                <w:rFonts w:ascii="SimSun" w:eastAsia="SimSun" w:hAnsi="SimSun" w:cs="Times New Roman" w:hint="eastAsia"/>
                <w:szCs w:val="22"/>
              </w:rPr>
              <w:t>的</w:t>
            </w:r>
            <w:r w:rsidRPr="000C68D3">
              <w:rPr>
                <w:rFonts w:ascii="SimSun" w:eastAsia="SimSun" w:hAnsi="SimSun" w:cs="Times New Roman" w:hint="eastAsia"/>
                <w:szCs w:val="22"/>
              </w:rPr>
              <w:t>成果</w:t>
            </w:r>
          </w:p>
        </w:tc>
        <w:tc>
          <w:tcPr>
            <w:tcW w:w="5752" w:type="dxa"/>
          </w:tcPr>
          <w:p w14:paraId="687029F5" w14:textId="2B80B5FB" w:rsidR="00CE41A1" w:rsidRPr="000C68D3" w:rsidRDefault="004A5741" w:rsidP="000C68D3">
            <w:pPr>
              <w:spacing w:afterLines="50" w:after="120" w:line="340" w:lineRule="atLeast"/>
              <w:jc w:val="both"/>
              <w:rPr>
                <w:rFonts w:ascii="SimSun" w:eastAsia="SimSun" w:hAnsi="SimSun" w:cs="Times New Roman"/>
                <w:szCs w:val="22"/>
              </w:rPr>
            </w:pPr>
            <w:r w:rsidRPr="000C68D3">
              <w:rPr>
                <w:rFonts w:ascii="SimSun" w:eastAsia="SimSun" w:hAnsi="SimSun" w:cs="Times New Roman" w:hint="eastAsia"/>
                <w:szCs w:val="22"/>
              </w:rPr>
              <w:t>参与</w:t>
            </w:r>
            <w:r w:rsidR="003A12C7" w:rsidRPr="000C68D3">
              <w:rPr>
                <w:rFonts w:ascii="SimSun" w:eastAsia="SimSun" w:hAnsi="SimSun" w:cs="Times New Roman" w:hint="eastAsia"/>
                <w:szCs w:val="22"/>
              </w:rPr>
              <w:t>研究</w:t>
            </w:r>
            <w:r w:rsidR="0027667E" w:rsidRPr="000C68D3">
              <w:rPr>
                <w:rFonts w:ascii="SimSun" w:eastAsia="SimSun" w:hAnsi="SimSun" w:cs="Times New Roman" w:hint="eastAsia"/>
                <w:szCs w:val="22"/>
              </w:rPr>
              <w:t>的每个</w:t>
            </w:r>
            <w:r w:rsidR="00593631" w:rsidRPr="000C68D3">
              <w:rPr>
                <w:rFonts w:ascii="SimSun" w:eastAsia="SimSun" w:hAnsi="SimSun" w:cs="Times New Roman" w:hint="eastAsia"/>
                <w:szCs w:val="22"/>
              </w:rPr>
              <w:t>成员国应尽可能提供上述三年期间</w:t>
            </w:r>
            <w:r w:rsidR="0073575C" w:rsidRPr="000C68D3">
              <w:rPr>
                <w:rFonts w:ascii="SimSun" w:eastAsia="SimSun" w:hAnsi="SimSun" w:cs="Times New Roman" w:hint="eastAsia"/>
                <w:szCs w:val="22"/>
              </w:rPr>
              <w:t>内</w:t>
            </w:r>
            <w:r w:rsidR="00593631" w:rsidRPr="000C68D3">
              <w:rPr>
                <w:rFonts w:ascii="SimSun" w:eastAsia="SimSun" w:hAnsi="SimSun" w:cs="Times New Roman" w:hint="eastAsia"/>
                <w:szCs w:val="22"/>
              </w:rPr>
              <w:t>的以下信息：</w:t>
            </w:r>
          </w:p>
          <w:p w14:paraId="7BD1DB3C" w14:textId="3987D261" w:rsidR="00EC69AE" w:rsidRPr="000C68D3" w:rsidRDefault="00EC69AE"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版权产业对GDP的贡献（百分比）</w:t>
            </w:r>
          </w:p>
          <w:p w14:paraId="3EAE27B7" w14:textId="64683292" w:rsidR="00EC69AE" w:rsidRPr="000C68D3" w:rsidRDefault="00EC69AE"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版权产业对国民就业的贡献（百分比）</w:t>
            </w:r>
          </w:p>
          <w:p w14:paraId="56FC3912" w14:textId="25B80A0C" w:rsidR="00EC69AE" w:rsidRPr="000C68D3" w:rsidRDefault="00EC69AE"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版权产业对出口的贡献（百分比）</w:t>
            </w:r>
          </w:p>
          <w:p w14:paraId="48D4CA55" w14:textId="2FAF2946" w:rsidR="00EC69AE" w:rsidRPr="000C68D3" w:rsidRDefault="00FD239A"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向</w:t>
            </w:r>
            <w:r w:rsidR="00EC69AE" w:rsidRPr="000C68D3">
              <w:rPr>
                <w:rFonts w:ascii="SimSun" w:eastAsia="SimSun" w:hAnsi="SimSun" w:cs="Times New Roman" w:hint="eastAsia"/>
                <w:sz w:val="22"/>
                <w:szCs w:val="22"/>
                <w:lang w:eastAsia="zh-CN"/>
              </w:rPr>
              <w:t>版权产业从业人员</w:t>
            </w:r>
            <w:r w:rsidRPr="000C68D3">
              <w:rPr>
                <w:rFonts w:ascii="SimSun" w:eastAsia="SimSun" w:hAnsi="SimSun" w:cs="Times New Roman" w:hint="eastAsia"/>
                <w:sz w:val="22"/>
                <w:szCs w:val="22"/>
                <w:lang w:eastAsia="zh-CN"/>
              </w:rPr>
              <w:t>支付</w:t>
            </w:r>
            <w:r w:rsidR="00EC69AE" w:rsidRPr="000C68D3">
              <w:rPr>
                <w:rFonts w:ascii="SimSun" w:eastAsia="SimSun" w:hAnsi="SimSun" w:cs="Times New Roman" w:hint="eastAsia"/>
                <w:sz w:val="22"/>
                <w:szCs w:val="22"/>
                <w:lang w:eastAsia="zh-CN"/>
              </w:rPr>
              <w:t>的</w:t>
            </w:r>
            <w:r w:rsidRPr="000C68D3">
              <w:rPr>
                <w:rFonts w:ascii="SimSun" w:eastAsia="SimSun" w:hAnsi="SimSun" w:cs="Times New Roman" w:hint="eastAsia"/>
                <w:sz w:val="22"/>
                <w:szCs w:val="22"/>
                <w:lang w:eastAsia="zh-CN"/>
              </w:rPr>
              <w:t>报酬</w:t>
            </w:r>
            <w:r w:rsidR="00EC69AE" w:rsidRPr="000C68D3">
              <w:rPr>
                <w:rFonts w:ascii="SimSun" w:eastAsia="SimSun" w:hAnsi="SimSun" w:cs="Times New Roman" w:hint="eastAsia"/>
                <w:sz w:val="22"/>
                <w:szCs w:val="22"/>
                <w:lang w:eastAsia="zh-CN"/>
              </w:rPr>
              <w:t>（与非版权产业从业人员相比的百分比）</w:t>
            </w:r>
          </w:p>
          <w:p w14:paraId="430BF43E" w14:textId="27BC003B" w:rsidR="004A5741" w:rsidRPr="000C68D3" w:rsidRDefault="00977094"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具体列举</w:t>
            </w:r>
            <w:r w:rsidR="00EC69AE" w:rsidRPr="000C68D3">
              <w:rPr>
                <w:rFonts w:ascii="SimSun" w:eastAsia="SimSun" w:hAnsi="SimSun" w:cs="Times New Roman" w:hint="eastAsia"/>
                <w:sz w:val="22"/>
                <w:szCs w:val="22"/>
                <w:lang w:eastAsia="zh-CN"/>
              </w:rPr>
              <w:t>加入并</w:t>
            </w:r>
            <w:r w:rsidR="00F30849" w:rsidRPr="000C68D3">
              <w:rPr>
                <w:rFonts w:ascii="SimSun" w:eastAsia="SimSun" w:hAnsi="SimSun" w:cs="Times New Roman" w:hint="eastAsia"/>
                <w:sz w:val="22"/>
                <w:szCs w:val="22"/>
                <w:lang w:eastAsia="zh-CN"/>
              </w:rPr>
              <w:t>实施</w:t>
            </w:r>
            <w:r w:rsidR="00EC69AE" w:rsidRPr="000C68D3">
              <w:rPr>
                <w:rFonts w:ascii="SimSun" w:eastAsia="SimSun" w:hAnsi="SimSun" w:cs="Times New Roman" w:hint="eastAsia"/>
                <w:sz w:val="22"/>
                <w:szCs w:val="22"/>
                <w:lang w:eastAsia="zh-CN"/>
              </w:rPr>
              <w:t>的</w:t>
            </w:r>
            <w:r w:rsidR="00096B7A" w:rsidRPr="000C68D3">
              <w:rPr>
                <w:rFonts w:ascii="SimSun" w:eastAsia="SimSun" w:hAnsi="SimSun" w:cs="Times New Roman" w:hint="eastAsia"/>
                <w:sz w:val="22"/>
                <w:szCs w:val="22"/>
                <w:lang w:eastAsia="zh-CN"/>
              </w:rPr>
              <w:t>产权组织</w:t>
            </w:r>
            <w:r w:rsidR="00EC69AE" w:rsidRPr="000C68D3">
              <w:rPr>
                <w:rFonts w:ascii="SimSun" w:eastAsia="SimSun" w:hAnsi="SimSun" w:cs="Times New Roman" w:hint="eastAsia"/>
                <w:sz w:val="22"/>
                <w:szCs w:val="22"/>
                <w:lang w:eastAsia="zh-CN"/>
              </w:rPr>
              <w:t>条约</w:t>
            </w:r>
          </w:p>
          <w:p w14:paraId="53E850FB" w14:textId="31ADA7CA" w:rsidR="00CE41A1" w:rsidRPr="000C68D3" w:rsidRDefault="00B9745A" w:rsidP="000C68D3">
            <w:pPr>
              <w:spacing w:afterLines="50" w:after="120" w:line="340" w:lineRule="atLeast"/>
              <w:jc w:val="both"/>
              <w:rPr>
                <w:rFonts w:ascii="SimSun" w:eastAsia="SimSun" w:hAnsi="SimSun" w:cs="Times New Roman"/>
                <w:szCs w:val="22"/>
              </w:rPr>
            </w:pPr>
            <w:r w:rsidRPr="000C68D3">
              <w:rPr>
                <w:rFonts w:ascii="SimSun" w:eastAsia="SimSun" w:hAnsi="SimSun" w:cs="Times New Roman" w:hint="eastAsia"/>
                <w:szCs w:val="22"/>
              </w:rPr>
              <w:t>研究还将使用成员国提供的上述数据，计算上述三年</w:t>
            </w:r>
            <w:r w:rsidR="00652A4A" w:rsidRPr="000C68D3">
              <w:rPr>
                <w:rFonts w:ascii="SimSun" w:eastAsia="SimSun" w:hAnsi="SimSun" w:cs="Times New Roman" w:hint="eastAsia"/>
                <w:szCs w:val="22"/>
              </w:rPr>
              <w:t>期间</w:t>
            </w:r>
            <w:r w:rsidRPr="000C68D3">
              <w:rPr>
                <w:rFonts w:ascii="SimSun" w:eastAsia="SimSun" w:hAnsi="SimSun" w:cs="Times New Roman" w:hint="eastAsia"/>
                <w:szCs w:val="22"/>
              </w:rPr>
              <w:t>的以下</w:t>
            </w:r>
            <w:r w:rsidR="004D55B2" w:rsidRPr="000C68D3">
              <w:rPr>
                <w:rFonts w:ascii="SimSun" w:eastAsia="SimSun" w:hAnsi="SimSun" w:cs="Times New Roman" w:hint="eastAsia"/>
                <w:szCs w:val="22"/>
              </w:rPr>
              <w:t>指标</w:t>
            </w:r>
            <w:r w:rsidRPr="000C68D3">
              <w:rPr>
                <w:rFonts w:ascii="SimSun" w:eastAsia="SimSun" w:hAnsi="SimSun" w:cs="Times New Roman" w:hint="eastAsia"/>
                <w:szCs w:val="22"/>
              </w:rPr>
              <w:t>：</w:t>
            </w:r>
          </w:p>
          <w:p w14:paraId="255A6F6E" w14:textId="42C21FAD" w:rsidR="00913548" w:rsidRPr="000C68D3" w:rsidRDefault="00E567F1"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w:t>
            </w:r>
            <w:r w:rsidR="00913548" w:rsidRPr="000C68D3">
              <w:rPr>
                <w:rFonts w:ascii="SimSun" w:eastAsia="SimSun" w:hAnsi="SimSun" w:cs="Times New Roman" w:hint="eastAsia"/>
                <w:sz w:val="22"/>
                <w:szCs w:val="22"/>
                <w:lang w:eastAsia="zh-CN"/>
              </w:rPr>
              <w:t>产业对GDP贡献的增长率</w:t>
            </w:r>
          </w:p>
          <w:p w14:paraId="3482FEE4" w14:textId="7F2F2E2F" w:rsidR="00913548" w:rsidRPr="000C68D3" w:rsidRDefault="00913548"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版权产业对国民就业贡献</w:t>
            </w:r>
            <w:r w:rsidR="001E7809" w:rsidRPr="000C68D3">
              <w:rPr>
                <w:rFonts w:ascii="SimSun" w:eastAsia="SimSun" w:hAnsi="SimSun" w:cs="Times New Roman" w:hint="eastAsia"/>
                <w:sz w:val="22"/>
                <w:szCs w:val="22"/>
                <w:lang w:eastAsia="zh-CN"/>
              </w:rPr>
              <w:t>的</w:t>
            </w:r>
            <w:r w:rsidRPr="000C68D3">
              <w:rPr>
                <w:rFonts w:ascii="SimSun" w:eastAsia="SimSun" w:hAnsi="SimSun" w:cs="Times New Roman" w:hint="eastAsia"/>
                <w:sz w:val="22"/>
                <w:szCs w:val="22"/>
                <w:lang w:eastAsia="zh-CN"/>
              </w:rPr>
              <w:t>增长率</w:t>
            </w:r>
          </w:p>
          <w:p w14:paraId="69184972" w14:textId="482BF409" w:rsidR="00913548" w:rsidRPr="000C68D3" w:rsidRDefault="00913548"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版权产业对出口贡献</w:t>
            </w:r>
            <w:r w:rsidR="001E7809" w:rsidRPr="000C68D3">
              <w:rPr>
                <w:rFonts w:ascii="SimSun" w:eastAsia="SimSun" w:hAnsi="SimSun" w:cs="Times New Roman" w:hint="eastAsia"/>
                <w:sz w:val="22"/>
                <w:szCs w:val="22"/>
                <w:lang w:eastAsia="zh-CN"/>
              </w:rPr>
              <w:t>的</w:t>
            </w:r>
            <w:r w:rsidRPr="000C68D3">
              <w:rPr>
                <w:rFonts w:ascii="SimSun" w:eastAsia="SimSun" w:hAnsi="SimSun" w:cs="Times New Roman" w:hint="eastAsia"/>
                <w:sz w:val="22"/>
                <w:szCs w:val="22"/>
                <w:lang w:eastAsia="zh-CN"/>
              </w:rPr>
              <w:t>增长率</w:t>
            </w:r>
          </w:p>
          <w:p w14:paraId="6732CC36" w14:textId="2BC24AA4" w:rsidR="00CE41A1" w:rsidRPr="000C68D3" w:rsidRDefault="006D4061" w:rsidP="000C68D3">
            <w:pPr>
              <w:pStyle w:val="ListParagraph"/>
              <w:numPr>
                <w:ilvl w:val="0"/>
                <w:numId w:val="7"/>
              </w:numPr>
              <w:spacing w:afterLines="50" w:after="120" w:line="340" w:lineRule="atLeast"/>
              <w:jc w:val="both"/>
              <w:rPr>
                <w:rFonts w:ascii="SimSun" w:eastAsia="SimSun" w:hAnsi="SimSun" w:cs="Times New Roman"/>
                <w:sz w:val="22"/>
                <w:szCs w:val="22"/>
                <w:lang w:eastAsia="zh-CN"/>
              </w:rPr>
            </w:pPr>
            <w:r w:rsidRPr="000C68D3">
              <w:rPr>
                <w:rFonts w:ascii="SimSun" w:eastAsia="SimSun" w:hAnsi="SimSun" w:cs="Times New Roman" w:hint="eastAsia"/>
                <w:sz w:val="22"/>
                <w:szCs w:val="22"/>
                <w:lang w:eastAsia="zh-CN"/>
              </w:rPr>
              <w:t>向</w:t>
            </w:r>
            <w:r w:rsidR="00913548" w:rsidRPr="000C68D3">
              <w:rPr>
                <w:rFonts w:ascii="SimSun" w:eastAsia="SimSun" w:hAnsi="SimSun" w:cs="Times New Roman" w:hint="eastAsia"/>
                <w:sz w:val="22"/>
                <w:szCs w:val="22"/>
                <w:lang w:eastAsia="zh-CN"/>
              </w:rPr>
              <w:t>版权产业从业人员</w:t>
            </w:r>
            <w:r w:rsidRPr="000C68D3">
              <w:rPr>
                <w:rFonts w:ascii="SimSun" w:eastAsia="SimSun" w:hAnsi="SimSun" w:cs="Times New Roman" w:hint="eastAsia"/>
                <w:sz w:val="22"/>
                <w:szCs w:val="22"/>
                <w:lang w:eastAsia="zh-CN"/>
              </w:rPr>
              <w:t>所支付</w:t>
            </w:r>
            <w:r w:rsidR="006B746C" w:rsidRPr="000C68D3">
              <w:rPr>
                <w:rFonts w:ascii="SimSun" w:eastAsia="SimSun" w:hAnsi="SimSun" w:cs="Times New Roman" w:hint="eastAsia"/>
                <w:sz w:val="22"/>
                <w:szCs w:val="22"/>
                <w:lang w:eastAsia="zh-CN"/>
              </w:rPr>
              <w:t>报酬</w:t>
            </w:r>
            <w:r w:rsidR="00913548" w:rsidRPr="000C68D3">
              <w:rPr>
                <w:rFonts w:ascii="SimSun" w:eastAsia="SimSun" w:hAnsi="SimSun" w:cs="Times New Roman" w:hint="eastAsia"/>
                <w:sz w:val="22"/>
                <w:szCs w:val="22"/>
                <w:lang w:eastAsia="zh-CN"/>
              </w:rPr>
              <w:t>的增长率</w:t>
            </w:r>
          </w:p>
        </w:tc>
      </w:tr>
      <w:tr w:rsidR="00CE41A1" w:rsidRPr="000C68D3" w14:paraId="26A7C1B0" w14:textId="77777777" w:rsidTr="000C68D3">
        <w:tc>
          <w:tcPr>
            <w:tcW w:w="3593" w:type="dxa"/>
          </w:tcPr>
          <w:p w14:paraId="4C3FADAC" w14:textId="5DE1253F" w:rsidR="00CE41A1" w:rsidRPr="000C68D3" w:rsidRDefault="00C72F02" w:rsidP="002452A3">
            <w:pPr>
              <w:spacing w:afterLines="50" w:after="120" w:line="340" w:lineRule="atLeast"/>
              <w:rPr>
                <w:rFonts w:ascii="SimSun" w:eastAsia="SimSun" w:hAnsi="SimSun" w:cs="Times New Roman"/>
                <w:szCs w:val="22"/>
              </w:rPr>
            </w:pPr>
            <w:r w:rsidRPr="000C68D3">
              <w:rPr>
                <w:rFonts w:ascii="SimSun" w:eastAsia="SimSun" w:hAnsi="SimSun" w:cs="Times New Roman" w:hint="eastAsia"/>
                <w:szCs w:val="22"/>
              </w:rPr>
              <w:t>参与</w:t>
            </w:r>
          </w:p>
        </w:tc>
        <w:tc>
          <w:tcPr>
            <w:tcW w:w="5752" w:type="dxa"/>
          </w:tcPr>
          <w:p w14:paraId="41F67308" w14:textId="66F5B6C7" w:rsidR="00CE41A1" w:rsidRPr="000C68D3" w:rsidRDefault="007C7844" w:rsidP="000C68D3">
            <w:pPr>
              <w:spacing w:afterLines="50" w:after="120" w:line="340" w:lineRule="atLeast"/>
              <w:jc w:val="both"/>
              <w:rPr>
                <w:rFonts w:ascii="SimSun" w:eastAsia="SimSun" w:hAnsi="SimSun" w:cs="Times New Roman"/>
                <w:szCs w:val="22"/>
              </w:rPr>
            </w:pPr>
            <w:r w:rsidRPr="000C68D3">
              <w:rPr>
                <w:rFonts w:ascii="SimSun" w:eastAsia="SimSun" w:hAnsi="SimSun" w:hint="eastAsia"/>
                <w:szCs w:val="22"/>
              </w:rPr>
              <w:t>面向</w:t>
            </w:r>
            <w:r w:rsidR="00C72F02" w:rsidRPr="000C68D3">
              <w:rPr>
                <w:rFonts w:ascii="SimSun" w:eastAsia="SimSun" w:hAnsi="SimSun" w:cs="Times New Roman" w:hint="eastAsia"/>
                <w:szCs w:val="22"/>
              </w:rPr>
              <w:t>所有成员国。</w:t>
            </w:r>
          </w:p>
        </w:tc>
      </w:tr>
    </w:tbl>
    <w:p w14:paraId="47AB4E4D" w14:textId="4CC1AC83" w:rsidR="002928D3" w:rsidRPr="000C68D3" w:rsidRDefault="00CE41A1" w:rsidP="000C68D3">
      <w:pPr>
        <w:spacing w:before="720" w:afterLines="50" w:after="120" w:line="340" w:lineRule="atLeast"/>
        <w:ind w:left="5534"/>
        <w:rPr>
          <w:rFonts w:ascii="SimSun" w:hAnsi="SimSun"/>
        </w:rPr>
      </w:pPr>
      <w:r w:rsidRPr="00845D3B">
        <w:rPr>
          <w:rFonts w:ascii="KaiTi" w:eastAsia="KaiTi" w:hAnsi="KaiTi" w:cs="Times New Roman"/>
          <w:szCs w:val="22"/>
        </w:rPr>
        <w:t>[</w:t>
      </w:r>
      <w:r w:rsidR="007C7844" w:rsidRPr="00845D3B">
        <w:rPr>
          <w:rFonts w:ascii="KaiTi" w:eastAsia="KaiTi" w:hAnsi="KaiTi" w:cs="Microsoft YaHei" w:hint="eastAsia"/>
          <w:szCs w:val="22"/>
        </w:rPr>
        <w:t>文件完</w:t>
      </w:r>
      <w:r w:rsidRPr="00845D3B">
        <w:rPr>
          <w:rFonts w:ascii="KaiTi" w:eastAsia="KaiTi" w:hAnsi="KaiTi" w:cs="Times New Roman"/>
          <w:szCs w:val="22"/>
        </w:rPr>
        <w:t>]</w:t>
      </w:r>
    </w:p>
    <w:sectPr w:rsidR="002928D3" w:rsidRPr="000C68D3" w:rsidSect="00CE41A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AC29" w14:textId="77777777" w:rsidR="00F852C8" w:rsidRDefault="00F852C8">
      <w:r>
        <w:separator/>
      </w:r>
    </w:p>
  </w:endnote>
  <w:endnote w:type="continuationSeparator" w:id="0">
    <w:p w14:paraId="39500981" w14:textId="77777777" w:rsidR="00F852C8" w:rsidRDefault="00F852C8" w:rsidP="003B38C1">
      <w:r>
        <w:separator/>
      </w:r>
    </w:p>
    <w:p w14:paraId="4E896504" w14:textId="77777777" w:rsidR="00F852C8" w:rsidRPr="003B38C1" w:rsidRDefault="00F852C8" w:rsidP="003B38C1">
      <w:pPr>
        <w:spacing w:after="60"/>
        <w:rPr>
          <w:sz w:val="17"/>
        </w:rPr>
      </w:pPr>
      <w:r>
        <w:rPr>
          <w:sz w:val="17"/>
        </w:rPr>
        <w:t>[Endnote continued from previous page]</w:t>
      </w:r>
    </w:p>
  </w:endnote>
  <w:endnote w:type="continuationNotice" w:id="1">
    <w:p w14:paraId="638F36A1" w14:textId="77777777" w:rsidR="00F852C8" w:rsidRPr="003B38C1" w:rsidRDefault="00F852C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EB6C" w14:textId="77777777" w:rsidR="00F852C8" w:rsidRDefault="00F852C8">
      <w:r>
        <w:separator/>
      </w:r>
    </w:p>
  </w:footnote>
  <w:footnote w:type="continuationSeparator" w:id="0">
    <w:p w14:paraId="7AC26511" w14:textId="77777777" w:rsidR="00F852C8" w:rsidRDefault="00F852C8" w:rsidP="008B60B2">
      <w:r>
        <w:separator/>
      </w:r>
    </w:p>
    <w:p w14:paraId="0EAC246E" w14:textId="77777777" w:rsidR="00F852C8" w:rsidRPr="00ED77FB" w:rsidRDefault="00F852C8" w:rsidP="008B60B2">
      <w:pPr>
        <w:spacing w:after="60"/>
        <w:rPr>
          <w:sz w:val="17"/>
          <w:szCs w:val="17"/>
        </w:rPr>
      </w:pPr>
      <w:r w:rsidRPr="00ED77FB">
        <w:rPr>
          <w:sz w:val="17"/>
          <w:szCs w:val="17"/>
        </w:rPr>
        <w:t>[Footnote continued from previous page]</w:t>
      </w:r>
    </w:p>
  </w:footnote>
  <w:footnote w:type="continuationNotice" w:id="1">
    <w:p w14:paraId="432E5D2F" w14:textId="77777777" w:rsidR="00F852C8" w:rsidRPr="00ED77FB" w:rsidRDefault="00F852C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7A70F46" w14:textId="03E05A51" w:rsidR="00A25597" w:rsidRPr="00040278" w:rsidRDefault="00A25597" w:rsidP="00A25597">
      <w:pPr>
        <w:pStyle w:val="FootnoteText"/>
        <w:rPr>
          <w:rFonts w:ascii="SimSun" w:hAnsi="SimSun" w:cs="Times New Roman"/>
          <w:szCs w:val="18"/>
        </w:rPr>
      </w:pPr>
      <w:r w:rsidRPr="00040278">
        <w:rPr>
          <w:rStyle w:val="FootnoteReference"/>
          <w:rFonts w:ascii="SimSun" w:hAnsi="SimSun" w:cs="Times New Roman"/>
          <w:szCs w:val="18"/>
        </w:rPr>
        <w:footnoteRef/>
      </w:r>
      <w:r w:rsidRPr="00040278">
        <w:rPr>
          <w:rFonts w:ascii="SimSun" w:hAnsi="SimSun" w:cs="Times New Roman"/>
          <w:szCs w:val="18"/>
        </w:rPr>
        <w:t xml:space="preserve"> </w:t>
      </w:r>
      <w:r w:rsidR="003F2210">
        <w:rPr>
          <w:rFonts w:ascii="SimSun" w:hAnsi="SimSun" w:cs="Times New Roman"/>
          <w:szCs w:val="18"/>
        </w:rPr>
        <w:tab/>
      </w:r>
      <w:hyperlink r:id="rId1" w:history="1">
        <w:r w:rsidR="003F2210" w:rsidRPr="00AE0827">
          <w:rPr>
            <w:rStyle w:val="Hyperlink"/>
            <w:rFonts w:ascii="SimSun" w:hAnsi="SimSun" w:cs="Times New Roman"/>
            <w:szCs w:val="18"/>
          </w:rPr>
          <w:t>https://www.wipo.int/en/web/copyright/economic-performance</w:t>
        </w:r>
      </w:hyperlink>
    </w:p>
  </w:footnote>
  <w:footnote w:id="3">
    <w:p w14:paraId="7E023E18" w14:textId="6E945AB8" w:rsidR="00C2688E" w:rsidRPr="00040278" w:rsidRDefault="00C2688E" w:rsidP="00C2688E">
      <w:pPr>
        <w:pStyle w:val="FootnoteText"/>
        <w:rPr>
          <w:rFonts w:ascii="SimSun" w:hAnsi="SimSun" w:cs="Microsoft YaHei"/>
          <w:szCs w:val="18"/>
        </w:rPr>
      </w:pPr>
      <w:r w:rsidRPr="00040278">
        <w:rPr>
          <w:rStyle w:val="FootnoteReference"/>
          <w:rFonts w:ascii="SimSun" w:hAnsi="SimSun" w:cs="Times New Roman"/>
          <w:szCs w:val="18"/>
        </w:rPr>
        <w:footnoteRef/>
      </w:r>
      <w:r w:rsidRPr="00040278">
        <w:rPr>
          <w:rFonts w:ascii="SimSun" w:hAnsi="SimSun" w:cs="Times New Roman"/>
          <w:szCs w:val="18"/>
        </w:rPr>
        <w:t xml:space="preserve"> </w:t>
      </w:r>
      <w:r w:rsidR="003F2210">
        <w:rPr>
          <w:rFonts w:ascii="SimSun" w:hAnsi="SimSun" w:cs="Times New Roman"/>
          <w:szCs w:val="18"/>
        </w:rPr>
        <w:tab/>
      </w:r>
      <w:r w:rsidRPr="00040278">
        <w:rPr>
          <w:rFonts w:ascii="SimSun" w:hAnsi="SimSun" w:cs="Times New Roman"/>
          <w:color w:val="000000" w:themeColor="text1"/>
          <w:szCs w:val="18"/>
        </w:rPr>
        <w:t>Watt</w:t>
      </w:r>
      <w:r w:rsidR="008D4375">
        <w:rPr>
          <w:rFonts w:ascii="SimSun" w:hAnsi="SimSun" w:cs="Times New Roman"/>
          <w:color w:val="000000" w:themeColor="text1"/>
          <w:szCs w:val="18"/>
        </w:rPr>
        <w:t xml:space="preserve"> </w:t>
      </w:r>
      <w:r w:rsidRPr="00040278">
        <w:rPr>
          <w:rFonts w:ascii="SimSun" w:hAnsi="SimSun" w:cs="Times New Roman"/>
          <w:color w:val="000000" w:themeColor="text1"/>
          <w:szCs w:val="18"/>
        </w:rPr>
        <w:t>Richard</w:t>
      </w:r>
      <w:r w:rsidRPr="00040278">
        <w:rPr>
          <w:rFonts w:ascii="SimSun" w:hAnsi="SimSun" w:cs="Microsoft YaHei" w:hint="eastAsia"/>
          <w:color w:val="000000" w:themeColor="text1"/>
          <w:szCs w:val="18"/>
        </w:rPr>
        <w:t>，《版权益处的实证分析》，世界知识产权组织，</w:t>
      </w:r>
      <w:r w:rsidRPr="00040278">
        <w:rPr>
          <w:rFonts w:ascii="SimSun" w:hAnsi="SimSun" w:cs="Times New Roman" w:hint="eastAsia"/>
          <w:color w:val="000000" w:themeColor="text1"/>
          <w:szCs w:val="18"/>
        </w:rPr>
        <w:t>2009</w:t>
      </w:r>
      <w:r w:rsidRPr="00040278">
        <w:rPr>
          <w:rFonts w:ascii="SimSun" w:hAnsi="SimSun" w:cs="Microsoft YaHei" w:hint="eastAsia"/>
          <w:color w:val="000000" w:themeColor="text1"/>
          <w:szCs w:val="18"/>
        </w:rPr>
        <w:t>年，可参见</w:t>
      </w:r>
      <w:r w:rsidRPr="00040278">
        <w:rPr>
          <w:rFonts w:ascii="SimSun" w:hAnsi="SimSun" w:cs="Times New Roman"/>
          <w:szCs w:val="18"/>
        </w:rPr>
        <w:fldChar w:fldCharType="begin"/>
      </w:r>
      <w:r w:rsidRPr="00040278">
        <w:rPr>
          <w:rFonts w:ascii="SimSun" w:hAnsi="SimSun" w:cs="Times New Roman"/>
          <w:szCs w:val="18"/>
        </w:rPr>
        <w:instrText>HYPERLINK "https://www.wipo.int/edocs/pubdocs/en/wipo_pub_1012-chapter3.pdf"</w:instrText>
      </w:r>
      <w:r w:rsidRPr="00040278">
        <w:rPr>
          <w:rFonts w:ascii="SimSun" w:hAnsi="SimSun" w:cs="Times New Roman"/>
          <w:szCs w:val="18"/>
        </w:rPr>
      </w:r>
      <w:r w:rsidRPr="00040278">
        <w:rPr>
          <w:rFonts w:ascii="SimSun" w:hAnsi="SimSun" w:cs="Times New Roman"/>
          <w:szCs w:val="18"/>
        </w:rPr>
        <w:fldChar w:fldCharType="separate"/>
      </w:r>
      <w:r w:rsidRPr="00040278">
        <w:rPr>
          <w:rStyle w:val="Hyperlink"/>
          <w:rFonts w:ascii="SimSun" w:hAnsi="SimSun" w:cs="Times New Roman"/>
          <w:szCs w:val="18"/>
        </w:rPr>
        <w:t>https://</w:t>
      </w:r>
      <w:proofErr w:type="spellStart"/>
      <w:r w:rsidRPr="00040278">
        <w:rPr>
          <w:rStyle w:val="Hyperlink"/>
          <w:rFonts w:ascii="SimSun" w:hAnsi="SimSun" w:cs="Times New Roman"/>
          <w:szCs w:val="18"/>
        </w:rPr>
        <w:t>www.wipo.int</w:t>
      </w:r>
      <w:proofErr w:type="spellEnd"/>
      <w:r w:rsidRPr="00040278">
        <w:rPr>
          <w:rStyle w:val="Hyperlink"/>
          <w:rFonts w:ascii="SimSun" w:hAnsi="SimSun" w:cs="Times New Roman"/>
          <w:szCs w:val="18"/>
        </w:rPr>
        <w:t>/</w:t>
      </w:r>
      <w:proofErr w:type="spellStart"/>
      <w:r w:rsidRPr="00040278">
        <w:rPr>
          <w:rStyle w:val="Hyperlink"/>
          <w:rFonts w:ascii="SimSun" w:hAnsi="SimSun" w:cs="Times New Roman"/>
          <w:szCs w:val="18"/>
        </w:rPr>
        <w:t>edocs</w:t>
      </w:r>
      <w:proofErr w:type="spellEnd"/>
      <w:r w:rsidRPr="00040278">
        <w:rPr>
          <w:rStyle w:val="Hyperlink"/>
          <w:rFonts w:ascii="SimSun" w:hAnsi="SimSun" w:cs="Times New Roman"/>
          <w:szCs w:val="18"/>
        </w:rPr>
        <w:t>/</w:t>
      </w:r>
      <w:proofErr w:type="spellStart"/>
      <w:r w:rsidRPr="00040278">
        <w:rPr>
          <w:rStyle w:val="Hyperlink"/>
          <w:rFonts w:ascii="SimSun" w:hAnsi="SimSun" w:cs="Times New Roman"/>
          <w:szCs w:val="18"/>
        </w:rPr>
        <w:t>pubdocs</w:t>
      </w:r>
      <w:proofErr w:type="spellEnd"/>
      <w:r w:rsidRPr="00040278">
        <w:rPr>
          <w:rStyle w:val="Hyperlink"/>
          <w:rFonts w:ascii="SimSun" w:hAnsi="SimSun" w:cs="Times New Roman"/>
          <w:szCs w:val="18"/>
        </w:rPr>
        <w:t>/</w:t>
      </w:r>
      <w:proofErr w:type="spellStart"/>
      <w:r w:rsidRPr="00040278">
        <w:rPr>
          <w:rStyle w:val="Hyperlink"/>
          <w:rFonts w:ascii="SimSun" w:hAnsi="SimSun" w:cs="Times New Roman"/>
          <w:szCs w:val="18"/>
        </w:rPr>
        <w:t>en</w:t>
      </w:r>
      <w:proofErr w:type="spellEnd"/>
      <w:r w:rsidRPr="00040278">
        <w:rPr>
          <w:rStyle w:val="Hyperlink"/>
          <w:rFonts w:ascii="SimSun" w:hAnsi="SimSun" w:cs="Times New Roman"/>
          <w:szCs w:val="18"/>
        </w:rPr>
        <w:t>/wipo_pub_1012-chapter3.pdf</w:t>
      </w:r>
      <w:r w:rsidRPr="00040278">
        <w:rPr>
          <w:rFonts w:ascii="SimSun" w:hAnsi="SimSun" w:cs="Times New Roman"/>
          <w:szCs w:val="18"/>
        </w:rPr>
        <w:fldChar w:fldCharType="end"/>
      </w:r>
      <w:r w:rsidR="009F63FC" w:rsidRPr="00040278">
        <w:rPr>
          <w:rFonts w:ascii="SimSun" w:hAnsi="SimSun" w:cs="Microsoft YaHei" w:hint="eastAsia"/>
          <w:szCs w:val="18"/>
        </w:rPr>
        <w:t>。</w:t>
      </w:r>
    </w:p>
  </w:footnote>
  <w:footnote w:id="4">
    <w:p w14:paraId="6C3E68A8" w14:textId="67570CF9" w:rsidR="00483D54" w:rsidRPr="00455986" w:rsidRDefault="00483D54" w:rsidP="00483D54">
      <w:pPr>
        <w:pStyle w:val="FootnoteText"/>
        <w:shd w:val="clear" w:color="auto" w:fill="FFFFFF" w:themeFill="background1"/>
        <w:rPr>
          <w:rFonts w:ascii="Microsoft YaHei" w:eastAsia="Microsoft YaHei" w:hAnsi="Microsoft YaHei" w:cs="Microsoft YaHei"/>
          <w:szCs w:val="18"/>
        </w:rPr>
      </w:pPr>
      <w:r w:rsidRPr="00040278">
        <w:rPr>
          <w:rStyle w:val="FootnoteReference"/>
          <w:rFonts w:ascii="SimSun" w:hAnsi="SimSun" w:cs="Times New Roman"/>
          <w:szCs w:val="18"/>
          <w:lang w:val="fr-FR"/>
        </w:rPr>
        <w:footnoteRef/>
      </w:r>
      <w:r w:rsidRPr="00040278">
        <w:rPr>
          <w:rFonts w:ascii="SimSun" w:hAnsi="SimSun" w:cs="Times New Roman"/>
          <w:szCs w:val="18"/>
        </w:rPr>
        <w:t xml:space="preserve"> </w:t>
      </w:r>
      <w:r w:rsidR="003F2210">
        <w:rPr>
          <w:rFonts w:ascii="SimSun" w:hAnsi="SimSun" w:cs="Times New Roman"/>
          <w:szCs w:val="18"/>
        </w:rPr>
        <w:tab/>
      </w:r>
      <w:r w:rsidRPr="00040278">
        <w:rPr>
          <w:rFonts w:ascii="SimSun" w:hAnsi="SimSun" w:cs="Times New Roman" w:hint="eastAsia"/>
          <w:szCs w:val="18"/>
        </w:rPr>
        <w:t>J</w:t>
      </w:r>
      <w:r w:rsidRPr="00040278">
        <w:rPr>
          <w:rFonts w:ascii="SimSun" w:hAnsi="SimSun" w:cs="Times New Roman" w:hint="eastAsia"/>
          <w:szCs w:val="18"/>
        </w:rPr>
        <w:t>éré</w:t>
      </w:r>
      <w:proofErr w:type="spellStart"/>
      <w:r w:rsidRPr="00040278">
        <w:rPr>
          <w:rFonts w:ascii="SimSun" w:hAnsi="SimSun" w:cs="Times New Roman" w:hint="eastAsia"/>
          <w:szCs w:val="18"/>
        </w:rPr>
        <w:t>mie</w:t>
      </w:r>
      <w:proofErr w:type="spellEnd"/>
      <w:r w:rsidRPr="00040278">
        <w:rPr>
          <w:rFonts w:ascii="SimSun" w:hAnsi="SimSun" w:cs="Times New Roman" w:hint="eastAsia"/>
          <w:szCs w:val="18"/>
        </w:rPr>
        <w:t xml:space="preserve"> Bertrand</w:t>
      </w:r>
      <w:r w:rsidRPr="00040278">
        <w:rPr>
          <w:rFonts w:ascii="SimSun" w:hAnsi="SimSun" w:cs="Microsoft YaHei" w:hint="eastAsia"/>
          <w:szCs w:val="18"/>
        </w:rPr>
        <w:t>、</w:t>
      </w:r>
      <w:r w:rsidRPr="00040278">
        <w:rPr>
          <w:rFonts w:ascii="SimSun" w:hAnsi="SimSun" w:cs="Times New Roman" w:hint="eastAsia"/>
          <w:szCs w:val="18"/>
        </w:rPr>
        <w:t>Joseph Lemoine</w:t>
      </w:r>
      <w:r w:rsidRPr="00040278">
        <w:rPr>
          <w:rFonts w:ascii="SimSun" w:hAnsi="SimSun" w:cs="Microsoft YaHei" w:hint="eastAsia"/>
          <w:szCs w:val="18"/>
        </w:rPr>
        <w:t>、</w:t>
      </w:r>
      <w:r w:rsidRPr="00040278">
        <w:rPr>
          <w:rFonts w:ascii="SimSun" w:hAnsi="SimSun" w:cs="Times New Roman" w:hint="eastAsia"/>
          <w:szCs w:val="18"/>
        </w:rPr>
        <w:t>Dan Negrea</w:t>
      </w:r>
      <w:r w:rsidRPr="00040278">
        <w:rPr>
          <w:rFonts w:ascii="SimSun" w:hAnsi="SimSun" w:cs="Microsoft YaHei" w:hint="eastAsia"/>
          <w:szCs w:val="18"/>
        </w:rPr>
        <w:t>和</w:t>
      </w:r>
      <w:r w:rsidRPr="00040278">
        <w:rPr>
          <w:rFonts w:ascii="SimSun" w:hAnsi="SimSun" w:cs="Times New Roman" w:hint="eastAsia"/>
          <w:szCs w:val="18"/>
        </w:rPr>
        <w:t>Caroline Perrin</w:t>
      </w:r>
      <w:r w:rsidRPr="00040278">
        <w:rPr>
          <w:rFonts w:ascii="SimSun" w:hAnsi="SimSun" w:cs="Microsoft YaHei" w:hint="eastAsia"/>
          <w:szCs w:val="18"/>
        </w:rPr>
        <w:t>，《吸引外国直接投资》，大西洋理事会（</w:t>
      </w:r>
      <w:r w:rsidRPr="00040278">
        <w:rPr>
          <w:rFonts w:ascii="SimSun" w:hAnsi="SimSun" w:cs="Times New Roman" w:hint="eastAsia"/>
          <w:szCs w:val="18"/>
        </w:rPr>
        <w:t>2024</w:t>
      </w:r>
      <w:r w:rsidRPr="00040278">
        <w:rPr>
          <w:rFonts w:ascii="SimSun" w:hAnsi="SimSun" w:cs="Microsoft YaHei" w:hint="eastAsia"/>
          <w:szCs w:val="18"/>
        </w:rPr>
        <w:t>年</w:t>
      </w:r>
      <w:r w:rsidRPr="00040278">
        <w:rPr>
          <w:rFonts w:ascii="SimSun" w:hAnsi="SimSun" w:cs="Times New Roman" w:hint="eastAsia"/>
          <w:szCs w:val="18"/>
        </w:rPr>
        <w:t>3</w:t>
      </w:r>
      <w:r w:rsidRPr="00040278">
        <w:rPr>
          <w:rFonts w:ascii="SimSun" w:hAnsi="SimSun" w:cs="Microsoft YaHei" w:hint="eastAsia"/>
          <w:szCs w:val="18"/>
        </w:rPr>
        <w:t>月</w:t>
      </w:r>
      <w:r w:rsidRPr="00040278">
        <w:rPr>
          <w:rFonts w:ascii="SimSun" w:hAnsi="SimSun" w:cs="Times New Roman" w:hint="eastAsia"/>
          <w:szCs w:val="18"/>
        </w:rPr>
        <w:t>15</w:t>
      </w:r>
      <w:r w:rsidRPr="00040278">
        <w:rPr>
          <w:rFonts w:ascii="SimSun" w:hAnsi="SimSun" w:cs="Microsoft YaHei" w:hint="eastAsia"/>
          <w:szCs w:val="18"/>
        </w:rPr>
        <w:t>日），可参见</w:t>
      </w:r>
      <w:hyperlink r:id="rId2" w:history="1">
        <w:r w:rsidR="00926A49" w:rsidRPr="00040278">
          <w:rPr>
            <w:rStyle w:val="Hyperlink"/>
            <w:rFonts w:ascii="SimSun" w:hAnsi="SimSun" w:cs="Times New Roman"/>
            <w:szCs w:val="18"/>
          </w:rPr>
          <w:t>https://www.atlanticcouncil.org/in-depth-research-reports/report/attracting-foreign-direct-investments/</w:t>
        </w:r>
      </w:hyperlink>
      <w:r w:rsidRPr="00040278">
        <w:rPr>
          <w:rFonts w:ascii="SimSun" w:hAnsi="SimSun" w:cs="Microsoft YaHei"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8CAF" w14:textId="240C5725" w:rsidR="00EC4E49" w:rsidRPr="000C68D3" w:rsidRDefault="00CE41A1" w:rsidP="00477D6B">
    <w:pPr>
      <w:jc w:val="right"/>
      <w:rPr>
        <w:rFonts w:ascii="SimSun" w:hAnsi="SimSun"/>
      </w:rPr>
    </w:pPr>
    <w:bookmarkStart w:id="5" w:name="Code2"/>
    <w:bookmarkEnd w:id="5"/>
    <w:proofErr w:type="spellStart"/>
    <w:r w:rsidRPr="000C68D3">
      <w:rPr>
        <w:rFonts w:ascii="SimSun" w:hAnsi="SimSun"/>
      </w:rPr>
      <w:t>SCCR</w:t>
    </w:r>
    <w:proofErr w:type="spellEnd"/>
    <w:r w:rsidRPr="000C68D3">
      <w:rPr>
        <w:rFonts w:ascii="SimSun" w:hAnsi="SimSun"/>
      </w:rPr>
      <w:t>/47/11</w:t>
    </w:r>
  </w:p>
  <w:p w14:paraId="6DF96AEA" w14:textId="7FEDD7E8" w:rsidR="00B50B99" w:rsidRPr="000C68D3" w:rsidRDefault="00A1569A" w:rsidP="000C68D3">
    <w:pPr>
      <w:spacing w:afterLines="100" w:after="240"/>
      <w:jc w:val="right"/>
      <w:rPr>
        <w:rFonts w:ascii="SimSun" w:hAnsi="SimSun"/>
      </w:rPr>
    </w:pPr>
    <w:r w:rsidRPr="000C68D3">
      <w:rPr>
        <w:rFonts w:ascii="SimSun" w:hAnsi="SimSun" w:hint="eastAsia"/>
      </w:rPr>
      <w:t>第</w:t>
    </w:r>
    <w:r w:rsidR="00EC4E49" w:rsidRPr="000C68D3">
      <w:rPr>
        <w:rFonts w:ascii="SimSun" w:hAnsi="SimSun"/>
      </w:rPr>
      <w:fldChar w:fldCharType="begin"/>
    </w:r>
    <w:r w:rsidR="00EC4E49" w:rsidRPr="000C68D3">
      <w:rPr>
        <w:rFonts w:ascii="SimSun" w:hAnsi="SimSun"/>
      </w:rPr>
      <w:instrText xml:space="preserve"> PAGE  \* MERGEFORMAT </w:instrText>
    </w:r>
    <w:r w:rsidR="00EC4E49" w:rsidRPr="000C68D3">
      <w:rPr>
        <w:rFonts w:ascii="SimSun" w:hAnsi="SimSun"/>
      </w:rPr>
      <w:fldChar w:fldCharType="separate"/>
    </w:r>
    <w:r w:rsidR="00E671A6" w:rsidRPr="000C68D3">
      <w:rPr>
        <w:rFonts w:ascii="SimSun" w:hAnsi="SimSun"/>
        <w:noProof/>
      </w:rPr>
      <w:t>2</w:t>
    </w:r>
    <w:r w:rsidR="00EC4E49" w:rsidRPr="000C68D3">
      <w:rPr>
        <w:rFonts w:ascii="SimSun" w:hAnsi="SimSun"/>
      </w:rPr>
      <w:fldChar w:fldCharType="end"/>
    </w:r>
    <w:r w:rsidRPr="000C68D3">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7F2637"/>
    <w:multiLevelType w:val="hybridMultilevel"/>
    <w:tmpl w:val="3670CCA8"/>
    <w:lvl w:ilvl="0" w:tplc="993C1C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1281495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1"/>
    <w:rsid w:val="00003E40"/>
    <w:rsid w:val="00005714"/>
    <w:rsid w:val="00010F79"/>
    <w:rsid w:val="0001647B"/>
    <w:rsid w:val="000173A4"/>
    <w:rsid w:val="00017C43"/>
    <w:rsid w:val="00036C0A"/>
    <w:rsid w:val="00040278"/>
    <w:rsid w:val="00043CAA"/>
    <w:rsid w:val="00046A0D"/>
    <w:rsid w:val="00070A97"/>
    <w:rsid w:val="00070ECD"/>
    <w:rsid w:val="00075432"/>
    <w:rsid w:val="00076942"/>
    <w:rsid w:val="00080422"/>
    <w:rsid w:val="0008413F"/>
    <w:rsid w:val="00085343"/>
    <w:rsid w:val="000968ED"/>
    <w:rsid w:val="00096B1A"/>
    <w:rsid w:val="00096B7A"/>
    <w:rsid w:val="000C0E24"/>
    <w:rsid w:val="000C68D3"/>
    <w:rsid w:val="000C6DFA"/>
    <w:rsid w:val="000D1AF3"/>
    <w:rsid w:val="000E1474"/>
    <w:rsid w:val="000F1547"/>
    <w:rsid w:val="000F5E56"/>
    <w:rsid w:val="001024FE"/>
    <w:rsid w:val="00105C3A"/>
    <w:rsid w:val="001107F4"/>
    <w:rsid w:val="00115989"/>
    <w:rsid w:val="00116ED2"/>
    <w:rsid w:val="00132A8D"/>
    <w:rsid w:val="001362EE"/>
    <w:rsid w:val="00142868"/>
    <w:rsid w:val="001444FD"/>
    <w:rsid w:val="00146C8B"/>
    <w:rsid w:val="00153D2C"/>
    <w:rsid w:val="001832A6"/>
    <w:rsid w:val="0018439F"/>
    <w:rsid w:val="0019066A"/>
    <w:rsid w:val="0019278E"/>
    <w:rsid w:val="001C4519"/>
    <w:rsid w:val="001C6808"/>
    <w:rsid w:val="001D1DA3"/>
    <w:rsid w:val="001E7809"/>
    <w:rsid w:val="002121FA"/>
    <w:rsid w:val="0022554A"/>
    <w:rsid w:val="00241FD7"/>
    <w:rsid w:val="002452A3"/>
    <w:rsid w:val="00256D68"/>
    <w:rsid w:val="002634C4"/>
    <w:rsid w:val="00265564"/>
    <w:rsid w:val="0027667E"/>
    <w:rsid w:val="002920C7"/>
    <w:rsid w:val="002928D3"/>
    <w:rsid w:val="00295264"/>
    <w:rsid w:val="002F1FE6"/>
    <w:rsid w:val="002F4E68"/>
    <w:rsid w:val="00307273"/>
    <w:rsid w:val="0031157D"/>
    <w:rsid w:val="00312F7F"/>
    <w:rsid w:val="003228B7"/>
    <w:rsid w:val="003265DE"/>
    <w:rsid w:val="00336355"/>
    <w:rsid w:val="00347C29"/>
    <w:rsid w:val="0035009D"/>
    <w:rsid w:val="003508A3"/>
    <w:rsid w:val="003673CF"/>
    <w:rsid w:val="00380112"/>
    <w:rsid w:val="003811E7"/>
    <w:rsid w:val="003845C1"/>
    <w:rsid w:val="003A0943"/>
    <w:rsid w:val="003A12C7"/>
    <w:rsid w:val="003A3900"/>
    <w:rsid w:val="003A6F89"/>
    <w:rsid w:val="003B38C1"/>
    <w:rsid w:val="003D02A1"/>
    <w:rsid w:val="003D18C7"/>
    <w:rsid w:val="003D352A"/>
    <w:rsid w:val="003D5130"/>
    <w:rsid w:val="003E1D70"/>
    <w:rsid w:val="003E5B32"/>
    <w:rsid w:val="003F1BC0"/>
    <w:rsid w:val="003F2210"/>
    <w:rsid w:val="003F4808"/>
    <w:rsid w:val="00410924"/>
    <w:rsid w:val="004132EF"/>
    <w:rsid w:val="00423E3E"/>
    <w:rsid w:val="00427AF4"/>
    <w:rsid w:val="0043280E"/>
    <w:rsid w:val="004350D2"/>
    <w:rsid w:val="00435A4B"/>
    <w:rsid w:val="004400E2"/>
    <w:rsid w:val="00444C62"/>
    <w:rsid w:val="00455986"/>
    <w:rsid w:val="004571A0"/>
    <w:rsid w:val="004610BA"/>
    <w:rsid w:val="00461632"/>
    <w:rsid w:val="004647DA"/>
    <w:rsid w:val="00474062"/>
    <w:rsid w:val="00477B01"/>
    <w:rsid w:val="00477D6B"/>
    <w:rsid w:val="00477E7C"/>
    <w:rsid w:val="00483D06"/>
    <w:rsid w:val="00483D54"/>
    <w:rsid w:val="004848A5"/>
    <w:rsid w:val="0048506A"/>
    <w:rsid w:val="00490CF7"/>
    <w:rsid w:val="00495DDD"/>
    <w:rsid w:val="004A5741"/>
    <w:rsid w:val="004A7EAB"/>
    <w:rsid w:val="004B0C1F"/>
    <w:rsid w:val="004B2E13"/>
    <w:rsid w:val="004B6BF4"/>
    <w:rsid w:val="004D39C4"/>
    <w:rsid w:val="004D55B2"/>
    <w:rsid w:val="004D5C0F"/>
    <w:rsid w:val="004D7119"/>
    <w:rsid w:val="004E49EC"/>
    <w:rsid w:val="004F3BC7"/>
    <w:rsid w:val="00520B8B"/>
    <w:rsid w:val="005249C5"/>
    <w:rsid w:val="0053057A"/>
    <w:rsid w:val="0053211C"/>
    <w:rsid w:val="00544AC7"/>
    <w:rsid w:val="00557D45"/>
    <w:rsid w:val="00560A29"/>
    <w:rsid w:val="00562FA6"/>
    <w:rsid w:val="00564AD5"/>
    <w:rsid w:val="00593322"/>
    <w:rsid w:val="00593631"/>
    <w:rsid w:val="00594D27"/>
    <w:rsid w:val="005A0DF8"/>
    <w:rsid w:val="005B240C"/>
    <w:rsid w:val="005B390A"/>
    <w:rsid w:val="005B4741"/>
    <w:rsid w:val="005B55F5"/>
    <w:rsid w:val="005D163D"/>
    <w:rsid w:val="005F082E"/>
    <w:rsid w:val="005F3324"/>
    <w:rsid w:val="005F49E7"/>
    <w:rsid w:val="005F6959"/>
    <w:rsid w:val="00600B2E"/>
    <w:rsid w:val="00601760"/>
    <w:rsid w:val="00604E74"/>
    <w:rsid w:val="00605827"/>
    <w:rsid w:val="0061039D"/>
    <w:rsid w:val="0063021C"/>
    <w:rsid w:val="00640D02"/>
    <w:rsid w:val="00646050"/>
    <w:rsid w:val="00652A4A"/>
    <w:rsid w:val="00652EC8"/>
    <w:rsid w:val="00662972"/>
    <w:rsid w:val="006646E0"/>
    <w:rsid w:val="00666372"/>
    <w:rsid w:val="006713CA"/>
    <w:rsid w:val="00676C5C"/>
    <w:rsid w:val="00680B3C"/>
    <w:rsid w:val="00684939"/>
    <w:rsid w:val="00685C46"/>
    <w:rsid w:val="006949EF"/>
    <w:rsid w:val="00695558"/>
    <w:rsid w:val="006976B0"/>
    <w:rsid w:val="006B746C"/>
    <w:rsid w:val="006C448E"/>
    <w:rsid w:val="006D4061"/>
    <w:rsid w:val="006D5E0F"/>
    <w:rsid w:val="006D75D0"/>
    <w:rsid w:val="006E2F11"/>
    <w:rsid w:val="006E4DB5"/>
    <w:rsid w:val="006F125B"/>
    <w:rsid w:val="006F4F75"/>
    <w:rsid w:val="00701A26"/>
    <w:rsid w:val="007058FB"/>
    <w:rsid w:val="00711067"/>
    <w:rsid w:val="0073575C"/>
    <w:rsid w:val="00741E47"/>
    <w:rsid w:val="00764179"/>
    <w:rsid w:val="0076744F"/>
    <w:rsid w:val="00773256"/>
    <w:rsid w:val="00782CAC"/>
    <w:rsid w:val="007835ED"/>
    <w:rsid w:val="007A198B"/>
    <w:rsid w:val="007B3067"/>
    <w:rsid w:val="007B3BEC"/>
    <w:rsid w:val="007B6A58"/>
    <w:rsid w:val="007C2920"/>
    <w:rsid w:val="007C3ACE"/>
    <w:rsid w:val="007C7844"/>
    <w:rsid w:val="007D1613"/>
    <w:rsid w:val="007E3959"/>
    <w:rsid w:val="007F6A45"/>
    <w:rsid w:val="00810EEE"/>
    <w:rsid w:val="00816C33"/>
    <w:rsid w:val="00826617"/>
    <w:rsid w:val="008332E8"/>
    <w:rsid w:val="00840846"/>
    <w:rsid w:val="00841B18"/>
    <w:rsid w:val="00843607"/>
    <w:rsid w:val="00844823"/>
    <w:rsid w:val="00845D3B"/>
    <w:rsid w:val="0086296D"/>
    <w:rsid w:val="00873EE5"/>
    <w:rsid w:val="0088134B"/>
    <w:rsid w:val="00894249"/>
    <w:rsid w:val="008B2CC1"/>
    <w:rsid w:val="008B4402"/>
    <w:rsid w:val="008B4B5E"/>
    <w:rsid w:val="008B60B2"/>
    <w:rsid w:val="008C09BA"/>
    <w:rsid w:val="008C6968"/>
    <w:rsid w:val="008D4375"/>
    <w:rsid w:val="008D574B"/>
    <w:rsid w:val="008D7A1E"/>
    <w:rsid w:val="008E0655"/>
    <w:rsid w:val="008F4912"/>
    <w:rsid w:val="008F6F2B"/>
    <w:rsid w:val="0090149F"/>
    <w:rsid w:val="0090731E"/>
    <w:rsid w:val="00913548"/>
    <w:rsid w:val="00916EE2"/>
    <w:rsid w:val="00924E72"/>
    <w:rsid w:val="00924FAA"/>
    <w:rsid w:val="00926A49"/>
    <w:rsid w:val="009412C3"/>
    <w:rsid w:val="009466D4"/>
    <w:rsid w:val="0095239B"/>
    <w:rsid w:val="00966A22"/>
    <w:rsid w:val="0096722F"/>
    <w:rsid w:val="0097339B"/>
    <w:rsid w:val="00977094"/>
    <w:rsid w:val="00980843"/>
    <w:rsid w:val="009A0F1B"/>
    <w:rsid w:val="009B39D1"/>
    <w:rsid w:val="009B7FC9"/>
    <w:rsid w:val="009C3A9B"/>
    <w:rsid w:val="009C47EE"/>
    <w:rsid w:val="009D08E6"/>
    <w:rsid w:val="009E2791"/>
    <w:rsid w:val="009E309C"/>
    <w:rsid w:val="009E3F6F"/>
    <w:rsid w:val="009F2140"/>
    <w:rsid w:val="009F2B8F"/>
    <w:rsid w:val="009F3BF9"/>
    <w:rsid w:val="009F499F"/>
    <w:rsid w:val="009F63FC"/>
    <w:rsid w:val="00A01CAC"/>
    <w:rsid w:val="00A1569A"/>
    <w:rsid w:val="00A25597"/>
    <w:rsid w:val="00A31E4D"/>
    <w:rsid w:val="00A32580"/>
    <w:rsid w:val="00A42DAF"/>
    <w:rsid w:val="00A45BD8"/>
    <w:rsid w:val="00A56F03"/>
    <w:rsid w:val="00A5792C"/>
    <w:rsid w:val="00A6733B"/>
    <w:rsid w:val="00A710E6"/>
    <w:rsid w:val="00A75630"/>
    <w:rsid w:val="00A763BE"/>
    <w:rsid w:val="00A778BF"/>
    <w:rsid w:val="00A85B8E"/>
    <w:rsid w:val="00A93F63"/>
    <w:rsid w:val="00A956DD"/>
    <w:rsid w:val="00AB3100"/>
    <w:rsid w:val="00AC205C"/>
    <w:rsid w:val="00AC238F"/>
    <w:rsid w:val="00AF0491"/>
    <w:rsid w:val="00AF5C73"/>
    <w:rsid w:val="00B00323"/>
    <w:rsid w:val="00B018E7"/>
    <w:rsid w:val="00B05A69"/>
    <w:rsid w:val="00B2056C"/>
    <w:rsid w:val="00B24EF2"/>
    <w:rsid w:val="00B26A42"/>
    <w:rsid w:val="00B33641"/>
    <w:rsid w:val="00B40598"/>
    <w:rsid w:val="00B44618"/>
    <w:rsid w:val="00B47832"/>
    <w:rsid w:val="00B50B99"/>
    <w:rsid w:val="00B54A8E"/>
    <w:rsid w:val="00B62CD9"/>
    <w:rsid w:val="00B6371C"/>
    <w:rsid w:val="00B650AC"/>
    <w:rsid w:val="00B74666"/>
    <w:rsid w:val="00B8530D"/>
    <w:rsid w:val="00B879C9"/>
    <w:rsid w:val="00B901C2"/>
    <w:rsid w:val="00B9734B"/>
    <w:rsid w:val="00B9745A"/>
    <w:rsid w:val="00BB490B"/>
    <w:rsid w:val="00BC0F56"/>
    <w:rsid w:val="00BD4BB6"/>
    <w:rsid w:val="00BD7AA3"/>
    <w:rsid w:val="00BF3EEF"/>
    <w:rsid w:val="00C00A50"/>
    <w:rsid w:val="00C02111"/>
    <w:rsid w:val="00C02C93"/>
    <w:rsid w:val="00C11BFE"/>
    <w:rsid w:val="00C12110"/>
    <w:rsid w:val="00C12619"/>
    <w:rsid w:val="00C2688E"/>
    <w:rsid w:val="00C42181"/>
    <w:rsid w:val="00C72F02"/>
    <w:rsid w:val="00C94629"/>
    <w:rsid w:val="00C97FA4"/>
    <w:rsid w:val="00CA73AD"/>
    <w:rsid w:val="00CD5FEA"/>
    <w:rsid w:val="00CE41A1"/>
    <w:rsid w:val="00CE65D4"/>
    <w:rsid w:val="00D041E5"/>
    <w:rsid w:val="00D16EC4"/>
    <w:rsid w:val="00D35220"/>
    <w:rsid w:val="00D41451"/>
    <w:rsid w:val="00D45252"/>
    <w:rsid w:val="00D51A67"/>
    <w:rsid w:val="00D70EA8"/>
    <w:rsid w:val="00D71B4D"/>
    <w:rsid w:val="00D76426"/>
    <w:rsid w:val="00D76BE6"/>
    <w:rsid w:val="00D82DA2"/>
    <w:rsid w:val="00D852A4"/>
    <w:rsid w:val="00D927E5"/>
    <w:rsid w:val="00D93D55"/>
    <w:rsid w:val="00DB5277"/>
    <w:rsid w:val="00DE7B8C"/>
    <w:rsid w:val="00E06DC5"/>
    <w:rsid w:val="00E07203"/>
    <w:rsid w:val="00E12AEF"/>
    <w:rsid w:val="00E161A2"/>
    <w:rsid w:val="00E1703C"/>
    <w:rsid w:val="00E17191"/>
    <w:rsid w:val="00E335FE"/>
    <w:rsid w:val="00E33A63"/>
    <w:rsid w:val="00E4390A"/>
    <w:rsid w:val="00E5021F"/>
    <w:rsid w:val="00E567F1"/>
    <w:rsid w:val="00E671A6"/>
    <w:rsid w:val="00E70262"/>
    <w:rsid w:val="00E73785"/>
    <w:rsid w:val="00E741F5"/>
    <w:rsid w:val="00E76547"/>
    <w:rsid w:val="00E94E00"/>
    <w:rsid w:val="00EC4E49"/>
    <w:rsid w:val="00EC69AE"/>
    <w:rsid w:val="00ED2B69"/>
    <w:rsid w:val="00ED77FB"/>
    <w:rsid w:val="00F00BF6"/>
    <w:rsid w:val="00F021A6"/>
    <w:rsid w:val="00F11B1F"/>
    <w:rsid w:val="00F11D94"/>
    <w:rsid w:val="00F159B5"/>
    <w:rsid w:val="00F22EE1"/>
    <w:rsid w:val="00F25693"/>
    <w:rsid w:val="00F30849"/>
    <w:rsid w:val="00F3405D"/>
    <w:rsid w:val="00F51DEC"/>
    <w:rsid w:val="00F66152"/>
    <w:rsid w:val="00F70A02"/>
    <w:rsid w:val="00F71303"/>
    <w:rsid w:val="00F7159B"/>
    <w:rsid w:val="00F73414"/>
    <w:rsid w:val="00F80574"/>
    <w:rsid w:val="00F81DBD"/>
    <w:rsid w:val="00F852C8"/>
    <w:rsid w:val="00F97F9D"/>
    <w:rsid w:val="00FA400B"/>
    <w:rsid w:val="00FA7EAE"/>
    <w:rsid w:val="00FB69EE"/>
    <w:rsid w:val="00FD239A"/>
    <w:rsid w:val="00FD258D"/>
    <w:rsid w:val="00FD7B13"/>
    <w:rsid w:val="00FE20E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93FE"/>
  <w15:docId w15:val="{097ECFF5-946C-4CD3-8B53-5659B204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E41A1"/>
    <w:pPr>
      <w:spacing w:after="160" w:line="279" w:lineRule="auto"/>
      <w:ind w:left="720"/>
      <w:contextualSpacing/>
    </w:pPr>
    <w:rPr>
      <w:rFonts w:asciiTheme="minorHAnsi" w:eastAsiaTheme="minorEastAsia" w:hAnsiTheme="minorHAnsi" w:cstheme="minorBidi"/>
      <w:sz w:val="24"/>
      <w:szCs w:val="24"/>
      <w:lang w:eastAsia="ja-JP"/>
    </w:rPr>
  </w:style>
  <w:style w:type="character" w:styleId="Hyperlink">
    <w:name w:val="Hyperlink"/>
    <w:basedOn w:val="DefaultParagraphFont"/>
    <w:uiPriority w:val="99"/>
    <w:unhideWhenUsed/>
    <w:rsid w:val="00CE41A1"/>
    <w:rPr>
      <w:color w:val="467886"/>
      <w:u w:val="single"/>
    </w:rPr>
  </w:style>
  <w:style w:type="character" w:customStyle="1" w:styleId="FootnoteTextChar">
    <w:name w:val="Footnote Text Char"/>
    <w:basedOn w:val="DefaultParagraphFont"/>
    <w:link w:val="FootnoteText"/>
    <w:uiPriority w:val="99"/>
    <w:semiHidden/>
    <w:rsid w:val="00CE41A1"/>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E41A1"/>
    <w:rPr>
      <w:vertAlign w:val="superscript"/>
    </w:rPr>
  </w:style>
  <w:style w:type="table" w:styleId="TableGrid">
    <w:name w:val="Table Grid"/>
    <w:basedOn w:val="TableNormal"/>
    <w:uiPriority w:val="59"/>
    <w:rsid w:val="00CE41A1"/>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A25597"/>
    <w:rPr>
      <w:color w:val="800080" w:themeColor="followedHyperlink"/>
      <w:u w:val="single"/>
    </w:rPr>
  </w:style>
  <w:style w:type="character" w:styleId="UnresolvedMention">
    <w:name w:val="Unresolved Mention"/>
    <w:basedOn w:val="DefaultParagraphFont"/>
    <w:uiPriority w:val="99"/>
    <w:semiHidden/>
    <w:unhideWhenUsed/>
    <w:rsid w:val="00AF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tlanticcouncil.org/in-depth-research-reports/report/attracting-foreign-direct-investments/" TargetMode="External"/><Relationship Id="rId1" Type="http://schemas.openxmlformats.org/officeDocument/2006/relationships/hyperlink" Target="https://www.wipo.int/en/web/copyright/economic-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9</TotalTime>
  <Pages>3</Pages>
  <Words>295</Words>
  <Characters>1635</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SCCR/47/11</dc:title>
  <dc:subject>关于研究创意产业对成员国经济增长影响的提案</dc:subject>
  <dc:creator>HAIZEL Francesca</dc:creator>
  <cp:keywords>FOR OFFICIAL USE ONLY</cp:keywords>
  <cp:lastModifiedBy>HAIZEL Francesca</cp:lastModifiedBy>
  <cp:revision>2</cp:revision>
  <cp:lastPrinted>2025-12-10T13:56:00Z</cp:lastPrinted>
  <dcterms:created xsi:type="dcterms:W3CDTF">2025-12-11T10:47:00Z</dcterms:created>
  <dcterms:modified xsi:type="dcterms:W3CDTF">2025-12-11T10:47:00Z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