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5D45" w14:textId="77777777" w:rsidR="004D2088" w:rsidRPr="007E4257" w:rsidRDefault="004D2088" w:rsidP="004D2088">
      <w:pPr>
        <w:jc w:val="right"/>
        <w:rPr>
          <w:rFonts w:ascii="Arial Black" w:hAnsi="Arial Black"/>
          <w:caps/>
          <w:sz w:val="15"/>
        </w:rPr>
      </w:pPr>
      <w:r w:rsidRPr="005A0C50">
        <w:rPr>
          <w:rFonts w:cs="Times New Roman"/>
          <w:noProof/>
          <w:sz w:val="21"/>
        </w:rPr>
        <w:drawing>
          <wp:inline distT="0" distB="0" distL="0" distR="0" wp14:anchorId="789C8CD4" wp14:editId="28D39C20">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6B15C7" w14:textId="719A57AB" w:rsidR="004D2088" w:rsidRPr="007E4257" w:rsidRDefault="004D2088" w:rsidP="004D208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r/45</w:t>
      </w:r>
      <w:r w:rsidRPr="003F0AF1">
        <w:rPr>
          <w:rFonts w:ascii="Arial Black" w:hAnsi="Arial Black"/>
          <w:b/>
          <w:caps/>
          <w:sz w:val="15"/>
        </w:rPr>
        <w:t>/</w:t>
      </w:r>
      <w:bookmarkStart w:id="0" w:name="Code"/>
      <w:r>
        <w:rPr>
          <w:rFonts w:ascii="Arial Black" w:hAnsi="Arial Black" w:hint="eastAsia"/>
          <w:b/>
          <w:caps/>
          <w:sz w:val="15"/>
        </w:rPr>
        <w:t>4</w:t>
      </w:r>
    </w:p>
    <w:bookmarkEnd w:id="0"/>
    <w:p w14:paraId="2B2F5AD8" w14:textId="459A05EF" w:rsidR="004D2088" w:rsidRPr="007E4257" w:rsidRDefault="004D2088" w:rsidP="004D2088">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西班牙</w:t>
      </w:r>
      <w:r w:rsidRPr="007E4257">
        <w:rPr>
          <w:rFonts w:eastAsia="SimHei" w:hint="eastAsia"/>
          <w:b/>
          <w:sz w:val="15"/>
          <w:szCs w:val="15"/>
        </w:rPr>
        <w:t>文</w:t>
      </w:r>
      <w:bookmarkEnd w:id="1"/>
    </w:p>
    <w:p w14:paraId="52BCEB5B" w14:textId="0F6EF03A" w:rsidR="004D2088" w:rsidRPr="007E4257" w:rsidRDefault="004D2088" w:rsidP="004D2088">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b/>
          <w:sz w:val="15"/>
          <w:szCs w:val="15"/>
          <w:lang w:val="pt-BR"/>
        </w:rPr>
        <w:t>4</w:t>
      </w:r>
      <w:r w:rsidRPr="007E4257">
        <w:rPr>
          <w:rFonts w:ascii="SimHei" w:eastAsia="SimHei" w:hAnsi="Times New Roman" w:hint="eastAsia"/>
          <w:b/>
          <w:sz w:val="15"/>
          <w:szCs w:val="15"/>
        </w:rPr>
        <w:t>年</w:t>
      </w:r>
      <w:r>
        <w:rPr>
          <w:rFonts w:ascii="Arial Black" w:eastAsia="SimHei" w:hAnsi="Arial Black" w:hint="eastAsia"/>
          <w:b/>
          <w:sz w:val="15"/>
          <w:szCs w:val="15"/>
          <w:lang w:val="pt-BR"/>
        </w:rPr>
        <w:t>4</w:t>
      </w:r>
      <w:r w:rsidRPr="007E4257">
        <w:rPr>
          <w:rFonts w:ascii="SimHei" w:eastAsia="SimHei" w:hAnsi="Times New Roman" w:hint="eastAsia"/>
          <w:b/>
          <w:sz w:val="15"/>
          <w:szCs w:val="15"/>
        </w:rPr>
        <w:t>月</w:t>
      </w:r>
      <w:r>
        <w:rPr>
          <w:rFonts w:ascii="Arial Black" w:eastAsia="SimHei" w:hAnsi="Arial Black" w:hint="eastAsia"/>
          <w:b/>
          <w:sz w:val="15"/>
          <w:szCs w:val="15"/>
          <w:lang w:val="pt-BR"/>
        </w:rPr>
        <w:t>2</w:t>
      </w:r>
      <w:r w:rsidRPr="007E4257">
        <w:rPr>
          <w:rFonts w:ascii="SimHei" w:eastAsia="SimHei" w:hAnsi="Times New Roman" w:hint="eastAsia"/>
          <w:b/>
          <w:sz w:val="15"/>
          <w:szCs w:val="15"/>
        </w:rPr>
        <w:t>日</w:t>
      </w:r>
      <w:bookmarkEnd w:id="2"/>
    </w:p>
    <w:p w14:paraId="349DE890" w14:textId="77777777" w:rsidR="004D2088" w:rsidRPr="007E4257" w:rsidRDefault="004D2088" w:rsidP="004D2088">
      <w:pPr>
        <w:spacing w:after="600"/>
        <w:rPr>
          <w:rFonts w:ascii="SimHei" w:eastAsia="SimHei"/>
          <w:sz w:val="28"/>
          <w:szCs w:val="28"/>
        </w:rPr>
      </w:pPr>
      <w:r w:rsidRPr="003C0CD0">
        <w:rPr>
          <w:rFonts w:ascii="SimHei" w:eastAsia="SimHei" w:hint="eastAsia"/>
          <w:sz w:val="28"/>
          <w:szCs w:val="28"/>
        </w:rPr>
        <w:t>版权及相关权常设委员会</w:t>
      </w:r>
    </w:p>
    <w:p w14:paraId="28EFA25F" w14:textId="77777777" w:rsidR="004D2088" w:rsidRPr="007E4257" w:rsidRDefault="004D2088" w:rsidP="004D2088">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四十五</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sz w:val="24"/>
          <w:szCs w:val="24"/>
        </w:rPr>
        <w:t>15</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19</w:t>
      </w:r>
      <w:r w:rsidRPr="007E4257">
        <w:rPr>
          <w:rFonts w:ascii="KaiTi" w:eastAsia="KaiTi" w:hAnsi="KaiTi" w:hint="eastAsia"/>
          <w:b/>
          <w:sz w:val="24"/>
          <w:szCs w:val="24"/>
        </w:rPr>
        <w:t>日，日内瓦</w:t>
      </w:r>
    </w:p>
    <w:p w14:paraId="0C34E9FC" w14:textId="191D760C" w:rsidR="004D2088" w:rsidRPr="007E4257" w:rsidRDefault="004D2088" w:rsidP="004D2088">
      <w:pPr>
        <w:spacing w:after="360"/>
        <w:rPr>
          <w:rFonts w:ascii="KaiTi" w:eastAsia="KaiTi" w:hAnsi="KaiTi" w:cs="Times New Roman"/>
          <w:sz w:val="24"/>
          <w:szCs w:val="32"/>
        </w:rPr>
      </w:pPr>
      <w:bookmarkStart w:id="3" w:name="TitleOfDoc"/>
      <w:r w:rsidRPr="004D2088">
        <w:rPr>
          <w:rFonts w:ascii="KaiTi" w:eastAsia="KaiTi" w:hAnsi="KaiTi" w:cs="Times New Roman" w:hint="eastAsia"/>
          <w:sz w:val="24"/>
          <w:szCs w:val="32"/>
        </w:rPr>
        <w:t>数字环境中的版权工作计划草案</w:t>
      </w:r>
    </w:p>
    <w:p w14:paraId="6501295C" w14:textId="0A47883C" w:rsidR="004D2088" w:rsidRPr="007E4257" w:rsidRDefault="004D2088" w:rsidP="004D2088">
      <w:pPr>
        <w:spacing w:after="960"/>
        <w:rPr>
          <w:rFonts w:ascii="KaiTi" w:eastAsia="KaiTi" w:hAnsi="STKaiti" w:cs="Times New Roman"/>
          <w:sz w:val="21"/>
          <w:szCs w:val="24"/>
        </w:rPr>
      </w:pPr>
      <w:bookmarkStart w:id="4" w:name="Prepared"/>
      <w:bookmarkEnd w:id="3"/>
      <w:r w:rsidRPr="004D2088">
        <w:rPr>
          <w:rFonts w:ascii="KaiTi" w:eastAsia="KaiTi" w:hAnsi="STKaiti" w:cs="Times New Roman" w:hint="eastAsia"/>
          <w:sz w:val="21"/>
          <w:szCs w:val="24"/>
        </w:rPr>
        <w:t>拉丁美洲</w:t>
      </w:r>
      <w:r>
        <w:rPr>
          <w:rFonts w:ascii="KaiTi" w:eastAsia="KaiTi" w:hAnsi="STKaiti" w:cs="Times New Roman" w:hint="eastAsia"/>
          <w:sz w:val="21"/>
          <w:szCs w:val="24"/>
        </w:rPr>
        <w:t>和</w:t>
      </w:r>
      <w:r w:rsidRPr="004D2088">
        <w:rPr>
          <w:rFonts w:ascii="KaiTi" w:eastAsia="KaiTi" w:hAnsi="STKaiti" w:cs="Times New Roman" w:hint="eastAsia"/>
          <w:sz w:val="21"/>
          <w:szCs w:val="24"/>
        </w:rPr>
        <w:t>加勒比国家集团（GRULAC）提交的文件</w:t>
      </w:r>
    </w:p>
    <w:bookmarkEnd w:id="4"/>
    <w:p w14:paraId="72B3ECF2" w14:textId="77777777" w:rsidR="00B60C9D" w:rsidRPr="00A71A8C" w:rsidRDefault="00E36491" w:rsidP="00E36491">
      <w:pPr>
        <w:rPr>
          <w:rFonts w:ascii="SimSun" w:hAnsi="SimSun"/>
          <w:sz w:val="21"/>
        </w:rPr>
      </w:pPr>
      <w:r w:rsidRPr="00A71A8C">
        <w:rPr>
          <w:rFonts w:ascii="SimSun" w:hAnsi="SimSun"/>
          <w:sz w:val="21"/>
        </w:rPr>
        <w:br w:type="page"/>
      </w:r>
    </w:p>
    <w:p w14:paraId="2C391AB5" w14:textId="77777777" w:rsidR="00B83B38" w:rsidRDefault="00330608" w:rsidP="00B83B38">
      <w:pPr>
        <w:overflowPunct w:val="0"/>
        <w:spacing w:afterLines="50" w:after="120" w:line="340" w:lineRule="atLeast"/>
        <w:ind w:firstLineChars="200" w:firstLine="420"/>
        <w:jc w:val="both"/>
        <w:rPr>
          <w:rFonts w:ascii="SimSun" w:hAnsi="SimSun"/>
          <w:sz w:val="21"/>
          <w:szCs w:val="22"/>
          <w:lang w:val="en-US"/>
        </w:rPr>
      </w:pPr>
      <w:r w:rsidRPr="004D2088">
        <w:rPr>
          <w:rFonts w:ascii="SimSun" w:hAnsi="SimSun"/>
          <w:sz w:val="21"/>
          <w:szCs w:val="22"/>
          <w:lang w:val="en-US"/>
        </w:rPr>
        <w:lastRenderedPageBreak/>
        <w:t>自</w:t>
      </w:r>
      <w:r w:rsidRPr="00A71A8C">
        <w:rPr>
          <w:rFonts w:ascii="SimSun" w:hAnsi="SimSun"/>
          <w:sz w:val="21"/>
          <w:szCs w:val="22"/>
        </w:rPr>
        <w:t>2015</w:t>
      </w:r>
      <w:r w:rsidRPr="004D2088">
        <w:rPr>
          <w:rFonts w:ascii="SimSun" w:hAnsi="SimSun"/>
          <w:sz w:val="21"/>
          <w:szCs w:val="22"/>
          <w:lang w:val="en-US"/>
        </w:rPr>
        <w:t>年以来</w:t>
      </w:r>
      <w:r w:rsidRPr="00A71A8C">
        <w:rPr>
          <w:rFonts w:ascii="SimSun" w:hAnsi="SimSun"/>
          <w:sz w:val="21"/>
          <w:szCs w:val="22"/>
        </w:rPr>
        <w:t>，</w:t>
      </w:r>
      <w:r w:rsidRPr="004D2088">
        <w:rPr>
          <w:rFonts w:ascii="SimSun" w:hAnsi="SimSun"/>
          <w:sz w:val="21"/>
          <w:szCs w:val="22"/>
          <w:lang w:val="en-US"/>
        </w:rPr>
        <w:t>在版权及相关权常设委员会</w:t>
      </w:r>
      <w:r w:rsidRPr="00A71A8C">
        <w:rPr>
          <w:rFonts w:ascii="SimSun" w:hAnsi="SimSun"/>
          <w:sz w:val="21"/>
          <w:szCs w:val="22"/>
        </w:rPr>
        <w:t>（SCCR）</w:t>
      </w:r>
      <w:r w:rsidRPr="004D2088">
        <w:rPr>
          <w:rFonts w:ascii="SimSun" w:hAnsi="SimSun"/>
          <w:sz w:val="21"/>
          <w:szCs w:val="22"/>
          <w:lang w:val="en-US"/>
        </w:rPr>
        <w:t>的框架内</w:t>
      </w:r>
      <w:r w:rsidRPr="00A71A8C">
        <w:rPr>
          <w:rFonts w:ascii="SimSun" w:hAnsi="SimSun"/>
          <w:sz w:val="21"/>
          <w:szCs w:val="22"/>
        </w:rPr>
        <w:t>，</w:t>
      </w:r>
      <w:r w:rsidRPr="004D2088">
        <w:rPr>
          <w:rFonts w:ascii="SimSun" w:hAnsi="SimSun"/>
          <w:sz w:val="21"/>
          <w:szCs w:val="22"/>
          <w:lang w:val="en-US"/>
        </w:rPr>
        <w:t>已多次表明有必要更深入、更广泛地讨论数字环境中艺术家和表演者的版权</w:t>
      </w:r>
      <w:r w:rsidR="0085608A" w:rsidRPr="004D2088">
        <w:rPr>
          <w:rFonts w:ascii="SimSun" w:hAnsi="SimSun"/>
          <w:sz w:val="21"/>
          <w:szCs w:val="22"/>
          <w:lang w:val="en-US"/>
        </w:rPr>
        <w:t>议题</w:t>
      </w:r>
      <w:r w:rsidRPr="004D2088">
        <w:rPr>
          <w:rFonts w:ascii="SimSun" w:hAnsi="SimSun"/>
          <w:sz w:val="21"/>
          <w:szCs w:val="22"/>
          <w:lang w:val="en-US"/>
        </w:rPr>
        <w:t>。</w:t>
      </w:r>
      <w:r w:rsidR="001C28C9" w:rsidRPr="004D2088">
        <w:rPr>
          <w:rFonts w:ascii="SimSun" w:hAnsi="SimSun"/>
          <w:sz w:val="21"/>
          <w:szCs w:val="22"/>
          <w:lang w:val="en-US"/>
        </w:rPr>
        <w:t>成员国</w:t>
      </w:r>
      <w:r w:rsidRPr="004D2088">
        <w:rPr>
          <w:rFonts w:ascii="SimSun" w:hAnsi="SimSun"/>
          <w:sz w:val="21"/>
          <w:szCs w:val="22"/>
          <w:lang w:val="en-US"/>
        </w:rPr>
        <w:t>提交的文件以及</w:t>
      </w:r>
      <w:r w:rsidR="00DE2593" w:rsidRPr="004D2088">
        <w:rPr>
          <w:rFonts w:ascii="SimSun" w:hAnsi="SimSun"/>
          <w:sz w:val="21"/>
          <w:szCs w:val="22"/>
          <w:lang w:val="en-US"/>
        </w:rPr>
        <w:t>委员会</w:t>
      </w:r>
      <w:r w:rsidRPr="004D2088">
        <w:rPr>
          <w:rFonts w:ascii="SimSun" w:hAnsi="SimSun"/>
          <w:sz w:val="21"/>
          <w:szCs w:val="22"/>
          <w:lang w:val="en-US"/>
        </w:rPr>
        <w:t>委托开展的经济影响研究和讨论小组</w:t>
      </w:r>
      <w:r w:rsidR="00F4057E" w:rsidRPr="004D2088">
        <w:rPr>
          <w:rFonts w:ascii="SimSun" w:hAnsi="SimSun"/>
          <w:sz w:val="21"/>
          <w:szCs w:val="22"/>
          <w:lang w:val="en-US"/>
        </w:rPr>
        <w:t>所</w:t>
      </w:r>
      <w:r w:rsidRPr="004D2088">
        <w:rPr>
          <w:rFonts w:ascii="SimSun" w:hAnsi="SimSun"/>
          <w:sz w:val="21"/>
          <w:szCs w:val="22"/>
          <w:lang w:val="en-US"/>
        </w:rPr>
        <w:t>提供的证据</w:t>
      </w:r>
      <w:r w:rsidR="00A53B54" w:rsidRPr="004D2088">
        <w:rPr>
          <w:rFonts w:ascii="SimSun" w:hAnsi="SimSun"/>
          <w:sz w:val="21"/>
          <w:szCs w:val="22"/>
          <w:lang w:val="en-US"/>
        </w:rPr>
        <w:t>都</w:t>
      </w:r>
      <w:r w:rsidRPr="004D2088">
        <w:rPr>
          <w:rFonts w:ascii="SimSun" w:hAnsi="SimSun"/>
          <w:sz w:val="21"/>
          <w:szCs w:val="22"/>
          <w:lang w:val="en-US"/>
        </w:rPr>
        <w:t>证</w:t>
      </w:r>
      <w:r w:rsidR="004B24AF" w:rsidRPr="004D2088">
        <w:rPr>
          <w:rFonts w:ascii="SimSun" w:hAnsi="SimSun"/>
          <w:sz w:val="21"/>
          <w:szCs w:val="22"/>
          <w:lang w:val="en-US"/>
        </w:rPr>
        <w:t>实</w:t>
      </w:r>
      <w:r w:rsidRPr="004D2088">
        <w:rPr>
          <w:rFonts w:ascii="SimSun" w:hAnsi="SimSun"/>
          <w:sz w:val="21"/>
          <w:szCs w:val="22"/>
          <w:lang w:val="en-US"/>
        </w:rPr>
        <w:t>了这一点，明确指出在数字环境中保障创作者、作曲家、艺术家和表演者的版权及</w:t>
      </w:r>
      <w:r w:rsidR="004166F9" w:rsidRPr="004D2088">
        <w:rPr>
          <w:rFonts w:ascii="SimSun" w:hAnsi="SimSun"/>
          <w:sz w:val="21"/>
          <w:szCs w:val="22"/>
          <w:lang w:val="en-US"/>
        </w:rPr>
        <w:t>相关权</w:t>
      </w:r>
      <w:r w:rsidR="004B24AF" w:rsidRPr="004D2088">
        <w:rPr>
          <w:rFonts w:ascii="SimSun" w:hAnsi="SimSun"/>
          <w:sz w:val="21"/>
          <w:szCs w:val="22"/>
          <w:lang w:val="en-US"/>
        </w:rPr>
        <w:t>所面临</w:t>
      </w:r>
      <w:r w:rsidRPr="004D2088">
        <w:rPr>
          <w:rFonts w:ascii="SimSun" w:hAnsi="SimSun"/>
          <w:sz w:val="21"/>
          <w:szCs w:val="22"/>
          <w:lang w:val="en-US"/>
        </w:rPr>
        <w:t>的困难。</w:t>
      </w:r>
    </w:p>
    <w:p w14:paraId="2C817098" w14:textId="051E8B9B" w:rsidR="00B83B38" w:rsidRDefault="00330608" w:rsidP="00B83B38">
      <w:pPr>
        <w:overflowPunct w:val="0"/>
        <w:spacing w:afterLines="50" w:after="120" w:line="340" w:lineRule="atLeast"/>
        <w:ind w:firstLineChars="200" w:firstLine="420"/>
        <w:jc w:val="both"/>
        <w:rPr>
          <w:rFonts w:ascii="SimSun" w:hAnsi="SimSun"/>
          <w:sz w:val="21"/>
          <w:szCs w:val="22"/>
          <w:lang w:val="en-US"/>
        </w:rPr>
      </w:pPr>
      <w:r w:rsidRPr="004D2088">
        <w:rPr>
          <w:rFonts w:ascii="SimSun" w:hAnsi="SimSun"/>
          <w:sz w:val="21"/>
          <w:szCs w:val="22"/>
          <w:lang w:val="en-US"/>
        </w:rPr>
        <w:t>在2015年</w:t>
      </w:r>
      <w:r w:rsidR="00DE2593" w:rsidRPr="004D2088">
        <w:rPr>
          <w:rFonts w:ascii="SimSun" w:hAnsi="SimSun"/>
          <w:sz w:val="21"/>
          <w:szCs w:val="22"/>
          <w:lang w:val="en-US"/>
        </w:rPr>
        <w:t>委员会</w:t>
      </w:r>
      <w:r w:rsidRPr="004D2088">
        <w:rPr>
          <w:rFonts w:ascii="SimSun" w:hAnsi="SimSun"/>
          <w:sz w:val="21"/>
          <w:szCs w:val="22"/>
          <w:lang w:val="en-US"/>
        </w:rPr>
        <w:t>第三十一届会议上，拉丁美洲</w:t>
      </w:r>
      <w:r>
        <w:rPr>
          <w:rFonts w:ascii="SimSun" w:hAnsi="SimSun" w:hint="eastAsia"/>
          <w:sz w:val="21"/>
          <w:szCs w:val="22"/>
          <w:lang w:val="en-US"/>
        </w:rPr>
        <w:t>和</w:t>
      </w:r>
      <w:r w:rsidRPr="004D2088">
        <w:rPr>
          <w:rFonts w:ascii="SimSun" w:hAnsi="SimSun"/>
          <w:sz w:val="21"/>
          <w:szCs w:val="22"/>
          <w:lang w:val="en-US"/>
        </w:rPr>
        <w:t>加勒比</w:t>
      </w:r>
      <w:r w:rsidR="00032D9B" w:rsidRPr="004D2088">
        <w:rPr>
          <w:rFonts w:ascii="SimSun" w:hAnsi="SimSun"/>
          <w:sz w:val="21"/>
          <w:szCs w:val="22"/>
          <w:lang w:val="en-US"/>
        </w:rPr>
        <w:t>国家集</w:t>
      </w:r>
      <w:r w:rsidR="00032D9B" w:rsidRPr="004D2088">
        <w:rPr>
          <w:rFonts w:ascii="Microsoft YaHei" w:hAnsi="Microsoft YaHei" w:cs="Microsoft YaHei" w:hint="eastAsia"/>
          <w:sz w:val="21"/>
          <w:szCs w:val="22"/>
          <w:lang w:val="en-US"/>
        </w:rPr>
        <w:t>团</w:t>
      </w:r>
      <w:r w:rsidRPr="004D2088">
        <w:rPr>
          <w:rFonts w:ascii="SimSun" w:hAnsi="SimSun"/>
          <w:sz w:val="21"/>
          <w:szCs w:val="22"/>
          <w:lang w:val="en-US"/>
        </w:rPr>
        <w:t>（GRULAC）提交了一份文件（SCCR/31/4），</w:t>
      </w:r>
      <w:r w:rsidR="007A6E43" w:rsidRPr="004D2088">
        <w:rPr>
          <w:rFonts w:ascii="SimSun" w:hAnsi="SimSun"/>
          <w:sz w:val="21"/>
          <w:szCs w:val="22"/>
          <w:lang w:val="en-US"/>
        </w:rPr>
        <w:t>其中载有</w:t>
      </w:r>
      <w:r w:rsidRPr="004D2088">
        <w:rPr>
          <w:rFonts w:ascii="SimSun" w:hAnsi="SimSun"/>
          <w:sz w:val="21"/>
          <w:szCs w:val="22"/>
          <w:lang w:val="en-US"/>
        </w:rPr>
        <w:t>对这一问题的法律分析以及关于更深入分析数字环境</w:t>
      </w:r>
      <w:r w:rsidR="00DE2593" w:rsidRPr="004D2088">
        <w:rPr>
          <w:rFonts w:ascii="SimSun" w:hAnsi="SimSun"/>
          <w:sz w:val="21"/>
          <w:szCs w:val="22"/>
          <w:lang w:val="en-US"/>
        </w:rPr>
        <w:t>对</w:t>
      </w:r>
      <w:r w:rsidRPr="004D2088">
        <w:rPr>
          <w:rFonts w:ascii="SimSun" w:hAnsi="SimSun"/>
          <w:sz w:val="21"/>
          <w:szCs w:val="22"/>
          <w:lang w:val="en-US"/>
        </w:rPr>
        <w:t>版权影响的</w:t>
      </w:r>
      <w:r w:rsidR="00B6206B" w:rsidRPr="004D2088">
        <w:rPr>
          <w:rFonts w:ascii="SimSun" w:hAnsi="SimSun"/>
          <w:sz w:val="21"/>
          <w:szCs w:val="22"/>
          <w:lang w:val="en-US"/>
        </w:rPr>
        <w:t>建议</w:t>
      </w:r>
      <w:r w:rsidRPr="004D2088">
        <w:rPr>
          <w:rFonts w:ascii="SimSun" w:hAnsi="SimSun"/>
          <w:sz w:val="21"/>
          <w:szCs w:val="22"/>
          <w:lang w:val="en-US"/>
        </w:rPr>
        <w:t>。在今年举行的第四十三届会议上，</w:t>
      </w:r>
      <w:r w:rsidR="00D855C7" w:rsidRPr="004D2088">
        <w:rPr>
          <w:rFonts w:ascii="SimSun" w:hAnsi="SimSun"/>
          <w:sz w:val="21"/>
          <w:szCs w:val="22"/>
          <w:lang w:val="en-US"/>
        </w:rPr>
        <w:t>GRULAC</w:t>
      </w:r>
      <w:r w:rsidRPr="004D2088">
        <w:rPr>
          <w:rFonts w:ascii="SimSun" w:hAnsi="SimSun"/>
          <w:sz w:val="21"/>
          <w:szCs w:val="22"/>
          <w:lang w:val="en-US"/>
        </w:rPr>
        <w:t>再次就此</w:t>
      </w:r>
      <w:r w:rsidR="00DE2593" w:rsidRPr="004D2088">
        <w:rPr>
          <w:rFonts w:ascii="SimSun" w:hAnsi="SimSun"/>
          <w:sz w:val="21"/>
          <w:szCs w:val="22"/>
          <w:lang w:val="en-US"/>
        </w:rPr>
        <w:t>问题</w:t>
      </w:r>
      <w:r w:rsidRPr="004D2088">
        <w:rPr>
          <w:rFonts w:ascii="SimSun" w:hAnsi="SimSun"/>
          <w:sz w:val="21"/>
          <w:szCs w:val="22"/>
          <w:lang w:val="en-US"/>
        </w:rPr>
        <w:t>提交了一份文件，并</w:t>
      </w:r>
      <w:r w:rsidR="00DE2593" w:rsidRPr="004D2088">
        <w:rPr>
          <w:rFonts w:ascii="SimSun" w:hAnsi="SimSun"/>
          <w:sz w:val="21"/>
          <w:szCs w:val="22"/>
          <w:lang w:val="en-US"/>
        </w:rPr>
        <w:t>呼吁</w:t>
      </w:r>
      <w:r w:rsidR="001C28C9" w:rsidRPr="004D2088">
        <w:rPr>
          <w:rFonts w:ascii="SimSun" w:hAnsi="SimSun"/>
          <w:sz w:val="21"/>
          <w:szCs w:val="22"/>
          <w:lang w:val="en-US"/>
        </w:rPr>
        <w:t>成员国</w:t>
      </w:r>
      <w:r w:rsidRPr="004D2088">
        <w:rPr>
          <w:rFonts w:ascii="SimSun" w:hAnsi="SimSun"/>
          <w:sz w:val="21"/>
          <w:szCs w:val="22"/>
          <w:lang w:val="en-US"/>
        </w:rPr>
        <w:t>和秘书处寻求解决</w:t>
      </w:r>
      <w:r w:rsidR="00CF1DA6" w:rsidRPr="004D2088">
        <w:rPr>
          <w:rFonts w:ascii="SimSun" w:hAnsi="SimSun" w:hint="eastAsia"/>
          <w:sz w:val="21"/>
          <w:szCs w:val="22"/>
          <w:lang w:val="en-US"/>
        </w:rPr>
        <w:t>方案</w:t>
      </w:r>
      <w:r w:rsidRPr="004D2088">
        <w:rPr>
          <w:rFonts w:ascii="SimSun" w:hAnsi="SimSun"/>
          <w:sz w:val="21"/>
          <w:szCs w:val="22"/>
          <w:lang w:val="en-US"/>
        </w:rPr>
        <w:t>（SCCR/43/7）。还提交了</w:t>
      </w:r>
      <w:r w:rsidR="00DE2593" w:rsidRPr="004D2088">
        <w:rPr>
          <w:rFonts w:ascii="SimSun" w:hAnsi="SimSun"/>
          <w:sz w:val="21"/>
          <w:szCs w:val="22"/>
          <w:lang w:val="en-US"/>
        </w:rPr>
        <w:t>载有相关</w:t>
      </w:r>
      <w:r w:rsidRPr="004D2088">
        <w:rPr>
          <w:rFonts w:ascii="SimSun" w:hAnsi="SimSun"/>
          <w:sz w:val="21"/>
          <w:szCs w:val="22"/>
          <w:lang w:val="en-US"/>
        </w:rPr>
        <w:t>证据和数据的研究报告：Castle-Feijoo</w:t>
      </w:r>
      <w:r w:rsidR="00D855C7" w:rsidRPr="004D2088">
        <w:rPr>
          <w:rFonts w:ascii="SimSun" w:hAnsi="SimSun" w:hint="eastAsia"/>
          <w:sz w:val="21"/>
          <w:szCs w:val="22"/>
          <w:lang w:val="en-US"/>
        </w:rPr>
        <w:t>：《</w:t>
      </w:r>
      <w:r w:rsidR="00CF1DA6" w:rsidRPr="004D2088">
        <w:rPr>
          <w:rFonts w:ascii="SimSun" w:hAnsi="SimSun" w:hint="eastAsia"/>
          <w:sz w:val="21"/>
          <w:szCs w:val="22"/>
          <w:lang w:val="en-US"/>
        </w:rPr>
        <w:t>数字音乐市场中的艺人研究报告</w:t>
      </w:r>
      <w:r w:rsidRPr="004D2088">
        <w:rPr>
          <w:rFonts w:ascii="SimSun" w:hAnsi="SimSun"/>
          <w:sz w:val="21"/>
          <w:szCs w:val="22"/>
          <w:lang w:val="en-US"/>
        </w:rPr>
        <w:t>：</w:t>
      </w:r>
      <w:r w:rsidR="00CF1DA6" w:rsidRPr="004D2088">
        <w:rPr>
          <w:rFonts w:ascii="SimSun" w:hAnsi="SimSun"/>
          <w:sz w:val="21"/>
          <w:szCs w:val="22"/>
          <w:lang w:val="en-US"/>
        </w:rPr>
        <w:t>经济和法律考虑</w:t>
      </w:r>
      <w:r w:rsidR="00D855C7" w:rsidRPr="004D2088">
        <w:rPr>
          <w:rFonts w:ascii="SimSun" w:hAnsi="SimSun" w:hint="eastAsia"/>
          <w:sz w:val="21"/>
          <w:szCs w:val="22"/>
          <w:lang w:val="en-US"/>
        </w:rPr>
        <w:t>》</w:t>
      </w:r>
      <w:r w:rsidR="00CF1DA6" w:rsidRPr="004D2088">
        <w:rPr>
          <w:rFonts w:ascii="SimSun" w:hAnsi="SimSun" w:hint="eastAsia"/>
          <w:sz w:val="21"/>
          <w:szCs w:val="22"/>
          <w:lang w:val="en-US"/>
        </w:rPr>
        <w:t>（</w:t>
      </w:r>
      <w:r w:rsidRPr="004D2088">
        <w:rPr>
          <w:rFonts w:ascii="SimSun" w:hAnsi="SimSun"/>
          <w:sz w:val="21"/>
          <w:szCs w:val="22"/>
          <w:lang w:val="en-US"/>
        </w:rPr>
        <w:t>SCCR/41/3）；</w:t>
      </w:r>
      <w:r w:rsidR="00B6206B" w:rsidRPr="004D2088">
        <w:rPr>
          <w:rFonts w:ascii="SimSun" w:hAnsi="SimSun"/>
          <w:sz w:val="21"/>
          <w:szCs w:val="22"/>
          <w:lang w:val="en-US"/>
        </w:rPr>
        <w:t>以及</w:t>
      </w:r>
      <w:r w:rsidRPr="004D2088">
        <w:rPr>
          <w:rFonts w:ascii="SimSun" w:hAnsi="SimSun"/>
          <w:sz w:val="21"/>
          <w:szCs w:val="22"/>
          <w:lang w:val="en-US"/>
        </w:rPr>
        <w:t>Cobo：</w:t>
      </w:r>
      <w:r w:rsidR="00D855C7" w:rsidRPr="004D2088">
        <w:rPr>
          <w:rFonts w:ascii="SimSun" w:hAnsi="SimSun" w:hint="eastAsia"/>
          <w:sz w:val="21"/>
          <w:szCs w:val="22"/>
          <w:lang w:val="en-US"/>
        </w:rPr>
        <w:t>《</w:t>
      </w:r>
      <w:r w:rsidRPr="004D2088">
        <w:rPr>
          <w:rFonts w:ascii="SimSun" w:hAnsi="SimSun"/>
          <w:sz w:val="21"/>
          <w:szCs w:val="22"/>
          <w:lang w:val="en-US"/>
        </w:rPr>
        <w:t>拉丁美洲音乐市场》（SCCR</w:t>
      </w:r>
      <w:r>
        <w:rPr>
          <w:rFonts w:ascii="SimSun" w:hAnsi="SimSun" w:hint="eastAsia"/>
          <w:sz w:val="21"/>
          <w:szCs w:val="22"/>
          <w:lang w:val="en-US"/>
        </w:rPr>
        <w:t xml:space="preserve"> </w:t>
      </w:r>
      <w:r w:rsidRPr="004D2088">
        <w:rPr>
          <w:rFonts w:ascii="SimSun" w:hAnsi="SimSun"/>
          <w:sz w:val="21"/>
          <w:szCs w:val="22"/>
          <w:lang w:val="en-US"/>
        </w:rPr>
        <w:t>42/V1）。</w:t>
      </w:r>
    </w:p>
    <w:p w14:paraId="56ECA0B7" w14:textId="25C25D49" w:rsidR="00395CAA" w:rsidRPr="004D2088" w:rsidRDefault="00D855C7" w:rsidP="00B83B38">
      <w:pPr>
        <w:overflowPunct w:val="0"/>
        <w:spacing w:afterLines="50" w:after="120" w:line="340" w:lineRule="atLeast"/>
        <w:ind w:firstLineChars="200" w:firstLine="420"/>
        <w:jc w:val="both"/>
        <w:rPr>
          <w:rFonts w:ascii="SimSun" w:hAnsi="SimSun"/>
          <w:sz w:val="21"/>
          <w:szCs w:val="22"/>
          <w:lang w:val="en-US"/>
        </w:rPr>
      </w:pPr>
      <w:r w:rsidRPr="004D2088">
        <w:rPr>
          <w:rFonts w:ascii="SimSun" w:hAnsi="SimSun"/>
          <w:sz w:val="21"/>
          <w:szCs w:val="22"/>
          <w:lang w:val="en-US"/>
        </w:rPr>
        <w:t>GRULAC认为，</w:t>
      </w:r>
      <w:r w:rsidR="004B6165" w:rsidRPr="004D2088">
        <w:rPr>
          <w:rFonts w:ascii="SimSun" w:hAnsi="SimSun"/>
          <w:sz w:val="21"/>
          <w:szCs w:val="22"/>
          <w:lang w:val="en-US"/>
        </w:rPr>
        <w:t>由于其在艺术家和表演者的创作、生产、管理、营销、</w:t>
      </w:r>
      <w:r w:rsidR="00903082" w:rsidRPr="004D2088">
        <w:rPr>
          <w:rFonts w:ascii="SimSun" w:hAnsi="SimSun"/>
          <w:sz w:val="21"/>
          <w:szCs w:val="22"/>
          <w:lang w:val="en-US"/>
        </w:rPr>
        <w:t>共</w:t>
      </w:r>
      <w:r w:rsidR="004B6165" w:rsidRPr="004D2088">
        <w:rPr>
          <w:rFonts w:ascii="SimSun" w:hAnsi="SimSun"/>
          <w:sz w:val="21"/>
          <w:szCs w:val="22"/>
          <w:lang w:val="en-US"/>
        </w:rPr>
        <w:t>享和报酬方面的不断演变和技术进步，数字环境中的版权，</w:t>
      </w:r>
      <w:r w:rsidR="004B24AF" w:rsidRPr="004D2088">
        <w:rPr>
          <w:rFonts w:ascii="SimSun" w:hAnsi="SimSun"/>
          <w:sz w:val="21"/>
          <w:szCs w:val="22"/>
          <w:lang w:val="en-US"/>
        </w:rPr>
        <w:t>在</w:t>
      </w:r>
      <w:r w:rsidR="004B6165" w:rsidRPr="004D2088">
        <w:rPr>
          <w:rFonts w:ascii="SimSun" w:hAnsi="SimSun"/>
          <w:sz w:val="21"/>
          <w:szCs w:val="22"/>
          <w:lang w:val="en-US"/>
        </w:rPr>
        <w:t>其最广泛的意义</w:t>
      </w:r>
      <w:r w:rsidR="004B24AF" w:rsidRPr="004D2088">
        <w:rPr>
          <w:rFonts w:ascii="SimSun" w:hAnsi="SimSun"/>
          <w:sz w:val="21"/>
          <w:szCs w:val="22"/>
          <w:lang w:val="en-US"/>
        </w:rPr>
        <w:t>上，</w:t>
      </w:r>
      <w:r w:rsidRPr="004D2088">
        <w:rPr>
          <w:rFonts w:ascii="SimSun" w:hAnsi="SimSun"/>
          <w:sz w:val="21"/>
          <w:szCs w:val="22"/>
          <w:lang w:val="en-US"/>
        </w:rPr>
        <w:t>值得</w:t>
      </w:r>
      <w:r w:rsidR="004B24AF" w:rsidRPr="004D2088">
        <w:rPr>
          <w:rFonts w:ascii="SimSun" w:hAnsi="SimSun"/>
          <w:sz w:val="21"/>
          <w:szCs w:val="22"/>
          <w:lang w:val="en-US"/>
        </w:rPr>
        <w:t>作为</w:t>
      </w:r>
      <w:r w:rsidR="004B6165" w:rsidRPr="004D2088">
        <w:rPr>
          <w:rFonts w:ascii="SimSun" w:hAnsi="SimSun"/>
          <w:sz w:val="21"/>
          <w:szCs w:val="22"/>
          <w:lang w:val="en-US"/>
        </w:rPr>
        <w:t>委员会议程中的</w:t>
      </w:r>
      <w:r w:rsidR="004B24AF" w:rsidRPr="004D2088">
        <w:rPr>
          <w:rFonts w:ascii="SimSun" w:hAnsi="SimSun"/>
          <w:sz w:val="21"/>
          <w:szCs w:val="22"/>
          <w:lang w:val="en-US"/>
        </w:rPr>
        <w:t>长期议题开展</w:t>
      </w:r>
      <w:r w:rsidRPr="004D2088">
        <w:rPr>
          <w:rFonts w:ascii="SimSun" w:hAnsi="SimSun"/>
          <w:sz w:val="21"/>
          <w:szCs w:val="22"/>
          <w:lang w:val="en-US"/>
        </w:rPr>
        <w:t>进一步</w:t>
      </w:r>
      <w:r w:rsidR="004B6165" w:rsidRPr="004D2088">
        <w:rPr>
          <w:rFonts w:ascii="SimSun" w:hAnsi="SimSun"/>
          <w:sz w:val="21"/>
          <w:szCs w:val="22"/>
          <w:lang w:val="en-US"/>
        </w:rPr>
        <w:t>讨论</w:t>
      </w:r>
      <w:r w:rsidRPr="004D2088">
        <w:rPr>
          <w:rFonts w:ascii="SimSun" w:hAnsi="SimSun"/>
          <w:sz w:val="21"/>
          <w:szCs w:val="22"/>
          <w:lang w:val="en-US"/>
        </w:rPr>
        <w:t>。</w:t>
      </w:r>
      <w:r w:rsidR="006A4E55" w:rsidRPr="004D2088">
        <w:rPr>
          <w:rFonts w:ascii="SimSun" w:hAnsi="SimSun"/>
          <w:sz w:val="21"/>
          <w:szCs w:val="22"/>
          <w:lang w:val="en-US"/>
        </w:rPr>
        <w:t>根据在</w:t>
      </w:r>
      <w:r w:rsidRPr="004D2088">
        <w:rPr>
          <w:rFonts w:ascii="SimSun" w:hAnsi="SimSun"/>
          <w:sz w:val="21"/>
          <w:szCs w:val="22"/>
          <w:lang w:val="en-US"/>
        </w:rPr>
        <w:t>SCCR前几届会议上提交的两份文件（SCCR/31/4和SCCR/43/7），GRULAC向委员会提交了这份关于</w:t>
      </w:r>
      <w:r w:rsidR="00DE2593" w:rsidRPr="004D2088">
        <w:rPr>
          <w:rFonts w:ascii="SimSun" w:hAnsi="SimSun"/>
          <w:sz w:val="21"/>
          <w:szCs w:val="22"/>
          <w:lang w:val="en-US"/>
        </w:rPr>
        <w:t>数字</w:t>
      </w:r>
      <w:r w:rsidRPr="004D2088">
        <w:rPr>
          <w:rFonts w:ascii="SimSun" w:hAnsi="SimSun"/>
          <w:sz w:val="21"/>
          <w:szCs w:val="22"/>
          <w:lang w:val="en-US"/>
        </w:rPr>
        <w:t>环境</w:t>
      </w:r>
      <w:r w:rsidR="00DE2593" w:rsidRPr="004D2088">
        <w:rPr>
          <w:rFonts w:ascii="SimSun" w:hAnsi="SimSun"/>
          <w:sz w:val="21"/>
          <w:szCs w:val="22"/>
          <w:lang w:val="en-US"/>
        </w:rPr>
        <w:t>下版权工作计划的</w:t>
      </w:r>
      <w:r w:rsidR="004B24AF" w:rsidRPr="004D2088">
        <w:rPr>
          <w:rFonts w:ascii="SimSun" w:hAnsi="SimSun"/>
          <w:sz w:val="21"/>
          <w:szCs w:val="22"/>
          <w:lang w:val="en-US"/>
        </w:rPr>
        <w:t>提案</w:t>
      </w:r>
      <w:r w:rsidRPr="004D2088">
        <w:rPr>
          <w:rFonts w:ascii="SimSun" w:hAnsi="SimSun"/>
          <w:sz w:val="21"/>
          <w:szCs w:val="22"/>
          <w:lang w:val="en-US"/>
        </w:rPr>
        <w:t>，</w:t>
      </w:r>
      <w:r w:rsidR="004B24AF" w:rsidRPr="004D2088">
        <w:rPr>
          <w:rFonts w:ascii="SimSun" w:hAnsi="SimSun"/>
          <w:sz w:val="21"/>
          <w:szCs w:val="22"/>
          <w:lang w:val="en-US"/>
        </w:rPr>
        <w:t>以</w:t>
      </w:r>
      <w:r w:rsidRPr="004D2088">
        <w:rPr>
          <w:rFonts w:ascii="SimSun" w:hAnsi="SimSun"/>
          <w:sz w:val="21"/>
          <w:szCs w:val="22"/>
          <w:lang w:val="en-US"/>
        </w:rPr>
        <w:t>有关该</w:t>
      </w:r>
      <w:r w:rsidR="004B24AF" w:rsidRPr="004D2088">
        <w:rPr>
          <w:rFonts w:ascii="SimSun" w:hAnsi="SimSun"/>
          <w:sz w:val="21"/>
          <w:szCs w:val="22"/>
          <w:lang w:val="en-US"/>
        </w:rPr>
        <w:t>议题</w:t>
      </w:r>
      <w:r w:rsidRPr="004D2088">
        <w:rPr>
          <w:rFonts w:ascii="SimSun" w:hAnsi="SimSun"/>
          <w:sz w:val="21"/>
          <w:szCs w:val="22"/>
          <w:lang w:val="en-US"/>
        </w:rPr>
        <w:t>的研究和辩论</w:t>
      </w:r>
      <w:r w:rsidR="004B24AF" w:rsidRPr="004D2088">
        <w:rPr>
          <w:rFonts w:ascii="SimSun" w:hAnsi="SimSun"/>
          <w:sz w:val="21"/>
          <w:szCs w:val="22"/>
          <w:lang w:val="en-US"/>
        </w:rPr>
        <w:t>为重点</w:t>
      </w:r>
      <w:r w:rsidRPr="004D2088">
        <w:rPr>
          <w:rFonts w:ascii="SimSun" w:hAnsi="SimSun"/>
          <w:sz w:val="21"/>
          <w:szCs w:val="22"/>
          <w:lang w:val="en-US"/>
        </w:rPr>
        <w:t>，</w:t>
      </w:r>
      <w:r w:rsidR="00751F16" w:rsidRPr="004D2088">
        <w:rPr>
          <w:rFonts w:ascii="SimSun" w:hAnsi="SimSun"/>
          <w:sz w:val="21"/>
          <w:szCs w:val="22"/>
          <w:lang w:val="en-US"/>
        </w:rPr>
        <w:t>并</w:t>
      </w:r>
      <w:r w:rsidR="004B24AF" w:rsidRPr="004D2088">
        <w:rPr>
          <w:rFonts w:ascii="SimSun" w:hAnsi="SimSun"/>
          <w:sz w:val="21"/>
          <w:szCs w:val="22"/>
          <w:lang w:val="en-US"/>
        </w:rPr>
        <w:t>认识到</w:t>
      </w:r>
      <w:r w:rsidRPr="004D2088">
        <w:rPr>
          <w:rFonts w:ascii="SimSun" w:hAnsi="SimSun"/>
          <w:sz w:val="21"/>
          <w:szCs w:val="22"/>
          <w:lang w:val="en-US"/>
        </w:rPr>
        <w:t>辩论的复杂性和各种</w:t>
      </w:r>
      <w:r w:rsidR="004B24AF" w:rsidRPr="004D2088">
        <w:rPr>
          <w:rFonts w:ascii="SimSun" w:hAnsi="SimSun"/>
          <w:sz w:val="21"/>
          <w:szCs w:val="22"/>
          <w:lang w:val="en-US"/>
        </w:rPr>
        <w:t>现有</w:t>
      </w:r>
      <w:r w:rsidRPr="004D2088">
        <w:rPr>
          <w:rFonts w:ascii="SimSun" w:hAnsi="SimSun"/>
          <w:sz w:val="21"/>
          <w:szCs w:val="22"/>
          <w:lang w:val="en-US"/>
        </w:rPr>
        <w:t>立场。因此，我们建议开展更广泛、更深入的讨论，</w:t>
      </w:r>
      <w:r w:rsidR="00B87B62" w:rsidRPr="004D2088">
        <w:rPr>
          <w:rFonts w:ascii="SimSun" w:hAnsi="SimSun"/>
          <w:sz w:val="21"/>
          <w:szCs w:val="22"/>
          <w:lang w:val="en-US"/>
        </w:rPr>
        <w:t>但</w:t>
      </w:r>
      <w:r w:rsidRPr="004D2088">
        <w:rPr>
          <w:rFonts w:ascii="SimSun" w:hAnsi="SimSun"/>
          <w:sz w:val="21"/>
          <w:szCs w:val="22"/>
          <w:lang w:val="en-US"/>
        </w:rPr>
        <w:t>并不意味着对任何问题持有偏见</w:t>
      </w:r>
      <w:r w:rsidR="004B24AF" w:rsidRPr="004D2088">
        <w:rPr>
          <w:rFonts w:ascii="SimSun" w:hAnsi="SimSun"/>
          <w:sz w:val="21"/>
          <w:szCs w:val="22"/>
          <w:lang w:val="en-US"/>
        </w:rPr>
        <w:t>，</w:t>
      </w:r>
      <w:r w:rsidRPr="004D2088">
        <w:rPr>
          <w:rFonts w:ascii="SimSun" w:hAnsi="SimSun"/>
          <w:sz w:val="21"/>
          <w:szCs w:val="22"/>
          <w:lang w:val="en-US"/>
        </w:rPr>
        <w:t>或承诺采取某种</w:t>
      </w:r>
      <w:r w:rsidR="004B6165" w:rsidRPr="004D2088">
        <w:rPr>
          <w:rFonts w:ascii="SimSun" w:hAnsi="SimSun"/>
          <w:sz w:val="21"/>
          <w:szCs w:val="22"/>
          <w:lang w:val="en-US"/>
        </w:rPr>
        <w:t>特定</w:t>
      </w:r>
      <w:r w:rsidRPr="004D2088">
        <w:rPr>
          <w:rFonts w:ascii="SimSun" w:hAnsi="SimSun"/>
          <w:sz w:val="21"/>
          <w:szCs w:val="22"/>
          <w:lang w:val="en-US"/>
        </w:rPr>
        <w:t>立场。</w:t>
      </w:r>
    </w:p>
    <w:p w14:paraId="465B5A33" w14:textId="77777777" w:rsidR="00395CAA" w:rsidRPr="0017322F" w:rsidRDefault="00330608" w:rsidP="0017322F">
      <w:pPr>
        <w:pStyle w:val="Corpo"/>
        <w:keepNext/>
        <w:overflowPunct w:val="0"/>
        <w:spacing w:beforeLines="100" w:before="240" w:afterLines="50" w:after="120" w:line="340" w:lineRule="atLeast"/>
        <w:rPr>
          <w:rFonts w:ascii="SimHei" w:eastAsia="SimHei" w:hAnsi="SimHei"/>
          <w:color w:val="auto"/>
          <w:sz w:val="21"/>
          <w:lang w:eastAsia="zh-CN"/>
        </w:rPr>
      </w:pPr>
      <w:r w:rsidRPr="0017322F">
        <w:rPr>
          <w:rFonts w:ascii="SimHei" w:eastAsia="SimHei" w:hAnsi="SimHei"/>
          <w:color w:val="auto"/>
          <w:sz w:val="21"/>
          <w:lang w:eastAsia="zh-CN"/>
        </w:rPr>
        <w:t>背景</w:t>
      </w:r>
    </w:p>
    <w:p w14:paraId="4F603ED7" w14:textId="77777777" w:rsidR="00B83B38" w:rsidRDefault="00330608" w:rsidP="00B83B38">
      <w:pPr>
        <w:overflowPunct w:val="0"/>
        <w:spacing w:afterLines="50" w:after="120" w:line="340" w:lineRule="atLeast"/>
        <w:ind w:firstLineChars="200" w:firstLine="420"/>
        <w:jc w:val="both"/>
        <w:rPr>
          <w:rFonts w:ascii="SimSun" w:hAnsi="SimSun"/>
          <w:sz w:val="21"/>
          <w:szCs w:val="22"/>
          <w:lang w:val="en-US"/>
        </w:rPr>
      </w:pPr>
      <w:r w:rsidRPr="004D2088">
        <w:rPr>
          <w:rFonts w:ascii="SimSun" w:hAnsi="SimSun"/>
          <w:sz w:val="21"/>
          <w:szCs w:val="22"/>
          <w:lang w:val="en-US"/>
        </w:rPr>
        <w:t>2015年，</w:t>
      </w:r>
      <w:r w:rsidR="00D855C7" w:rsidRPr="004D2088">
        <w:rPr>
          <w:rFonts w:ascii="SimSun" w:hAnsi="SimSun"/>
          <w:sz w:val="21"/>
          <w:szCs w:val="22"/>
          <w:lang w:val="en-US"/>
        </w:rPr>
        <w:t>GRULAC</w:t>
      </w:r>
      <w:r w:rsidRPr="004D2088">
        <w:rPr>
          <w:rFonts w:ascii="SimSun" w:hAnsi="SimSun"/>
          <w:sz w:val="21"/>
          <w:szCs w:val="22"/>
          <w:lang w:val="en-US"/>
        </w:rPr>
        <w:t>提交的文件建议</w:t>
      </w:r>
      <w:r w:rsidR="004B6165" w:rsidRPr="004D2088">
        <w:rPr>
          <w:rFonts w:ascii="SimSun" w:hAnsi="SimSun"/>
          <w:sz w:val="21"/>
          <w:szCs w:val="22"/>
          <w:lang w:val="en-US"/>
        </w:rPr>
        <w:t>就</w:t>
      </w:r>
      <w:r w:rsidRPr="004D2088">
        <w:rPr>
          <w:rFonts w:ascii="SimSun" w:hAnsi="SimSun"/>
          <w:sz w:val="21"/>
          <w:szCs w:val="22"/>
          <w:lang w:val="en-US"/>
        </w:rPr>
        <w:t>数字服务中作品</w:t>
      </w:r>
      <w:r w:rsidR="00F11BC1" w:rsidRPr="004D2088">
        <w:rPr>
          <w:rFonts w:ascii="SimSun" w:hAnsi="SimSun"/>
          <w:sz w:val="21"/>
          <w:szCs w:val="22"/>
          <w:lang w:val="en-US"/>
        </w:rPr>
        <w:t>（包括表演）</w:t>
      </w:r>
      <w:r w:rsidR="004B6165" w:rsidRPr="004D2088">
        <w:rPr>
          <w:rFonts w:ascii="SimSun" w:hAnsi="SimSun"/>
          <w:sz w:val="21"/>
          <w:szCs w:val="22"/>
          <w:lang w:val="en-US"/>
        </w:rPr>
        <w:t>保护</w:t>
      </w:r>
      <w:r w:rsidR="00F11BC1" w:rsidRPr="004D2088">
        <w:rPr>
          <w:rFonts w:ascii="SimSun" w:hAnsi="SimSun"/>
          <w:sz w:val="21"/>
          <w:szCs w:val="22"/>
          <w:lang w:val="en-US"/>
        </w:rPr>
        <w:t>的</w:t>
      </w:r>
      <w:r w:rsidRPr="004D2088">
        <w:rPr>
          <w:rFonts w:ascii="SimSun" w:hAnsi="SimSun"/>
          <w:sz w:val="21"/>
          <w:szCs w:val="22"/>
          <w:lang w:val="en-US"/>
        </w:rPr>
        <w:t>法律框架、在数字环境中使用受保护材料的公司和企业的作用</w:t>
      </w:r>
      <w:r w:rsidR="00F11BC1" w:rsidRPr="004D2088">
        <w:rPr>
          <w:rFonts w:ascii="SimSun" w:hAnsi="SimSun"/>
          <w:sz w:val="21"/>
          <w:szCs w:val="22"/>
          <w:lang w:val="en-US"/>
        </w:rPr>
        <w:t>、</w:t>
      </w:r>
      <w:r w:rsidRPr="004D2088">
        <w:rPr>
          <w:rFonts w:ascii="SimSun" w:hAnsi="SimSun"/>
          <w:sz w:val="21"/>
          <w:szCs w:val="22"/>
          <w:lang w:val="en-US"/>
        </w:rPr>
        <w:t>其做法和透明度以及向</w:t>
      </w:r>
      <w:r w:rsidR="004B6165" w:rsidRPr="004D2088">
        <w:rPr>
          <w:rFonts w:ascii="SimSun" w:hAnsi="SimSun"/>
          <w:sz w:val="21"/>
          <w:szCs w:val="22"/>
          <w:lang w:val="en-US"/>
        </w:rPr>
        <w:t>持有</w:t>
      </w:r>
      <w:r w:rsidRPr="004D2088">
        <w:rPr>
          <w:rFonts w:ascii="SimSun" w:hAnsi="SimSun"/>
          <w:sz w:val="21"/>
          <w:szCs w:val="22"/>
          <w:lang w:val="en-US"/>
        </w:rPr>
        <w:t>者支付版权和相关权费用</w:t>
      </w:r>
      <w:r w:rsidR="004B6165" w:rsidRPr="004D2088">
        <w:rPr>
          <w:rFonts w:ascii="SimSun" w:hAnsi="SimSun"/>
          <w:sz w:val="21"/>
          <w:szCs w:val="22"/>
          <w:lang w:val="en-US"/>
        </w:rPr>
        <w:t>问题开展</w:t>
      </w:r>
      <w:r w:rsidRPr="004D2088">
        <w:rPr>
          <w:rFonts w:ascii="SimSun" w:hAnsi="SimSun"/>
          <w:sz w:val="21"/>
          <w:szCs w:val="22"/>
          <w:lang w:val="en-US"/>
        </w:rPr>
        <w:t>分析和</w:t>
      </w:r>
      <w:r w:rsidR="004B6165" w:rsidRPr="004D2088">
        <w:rPr>
          <w:rFonts w:ascii="SimSun" w:hAnsi="SimSun"/>
          <w:sz w:val="21"/>
          <w:szCs w:val="22"/>
          <w:lang w:val="en-US"/>
        </w:rPr>
        <w:t>讨论</w:t>
      </w:r>
      <w:r w:rsidRPr="004D2088">
        <w:rPr>
          <w:rFonts w:ascii="SimSun" w:hAnsi="SimSun"/>
          <w:sz w:val="21"/>
          <w:szCs w:val="22"/>
          <w:lang w:val="en-US"/>
        </w:rPr>
        <w:t>。还主张就数字环境中</w:t>
      </w:r>
      <w:r w:rsidR="00F11BC1" w:rsidRPr="004D2088">
        <w:rPr>
          <w:rFonts w:ascii="SimSun" w:hAnsi="SimSun"/>
          <w:sz w:val="21"/>
          <w:szCs w:val="22"/>
          <w:lang w:val="en-US"/>
        </w:rPr>
        <w:t>版权及相关权的</w:t>
      </w:r>
      <w:r w:rsidRPr="004D2088">
        <w:rPr>
          <w:rFonts w:ascii="SimSun" w:hAnsi="SimSun"/>
          <w:sz w:val="21"/>
          <w:szCs w:val="22"/>
          <w:lang w:val="en-US"/>
        </w:rPr>
        <w:t>管理达成共识。2015年至2023年，秘书处提交了以下研究报告：</w:t>
      </w:r>
      <w:r w:rsidR="00D855C7" w:rsidRPr="004D2088">
        <w:rPr>
          <w:rFonts w:ascii="SimSun" w:hAnsi="SimSun" w:hint="eastAsia"/>
          <w:sz w:val="21"/>
          <w:szCs w:val="22"/>
          <w:lang w:val="en-US"/>
        </w:rPr>
        <w:t>《</w:t>
      </w:r>
      <w:r w:rsidRPr="004D2088">
        <w:rPr>
          <w:rFonts w:ascii="SimSun" w:hAnsi="SimSun"/>
          <w:sz w:val="21"/>
          <w:szCs w:val="22"/>
          <w:lang w:val="en-US"/>
        </w:rPr>
        <w:t>拉丁美洲音乐市场》（SCCR/41/4）</w:t>
      </w:r>
      <w:r w:rsidR="00580118" w:rsidRPr="004D2088">
        <w:rPr>
          <w:rFonts w:ascii="SimSun" w:hAnsi="SimSun"/>
          <w:sz w:val="21"/>
          <w:szCs w:val="22"/>
          <w:lang w:val="en-US"/>
        </w:rPr>
        <w:t>；《</w:t>
      </w:r>
      <w:r w:rsidR="00D855C7" w:rsidRPr="004D2088">
        <w:rPr>
          <w:rFonts w:ascii="SimSun" w:hAnsi="SimSun" w:hint="eastAsia"/>
          <w:sz w:val="21"/>
          <w:szCs w:val="22"/>
          <w:lang w:val="en-US"/>
        </w:rPr>
        <w:t>数字音乐市场中的艺人研究报告</w:t>
      </w:r>
      <w:r w:rsidR="00D855C7" w:rsidRPr="004D2088">
        <w:rPr>
          <w:rFonts w:ascii="SimSun" w:hAnsi="SimSun"/>
          <w:sz w:val="21"/>
          <w:szCs w:val="22"/>
          <w:lang w:val="en-US"/>
        </w:rPr>
        <w:t>：经济和法律考虑</w:t>
      </w:r>
      <w:r w:rsidRPr="004D2088">
        <w:rPr>
          <w:rFonts w:ascii="SimSun" w:hAnsi="SimSun"/>
          <w:sz w:val="21"/>
          <w:szCs w:val="22"/>
          <w:lang w:val="en-US"/>
        </w:rPr>
        <w:t>》（SCCR/41/3）。这些研究强调了创作者和艺术家</w:t>
      </w:r>
      <w:r w:rsidR="0035380A" w:rsidRPr="004D2088">
        <w:rPr>
          <w:rFonts w:ascii="SimSun" w:hAnsi="SimSun"/>
          <w:sz w:val="21"/>
          <w:szCs w:val="22"/>
          <w:lang w:val="en-US"/>
        </w:rPr>
        <w:t>以及</w:t>
      </w:r>
      <w:r w:rsidRPr="004D2088">
        <w:rPr>
          <w:rFonts w:ascii="SimSun" w:hAnsi="SimSun"/>
          <w:sz w:val="21"/>
          <w:szCs w:val="22"/>
          <w:lang w:val="en-US"/>
        </w:rPr>
        <w:t>版权和相关权持有者在数字环境中遇到的问题。总之，</w:t>
      </w:r>
      <w:r w:rsidR="004B6165" w:rsidRPr="004D2088">
        <w:rPr>
          <w:rFonts w:ascii="SimSun" w:hAnsi="SimSun"/>
          <w:sz w:val="21"/>
          <w:szCs w:val="22"/>
          <w:lang w:val="en-US"/>
        </w:rPr>
        <w:t>现状</w:t>
      </w:r>
      <w:r w:rsidR="008F28A5" w:rsidRPr="004D2088">
        <w:rPr>
          <w:rFonts w:ascii="SimSun" w:hAnsi="SimSun"/>
          <w:sz w:val="21"/>
          <w:szCs w:val="22"/>
          <w:lang w:val="en-US"/>
        </w:rPr>
        <w:t>是</w:t>
      </w:r>
      <w:r w:rsidRPr="004D2088">
        <w:rPr>
          <w:rFonts w:ascii="SimSun" w:hAnsi="SimSun"/>
          <w:sz w:val="21"/>
          <w:szCs w:val="22"/>
          <w:lang w:val="en-US"/>
        </w:rPr>
        <w:t>谈判中严重</w:t>
      </w:r>
      <w:r w:rsidR="004B6165" w:rsidRPr="004D2088">
        <w:rPr>
          <w:rFonts w:ascii="SimSun" w:hAnsi="SimSun"/>
          <w:sz w:val="21"/>
          <w:szCs w:val="22"/>
          <w:lang w:val="en-US"/>
        </w:rPr>
        <w:t>不</w:t>
      </w:r>
      <w:r w:rsidR="008F28A5" w:rsidRPr="004D2088">
        <w:rPr>
          <w:rFonts w:ascii="SimSun" w:hAnsi="SimSun"/>
          <w:sz w:val="21"/>
          <w:szCs w:val="22"/>
          <w:lang w:val="en-US"/>
        </w:rPr>
        <w:t>对等</w:t>
      </w:r>
      <w:r w:rsidRPr="004D2088">
        <w:rPr>
          <w:rFonts w:ascii="SimSun" w:hAnsi="SimSun"/>
          <w:sz w:val="21"/>
          <w:szCs w:val="22"/>
          <w:lang w:val="en-US"/>
        </w:rPr>
        <w:t>、</w:t>
      </w:r>
      <w:r w:rsidR="00772B2D" w:rsidRPr="004D2088">
        <w:rPr>
          <w:rFonts w:ascii="SimSun" w:hAnsi="SimSun"/>
          <w:sz w:val="21"/>
          <w:szCs w:val="22"/>
          <w:lang w:val="en-US"/>
        </w:rPr>
        <w:t>标准格式</w:t>
      </w:r>
      <w:r w:rsidRPr="004D2088">
        <w:rPr>
          <w:rFonts w:ascii="SimSun" w:hAnsi="SimSun"/>
          <w:sz w:val="21"/>
          <w:szCs w:val="22"/>
          <w:lang w:val="en-US"/>
        </w:rPr>
        <w:t>合同、</w:t>
      </w:r>
      <w:r w:rsidR="00772B2D" w:rsidRPr="004D2088">
        <w:rPr>
          <w:rFonts w:ascii="SimSun" w:hAnsi="SimSun"/>
          <w:sz w:val="21"/>
          <w:szCs w:val="22"/>
          <w:lang w:val="en-US"/>
        </w:rPr>
        <w:t>缺乏</w:t>
      </w:r>
      <w:r w:rsidRPr="004D2088">
        <w:rPr>
          <w:rFonts w:ascii="SimSun" w:hAnsi="SimSun"/>
          <w:sz w:val="21"/>
          <w:szCs w:val="22"/>
          <w:lang w:val="en-US"/>
        </w:rPr>
        <w:t>透明度</w:t>
      </w:r>
      <w:r w:rsidR="004B6165" w:rsidRPr="004D2088">
        <w:rPr>
          <w:rFonts w:ascii="SimSun" w:hAnsi="SimSun"/>
          <w:sz w:val="21"/>
          <w:szCs w:val="22"/>
          <w:lang w:val="en-US"/>
        </w:rPr>
        <w:t>，</w:t>
      </w:r>
      <w:r w:rsidRPr="004D2088">
        <w:rPr>
          <w:rFonts w:ascii="SimSun" w:hAnsi="SimSun"/>
          <w:sz w:val="21"/>
          <w:szCs w:val="22"/>
          <w:lang w:val="en-US"/>
        </w:rPr>
        <w:t>以及作品和</w:t>
      </w:r>
      <w:r w:rsidR="0088685D" w:rsidRPr="004D2088">
        <w:rPr>
          <w:rFonts w:ascii="SimSun" w:hAnsi="SimSun"/>
          <w:sz w:val="21"/>
          <w:szCs w:val="22"/>
          <w:lang w:val="en-US"/>
        </w:rPr>
        <w:t>表演的</w:t>
      </w:r>
      <w:r w:rsidRPr="004D2088">
        <w:rPr>
          <w:rFonts w:ascii="SimSun" w:hAnsi="SimSun"/>
          <w:sz w:val="21"/>
          <w:szCs w:val="22"/>
          <w:lang w:val="en-US"/>
        </w:rPr>
        <w:t>使用费报酬</w:t>
      </w:r>
      <w:r w:rsidR="008F28A5" w:rsidRPr="004D2088">
        <w:rPr>
          <w:rFonts w:ascii="SimSun" w:hAnsi="SimSun"/>
          <w:sz w:val="21"/>
          <w:szCs w:val="22"/>
          <w:lang w:val="en-US"/>
        </w:rPr>
        <w:t>偏</w:t>
      </w:r>
      <w:r w:rsidRPr="004D2088">
        <w:rPr>
          <w:rFonts w:ascii="SimSun" w:hAnsi="SimSun"/>
          <w:sz w:val="21"/>
          <w:szCs w:val="22"/>
          <w:lang w:val="en-US"/>
        </w:rPr>
        <w:t>低，特别是与</w:t>
      </w:r>
      <w:r w:rsidR="00772B2D" w:rsidRPr="004D2088">
        <w:rPr>
          <w:rFonts w:ascii="SimSun" w:hAnsi="SimSun"/>
          <w:sz w:val="21"/>
          <w:szCs w:val="22"/>
          <w:lang w:val="en-US"/>
        </w:rPr>
        <w:t>公众</w:t>
      </w:r>
      <w:r w:rsidR="006D5B41" w:rsidRPr="004D2088">
        <w:rPr>
          <w:rFonts w:ascii="SimSun" w:hAnsi="SimSun" w:hint="eastAsia"/>
          <w:sz w:val="21"/>
          <w:szCs w:val="22"/>
          <w:lang w:val="en-US"/>
        </w:rPr>
        <w:t>欣赏</w:t>
      </w:r>
      <w:r w:rsidRPr="004D2088">
        <w:rPr>
          <w:rFonts w:ascii="SimSun" w:hAnsi="SimSun"/>
          <w:sz w:val="21"/>
          <w:szCs w:val="22"/>
          <w:lang w:val="en-US"/>
        </w:rPr>
        <w:t>这些创作为平台带来的收入相比。上述研究中</w:t>
      </w:r>
      <w:r w:rsidR="00903082" w:rsidRPr="004D2088">
        <w:rPr>
          <w:rFonts w:ascii="SimSun" w:hAnsi="SimSun"/>
          <w:sz w:val="21"/>
          <w:szCs w:val="22"/>
          <w:lang w:val="en-US"/>
        </w:rPr>
        <w:t>发现</w:t>
      </w:r>
      <w:r w:rsidRPr="004D2088">
        <w:rPr>
          <w:rFonts w:ascii="SimSun" w:hAnsi="SimSun"/>
          <w:sz w:val="21"/>
          <w:szCs w:val="22"/>
          <w:lang w:val="en-US"/>
        </w:rPr>
        <w:t>的不平衡现象在</w:t>
      </w:r>
      <w:r w:rsidR="006D5B41" w:rsidRPr="004D2088">
        <w:rPr>
          <w:rFonts w:ascii="SimSun" w:hAnsi="SimSun" w:hint="eastAsia"/>
          <w:sz w:val="21"/>
          <w:szCs w:val="22"/>
          <w:lang w:val="en-US"/>
        </w:rPr>
        <w:t>新型</w:t>
      </w:r>
      <w:r w:rsidR="0061391C" w:rsidRPr="004D2088">
        <w:rPr>
          <w:rFonts w:ascii="SimSun" w:hAnsi="SimSun"/>
          <w:sz w:val="21"/>
          <w:szCs w:val="22"/>
          <w:lang w:val="en-US"/>
        </w:rPr>
        <w:t>冠状病毒（</w:t>
      </w:r>
      <w:r w:rsidRPr="004D2088">
        <w:rPr>
          <w:rFonts w:ascii="SimSun" w:hAnsi="SimSun"/>
          <w:sz w:val="21"/>
          <w:szCs w:val="22"/>
          <w:lang w:val="en-US"/>
        </w:rPr>
        <w:t>COVID-19</w:t>
      </w:r>
      <w:r w:rsidR="0061391C" w:rsidRPr="004D2088">
        <w:rPr>
          <w:rFonts w:ascii="SimSun" w:hAnsi="SimSun"/>
          <w:sz w:val="21"/>
          <w:szCs w:val="22"/>
          <w:lang w:val="en-US"/>
        </w:rPr>
        <w:t>）</w:t>
      </w:r>
      <w:r w:rsidRPr="004D2088">
        <w:rPr>
          <w:rFonts w:ascii="SimSun" w:hAnsi="SimSun"/>
          <w:sz w:val="21"/>
          <w:szCs w:val="22"/>
          <w:lang w:val="en-US"/>
        </w:rPr>
        <w:t>大流行期间更加严重，这</w:t>
      </w:r>
      <w:r w:rsidR="006711A2" w:rsidRPr="004D2088">
        <w:rPr>
          <w:rFonts w:ascii="SimSun" w:hAnsi="SimSun"/>
          <w:sz w:val="21"/>
          <w:szCs w:val="22"/>
          <w:lang w:val="en-US"/>
        </w:rPr>
        <w:t>清楚地</w:t>
      </w:r>
      <w:r w:rsidRPr="004D2088">
        <w:rPr>
          <w:rFonts w:ascii="SimSun" w:hAnsi="SimSun"/>
          <w:sz w:val="21"/>
          <w:szCs w:val="22"/>
          <w:lang w:val="en-US"/>
        </w:rPr>
        <w:t>表明，对数字环境中受保护作品</w:t>
      </w:r>
      <w:r w:rsidR="006711A2" w:rsidRPr="004D2088">
        <w:rPr>
          <w:rFonts w:ascii="SimSun" w:hAnsi="SimSun"/>
          <w:sz w:val="21"/>
          <w:szCs w:val="22"/>
          <w:lang w:val="en-US"/>
        </w:rPr>
        <w:t>和表演</w:t>
      </w:r>
      <w:r w:rsidR="008F28A5" w:rsidRPr="004D2088">
        <w:rPr>
          <w:rFonts w:ascii="SimSun" w:hAnsi="SimSun"/>
          <w:sz w:val="21"/>
          <w:szCs w:val="22"/>
          <w:lang w:val="en-US"/>
        </w:rPr>
        <w:t>以及由此产生的新商业模式</w:t>
      </w:r>
      <w:r w:rsidRPr="004D2088">
        <w:rPr>
          <w:rFonts w:ascii="SimSun" w:hAnsi="SimSun"/>
          <w:sz w:val="21"/>
          <w:szCs w:val="22"/>
          <w:lang w:val="en-US"/>
        </w:rPr>
        <w:t>缺乏</w:t>
      </w:r>
      <w:r w:rsidR="00772B2D" w:rsidRPr="004D2088">
        <w:rPr>
          <w:rFonts w:ascii="SimSun" w:hAnsi="SimSun"/>
          <w:sz w:val="21"/>
          <w:szCs w:val="22"/>
          <w:lang w:val="en-US"/>
        </w:rPr>
        <w:t>有意义的</w:t>
      </w:r>
      <w:r w:rsidRPr="004D2088">
        <w:rPr>
          <w:rFonts w:ascii="SimSun" w:hAnsi="SimSun"/>
          <w:sz w:val="21"/>
          <w:szCs w:val="22"/>
          <w:lang w:val="en-US"/>
        </w:rPr>
        <w:t>讨论，</w:t>
      </w:r>
      <w:r w:rsidR="008F28A5" w:rsidRPr="004D2088">
        <w:rPr>
          <w:rFonts w:ascii="SimSun" w:hAnsi="SimSun"/>
          <w:sz w:val="21"/>
          <w:szCs w:val="22"/>
          <w:lang w:val="en-US"/>
        </w:rPr>
        <w:t>这</w:t>
      </w:r>
      <w:r w:rsidRPr="004D2088">
        <w:rPr>
          <w:rFonts w:ascii="SimSun" w:hAnsi="SimSun"/>
          <w:sz w:val="21"/>
          <w:szCs w:val="22"/>
          <w:lang w:val="en-US"/>
        </w:rPr>
        <w:t>直接影响了拥有版权和</w:t>
      </w:r>
      <w:r w:rsidR="004166F9" w:rsidRPr="004D2088">
        <w:rPr>
          <w:rFonts w:ascii="SimSun" w:hAnsi="SimSun"/>
          <w:sz w:val="21"/>
          <w:szCs w:val="22"/>
          <w:lang w:val="en-US"/>
        </w:rPr>
        <w:t>相关权</w:t>
      </w:r>
      <w:r w:rsidRPr="004D2088">
        <w:rPr>
          <w:rFonts w:ascii="SimSun" w:hAnsi="SimSun"/>
          <w:sz w:val="21"/>
          <w:szCs w:val="22"/>
          <w:lang w:val="en-US"/>
        </w:rPr>
        <w:t>的艺术家和</w:t>
      </w:r>
      <w:r w:rsidR="0050028A" w:rsidRPr="004D2088">
        <w:rPr>
          <w:rFonts w:ascii="SimSun" w:hAnsi="SimSun"/>
          <w:sz w:val="21"/>
          <w:szCs w:val="22"/>
          <w:lang w:val="en-US"/>
        </w:rPr>
        <w:t>创作者</w:t>
      </w:r>
      <w:r w:rsidRPr="004D2088">
        <w:rPr>
          <w:rFonts w:ascii="SimSun" w:hAnsi="SimSun"/>
          <w:sz w:val="21"/>
          <w:szCs w:val="22"/>
          <w:lang w:val="en-US"/>
        </w:rPr>
        <w:t>。</w:t>
      </w:r>
    </w:p>
    <w:p w14:paraId="4E642577" w14:textId="30242CE9" w:rsidR="00B83B38" w:rsidRDefault="00330608" w:rsidP="00B83B38">
      <w:pPr>
        <w:overflowPunct w:val="0"/>
        <w:spacing w:afterLines="50" w:after="120" w:line="340" w:lineRule="atLeast"/>
        <w:ind w:firstLineChars="200" w:firstLine="420"/>
        <w:jc w:val="both"/>
        <w:rPr>
          <w:rFonts w:ascii="SimSun" w:hAnsi="SimSun"/>
          <w:sz w:val="21"/>
          <w:szCs w:val="22"/>
          <w:lang w:val="en-US"/>
        </w:rPr>
      </w:pPr>
      <w:r w:rsidRPr="004D2088">
        <w:rPr>
          <w:rFonts w:ascii="SimSun" w:hAnsi="SimSun"/>
          <w:sz w:val="21"/>
          <w:szCs w:val="22"/>
          <w:lang w:val="en-US"/>
        </w:rPr>
        <w:t>事实证明，20世纪90年代的产权组织互联网条约，包括</w:t>
      </w:r>
      <w:r w:rsidR="00621834" w:rsidRPr="004D2088">
        <w:rPr>
          <w:rFonts w:ascii="SimSun" w:hAnsi="SimSun"/>
          <w:sz w:val="21"/>
          <w:szCs w:val="22"/>
          <w:lang w:val="en-US"/>
        </w:rPr>
        <w:t>相关的</w:t>
      </w:r>
      <w:r>
        <w:rPr>
          <w:rFonts w:ascii="SimSun" w:hAnsi="SimSun" w:hint="eastAsia"/>
          <w:sz w:val="21"/>
          <w:szCs w:val="22"/>
          <w:lang w:val="en-US"/>
        </w:rPr>
        <w:t>“</w:t>
      </w:r>
      <w:r w:rsidRPr="004D2088">
        <w:rPr>
          <w:rFonts w:ascii="SimSun" w:hAnsi="SimSun"/>
          <w:sz w:val="21"/>
          <w:szCs w:val="22"/>
          <w:lang w:val="en-US"/>
        </w:rPr>
        <w:t>总括解决方案</w:t>
      </w:r>
      <w:r>
        <w:rPr>
          <w:rFonts w:ascii="SimSun" w:hAnsi="SimSun" w:hint="eastAsia"/>
          <w:sz w:val="21"/>
          <w:szCs w:val="22"/>
          <w:lang w:val="en-US"/>
        </w:rPr>
        <w:t>”</w:t>
      </w:r>
      <w:r w:rsidR="00772B2D" w:rsidRPr="004D2088">
        <w:rPr>
          <w:rFonts w:ascii="SimSun" w:hAnsi="SimSun"/>
          <w:sz w:val="21"/>
          <w:szCs w:val="22"/>
          <w:lang w:val="en-US"/>
        </w:rPr>
        <w:t>，</w:t>
      </w:r>
      <w:r w:rsidRPr="004D2088">
        <w:rPr>
          <w:rFonts w:ascii="SimSun" w:hAnsi="SimSun"/>
          <w:sz w:val="21"/>
          <w:szCs w:val="22"/>
          <w:lang w:val="en-US"/>
        </w:rPr>
        <w:t>不足以应对大型全球服务提供商占主导地位、按需服务</w:t>
      </w:r>
      <w:r w:rsidR="008F28A5" w:rsidRPr="004D2088">
        <w:rPr>
          <w:rFonts w:ascii="SimSun" w:hAnsi="SimSun"/>
          <w:sz w:val="21"/>
          <w:szCs w:val="22"/>
          <w:lang w:val="en-US"/>
        </w:rPr>
        <w:t>兴起</w:t>
      </w:r>
      <w:r w:rsidRPr="004D2088">
        <w:rPr>
          <w:rFonts w:ascii="SimSun" w:hAnsi="SimSun"/>
          <w:sz w:val="21"/>
          <w:szCs w:val="22"/>
          <w:lang w:val="en-US"/>
        </w:rPr>
        <w:t>、基于第三方提供内容的平台</w:t>
      </w:r>
      <w:r w:rsidR="008F28A5" w:rsidRPr="004D2088">
        <w:rPr>
          <w:rFonts w:ascii="SimSun" w:hAnsi="SimSun"/>
          <w:sz w:val="21"/>
          <w:szCs w:val="22"/>
          <w:lang w:val="en-US"/>
        </w:rPr>
        <w:t>和最近的人工智能（AI）所</w:t>
      </w:r>
      <w:r w:rsidRPr="004D2088">
        <w:rPr>
          <w:rFonts w:ascii="SimSun" w:hAnsi="SimSun"/>
          <w:sz w:val="21"/>
          <w:szCs w:val="22"/>
          <w:lang w:val="en-US"/>
        </w:rPr>
        <w:t>带来的挑战。</w:t>
      </w:r>
      <w:r w:rsidR="001C28C9" w:rsidRPr="004D2088">
        <w:rPr>
          <w:rFonts w:ascii="SimSun" w:hAnsi="SimSun"/>
          <w:sz w:val="21"/>
          <w:szCs w:val="22"/>
          <w:lang w:val="en-US"/>
        </w:rPr>
        <w:t>成员国</w:t>
      </w:r>
      <w:r w:rsidRPr="004D2088">
        <w:rPr>
          <w:rFonts w:ascii="SimSun" w:hAnsi="SimSun"/>
          <w:sz w:val="21"/>
          <w:szCs w:val="22"/>
          <w:lang w:val="en-US"/>
        </w:rPr>
        <w:t>的法律和机构对数字环境的监管</w:t>
      </w:r>
      <w:r w:rsidR="00673D85" w:rsidRPr="004D2088">
        <w:rPr>
          <w:rFonts w:ascii="SimSun" w:hAnsi="SimSun"/>
          <w:sz w:val="21"/>
          <w:szCs w:val="22"/>
          <w:lang w:val="en-US"/>
        </w:rPr>
        <w:t>仍然不能</w:t>
      </w:r>
      <w:r w:rsidRPr="004D2088">
        <w:rPr>
          <w:rFonts w:ascii="SimSun" w:hAnsi="SimSun"/>
          <w:sz w:val="21"/>
          <w:szCs w:val="22"/>
          <w:lang w:val="en-US"/>
        </w:rPr>
        <w:t>令人满意，无法为版权和</w:t>
      </w:r>
      <w:r w:rsidR="004166F9" w:rsidRPr="004D2088">
        <w:rPr>
          <w:rFonts w:ascii="SimSun" w:hAnsi="SimSun"/>
          <w:sz w:val="21"/>
          <w:szCs w:val="22"/>
          <w:lang w:val="en-US"/>
        </w:rPr>
        <w:t>相关权</w:t>
      </w:r>
      <w:r w:rsidRPr="004D2088">
        <w:rPr>
          <w:rFonts w:ascii="SimSun" w:hAnsi="SimSun"/>
          <w:sz w:val="21"/>
          <w:szCs w:val="22"/>
          <w:lang w:val="en-US"/>
        </w:rPr>
        <w:t>提供必要的平衡和保护。</w:t>
      </w:r>
    </w:p>
    <w:p w14:paraId="4ED8387B" w14:textId="3A579E64" w:rsidR="00395CAA" w:rsidRPr="0017322F" w:rsidRDefault="00330608" w:rsidP="0017322F">
      <w:pPr>
        <w:pStyle w:val="Corpo"/>
        <w:keepNext/>
        <w:overflowPunct w:val="0"/>
        <w:spacing w:beforeLines="100" w:before="240" w:afterLines="50" w:after="120" w:line="340" w:lineRule="atLeast"/>
        <w:rPr>
          <w:rFonts w:ascii="SimHei" w:eastAsia="SimHei" w:hAnsi="SimHei"/>
          <w:color w:val="auto"/>
          <w:sz w:val="21"/>
          <w:lang w:eastAsia="zh-CN"/>
        </w:rPr>
      </w:pPr>
      <w:r w:rsidRPr="0017322F">
        <w:rPr>
          <w:rFonts w:ascii="SimHei" w:eastAsia="SimHei" w:hAnsi="SimHei"/>
          <w:color w:val="auto"/>
          <w:sz w:val="21"/>
          <w:lang w:eastAsia="zh-CN"/>
        </w:rPr>
        <w:t>工作计划</w:t>
      </w:r>
    </w:p>
    <w:p w14:paraId="18B134C4" w14:textId="77777777" w:rsidR="00B83B38" w:rsidRDefault="00330608" w:rsidP="00B83B38">
      <w:pPr>
        <w:overflowPunct w:val="0"/>
        <w:spacing w:afterLines="50" w:after="120" w:line="340" w:lineRule="atLeast"/>
        <w:ind w:firstLineChars="200" w:firstLine="420"/>
        <w:jc w:val="both"/>
        <w:rPr>
          <w:rFonts w:ascii="SimSun" w:hAnsi="SimSun"/>
          <w:color w:val="000000" w:themeColor="text1"/>
          <w:sz w:val="21"/>
          <w:szCs w:val="22"/>
          <w:lang w:val="en-US"/>
        </w:rPr>
      </w:pPr>
      <w:r w:rsidRPr="004D2088">
        <w:rPr>
          <w:rFonts w:ascii="SimSun" w:hAnsi="SimSun"/>
          <w:color w:val="000000" w:themeColor="text1"/>
          <w:sz w:val="21"/>
          <w:szCs w:val="22"/>
          <w:lang w:val="en-US"/>
        </w:rPr>
        <w:t>本</w:t>
      </w:r>
      <w:r w:rsidR="00621834" w:rsidRPr="004D2088">
        <w:rPr>
          <w:rFonts w:ascii="SimSun" w:hAnsi="SimSun"/>
          <w:color w:val="000000" w:themeColor="text1"/>
          <w:sz w:val="21"/>
          <w:szCs w:val="22"/>
          <w:lang w:val="en-US"/>
        </w:rPr>
        <w:t>工作</w:t>
      </w:r>
      <w:r w:rsidRPr="004D2088">
        <w:rPr>
          <w:rFonts w:ascii="SimSun" w:hAnsi="SimSun"/>
          <w:color w:val="000000" w:themeColor="text1"/>
          <w:sz w:val="21"/>
          <w:szCs w:val="22"/>
          <w:lang w:val="en-US"/>
        </w:rPr>
        <w:t>计划建议开展的活动与</w:t>
      </w:r>
      <w:r w:rsidR="00621834" w:rsidRPr="004D2088">
        <w:rPr>
          <w:rFonts w:ascii="SimSun" w:hAnsi="SimSun"/>
          <w:color w:val="000000" w:themeColor="text1"/>
          <w:sz w:val="21"/>
          <w:szCs w:val="22"/>
          <w:lang w:val="en-US"/>
        </w:rPr>
        <w:t>委员会的</w:t>
      </w:r>
      <w:r w:rsidR="008F28A5" w:rsidRPr="004D2088">
        <w:rPr>
          <w:rFonts w:ascii="SimSun" w:hAnsi="SimSun"/>
          <w:color w:val="000000" w:themeColor="text1"/>
          <w:sz w:val="21"/>
          <w:szCs w:val="22"/>
          <w:lang w:val="en-US"/>
        </w:rPr>
        <w:t>授权</w:t>
      </w:r>
      <w:r w:rsidRPr="004D2088">
        <w:rPr>
          <w:rFonts w:ascii="SimSun" w:hAnsi="SimSun"/>
          <w:color w:val="000000" w:themeColor="text1"/>
          <w:sz w:val="21"/>
          <w:szCs w:val="22"/>
          <w:lang w:val="en-US"/>
        </w:rPr>
        <w:t>有关，并受到导言中提</w:t>
      </w:r>
      <w:r w:rsidR="008F28A5" w:rsidRPr="004D2088">
        <w:rPr>
          <w:rFonts w:ascii="SimSun" w:hAnsi="SimSun"/>
          <w:color w:val="000000" w:themeColor="text1"/>
          <w:sz w:val="21"/>
          <w:szCs w:val="22"/>
          <w:lang w:val="en-US"/>
        </w:rPr>
        <w:t>及</w:t>
      </w:r>
      <w:r w:rsidRPr="004D2088">
        <w:rPr>
          <w:rFonts w:ascii="SimSun" w:hAnsi="SimSun"/>
          <w:color w:val="000000" w:themeColor="text1"/>
          <w:sz w:val="21"/>
          <w:szCs w:val="22"/>
          <w:lang w:val="en-US"/>
        </w:rPr>
        <w:t>的文件所提供的数据和信息启发。本</w:t>
      </w:r>
      <w:r w:rsidR="00621834" w:rsidRPr="004D2088">
        <w:rPr>
          <w:rFonts w:ascii="SimSun" w:hAnsi="SimSun"/>
          <w:color w:val="000000" w:themeColor="text1"/>
          <w:sz w:val="21"/>
          <w:szCs w:val="22"/>
          <w:lang w:val="en-US"/>
        </w:rPr>
        <w:t>工作</w:t>
      </w:r>
      <w:r w:rsidRPr="004D2088">
        <w:rPr>
          <w:rFonts w:ascii="SimSun" w:hAnsi="SimSun"/>
          <w:color w:val="000000" w:themeColor="text1"/>
          <w:sz w:val="21"/>
          <w:szCs w:val="22"/>
          <w:lang w:val="en-US"/>
        </w:rPr>
        <w:t>计划</w:t>
      </w:r>
      <w:r w:rsidR="00621834" w:rsidRPr="004D2088">
        <w:rPr>
          <w:rFonts w:ascii="SimSun" w:hAnsi="SimSun"/>
          <w:color w:val="000000" w:themeColor="text1"/>
          <w:sz w:val="21"/>
          <w:szCs w:val="22"/>
          <w:lang w:val="en-US"/>
        </w:rPr>
        <w:t>获得批准</w:t>
      </w:r>
      <w:r w:rsidRPr="004D2088">
        <w:rPr>
          <w:rFonts w:ascii="SimSun" w:hAnsi="SimSun"/>
          <w:color w:val="000000" w:themeColor="text1"/>
          <w:sz w:val="21"/>
          <w:szCs w:val="22"/>
          <w:lang w:val="en-US"/>
        </w:rPr>
        <w:t>后开展的行动和研究</w:t>
      </w:r>
      <w:r w:rsidR="008F28A5" w:rsidRPr="004D2088">
        <w:rPr>
          <w:rFonts w:ascii="SimSun" w:hAnsi="SimSun"/>
          <w:color w:val="000000" w:themeColor="text1"/>
          <w:sz w:val="21"/>
          <w:szCs w:val="22"/>
          <w:lang w:val="en-US"/>
        </w:rPr>
        <w:t>成果，</w:t>
      </w:r>
      <w:r w:rsidRPr="004D2088">
        <w:rPr>
          <w:rFonts w:ascii="SimSun" w:hAnsi="SimSun"/>
          <w:color w:val="000000" w:themeColor="text1"/>
          <w:sz w:val="21"/>
          <w:szCs w:val="22"/>
          <w:lang w:val="en-US"/>
        </w:rPr>
        <w:t>可</w:t>
      </w:r>
      <w:r w:rsidR="008F28A5" w:rsidRPr="004D2088">
        <w:rPr>
          <w:rFonts w:ascii="SimSun" w:hAnsi="SimSun"/>
          <w:color w:val="000000" w:themeColor="text1"/>
          <w:sz w:val="21"/>
          <w:szCs w:val="22"/>
          <w:lang w:val="en-US"/>
        </w:rPr>
        <w:t>为委员会关于</w:t>
      </w:r>
      <w:r w:rsidRPr="004D2088">
        <w:rPr>
          <w:rFonts w:ascii="SimSun" w:hAnsi="SimSun"/>
          <w:color w:val="000000" w:themeColor="text1"/>
          <w:sz w:val="21"/>
          <w:szCs w:val="22"/>
          <w:lang w:val="en-US"/>
        </w:rPr>
        <w:t>数字环境中的版权</w:t>
      </w:r>
      <w:r w:rsidR="008F28A5" w:rsidRPr="004D2088">
        <w:rPr>
          <w:rFonts w:ascii="SimSun" w:hAnsi="SimSun"/>
          <w:color w:val="000000" w:themeColor="text1"/>
          <w:sz w:val="21"/>
          <w:szCs w:val="22"/>
          <w:lang w:val="en-US"/>
        </w:rPr>
        <w:t>议题开展的下</w:t>
      </w:r>
      <w:r w:rsidR="006D711B" w:rsidRPr="004D2088">
        <w:rPr>
          <w:rFonts w:ascii="SimSun" w:hAnsi="SimSun"/>
          <w:color w:val="000000" w:themeColor="text1"/>
          <w:sz w:val="21"/>
          <w:szCs w:val="22"/>
          <w:lang w:val="en-US"/>
        </w:rPr>
        <w:t>一步</w:t>
      </w:r>
      <w:r w:rsidR="006D711B" w:rsidRPr="004D2088">
        <w:rPr>
          <w:rFonts w:ascii="SimSun" w:hAnsi="SimSun" w:hint="eastAsia"/>
          <w:color w:val="000000" w:themeColor="text1"/>
          <w:sz w:val="21"/>
          <w:szCs w:val="22"/>
          <w:lang w:val="en-US"/>
        </w:rPr>
        <w:t>工作</w:t>
      </w:r>
      <w:r w:rsidR="00621834" w:rsidRPr="004D2088">
        <w:rPr>
          <w:rFonts w:ascii="SimSun" w:hAnsi="SimSun"/>
          <w:color w:val="000000" w:themeColor="text1"/>
          <w:sz w:val="21"/>
          <w:szCs w:val="22"/>
          <w:lang w:val="en-US"/>
        </w:rPr>
        <w:t>提供指导</w:t>
      </w:r>
      <w:r w:rsidRPr="004D2088">
        <w:rPr>
          <w:rFonts w:ascii="SimSun" w:hAnsi="SimSun"/>
          <w:color w:val="000000" w:themeColor="text1"/>
          <w:sz w:val="21"/>
          <w:szCs w:val="22"/>
          <w:lang w:val="en-US"/>
        </w:rPr>
        <w:t>，但不一定会促进</w:t>
      </w:r>
      <w:r w:rsidR="001C28C9" w:rsidRPr="004D2088">
        <w:rPr>
          <w:rFonts w:ascii="SimSun" w:hAnsi="SimSun"/>
          <w:color w:val="000000" w:themeColor="text1"/>
          <w:sz w:val="21"/>
          <w:szCs w:val="22"/>
          <w:lang w:val="en-US"/>
        </w:rPr>
        <w:t>成员国</w:t>
      </w:r>
      <w:r w:rsidRPr="004D2088">
        <w:rPr>
          <w:rFonts w:ascii="SimSun" w:hAnsi="SimSun"/>
          <w:color w:val="000000" w:themeColor="text1"/>
          <w:sz w:val="21"/>
          <w:szCs w:val="22"/>
          <w:lang w:val="en-US"/>
        </w:rPr>
        <w:t>对讨论要点的理解。</w:t>
      </w:r>
    </w:p>
    <w:p w14:paraId="3EE591BD" w14:textId="77777777" w:rsidR="00B83B38" w:rsidRDefault="00330608" w:rsidP="00B83B38">
      <w:pPr>
        <w:overflowPunct w:val="0"/>
        <w:spacing w:afterLines="50" w:after="120" w:line="340" w:lineRule="atLeast"/>
        <w:ind w:firstLineChars="200" w:firstLine="420"/>
        <w:jc w:val="both"/>
        <w:rPr>
          <w:rFonts w:ascii="SimSun" w:hAnsi="SimSun"/>
          <w:color w:val="000000" w:themeColor="text1"/>
          <w:sz w:val="21"/>
          <w:szCs w:val="22"/>
          <w:lang w:val="en-US"/>
        </w:rPr>
      </w:pPr>
      <w:r w:rsidRPr="004D2088">
        <w:rPr>
          <w:rFonts w:ascii="SimSun" w:hAnsi="SimSun"/>
          <w:color w:val="000000" w:themeColor="text1"/>
          <w:sz w:val="21"/>
          <w:szCs w:val="22"/>
          <w:lang w:val="en-US"/>
        </w:rPr>
        <w:t>作为工作计划的一部分，建议在</w:t>
      </w:r>
      <w:r w:rsidR="00621834" w:rsidRPr="004D2088">
        <w:rPr>
          <w:rFonts w:ascii="SimSun" w:hAnsi="SimSun"/>
          <w:color w:val="000000" w:themeColor="text1"/>
          <w:sz w:val="21"/>
          <w:szCs w:val="22"/>
          <w:lang w:val="en-US"/>
        </w:rPr>
        <w:t>委员会</w:t>
      </w:r>
      <w:r w:rsidR="00903082" w:rsidRPr="004D2088">
        <w:rPr>
          <w:rFonts w:ascii="SimSun" w:hAnsi="SimSun"/>
          <w:color w:val="000000" w:themeColor="text1"/>
          <w:sz w:val="21"/>
          <w:szCs w:val="22"/>
          <w:lang w:val="en-US"/>
        </w:rPr>
        <w:t>未来</w:t>
      </w:r>
      <w:r w:rsidR="00621834" w:rsidRPr="004D2088">
        <w:rPr>
          <w:rFonts w:ascii="SimSun" w:hAnsi="SimSun"/>
          <w:color w:val="000000" w:themeColor="text1"/>
          <w:sz w:val="21"/>
          <w:szCs w:val="22"/>
          <w:lang w:val="en-US"/>
        </w:rPr>
        <w:t>的</w:t>
      </w:r>
      <w:r w:rsidR="004166F9" w:rsidRPr="004D2088">
        <w:rPr>
          <w:rFonts w:ascii="SimSun" w:hAnsi="SimSun" w:hint="eastAsia"/>
          <w:color w:val="000000" w:themeColor="text1"/>
          <w:sz w:val="21"/>
          <w:szCs w:val="22"/>
          <w:lang w:val="en-US"/>
        </w:rPr>
        <w:t>会议</w:t>
      </w:r>
      <w:r w:rsidR="00621834" w:rsidRPr="004D2088">
        <w:rPr>
          <w:rFonts w:ascii="SimSun" w:hAnsi="SimSun"/>
          <w:color w:val="000000" w:themeColor="text1"/>
          <w:sz w:val="21"/>
          <w:szCs w:val="22"/>
          <w:lang w:val="en-US"/>
        </w:rPr>
        <w:t>上</w:t>
      </w:r>
      <w:r w:rsidRPr="004D2088">
        <w:rPr>
          <w:rFonts w:ascii="SimSun" w:hAnsi="SimSun"/>
          <w:color w:val="000000" w:themeColor="text1"/>
          <w:sz w:val="21"/>
          <w:szCs w:val="22"/>
          <w:lang w:val="en-US"/>
        </w:rPr>
        <w:t>就以下专题</w:t>
      </w:r>
      <w:r w:rsidR="00443382" w:rsidRPr="004D2088">
        <w:rPr>
          <w:rFonts w:ascii="SimSun" w:hAnsi="SimSun"/>
          <w:color w:val="000000" w:themeColor="text1"/>
          <w:sz w:val="21"/>
          <w:szCs w:val="22"/>
          <w:lang w:val="en-US"/>
        </w:rPr>
        <w:t>开展</w:t>
      </w:r>
      <w:r w:rsidRPr="004D2088">
        <w:rPr>
          <w:rFonts w:ascii="SimSun" w:hAnsi="SimSun"/>
          <w:color w:val="000000" w:themeColor="text1"/>
          <w:sz w:val="21"/>
          <w:szCs w:val="22"/>
          <w:lang w:val="en-US"/>
        </w:rPr>
        <w:t>研究和辩论：</w:t>
      </w:r>
    </w:p>
    <w:p w14:paraId="23E00A0D" w14:textId="77777777" w:rsidR="00B83B38" w:rsidRDefault="00330608"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color w:val="000000" w:themeColor="text1"/>
          <w:sz w:val="21"/>
          <w:lang w:eastAsia="zh-CN"/>
        </w:rPr>
        <w:lastRenderedPageBreak/>
        <w:t>创作者和艺术家与全球大型服务提供商之间的关系。</w:t>
      </w:r>
      <w:r w:rsidR="005F7331" w:rsidRPr="004D2088">
        <w:rPr>
          <w:rFonts w:cs="Arial" w:hint="eastAsia"/>
          <w:color w:val="000000" w:themeColor="text1"/>
          <w:sz w:val="21"/>
          <w:lang w:eastAsia="zh-CN"/>
        </w:rPr>
        <w:t>对所采取的市场做法进行研究，包括权利转让和让渡的规则，并分析在向使用互联网的普通公民提供和推荐内容以及在作品、表演和创作的报酬标准方面的透明度。</w:t>
      </w:r>
    </w:p>
    <w:p w14:paraId="28A46C8A" w14:textId="77777777" w:rsidR="00B83B38" w:rsidRDefault="00330608"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bookmarkStart w:id="5" w:name="_Hlk163221556"/>
      <w:r w:rsidRPr="004D2088">
        <w:rPr>
          <w:rFonts w:cs="Arial"/>
          <w:color w:val="000000" w:themeColor="text1"/>
          <w:sz w:val="21"/>
          <w:lang w:eastAsia="zh-CN"/>
        </w:rPr>
        <w:t>人工智能</w:t>
      </w:r>
      <w:r w:rsidR="00CE08AF" w:rsidRPr="004D2088">
        <w:rPr>
          <w:rFonts w:cs="Arial"/>
          <w:color w:val="000000" w:themeColor="text1"/>
          <w:sz w:val="21"/>
          <w:lang w:eastAsia="zh-CN"/>
        </w:rPr>
        <w:t>和监管方面的挑战，包括研究</w:t>
      </w:r>
      <w:r w:rsidR="00C31096" w:rsidRPr="004D2088">
        <w:rPr>
          <w:rFonts w:cs="Arial" w:hint="eastAsia"/>
          <w:color w:val="000000" w:themeColor="text1"/>
          <w:sz w:val="21"/>
          <w:lang w:eastAsia="zh-CN"/>
        </w:rPr>
        <w:t>关于</w:t>
      </w:r>
      <w:r w:rsidR="00CE08AF" w:rsidRPr="004D2088">
        <w:rPr>
          <w:rFonts w:cs="Arial"/>
          <w:color w:val="000000" w:themeColor="text1"/>
          <w:sz w:val="21"/>
          <w:lang w:eastAsia="zh-CN"/>
        </w:rPr>
        <w:t>工具培训和版权之间关系的市场做法和监管解决</w:t>
      </w:r>
      <w:r w:rsidR="008F28A5" w:rsidRPr="004D2088">
        <w:rPr>
          <w:rFonts w:cs="Arial"/>
          <w:color w:val="000000" w:themeColor="text1"/>
          <w:sz w:val="21"/>
          <w:lang w:eastAsia="zh-CN"/>
        </w:rPr>
        <w:t>方案</w:t>
      </w:r>
      <w:r w:rsidR="00CE08AF" w:rsidRPr="004D2088">
        <w:rPr>
          <w:rFonts w:cs="Arial"/>
          <w:color w:val="000000" w:themeColor="text1"/>
          <w:sz w:val="21"/>
          <w:lang w:eastAsia="zh-CN"/>
        </w:rPr>
        <w:t>、授权规则和使用补偿、语音和图像权转让规则，以及</w:t>
      </w:r>
      <w:r w:rsidR="0070543F" w:rsidRPr="004D2088">
        <w:rPr>
          <w:rFonts w:cs="Arial"/>
          <w:color w:val="000000" w:themeColor="text1"/>
          <w:sz w:val="21"/>
          <w:lang w:eastAsia="zh-CN"/>
        </w:rPr>
        <w:t>讨论</w:t>
      </w:r>
      <w:r w:rsidR="008C7CD8" w:rsidRPr="004D2088">
        <w:rPr>
          <w:rFonts w:cs="Arial" w:hint="eastAsia"/>
          <w:color w:val="000000" w:themeColor="text1"/>
          <w:sz w:val="21"/>
          <w:lang w:eastAsia="zh-CN"/>
        </w:rPr>
        <w:t>在成员</w:t>
      </w:r>
      <w:r w:rsidR="0070543F" w:rsidRPr="004D2088">
        <w:rPr>
          <w:rFonts w:cs="Arial"/>
          <w:color w:val="000000" w:themeColor="text1"/>
          <w:sz w:val="21"/>
          <w:lang w:eastAsia="zh-CN"/>
        </w:rPr>
        <w:t>国</w:t>
      </w:r>
      <w:r w:rsidR="006D711B" w:rsidRPr="004D2088">
        <w:rPr>
          <w:rFonts w:cs="Arial" w:hint="eastAsia"/>
          <w:color w:val="000000" w:themeColor="text1"/>
          <w:sz w:val="21"/>
          <w:lang w:eastAsia="zh-CN"/>
        </w:rPr>
        <w:t>主管局</w:t>
      </w:r>
      <w:r w:rsidR="008C7CD8" w:rsidRPr="004D2088">
        <w:rPr>
          <w:rFonts w:cs="Arial" w:hint="eastAsia"/>
          <w:color w:val="000000" w:themeColor="text1"/>
          <w:sz w:val="21"/>
          <w:lang w:eastAsia="zh-CN"/>
        </w:rPr>
        <w:t>就</w:t>
      </w:r>
      <w:r w:rsidR="006E567E" w:rsidRPr="004D2088">
        <w:rPr>
          <w:rFonts w:cs="Arial"/>
          <w:color w:val="000000" w:themeColor="text1"/>
          <w:sz w:val="21"/>
          <w:lang w:eastAsia="zh-CN"/>
        </w:rPr>
        <w:t>人工智能</w:t>
      </w:r>
      <w:r w:rsidR="008C7CD8" w:rsidRPr="004D2088">
        <w:rPr>
          <w:rFonts w:cs="Arial" w:hint="eastAsia"/>
          <w:color w:val="000000" w:themeColor="text1"/>
          <w:sz w:val="21"/>
          <w:lang w:eastAsia="zh-CN"/>
        </w:rPr>
        <w:t>生成</w:t>
      </w:r>
      <w:r w:rsidR="0070543F" w:rsidRPr="004D2088">
        <w:rPr>
          <w:rFonts w:cs="Arial"/>
          <w:color w:val="000000" w:themeColor="text1"/>
          <w:sz w:val="21"/>
          <w:lang w:eastAsia="zh-CN"/>
        </w:rPr>
        <w:t>的作品进行自愿登记问题，以及为</w:t>
      </w:r>
      <w:r w:rsidR="00265C59" w:rsidRPr="004D2088">
        <w:rPr>
          <w:rFonts w:cs="Arial"/>
          <w:color w:val="000000" w:themeColor="text1"/>
          <w:sz w:val="21"/>
          <w:lang w:eastAsia="zh-CN"/>
        </w:rPr>
        <w:t>这些作品分配</w:t>
      </w:r>
      <w:r w:rsidR="0070543F" w:rsidRPr="004D2088">
        <w:rPr>
          <w:rFonts w:cs="Arial"/>
          <w:color w:val="000000" w:themeColor="text1"/>
          <w:sz w:val="21"/>
          <w:lang w:eastAsia="zh-CN"/>
        </w:rPr>
        <w:t>识别标志的重要性。</w:t>
      </w:r>
      <w:bookmarkEnd w:id="5"/>
    </w:p>
    <w:p w14:paraId="4FBDCA75" w14:textId="77777777" w:rsidR="00B83B38" w:rsidRDefault="00FC7374"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hint="eastAsia"/>
          <w:color w:val="000000" w:themeColor="text1"/>
          <w:sz w:val="21"/>
          <w:lang w:eastAsia="zh-CN"/>
        </w:rPr>
        <w:t>为</w:t>
      </w:r>
      <w:r w:rsidRPr="004D2088">
        <w:rPr>
          <w:rFonts w:cs="Arial"/>
          <w:color w:val="000000" w:themeColor="text1"/>
          <w:sz w:val="21"/>
          <w:lang w:eastAsia="zh-CN"/>
        </w:rPr>
        <w:t>在数字环境中利用艺术家和创作者</w:t>
      </w:r>
      <w:r w:rsidRPr="004D2088">
        <w:rPr>
          <w:rFonts w:cs="Arial" w:hint="eastAsia"/>
          <w:color w:val="000000" w:themeColor="text1"/>
          <w:sz w:val="21"/>
          <w:lang w:eastAsia="zh-CN"/>
        </w:rPr>
        <w:t>的</w:t>
      </w:r>
      <w:r w:rsidRPr="004D2088">
        <w:rPr>
          <w:rFonts w:cs="Arial"/>
          <w:color w:val="000000" w:themeColor="text1"/>
          <w:sz w:val="21"/>
          <w:lang w:eastAsia="zh-CN"/>
        </w:rPr>
        <w:t>作品和表演</w:t>
      </w:r>
      <w:r w:rsidR="003B4A0A" w:rsidRPr="004D2088">
        <w:rPr>
          <w:rFonts w:cs="Arial" w:hint="eastAsia"/>
          <w:color w:val="000000" w:themeColor="text1"/>
          <w:sz w:val="21"/>
          <w:lang w:eastAsia="zh-CN"/>
        </w:rPr>
        <w:t>而</w:t>
      </w:r>
      <w:r w:rsidRPr="004D2088">
        <w:rPr>
          <w:rFonts w:cs="Arial" w:hint="eastAsia"/>
          <w:color w:val="000000" w:themeColor="text1"/>
          <w:sz w:val="21"/>
          <w:lang w:eastAsia="zh-CN"/>
        </w:rPr>
        <w:t>向其</w:t>
      </w:r>
      <w:r w:rsidR="00043FF8" w:rsidRPr="004D2088">
        <w:rPr>
          <w:rFonts w:cs="Arial"/>
          <w:color w:val="000000" w:themeColor="text1"/>
          <w:sz w:val="21"/>
          <w:lang w:eastAsia="zh-CN"/>
        </w:rPr>
        <w:t>提供</w:t>
      </w:r>
      <w:r w:rsidRPr="004D2088">
        <w:rPr>
          <w:rFonts w:cs="Arial"/>
          <w:color w:val="000000" w:themeColor="text1"/>
          <w:sz w:val="21"/>
          <w:lang w:eastAsia="zh-CN"/>
        </w:rPr>
        <w:t>报酬的适当方式，探讨不同的解决</w:t>
      </w:r>
      <w:r w:rsidR="008F28A5" w:rsidRPr="004D2088">
        <w:rPr>
          <w:rFonts w:cs="Arial"/>
          <w:color w:val="000000" w:themeColor="text1"/>
          <w:sz w:val="21"/>
          <w:lang w:eastAsia="zh-CN"/>
        </w:rPr>
        <w:t>方案</w:t>
      </w:r>
      <w:r w:rsidRPr="004D2088">
        <w:rPr>
          <w:rFonts w:cs="Arial"/>
          <w:color w:val="000000" w:themeColor="text1"/>
          <w:sz w:val="21"/>
          <w:lang w:eastAsia="zh-CN"/>
        </w:rPr>
        <w:t>和法律替代方案，以保证在</w:t>
      </w:r>
      <w:r w:rsidR="006522D0" w:rsidRPr="004D2088">
        <w:rPr>
          <w:rFonts w:cs="Arial"/>
          <w:color w:val="000000" w:themeColor="text1"/>
          <w:sz w:val="21"/>
          <w:lang w:eastAsia="zh-CN"/>
        </w:rPr>
        <w:t>数字</w:t>
      </w:r>
      <w:r w:rsidRPr="004D2088">
        <w:rPr>
          <w:rFonts w:cs="Arial"/>
          <w:color w:val="000000" w:themeColor="text1"/>
          <w:sz w:val="21"/>
          <w:lang w:eastAsia="zh-CN"/>
        </w:rPr>
        <w:t>利用</w:t>
      </w:r>
      <w:r w:rsidR="006522D0" w:rsidRPr="004D2088">
        <w:rPr>
          <w:rFonts w:cs="Arial"/>
          <w:color w:val="000000" w:themeColor="text1"/>
          <w:sz w:val="21"/>
          <w:lang w:eastAsia="zh-CN"/>
        </w:rPr>
        <w:t>之前</w:t>
      </w:r>
      <w:r w:rsidR="003B4A0A" w:rsidRPr="004D2088">
        <w:rPr>
          <w:rFonts w:cs="Arial" w:hint="eastAsia"/>
          <w:color w:val="000000" w:themeColor="text1"/>
          <w:sz w:val="21"/>
          <w:lang w:eastAsia="zh-CN"/>
        </w:rPr>
        <w:t>的阶段</w:t>
      </w:r>
      <w:r w:rsidRPr="004D2088">
        <w:rPr>
          <w:rFonts w:cs="Arial"/>
          <w:color w:val="000000" w:themeColor="text1"/>
          <w:sz w:val="21"/>
          <w:lang w:eastAsia="zh-CN"/>
        </w:rPr>
        <w:t>支付</w:t>
      </w:r>
      <w:r w:rsidR="00DB4AC2" w:rsidRPr="004D2088">
        <w:rPr>
          <w:rFonts w:cs="Arial"/>
          <w:color w:val="000000" w:themeColor="text1"/>
          <w:sz w:val="21"/>
          <w:lang w:eastAsia="zh-CN"/>
        </w:rPr>
        <w:t>权利许可和转让</w:t>
      </w:r>
      <w:r w:rsidRPr="004D2088">
        <w:rPr>
          <w:rFonts w:cs="Arial"/>
          <w:color w:val="000000" w:themeColor="text1"/>
          <w:sz w:val="21"/>
          <w:lang w:eastAsia="zh-CN"/>
        </w:rPr>
        <w:t>费。</w:t>
      </w:r>
    </w:p>
    <w:p w14:paraId="6A089C4A" w14:textId="77777777" w:rsidR="00B83B38" w:rsidRDefault="00330608"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color w:val="000000" w:themeColor="text1"/>
          <w:sz w:val="21"/>
          <w:lang w:eastAsia="zh-CN"/>
        </w:rPr>
        <w:t>由于谈判关系的不对</w:t>
      </w:r>
      <w:r w:rsidR="004B6165" w:rsidRPr="004D2088">
        <w:rPr>
          <w:rFonts w:cs="Arial"/>
          <w:color w:val="000000" w:themeColor="text1"/>
          <w:sz w:val="21"/>
          <w:lang w:eastAsia="zh-CN"/>
        </w:rPr>
        <w:t>等</w:t>
      </w:r>
      <w:r w:rsidRPr="004D2088">
        <w:rPr>
          <w:rFonts w:cs="Arial"/>
          <w:color w:val="000000" w:themeColor="text1"/>
          <w:sz w:val="21"/>
          <w:lang w:eastAsia="zh-CN"/>
        </w:rPr>
        <w:t>，在</w:t>
      </w:r>
      <w:r w:rsidR="0099742A" w:rsidRPr="004D2088">
        <w:rPr>
          <w:rFonts w:cs="Arial"/>
          <w:color w:val="000000" w:themeColor="text1"/>
          <w:sz w:val="21"/>
          <w:lang w:eastAsia="zh-CN"/>
        </w:rPr>
        <w:t>创作者</w:t>
      </w:r>
      <w:r w:rsidRPr="004D2088">
        <w:rPr>
          <w:rFonts w:cs="Arial"/>
          <w:color w:val="000000" w:themeColor="text1"/>
          <w:sz w:val="21"/>
          <w:lang w:eastAsia="zh-CN"/>
        </w:rPr>
        <w:t>和表演者与平台、内容聚合商和整个行业之间的</w:t>
      </w:r>
      <w:r w:rsidR="001F412E" w:rsidRPr="004D2088">
        <w:rPr>
          <w:rFonts w:cs="Arial"/>
          <w:color w:val="000000" w:themeColor="text1"/>
          <w:sz w:val="21"/>
          <w:lang w:eastAsia="zh-CN"/>
        </w:rPr>
        <w:t>谈判</w:t>
      </w:r>
      <w:r w:rsidRPr="004D2088">
        <w:rPr>
          <w:rFonts w:cs="Arial"/>
          <w:color w:val="000000" w:themeColor="text1"/>
          <w:sz w:val="21"/>
          <w:lang w:eastAsia="zh-CN"/>
        </w:rPr>
        <w:t>中</w:t>
      </w:r>
      <w:r w:rsidR="001B5019" w:rsidRPr="004D2088">
        <w:rPr>
          <w:rFonts w:cs="Arial" w:hint="eastAsia"/>
          <w:color w:val="000000" w:themeColor="text1"/>
          <w:sz w:val="21"/>
          <w:lang w:eastAsia="zh-CN"/>
        </w:rPr>
        <w:t>设</w:t>
      </w:r>
      <w:r w:rsidRPr="004D2088">
        <w:rPr>
          <w:rFonts w:cs="Arial"/>
          <w:color w:val="000000" w:themeColor="text1"/>
          <w:sz w:val="21"/>
          <w:lang w:eastAsia="zh-CN"/>
        </w:rPr>
        <w:t>立最低保障。</w:t>
      </w:r>
      <w:r w:rsidR="00903082" w:rsidRPr="00B83B38">
        <w:rPr>
          <w:rFonts w:cs="Microsoft YaHei" w:hint="eastAsia"/>
          <w:sz w:val="21"/>
          <w:lang w:eastAsia="zh-CN"/>
        </w:rPr>
        <w:t>开展案例研究和国际比较以分析不同的保护模式。</w:t>
      </w:r>
      <w:r w:rsidRPr="00B83B38">
        <w:rPr>
          <w:rFonts w:cs="Arial"/>
          <w:color w:val="000000" w:themeColor="text1"/>
          <w:sz w:val="21"/>
          <w:lang w:eastAsia="zh-CN"/>
        </w:rPr>
        <w:t>建</w:t>
      </w:r>
      <w:r w:rsidRPr="004D2088">
        <w:rPr>
          <w:rFonts w:cs="Arial"/>
          <w:color w:val="000000" w:themeColor="text1"/>
          <w:sz w:val="21"/>
          <w:lang w:eastAsia="zh-CN"/>
        </w:rPr>
        <w:t>立机制</w:t>
      </w:r>
      <w:r w:rsidR="001F412E" w:rsidRPr="004D2088">
        <w:rPr>
          <w:rFonts w:cs="Arial"/>
          <w:color w:val="000000" w:themeColor="text1"/>
          <w:sz w:val="21"/>
          <w:lang w:eastAsia="zh-CN"/>
        </w:rPr>
        <w:t>，确保在</w:t>
      </w:r>
      <w:r w:rsidRPr="004D2088">
        <w:rPr>
          <w:rFonts w:cs="Arial"/>
          <w:color w:val="000000" w:themeColor="text1"/>
          <w:sz w:val="21"/>
          <w:lang w:eastAsia="zh-CN"/>
        </w:rPr>
        <w:t>合同不利时</w:t>
      </w:r>
      <w:r w:rsidR="001F412E" w:rsidRPr="004D2088">
        <w:rPr>
          <w:rFonts w:cs="Arial"/>
          <w:color w:val="000000" w:themeColor="text1"/>
          <w:sz w:val="21"/>
          <w:lang w:eastAsia="zh-CN"/>
        </w:rPr>
        <w:t>可以重新谈判</w:t>
      </w:r>
      <w:r w:rsidR="00420CC7" w:rsidRPr="004D2088">
        <w:rPr>
          <w:rFonts w:cs="Arial"/>
          <w:color w:val="000000" w:themeColor="text1"/>
          <w:sz w:val="21"/>
          <w:lang w:eastAsia="zh-CN"/>
        </w:rPr>
        <w:t>。</w:t>
      </w:r>
    </w:p>
    <w:p w14:paraId="05C73911" w14:textId="77777777" w:rsidR="00B83B38" w:rsidRDefault="001F412E"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color w:val="000000" w:themeColor="text1"/>
          <w:sz w:val="21"/>
          <w:lang w:eastAsia="zh-CN"/>
        </w:rPr>
        <w:t>就</w:t>
      </w:r>
      <w:r w:rsidR="005179F7" w:rsidRPr="004D2088">
        <w:rPr>
          <w:rFonts w:cs="Arial" w:hint="eastAsia"/>
          <w:color w:val="000000" w:themeColor="text1"/>
          <w:sz w:val="21"/>
          <w:lang w:eastAsia="zh-CN"/>
        </w:rPr>
        <w:t>有关</w:t>
      </w:r>
      <w:r w:rsidRPr="004D2088">
        <w:rPr>
          <w:rFonts w:cs="Arial"/>
          <w:color w:val="000000" w:themeColor="text1"/>
          <w:sz w:val="21"/>
          <w:lang w:eastAsia="zh-CN"/>
        </w:rPr>
        <w:t>数字环境中版权及</w:t>
      </w:r>
      <w:r w:rsidR="004166F9" w:rsidRPr="004D2088">
        <w:rPr>
          <w:rFonts w:cs="Arial"/>
          <w:color w:val="000000" w:themeColor="text1"/>
          <w:sz w:val="21"/>
          <w:lang w:eastAsia="zh-CN"/>
        </w:rPr>
        <w:t>相关权</w:t>
      </w:r>
      <w:r w:rsidRPr="004D2088">
        <w:rPr>
          <w:rFonts w:cs="Arial"/>
          <w:color w:val="000000" w:themeColor="text1"/>
          <w:sz w:val="21"/>
          <w:lang w:eastAsia="zh-CN"/>
        </w:rPr>
        <w:t>的公平报酬权</w:t>
      </w:r>
      <w:r w:rsidR="005179F7" w:rsidRPr="004D2088">
        <w:rPr>
          <w:rFonts w:cs="Arial" w:hint="eastAsia"/>
          <w:color w:val="000000" w:themeColor="text1"/>
          <w:sz w:val="21"/>
          <w:lang w:eastAsia="zh-CN"/>
        </w:rPr>
        <w:t>建立</w:t>
      </w:r>
      <w:r w:rsidR="008E6139" w:rsidRPr="004D2088">
        <w:rPr>
          <w:rFonts w:cs="Arial" w:hint="eastAsia"/>
          <w:color w:val="000000" w:themeColor="text1"/>
          <w:sz w:val="21"/>
          <w:lang w:eastAsia="zh-CN"/>
        </w:rPr>
        <w:t>一个</w:t>
      </w:r>
      <w:r w:rsidR="00903082" w:rsidRPr="004D2088">
        <w:rPr>
          <w:rFonts w:cs="Arial" w:hint="eastAsia"/>
          <w:color w:val="000000" w:themeColor="text1"/>
          <w:sz w:val="21"/>
          <w:lang w:eastAsia="zh-CN"/>
        </w:rPr>
        <w:t>可能的</w:t>
      </w:r>
      <w:r w:rsidRPr="004D2088">
        <w:rPr>
          <w:rFonts w:cs="Arial"/>
          <w:color w:val="000000" w:themeColor="text1"/>
          <w:sz w:val="21"/>
          <w:lang w:eastAsia="zh-CN"/>
        </w:rPr>
        <w:t>国际法律框架进行辩论和研究，但不预先判断其性质以及如何</w:t>
      </w:r>
      <w:r w:rsidR="008E6139" w:rsidRPr="004D2088">
        <w:rPr>
          <w:rFonts w:cs="Arial"/>
          <w:color w:val="000000" w:themeColor="text1"/>
          <w:sz w:val="21"/>
          <w:lang w:eastAsia="zh-CN"/>
        </w:rPr>
        <w:t>收取</w:t>
      </w:r>
      <w:r w:rsidRPr="004D2088">
        <w:rPr>
          <w:rFonts w:cs="Arial"/>
          <w:color w:val="000000" w:themeColor="text1"/>
          <w:sz w:val="21"/>
          <w:lang w:eastAsia="zh-CN"/>
        </w:rPr>
        <w:t>和分配。</w:t>
      </w:r>
    </w:p>
    <w:p w14:paraId="56799422" w14:textId="77777777" w:rsidR="00B83B38" w:rsidRDefault="00330608"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color w:val="000000" w:themeColor="text1"/>
          <w:sz w:val="21"/>
          <w:lang w:eastAsia="zh-CN"/>
        </w:rPr>
        <w:t>关于数字环境中作品和</w:t>
      </w:r>
      <w:r w:rsidR="00D63919" w:rsidRPr="004D2088">
        <w:rPr>
          <w:rFonts w:cs="Arial"/>
          <w:color w:val="000000" w:themeColor="text1"/>
          <w:sz w:val="21"/>
          <w:lang w:eastAsia="zh-CN"/>
        </w:rPr>
        <w:t>表演</w:t>
      </w:r>
      <w:r w:rsidRPr="004D2088">
        <w:rPr>
          <w:rFonts w:cs="Arial"/>
          <w:color w:val="000000" w:themeColor="text1"/>
          <w:sz w:val="21"/>
          <w:lang w:eastAsia="zh-CN"/>
        </w:rPr>
        <w:t>版权及</w:t>
      </w:r>
      <w:r w:rsidR="004166F9" w:rsidRPr="004D2088">
        <w:rPr>
          <w:rFonts w:cs="Arial"/>
          <w:color w:val="000000" w:themeColor="text1"/>
          <w:sz w:val="21"/>
          <w:lang w:eastAsia="zh-CN"/>
        </w:rPr>
        <w:t>相关权</w:t>
      </w:r>
      <w:r w:rsidR="00D63919" w:rsidRPr="004D2088">
        <w:rPr>
          <w:rFonts w:cs="Arial"/>
          <w:color w:val="000000" w:themeColor="text1"/>
          <w:sz w:val="21"/>
          <w:lang w:eastAsia="zh-CN"/>
        </w:rPr>
        <w:t>使用费</w:t>
      </w:r>
      <w:r w:rsidRPr="004D2088">
        <w:rPr>
          <w:rFonts w:cs="Arial"/>
          <w:color w:val="000000" w:themeColor="text1"/>
          <w:sz w:val="21"/>
          <w:lang w:eastAsia="zh-CN"/>
        </w:rPr>
        <w:t>收支现状的经济研究。</w:t>
      </w:r>
    </w:p>
    <w:p w14:paraId="3293D58E" w14:textId="77777777" w:rsidR="00B83B38" w:rsidRDefault="00330608"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color w:val="000000" w:themeColor="text1"/>
          <w:sz w:val="21"/>
          <w:lang w:eastAsia="zh-CN"/>
        </w:rPr>
        <w:t>研究和制定在数字环境中使用技术手段保护</w:t>
      </w:r>
      <w:r w:rsidR="001F412E" w:rsidRPr="004D2088">
        <w:rPr>
          <w:rFonts w:cs="Arial"/>
          <w:color w:val="000000" w:themeColor="text1"/>
          <w:sz w:val="21"/>
          <w:lang w:eastAsia="zh-CN"/>
        </w:rPr>
        <w:t>作品</w:t>
      </w:r>
      <w:r w:rsidRPr="004D2088">
        <w:rPr>
          <w:rFonts w:cs="Arial"/>
          <w:color w:val="000000" w:themeColor="text1"/>
          <w:sz w:val="21"/>
          <w:lang w:eastAsia="zh-CN"/>
        </w:rPr>
        <w:t>和表演的实用指南。</w:t>
      </w:r>
    </w:p>
    <w:p w14:paraId="49FF00D3" w14:textId="77777777" w:rsidR="00B83B38" w:rsidRDefault="00330608"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color w:val="000000" w:themeColor="text1"/>
          <w:sz w:val="21"/>
          <w:lang w:eastAsia="zh-CN"/>
        </w:rPr>
        <w:t>审查和评估国家或地区</w:t>
      </w:r>
      <w:r w:rsidR="006F0020" w:rsidRPr="004D2088">
        <w:rPr>
          <w:rFonts w:cs="Arial"/>
          <w:color w:val="000000" w:themeColor="text1"/>
          <w:sz w:val="21"/>
          <w:lang w:eastAsia="zh-CN"/>
        </w:rPr>
        <w:t>关于数</w:t>
      </w:r>
      <w:r w:rsidRPr="004D2088">
        <w:rPr>
          <w:rFonts w:cs="Arial"/>
          <w:color w:val="000000" w:themeColor="text1"/>
          <w:sz w:val="21"/>
          <w:lang w:eastAsia="zh-CN"/>
        </w:rPr>
        <w:t>字环境中</w:t>
      </w:r>
      <w:r w:rsidR="006F0020" w:rsidRPr="004D2088">
        <w:rPr>
          <w:rFonts w:cs="Arial"/>
          <w:color w:val="000000" w:themeColor="text1"/>
          <w:sz w:val="21"/>
          <w:lang w:eastAsia="zh-CN"/>
        </w:rPr>
        <w:t>任何类型</w:t>
      </w:r>
      <w:r w:rsidR="006F0020" w:rsidRPr="004D2088">
        <w:rPr>
          <w:rFonts w:cs="Arial" w:hint="eastAsia"/>
          <w:color w:val="000000" w:themeColor="text1"/>
          <w:sz w:val="21"/>
          <w:lang w:eastAsia="zh-CN"/>
        </w:rPr>
        <w:t>作品</w:t>
      </w:r>
      <w:r w:rsidRPr="004D2088">
        <w:rPr>
          <w:rFonts w:cs="Arial"/>
          <w:color w:val="000000" w:themeColor="text1"/>
          <w:sz w:val="21"/>
          <w:lang w:eastAsia="zh-CN"/>
        </w:rPr>
        <w:t>权利问题的</w:t>
      </w:r>
      <w:r w:rsidR="006F0020" w:rsidRPr="004D2088">
        <w:rPr>
          <w:rFonts w:cs="Arial"/>
          <w:color w:val="000000" w:themeColor="text1"/>
          <w:sz w:val="21"/>
          <w:lang w:eastAsia="zh-CN"/>
        </w:rPr>
        <w:t>解决方案。</w:t>
      </w:r>
    </w:p>
    <w:p w14:paraId="71793DFE" w14:textId="77777777" w:rsidR="00B83B38" w:rsidRDefault="0046360C" w:rsidP="0017322F">
      <w:pPr>
        <w:pStyle w:val="ListParagraph"/>
        <w:numPr>
          <w:ilvl w:val="0"/>
          <w:numId w:val="10"/>
        </w:numPr>
        <w:overflowPunct w:val="0"/>
        <w:spacing w:afterLines="50" w:after="120" w:line="340" w:lineRule="atLeast"/>
        <w:ind w:leftChars="200" w:left="797" w:hanging="357"/>
        <w:contextualSpacing w:val="0"/>
        <w:jc w:val="both"/>
        <w:rPr>
          <w:rFonts w:cs="Arial"/>
          <w:color w:val="000000" w:themeColor="text1"/>
          <w:sz w:val="21"/>
          <w:lang w:eastAsia="zh-CN"/>
        </w:rPr>
      </w:pPr>
      <w:r w:rsidRPr="004D2088">
        <w:rPr>
          <w:rFonts w:cs="Arial" w:hint="eastAsia"/>
          <w:color w:val="000000" w:themeColor="text1"/>
          <w:sz w:val="21"/>
          <w:lang w:eastAsia="zh-CN"/>
        </w:rPr>
        <w:t>促进关于数字市场中音像作品和视觉艺术的监管和保护的研究。</w:t>
      </w:r>
    </w:p>
    <w:p w14:paraId="2D379B3A" w14:textId="77777777" w:rsidR="00B83B38" w:rsidRDefault="00330608" w:rsidP="00B83B38">
      <w:pPr>
        <w:overflowPunct w:val="0"/>
        <w:spacing w:afterLines="50" w:after="120" w:line="340" w:lineRule="atLeast"/>
        <w:ind w:firstLineChars="200" w:firstLine="420"/>
        <w:jc w:val="both"/>
        <w:rPr>
          <w:rFonts w:ascii="SimSun" w:hAnsi="SimSun"/>
          <w:color w:val="000000" w:themeColor="text1"/>
          <w:sz w:val="21"/>
          <w:szCs w:val="22"/>
          <w:lang w:val="en-US"/>
        </w:rPr>
      </w:pPr>
      <w:r w:rsidRPr="004D2088">
        <w:rPr>
          <w:rFonts w:ascii="SimSun" w:hAnsi="SimSun"/>
          <w:color w:val="000000" w:themeColor="text1"/>
          <w:sz w:val="21"/>
          <w:szCs w:val="22"/>
          <w:lang w:val="en-US"/>
        </w:rPr>
        <w:t>为了在</w:t>
      </w:r>
      <w:r w:rsidR="001B5F00" w:rsidRPr="004D2088">
        <w:rPr>
          <w:rFonts w:ascii="SimSun" w:hAnsi="SimSun"/>
          <w:color w:val="000000" w:themeColor="text1"/>
          <w:sz w:val="21"/>
          <w:szCs w:val="22"/>
          <w:lang w:val="en-US"/>
        </w:rPr>
        <w:t>推进</w:t>
      </w:r>
      <w:r w:rsidRPr="004D2088">
        <w:rPr>
          <w:rFonts w:ascii="SimSun" w:hAnsi="SimSun"/>
          <w:color w:val="000000" w:themeColor="text1"/>
          <w:sz w:val="21"/>
          <w:szCs w:val="22"/>
          <w:lang w:val="en-US"/>
        </w:rPr>
        <w:t>这一议程方面取得进展，还建议成员国在委员会的框架内，在</w:t>
      </w:r>
      <w:r w:rsidR="00D26A96" w:rsidRPr="004D2088">
        <w:rPr>
          <w:rFonts w:ascii="SimSun" w:hAnsi="SimSun" w:hint="eastAsia"/>
          <w:color w:val="000000" w:themeColor="text1"/>
          <w:sz w:val="21"/>
          <w:szCs w:val="22"/>
          <w:lang w:val="en-US"/>
        </w:rPr>
        <w:t>产权组织</w:t>
      </w:r>
      <w:r w:rsidRPr="004D2088">
        <w:rPr>
          <w:rFonts w:ascii="SimSun" w:hAnsi="SimSun"/>
          <w:color w:val="000000" w:themeColor="text1"/>
          <w:sz w:val="21"/>
          <w:szCs w:val="22"/>
          <w:lang w:val="en-US"/>
        </w:rPr>
        <w:t>的技术和财政支持下，就上述</w:t>
      </w:r>
      <w:r w:rsidR="008E6139" w:rsidRPr="004D2088">
        <w:rPr>
          <w:rFonts w:ascii="SimSun" w:hAnsi="SimSun"/>
          <w:color w:val="000000" w:themeColor="text1"/>
          <w:sz w:val="21"/>
          <w:szCs w:val="22"/>
          <w:lang w:val="en-US"/>
        </w:rPr>
        <w:t>专题</w:t>
      </w:r>
      <w:r w:rsidRPr="004D2088">
        <w:rPr>
          <w:rFonts w:ascii="SimSun" w:hAnsi="SimSun"/>
          <w:color w:val="000000" w:themeColor="text1"/>
          <w:sz w:val="21"/>
          <w:szCs w:val="22"/>
          <w:lang w:val="en-US"/>
        </w:rPr>
        <w:t>开发</w:t>
      </w:r>
      <w:r w:rsidR="008E6139" w:rsidRPr="004D2088">
        <w:rPr>
          <w:rFonts w:ascii="SimSun" w:hAnsi="SimSun"/>
          <w:color w:val="000000" w:themeColor="text1"/>
          <w:sz w:val="21"/>
          <w:szCs w:val="22"/>
          <w:lang w:val="en-US"/>
        </w:rPr>
        <w:t>相关</w:t>
      </w:r>
      <w:r w:rsidRPr="004D2088">
        <w:rPr>
          <w:rFonts w:ascii="SimSun" w:hAnsi="SimSun"/>
          <w:color w:val="000000" w:themeColor="text1"/>
          <w:sz w:val="21"/>
          <w:szCs w:val="22"/>
          <w:lang w:val="en-US"/>
        </w:rPr>
        <w:t>工具、示范法参考资料和教育指南。</w:t>
      </w:r>
    </w:p>
    <w:p w14:paraId="5360A1D0" w14:textId="77777777" w:rsidR="00B83B38" w:rsidRDefault="00330608" w:rsidP="00B83B38">
      <w:pPr>
        <w:overflowPunct w:val="0"/>
        <w:spacing w:afterLines="50" w:after="120" w:line="340" w:lineRule="atLeast"/>
        <w:ind w:firstLineChars="200" w:firstLine="420"/>
        <w:jc w:val="both"/>
        <w:rPr>
          <w:rFonts w:ascii="SimSun" w:hAnsi="SimSun"/>
          <w:color w:val="000000" w:themeColor="text1"/>
          <w:sz w:val="21"/>
          <w:szCs w:val="22"/>
          <w:lang w:val="en-US"/>
        </w:rPr>
      </w:pPr>
      <w:r w:rsidRPr="004D2088">
        <w:rPr>
          <w:rFonts w:ascii="SimSun" w:hAnsi="SimSun"/>
          <w:color w:val="000000" w:themeColor="text1"/>
          <w:sz w:val="21"/>
          <w:szCs w:val="22"/>
          <w:lang w:val="en-US"/>
        </w:rPr>
        <w:t>除了这些研究之外，我们还建议秘书处在</w:t>
      </w:r>
      <w:r w:rsidR="001C28C9" w:rsidRPr="004D2088">
        <w:rPr>
          <w:rFonts w:ascii="SimSun" w:hAnsi="SimSun"/>
          <w:color w:val="000000" w:themeColor="text1"/>
          <w:sz w:val="21"/>
          <w:szCs w:val="22"/>
          <w:lang w:val="en-US"/>
        </w:rPr>
        <w:t>成员国</w:t>
      </w:r>
      <w:r w:rsidRPr="004D2088">
        <w:rPr>
          <w:rFonts w:ascii="SimSun" w:hAnsi="SimSun"/>
          <w:color w:val="000000" w:themeColor="text1"/>
          <w:sz w:val="21"/>
          <w:szCs w:val="22"/>
          <w:lang w:val="en-US"/>
        </w:rPr>
        <w:t>的</w:t>
      </w:r>
      <w:r w:rsidR="001F412E" w:rsidRPr="004D2088">
        <w:rPr>
          <w:rFonts w:ascii="SimSun" w:hAnsi="SimSun"/>
          <w:color w:val="000000" w:themeColor="text1"/>
          <w:sz w:val="21"/>
          <w:szCs w:val="22"/>
          <w:lang w:val="en-US"/>
        </w:rPr>
        <w:t>指导下，</w:t>
      </w:r>
      <w:r w:rsidRPr="004D2088">
        <w:rPr>
          <w:rFonts w:ascii="SimSun" w:hAnsi="SimSun"/>
          <w:color w:val="000000" w:themeColor="text1"/>
          <w:sz w:val="21"/>
          <w:szCs w:val="22"/>
          <w:lang w:val="en-US"/>
        </w:rPr>
        <w:t>鼓励其技术领域和内部部门</w:t>
      </w:r>
      <w:r w:rsidR="00321B22" w:rsidRPr="004D2088">
        <w:rPr>
          <w:rFonts w:ascii="SimSun" w:hAnsi="SimSun"/>
          <w:color w:val="000000" w:themeColor="text1"/>
          <w:sz w:val="21"/>
          <w:szCs w:val="22"/>
          <w:lang w:val="en-US"/>
        </w:rPr>
        <w:t>遵守以</w:t>
      </w:r>
      <w:r w:rsidR="001C28C9" w:rsidRPr="004D2088">
        <w:rPr>
          <w:rFonts w:ascii="SimSun" w:hAnsi="SimSun" w:hint="eastAsia"/>
          <w:color w:val="000000" w:themeColor="text1"/>
          <w:sz w:val="21"/>
          <w:szCs w:val="22"/>
          <w:lang w:val="en-US"/>
        </w:rPr>
        <w:t>“</w:t>
      </w:r>
      <w:r w:rsidRPr="004D2088">
        <w:rPr>
          <w:rFonts w:ascii="SimSun" w:hAnsi="SimSun"/>
          <w:color w:val="000000" w:themeColor="text1"/>
          <w:sz w:val="21"/>
          <w:szCs w:val="22"/>
          <w:lang w:val="en-US"/>
        </w:rPr>
        <w:t>基于</w:t>
      </w:r>
      <w:r w:rsidR="001C28C9" w:rsidRPr="004D2088">
        <w:rPr>
          <w:rFonts w:ascii="SimSun" w:hAnsi="SimSun"/>
          <w:color w:val="000000" w:themeColor="text1"/>
          <w:sz w:val="21"/>
          <w:szCs w:val="22"/>
          <w:lang w:val="en-US"/>
        </w:rPr>
        <w:t>成员国</w:t>
      </w:r>
      <w:r w:rsidR="001C28C9" w:rsidRPr="004D2088">
        <w:rPr>
          <w:rFonts w:ascii="SimSun" w:hAnsi="SimSun" w:hint="eastAsia"/>
          <w:color w:val="000000" w:themeColor="text1"/>
          <w:sz w:val="21"/>
          <w:szCs w:val="22"/>
          <w:lang w:val="en-US"/>
        </w:rPr>
        <w:t>”</w:t>
      </w:r>
      <w:r w:rsidR="001F412E" w:rsidRPr="004D2088">
        <w:rPr>
          <w:rFonts w:ascii="SimSun" w:hAnsi="SimSun"/>
          <w:color w:val="000000" w:themeColor="text1"/>
          <w:sz w:val="21"/>
          <w:szCs w:val="22"/>
          <w:lang w:val="en-US"/>
        </w:rPr>
        <w:t>的</w:t>
      </w:r>
      <w:r w:rsidRPr="004D2088">
        <w:rPr>
          <w:rFonts w:ascii="SimSun" w:hAnsi="SimSun"/>
          <w:color w:val="000000" w:themeColor="text1"/>
          <w:sz w:val="21"/>
          <w:szCs w:val="22"/>
          <w:lang w:val="en-US"/>
        </w:rPr>
        <w:t>方式开展工作的要求，并建议</w:t>
      </w:r>
      <w:r w:rsidR="002B2976" w:rsidRPr="004D2088">
        <w:rPr>
          <w:rFonts w:ascii="SimSun" w:hAnsi="SimSun"/>
          <w:color w:val="000000" w:themeColor="text1"/>
          <w:sz w:val="21"/>
          <w:szCs w:val="22"/>
          <w:lang w:val="en-US"/>
        </w:rPr>
        <w:t>这些</w:t>
      </w:r>
      <w:r w:rsidR="008E6139" w:rsidRPr="004D2088">
        <w:rPr>
          <w:rFonts w:ascii="SimSun" w:hAnsi="SimSun"/>
          <w:color w:val="000000" w:themeColor="text1"/>
          <w:sz w:val="21"/>
          <w:szCs w:val="22"/>
          <w:lang w:val="en-US"/>
        </w:rPr>
        <w:t>技术</w:t>
      </w:r>
      <w:r w:rsidRPr="004D2088">
        <w:rPr>
          <w:rFonts w:ascii="SimSun" w:hAnsi="SimSun"/>
          <w:color w:val="000000" w:themeColor="text1"/>
          <w:sz w:val="21"/>
          <w:szCs w:val="22"/>
          <w:lang w:val="en-US"/>
        </w:rPr>
        <w:t>领域提交与</w:t>
      </w:r>
      <w:r w:rsidR="001F412E" w:rsidRPr="004D2088">
        <w:rPr>
          <w:rFonts w:ascii="SimSun" w:hAnsi="SimSun"/>
          <w:color w:val="000000" w:themeColor="text1"/>
          <w:sz w:val="21"/>
          <w:szCs w:val="22"/>
          <w:lang w:val="en-US"/>
        </w:rPr>
        <w:t>数字环境中的版权工作计划</w:t>
      </w:r>
      <w:r w:rsidRPr="004D2088">
        <w:rPr>
          <w:rFonts w:ascii="SimSun" w:hAnsi="SimSun"/>
          <w:color w:val="000000" w:themeColor="text1"/>
          <w:sz w:val="21"/>
          <w:szCs w:val="22"/>
          <w:lang w:val="en-US"/>
        </w:rPr>
        <w:t>范围有关的活动成果，</w:t>
      </w:r>
      <w:r w:rsidR="006B3AF0" w:rsidRPr="004D2088">
        <w:rPr>
          <w:rFonts w:ascii="SimSun" w:hAnsi="SimSun"/>
          <w:color w:val="000000" w:themeColor="text1"/>
          <w:sz w:val="21"/>
          <w:szCs w:val="22"/>
          <w:lang w:val="en-US"/>
        </w:rPr>
        <w:t>供</w:t>
      </w:r>
      <w:r w:rsidRPr="004D2088">
        <w:rPr>
          <w:rFonts w:ascii="SimSun" w:hAnsi="SimSun"/>
          <w:color w:val="000000" w:themeColor="text1"/>
          <w:sz w:val="21"/>
          <w:szCs w:val="22"/>
          <w:lang w:val="en-US"/>
        </w:rPr>
        <w:t>委员会审查。</w:t>
      </w:r>
    </w:p>
    <w:p w14:paraId="7123091C" w14:textId="77777777" w:rsidR="00B83B38" w:rsidRPr="0017322F" w:rsidRDefault="00330608" w:rsidP="0017322F">
      <w:pPr>
        <w:pStyle w:val="Corpo"/>
        <w:keepNext/>
        <w:overflowPunct w:val="0"/>
        <w:spacing w:beforeLines="100" w:before="240" w:afterLines="50" w:after="120" w:line="340" w:lineRule="atLeast"/>
        <w:rPr>
          <w:rFonts w:ascii="SimHei" w:eastAsia="SimHei" w:hAnsi="SimHei"/>
          <w:color w:val="auto"/>
          <w:sz w:val="21"/>
          <w:u w:val="single"/>
          <w:lang w:eastAsia="zh-CN"/>
        </w:rPr>
      </w:pPr>
      <w:r w:rsidRPr="0017322F">
        <w:rPr>
          <w:rFonts w:ascii="SimHei" w:eastAsia="SimHei" w:hAnsi="SimHei"/>
          <w:color w:val="auto"/>
          <w:sz w:val="21"/>
          <w:u w:val="single"/>
          <w:lang w:eastAsia="zh-CN"/>
        </w:rPr>
        <w:t>工作计划日期</w:t>
      </w:r>
    </w:p>
    <w:p w14:paraId="6740CBCB" w14:textId="77777777" w:rsidR="00B83B38" w:rsidRDefault="00330608" w:rsidP="00B83B38">
      <w:pPr>
        <w:overflowPunct w:val="0"/>
        <w:spacing w:afterLines="50" w:after="120" w:line="340" w:lineRule="atLeast"/>
        <w:ind w:firstLineChars="200" w:firstLine="420"/>
        <w:jc w:val="both"/>
        <w:rPr>
          <w:rFonts w:ascii="SimSun" w:hAnsi="SimSun"/>
          <w:sz w:val="21"/>
          <w:szCs w:val="22"/>
          <w:lang w:val="en-US"/>
        </w:rPr>
      </w:pPr>
      <w:r w:rsidRPr="004D2088">
        <w:rPr>
          <w:rFonts w:ascii="SimSun" w:hAnsi="SimSun"/>
          <w:sz w:val="21"/>
          <w:szCs w:val="22"/>
          <w:lang w:val="en-US"/>
        </w:rPr>
        <w:t>建议在委员会</w:t>
      </w:r>
      <w:r w:rsidR="001C28C9" w:rsidRPr="004D2088">
        <w:rPr>
          <w:rFonts w:ascii="SimSun" w:hAnsi="SimSun" w:hint="eastAsia"/>
          <w:sz w:val="21"/>
          <w:szCs w:val="22"/>
          <w:lang w:val="en-US"/>
        </w:rPr>
        <w:t>会议</w:t>
      </w:r>
      <w:r w:rsidRPr="004D2088">
        <w:rPr>
          <w:rFonts w:ascii="SimSun" w:hAnsi="SimSun"/>
          <w:sz w:val="21"/>
          <w:szCs w:val="22"/>
          <w:lang w:val="en-US"/>
        </w:rPr>
        <w:t>之前至少举行一次地区技术工作会议，以讨论研究结果，并酌情提出相关意见。</w:t>
      </w:r>
      <w:r w:rsidR="001F412E" w:rsidRPr="004D2088">
        <w:rPr>
          <w:rFonts w:ascii="SimSun" w:hAnsi="SimSun"/>
          <w:sz w:val="21"/>
          <w:szCs w:val="22"/>
          <w:lang w:val="en-US"/>
        </w:rPr>
        <w:t>这将</w:t>
      </w:r>
      <w:r w:rsidR="00657A7B" w:rsidRPr="004D2088">
        <w:rPr>
          <w:rFonts w:ascii="SimSun" w:hAnsi="SimSun"/>
          <w:sz w:val="21"/>
          <w:szCs w:val="22"/>
          <w:lang w:val="en-US"/>
        </w:rPr>
        <w:t>涉及在拟议领域工作的地区版权局和专业人员的参与。</w:t>
      </w:r>
    </w:p>
    <w:p w14:paraId="47DCA65B" w14:textId="77777777" w:rsidR="00B83B38" w:rsidRDefault="00330608" w:rsidP="0017322F">
      <w:pPr>
        <w:keepNext/>
        <w:overflowPunct w:val="0"/>
        <w:spacing w:afterLines="50" w:after="120" w:line="340" w:lineRule="atLeast"/>
        <w:rPr>
          <w:rFonts w:ascii="SimSun" w:hAnsi="SimSun"/>
          <w:b/>
          <w:sz w:val="21"/>
          <w:szCs w:val="22"/>
          <w:u w:val="single"/>
          <w:lang w:val="en-US"/>
        </w:rPr>
      </w:pPr>
      <w:r w:rsidRPr="004D2088">
        <w:rPr>
          <w:rFonts w:ascii="SimSun" w:hAnsi="SimSun"/>
          <w:b/>
          <w:sz w:val="21"/>
          <w:szCs w:val="22"/>
          <w:u w:val="single"/>
          <w:lang w:val="en-US"/>
        </w:rPr>
        <w:t>2024-SCCR/45</w:t>
      </w:r>
    </w:p>
    <w:p w14:paraId="0ED78D2B" w14:textId="77777777" w:rsidR="00B83B38" w:rsidRDefault="00330608"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sz w:val="21"/>
          <w:szCs w:val="22"/>
          <w:lang w:val="en-US"/>
        </w:rPr>
        <w:t>对所采取的市场做法进行研究，包括权利转让和让渡的规则，</w:t>
      </w:r>
      <w:r w:rsidR="002E6CE8" w:rsidRPr="004D2088">
        <w:rPr>
          <w:rFonts w:ascii="SimSun" w:hAnsi="SimSun" w:hint="eastAsia"/>
          <w:sz w:val="21"/>
          <w:szCs w:val="22"/>
          <w:lang w:val="en-US"/>
        </w:rPr>
        <w:t>并分析</w:t>
      </w:r>
      <w:r w:rsidR="00D96F41" w:rsidRPr="004D2088">
        <w:rPr>
          <w:rFonts w:ascii="SimSun" w:hAnsi="SimSun" w:hint="eastAsia"/>
          <w:sz w:val="21"/>
          <w:szCs w:val="22"/>
          <w:lang w:val="en-US"/>
        </w:rPr>
        <w:t>在向</w:t>
      </w:r>
      <w:r w:rsidR="002E6CE8" w:rsidRPr="004D2088">
        <w:rPr>
          <w:rFonts w:ascii="SimSun" w:hAnsi="SimSun" w:hint="eastAsia"/>
          <w:sz w:val="21"/>
          <w:szCs w:val="22"/>
          <w:lang w:val="en-US"/>
        </w:rPr>
        <w:t>使用互联网的普通公民提供和推荐内容以及</w:t>
      </w:r>
      <w:r w:rsidR="00D96F41" w:rsidRPr="004D2088">
        <w:rPr>
          <w:rFonts w:ascii="SimSun" w:hAnsi="SimSun" w:hint="eastAsia"/>
          <w:sz w:val="21"/>
          <w:szCs w:val="22"/>
          <w:lang w:val="en-US"/>
        </w:rPr>
        <w:t>在作</w:t>
      </w:r>
      <w:r w:rsidR="002E6CE8" w:rsidRPr="004D2088">
        <w:rPr>
          <w:rFonts w:ascii="SimSun" w:hAnsi="SimSun" w:hint="eastAsia"/>
          <w:sz w:val="21"/>
          <w:szCs w:val="22"/>
          <w:lang w:val="en-US"/>
        </w:rPr>
        <w:t>品</w:t>
      </w:r>
      <w:r w:rsidR="008E6139" w:rsidRPr="004D2088">
        <w:rPr>
          <w:rFonts w:ascii="SimSun" w:hAnsi="SimSun" w:hint="eastAsia"/>
          <w:sz w:val="21"/>
          <w:szCs w:val="22"/>
          <w:lang w:val="en-US"/>
        </w:rPr>
        <w:t>和</w:t>
      </w:r>
      <w:r w:rsidR="002E6CE8" w:rsidRPr="004D2088">
        <w:rPr>
          <w:rFonts w:ascii="SimSun" w:hAnsi="SimSun" w:hint="eastAsia"/>
          <w:sz w:val="21"/>
          <w:szCs w:val="22"/>
          <w:lang w:val="en-US"/>
        </w:rPr>
        <w:t>表演的报酬标准方面的透明度</w:t>
      </w:r>
      <w:r w:rsidRPr="004D2088">
        <w:rPr>
          <w:rFonts w:ascii="SimSun" w:hAnsi="SimSun"/>
          <w:sz w:val="21"/>
          <w:szCs w:val="22"/>
          <w:lang w:val="en-US"/>
        </w:rPr>
        <w:t>。</w:t>
      </w:r>
    </w:p>
    <w:p w14:paraId="494F0EEC"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2024年</w:t>
      </w:r>
      <w:r w:rsidR="008E6139" w:rsidRPr="004D2088">
        <w:rPr>
          <w:rFonts w:ascii="SimSun" w:hAnsi="SimSun"/>
          <w:sz w:val="21"/>
          <w:szCs w:val="22"/>
          <w:lang w:val="en-US"/>
        </w:rPr>
        <w:t>编制</w:t>
      </w:r>
      <w:r w:rsidRPr="004D2088">
        <w:rPr>
          <w:rFonts w:ascii="SimSun" w:hAnsi="SimSun"/>
          <w:sz w:val="21"/>
          <w:szCs w:val="22"/>
          <w:lang w:val="en-US"/>
        </w:rPr>
        <w:t>，在SCCR/46上</w:t>
      </w:r>
      <w:r w:rsidR="005F7331" w:rsidRPr="004D2088">
        <w:rPr>
          <w:rFonts w:ascii="SimSun" w:hAnsi="SimSun"/>
          <w:sz w:val="21"/>
          <w:szCs w:val="22"/>
          <w:lang w:val="en-US"/>
        </w:rPr>
        <w:t>提交报告</w:t>
      </w:r>
      <w:r w:rsidR="001F412E" w:rsidRPr="004D2088">
        <w:rPr>
          <w:rFonts w:ascii="SimSun" w:hAnsi="SimSun"/>
          <w:sz w:val="21"/>
          <w:szCs w:val="22"/>
          <w:lang w:val="en-US"/>
        </w:rPr>
        <w:t>（</w:t>
      </w:r>
      <w:r w:rsidRPr="004D2088">
        <w:rPr>
          <w:rFonts w:ascii="SimSun" w:hAnsi="SimSun"/>
          <w:sz w:val="21"/>
          <w:szCs w:val="22"/>
          <w:lang w:val="en-US"/>
        </w:rPr>
        <w:t>2025年4月</w:t>
      </w:r>
      <w:r w:rsidR="001F412E" w:rsidRPr="004D2088">
        <w:rPr>
          <w:rFonts w:ascii="SimSun" w:hAnsi="SimSun"/>
          <w:sz w:val="21"/>
          <w:szCs w:val="22"/>
          <w:lang w:val="en-US"/>
        </w:rPr>
        <w:t>）</w:t>
      </w:r>
      <w:r w:rsidR="00E36491" w:rsidRPr="004D2088">
        <w:rPr>
          <w:rFonts w:ascii="SimSun" w:hAnsi="SimSun"/>
          <w:sz w:val="21"/>
          <w:szCs w:val="22"/>
          <w:lang w:val="en-US"/>
        </w:rPr>
        <w:t>。</w:t>
      </w:r>
    </w:p>
    <w:p w14:paraId="01AED849" w14:textId="77777777" w:rsidR="00B83B38" w:rsidRDefault="005F7331"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hint="eastAsia"/>
          <w:sz w:val="21"/>
          <w:szCs w:val="22"/>
          <w:lang w:val="en-US"/>
        </w:rPr>
        <w:t>人工智能和监管方面的挑战，包括研究关于工具培训和版权之间关系的市场做法和监管解决</w:t>
      </w:r>
      <w:r w:rsidR="008F28A5" w:rsidRPr="004D2088">
        <w:rPr>
          <w:rFonts w:ascii="SimSun" w:hAnsi="SimSun" w:hint="eastAsia"/>
          <w:sz w:val="21"/>
          <w:szCs w:val="22"/>
          <w:lang w:val="en-US"/>
        </w:rPr>
        <w:t>方案</w:t>
      </w:r>
      <w:r w:rsidRPr="004D2088">
        <w:rPr>
          <w:rFonts w:ascii="SimSun" w:hAnsi="SimSun" w:hint="eastAsia"/>
          <w:sz w:val="21"/>
          <w:szCs w:val="22"/>
          <w:lang w:val="en-US"/>
        </w:rPr>
        <w:t>、授权规则和使用补偿、语音和图像权转让规则，以及讨论在成员国主管局就人工智能生成的作品进行自愿登记问题，以及为这些作品分配识别标志的重要性</w:t>
      </w:r>
      <w:r w:rsidR="00EA49BD" w:rsidRPr="004D2088">
        <w:rPr>
          <w:rFonts w:ascii="SimSun" w:hAnsi="SimSun"/>
          <w:sz w:val="21"/>
          <w:szCs w:val="22"/>
          <w:lang w:val="en-US"/>
        </w:rPr>
        <w:t>。</w:t>
      </w:r>
    </w:p>
    <w:p w14:paraId="05954D7C"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在SCCR/45</w:t>
      </w:r>
      <w:r w:rsidR="005F7331" w:rsidRPr="004D2088">
        <w:rPr>
          <w:rFonts w:ascii="SimSun" w:hAnsi="SimSun"/>
          <w:sz w:val="21"/>
          <w:szCs w:val="22"/>
          <w:lang w:val="en-US"/>
        </w:rPr>
        <w:t>上讨</w:t>
      </w:r>
      <w:r w:rsidRPr="004D2088">
        <w:rPr>
          <w:rFonts w:ascii="SimSun" w:hAnsi="SimSun"/>
          <w:sz w:val="21"/>
          <w:szCs w:val="22"/>
          <w:lang w:val="en-US"/>
        </w:rPr>
        <w:t>论（2024年4月）</w:t>
      </w:r>
      <w:r w:rsidR="005F7331" w:rsidRPr="004D2088">
        <w:rPr>
          <w:rFonts w:ascii="SimSun" w:hAnsi="SimSun"/>
          <w:sz w:val="21"/>
          <w:szCs w:val="22"/>
          <w:lang w:val="en-US"/>
        </w:rPr>
        <w:t>——</w:t>
      </w:r>
      <w:r w:rsidRPr="004D2088">
        <w:rPr>
          <w:rFonts w:ascii="SimSun" w:hAnsi="SimSun"/>
          <w:sz w:val="21"/>
          <w:szCs w:val="22"/>
          <w:lang w:val="en-US"/>
        </w:rPr>
        <w:t>2024年底完成研究</w:t>
      </w:r>
      <w:r w:rsidR="00E36491" w:rsidRPr="004D2088">
        <w:rPr>
          <w:rFonts w:ascii="SimSun" w:hAnsi="SimSun"/>
          <w:sz w:val="21"/>
          <w:szCs w:val="22"/>
          <w:lang w:val="en-US"/>
        </w:rPr>
        <w:t>。</w:t>
      </w:r>
    </w:p>
    <w:p w14:paraId="2BB0474A" w14:textId="77777777" w:rsidR="00B83B38" w:rsidRDefault="00330608" w:rsidP="0017322F">
      <w:pPr>
        <w:keepNext/>
        <w:overflowPunct w:val="0"/>
        <w:spacing w:afterLines="50" w:after="120" w:line="340" w:lineRule="atLeast"/>
        <w:rPr>
          <w:rFonts w:ascii="SimSun" w:hAnsi="SimSun"/>
          <w:b/>
          <w:sz w:val="21"/>
          <w:szCs w:val="22"/>
          <w:u w:val="single"/>
          <w:lang w:val="en-US"/>
        </w:rPr>
      </w:pPr>
      <w:r w:rsidRPr="004D2088">
        <w:rPr>
          <w:rFonts w:ascii="SimSun" w:hAnsi="SimSun"/>
          <w:b/>
          <w:sz w:val="21"/>
          <w:szCs w:val="22"/>
          <w:u w:val="single"/>
          <w:lang w:val="en-US"/>
        </w:rPr>
        <w:lastRenderedPageBreak/>
        <w:t>2025-SCCR/46</w:t>
      </w:r>
      <w:r w:rsidR="001107D3" w:rsidRPr="004D2088">
        <w:rPr>
          <w:rFonts w:ascii="SimSun" w:hAnsi="SimSun"/>
          <w:b/>
          <w:sz w:val="21"/>
          <w:szCs w:val="22"/>
          <w:u w:val="single"/>
          <w:lang w:val="en-US"/>
        </w:rPr>
        <w:t>和</w:t>
      </w:r>
      <w:r w:rsidRPr="004D2088">
        <w:rPr>
          <w:rFonts w:ascii="SimSun" w:hAnsi="SimSun"/>
          <w:b/>
          <w:sz w:val="21"/>
          <w:szCs w:val="22"/>
          <w:u w:val="single"/>
          <w:lang w:val="en-US"/>
        </w:rPr>
        <w:t>47</w:t>
      </w:r>
    </w:p>
    <w:p w14:paraId="69732F37" w14:textId="77777777" w:rsidR="00B83B38" w:rsidRDefault="005F7331"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hint="eastAsia"/>
          <w:sz w:val="21"/>
          <w:szCs w:val="22"/>
          <w:lang w:val="en-US"/>
        </w:rPr>
        <w:t>关于数字环境中作品和</w:t>
      </w:r>
      <w:r w:rsidR="008E6139" w:rsidRPr="004D2088">
        <w:rPr>
          <w:rFonts w:ascii="SimSun" w:hAnsi="SimSun" w:hint="eastAsia"/>
          <w:sz w:val="21"/>
          <w:szCs w:val="22"/>
          <w:lang w:val="en-US"/>
        </w:rPr>
        <w:t>创作</w:t>
      </w:r>
      <w:r w:rsidRPr="004D2088">
        <w:rPr>
          <w:rFonts w:ascii="SimSun" w:hAnsi="SimSun" w:hint="eastAsia"/>
          <w:sz w:val="21"/>
          <w:szCs w:val="22"/>
          <w:lang w:val="en-US"/>
        </w:rPr>
        <w:t>版权及相关权使用费收支现状的经济研究</w:t>
      </w:r>
      <w:r w:rsidRPr="004D2088">
        <w:rPr>
          <w:rFonts w:ascii="SimSun" w:hAnsi="SimSun"/>
          <w:sz w:val="21"/>
          <w:szCs w:val="22"/>
          <w:lang w:val="en-US"/>
        </w:rPr>
        <w:t>。</w:t>
      </w:r>
    </w:p>
    <w:p w14:paraId="7D7BBCC1"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2024年完成/</w:t>
      </w:r>
      <w:r w:rsidR="000A0E7E" w:rsidRPr="004D2088">
        <w:rPr>
          <w:rFonts w:ascii="SimSun" w:hAnsi="SimSun"/>
          <w:sz w:val="21"/>
          <w:szCs w:val="22"/>
          <w:lang w:val="en-US"/>
        </w:rPr>
        <w:t>在</w:t>
      </w:r>
      <w:r w:rsidRPr="004D2088">
        <w:rPr>
          <w:rFonts w:ascii="SimSun" w:hAnsi="SimSun"/>
          <w:sz w:val="21"/>
          <w:szCs w:val="22"/>
          <w:lang w:val="en-US"/>
        </w:rPr>
        <w:t>2025年4月的SCCR/46</w:t>
      </w:r>
      <w:r w:rsidR="000A0E7E" w:rsidRPr="004D2088">
        <w:rPr>
          <w:rFonts w:ascii="SimSun" w:hAnsi="SimSun"/>
          <w:sz w:val="21"/>
          <w:szCs w:val="22"/>
          <w:lang w:val="en-US"/>
        </w:rPr>
        <w:t>上</w:t>
      </w:r>
      <w:r w:rsidR="005F7331" w:rsidRPr="004D2088">
        <w:rPr>
          <w:rFonts w:ascii="SimSun" w:hAnsi="SimSun"/>
          <w:sz w:val="21"/>
          <w:szCs w:val="22"/>
          <w:lang w:val="en-US"/>
        </w:rPr>
        <w:t>提交</w:t>
      </w:r>
      <w:r w:rsidR="000A0E7E" w:rsidRPr="004D2088">
        <w:rPr>
          <w:rFonts w:ascii="SimSun" w:hAnsi="SimSun"/>
          <w:sz w:val="21"/>
          <w:szCs w:val="22"/>
          <w:lang w:val="en-US"/>
        </w:rPr>
        <w:t>研究报告</w:t>
      </w:r>
      <w:r w:rsidR="00E36491" w:rsidRPr="004D2088">
        <w:rPr>
          <w:rFonts w:ascii="SimSun" w:hAnsi="SimSun"/>
          <w:sz w:val="21"/>
          <w:szCs w:val="22"/>
          <w:lang w:val="en-US"/>
        </w:rPr>
        <w:t>。</w:t>
      </w:r>
    </w:p>
    <w:p w14:paraId="786C0BCB" w14:textId="02E7462C" w:rsidR="00395CAA" w:rsidRPr="004D2088" w:rsidRDefault="005F7331"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hint="eastAsia"/>
          <w:sz w:val="21"/>
          <w:szCs w:val="22"/>
          <w:lang w:val="en-US"/>
        </w:rPr>
        <w:t>为在数字环境中利用艺术家和创作者的作品和表演而向其提供报酬的适当方式，探讨不同的解决</w:t>
      </w:r>
      <w:r w:rsidR="008F28A5" w:rsidRPr="004D2088">
        <w:rPr>
          <w:rFonts w:ascii="SimSun" w:hAnsi="SimSun" w:hint="eastAsia"/>
          <w:sz w:val="21"/>
          <w:szCs w:val="22"/>
          <w:lang w:val="en-US"/>
        </w:rPr>
        <w:t>方案</w:t>
      </w:r>
      <w:r w:rsidRPr="004D2088">
        <w:rPr>
          <w:rFonts w:ascii="SimSun" w:hAnsi="SimSun" w:hint="eastAsia"/>
          <w:sz w:val="21"/>
          <w:szCs w:val="22"/>
          <w:lang w:val="en-US"/>
        </w:rPr>
        <w:t>和法律替代方案，以保证在数字利用之前的阶段支付权利许可和转让费</w:t>
      </w:r>
      <w:r w:rsidRPr="004D2088">
        <w:rPr>
          <w:rFonts w:ascii="SimSun" w:hAnsi="SimSun"/>
          <w:sz w:val="21"/>
          <w:szCs w:val="22"/>
          <w:lang w:val="en-US"/>
        </w:rPr>
        <w:t>。</w:t>
      </w:r>
    </w:p>
    <w:p w14:paraId="550992CA"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SCCR/46</w:t>
      </w:r>
      <w:r w:rsidR="00F22989" w:rsidRPr="004D2088">
        <w:rPr>
          <w:rFonts w:ascii="SimSun" w:hAnsi="SimSun"/>
          <w:sz w:val="21"/>
          <w:szCs w:val="22"/>
          <w:lang w:val="en-US"/>
        </w:rPr>
        <w:t>，</w:t>
      </w:r>
      <w:r w:rsidRPr="004D2088">
        <w:rPr>
          <w:rFonts w:ascii="SimSun" w:hAnsi="SimSun"/>
          <w:sz w:val="21"/>
          <w:szCs w:val="22"/>
          <w:lang w:val="en-US"/>
        </w:rPr>
        <w:t>2025年</w:t>
      </w:r>
      <w:r w:rsidR="00D50E16" w:rsidRPr="004D2088">
        <w:rPr>
          <w:rFonts w:ascii="SimSun" w:hAnsi="SimSun"/>
          <w:sz w:val="21"/>
          <w:szCs w:val="22"/>
          <w:lang w:val="en-US"/>
        </w:rPr>
        <w:t>4月</w:t>
      </w:r>
    </w:p>
    <w:p w14:paraId="24119C99" w14:textId="77777777" w:rsidR="00B83B38" w:rsidRDefault="00330608"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sz w:val="21"/>
          <w:szCs w:val="22"/>
          <w:lang w:val="en-US"/>
        </w:rPr>
        <w:t>审查和评估国家、地区</w:t>
      </w:r>
      <w:r w:rsidR="000A0E7E" w:rsidRPr="004D2088">
        <w:rPr>
          <w:rFonts w:ascii="SimSun" w:hAnsi="SimSun"/>
          <w:sz w:val="21"/>
          <w:szCs w:val="22"/>
          <w:lang w:val="en-US"/>
        </w:rPr>
        <w:t>和</w:t>
      </w:r>
      <w:r w:rsidRPr="004D2088">
        <w:rPr>
          <w:rFonts w:ascii="SimSun" w:hAnsi="SimSun"/>
          <w:sz w:val="21"/>
          <w:szCs w:val="22"/>
          <w:lang w:val="en-US"/>
        </w:rPr>
        <w:t>国际</w:t>
      </w:r>
      <w:r w:rsidR="00F22989" w:rsidRPr="004D2088">
        <w:rPr>
          <w:rFonts w:ascii="SimSun" w:hAnsi="SimSun"/>
          <w:sz w:val="21"/>
          <w:szCs w:val="22"/>
          <w:lang w:val="en-US"/>
        </w:rPr>
        <w:t>层面</w:t>
      </w:r>
      <w:r w:rsidR="005F7331" w:rsidRPr="004D2088">
        <w:rPr>
          <w:rFonts w:ascii="SimSun" w:hAnsi="SimSun" w:hint="eastAsia"/>
          <w:sz w:val="21"/>
          <w:szCs w:val="22"/>
          <w:lang w:val="en-US"/>
        </w:rPr>
        <w:t>关于数字环境中任何类型作品权利问题的解决方案，</w:t>
      </w:r>
      <w:r w:rsidRPr="004D2088">
        <w:rPr>
          <w:rFonts w:ascii="SimSun" w:hAnsi="SimSun"/>
          <w:sz w:val="21"/>
          <w:szCs w:val="22"/>
          <w:lang w:val="en-US"/>
        </w:rPr>
        <w:t>包括</w:t>
      </w:r>
      <w:r w:rsidR="005F7331" w:rsidRPr="004D2088">
        <w:rPr>
          <w:rFonts w:ascii="SimSun" w:hAnsi="SimSun"/>
          <w:sz w:val="21"/>
          <w:szCs w:val="22"/>
          <w:lang w:val="en-US"/>
        </w:rPr>
        <w:t>关于</w:t>
      </w:r>
      <w:r w:rsidRPr="004D2088">
        <w:rPr>
          <w:rFonts w:ascii="SimSun" w:hAnsi="SimSun"/>
          <w:sz w:val="21"/>
          <w:szCs w:val="22"/>
          <w:lang w:val="en-US"/>
        </w:rPr>
        <w:t>公平报酬权</w:t>
      </w:r>
      <w:r w:rsidR="00F22989" w:rsidRPr="004D2088">
        <w:rPr>
          <w:rFonts w:ascii="SimSun" w:hAnsi="SimSun"/>
          <w:sz w:val="21"/>
          <w:szCs w:val="22"/>
          <w:lang w:val="en-US"/>
        </w:rPr>
        <w:t>以</w:t>
      </w:r>
      <w:r w:rsidR="000A0E7E" w:rsidRPr="004D2088">
        <w:rPr>
          <w:rFonts w:ascii="SimSun" w:hAnsi="SimSun"/>
          <w:sz w:val="21"/>
          <w:szCs w:val="22"/>
          <w:lang w:val="en-US"/>
        </w:rPr>
        <w:t>及</w:t>
      </w:r>
      <w:r w:rsidR="0046360C" w:rsidRPr="004D2088">
        <w:rPr>
          <w:rFonts w:ascii="SimSun" w:hAnsi="SimSun"/>
          <w:sz w:val="21"/>
          <w:szCs w:val="22"/>
          <w:lang w:val="en-US"/>
        </w:rPr>
        <w:t>报酬</w:t>
      </w:r>
      <w:r w:rsidRPr="004D2088">
        <w:rPr>
          <w:rFonts w:ascii="SimSun" w:hAnsi="SimSun"/>
          <w:sz w:val="21"/>
          <w:szCs w:val="22"/>
          <w:lang w:val="en-US"/>
        </w:rPr>
        <w:t>收取和分配的规定。</w:t>
      </w:r>
    </w:p>
    <w:p w14:paraId="76FD0915"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SCCR/46</w:t>
      </w:r>
      <w:r w:rsidR="00F22989" w:rsidRPr="004D2088">
        <w:rPr>
          <w:rFonts w:ascii="SimSun" w:hAnsi="SimSun"/>
          <w:sz w:val="21"/>
          <w:szCs w:val="22"/>
          <w:lang w:val="en-US"/>
        </w:rPr>
        <w:t>，</w:t>
      </w:r>
      <w:r w:rsidRPr="004D2088">
        <w:rPr>
          <w:rFonts w:ascii="SimSun" w:hAnsi="SimSun"/>
          <w:sz w:val="21"/>
          <w:szCs w:val="22"/>
          <w:lang w:val="en-US"/>
        </w:rPr>
        <w:t>2025年</w:t>
      </w:r>
      <w:r w:rsidR="006D6D6D" w:rsidRPr="004D2088">
        <w:rPr>
          <w:rFonts w:ascii="SimSun" w:hAnsi="SimSun"/>
          <w:sz w:val="21"/>
          <w:szCs w:val="22"/>
          <w:lang w:val="en-US"/>
        </w:rPr>
        <w:t>4月</w:t>
      </w:r>
    </w:p>
    <w:p w14:paraId="4996F697" w14:textId="77777777" w:rsidR="00B83B38" w:rsidRDefault="005F7331"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hint="eastAsia"/>
          <w:sz w:val="21"/>
          <w:szCs w:val="22"/>
          <w:lang w:val="en-US"/>
        </w:rPr>
        <w:t>由于谈判关系的不对</w:t>
      </w:r>
      <w:r w:rsidR="00F22989" w:rsidRPr="004D2088">
        <w:rPr>
          <w:rFonts w:ascii="SimSun" w:hAnsi="SimSun" w:hint="eastAsia"/>
          <w:sz w:val="21"/>
          <w:szCs w:val="22"/>
          <w:lang w:val="en-US"/>
        </w:rPr>
        <w:t>等</w:t>
      </w:r>
      <w:r w:rsidRPr="004D2088">
        <w:rPr>
          <w:rFonts w:ascii="SimSun" w:hAnsi="SimSun" w:hint="eastAsia"/>
          <w:sz w:val="21"/>
          <w:szCs w:val="22"/>
          <w:lang w:val="en-US"/>
        </w:rPr>
        <w:t>，在创作者和表演者与平台、内容聚合商和整个行业之间的谈判中</w:t>
      </w:r>
      <w:r w:rsidR="001B5019" w:rsidRPr="004D2088">
        <w:rPr>
          <w:rFonts w:ascii="SimSun" w:hAnsi="SimSun" w:hint="eastAsia"/>
          <w:sz w:val="21"/>
          <w:szCs w:val="22"/>
          <w:lang w:val="en-US"/>
        </w:rPr>
        <w:t>设</w:t>
      </w:r>
      <w:r w:rsidRPr="004D2088">
        <w:rPr>
          <w:rFonts w:ascii="SimSun" w:hAnsi="SimSun" w:hint="eastAsia"/>
          <w:sz w:val="21"/>
          <w:szCs w:val="22"/>
          <w:lang w:val="en-US"/>
        </w:rPr>
        <w:t>立最低保障。</w:t>
      </w:r>
      <w:r w:rsidR="00903082" w:rsidRPr="004D2088">
        <w:rPr>
          <w:rFonts w:ascii="SimSun" w:hAnsi="SimSun" w:hint="eastAsia"/>
          <w:sz w:val="21"/>
          <w:szCs w:val="22"/>
          <w:lang w:val="en-US"/>
        </w:rPr>
        <w:t>开展案例研究和国际比较以</w:t>
      </w:r>
      <w:r w:rsidRPr="004D2088">
        <w:rPr>
          <w:rFonts w:ascii="SimSun" w:hAnsi="SimSun" w:hint="eastAsia"/>
          <w:sz w:val="21"/>
          <w:szCs w:val="22"/>
          <w:lang w:val="en-US"/>
        </w:rPr>
        <w:t>分析不同</w:t>
      </w:r>
      <w:r w:rsidR="00903082" w:rsidRPr="004D2088">
        <w:rPr>
          <w:rFonts w:ascii="SimSun" w:hAnsi="SimSun" w:hint="eastAsia"/>
          <w:sz w:val="21"/>
          <w:szCs w:val="22"/>
          <w:lang w:val="en-US"/>
        </w:rPr>
        <w:t>的</w:t>
      </w:r>
      <w:r w:rsidRPr="004D2088">
        <w:rPr>
          <w:rFonts w:ascii="SimSun" w:hAnsi="SimSun" w:hint="eastAsia"/>
          <w:sz w:val="21"/>
          <w:szCs w:val="22"/>
          <w:lang w:val="en-US"/>
        </w:rPr>
        <w:t>保护模式。建立机制，确保在合同不利时可以重新谈判</w:t>
      </w:r>
      <w:r w:rsidR="000A0E7E" w:rsidRPr="004D2088">
        <w:rPr>
          <w:rFonts w:ascii="SimSun" w:hAnsi="SimSun"/>
          <w:color w:val="000000" w:themeColor="text1"/>
          <w:sz w:val="21"/>
          <w:lang w:val="en-US"/>
        </w:rPr>
        <w:t>。</w:t>
      </w:r>
    </w:p>
    <w:p w14:paraId="00C1D10A"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SCCR/47</w:t>
      </w:r>
      <w:r w:rsidR="00F22989" w:rsidRPr="004D2088">
        <w:rPr>
          <w:rFonts w:ascii="SimSun" w:hAnsi="SimSun"/>
          <w:sz w:val="21"/>
          <w:szCs w:val="22"/>
          <w:lang w:val="en-US"/>
        </w:rPr>
        <w:t>，</w:t>
      </w:r>
      <w:r w:rsidRPr="004D2088">
        <w:rPr>
          <w:rFonts w:ascii="SimSun" w:hAnsi="SimSun"/>
          <w:sz w:val="21"/>
          <w:szCs w:val="22"/>
          <w:lang w:val="en-US"/>
        </w:rPr>
        <w:t>2025年</w:t>
      </w:r>
      <w:r w:rsidR="00CD50BB" w:rsidRPr="004D2088">
        <w:rPr>
          <w:rFonts w:ascii="SimSun" w:hAnsi="SimSun"/>
          <w:sz w:val="21"/>
          <w:szCs w:val="22"/>
          <w:lang w:val="en-US"/>
        </w:rPr>
        <w:t>11月</w:t>
      </w:r>
    </w:p>
    <w:p w14:paraId="26E15F65" w14:textId="77777777" w:rsidR="00B83B38" w:rsidRDefault="0046360C"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hint="eastAsia"/>
          <w:sz w:val="21"/>
          <w:szCs w:val="22"/>
          <w:lang w:val="en-US"/>
        </w:rPr>
        <w:t>评估是否有可能</w:t>
      </w:r>
      <w:r w:rsidR="00F22989" w:rsidRPr="004D2088">
        <w:rPr>
          <w:rFonts w:ascii="SimSun" w:hAnsi="SimSun" w:hint="eastAsia"/>
          <w:sz w:val="21"/>
          <w:szCs w:val="22"/>
          <w:lang w:val="en-US"/>
        </w:rPr>
        <w:t>就</w:t>
      </w:r>
      <w:r w:rsidRPr="004D2088">
        <w:rPr>
          <w:rFonts w:ascii="SimSun" w:hAnsi="SimSun" w:hint="eastAsia"/>
          <w:sz w:val="21"/>
          <w:szCs w:val="22"/>
          <w:lang w:val="en-US"/>
        </w:rPr>
        <w:t>建立一个</w:t>
      </w:r>
      <w:r w:rsidR="00F22989" w:rsidRPr="004D2088">
        <w:rPr>
          <w:rFonts w:ascii="SimSun" w:hAnsi="SimSun" w:hint="eastAsia"/>
          <w:sz w:val="21"/>
          <w:szCs w:val="22"/>
          <w:lang w:val="en-US"/>
        </w:rPr>
        <w:t>有关</w:t>
      </w:r>
      <w:r w:rsidRPr="004D2088">
        <w:rPr>
          <w:rFonts w:ascii="SimSun" w:hAnsi="SimSun" w:hint="eastAsia"/>
          <w:sz w:val="21"/>
          <w:szCs w:val="22"/>
          <w:lang w:val="en-US"/>
        </w:rPr>
        <w:t>数字环境中版权及相关权公平报酬权的国际法律框架的必要性</w:t>
      </w:r>
      <w:r w:rsidR="00F22989" w:rsidRPr="004D2088">
        <w:rPr>
          <w:rFonts w:ascii="SimSun" w:hAnsi="SimSun" w:hint="eastAsia"/>
          <w:sz w:val="21"/>
          <w:szCs w:val="22"/>
          <w:lang w:val="en-US"/>
        </w:rPr>
        <w:t>展开讨论</w:t>
      </w:r>
      <w:r w:rsidRPr="004D2088">
        <w:rPr>
          <w:rFonts w:ascii="SimSun" w:hAnsi="SimSun" w:hint="eastAsia"/>
          <w:sz w:val="21"/>
          <w:szCs w:val="22"/>
          <w:lang w:val="en-US"/>
        </w:rPr>
        <w:t>，但不预先判断其性质。</w:t>
      </w:r>
    </w:p>
    <w:p w14:paraId="62033D1B" w14:textId="77777777" w:rsidR="00B83B38" w:rsidRDefault="00330608"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sz w:val="21"/>
          <w:szCs w:val="22"/>
          <w:lang w:val="en-US"/>
        </w:rPr>
        <w:t>研究和制定在数字环境中使用技术手段保护作品的实用指南。</w:t>
      </w:r>
    </w:p>
    <w:p w14:paraId="4EFBAAF1" w14:textId="77777777" w:rsidR="00B83B38" w:rsidRDefault="00330608" w:rsidP="0017322F">
      <w:pPr>
        <w:numPr>
          <w:ilvl w:val="0"/>
          <w:numId w:val="8"/>
        </w:numPr>
        <w:overflowPunct w:val="0"/>
        <w:spacing w:afterLines="50" w:after="120" w:line="340" w:lineRule="atLeast"/>
        <w:ind w:leftChars="200" w:left="797" w:hanging="357"/>
        <w:jc w:val="both"/>
        <w:rPr>
          <w:rFonts w:ascii="SimSun" w:hAnsi="SimSun"/>
          <w:sz w:val="21"/>
          <w:szCs w:val="22"/>
          <w:lang w:val="en-US"/>
        </w:rPr>
      </w:pPr>
      <w:r w:rsidRPr="004D2088">
        <w:rPr>
          <w:rFonts w:ascii="SimSun" w:hAnsi="SimSun"/>
          <w:sz w:val="21"/>
          <w:szCs w:val="22"/>
          <w:lang w:val="en-US"/>
        </w:rPr>
        <w:t>促进</w:t>
      </w:r>
      <w:r w:rsidR="0046360C" w:rsidRPr="004D2088">
        <w:rPr>
          <w:rFonts w:ascii="SimSun" w:hAnsi="SimSun"/>
          <w:sz w:val="21"/>
          <w:szCs w:val="22"/>
          <w:lang w:val="en-US"/>
        </w:rPr>
        <w:t>关于</w:t>
      </w:r>
      <w:r w:rsidRPr="004D2088">
        <w:rPr>
          <w:rFonts w:ascii="SimSun" w:hAnsi="SimSun"/>
          <w:sz w:val="21"/>
          <w:szCs w:val="22"/>
          <w:lang w:val="en-US"/>
        </w:rPr>
        <w:t>数字市场中音像作品和视觉艺术的监管和保护的研究。</w:t>
      </w:r>
    </w:p>
    <w:p w14:paraId="673F7C46" w14:textId="77777777" w:rsidR="00B83B38" w:rsidRDefault="00330608" w:rsidP="000073CC">
      <w:pPr>
        <w:numPr>
          <w:ilvl w:val="2"/>
          <w:numId w:val="8"/>
        </w:numPr>
        <w:overflowPunct w:val="0"/>
        <w:spacing w:afterLines="50" w:after="120" w:line="340" w:lineRule="atLeast"/>
        <w:ind w:left="2239" w:hanging="442"/>
        <w:rPr>
          <w:rFonts w:ascii="SimSun" w:hAnsi="SimSun"/>
          <w:sz w:val="21"/>
          <w:szCs w:val="22"/>
          <w:lang w:val="en-US"/>
        </w:rPr>
      </w:pPr>
      <w:r w:rsidRPr="004D2088">
        <w:rPr>
          <w:rFonts w:ascii="SimSun" w:hAnsi="SimSun"/>
          <w:sz w:val="21"/>
          <w:szCs w:val="22"/>
          <w:lang w:val="en-US"/>
        </w:rPr>
        <w:t>SCCR/47</w:t>
      </w:r>
      <w:r w:rsidR="00F22989" w:rsidRPr="004D2088">
        <w:rPr>
          <w:rFonts w:ascii="SimSun" w:hAnsi="SimSun"/>
          <w:sz w:val="21"/>
          <w:szCs w:val="22"/>
          <w:lang w:val="en-US"/>
        </w:rPr>
        <w:t>，</w:t>
      </w:r>
      <w:r w:rsidRPr="004D2088">
        <w:rPr>
          <w:rFonts w:ascii="SimSun" w:hAnsi="SimSun"/>
          <w:sz w:val="21"/>
          <w:szCs w:val="22"/>
          <w:lang w:val="en-US"/>
        </w:rPr>
        <w:t>2025年</w:t>
      </w:r>
      <w:r w:rsidR="00C00074" w:rsidRPr="004D2088">
        <w:rPr>
          <w:rFonts w:ascii="SimSun" w:hAnsi="SimSun"/>
          <w:sz w:val="21"/>
          <w:szCs w:val="22"/>
          <w:lang w:val="en-US"/>
        </w:rPr>
        <w:t>11月</w:t>
      </w:r>
    </w:p>
    <w:p w14:paraId="642767E8" w14:textId="5458ECC1" w:rsidR="00395CAA" w:rsidRPr="000073CC" w:rsidRDefault="00330608" w:rsidP="000073CC">
      <w:pPr>
        <w:overflowPunct w:val="0"/>
        <w:spacing w:before="720" w:afterLines="50" w:after="120" w:line="340" w:lineRule="atLeast"/>
        <w:ind w:left="5534"/>
        <w:rPr>
          <w:rFonts w:ascii="KaiTi" w:eastAsia="KaiTi" w:hAnsi="KaiTi"/>
          <w:sz w:val="21"/>
          <w:szCs w:val="22"/>
          <w:lang w:val="en-US"/>
        </w:rPr>
      </w:pPr>
      <w:r w:rsidRPr="000073CC">
        <w:rPr>
          <w:rFonts w:ascii="KaiTi" w:eastAsia="KaiTi" w:hAnsi="KaiTi"/>
          <w:sz w:val="21"/>
          <w:lang w:val="en-US"/>
        </w:rPr>
        <w:t>[文件</w:t>
      </w:r>
      <w:r w:rsidR="004D2088" w:rsidRPr="000073CC">
        <w:rPr>
          <w:rFonts w:ascii="KaiTi" w:eastAsia="KaiTi" w:hAnsi="KaiTi" w:hint="eastAsia"/>
          <w:sz w:val="21"/>
          <w:lang w:val="en-US"/>
        </w:rPr>
        <w:t>完</w:t>
      </w:r>
      <w:r w:rsidRPr="000073CC">
        <w:rPr>
          <w:rFonts w:ascii="KaiTi" w:eastAsia="KaiTi" w:hAnsi="KaiTi"/>
          <w:sz w:val="21"/>
          <w:lang w:val="en-US"/>
        </w:rPr>
        <w:t>]</w:t>
      </w:r>
    </w:p>
    <w:sectPr w:rsidR="00395CAA" w:rsidRPr="000073CC" w:rsidSect="00182D1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C524" w14:textId="77777777" w:rsidR="008A61A0" w:rsidRDefault="008A61A0">
      <w:r>
        <w:separator/>
      </w:r>
    </w:p>
  </w:endnote>
  <w:endnote w:type="continuationSeparator" w:id="0">
    <w:p w14:paraId="3FF76050" w14:textId="77777777" w:rsidR="008A61A0" w:rsidRPr="009D30E6" w:rsidRDefault="008A61A0" w:rsidP="007E663E">
      <w:pPr>
        <w:rPr>
          <w:sz w:val="17"/>
          <w:szCs w:val="17"/>
        </w:rPr>
      </w:pPr>
      <w:r w:rsidRPr="009D30E6">
        <w:rPr>
          <w:sz w:val="17"/>
          <w:szCs w:val="17"/>
        </w:rPr>
        <w:separator/>
      </w:r>
    </w:p>
    <w:p w14:paraId="1036A4FF" w14:textId="77777777" w:rsidR="008A61A0" w:rsidRDefault="008A61A0">
      <w:pPr>
        <w:spacing w:after="60"/>
        <w:rPr>
          <w:sz w:val="17"/>
          <w:szCs w:val="17"/>
        </w:rPr>
      </w:pPr>
      <w:r>
        <w:rPr>
          <w:sz w:val="17"/>
        </w:rPr>
        <w:t>[</w:t>
      </w:r>
      <w:r>
        <w:rPr>
          <w:sz w:val="17"/>
        </w:rPr>
        <w:t>接上页注释</w:t>
      </w:r>
      <w:r>
        <w:rPr>
          <w:sz w:val="17"/>
        </w:rPr>
        <w:t>]</w:t>
      </w:r>
    </w:p>
  </w:endnote>
  <w:endnote w:type="continuationNotice" w:id="1">
    <w:p w14:paraId="7B6ED760" w14:textId="77777777" w:rsidR="008A61A0" w:rsidRDefault="008A61A0">
      <w:pPr>
        <w:spacing w:before="60"/>
        <w:jc w:val="right"/>
        <w:rPr>
          <w:sz w:val="17"/>
          <w:szCs w:val="17"/>
        </w:rPr>
      </w:pPr>
      <w:r w:rsidRPr="0075377A">
        <w:rPr>
          <w:sz w:val="17"/>
          <w:szCs w:val="17"/>
        </w:rPr>
        <w:t>[</w:t>
      </w:r>
      <w:r w:rsidRPr="0075377A">
        <w:rPr>
          <w:sz w:val="17"/>
          <w:szCs w:val="17"/>
        </w:rPr>
        <w:t>请在</w:t>
      </w:r>
      <w:r>
        <w:rPr>
          <w:sz w:val="17"/>
          <w:szCs w:val="17"/>
        </w:rPr>
        <w:t>下</w:t>
      </w:r>
      <w:r w:rsidRPr="0075377A">
        <w:rPr>
          <w:sz w:val="17"/>
          <w:szCs w:val="17"/>
        </w:rPr>
        <w:t>一页查看注意事项</w:t>
      </w:r>
      <w:r>
        <w:rPr>
          <w:sz w:val="17"/>
          <w:szCs w:val="17"/>
        </w:rPr>
        <w:t>]</w:t>
      </w:r>
      <w:r w:rsidRPr="0075377A">
        <w:rPr>
          <w:sz w:val="17"/>
          <w:szCs w:val="17"/>
        </w:rPr>
        <w:t xml:space="preserve"> [Sigue la nota en la página </w:t>
      </w:r>
      <w:r>
        <w:rPr>
          <w:sz w:val="17"/>
          <w:szCs w:val="17"/>
        </w:rPr>
        <w:t xml:space="preserve">siguiente] </w:t>
      </w:r>
      <w:r>
        <w:rPr>
          <w:sz w:val="17"/>
          <w:szCs w:val="17"/>
        </w:rPr>
        <w:t>（请在下</w:t>
      </w:r>
      <w:r w:rsidRPr="0075377A">
        <w:rPr>
          <w:sz w:val="17"/>
          <w:szCs w:val="17"/>
        </w:rPr>
        <w:t>一页查看注意事项）。</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BF4A" w14:textId="77777777" w:rsidR="00A71A8C" w:rsidRDefault="00A71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0A40" w14:textId="77777777" w:rsidR="00A71A8C" w:rsidRDefault="00A71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E2DD" w14:textId="77777777" w:rsidR="00A71A8C" w:rsidRDefault="00A71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B1C3" w14:textId="77777777" w:rsidR="008A61A0" w:rsidRDefault="008A61A0">
      <w:r>
        <w:separator/>
      </w:r>
    </w:p>
  </w:footnote>
  <w:footnote w:type="continuationSeparator" w:id="0">
    <w:p w14:paraId="7285A6FE" w14:textId="77777777" w:rsidR="008A61A0" w:rsidRPr="009D30E6" w:rsidRDefault="008A61A0" w:rsidP="007E663E">
      <w:pPr>
        <w:rPr>
          <w:sz w:val="17"/>
          <w:szCs w:val="17"/>
        </w:rPr>
      </w:pPr>
      <w:r w:rsidRPr="009D30E6">
        <w:rPr>
          <w:sz w:val="17"/>
          <w:szCs w:val="17"/>
        </w:rPr>
        <w:separator/>
      </w:r>
    </w:p>
    <w:p w14:paraId="0C6447DA" w14:textId="77777777" w:rsidR="008A61A0" w:rsidRDefault="008A61A0">
      <w:pPr>
        <w:spacing w:after="60"/>
        <w:rPr>
          <w:sz w:val="17"/>
          <w:szCs w:val="17"/>
        </w:rPr>
      </w:pPr>
      <w:r>
        <w:rPr>
          <w:sz w:val="17"/>
        </w:rPr>
        <w:t>[</w:t>
      </w:r>
      <w:r>
        <w:rPr>
          <w:sz w:val="17"/>
        </w:rPr>
        <w:t>接上页注释</w:t>
      </w:r>
      <w:r>
        <w:rPr>
          <w:sz w:val="17"/>
        </w:rPr>
        <w:t>]</w:t>
      </w:r>
    </w:p>
  </w:footnote>
  <w:footnote w:type="continuationNotice" w:id="1">
    <w:p w14:paraId="725AC18D" w14:textId="77777777" w:rsidR="008A61A0" w:rsidRDefault="008A61A0">
      <w:pPr>
        <w:spacing w:before="60"/>
        <w:jc w:val="right"/>
        <w:rPr>
          <w:sz w:val="17"/>
          <w:szCs w:val="17"/>
        </w:rPr>
      </w:pPr>
      <w:r w:rsidRPr="007E663E">
        <w:rPr>
          <w:sz w:val="17"/>
          <w:szCs w:val="17"/>
        </w:rPr>
        <w:t>[</w:t>
      </w:r>
      <w:r w:rsidRPr="007E663E">
        <w:rPr>
          <w:sz w:val="17"/>
          <w:szCs w:val="17"/>
        </w:rPr>
        <w:t>请在下一页查看注意事项</w:t>
      </w:r>
      <w:r w:rsidRPr="007E663E">
        <w:rPr>
          <w:sz w:val="17"/>
          <w:szCs w:val="17"/>
        </w:rPr>
        <w:t xml:space="preserve">] [Sigue la nota en la página siguiente] </w:t>
      </w:r>
      <w:r w:rsidRPr="007E663E">
        <w:rPr>
          <w:sz w:val="17"/>
          <w:szCs w:val="17"/>
        </w:rPr>
        <w:t>（请在下一页查看注意事项）。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E205" w14:textId="77777777" w:rsidR="00A71A8C" w:rsidRDefault="00A71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946C" w14:textId="77777777" w:rsidR="00395CAA" w:rsidRPr="004D2088" w:rsidRDefault="000425D8">
    <w:pPr>
      <w:jc w:val="right"/>
      <w:rPr>
        <w:rFonts w:ascii="SimSun" w:hAnsi="SimSun"/>
        <w:sz w:val="21"/>
      </w:rPr>
    </w:pPr>
    <w:bookmarkStart w:id="6" w:name="Code2"/>
    <w:bookmarkEnd w:id="6"/>
    <w:r w:rsidRPr="004D2088">
      <w:rPr>
        <w:rFonts w:ascii="SimSun" w:hAnsi="SimSun"/>
        <w:sz w:val="21"/>
      </w:rPr>
      <w:t>SCCR/45/4</w:t>
    </w:r>
  </w:p>
  <w:p w14:paraId="31C1C676" w14:textId="055F498B" w:rsidR="004F7418" w:rsidRPr="004D2088" w:rsidRDefault="004D2088" w:rsidP="00B83B38">
    <w:pPr>
      <w:spacing w:afterLines="100" w:after="240"/>
      <w:jc w:val="right"/>
      <w:rPr>
        <w:rFonts w:ascii="SimSun" w:hAnsi="SimSun"/>
        <w:sz w:val="21"/>
      </w:rPr>
    </w:pPr>
    <w:r w:rsidRPr="004D2088">
      <w:rPr>
        <w:rFonts w:ascii="SimSun" w:hAnsi="SimSun" w:hint="eastAsia"/>
        <w:sz w:val="21"/>
      </w:rPr>
      <w:t>第</w:t>
    </w:r>
    <w:r w:rsidR="00330608" w:rsidRPr="004D2088">
      <w:rPr>
        <w:rFonts w:ascii="SimSun" w:hAnsi="SimSun"/>
        <w:sz w:val="21"/>
      </w:rPr>
      <w:fldChar w:fldCharType="begin"/>
    </w:r>
    <w:r w:rsidR="00330608" w:rsidRPr="004D2088">
      <w:rPr>
        <w:rFonts w:ascii="SimSun" w:hAnsi="SimSun"/>
        <w:sz w:val="21"/>
      </w:rPr>
      <w:instrText xml:space="preserve"> PAGE  \* MERGEFORMAT </w:instrText>
    </w:r>
    <w:r w:rsidR="00330608" w:rsidRPr="004D2088">
      <w:rPr>
        <w:rFonts w:ascii="SimSun" w:hAnsi="SimSun"/>
        <w:sz w:val="21"/>
      </w:rPr>
      <w:fldChar w:fldCharType="separate"/>
    </w:r>
    <w:r w:rsidR="008B14EA" w:rsidRPr="004D2088">
      <w:rPr>
        <w:rFonts w:ascii="SimSun" w:hAnsi="SimSun"/>
        <w:noProof/>
        <w:sz w:val="21"/>
      </w:rPr>
      <w:t>2</w:t>
    </w:r>
    <w:r w:rsidR="00330608" w:rsidRPr="004D2088">
      <w:rPr>
        <w:rFonts w:ascii="SimSun" w:hAnsi="SimSun"/>
        <w:sz w:val="21"/>
      </w:rPr>
      <w:fldChar w:fldCharType="end"/>
    </w:r>
    <w:r w:rsidRPr="004D208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1AAE" w14:textId="77777777" w:rsidR="00A71A8C" w:rsidRDefault="00A71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91215"/>
    <w:multiLevelType w:val="multilevel"/>
    <w:tmpl w:val="E0FA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4801D4"/>
    <w:multiLevelType w:val="multilevel"/>
    <w:tmpl w:val="14346EC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240" w:hanging="44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092050"/>
    <w:multiLevelType w:val="hybridMultilevel"/>
    <w:tmpl w:val="CAA6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D66C77"/>
    <w:multiLevelType w:val="multilevel"/>
    <w:tmpl w:val="A826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343D02"/>
    <w:multiLevelType w:val="hybridMultilevel"/>
    <w:tmpl w:val="E9B8C07A"/>
    <w:lvl w:ilvl="0" w:tplc="7F66D112">
      <w:start w:val="1"/>
      <w:numFmt w:val="bullet"/>
      <w:lvlText w:val=""/>
      <w:lvlJc w:val="left"/>
      <w:pPr>
        <w:ind w:left="720" w:hanging="360"/>
      </w:pPr>
      <w:rPr>
        <w:rFonts w:ascii="Symbol" w:hAnsi="Symbol" w:hint="default"/>
      </w:rPr>
    </w:lvl>
    <w:lvl w:ilvl="1" w:tplc="4536B51A">
      <w:start w:val="1"/>
      <w:numFmt w:val="bullet"/>
      <w:lvlText w:val="o"/>
      <w:lvlJc w:val="left"/>
      <w:pPr>
        <w:ind w:left="1440" w:hanging="360"/>
      </w:pPr>
      <w:rPr>
        <w:rFonts w:ascii="Courier New" w:hAnsi="Courier New" w:hint="default"/>
      </w:rPr>
    </w:lvl>
    <w:lvl w:ilvl="2" w:tplc="4E1E5F9A">
      <w:start w:val="1"/>
      <w:numFmt w:val="bullet"/>
      <w:lvlText w:val=""/>
      <w:lvlJc w:val="left"/>
      <w:pPr>
        <w:ind w:left="2160" w:hanging="360"/>
      </w:pPr>
      <w:rPr>
        <w:rFonts w:ascii="Wingdings" w:hAnsi="Wingdings" w:hint="default"/>
      </w:rPr>
    </w:lvl>
    <w:lvl w:ilvl="3" w:tplc="ECF046A8">
      <w:start w:val="1"/>
      <w:numFmt w:val="bullet"/>
      <w:lvlText w:val=""/>
      <w:lvlJc w:val="left"/>
      <w:pPr>
        <w:ind w:left="2880" w:hanging="360"/>
      </w:pPr>
      <w:rPr>
        <w:rFonts w:ascii="Symbol" w:hAnsi="Symbol" w:hint="default"/>
      </w:rPr>
    </w:lvl>
    <w:lvl w:ilvl="4" w:tplc="30FE0020">
      <w:start w:val="1"/>
      <w:numFmt w:val="bullet"/>
      <w:lvlText w:val="o"/>
      <w:lvlJc w:val="left"/>
      <w:pPr>
        <w:ind w:left="3600" w:hanging="360"/>
      </w:pPr>
      <w:rPr>
        <w:rFonts w:ascii="Courier New" w:hAnsi="Courier New" w:hint="default"/>
      </w:rPr>
    </w:lvl>
    <w:lvl w:ilvl="5" w:tplc="4DC4E51A">
      <w:start w:val="1"/>
      <w:numFmt w:val="bullet"/>
      <w:lvlText w:val=""/>
      <w:lvlJc w:val="left"/>
      <w:pPr>
        <w:ind w:left="4320" w:hanging="360"/>
      </w:pPr>
      <w:rPr>
        <w:rFonts w:ascii="Wingdings" w:hAnsi="Wingdings" w:hint="default"/>
      </w:rPr>
    </w:lvl>
    <w:lvl w:ilvl="6" w:tplc="B01CA47A">
      <w:start w:val="1"/>
      <w:numFmt w:val="bullet"/>
      <w:lvlText w:val=""/>
      <w:lvlJc w:val="left"/>
      <w:pPr>
        <w:ind w:left="5040" w:hanging="360"/>
      </w:pPr>
      <w:rPr>
        <w:rFonts w:ascii="Symbol" w:hAnsi="Symbol" w:hint="default"/>
      </w:rPr>
    </w:lvl>
    <w:lvl w:ilvl="7" w:tplc="8A72AB3A">
      <w:start w:val="1"/>
      <w:numFmt w:val="bullet"/>
      <w:lvlText w:val="o"/>
      <w:lvlJc w:val="left"/>
      <w:pPr>
        <w:ind w:left="5760" w:hanging="360"/>
      </w:pPr>
      <w:rPr>
        <w:rFonts w:ascii="Courier New" w:hAnsi="Courier New" w:hint="default"/>
      </w:rPr>
    </w:lvl>
    <w:lvl w:ilvl="8" w:tplc="837CBAE4">
      <w:start w:val="1"/>
      <w:numFmt w:val="bullet"/>
      <w:lvlText w:val=""/>
      <w:lvlJc w:val="left"/>
      <w:pPr>
        <w:ind w:left="6480" w:hanging="360"/>
      </w:pPr>
      <w:rPr>
        <w:rFonts w:ascii="Wingdings" w:hAnsi="Wingdings" w:hint="default"/>
      </w:rPr>
    </w:lvl>
  </w:abstractNum>
  <w:num w:numId="1" w16cid:durableId="572930950">
    <w:abstractNumId w:val="4"/>
  </w:num>
  <w:num w:numId="2" w16cid:durableId="803157564">
    <w:abstractNumId w:val="7"/>
  </w:num>
  <w:num w:numId="3" w16cid:durableId="1677994612">
    <w:abstractNumId w:val="0"/>
  </w:num>
  <w:num w:numId="4" w16cid:durableId="1032074281">
    <w:abstractNumId w:val="8"/>
  </w:num>
  <w:num w:numId="5" w16cid:durableId="1045062155">
    <w:abstractNumId w:val="2"/>
  </w:num>
  <w:num w:numId="6" w16cid:durableId="1621913335">
    <w:abstractNumId w:val="5"/>
  </w:num>
  <w:num w:numId="7" w16cid:durableId="1502088510">
    <w:abstractNumId w:val="9"/>
  </w:num>
  <w:num w:numId="8" w16cid:durableId="924800063">
    <w:abstractNumId w:val="3"/>
  </w:num>
  <w:num w:numId="9" w16cid:durableId="1207838893">
    <w:abstractNumId w:val="1"/>
  </w:num>
  <w:num w:numId="10" w16cid:durableId="1032271839">
    <w:abstractNumId w:val="10"/>
  </w:num>
  <w:num w:numId="11" w16cid:durableId="875043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1"/>
    <w:rsid w:val="000073CC"/>
    <w:rsid w:val="000226BA"/>
    <w:rsid w:val="00032D9B"/>
    <w:rsid w:val="000425D8"/>
    <w:rsid w:val="00043FF8"/>
    <w:rsid w:val="000A0E7E"/>
    <w:rsid w:val="000D77BB"/>
    <w:rsid w:val="000E3BB3"/>
    <w:rsid w:val="000F5E56"/>
    <w:rsid w:val="001107D3"/>
    <w:rsid w:val="0011119E"/>
    <w:rsid w:val="0011428F"/>
    <w:rsid w:val="0012331E"/>
    <w:rsid w:val="001362EE"/>
    <w:rsid w:val="00152CEA"/>
    <w:rsid w:val="00167556"/>
    <w:rsid w:val="0017322F"/>
    <w:rsid w:val="00182D18"/>
    <w:rsid w:val="001832A6"/>
    <w:rsid w:val="001B5019"/>
    <w:rsid w:val="001B5F00"/>
    <w:rsid w:val="001C28C9"/>
    <w:rsid w:val="001C4DD3"/>
    <w:rsid w:val="001D6D70"/>
    <w:rsid w:val="001E30D5"/>
    <w:rsid w:val="001E3F6D"/>
    <w:rsid w:val="001F412E"/>
    <w:rsid w:val="002163D3"/>
    <w:rsid w:val="00257C69"/>
    <w:rsid w:val="002634C4"/>
    <w:rsid w:val="00265C59"/>
    <w:rsid w:val="0028147E"/>
    <w:rsid w:val="002A47DA"/>
    <w:rsid w:val="002A4CB1"/>
    <w:rsid w:val="002B2976"/>
    <w:rsid w:val="002E6CE8"/>
    <w:rsid w:val="002F4E68"/>
    <w:rsid w:val="00307787"/>
    <w:rsid w:val="00321B22"/>
    <w:rsid w:val="00330608"/>
    <w:rsid w:val="003357C4"/>
    <w:rsid w:val="00335E5C"/>
    <w:rsid w:val="0035380A"/>
    <w:rsid w:val="00354647"/>
    <w:rsid w:val="00377273"/>
    <w:rsid w:val="003845C1"/>
    <w:rsid w:val="003871DC"/>
    <w:rsid w:val="00387287"/>
    <w:rsid w:val="00395CAA"/>
    <w:rsid w:val="003A60FD"/>
    <w:rsid w:val="003B4A0A"/>
    <w:rsid w:val="003D41D4"/>
    <w:rsid w:val="003F25C2"/>
    <w:rsid w:val="003F6119"/>
    <w:rsid w:val="003F7F16"/>
    <w:rsid w:val="004134CF"/>
    <w:rsid w:val="004166F9"/>
    <w:rsid w:val="00420CC7"/>
    <w:rsid w:val="00423E3E"/>
    <w:rsid w:val="00427AF4"/>
    <w:rsid w:val="00427F26"/>
    <w:rsid w:val="0043632D"/>
    <w:rsid w:val="00443382"/>
    <w:rsid w:val="0045231F"/>
    <w:rsid w:val="004579FD"/>
    <w:rsid w:val="0046360C"/>
    <w:rsid w:val="004647DA"/>
    <w:rsid w:val="00477D6B"/>
    <w:rsid w:val="004854CD"/>
    <w:rsid w:val="004A6C37"/>
    <w:rsid w:val="004B24AF"/>
    <w:rsid w:val="004B4FD2"/>
    <w:rsid w:val="004B6165"/>
    <w:rsid w:val="004D2088"/>
    <w:rsid w:val="004D71E2"/>
    <w:rsid w:val="004F7418"/>
    <w:rsid w:val="0050028A"/>
    <w:rsid w:val="00507F8E"/>
    <w:rsid w:val="00511F4A"/>
    <w:rsid w:val="005179F7"/>
    <w:rsid w:val="005456B1"/>
    <w:rsid w:val="0055013B"/>
    <w:rsid w:val="0056224D"/>
    <w:rsid w:val="00571B99"/>
    <w:rsid w:val="00580118"/>
    <w:rsid w:val="005A27BC"/>
    <w:rsid w:val="005D64EC"/>
    <w:rsid w:val="005E07A9"/>
    <w:rsid w:val="005F7331"/>
    <w:rsid w:val="00605827"/>
    <w:rsid w:val="006069F9"/>
    <w:rsid w:val="00610275"/>
    <w:rsid w:val="0061391C"/>
    <w:rsid w:val="00621834"/>
    <w:rsid w:val="006522D0"/>
    <w:rsid w:val="00657A7B"/>
    <w:rsid w:val="00665285"/>
    <w:rsid w:val="006711A2"/>
    <w:rsid w:val="006739E3"/>
    <w:rsid w:val="00673D85"/>
    <w:rsid w:val="00675021"/>
    <w:rsid w:val="006A06C6"/>
    <w:rsid w:val="006A4E55"/>
    <w:rsid w:val="006A60BE"/>
    <w:rsid w:val="006B3AF0"/>
    <w:rsid w:val="006D5B41"/>
    <w:rsid w:val="006D6D6D"/>
    <w:rsid w:val="006D711B"/>
    <w:rsid w:val="006E567E"/>
    <w:rsid w:val="006F0020"/>
    <w:rsid w:val="0070543F"/>
    <w:rsid w:val="007072B7"/>
    <w:rsid w:val="00751F16"/>
    <w:rsid w:val="00772B2D"/>
    <w:rsid w:val="00773E9B"/>
    <w:rsid w:val="007A6E43"/>
    <w:rsid w:val="007C2AF1"/>
    <w:rsid w:val="007E63AC"/>
    <w:rsid w:val="007E663E"/>
    <w:rsid w:val="00802AB2"/>
    <w:rsid w:val="00815082"/>
    <w:rsid w:val="00832ECE"/>
    <w:rsid w:val="00843582"/>
    <w:rsid w:val="0085608A"/>
    <w:rsid w:val="0088685D"/>
    <w:rsid w:val="008A61A0"/>
    <w:rsid w:val="008B14EA"/>
    <w:rsid w:val="008B2CC1"/>
    <w:rsid w:val="008C43FD"/>
    <w:rsid w:val="008C7CD8"/>
    <w:rsid w:val="008D24FF"/>
    <w:rsid w:val="008E6139"/>
    <w:rsid w:val="008F28A5"/>
    <w:rsid w:val="00903082"/>
    <w:rsid w:val="0090731E"/>
    <w:rsid w:val="0095324D"/>
    <w:rsid w:val="00966A22"/>
    <w:rsid w:val="00972F03"/>
    <w:rsid w:val="00974B5B"/>
    <w:rsid w:val="00987FBE"/>
    <w:rsid w:val="009906F8"/>
    <w:rsid w:val="0099742A"/>
    <w:rsid w:val="009A0C8B"/>
    <w:rsid w:val="009B6241"/>
    <w:rsid w:val="009E4D3B"/>
    <w:rsid w:val="009F36CD"/>
    <w:rsid w:val="00A06341"/>
    <w:rsid w:val="00A16FC0"/>
    <w:rsid w:val="00A22B1D"/>
    <w:rsid w:val="00A32C9E"/>
    <w:rsid w:val="00A53B54"/>
    <w:rsid w:val="00A71A8C"/>
    <w:rsid w:val="00A7453D"/>
    <w:rsid w:val="00A87181"/>
    <w:rsid w:val="00AB613D"/>
    <w:rsid w:val="00AC494E"/>
    <w:rsid w:val="00B1292D"/>
    <w:rsid w:val="00B60C9D"/>
    <w:rsid w:val="00B6206B"/>
    <w:rsid w:val="00B65A0A"/>
    <w:rsid w:val="00B72D36"/>
    <w:rsid w:val="00B81F05"/>
    <w:rsid w:val="00B83B38"/>
    <w:rsid w:val="00B87B62"/>
    <w:rsid w:val="00BA063E"/>
    <w:rsid w:val="00BA70E8"/>
    <w:rsid w:val="00BC4164"/>
    <w:rsid w:val="00BC6140"/>
    <w:rsid w:val="00BD2DCC"/>
    <w:rsid w:val="00BE1A8C"/>
    <w:rsid w:val="00BE3CDA"/>
    <w:rsid w:val="00C00074"/>
    <w:rsid w:val="00C03271"/>
    <w:rsid w:val="00C06472"/>
    <w:rsid w:val="00C31096"/>
    <w:rsid w:val="00C753D7"/>
    <w:rsid w:val="00C90428"/>
    <w:rsid w:val="00C90559"/>
    <w:rsid w:val="00CC392C"/>
    <w:rsid w:val="00CC4E9C"/>
    <w:rsid w:val="00CD50BB"/>
    <w:rsid w:val="00CE08AF"/>
    <w:rsid w:val="00CF1DA6"/>
    <w:rsid w:val="00D05711"/>
    <w:rsid w:val="00D17250"/>
    <w:rsid w:val="00D26A96"/>
    <w:rsid w:val="00D36B79"/>
    <w:rsid w:val="00D40CF0"/>
    <w:rsid w:val="00D42D8A"/>
    <w:rsid w:val="00D50E16"/>
    <w:rsid w:val="00D56C7C"/>
    <w:rsid w:val="00D63919"/>
    <w:rsid w:val="00D63D44"/>
    <w:rsid w:val="00D71B4D"/>
    <w:rsid w:val="00D76D55"/>
    <w:rsid w:val="00D855C7"/>
    <w:rsid w:val="00D90289"/>
    <w:rsid w:val="00D93D55"/>
    <w:rsid w:val="00D96F41"/>
    <w:rsid w:val="00DB4AC2"/>
    <w:rsid w:val="00DB7777"/>
    <w:rsid w:val="00DE252D"/>
    <w:rsid w:val="00DE2593"/>
    <w:rsid w:val="00E2115C"/>
    <w:rsid w:val="00E36491"/>
    <w:rsid w:val="00E45C84"/>
    <w:rsid w:val="00E504E5"/>
    <w:rsid w:val="00E531DB"/>
    <w:rsid w:val="00E73ABF"/>
    <w:rsid w:val="00E80085"/>
    <w:rsid w:val="00E84688"/>
    <w:rsid w:val="00E87B3B"/>
    <w:rsid w:val="00E945FD"/>
    <w:rsid w:val="00EA49BD"/>
    <w:rsid w:val="00EB056E"/>
    <w:rsid w:val="00EB7A3E"/>
    <w:rsid w:val="00EC0F23"/>
    <w:rsid w:val="00EC401A"/>
    <w:rsid w:val="00EF1A23"/>
    <w:rsid w:val="00EF200D"/>
    <w:rsid w:val="00EF530A"/>
    <w:rsid w:val="00EF6622"/>
    <w:rsid w:val="00F071AD"/>
    <w:rsid w:val="00F11BC1"/>
    <w:rsid w:val="00F22989"/>
    <w:rsid w:val="00F4057E"/>
    <w:rsid w:val="00F54D95"/>
    <w:rsid w:val="00F55408"/>
    <w:rsid w:val="00F66152"/>
    <w:rsid w:val="00F80845"/>
    <w:rsid w:val="00F84474"/>
    <w:rsid w:val="00FC0310"/>
    <w:rsid w:val="00FC7374"/>
    <w:rsid w:val="00FF7B8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4C580"/>
  <w15:docId w15:val="{062D7C19-FBFF-469C-9FB2-490473AE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orpo">
    <w:name w:val="Corpo"/>
    <w:basedOn w:val="Normal"/>
    <w:uiPriority w:val="1"/>
    <w:rsid w:val="00E36491"/>
    <w:pPr>
      <w:spacing w:after="160" w:line="259" w:lineRule="auto"/>
    </w:pPr>
    <w:rPr>
      <w:rFonts w:ascii="Calibri" w:eastAsia="Arial" w:hAnsi="Calibri"/>
      <w:color w:val="000000" w:themeColor="text1"/>
      <w:szCs w:val="22"/>
      <w:lang w:val="en-US" w:eastAsia="en-US"/>
    </w:rPr>
  </w:style>
  <w:style w:type="paragraph" w:styleId="ListParagraph">
    <w:name w:val="List Paragraph"/>
    <w:basedOn w:val="Normal"/>
    <w:uiPriority w:val="34"/>
    <w:qFormat/>
    <w:rsid w:val="00E36491"/>
    <w:pPr>
      <w:spacing w:after="160" w:line="259" w:lineRule="auto"/>
      <w:ind w:left="720"/>
      <w:contextualSpacing/>
    </w:pPr>
    <w:rPr>
      <w:rFonts w:ascii="SimSun" w:hAnsi="SimSun" w:cs="SimSun"/>
      <w:szCs w:val="22"/>
      <w:lang w:val="en-US" w:eastAsia="en-US"/>
    </w:rPr>
  </w:style>
  <w:style w:type="character" w:styleId="CommentReference">
    <w:name w:val="annotation reference"/>
    <w:basedOn w:val="DefaultParagraphFont"/>
    <w:semiHidden/>
    <w:unhideWhenUsed/>
    <w:rsid w:val="003871DC"/>
    <w:rPr>
      <w:sz w:val="16"/>
      <w:szCs w:val="16"/>
    </w:rPr>
  </w:style>
  <w:style w:type="paragraph" w:styleId="CommentSubject">
    <w:name w:val="annotation subject"/>
    <w:basedOn w:val="CommentText"/>
    <w:next w:val="CommentText"/>
    <w:link w:val="CommentSubjectChar"/>
    <w:semiHidden/>
    <w:unhideWhenUsed/>
    <w:rsid w:val="003871DC"/>
    <w:rPr>
      <w:b/>
      <w:bCs/>
      <w:sz w:val="20"/>
    </w:rPr>
  </w:style>
  <w:style w:type="character" w:customStyle="1" w:styleId="CommentTextChar">
    <w:name w:val="Comment Text Char"/>
    <w:basedOn w:val="DefaultParagraphFont"/>
    <w:link w:val="CommentText"/>
    <w:semiHidden/>
    <w:rsid w:val="003871DC"/>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871DC"/>
    <w:rPr>
      <w:rFonts w:ascii="Arial" w:eastAsia="SimSun" w:hAnsi="Arial" w:cs="Arial"/>
      <w:b/>
      <w:bCs/>
      <w:sz w:val="18"/>
      <w:lang w:val="es-ES" w:eastAsia="zh-CN"/>
    </w:rPr>
  </w:style>
  <w:style w:type="paragraph" w:styleId="Revision">
    <w:name w:val="Revision"/>
    <w:hidden/>
    <w:uiPriority w:val="99"/>
    <w:semiHidden/>
    <w:rsid w:val="00DE2593"/>
    <w:rPr>
      <w:rFonts w:ascii="Arial"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2758</Words>
  <Characters>301</Characters>
  <Application>Microsoft Office Word</Application>
  <DocSecurity>0</DocSecurity>
  <Lines>6</Lines>
  <Paragraphs>15</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SCCR/45/4</dc:title>
  <dc:subject>数字环境中的版权工作计划草案</dc:subject>
  <dc:creator>HAIZEL Francesca</dc:creator>
  <cp:keywords>FOR OFFICIAL USE ONLY, docId:F64624C575ADE03FFFFE11567B725983</cp:keywords>
  <cp:lastModifiedBy>HAIZEL Francesca</cp:lastModifiedBy>
  <cp:revision>2</cp:revision>
  <dcterms:created xsi:type="dcterms:W3CDTF">2024-04-09T17:41:00Z</dcterms:created>
  <dcterms:modified xsi:type="dcterms:W3CDTF">2024-04-09T17:41:00Z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