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68" w:rsidRPr="005B624A" w:rsidRDefault="008251C2" w:rsidP="005F1E43">
      <w:pPr>
        <w:spacing w:after="360"/>
        <w:rPr>
          <w:rFonts w:ascii="KaiTi" w:eastAsia="KaiTi" w:hAnsi="KaiTi"/>
          <w:szCs w:val="32"/>
          <w:lang w:val="en-US" w:eastAsia="zh-CN"/>
        </w:rPr>
      </w:pPr>
      <w:bookmarkStart w:id="0" w:name="_GoBack"/>
      <w:bookmarkEnd w:id="0"/>
      <w:r w:rsidRPr="005B624A">
        <w:rPr>
          <w:rFonts w:ascii="KaiTi" w:eastAsia="KaiTi" w:hAnsi="KaiTi" w:hint="eastAsia"/>
          <w:szCs w:val="32"/>
          <w:lang w:val="en-US" w:eastAsia="zh-CN"/>
        </w:rPr>
        <w:t>西非数字音乐市场研究</w:t>
      </w:r>
      <w:r w:rsidR="001D28E5">
        <w:rPr>
          <w:rFonts w:ascii="KaiTi" w:eastAsia="KaiTi" w:hAnsi="KaiTi" w:hint="eastAsia"/>
          <w:szCs w:val="32"/>
          <w:lang w:val="en-US" w:eastAsia="zh-CN"/>
        </w:rPr>
        <w:t>报告</w:t>
      </w:r>
    </w:p>
    <w:p w:rsidR="006016B5" w:rsidRPr="005F1E43" w:rsidRDefault="008251C2" w:rsidP="005F1E43">
      <w:pPr>
        <w:spacing w:after="960"/>
        <w:rPr>
          <w:rFonts w:ascii="KaiTi" w:eastAsia="KaiTi" w:hAnsi="KaiTi" w:cs="Arial"/>
          <w:sz w:val="21"/>
          <w:szCs w:val="22"/>
          <w:lang w:val="fr-CH"/>
        </w:rPr>
      </w:pPr>
      <w:r w:rsidRPr="005F1E43">
        <w:rPr>
          <w:rFonts w:ascii="KaiTi" w:eastAsia="KaiTi" w:hAnsi="KaiTi" w:cs="Arial" w:hint="eastAsia"/>
          <w:sz w:val="21"/>
          <w:szCs w:val="22"/>
          <w:lang w:val="en-US" w:eastAsia="zh-CN"/>
        </w:rPr>
        <w:t>撰稿</w:t>
      </w:r>
      <w:r w:rsidRPr="005F1E43">
        <w:rPr>
          <w:rFonts w:ascii="KaiTi" w:eastAsia="KaiTi" w:hAnsi="KaiTi" w:cs="Arial" w:hint="eastAsia"/>
          <w:sz w:val="21"/>
          <w:szCs w:val="22"/>
          <w:lang w:val="fr-CH" w:eastAsia="zh-CN"/>
        </w:rPr>
        <w:t>：</w:t>
      </w:r>
      <w:r w:rsidR="00263AFB">
        <w:rPr>
          <w:rFonts w:ascii="KaiTi" w:eastAsia="KaiTi" w:hAnsi="KaiTi" w:cs="Arial" w:hint="eastAsia"/>
          <w:sz w:val="21"/>
          <w:szCs w:val="22"/>
          <w:lang w:val="fr-CH" w:eastAsia="zh-CN"/>
        </w:rPr>
        <w:t>数字文化专家</w:t>
      </w:r>
      <w:r w:rsidR="005F1E43" w:rsidRPr="005F1E43">
        <w:rPr>
          <w:rFonts w:ascii="KaiTi" w:eastAsia="KaiTi" w:hAnsi="KaiTi" w:cs="Arial" w:hint="eastAsia"/>
          <w:sz w:val="21"/>
          <w:szCs w:val="22"/>
          <w:lang w:val="fr-CH" w:eastAsia="zh-CN"/>
        </w:rPr>
        <w:t>哈吉</w:t>
      </w:r>
      <w:r w:rsidR="005F1E43">
        <w:rPr>
          <w:rFonts w:ascii="KaiTi" w:eastAsia="KaiTi" w:hAnsi="KaiTi" w:cs="Arial" w:hint="eastAsia"/>
          <w:sz w:val="21"/>
          <w:szCs w:val="22"/>
          <w:lang w:val="fr-CH" w:eastAsia="zh-CN"/>
        </w:rPr>
        <w:t>·</w:t>
      </w:r>
      <w:r w:rsidR="005F1E43" w:rsidRPr="005F1E43">
        <w:rPr>
          <w:rFonts w:ascii="KaiTi" w:eastAsia="KaiTi" w:hAnsi="KaiTi" w:cs="Arial" w:hint="eastAsia"/>
          <w:sz w:val="21"/>
          <w:szCs w:val="22"/>
          <w:lang w:val="fr-CH" w:eastAsia="zh-CN"/>
        </w:rPr>
        <w:t>曼苏尔</w:t>
      </w:r>
      <w:r w:rsidR="005F1E43">
        <w:rPr>
          <w:rFonts w:ascii="KaiTi" w:eastAsia="KaiTi" w:hAnsi="KaiTi" w:cs="Arial" w:hint="eastAsia"/>
          <w:sz w:val="21"/>
          <w:szCs w:val="22"/>
          <w:lang w:val="fr-CH" w:eastAsia="zh-CN"/>
        </w:rPr>
        <w:t>·</w:t>
      </w:r>
      <w:r w:rsidR="005F1E43" w:rsidRPr="005F1E43">
        <w:rPr>
          <w:rFonts w:ascii="KaiTi" w:eastAsia="KaiTi" w:hAnsi="KaiTi" w:cs="Arial" w:hint="eastAsia"/>
          <w:sz w:val="21"/>
          <w:szCs w:val="22"/>
          <w:lang w:val="fr-CH" w:eastAsia="zh-CN"/>
        </w:rPr>
        <w:t>雅克</w:t>
      </w:r>
      <w:r w:rsidR="005F1E43">
        <w:rPr>
          <w:rFonts w:ascii="KaiTi" w:eastAsia="KaiTi" w:hAnsi="KaiTi" w:cs="Arial" w:hint="eastAsia"/>
          <w:sz w:val="21"/>
          <w:szCs w:val="22"/>
          <w:lang w:val="fr-CH" w:eastAsia="zh-CN"/>
        </w:rPr>
        <w:t>·</w:t>
      </w:r>
      <w:r w:rsidR="005F1E43" w:rsidRPr="005F1E43">
        <w:rPr>
          <w:rFonts w:ascii="KaiTi" w:eastAsia="KaiTi" w:hAnsi="KaiTi" w:cs="Arial" w:hint="eastAsia"/>
          <w:sz w:val="21"/>
          <w:szCs w:val="22"/>
          <w:lang w:val="fr-CH" w:eastAsia="zh-CN"/>
        </w:rPr>
        <w:t>萨尼亚</w:t>
      </w:r>
      <w:r w:rsidR="00263AFB">
        <w:rPr>
          <w:rFonts w:ascii="KaiTi" w:eastAsia="KaiTi" w:hAnsi="KaiTi" w:cs="Arial" w:hint="eastAsia"/>
          <w:sz w:val="21"/>
          <w:szCs w:val="22"/>
          <w:lang w:val="fr-CH" w:eastAsia="zh-CN"/>
        </w:rPr>
        <w:t>先生</w:t>
      </w:r>
    </w:p>
    <w:p w:rsidR="00D55ED0" w:rsidRPr="005B624A" w:rsidRDefault="008251C2" w:rsidP="005B624A">
      <w:pPr>
        <w:overflowPunct w:val="0"/>
        <w:spacing w:beforeLines="100" w:before="240" w:afterLines="50" w:after="120" w:line="340" w:lineRule="atLeast"/>
        <w:rPr>
          <w:rFonts w:ascii="SimHei" w:eastAsia="SimHei" w:hAnsi="SimHei" w:cs="Arial"/>
          <w:sz w:val="21"/>
          <w:szCs w:val="22"/>
          <w:lang w:val="en-US" w:eastAsia="zh-CN"/>
        </w:rPr>
      </w:pPr>
      <w:r w:rsidRPr="005B624A">
        <w:rPr>
          <w:rFonts w:ascii="SimHei" w:eastAsia="SimHei" w:hAnsi="SimHei" w:cs="Arial" w:hint="eastAsia"/>
          <w:sz w:val="21"/>
          <w:szCs w:val="22"/>
          <w:lang w:val="en-US" w:eastAsia="zh-CN"/>
        </w:rPr>
        <w:t>内容提要</w:t>
      </w:r>
    </w:p>
    <w:p w:rsidR="008251C2" w:rsidRPr="005F1E43" w:rsidRDefault="008251C2" w:rsidP="005F1E43">
      <w:pPr>
        <w:spacing w:afterLines="50" w:after="120" w:line="340" w:lineRule="exact"/>
        <w:ind w:firstLineChars="200" w:firstLine="420"/>
        <w:jc w:val="both"/>
        <w:rPr>
          <w:rFonts w:ascii="SimSun" w:eastAsia="SimSun" w:hAnsi="SimSun" w:cs="Arial"/>
          <w:sz w:val="21"/>
          <w:szCs w:val="22"/>
          <w:lang w:val="en-US" w:eastAsia="zh-CN"/>
        </w:rPr>
      </w:pP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自从移动互联网、数字媒体、社交网络和地面数字电视（D</w:t>
      </w:r>
      <w:r w:rsidRPr="005F1E43">
        <w:rPr>
          <w:rFonts w:ascii="SimSun" w:eastAsia="SimSun" w:hAnsi="SimSun" w:cs="Arial"/>
          <w:sz w:val="21"/>
          <w:szCs w:val="22"/>
          <w:lang w:val="en-US" w:eastAsia="zh-CN"/>
        </w:rPr>
        <w:t>TT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）</w:t>
      </w:r>
      <w:r w:rsidRPr="005F1E43">
        <w:rPr>
          <w:rStyle w:val="FootnoteReference"/>
          <w:rFonts w:ascii="SimSun" w:eastAsia="SimSun" w:hAnsi="SimSun" w:cs="Arial"/>
          <w:sz w:val="21"/>
          <w:szCs w:val="22"/>
        </w:rPr>
        <w:footnoteReference w:id="1"/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出现以来，非洲法语区的音乐活动</w:t>
      </w:r>
      <w:r w:rsidR="007111BA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引起了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该</w:t>
      </w:r>
      <w:r w:rsidR="007111BA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部门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参与者</w:t>
      </w:r>
      <w:r w:rsidR="007111BA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的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极大热情和投入。因此，在非洲大陆，</w:t>
      </w:r>
      <w:r w:rsidR="005F06E1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可以</w:t>
      </w:r>
      <w:r w:rsidR="00605898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注意</w:t>
      </w:r>
      <w:r w:rsidR="005F06E1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到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在网络中传播内容的</w:t>
      </w:r>
      <w:r w:rsidR="002E3897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热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潮，</w:t>
      </w:r>
      <w:r w:rsidR="005F06E1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但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却</w:t>
      </w:r>
      <w:r w:rsidR="005F06E1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缺乏对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数字</w:t>
      </w:r>
      <w:r w:rsidR="008C5F88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语言和数字经济模式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要素</w:t>
      </w:r>
      <w:r w:rsidR="005F06E1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的真正了解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。</w:t>
      </w:r>
    </w:p>
    <w:p w:rsidR="008251C2" w:rsidRPr="005F1E43" w:rsidRDefault="008251C2" w:rsidP="005B624A">
      <w:pPr>
        <w:spacing w:afterLines="50" w:after="120" w:line="340" w:lineRule="exact"/>
        <w:ind w:firstLineChars="200" w:firstLine="420"/>
        <w:jc w:val="both"/>
        <w:rPr>
          <w:rFonts w:ascii="SimSun" w:eastAsia="SimSun" w:hAnsi="SimSun" w:cs="Arial"/>
          <w:sz w:val="21"/>
          <w:szCs w:val="22"/>
          <w:lang w:val="en-US" w:eastAsia="zh-CN"/>
        </w:rPr>
      </w:pP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然而，应该</w:t>
      </w:r>
      <w:r w:rsidR="005F06E1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指出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的是，音乐</w:t>
      </w:r>
      <w:r w:rsidR="005F06E1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厂牌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的</w:t>
      </w:r>
      <w:r w:rsidR="005F06E1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爆炸式增长是艺人们自</w:t>
      </w:r>
      <w:r w:rsidR="007111BA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主</w:t>
      </w:r>
      <w:r w:rsidR="008C5F88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创业和理论市场的延续</w:t>
      </w:r>
      <w:r w:rsidR="005F06E1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，</w:t>
      </w:r>
      <w:r w:rsidR="008C5F88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其特点是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缺乏受控</w:t>
      </w:r>
      <w:r w:rsidR="008C5F88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的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价值链或适应当地消费环境的经济模式。因此，在整个非洲大陆，自从模拟</w:t>
      </w:r>
      <w:r w:rsidR="00290F2F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媒体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销售</w:t>
      </w:r>
      <w:r w:rsidR="00290F2F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出现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危机和以实物</w:t>
      </w:r>
      <w:r w:rsidR="00290F2F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媒体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的音乐消费为中心的社会经济模式放缓以来，盗版和假冒的</w:t>
      </w:r>
      <w:r w:rsidR="00290F2F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强烈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反弹预示着新的繁荣</w:t>
      </w:r>
      <w:r w:rsidR="00290F2F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期的到来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，</w:t>
      </w:r>
      <w:r w:rsidR="00290F2F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这是由</w:t>
      </w:r>
      <w:r w:rsidR="001D28E5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接入</w:t>
      </w:r>
      <w:r w:rsidR="00290F2F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互联网所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驱动</w:t>
      </w:r>
      <w:r w:rsidR="00290F2F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的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。</w:t>
      </w:r>
    </w:p>
    <w:p w:rsidR="008251C2" w:rsidRPr="005F1E43" w:rsidRDefault="008251C2" w:rsidP="005B624A">
      <w:pPr>
        <w:spacing w:afterLines="50" w:after="120" w:line="340" w:lineRule="exact"/>
        <w:ind w:firstLineChars="200" w:firstLine="420"/>
        <w:jc w:val="both"/>
        <w:rPr>
          <w:rFonts w:ascii="SimSun" w:eastAsia="SimSun" w:hAnsi="SimSun" w:cs="Arial"/>
          <w:sz w:val="21"/>
          <w:szCs w:val="22"/>
          <w:shd w:val="clear" w:color="auto" w:fill="FFFFFF"/>
          <w:lang w:val="en-US" w:eastAsia="zh-CN"/>
        </w:rPr>
      </w:pP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然而，自2010年</w:t>
      </w:r>
      <w:r w:rsidR="00290F2F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年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中以来，</w:t>
      </w:r>
      <w:r w:rsidR="00290F2F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为音乐制作经济中的所有参与者及其围绕数字技术的相互</w:t>
      </w:r>
      <w:r w:rsidR="00A33A5B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衔接寻找一种盈利模式的工作已经有些动力不足</w:t>
      </w:r>
      <w:r w:rsidR="00290F2F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。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事实上，非洲大陆的文化经济学家普遍对流媒体平台</w:t>
      </w:r>
      <w:r w:rsidR="00A33A5B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上的视听产品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（</w:t>
      </w:r>
      <w:r w:rsidRPr="005F1E43">
        <w:rPr>
          <w:rFonts w:ascii="KaiTi" w:eastAsia="KaiTi" w:hAnsi="KaiTi" w:cs="Arial" w:hint="eastAsia"/>
          <w:sz w:val="21"/>
          <w:szCs w:val="22"/>
          <w:shd w:val="clear" w:color="auto" w:fill="FFFFFF"/>
          <w:lang w:val="en-US" w:eastAsia="zh-CN"/>
        </w:rPr>
        <w:t>在线视频点播服务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）、</w:t>
      </w:r>
      <w:r w:rsidR="005F06E1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地面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数字电视等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部门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的新问题更感兴趣，</w:t>
      </w:r>
      <w:r w:rsidR="00934D77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为音乐</w:t>
      </w:r>
      <w:r w:rsidR="007111BA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留出</w:t>
      </w:r>
      <w:r w:rsidR="00934D77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的空间是</w:t>
      </w:r>
      <w:r w:rsidR="002E3897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研究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其他</w:t>
      </w:r>
      <w:r w:rsidR="00A33A5B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解决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方案</w:t>
      </w:r>
      <w:r w:rsidR="00A33A5B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，而不是将重点放在激烈的本地数字转型背景下</w:t>
      </w:r>
      <w:r w:rsidR="00065757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收听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音乐实践</w:t>
      </w:r>
      <w:r w:rsidR="00A33A5B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做法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的转</w:t>
      </w:r>
      <w:r w:rsidR="00065757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型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。</w:t>
      </w:r>
    </w:p>
    <w:p w:rsidR="008251C2" w:rsidRPr="005F1E43" w:rsidRDefault="008251C2" w:rsidP="005B624A">
      <w:pPr>
        <w:spacing w:afterLines="50" w:after="120" w:line="340" w:lineRule="exact"/>
        <w:ind w:firstLineChars="200" w:firstLine="420"/>
        <w:jc w:val="both"/>
        <w:rPr>
          <w:rFonts w:ascii="SimSun" w:eastAsia="SimSun" w:hAnsi="SimSun" w:cs="Arial"/>
          <w:sz w:val="21"/>
          <w:szCs w:val="22"/>
          <w:shd w:val="clear" w:color="auto" w:fill="FFFFFF"/>
          <w:lang w:val="en-US" w:eastAsia="zh-CN"/>
        </w:rPr>
      </w:pP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因此，在非洲大陆的数字化进程中，非洲音乐正</w:t>
      </w:r>
      <w:r w:rsidR="00CA6F04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在</w:t>
      </w:r>
      <w:r w:rsidR="00591D8E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逐渐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成为当地创意经济的基本要素。就目前而言，应该</w:t>
      </w:r>
      <w:r w:rsidR="00B23B54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指出的是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，</w:t>
      </w:r>
      <w:r w:rsidR="007111BA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之所以对内容的传播缺乏兴趣，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除了对数字</w:t>
      </w:r>
      <w:r w:rsidR="00A33A5B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化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缺乏信心之外，无疑是由于</w:t>
      </w:r>
      <w:r w:rsidR="008C5F88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电信运营商强加的受限制的价值链</w:t>
      </w:r>
      <w:r w:rsidR="00B23B54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为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音乐</w:t>
      </w:r>
      <w:r w:rsidR="00B23B54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表演者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产生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的收入很低。后者是不可避免的，因为</w:t>
      </w:r>
      <w:r w:rsidR="00B23B54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要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使用</w:t>
      </w:r>
      <w:r w:rsidR="008C5F88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电信运营商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的网络和移动支付手段；事实上，鉴于银行</w:t>
      </w:r>
      <w:r w:rsidR="007111BA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利率</w:t>
      </w:r>
      <w:r w:rsidR="00591D8E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较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低，下载和/或流媒体的音乐服务是通过后付费电话</w:t>
      </w:r>
      <w:r w:rsidR="007111BA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信用额度</w:t>
      </w:r>
      <w:r w:rsidR="005B624A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或移动支付购买的。在这个涉及运营商的价值链上，除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版权使用费</w:t>
      </w:r>
      <w:r w:rsidR="00B23B54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之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外</w:t>
      </w:r>
      <w:r w:rsidR="00B23CFF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的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成本</w:t>
      </w:r>
      <w:r w:rsidR="00CA6F04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高达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63%</w:t>
      </w:r>
      <w:r w:rsidR="00B23B54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以上，</w:t>
      </w:r>
      <w:r w:rsidR="009967AC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余</w:t>
      </w:r>
      <w:r w:rsidR="008B3DA6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下的</w:t>
      </w:r>
      <w:r w:rsidR="002A15D9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归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平台和</w:t>
      </w:r>
      <w:r w:rsidR="00B23B54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制作者</w:t>
      </w:r>
      <w:r w:rsidR="002A15D9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所有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。还应</w:t>
      </w:r>
      <w:r w:rsidR="00B23B54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指出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的是，至少在4G移动互联网、社交网络和低成本智能手机</w:t>
      </w:r>
      <w:r w:rsidR="00B23B54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出现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之前，西非的互联网覆盖面和访问量都相对有限。</w:t>
      </w:r>
      <w:r w:rsidR="00B23B54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此外，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移动电信运营商以音乐为杠杆，</w:t>
      </w:r>
      <w:r w:rsidR="00B23B54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以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吸引更多用户使用</w:t>
      </w:r>
      <w:r w:rsidR="00B23B54"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其</w:t>
      </w:r>
      <w:r w:rsidRPr="005F1E43">
        <w:rPr>
          <w:rFonts w:ascii="SimSun" w:eastAsia="SimSun" w:hAnsi="SimSun" w:cs="Arial" w:hint="eastAsia"/>
          <w:sz w:val="21"/>
          <w:szCs w:val="22"/>
          <w:shd w:val="clear" w:color="auto" w:fill="FFFFFF"/>
          <w:lang w:val="en-US" w:eastAsia="zh-CN"/>
        </w:rPr>
        <w:t>移动数据产品。</w:t>
      </w:r>
    </w:p>
    <w:p w:rsidR="008251C2" w:rsidRPr="005F1E43" w:rsidRDefault="008251C2" w:rsidP="005B624A">
      <w:pPr>
        <w:spacing w:afterLines="50" w:after="120" w:line="340" w:lineRule="exact"/>
        <w:ind w:firstLineChars="200" w:firstLine="420"/>
        <w:jc w:val="both"/>
        <w:rPr>
          <w:rFonts w:ascii="SimSun" w:eastAsia="SimSun" w:hAnsi="SimSun" w:cs="Arial"/>
          <w:sz w:val="21"/>
          <w:szCs w:val="22"/>
          <w:lang w:val="en-US" w:eastAsia="zh-CN"/>
        </w:rPr>
      </w:pP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我们</w:t>
      </w:r>
      <w:r w:rsidR="00B23CFF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还可以认为，</w:t>
      </w:r>
      <w:r w:rsidR="005B624A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造成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音乐向</w:t>
      </w:r>
      <w:r w:rsidR="00B23CFF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信通技术发展进程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这种延迟的另一个因素</w:t>
      </w:r>
      <w:r w:rsidR="005B624A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是部门反应缓慢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，</w:t>
      </w:r>
      <w:r w:rsidR="00B23CFF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这是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非洲创意经济</w:t>
      </w:r>
      <w:r w:rsidR="00B23CFF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的整体特征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，特别是在</w:t>
      </w:r>
      <w:r w:rsidR="00B23CFF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所有与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社会变革或新</w:t>
      </w:r>
      <w:r w:rsidR="00B23CFF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群体</w:t>
      </w:r>
      <w:r w:rsidR="001D28E5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出现</w:t>
      </w:r>
      <w:r w:rsidR="00B23CFF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的有关方面以及每个国家特有的文化社会交往能力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新形式方面。</w:t>
      </w:r>
    </w:p>
    <w:p w:rsidR="008251C2" w:rsidRPr="005F1E43" w:rsidRDefault="008251C2" w:rsidP="005B624A">
      <w:pPr>
        <w:spacing w:afterLines="50" w:after="120" w:line="340" w:lineRule="exact"/>
        <w:ind w:firstLineChars="200" w:firstLine="420"/>
        <w:jc w:val="both"/>
        <w:rPr>
          <w:rFonts w:ascii="SimSun" w:eastAsia="SimSun" w:hAnsi="SimSun" w:cs="Arial"/>
          <w:sz w:val="21"/>
          <w:szCs w:val="22"/>
          <w:lang w:val="en-US" w:eastAsia="zh-CN"/>
        </w:rPr>
      </w:pP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因此，本研究</w:t>
      </w:r>
      <w:r w:rsidR="00B23CFF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报告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的目的是根据</w:t>
      </w:r>
      <w:r w:rsidR="00B23CFF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各国的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问题、机会和前景，分析选定的撒哈拉以南非洲国家的数字音乐市场。</w:t>
      </w:r>
    </w:p>
    <w:p w:rsidR="000F5E56" w:rsidRDefault="00B23CFF" w:rsidP="00263AFB">
      <w:pPr>
        <w:keepNext/>
        <w:spacing w:afterLines="50" w:after="120" w:line="340" w:lineRule="exact"/>
        <w:ind w:firstLineChars="200" w:firstLine="420"/>
        <w:jc w:val="both"/>
        <w:rPr>
          <w:rFonts w:ascii="SimSun" w:eastAsia="SimSun" w:hAnsi="SimSun" w:cs="Arial"/>
          <w:sz w:val="21"/>
          <w:szCs w:val="22"/>
          <w:lang w:val="en-US" w:eastAsia="zh-CN"/>
        </w:rPr>
      </w:pP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lastRenderedPageBreak/>
        <w:t>事实上，在非洲国家</w:t>
      </w:r>
      <w:r w:rsidR="006A4B6C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中，</w:t>
      </w:r>
      <w:r w:rsidR="008251C2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通过下载、流媒体和/或回铃音</w:t>
      </w:r>
      <w:r w:rsidRPr="005F1E43">
        <w:rPr>
          <w:rStyle w:val="FootnoteReference"/>
          <w:rFonts w:ascii="SimSun" w:eastAsia="SimSun" w:hAnsi="SimSun" w:cs="Arial"/>
          <w:sz w:val="21"/>
          <w:szCs w:val="22"/>
        </w:rPr>
        <w:footnoteReference w:id="2"/>
      </w:r>
      <w:r w:rsidR="008251C2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（RBT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）实现的</w:t>
      </w:r>
      <w:r w:rsidR="008251C2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音乐货币化是各国创意经济的一个重要增长因素。这也是重组和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规范</w:t>
      </w:r>
      <w:r w:rsidR="008251C2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行为者的</w:t>
      </w:r>
      <w:r w:rsidR="006A4B6C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角色</w:t>
      </w:r>
      <w:r w:rsidR="008251C2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以及价值链的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绝佳</w:t>
      </w:r>
      <w:r w:rsidR="008251C2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机会，</w:t>
      </w:r>
      <w:r w:rsidR="00F630AA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从而</w:t>
      </w:r>
      <w:r w:rsidR="006A4B6C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可以进一步加强</w:t>
      </w:r>
      <w:r w:rsidR="004E713B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本</w:t>
      </w:r>
      <w:r w:rsidR="006A4B6C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地创作</w:t>
      </w:r>
      <w:r w:rsidR="008251C2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的音乐内容</w:t>
      </w:r>
      <w:r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，让所有人</w:t>
      </w:r>
      <w:r w:rsidR="008251C2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都</w:t>
      </w:r>
      <w:r w:rsidR="00B90D88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能从中获利</w:t>
      </w:r>
      <w:r w:rsidR="008251C2" w:rsidRPr="005F1E43">
        <w:rPr>
          <w:rFonts w:ascii="SimSun" w:eastAsia="SimSun" w:hAnsi="SimSun" w:cs="Arial" w:hint="eastAsia"/>
          <w:sz w:val="21"/>
          <w:szCs w:val="22"/>
          <w:lang w:val="en-US" w:eastAsia="zh-CN"/>
        </w:rPr>
        <w:t>。</w:t>
      </w:r>
    </w:p>
    <w:p w:rsidR="00263AFB" w:rsidRPr="00263AFB" w:rsidRDefault="00263AFB" w:rsidP="00263AFB">
      <w:pPr>
        <w:spacing w:before="720" w:afterLines="50" w:after="120" w:line="340" w:lineRule="exact"/>
        <w:ind w:left="5534"/>
        <w:jc w:val="both"/>
        <w:rPr>
          <w:rFonts w:ascii="KaiTi" w:eastAsia="KaiTi" w:hAnsi="KaiTi" w:cs="Arial"/>
          <w:sz w:val="21"/>
          <w:szCs w:val="22"/>
          <w:lang w:val="en-US" w:eastAsia="zh-CN"/>
        </w:rPr>
      </w:pPr>
      <w:r w:rsidRPr="00263AFB">
        <w:rPr>
          <w:rFonts w:ascii="KaiTi" w:eastAsia="KaiTi" w:hAnsi="KaiTi" w:cs="Arial" w:hint="eastAsia"/>
          <w:sz w:val="21"/>
          <w:szCs w:val="22"/>
          <w:lang w:val="en-US" w:eastAsia="zh-CN"/>
        </w:rPr>
        <w:t>[文件完</w:t>
      </w:r>
      <w:r w:rsidRPr="00263AFB">
        <w:rPr>
          <w:rFonts w:ascii="KaiTi" w:eastAsia="KaiTi" w:hAnsi="KaiTi" w:cs="Arial"/>
          <w:sz w:val="21"/>
          <w:szCs w:val="22"/>
          <w:lang w:val="en-US" w:eastAsia="zh-CN"/>
        </w:rPr>
        <w:t>]</w:t>
      </w:r>
    </w:p>
    <w:sectPr w:rsidR="00263AFB" w:rsidRPr="00263AFB" w:rsidSect="00681E62">
      <w:headerReference w:type="even" r:id="rId7"/>
      <w:headerReference w:type="default" r:id="rId8"/>
      <w:footerReference w:type="default" r:id="rId9"/>
      <w:pgSz w:w="11907" w:h="16840" w:code="9"/>
      <w:pgMar w:top="1417" w:right="1417" w:bottom="1417" w:left="141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298" w:rsidRDefault="003A1298" w:rsidP="00D55ED0">
      <w:r>
        <w:separator/>
      </w:r>
    </w:p>
  </w:endnote>
  <w:endnote w:type="continuationSeparator" w:id="0">
    <w:p w:rsidR="003A1298" w:rsidRDefault="003A1298" w:rsidP="00D5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altName w:val="Microsoft YaHei Light"/>
    <w:charset w:val="86"/>
    <w:family w:val="modern"/>
    <w:pitch w:val="fixed"/>
    <w:sig w:usb0="800002BF" w:usb1="38CF7CFA" w:usb2="00000016" w:usb3="00000000" w:csb0="00040001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62" w:rsidRPr="005F1E43" w:rsidRDefault="00681E62">
    <w:pPr>
      <w:pStyle w:val="Footer"/>
      <w:rPr>
        <w:rFonts w:ascii="SimSun" w:eastAsia="SimSun" w:hAnsi="SimSun"/>
        <w:sz w:val="21"/>
      </w:rPr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1E62" w:rsidRDefault="006016B5" w:rsidP="006016B5">
                          <w:pPr>
                            <w:jc w:val="center"/>
                          </w:pPr>
                          <w:r w:rsidRPr="006016B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81E62" w:rsidRDefault="006016B5" w:rsidP="006016B5">
                    <w:pPr>
                      <w:jc w:val="center"/>
                    </w:pPr>
                    <w:r w:rsidRPr="006016B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298" w:rsidRDefault="003A1298" w:rsidP="00D55ED0">
      <w:r>
        <w:separator/>
      </w:r>
    </w:p>
  </w:footnote>
  <w:footnote w:type="continuationSeparator" w:id="0">
    <w:p w:rsidR="003A1298" w:rsidRDefault="003A1298" w:rsidP="00D55ED0">
      <w:r>
        <w:continuationSeparator/>
      </w:r>
    </w:p>
  </w:footnote>
  <w:footnote w:id="1">
    <w:p w:rsidR="008251C2" w:rsidRDefault="008251C2" w:rsidP="008251C2">
      <w:pPr>
        <w:pStyle w:val="FootnoteText"/>
        <w:rPr>
          <w:rFonts w:ascii="SimSun" w:eastAsia="SimSun" w:hAnsi="SimSun"/>
          <w:lang w:eastAsia="zh-CN"/>
        </w:rPr>
      </w:pPr>
      <w:r w:rsidRPr="005F1E43">
        <w:rPr>
          <w:rStyle w:val="FootnoteReference"/>
          <w:rFonts w:ascii="SimSun" w:eastAsia="SimSun" w:hAnsi="SimSun"/>
        </w:rPr>
        <w:footnoteRef/>
      </w:r>
      <w:r w:rsidR="00B23CFF" w:rsidRPr="005F1E43">
        <w:rPr>
          <w:rFonts w:ascii="SimSun" w:eastAsia="SimSun" w:hAnsi="SimSun"/>
          <w:lang w:eastAsia="zh-CN"/>
        </w:rPr>
        <w:tab/>
      </w:r>
      <w:r w:rsidRPr="005F1E43">
        <w:rPr>
          <w:rFonts w:ascii="SimSun" w:eastAsia="SimSun" w:hAnsi="SimSun" w:hint="eastAsia"/>
          <w:lang w:eastAsia="zh-CN"/>
        </w:rPr>
        <w:t>DTT（地面数字电视</w:t>
      </w:r>
      <w:r w:rsidR="005F06E1" w:rsidRPr="005F1E43">
        <w:rPr>
          <w:rFonts w:ascii="SimSun" w:eastAsia="SimSun" w:hAnsi="SimSun" w:hint="eastAsia"/>
          <w:lang w:eastAsia="zh-CN"/>
        </w:rPr>
        <w:t>）</w:t>
      </w:r>
    </w:p>
    <w:p w:rsidR="00263AFB" w:rsidRDefault="00263AFB" w:rsidP="008251C2">
      <w:pPr>
        <w:pStyle w:val="FootnoteText"/>
        <w:rPr>
          <w:rFonts w:ascii="SimSun" w:eastAsia="SimSun" w:hAnsi="SimSun"/>
          <w:lang w:eastAsia="zh-CN"/>
        </w:rPr>
      </w:pPr>
    </w:p>
    <w:p w:rsidR="00263AFB" w:rsidRPr="005F1E43" w:rsidRDefault="00263AFB" w:rsidP="008251C2">
      <w:pPr>
        <w:pStyle w:val="FootnoteText"/>
        <w:rPr>
          <w:rFonts w:ascii="SimSun" w:eastAsia="SimSun" w:hAnsi="SimSun"/>
          <w:lang w:eastAsia="zh-CN"/>
        </w:rPr>
      </w:pPr>
      <w:r w:rsidRPr="00263AFB">
        <w:rPr>
          <w:rFonts w:ascii="SimSun" w:eastAsia="SimSun" w:hAnsi="SimSun" w:hint="eastAsia"/>
          <w:lang w:eastAsia="zh-CN"/>
        </w:rPr>
        <w:t>本研究报告中提供的信息由其作者全权负责。本研究报告无意反映成员国或产权组织秘书处的观点。</w:t>
      </w:r>
    </w:p>
  </w:footnote>
  <w:footnote w:id="2">
    <w:p w:rsidR="00B23CFF" w:rsidRPr="005F1E43" w:rsidRDefault="00B23CFF" w:rsidP="00B23CFF">
      <w:pPr>
        <w:pStyle w:val="FootnoteText"/>
        <w:rPr>
          <w:rFonts w:ascii="SimSun" w:eastAsia="SimSun" w:hAnsi="SimSun"/>
          <w:lang w:eastAsia="zh-CN"/>
        </w:rPr>
      </w:pPr>
      <w:r w:rsidRPr="005F1E43">
        <w:rPr>
          <w:rStyle w:val="FootnoteReference"/>
          <w:rFonts w:ascii="SimSun" w:eastAsia="SimSun" w:hAnsi="SimSun"/>
        </w:rPr>
        <w:footnoteRef/>
      </w:r>
      <w:r w:rsidRPr="005F1E43">
        <w:rPr>
          <w:rFonts w:ascii="SimSun" w:eastAsia="SimSun" w:hAnsi="SimSun"/>
          <w:lang w:eastAsia="zh-CN"/>
        </w:rPr>
        <w:tab/>
      </w:r>
      <w:r w:rsidRPr="005F1E43">
        <w:rPr>
          <w:rFonts w:ascii="SimSun" w:eastAsia="SimSun" w:hAnsi="SimSun" w:hint="eastAsia"/>
          <w:lang w:eastAsia="zh-CN"/>
        </w:rPr>
        <w:t>RBT（回铃音）：电信网络中的待机音乐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62" w:rsidRPr="005F1E43" w:rsidRDefault="00681E62" w:rsidP="00681E62">
    <w:pPr>
      <w:pStyle w:val="Header"/>
      <w:jc w:val="right"/>
      <w:rPr>
        <w:rFonts w:ascii="SimSun" w:eastAsia="SimSun" w:hAnsi="SimSun"/>
        <w:sz w:val="21"/>
      </w:rPr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1E62" w:rsidRDefault="006016B5" w:rsidP="006016B5">
                          <w:pPr>
                            <w:jc w:val="center"/>
                          </w:pPr>
                          <w:r w:rsidRPr="006016B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81E62" w:rsidRDefault="006016B5" w:rsidP="006016B5">
                    <w:pPr>
                      <w:jc w:val="center"/>
                    </w:pPr>
                    <w:r w:rsidRPr="006016B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263AFB">
      <w:rPr>
        <w:rFonts w:ascii="SimSun" w:eastAsia="SimSun" w:hAnsi="SimSun" w:hint="eastAsia"/>
        <w:sz w:val="21"/>
        <w:lang w:eastAsia="zh-CN"/>
      </w:rPr>
      <w:t>第</w:t>
    </w:r>
    <w:sdt>
      <w:sdtPr>
        <w:rPr>
          <w:rFonts w:ascii="SimSun" w:eastAsia="SimSun" w:hAnsi="SimSun"/>
          <w:sz w:val="21"/>
        </w:rPr>
        <w:id w:val="-8044673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F1E43">
          <w:rPr>
            <w:rFonts w:ascii="SimSun" w:eastAsia="SimSun" w:hAnsi="SimSun"/>
            <w:sz w:val="21"/>
          </w:rPr>
          <w:fldChar w:fldCharType="begin"/>
        </w:r>
        <w:r w:rsidRPr="005F1E43">
          <w:rPr>
            <w:rFonts w:ascii="SimSun" w:eastAsia="SimSun" w:hAnsi="SimSun"/>
            <w:sz w:val="21"/>
          </w:rPr>
          <w:instrText xml:space="preserve"> PAGE   \* MERGEFORMAT </w:instrText>
        </w:r>
        <w:r w:rsidRPr="005F1E43">
          <w:rPr>
            <w:rFonts w:ascii="SimSun" w:eastAsia="SimSun" w:hAnsi="SimSun"/>
            <w:sz w:val="21"/>
          </w:rPr>
          <w:fldChar w:fldCharType="separate"/>
        </w:r>
        <w:r w:rsidR="00A03063">
          <w:rPr>
            <w:rFonts w:ascii="SimSun" w:eastAsia="SimSun" w:hAnsi="SimSun"/>
            <w:noProof/>
            <w:sz w:val="21"/>
          </w:rPr>
          <w:t>2</w:t>
        </w:r>
        <w:r w:rsidRPr="005F1E43">
          <w:rPr>
            <w:rFonts w:ascii="SimSun" w:eastAsia="SimSun" w:hAnsi="SimSun"/>
            <w:noProof/>
            <w:sz w:val="21"/>
          </w:rPr>
          <w:fldChar w:fldCharType="end"/>
        </w:r>
        <w:r w:rsidR="00263AFB">
          <w:rPr>
            <w:rFonts w:ascii="SimSun" w:eastAsia="SimSun" w:hAnsi="SimSun" w:hint="eastAsia"/>
            <w:noProof/>
            <w:sz w:val="21"/>
            <w:lang w:eastAsia="zh-CN"/>
          </w:rPr>
          <w:t>页</w:t>
        </w:r>
      </w:sdtContent>
    </w:sdt>
  </w:p>
  <w:p w:rsidR="00681E62" w:rsidRPr="005F1E43" w:rsidRDefault="00681E62" w:rsidP="00681E62">
    <w:pPr>
      <w:pStyle w:val="Header"/>
      <w:jc w:val="right"/>
      <w:rPr>
        <w:rFonts w:ascii="SimSun" w:eastAsia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568" w:rsidRPr="005F1E43" w:rsidRDefault="00B24568">
    <w:pPr>
      <w:pStyle w:val="Header"/>
      <w:jc w:val="right"/>
      <w:rPr>
        <w:rFonts w:ascii="SimSun" w:eastAsia="SimSun" w:hAnsi="SimSun"/>
        <w:sz w:val="21"/>
      </w:rPr>
    </w:pPr>
    <w:r w:rsidRPr="005F1E43">
      <w:rPr>
        <w:rFonts w:ascii="SimSun" w:eastAsia="SimSun" w:hAnsi="SimSun"/>
        <w:sz w:val="21"/>
      </w:rPr>
      <w:t xml:space="preserve">page </w:t>
    </w:r>
    <w:sdt>
      <w:sdtPr>
        <w:rPr>
          <w:rFonts w:ascii="SimSun" w:eastAsia="SimSun" w:hAnsi="SimSun"/>
          <w:sz w:val="21"/>
        </w:rPr>
        <w:id w:val="20723782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F1E43">
          <w:rPr>
            <w:rFonts w:ascii="SimSun" w:eastAsia="SimSun" w:hAnsi="SimSun"/>
            <w:sz w:val="21"/>
          </w:rPr>
          <w:fldChar w:fldCharType="begin"/>
        </w:r>
        <w:r w:rsidRPr="005F1E43">
          <w:rPr>
            <w:rFonts w:ascii="SimSun" w:eastAsia="SimSun" w:hAnsi="SimSun"/>
            <w:sz w:val="21"/>
          </w:rPr>
          <w:instrText xml:space="preserve"> PAGE   \* MERGEFORMAT </w:instrText>
        </w:r>
        <w:r w:rsidRPr="005F1E43">
          <w:rPr>
            <w:rFonts w:ascii="SimSun" w:eastAsia="SimSun" w:hAnsi="SimSun"/>
            <w:sz w:val="21"/>
          </w:rPr>
          <w:fldChar w:fldCharType="separate"/>
        </w:r>
        <w:r w:rsidRPr="005F1E43">
          <w:rPr>
            <w:rFonts w:ascii="SimSun" w:eastAsia="SimSun" w:hAnsi="SimSun"/>
            <w:noProof/>
            <w:sz w:val="21"/>
          </w:rPr>
          <w:t xml:space="preserve">2 </w:t>
        </w:r>
        <w:r w:rsidRPr="005F1E43">
          <w:rPr>
            <w:rFonts w:ascii="SimSun" w:eastAsia="SimSun" w:hAnsi="SimSun"/>
            <w:noProof/>
            <w:sz w:val="21"/>
          </w:rPr>
          <w:fldChar w:fldCharType="end"/>
        </w:r>
      </w:sdtContent>
    </w:sdt>
  </w:p>
  <w:p w:rsidR="00D55ED0" w:rsidRPr="005F1E43" w:rsidRDefault="00D55ED0" w:rsidP="00D55ED0">
    <w:pPr>
      <w:pStyle w:val="Header"/>
      <w:jc w:val="right"/>
      <w:rPr>
        <w:rFonts w:ascii="SimSun" w:eastAsia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zh-CN" w:vendorID="64" w:dllVersion="131077" w:nlCheck="1" w:checkStyle="1"/>
  <w:activeWritingStyle w:appName="MSWord" w:lang="fr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D0"/>
    <w:rsid w:val="00035A2F"/>
    <w:rsid w:val="00065757"/>
    <w:rsid w:val="000F5E56"/>
    <w:rsid w:val="001A4DB6"/>
    <w:rsid w:val="001D28E5"/>
    <w:rsid w:val="00263AFB"/>
    <w:rsid w:val="00280348"/>
    <w:rsid w:val="00290F2F"/>
    <w:rsid w:val="002A15D9"/>
    <w:rsid w:val="002E3897"/>
    <w:rsid w:val="003A1298"/>
    <w:rsid w:val="003E6531"/>
    <w:rsid w:val="00431118"/>
    <w:rsid w:val="004E713B"/>
    <w:rsid w:val="00573A8F"/>
    <w:rsid w:val="00591D8E"/>
    <w:rsid w:val="005B624A"/>
    <w:rsid w:val="005F06E1"/>
    <w:rsid w:val="005F1E43"/>
    <w:rsid w:val="006016B5"/>
    <w:rsid w:val="00605898"/>
    <w:rsid w:val="00627E7A"/>
    <w:rsid w:val="00664B62"/>
    <w:rsid w:val="00681E62"/>
    <w:rsid w:val="006A4B6C"/>
    <w:rsid w:val="006C629C"/>
    <w:rsid w:val="007111BA"/>
    <w:rsid w:val="007B240C"/>
    <w:rsid w:val="007D53C7"/>
    <w:rsid w:val="00804DB7"/>
    <w:rsid w:val="008251C2"/>
    <w:rsid w:val="008B3DA6"/>
    <w:rsid w:val="008C2846"/>
    <w:rsid w:val="008C5F88"/>
    <w:rsid w:val="00934D77"/>
    <w:rsid w:val="009967AC"/>
    <w:rsid w:val="00A03063"/>
    <w:rsid w:val="00A33A5B"/>
    <w:rsid w:val="00AA65F2"/>
    <w:rsid w:val="00B23B54"/>
    <w:rsid w:val="00B23CFF"/>
    <w:rsid w:val="00B24568"/>
    <w:rsid w:val="00B50665"/>
    <w:rsid w:val="00B667BA"/>
    <w:rsid w:val="00B90D88"/>
    <w:rsid w:val="00BC2E62"/>
    <w:rsid w:val="00BE13C8"/>
    <w:rsid w:val="00C554EC"/>
    <w:rsid w:val="00C651BB"/>
    <w:rsid w:val="00CA6CE1"/>
    <w:rsid w:val="00CA6F04"/>
    <w:rsid w:val="00D55ED0"/>
    <w:rsid w:val="00E259E4"/>
    <w:rsid w:val="00E66BEE"/>
    <w:rsid w:val="00F630AA"/>
    <w:rsid w:val="00FB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C78A78E-71F8-4598-BCDD-A4BE9B98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ED0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ascii="Arial" w:eastAsia="SimSun" w:hAnsi="Arial" w:cs="Arial"/>
      <w:b/>
      <w:bCs/>
      <w:caps/>
      <w:kern w:val="32"/>
      <w:sz w:val="22"/>
      <w:szCs w:val="32"/>
      <w:lang w:val="en-US"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ascii="Arial" w:eastAsia="SimSun" w:hAnsi="Arial" w:cs="Arial"/>
      <w:bCs/>
      <w:iCs/>
      <w:caps/>
      <w:sz w:val="22"/>
      <w:szCs w:val="28"/>
      <w:lang w:val="en-US"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ascii="Arial" w:eastAsia="SimSun" w:hAnsi="Arial" w:cs="Arial"/>
      <w:bCs/>
      <w:sz w:val="22"/>
      <w:szCs w:val="26"/>
      <w:u w:val="single"/>
      <w:lang w:val="en-US"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ascii="Arial" w:eastAsia="SimSun" w:hAnsi="Arial" w:cs="Arial"/>
      <w:bCs/>
      <w:i/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ascii="Arial" w:hAnsi="Arial" w:cs="Arial"/>
      <w:sz w:val="22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  <w:rPr>
      <w:rFonts w:ascii="Arial" w:hAnsi="Arial" w:cs="Arial"/>
      <w:sz w:val="22"/>
      <w:szCs w:val="20"/>
      <w:lang w:val="en-US" w:eastAsia="en-US"/>
    </w:rPr>
  </w:style>
  <w:style w:type="paragraph" w:styleId="Salutation">
    <w:name w:val="Salutation"/>
    <w:basedOn w:val="Normal"/>
    <w:next w:val="Normal"/>
    <w:semiHidden/>
    <w:rsid w:val="00804DB7"/>
    <w:rPr>
      <w:rFonts w:ascii="Arial" w:hAnsi="Arial" w:cs="Arial"/>
      <w:sz w:val="22"/>
      <w:szCs w:val="20"/>
      <w:lang w:val="en-US"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ascii="Arial" w:hAnsi="Arial" w:cs="Arial"/>
      <w:sz w:val="22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rFonts w:ascii="Arial" w:hAnsi="Arial" w:cs="Arial"/>
      <w:sz w:val="18"/>
      <w:szCs w:val="20"/>
      <w:lang w:val="en-US" w:eastAsia="en-US"/>
    </w:rPr>
  </w:style>
  <w:style w:type="paragraph" w:styleId="EndnoteText">
    <w:name w:val="endnote text"/>
    <w:basedOn w:val="Normal"/>
    <w:semiHidden/>
    <w:rsid w:val="00804DB7"/>
    <w:rPr>
      <w:rFonts w:ascii="Arial" w:hAnsi="Arial" w:cs="Arial"/>
      <w:sz w:val="18"/>
      <w:szCs w:val="20"/>
      <w:lang w:val="en-US" w:eastAsia="en-US"/>
    </w:rPr>
  </w:style>
  <w:style w:type="paragraph" w:styleId="Caption">
    <w:name w:val="caption"/>
    <w:basedOn w:val="Normal"/>
    <w:next w:val="Normal"/>
    <w:qFormat/>
    <w:rsid w:val="00804DB7"/>
    <w:rPr>
      <w:rFonts w:ascii="Arial" w:hAnsi="Arial" w:cs="Arial"/>
      <w:b/>
      <w:bCs/>
      <w:sz w:val="18"/>
      <w:szCs w:val="20"/>
      <w:lang w:val="en-US" w:eastAsia="en-US"/>
    </w:rPr>
  </w:style>
  <w:style w:type="paragraph" w:styleId="CommentText">
    <w:name w:val="annotation text"/>
    <w:basedOn w:val="Normal"/>
    <w:semiHidden/>
    <w:rsid w:val="00804DB7"/>
    <w:rPr>
      <w:rFonts w:ascii="Arial" w:hAnsi="Arial" w:cs="Arial"/>
      <w:sz w:val="18"/>
      <w:szCs w:val="20"/>
      <w:lang w:val="en-US"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ascii="Arial" w:hAnsi="Arial" w:cs="Arial"/>
      <w:sz w:val="22"/>
      <w:szCs w:val="20"/>
      <w:lang w:val="en-US"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ascii="Arial" w:hAnsi="Arial" w:cs="Arial"/>
      <w:sz w:val="22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ED0"/>
    <w:rPr>
      <w:rFonts w:ascii="Arial" w:hAnsi="Arial" w:cs="Arial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D55ED0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24568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24568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1043</Words>
  <Characters>1055</Characters>
  <Application>Microsoft Office Word</Application>
  <DocSecurity>4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KHONJE Eleanor</dc:creator>
  <cp:keywords>FOR OFFICIAL USE ONLY</cp:keywords>
  <dc:description/>
  <cp:lastModifiedBy>HAIZEL Francesca</cp:lastModifiedBy>
  <cp:revision>2</cp:revision>
  <dcterms:created xsi:type="dcterms:W3CDTF">2021-06-23T07:46:00Z</dcterms:created>
  <dcterms:modified xsi:type="dcterms:W3CDTF">2021-06-23T07:46:00Z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55300996-73b4-4b56-b923-29ad32f4fac4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