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17" w:rsidRPr="00A46677" w:rsidRDefault="002F1D4A" w:rsidP="00E4345C">
      <w:pPr>
        <w:spacing w:afterLines="50" w:after="120" w:line="340" w:lineRule="atLeast"/>
        <w:contextualSpacing/>
        <w:jc w:val="both"/>
        <w:rPr>
          <w:rFonts w:asciiTheme="minorEastAsia" w:hAnsiTheme="minorEastAsia" w:cs="Arial"/>
          <w:b/>
          <w:sz w:val="21"/>
          <w:szCs w:val="21"/>
          <w:lang w:eastAsia="zh-CN"/>
        </w:rPr>
      </w:pPr>
      <w:bookmarkStart w:id="0" w:name="_GoBack"/>
      <w:bookmarkEnd w:id="0"/>
      <w:r w:rsidRPr="00A46677">
        <w:rPr>
          <w:rFonts w:asciiTheme="minorEastAsia" w:hAnsiTheme="minorEastAsia" w:cs="Arial" w:hint="eastAsia"/>
          <w:b/>
          <w:sz w:val="21"/>
          <w:szCs w:val="21"/>
          <w:lang w:eastAsia="zh-CN"/>
        </w:rPr>
        <w:t>世界知识产权组织</w:t>
      </w:r>
      <w:r w:rsidR="00441117" w:rsidRPr="00A46677">
        <w:rPr>
          <w:rFonts w:asciiTheme="minorEastAsia" w:hAnsiTheme="minorEastAsia" w:cs="Arial"/>
          <w:b/>
          <w:sz w:val="21"/>
          <w:szCs w:val="21"/>
          <w:lang w:eastAsia="zh-CN"/>
        </w:rPr>
        <w:t>(WIPO)</w:t>
      </w:r>
    </w:p>
    <w:p w:rsidR="00441117" w:rsidRPr="00A46677" w:rsidRDefault="002F1D4A" w:rsidP="00E4345C">
      <w:pPr>
        <w:spacing w:afterLines="50" w:after="120" w:line="340" w:lineRule="atLeast"/>
        <w:contextualSpacing/>
        <w:jc w:val="both"/>
        <w:rPr>
          <w:rFonts w:asciiTheme="minorEastAsia" w:hAnsiTheme="minorEastAsia" w:cs="Arial"/>
          <w:b/>
          <w:sz w:val="21"/>
          <w:szCs w:val="21"/>
          <w:lang w:eastAsia="zh-CN"/>
        </w:rPr>
      </w:pPr>
      <w:r w:rsidRPr="00A46677">
        <w:rPr>
          <w:rFonts w:asciiTheme="minorEastAsia" w:hAnsiTheme="minorEastAsia" w:cs="Arial" w:hint="eastAsia"/>
          <w:b/>
          <w:sz w:val="21"/>
          <w:szCs w:val="21"/>
          <w:lang w:eastAsia="zh-CN"/>
        </w:rPr>
        <w:t>版权及相关权常设委员会</w:t>
      </w:r>
      <w:r w:rsidR="00441117" w:rsidRPr="00A46677">
        <w:rPr>
          <w:rFonts w:asciiTheme="minorEastAsia" w:hAnsiTheme="minorEastAsia" w:cs="Arial"/>
          <w:b/>
          <w:sz w:val="21"/>
          <w:szCs w:val="21"/>
          <w:lang w:eastAsia="zh-CN"/>
        </w:rPr>
        <w:t>(SCCR)</w:t>
      </w:r>
    </w:p>
    <w:p w:rsidR="00441117" w:rsidRPr="00A46677" w:rsidRDefault="002F1D4A" w:rsidP="00E4345C">
      <w:pPr>
        <w:spacing w:afterLines="50" w:after="120" w:line="340" w:lineRule="atLeast"/>
        <w:contextualSpacing/>
        <w:jc w:val="both"/>
        <w:rPr>
          <w:rFonts w:asciiTheme="minorEastAsia" w:hAnsiTheme="minorEastAsia" w:cs="Arial"/>
          <w:b/>
          <w:sz w:val="21"/>
          <w:szCs w:val="21"/>
          <w:lang w:eastAsia="zh-CN"/>
        </w:rPr>
      </w:pPr>
      <w:r w:rsidRPr="00A46677">
        <w:rPr>
          <w:rFonts w:asciiTheme="minorEastAsia" w:hAnsiTheme="minorEastAsia" w:cs="Arial" w:hint="eastAsia"/>
          <w:b/>
          <w:sz w:val="21"/>
          <w:szCs w:val="21"/>
          <w:lang w:eastAsia="zh-CN"/>
        </w:rPr>
        <w:t>第二十八届会议</w:t>
      </w:r>
    </w:p>
    <w:p w:rsidR="00441117" w:rsidRPr="00A46677" w:rsidRDefault="00441117" w:rsidP="00E4345C">
      <w:pPr>
        <w:spacing w:afterLines="50" w:after="120" w:line="340" w:lineRule="atLeast"/>
        <w:contextualSpacing/>
        <w:jc w:val="both"/>
        <w:rPr>
          <w:rFonts w:asciiTheme="minorEastAsia" w:hAnsiTheme="minorEastAsia" w:cs="Arial"/>
          <w:b/>
          <w:sz w:val="21"/>
          <w:szCs w:val="21"/>
          <w:lang w:eastAsia="zh-CN"/>
        </w:rPr>
      </w:pPr>
      <w:r w:rsidRPr="00A46677">
        <w:rPr>
          <w:rFonts w:asciiTheme="minorEastAsia" w:hAnsiTheme="minorEastAsia" w:cs="Arial"/>
          <w:b/>
          <w:sz w:val="21"/>
          <w:szCs w:val="21"/>
          <w:lang w:eastAsia="zh-CN"/>
        </w:rPr>
        <w:t>2014</w:t>
      </w:r>
      <w:r w:rsidR="002F1D4A" w:rsidRPr="00A46677">
        <w:rPr>
          <w:rFonts w:asciiTheme="minorEastAsia" w:hAnsiTheme="minorEastAsia" w:cs="Arial" w:hint="eastAsia"/>
          <w:b/>
          <w:sz w:val="21"/>
          <w:szCs w:val="21"/>
          <w:lang w:eastAsia="zh-CN"/>
        </w:rPr>
        <w:t>年7月</w:t>
      </w:r>
      <w:r w:rsidR="0070586C" w:rsidRPr="00A46677">
        <w:rPr>
          <w:rFonts w:asciiTheme="minorEastAsia" w:hAnsiTheme="minorEastAsia" w:cs="Arial" w:hint="eastAsia"/>
          <w:b/>
          <w:sz w:val="21"/>
          <w:szCs w:val="21"/>
          <w:lang w:eastAsia="zh-CN"/>
        </w:rPr>
        <w:t>4</w:t>
      </w:r>
      <w:r w:rsidR="002F1D4A" w:rsidRPr="00A46677">
        <w:rPr>
          <w:rFonts w:asciiTheme="minorEastAsia" w:hAnsiTheme="minorEastAsia" w:cs="Arial" w:hint="eastAsia"/>
          <w:b/>
          <w:sz w:val="21"/>
          <w:szCs w:val="21"/>
          <w:lang w:eastAsia="zh-CN"/>
        </w:rPr>
        <w:t>日，日内瓦</w:t>
      </w:r>
    </w:p>
    <w:p w:rsidR="00441117" w:rsidRPr="00A46677" w:rsidRDefault="00441117" w:rsidP="00441117">
      <w:pPr>
        <w:spacing w:line="260" w:lineRule="atLeast"/>
        <w:rPr>
          <w:rFonts w:ascii="SimSun" w:eastAsia="SimSun" w:hAnsi="SimSun" w:cs="Arial"/>
          <w:b/>
          <w:sz w:val="21"/>
          <w:szCs w:val="21"/>
          <w:lang w:eastAsia="zh-CN"/>
        </w:rPr>
      </w:pPr>
    </w:p>
    <w:p w:rsidR="001359AA" w:rsidRPr="004441DF" w:rsidRDefault="000B5D9E" w:rsidP="00A46677">
      <w:pPr>
        <w:spacing w:afterLines="100" w:after="240" w:line="340" w:lineRule="atLeast"/>
        <w:rPr>
          <w:rFonts w:ascii="KaiTi" w:eastAsia="KaiTi" w:hAnsi="KaiTi" w:cs="Arial"/>
          <w:b/>
          <w:i/>
          <w:sz w:val="21"/>
          <w:szCs w:val="21"/>
          <w:lang w:eastAsia="zh-CN"/>
        </w:rPr>
      </w:pPr>
      <w:r w:rsidRPr="004441DF">
        <w:rPr>
          <w:rFonts w:ascii="KaiTi" w:eastAsia="KaiTi" w:hAnsi="KaiTi" w:cs="Arial" w:hint="eastAsia"/>
          <w:b/>
          <w:i/>
          <w:sz w:val="21"/>
          <w:szCs w:val="21"/>
          <w:lang w:eastAsia="zh-CN"/>
        </w:rPr>
        <w:t>主席的</w:t>
      </w:r>
      <w:r w:rsidR="001359AA" w:rsidRPr="004441DF">
        <w:rPr>
          <w:rFonts w:ascii="KaiTi" w:eastAsia="KaiTi" w:hAnsi="KaiTi" w:cs="Arial" w:hint="eastAsia"/>
          <w:b/>
          <w:i/>
          <w:sz w:val="21"/>
          <w:szCs w:val="21"/>
          <w:lang w:eastAsia="zh-CN"/>
        </w:rPr>
        <w:t>结论</w:t>
      </w:r>
    </w:p>
    <w:p w:rsidR="00441117" w:rsidRPr="00A46677" w:rsidRDefault="002F1D4A" w:rsidP="00E4345C">
      <w:pPr>
        <w:spacing w:beforeLines="100" w:before="240" w:afterLines="100" w:after="240" w:line="340" w:lineRule="atLeast"/>
        <w:jc w:val="both"/>
        <w:rPr>
          <w:rFonts w:ascii="SimHei" w:eastAsia="SimHei" w:hAnsi="SimHei" w:cs="Arial"/>
          <w:sz w:val="21"/>
          <w:szCs w:val="21"/>
          <w:lang w:eastAsia="zh-CN"/>
        </w:rPr>
      </w:pPr>
      <w:r w:rsidRPr="00A46677">
        <w:rPr>
          <w:rFonts w:ascii="SimHei" w:eastAsia="SimHei" w:hAnsi="SimHei" w:cs="Arial" w:hint="eastAsia"/>
          <w:sz w:val="21"/>
          <w:szCs w:val="21"/>
          <w:lang w:eastAsia="zh-CN"/>
        </w:rPr>
        <w:t>保护广播组织</w:t>
      </w:r>
    </w:p>
    <w:p w:rsidR="007E2CEC" w:rsidRPr="00A46677" w:rsidRDefault="002F1D4A"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sz w:val="21"/>
          <w:szCs w:val="21"/>
          <w:lang w:eastAsia="zh-CN"/>
        </w:rPr>
        <w:t>委员会根据SCCR第二十七届会议的成果和文件，</w:t>
      </w:r>
      <w:r w:rsidR="001359AA" w:rsidRPr="00A46677">
        <w:rPr>
          <w:rFonts w:ascii="SimSun" w:eastAsia="SimSun" w:hAnsi="SimSun" w:cs="Arial" w:hint="eastAsia"/>
          <w:sz w:val="21"/>
          <w:szCs w:val="21"/>
          <w:lang w:eastAsia="zh-CN"/>
        </w:rPr>
        <w:t>讨论了在给予传统意义上广播组织的保护中，哪些类型的平台和活动要被包括在保护对象和范围中的相关</w:t>
      </w:r>
      <w:r w:rsidRPr="00A46677">
        <w:rPr>
          <w:rFonts w:ascii="SimSun" w:eastAsia="SimSun" w:hAnsi="SimSun" w:cs="Arial" w:hint="eastAsia"/>
          <w:sz w:val="21"/>
          <w:szCs w:val="21"/>
          <w:lang w:eastAsia="zh-CN"/>
        </w:rPr>
        <w:t>问题，</w:t>
      </w:r>
      <w:r w:rsidR="001359AA" w:rsidRPr="00A46677">
        <w:rPr>
          <w:rFonts w:ascii="SimSun" w:eastAsia="SimSun" w:hAnsi="SimSun" w:cs="Arial" w:hint="eastAsia"/>
          <w:sz w:val="21"/>
          <w:szCs w:val="21"/>
          <w:lang w:eastAsia="zh-CN"/>
        </w:rPr>
        <w:t>并启动了关于</w:t>
      </w:r>
      <w:r w:rsidRPr="00A46677">
        <w:rPr>
          <w:rFonts w:ascii="SimSun" w:eastAsia="SimSun" w:hAnsi="SimSun" w:cs="Arial" w:hint="eastAsia"/>
          <w:sz w:val="21"/>
          <w:szCs w:val="21"/>
          <w:lang w:eastAsia="zh-CN"/>
        </w:rPr>
        <w:t>定义</w:t>
      </w:r>
      <w:r w:rsidR="001359AA" w:rsidRPr="00A46677">
        <w:rPr>
          <w:rFonts w:ascii="SimSun" w:eastAsia="SimSun" w:hAnsi="SimSun" w:cs="Arial" w:hint="eastAsia"/>
          <w:sz w:val="21"/>
          <w:szCs w:val="21"/>
          <w:lang w:eastAsia="zh-CN"/>
        </w:rPr>
        <w:t>的讨论</w:t>
      </w:r>
      <w:r w:rsidRPr="00A46677">
        <w:rPr>
          <w:rFonts w:ascii="SimSun" w:eastAsia="SimSun" w:hAnsi="SimSun" w:cs="Arial" w:hint="eastAsia"/>
          <w:sz w:val="21"/>
          <w:szCs w:val="21"/>
          <w:lang w:eastAsia="zh-CN"/>
        </w:rPr>
        <w:t>。</w:t>
      </w:r>
    </w:p>
    <w:p w:rsidR="008C016F" w:rsidRPr="00A46677" w:rsidRDefault="002F1D4A"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sz w:val="21"/>
          <w:szCs w:val="21"/>
          <w:lang w:eastAsia="zh-CN"/>
        </w:rPr>
        <w:t>讨论依据提交给SCCR第二十七届和第二十八届会议的关于这些问题的技术性非正式工作文件进行。利益攸关方提交、与会议期间非正式讨论中审议的一些具体问题有关的技术性解释被编成一份非正式文件。</w:t>
      </w:r>
    </w:p>
    <w:p w:rsidR="00441117" w:rsidRPr="00A46677" w:rsidRDefault="002F1D4A"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color w:val="000000"/>
          <w:sz w:val="21"/>
          <w:szCs w:val="21"/>
          <w:lang w:eastAsia="zh-CN"/>
        </w:rPr>
        <w:t>讨论有助于对</w:t>
      </w:r>
      <w:r w:rsidR="000B5D9E">
        <w:rPr>
          <w:rFonts w:ascii="SimSun" w:eastAsia="SimSun" w:hAnsi="SimSun" w:cs="Arial" w:hint="eastAsia"/>
          <w:color w:val="000000"/>
          <w:sz w:val="21"/>
          <w:szCs w:val="21"/>
          <w:lang w:eastAsia="zh-CN"/>
        </w:rPr>
        <w:t>认识将由委员会处理的保护</w:t>
      </w:r>
      <w:r w:rsidRPr="00A46677">
        <w:rPr>
          <w:rFonts w:ascii="SimSun" w:eastAsia="SimSun" w:hAnsi="SimSun" w:cs="Arial" w:hint="eastAsia"/>
          <w:color w:val="000000"/>
          <w:sz w:val="21"/>
          <w:szCs w:val="21"/>
          <w:lang w:eastAsia="zh-CN"/>
        </w:rPr>
        <w:t>传统意义上广播组织</w:t>
      </w:r>
      <w:r w:rsidR="000B5D9E">
        <w:rPr>
          <w:rFonts w:ascii="SimSun" w:eastAsia="SimSun" w:hAnsi="SimSun" w:cs="Arial" w:hint="eastAsia"/>
          <w:color w:val="000000"/>
          <w:sz w:val="21"/>
          <w:szCs w:val="21"/>
          <w:lang w:eastAsia="zh-CN"/>
        </w:rPr>
        <w:t>的不同选项</w:t>
      </w:r>
      <w:r w:rsidRPr="00A46677">
        <w:rPr>
          <w:rFonts w:ascii="SimSun" w:eastAsia="SimSun" w:hAnsi="SimSun" w:cs="Arial" w:hint="eastAsia"/>
          <w:color w:val="000000"/>
          <w:sz w:val="21"/>
          <w:szCs w:val="21"/>
          <w:lang w:eastAsia="zh-CN"/>
        </w:rPr>
        <w:t>的实质</w:t>
      </w:r>
      <w:r w:rsidR="00E7317A" w:rsidRPr="00A46677">
        <w:rPr>
          <w:rFonts w:ascii="SimSun" w:eastAsia="SimSun" w:hAnsi="SimSun" w:cs="Arial" w:hint="eastAsia"/>
          <w:color w:val="000000"/>
          <w:sz w:val="21"/>
          <w:szCs w:val="21"/>
          <w:lang w:eastAsia="zh-CN"/>
        </w:rPr>
        <w:t>起到了推动作用。</w:t>
      </w:r>
    </w:p>
    <w:p w:rsidR="00FF360E" w:rsidRPr="00A46677" w:rsidRDefault="000B5D9E"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Pr>
          <w:rFonts w:ascii="SimSun" w:eastAsia="SimSun" w:hAnsi="SimSun" w:cs="Arial" w:hint="eastAsia"/>
          <w:sz w:val="21"/>
          <w:szCs w:val="21"/>
          <w:lang w:eastAsia="zh-CN"/>
        </w:rPr>
        <w:t>部分成员国要求</w:t>
      </w:r>
      <w:r w:rsidR="00E7317A" w:rsidRPr="00A46677">
        <w:rPr>
          <w:rFonts w:ascii="SimSun" w:eastAsia="SimSun" w:hAnsi="SimSun" w:cs="Arial" w:hint="eastAsia"/>
          <w:sz w:val="21"/>
          <w:szCs w:val="21"/>
          <w:lang w:eastAsia="zh-CN"/>
        </w:rPr>
        <w:t>秘书处提供2010年研究报告“广播行业目前的市场和技术趋势”</w:t>
      </w:r>
      <w:r w:rsidR="00625CDE" w:rsidRPr="00A46677">
        <w:rPr>
          <w:rFonts w:ascii="SimSun" w:eastAsia="SimSun" w:hAnsi="SimSun" w:cs="Arial" w:hint="eastAsia"/>
          <w:sz w:val="21"/>
          <w:szCs w:val="21"/>
          <w:lang w:eastAsia="zh-CN"/>
        </w:rPr>
        <w:t>(</w:t>
      </w:r>
      <w:r w:rsidR="00E7317A" w:rsidRPr="00A46677">
        <w:rPr>
          <w:rFonts w:ascii="SimSun" w:eastAsia="SimSun" w:hAnsi="SimSun" w:cs="Arial" w:hint="eastAsia"/>
          <w:sz w:val="21"/>
          <w:szCs w:val="21"/>
          <w:lang w:eastAsia="zh-CN"/>
        </w:rPr>
        <w:t>文件SCCR/19/12</w:t>
      </w:r>
      <w:r w:rsidR="00625CDE" w:rsidRPr="00A46677">
        <w:rPr>
          <w:rFonts w:ascii="SimSun" w:eastAsia="SimSun" w:hAnsi="SimSun" w:cs="Arial" w:hint="eastAsia"/>
          <w:sz w:val="21"/>
          <w:szCs w:val="21"/>
          <w:lang w:eastAsia="zh-CN"/>
        </w:rPr>
        <w:t>)</w:t>
      </w:r>
      <w:r w:rsidR="00E7317A" w:rsidRPr="00A46677">
        <w:rPr>
          <w:rFonts w:ascii="SimSun" w:eastAsia="SimSun" w:hAnsi="SimSun" w:cs="Arial" w:hint="eastAsia"/>
          <w:sz w:val="21"/>
          <w:szCs w:val="21"/>
          <w:lang w:eastAsia="zh-CN"/>
        </w:rPr>
        <w:t>的更新稿，侧重</w:t>
      </w:r>
      <w:r w:rsidR="0070586C" w:rsidRPr="00A46677">
        <w:rPr>
          <w:rFonts w:ascii="SimSun" w:eastAsia="SimSun" w:hAnsi="SimSun" w:cs="Arial" w:hint="eastAsia"/>
          <w:sz w:val="21"/>
          <w:szCs w:val="21"/>
          <w:lang w:eastAsia="zh-CN"/>
        </w:rPr>
        <w:t>于</w:t>
      </w:r>
      <w:r w:rsidR="001359AA" w:rsidRPr="00A46677">
        <w:rPr>
          <w:rFonts w:ascii="SimSun" w:eastAsia="SimSun" w:hAnsi="SimSun" w:cs="Arial" w:hint="eastAsia"/>
          <w:sz w:val="21"/>
          <w:szCs w:val="21"/>
          <w:lang w:eastAsia="zh-CN"/>
        </w:rPr>
        <w:t>传统意义上的</w:t>
      </w:r>
      <w:r w:rsidR="0070586C" w:rsidRPr="00A46677">
        <w:rPr>
          <w:rFonts w:ascii="SimSun" w:eastAsia="SimSun" w:hAnsi="SimSun" w:cs="Arial" w:hint="eastAsia"/>
          <w:sz w:val="21"/>
          <w:szCs w:val="21"/>
          <w:lang w:eastAsia="zh-CN"/>
        </w:rPr>
        <w:t>有线广播组织和广播组织</w:t>
      </w:r>
      <w:r w:rsidR="00625CDE" w:rsidRPr="00A46677">
        <w:rPr>
          <w:rFonts w:ascii="SimSun" w:eastAsia="SimSun" w:hAnsi="SimSun" w:cs="Arial" w:hint="eastAsia"/>
          <w:sz w:val="21"/>
          <w:szCs w:val="21"/>
          <w:lang w:eastAsia="zh-CN"/>
        </w:rPr>
        <w:t>(</w:t>
      </w:r>
      <w:r w:rsidR="0070586C" w:rsidRPr="00A46677">
        <w:rPr>
          <w:rFonts w:ascii="SimSun" w:eastAsia="SimSun" w:hAnsi="SimSun" w:cs="Arial" w:hint="eastAsia"/>
          <w:sz w:val="21"/>
          <w:szCs w:val="21"/>
          <w:lang w:eastAsia="zh-CN"/>
        </w:rPr>
        <w:t>不论是公共组织还是商业组织</w:t>
      </w:r>
      <w:r w:rsidR="00625CDE" w:rsidRPr="00A46677">
        <w:rPr>
          <w:rFonts w:ascii="SimSun" w:eastAsia="SimSun" w:hAnsi="SimSun" w:cs="Arial" w:hint="eastAsia"/>
          <w:sz w:val="21"/>
          <w:szCs w:val="21"/>
          <w:lang w:eastAsia="zh-CN"/>
        </w:rPr>
        <w:t>)</w:t>
      </w:r>
      <w:r w:rsidR="0070586C" w:rsidRPr="00A46677">
        <w:rPr>
          <w:rFonts w:ascii="SimSun" w:eastAsia="SimSun" w:hAnsi="SimSun" w:cs="Arial" w:hint="eastAsia"/>
          <w:sz w:val="21"/>
          <w:szCs w:val="21"/>
          <w:lang w:eastAsia="zh-CN"/>
        </w:rPr>
        <w:t>对数字技术的使用，包括在发展中国家的使用，</w:t>
      </w:r>
      <w:r w:rsidR="00E7317A" w:rsidRPr="00A46677">
        <w:rPr>
          <w:rFonts w:ascii="SimSun" w:eastAsia="SimSun" w:hAnsi="SimSun" w:cs="Arial" w:hint="eastAsia"/>
          <w:sz w:val="21"/>
          <w:szCs w:val="21"/>
          <w:lang w:eastAsia="zh-CN"/>
        </w:rPr>
        <w:t>争取在SCCR第二十九届会议</w:t>
      </w:r>
      <w:r w:rsidR="0070586C" w:rsidRPr="00A46677">
        <w:rPr>
          <w:rFonts w:ascii="SimSun" w:eastAsia="SimSun" w:hAnsi="SimSun" w:cs="Arial" w:hint="eastAsia"/>
          <w:sz w:val="21"/>
          <w:szCs w:val="21"/>
          <w:lang w:eastAsia="zh-CN"/>
        </w:rPr>
        <w:t>上提交研究结果，为技术性讨论提供机会</w:t>
      </w:r>
      <w:r w:rsidR="00E7317A" w:rsidRPr="00A46677">
        <w:rPr>
          <w:rFonts w:ascii="SimSun" w:eastAsia="SimSun" w:hAnsi="SimSun" w:cs="Arial" w:hint="eastAsia"/>
          <w:sz w:val="21"/>
          <w:szCs w:val="21"/>
          <w:lang w:eastAsia="zh-CN"/>
        </w:rPr>
        <w:t>。</w:t>
      </w:r>
    </w:p>
    <w:p w:rsidR="00B62329" w:rsidRPr="00A46677" w:rsidRDefault="00E7317A"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sz w:val="21"/>
          <w:szCs w:val="21"/>
          <w:lang w:eastAsia="zh-CN"/>
        </w:rPr>
        <w:t>该项目将保留在SCCR第二十九届会议的议程上。</w:t>
      </w:r>
    </w:p>
    <w:p w:rsidR="0070586C" w:rsidRPr="00A46677" w:rsidRDefault="000B5D9E"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Pr>
          <w:rFonts w:ascii="SimSun" w:eastAsia="SimSun" w:hAnsi="SimSun" w:cs="Arial" w:hint="eastAsia"/>
          <w:sz w:val="21"/>
          <w:szCs w:val="21"/>
          <w:lang w:eastAsia="zh-CN"/>
        </w:rPr>
        <w:t>关于</w:t>
      </w:r>
      <w:r w:rsidR="001359AA" w:rsidRPr="00A46677">
        <w:rPr>
          <w:rFonts w:ascii="SimSun" w:eastAsia="SimSun" w:hAnsi="SimSun" w:cs="Arial" w:hint="eastAsia"/>
          <w:sz w:val="21"/>
          <w:szCs w:val="21"/>
          <w:lang w:eastAsia="zh-CN"/>
        </w:rPr>
        <w:t>给WIPO大会</w:t>
      </w:r>
      <w:r w:rsidR="0070586C" w:rsidRPr="00A46677">
        <w:rPr>
          <w:rFonts w:ascii="SimSun" w:eastAsia="SimSun" w:hAnsi="SimSun" w:cs="Arial"/>
          <w:sz w:val="21"/>
          <w:szCs w:val="21"/>
          <w:lang w:eastAsia="zh-CN"/>
        </w:rPr>
        <w:t>(WIPO/GA/46)</w:t>
      </w:r>
      <w:r w:rsidR="001359AA" w:rsidRPr="00A46677">
        <w:rPr>
          <w:rFonts w:ascii="SimSun" w:eastAsia="SimSun" w:hAnsi="SimSun" w:cs="Arial" w:hint="eastAsia"/>
          <w:sz w:val="21"/>
          <w:szCs w:val="21"/>
          <w:lang w:eastAsia="zh-CN"/>
        </w:rPr>
        <w:t>的</w:t>
      </w:r>
      <w:r w:rsidR="0070586C" w:rsidRPr="00A46677">
        <w:rPr>
          <w:rFonts w:ascii="SimSun" w:eastAsia="SimSun" w:hAnsi="SimSun" w:cs="Arial" w:hint="eastAsia"/>
          <w:sz w:val="21"/>
          <w:szCs w:val="21"/>
          <w:lang w:eastAsia="zh-CN"/>
        </w:rPr>
        <w:t>建议</w:t>
      </w:r>
      <w:r>
        <w:rPr>
          <w:rFonts w:ascii="SimSun" w:eastAsia="SimSun" w:hAnsi="SimSun" w:cs="Arial" w:hint="eastAsia"/>
          <w:sz w:val="21"/>
          <w:szCs w:val="21"/>
          <w:lang w:eastAsia="zh-CN"/>
        </w:rPr>
        <w:t>没有一致意见。</w:t>
      </w:r>
    </w:p>
    <w:p w:rsidR="0070586C" w:rsidRPr="00A46677" w:rsidRDefault="00483BEF" w:rsidP="000B5D9E">
      <w:pPr>
        <w:spacing w:beforeLines="100" w:before="240" w:afterLines="100" w:after="240" w:line="340" w:lineRule="atLeast"/>
        <w:jc w:val="both"/>
        <w:rPr>
          <w:rFonts w:ascii="SimHei" w:eastAsia="SimHei" w:hAnsi="SimHei" w:cs="Arial"/>
          <w:sz w:val="21"/>
          <w:szCs w:val="21"/>
          <w:lang w:eastAsia="zh-CN"/>
        </w:rPr>
      </w:pPr>
      <w:r w:rsidRPr="00A46677">
        <w:rPr>
          <w:rFonts w:ascii="SimHei" w:eastAsia="SimHei" w:hAnsi="SimHei" w:cs="Arial" w:hint="eastAsia"/>
          <w:sz w:val="21"/>
          <w:szCs w:val="21"/>
          <w:lang w:eastAsia="zh-CN"/>
        </w:rPr>
        <w:t>限制与例外</w:t>
      </w:r>
      <w:r>
        <w:rPr>
          <w:rFonts w:ascii="SimHei" w:eastAsia="SimHei" w:hAnsi="SimHei" w:cs="Arial" w:hint="eastAsia"/>
          <w:sz w:val="21"/>
          <w:szCs w:val="21"/>
          <w:lang w:eastAsia="zh-CN"/>
        </w:rPr>
        <w:t>：图书馆和档案馆</w:t>
      </w:r>
    </w:p>
    <w:p w:rsidR="0070586C" w:rsidRPr="00A46677" w:rsidRDefault="008F6D54" w:rsidP="000B5D9E">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sz w:val="21"/>
          <w:szCs w:val="21"/>
          <w:lang w:eastAsia="zh-CN"/>
        </w:rPr>
        <w:t>委员会根据SCCR第二十七届会议的成果和文件</w:t>
      </w:r>
      <w:r w:rsidRPr="00A46677">
        <w:rPr>
          <w:rFonts w:ascii="SimSun" w:eastAsia="SimSun" w:hAnsi="SimSun" w:cs="Arial"/>
          <w:sz w:val="21"/>
          <w:szCs w:val="21"/>
          <w:lang w:eastAsia="zh-CN"/>
        </w:rPr>
        <w:t>SCCR/26/3</w:t>
      </w:r>
      <w:r w:rsidRPr="00A46677">
        <w:rPr>
          <w:rFonts w:ascii="SimSun" w:eastAsia="SimSun" w:hAnsi="SimSun" w:cs="Arial" w:hint="eastAsia"/>
          <w:sz w:val="21"/>
          <w:szCs w:val="21"/>
          <w:lang w:eastAsia="zh-CN"/>
        </w:rPr>
        <w:t>及</w:t>
      </w:r>
      <w:r w:rsidRPr="00A46677">
        <w:rPr>
          <w:rFonts w:ascii="SimSun" w:eastAsia="SimSun" w:hAnsi="SimSun" w:cs="Arial"/>
          <w:sz w:val="21"/>
          <w:szCs w:val="21"/>
          <w:lang w:eastAsia="zh-CN"/>
        </w:rPr>
        <w:t>SCCR/26/8</w:t>
      </w:r>
      <w:r w:rsidRPr="00A46677">
        <w:rPr>
          <w:rFonts w:ascii="SimSun" w:eastAsia="SimSun" w:hAnsi="SimSun" w:cs="Arial" w:hint="eastAsia"/>
          <w:sz w:val="21"/>
          <w:szCs w:val="21"/>
          <w:lang w:eastAsia="zh-CN"/>
        </w:rPr>
        <w:t>，</w:t>
      </w:r>
      <w:r w:rsidR="000B5D9E" w:rsidRPr="000B5D9E">
        <w:rPr>
          <w:rFonts w:ascii="SimSun" w:eastAsia="SimSun" w:hAnsi="SimSun" w:cs="Arial" w:hint="eastAsia"/>
          <w:sz w:val="21"/>
          <w:szCs w:val="21"/>
          <w:lang w:eastAsia="zh-CN"/>
        </w:rPr>
        <w:t>继续进行讨论，以开展工作，争取制定一部或多部</w:t>
      </w:r>
      <w:r w:rsidR="000B5D9E">
        <w:rPr>
          <w:rFonts w:ascii="SimSun" w:eastAsia="SimSun" w:hAnsi="SimSun" w:cs="Arial" w:hint="eastAsia"/>
          <w:sz w:val="21"/>
          <w:szCs w:val="21"/>
          <w:lang w:eastAsia="zh-CN"/>
        </w:rPr>
        <w:t>有关图书馆和档案馆限制与例外的</w:t>
      </w:r>
      <w:r w:rsidR="000B5D9E" w:rsidRPr="000B5D9E">
        <w:rPr>
          <w:rFonts w:ascii="SimSun" w:eastAsia="SimSun" w:hAnsi="SimSun" w:cs="Arial" w:hint="eastAsia"/>
          <w:sz w:val="21"/>
          <w:szCs w:val="21"/>
          <w:lang w:eastAsia="zh-CN"/>
        </w:rPr>
        <w:t>适当国际法律文书(无论是示范法、联合建议、条约还是其他形式)</w:t>
      </w:r>
      <w:r w:rsidR="000B5D9E">
        <w:rPr>
          <w:rFonts w:ascii="SimSun" w:eastAsia="SimSun" w:hAnsi="SimSun" w:cs="Arial" w:hint="eastAsia"/>
          <w:sz w:val="21"/>
          <w:szCs w:val="21"/>
          <w:lang w:eastAsia="zh-CN"/>
        </w:rPr>
        <w:t>。讨论的重点是与这些限制和例外有关的</w:t>
      </w:r>
      <w:r w:rsidRPr="00A46677">
        <w:rPr>
          <w:rFonts w:ascii="SimSun" w:eastAsia="SimSun" w:hAnsi="SimSun" w:cs="Arial" w:hint="eastAsia"/>
          <w:sz w:val="21"/>
          <w:szCs w:val="21"/>
          <w:lang w:eastAsia="zh-CN"/>
        </w:rPr>
        <w:t>一般性</w:t>
      </w:r>
      <w:r w:rsidR="00483BEF">
        <w:rPr>
          <w:rFonts w:ascii="SimSun" w:eastAsia="SimSun" w:hAnsi="SimSun" w:cs="Arial" w:hint="eastAsia"/>
          <w:sz w:val="21"/>
          <w:szCs w:val="21"/>
          <w:lang w:eastAsia="zh-CN"/>
        </w:rPr>
        <w:t>主</w:t>
      </w:r>
      <w:r w:rsidRPr="00A46677">
        <w:rPr>
          <w:rFonts w:ascii="SimSun" w:eastAsia="SimSun" w:hAnsi="SimSun" w:cs="Arial" w:hint="eastAsia"/>
          <w:sz w:val="21"/>
          <w:szCs w:val="21"/>
          <w:lang w:eastAsia="zh-CN"/>
        </w:rPr>
        <w:t>题，即采用国家例外，支持研究和人的发展，以及数字环境中的例外和限制；</w:t>
      </w:r>
      <w:r w:rsidR="00483BEF">
        <w:rPr>
          <w:rFonts w:ascii="SimSun" w:eastAsia="SimSun" w:hAnsi="SimSun" w:cs="Arial" w:hint="eastAsia"/>
          <w:sz w:val="21"/>
          <w:szCs w:val="21"/>
          <w:lang w:eastAsia="zh-CN"/>
        </w:rPr>
        <w:t>还讨论了</w:t>
      </w:r>
      <w:r w:rsidRPr="00A46677">
        <w:rPr>
          <w:rFonts w:ascii="SimSun" w:eastAsia="SimSun" w:hAnsi="SimSun" w:cs="Arial" w:hint="eastAsia"/>
          <w:sz w:val="21"/>
          <w:szCs w:val="21"/>
          <w:lang w:eastAsia="zh-CN"/>
        </w:rPr>
        <w:t>与SCCR</w:t>
      </w:r>
      <w:r w:rsidR="001359AA" w:rsidRPr="00A46677">
        <w:rPr>
          <w:rFonts w:ascii="SimSun" w:eastAsia="SimSun" w:hAnsi="SimSun" w:cs="Arial" w:hint="eastAsia"/>
          <w:sz w:val="21"/>
          <w:szCs w:val="21"/>
          <w:lang w:eastAsia="zh-CN"/>
        </w:rPr>
        <w:t>往</w:t>
      </w:r>
      <w:r w:rsidR="00483BEF">
        <w:rPr>
          <w:rFonts w:ascii="SimSun" w:eastAsia="SimSun" w:hAnsi="SimSun" w:cs="Arial" w:hint="eastAsia"/>
          <w:sz w:val="21"/>
          <w:szCs w:val="21"/>
          <w:lang w:eastAsia="zh-CN"/>
        </w:rPr>
        <w:t>届</w:t>
      </w:r>
      <w:r w:rsidRPr="00A46677">
        <w:rPr>
          <w:rFonts w:ascii="SimSun" w:eastAsia="SimSun" w:hAnsi="SimSun" w:cs="Arial" w:hint="eastAsia"/>
          <w:sz w:val="21"/>
          <w:szCs w:val="21"/>
          <w:lang w:eastAsia="zh-CN"/>
        </w:rPr>
        <w:t>会议确认的11项议题有关的具体主题</w:t>
      </w:r>
      <w:r w:rsidR="001359AA" w:rsidRPr="00A46677">
        <w:rPr>
          <w:rFonts w:ascii="SimSun" w:eastAsia="SimSun" w:hAnsi="SimSun" w:cs="Arial" w:hint="eastAsia"/>
          <w:sz w:val="21"/>
          <w:szCs w:val="21"/>
          <w:lang w:eastAsia="zh-CN"/>
        </w:rPr>
        <w:t>，即保存、复制权</w:t>
      </w:r>
      <w:r w:rsidR="001359AA" w:rsidRPr="00A46677">
        <w:rPr>
          <w:rFonts w:hint="eastAsia"/>
          <w:sz w:val="21"/>
          <w:szCs w:val="21"/>
          <w:lang w:eastAsia="zh-CN"/>
        </w:rPr>
        <w:t>与备用复制品和法定缴存</w:t>
      </w:r>
      <w:r w:rsidRPr="00A46677">
        <w:rPr>
          <w:rFonts w:ascii="SimSun" w:eastAsia="SimSun" w:hAnsi="SimSun" w:cs="Arial" w:hint="eastAsia"/>
          <w:sz w:val="21"/>
          <w:szCs w:val="21"/>
          <w:lang w:eastAsia="zh-CN"/>
        </w:rPr>
        <w:t>。</w:t>
      </w:r>
    </w:p>
    <w:p w:rsidR="0070586C" w:rsidRDefault="008F6D54" w:rsidP="00A46677">
      <w:pPr>
        <w:pStyle w:val="a5"/>
        <w:numPr>
          <w:ilvl w:val="0"/>
          <w:numId w:val="3"/>
        </w:numPr>
        <w:spacing w:afterLines="50" w:after="120" w:line="340" w:lineRule="atLeast"/>
        <w:ind w:left="0" w:firstLineChars="0" w:firstLine="0"/>
        <w:jc w:val="both"/>
        <w:rPr>
          <w:rFonts w:ascii="SimSun" w:eastAsia="SimSun" w:hAnsi="SimSun" w:cs="Arial" w:hint="eastAsia"/>
          <w:sz w:val="21"/>
          <w:szCs w:val="21"/>
          <w:lang w:eastAsia="zh-CN"/>
        </w:rPr>
      </w:pPr>
      <w:r w:rsidRPr="00A46677">
        <w:rPr>
          <w:rFonts w:ascii="SimSun" w:eastAsia="SimSun" w:hAnsi="SimSun" w:cs="Arial" w:hint="eastAsia"/>
          <w:sz w:val="21"/>
          <w:szCs w:val="21"/>
          <w:lang w:eastAsia="zh-CN"/>
        </w:rPr>
        <w:t>与会代表团还提到了其他总原则中</w:t>
      </w:r>
      <w:r w:rsidR="00483BEF" w:rsidRPr="00A46677">
        <w:rPr>
          <w:rFonts w:ascii="SimSun" w:eastAsia="SimSun" w:hAnsi="SimSun" w:cs="Arial" w:hint="eastAsia"/>
          <w:sz w:val="21"/>
          <w:szCs w:val="21"/>
          <w:lang w:eastAsia="zh-CN"/>
        </w:rPr>
        <w:t>被认为是</w:t>
      </w:r>
      <w:r w:rsidRPr="00A46677">
        <w:rPr>
          <w:rFonts w:ascii="SimSun" w:eastAsia="SimSun" w:hAnsi="SimSun" w:cs="Arial" w:hint="eastAsia"/>
          <w:sz w:val="21"/>
          <w:szCs w:val="21"/>
          <w:lang w:eastAsia="zh-CN"/>
        </w:rPr>
        <w:t>一般性和具体主题</w:t>
      </w:r>
      <w:r w:rsidR="00483BEF">
        <w:rPr>
          <w:rFonts w:ascii="SimSun" w:eastAsia="SimSun" w:hAnsi="SimSun" w:cs="Arial" w:hint="eastAsia"/>
          <w:sz w:val="21"/>
          <w:szCs w:val="21"/>
          <w:lang w:eastAsia="zh-CN"/>
        </w:rPr>
        <w:t>的主题</w:t>
      </w:r>
      <w:r w:rsidRPr="00A46677">
        <w:rPr>
          <w:rFonts w:ascii="SimSun" w:eastAsia="SimSun" w:hAnsi="SimSun" w:cs="Arial" w:hint="eastAsia"/>
          <w:sz w:val="21"/>
          <w:szCs w:val="21"/>
          <w:lang w:eastAsia="zh-CN"/>
        </w:rPr>
        <w:t>。</w:t>
      </w:r>
    </w:p>
    <w:p w:rsidR="000B5D9E" w:rsidRPr="00A46677" w:rsidRDefault="000B5D9E" w:rsidP="004441DF">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Pr>
          <w:rFonts w:ascii="SimSun" w:eastAsia="SimSun" w:hAnsi="SimSun" w:cs="Arial" w:hint="eastAsia"/>
          <w:sz w:val="21"/>
          <w:szCs w:val="21"/>
          <w:lang w:eastAsia="zh-CN"/>
        </w:rPr>
        <w:t>文件</w:t>
      </w:r>
      <w:r w:rsidRPr="000B5D9E">
        <w:rPr>
          <w:rFonts w:ascii="SimSun" w:eastAsia="SimSun" w:hAnsi="SimSun" w:cs="Arial"/>
          <w:sz w:val="21"/>
          <w:szCs w:val="21"/>
          <w:lang w:eastAsia="zh-CN"/>
        </w:rPr>
        <w:t>SCCR/26/3</w:t>
      </w:r>
      <w:r w:rsidR="004441DF">
        <w:rPr>
          <w:rFonts w:ascii="SimSun" w:eastAsia="SimSun" w:hAnsi="SimSun" w:cs="Arial" w:hint="eastAsia"/>
          <w:sz w:val="21"/>
          <w:szCs w:val="21"/>
          <w:lang w:eastAsia="zh-CN"/>
        </w:rPr>
        <w:t>中某些案文建议的支持方宣布，他们编拟并提交了合并稿，以取代这些案文建议以往的版本。</w:t>
      </w:r>
    </w:p>
    <w:p w:rsidR="0070586C" w:rsidRPr="00A46677" w:rsidRDefault="008F6D54"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color w:val="000000"/>
          <w:sz w:val="21"/>
          <w:szCs w:val="21"/>
          <w:lang w:eastAsia="zh-CN"/>
        </w:rPr>
        <w:t>讨论</w:t>
      </w:r>
      <w:r w:rsidRPr="00A46677">
        <w:rPr>
          <w:rFonts w:ascii="SimSun" w:eastAsia="SimSun" w:hAnsi="SimSun" w:cs="Arial" w:hint="eastAsia"/>
          <w:sz w:val="21"/>
          <w:szCs w:val="21"/>
          <w:lang w:eastAsia="zh-CN"/>
        </w:rPr>
        <w:t>有助于</w:t>
      </w:r>
      <w:r w:rsidRPr="00A46677">
        <w:rPr>
          <w:rFonts w:ascii="SimSun" w:eastAsia="SimSun" w:hAnsi="SimSun" w:cs="Arial" w:hint="eastAsia"/>
          <w:color w:val="000000"/>
          <w:sz w:val="21"/>
          <w:szCs w:val="21"/>
          <w:lang w:eastAsia="zh-CN"/>
        </w:rPr>
        <w:t>增</w:t>
      </w:r>
      <w:proofErr w:type="gramStart"/>
      <w:r w:rsidRPr="00A46677">
        <w:rPr>
          <w:rFonts w:ascii="SimSun" w:eastAsia="SimSun" w:hAnsi="SimSun" w:cs="Arial" w:hint="eastAsia"/>
          <w:color w:val="000000"/>
          <w:sz w:val="21"/>
          <w:szCs w:val="21"/>
          <w:lang w:eastAsia="zh-CN"/>
        </w:rPr>
        <w:t>近人们</w:t>
      </w:r>
      <w:proofErr w:type="gramEnd"/>
      <w:r w:rsidR="004441DF">
        <w:rPr>
          <w:rFonts w:ascii="SimSun" w:eastAsia="SimSun" w:hAnsi="SimSun" w:cs="Arial" w:hint="eastAsia"/>
          <w:color w:val="000000"/>
          <w:sz w:val="21"/>
          <w:szCs w:val="21"/>
          <w:lang w:eastAsia="zh-CN"/>
        </w:rPr>
        <w:t>认识为</w:t>
      </w:r>
      <w:r w:rsidRPr="00A46677">
        <w:rPr>
          <w:rFonts w:ascii="SimSun" w:eastAsia="SimSun" w:hAnsi="SimSun" w:cs="Arial" w:hint="eastAsia"/>
          <w:color w:val="000000"/>
          <w:sz w:val="21"/>
          <w:szCs w:val="21"/>
          <w:lang w:eastAsia="zh-CN"/>
        </w:rPr>
        <w:t>图书馆和</w:t>
      </w:r>
      <w:r w:rsidRPr="00A46677">
        <w:rPr>
          <w:rFonts w:ascii="SimSun" w:eastAsia="SimSun" w:hAnsi="SimSun" w:cs="Arial" w:hint="eastAsia"/>
          <w:sz w:val="21"/>
          <w:szCs w:val="21"/>
          <w:lang w:eastAsia="zh-CN"/>
        </w:rPr>
        <w:t>档案馆</w:t>
      </w:r>
      <w:r w:rsidR="004441DF">
        <w:rPr>
          <w:rFonts w:ascii="SimSun" w:eastAsia="SimSun" w:hAnsi="SimSun" w:cs="Arial" w:hint="eastAsia"/>
          <w:sz w:val="21"/>
          <w:szCs w:val="21"/>
          <w:lang w:eastAsia="zh-CN"/>
        </w:rPr>
        <w:t>提供限制与例外的必要性</w:t>
      </w:r>
      <w:r w:rsidRPr="00A46677">
        <w:rPr>
          <w:rFonts w:ascii="SimSun" w:eastAsia="SimSun" w:hAnsi="SimSun" w:cs="Arial" w:hint="eastAsia"/>
          <w:color w:val="000000"/>
          <w:sz w:val="21"/>
          <w:szCs w:val="21"/>
          <w:lang w:eastAsia="zh-CN"/>
        </w:rPr>
        <w:t>，特别是数字环境中的</w:t>
      </w:r>
      <w:r w:rsidR="004441DF">
        <w:rPr>
          <w:rFonts w:ascii="SimSun" w:eastAsia="SimSun" w:hAnsi="SimSun" w:cs="Arial" w:hint="eastAsia"/>
          <w:color w:val="000000"/>
          <w:sz w:val="21"/>
          <w:szCs w:val="21"/>
          <w:lang w:eastAsia="zh-CN"/>
        </w:rPr>
        <w:t>必要性</w:t>
      </w:r>
      <w:r w:rsidRPr="00A46677">
        <w:rPr>
          <w:rFonts w:ascii="SimSun" w:eastAsia="SimSun" w:hAnsi="SimSun" w:cs="Arial" w:hint="eastAsia"/>
          <w:color w:val="000000"/>
          <w:sz w:val="21"/>
          <w:szCs w:val="21"/>
          <w:lang w:eastAsia="zh-CN"/>
        </w:rPr>
        <w:t>。</w:t>
      </w:r>
    </w:p>
    <w:p w:rsidR="0070586C" w:rsidRPr="00A46677" w:rsidRDefault="008F6D54"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sz w:val="21"/>
          <w:szCs w:val="21"/>
          <w:lang w:eastAsia="zh-CN"/>
        </w:rPr>
        <w:t>该项目将保留在SCCR第二十九届会议的议程上。</w:t>
      </w:r>
    </w:p>
    <w:p w:rsidR="0070586C" w:rsidRPr="00A46677" w:rsidRDefault="004441DF"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Pr>
          <w:rFonts w:ascii="SimSun" w:eastAsia="SimSun" w:hAnsi="SimSun" w:cs="Arial" w:hint="eastAsia"/>
          <w:sz w:val="21"/>
          <w:szCs w:val="21"/>
          <w:lang w:eastAsia="zh-CN"/>
        </w:rPr>
        <w:t>关于</w:t>
      </w:r>
      <w:r w:rsidR="001359AA" w:rsidRPr="00A46677">
        <w:rPr>
          <w:rFonts w:ascii="SimSun" w:eastAsia="SimSun" w:hAnsi="SimSun" w:cs="Arial" w:hint="eastAsia"/>
          <w:sz w:val="21"/>
          <w:szCs w:val="21"/>
          <w:lang w:eastAsia="zh-CN"/>
        </w:rPr>
        <w:t>给WIPO大会</w:t>
      </w:r>
      <w:r w:rsidR="001359AA" w:rsidRPr="00A46677">
        <w:rPr>
          <w:rFonts w:ascii="SimSun" w:eastAsia="SimSun" w:hAnsi="SimSun" w:cs="Arial"/>
          <w:sz w:val="21"/>
          <w:szCs w:val="21"/>
          <w:lang w:eastAsia="zh-CN"/>
        </w:rPr>
        <w:t>(WIPO/GA/46)</w:t>
      </w:r>
      <w:r w:rsidR="001359AA" w:rsidRPr="00A46677">
        <w:rPr>
          <w:rFonts w:ascii="SimSun" w:eastAsia="SimSun" w:hAnsi="SimSun" w:cs="Arial" w:hint="eastAsia"/>
          <w:sz w:val="21"/>
          <w:szCs w:val="21"/>
          <w:lang w:eastAsia="zh-CN"/>
        </w:rPr>
        <w:t>的建议</w:t>
      </w:r>
      <w:r>
        <w:rPr>
          <w:rFonts w:ascii="SimSun" w:eastAsia="SimSun" w:hAnsi="SimSun" w:cs="Arial" w:hint="eastAsia"/>
          <w:sz w:val="21"/>
          <w:szCs w:val="21"/>
          <w:lang w:eastAsia="zh-CN"/>
        </w:rPr>
        <w:t>没有一致意见。</w:t>
      </w:r>
    </w:p>
    <w:p w:rsidR="000E6B13" w:rsidRPr="00A46677" w:rsidRDefault="000E6B13" w:rsidP="00A46677">
      <w:pPr>
        <w:spacing w:beforeLines="100" w:before="240" w:afterLines="100" w:after="240" w:line="340" w:lineRule="atLeast"/>
        <w:jc w:val="both"/>
        <w:rPr>
          <w:rFonts w:ascii="SimHei" w:eastAsia="SimHei" w:hAnsi="SimHei" w:cs="Arial"/>
          <w:sz w:val="21"/>
          <w:szCs w:val="21"/>
          <w:lang w:eastAsia="zh-CN"/>
        </w:rPr>
      </w:pPr>
      <w:r w:rsidRPr="00A46677">
        <w:rPr>
          <w:rFonts w:ascii="SimHei" w:eastAsia="SimHei" w:hAnsi="SimHei" w:cs="Arial" w:hint="eastAsia"/>
          <w:sz w:val="21"/>
          <w:szCs w:val="21"/>
          <w:lang w:eastAsia="zh-CN"/>
        </w:rPr>
        <w:lastRenderedPageBreak/>
        <w:t>限制与例外：教育和研究机构及其他残疾人</w:t>
      </w:r>
    </w:p>
    <w:p w:rsidR="000E6B13" w:rsidRPr="00A46677" w:rsidRDefault="000E6B13"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sz w:val="21"/>
          <w:szCs w:val="21"/>
          <w:lang w:eastAsia="zh-CN"/>
        </w:rPr>
        <w:t>委员会</w:t>
      </w:r>
      <w:r w:rsidR="00483BEF">
        <w:rPr>
          <w:rFonts w:ascii="SimSun" w:eastAsia="SimSun" w:hAnsi="SimSun" w:cs="Arial" w:hint="eastAsia"/>
          <w:sz w:val="21"/>
          <w:szCs w:val="21"/>
          <w:lang w:eastAsia="zh-CN"/>
        </w:rPr>
        <w:t>根据</w:t>
      </w:r>
      <w:r w:rsidRPr="00A46677">
        <w:rPr>
          <w:rFonts w:ascii="SimSun" w:eastAsia="SimSun" w:hAnsi="SimSun" w:cs="Arial" w:hint="eastAsia"/>
          <w:sz w:val="21"/>
          <w:szCs w:val="21"/>
          <w:lang w:eastAsia="zh-CN"/>
        </w:rPr>
        <w:t>SCCR第二十七届会议的成果和文件</w:t>
      </w:r>
      <w:r w:rsidRPr="00A46677">
        <w:rPr>
          <w:rFonts w:ascii="SimSun" w:eastAsia="SimSun" w:hAnsi="SimSun" w:cs="Arial"/>
          <w:sz w:val="21"/>
          <w:szCs w:val="21"/>
          <w:lang w:eastAsia="zh-CN"/>
        </w:rPr>
        <w:t>SCCR/26/</w:t>
      </w:r>
      <w:r w:rsidRPr="00A46677">
        <w:rPr>
          <w:rFonts w:ascii="SimSun" w:eastAsia="SimSun" w:hAnsi="SimSun" w:cs="Arial" w:hint="eastAsia"/>
          <w:sz w:val="21"/>
          <w:szCs w:val="21"/>
          <w:lang w:eastAsia="zh-CN"/>
        </w:rPr>
        <w:t>4及</w:t>
      </w:r>
      <w:r w:rsidRPr="00A46677">
        <w:rPr>
          <w:rFonts w:ascii="SimSun" w:eastAsia="SimSun" w:hAnsi="SimSun" w:cs="Arial"/>
          <w:sz w:val="21"/>
          <w:szCs w:val="21"/>
          <w:lang w:eastAsia="zh-CN"/>
        </w:rPr>
        <w:t>SCCR/2</w:t>
      </w:r>
      <w:r w:rsidRPr="00A46677">
        <w:rPr>
          <w:rFonts w:ascii="SimSun" w:eastAsia="SimSun" w:hAnsi="SimSun" w:cs="Arial" w:hint="eastAsia"/>
          <w:sz w:val="21"/>
          <w:szCs w:val="21"/>
          <w:lang w:eastAsia="zh-CN"/>
        </w:rPr>
        <w:t>7</w:t>
      </w:r>
      <w:r w:rsidRPr="00A46677">
        <w:rPr>
          <w:rFonts w:ascii="SimSun" w:eastAsia="SimSun" w:hAnsi="SimSun" w:cs="Arial"/>
          <w:sz w:val="21"/>
          <w:szCs w:val="21"/>
          <w:lang w:eastAsia="zh-CN"/>
        </w:rPr>
        <w:t>/8</w:t>
      </w:r>
      <w:r w:rsidRPr="00A46677">
        <w:rPr>
          <w:rFonts w:ascii="SimSun" w:eastAsia="SimSun" w:hAnsi="SimSun" w:cs="Arial" w:hint="eastAsia"/>
          <w:sz w:val="21"/>
          <w:szCs w:val="21"/>
          <w:lang w:eastAsia="zh-CN"/>
        </w:rPr>
        <w:t>，就</w:t>
      </w:r>
      <w:r w:rsidR="00435478" w:rsidRPr="00A46677">
        <w:rPr>
          <w:rFonts w:ascii="SimSun" w:eastAsia="SimSun" w:hAnsi="SimSun" w:cs="Arial" w:hint="eastAsia"/>
          <w:sz w:val="21"/>
          <w:szCs w:val="21"/>
          <w:lang w:eastAsia="zh-CN"/>
        </w:rPr>
        <w:t>教育和研究机构及其他残疾人的限制与例外</w:t>
      </w:r>
      <w:r w:rsidR="004441DF">
        <w:rPr>
          <w:rFonts w:ascii="SimSun" w:eastAsia="SimSun" w:hAnsi="SimSun" w:cs="Arial" w:hint="eastAsia"/>
          <w:sz w:val="21"/>
          <w:szCs w:val="21"/>
          <w:lang w:eastAsia="zh-CN"/>
        </w:rPr>
        <w:t>交换了意见，并</w:t>
      </w:r>
      <w:r w:rsidR="004441DF" w:rsidRPr="00A46677">
        <w:rPr>
          <w:rFonts w:ascii="SimSun" w:eastAsia="SimSun" w:hAnsi="SimSun" w:cs="Arial" w:hint="eastAsia"/>
          <w:sz w:val="21"/>
          <w:szCs w:val="21"/>
          <w:lang w:eastAsia="zh-CN"/>
        </w:rPr>
        <w:t>重申了</w:t>
      </w:r>
      <w:r w:rsidR="004441DF">
        <w:rPr>
          <w:rFonts w:ascii="SimSun" w:eastAsia="SimSun" w:hAnsi="SimSun" w:cs="Arial" w:hint="eastAsia"/>
          <w:sz w:val="21"/>
          <w:szCs w:val="21"/>
          <w:lang w:eastAsia="zh-CN"/>
        </w:rPr>
        <w:t>这些主题的</w:t>
      </w:r>
      <w:r w:rsidR="00702BFE" w:rsidRPr="00A46677">
        <w:rPr>
          <w:rFonts w:ascii="SimSun" w:eastAsia="SimSun" w:hAnsi="SimSun" w:cs="Arial" w:hint="eastAsia"/>
          <w:sz w:val="21"/>
          <w:szCs w:val="21"/>
          <w:lang w:eastAsia="zh-CN"/>
        </w:rPr>
        <w:t>重要性</w:t>
      </w:r>
      <w:r w:rsidR="00483BEF">
        <w:rPr>
          <w:rFonts w:ascii="SimSun" w:eastAsia="SimSun" w:hAnsi="SimSun" w:cs="Arial" w:hint="eastAsia"/>
          <w:sz w:val="21"/>
          <w:szCs w:val="21"/>
          <w:lang w:eastAsia="zh-CN"/>
        </w:rPr>
        <w:t>。</w:t>
      </w:r>
    </w:p>
    <w:p w:rsidR="000E6B13" w:rsidRPr="00A46677" w:rsidRDefault="00702BFE"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hint="eastAsia"/>
          <w:sz w:val="21"/>
          <w:szCs w:val="21"/>
          <w:lang w:eastAsia="zh-CN"/>
        </w:rPr>
        <w:t>该项目将保留在SCCR第二十九届会议的议程上。</w:t>
      </w:r>
    </w:p>
    <w:p w:rsidR="000E6B13" w:rsidRPr="00A46677" w:rsidRDefault="000E6B13" w:rsidP="00A46677">
      <w:pPr>
        <w:spacing w:beforeLines="100" w:before="240" w:afterLines="100" w:after="240" w:line="340" w:lineRule="atLeast"/>
        <w:jc w:val="both"/>
        <w:rPr>
          <w:rFonts w:ascii="SimHei" w:eastAsia="SimHei" w:hAnsi="SimHei" w:cs="Arial"/>
          <w:sz w:val="21"/>
          <w:szCs w:val="21"/>
          <w:lang w:eastAsia="zh-CN"/>
        </w:rPr>
      </w:pPr>
      <w:r w:rsidRPr="00A46677">
        <w:rPr>
          <w:rFonts w:ascii="SimHei" w:eastAsia="SimHei" w:hAnsi="SimHei" w:cs="Arial"/>
          <w:sz w:val="21"/>
          <w:szCs w:val="21"/>
          <w:lang w:eastAsia="zh-CN"/>
        </w:rPr>
        <w:t>SCCR</w:t>
      </w:r>
      <w:r w:rsidRPr="00A46677">
        <w:rPr>
          <w:rFonts w:ascii="SimHei" w:eastAsia="SimHei" w:hAnsi="SimHei" w:cs="Arial" w:hint="eastAsia"/>
          <w:sz w:val="21"/>
          <w:szCs w:val="21"/>
          <w:lang w:eastAsia="zh-CN"/>
        </w:rPr>
        <w:t>对落实发展议程相关建议的贡献</w:t>
      </w:r>
    </w:p>
    <w:p w:rsidR="000E6B13" w:rsidRPr="00A46677" w:rsidRDefault="004441DF"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Pr>
          <w:rFonts w:ascii="SimSun" w:eastAsia="SimSun" w:hAnsi="SimSun" w:cs="Arial" w:hint="eastAsia"/>
          <w:sz w:val="21"/>
          <w:szCs w:val="21"/>
          <w:lang w:eastAsia="zh-CN"/>
        </w:rPr>
        <w:t>几个代表团就该议程项目作了发言。</w:t>
      </w:r>
      <w:r w:rsidR="00702BFE" w:rsidRPr="00A46677">
        <w:rPr>
          <w:rFonts w:ascii="SimSun" w:eastAsia="SimSun" w:hAnsi="SimSun" w:cs="Arial" w:hint="eastAsia"/>
          <w:sz w:val="21"/>
          <w:szCs w:val="21"/>
          <w:lang w:eastAsia="zh-CN"/>
        </w:rPr>
        <w:t>主席指出，所有关于SCCR对落实发展议程相关建议所作贡献的发言</w:t>
      </w:r>
      <w:r>
        <w:rPr>
          <w:rFonts w:ascii="SimSun" w:eastAsia="SimSun" w:hAnsi="SimSun" w:cs="Arial" w:hint="eastAsia"/>
          <w:sz w:val="21"/>
          <w:szCs w:val="21"/>
          <w:lang w:eastAsia="zh-CN"/>
        </w:rPr>
        <w:t>，包括2014年7月11日之前书面提交给秘书处的发言，</w:t>
      </w:r>
      <w:r w:rsidR="00702BFE" w:rsidRPr="00A46677">
        <w:rPr>
          <w:rFonts w:ascii="SimSun" w:eastAsia="SimSun" w:hAnsi="SimSun" w:cs="Arial" w:hint="eastAsia"/>
          <w:sz w:val="21"/>
          <w:szCs w:val="21"/>
          <w:lang w:eastAsia="zh-CN"/>
        </w:rPr>
        <w:t>将被记录在SCCR第二十八届会议的报告中，并将按照WIPO大会就发展议程协调机制</w:t>
      </w:r>
      <w:proofErr w:type="gramStart"/>
      <w:r w:rsidR="00702BFE" w:rsidRPr="00A46677">
        <w:rPr>
          <w:rFonts w:ascii="SimSun" w:eastAsia="SimSun" w:hAnsi="SimSun" w:cs="Arial" w:hint="eastAsia"/>
          <w:sz w:val="21"/>
          <w:szCs w:val="21"/>
          <w:lang w:eastAsia="zh-CN"/>
        </w:rPr>
        <w:t>作出</w:t>
      </w:r>
      <w:proofErr w:type="gramEnd"/>
      <w:r w:rsidR="00702BFE" w:rsidRPr="00A46677">
        <w:rPr>
          <w:rFonts w:ascii="SimSun" w:eastAsia="SimSun" w:hAnsi="SimSun" w:cs="Arial" w:hint="eastAsia"/>
          <w:sz w:val="21"/>
          <w:szCs w:val="21"/>
          <w:lang w:eastAsia="zh-CN"/>
        </w:rPr>
        <w:t>的决定，转送WIPO大会。</w:t>
      </w:r>
    </w:p>
    <w:p w:rsidR="000E6B13" w:rsidRPr="00A46677" w:rsidRDefault="00702BFE" w:rsidP="00A46677">
      <w:pPr>
        <w:spacing w:beforeLines="100" w:before="240" w:afterLines="100" w:after="240" w:line="340" w:lineRule="atLeast"/>
        <w:jc w:val="both"/>
        <w:rPr>
          <w:rFonts w:ascii="SimHei" w:eastAsia="SimHei" w:hAnsi="SimHei" w:cs="Arial"/>
          <w:sz w:val="21"/>
          <w:szCs w:val="21"/>
          <w:lang w:eastAsia="zh-CN"/>
        </w:rPr>
      </w:pPr>
      <w:r w:rsidRPr="00A46677">
        <w:rPr>
          <w:rFonts w:ascii="SimHei" w:eastAsia="SimHei" w:hAnsi="SimHei" w:cs="Arial"/>
          <w:sz w:val="21"/>
          <w:szCs w:val="21"/>
          <w:lang w:eastAsia="zh-CN"/>
        </w:rPr>
        <w:t>SCCR</w:t>
      </w:r>
      <w:r w:rsidRPr="00A46677">
        <w:rPr>
          <w:rFonts w:ascii="SimHei" w:eastAsia="SimHei" w:hAnsi="SimHei" w:cs="Arial" w:hint="eastAsia"/>
          <w:sz w:val="21"/>
          <w:szCs w:val="21"/>
          <w:lang w:eastAsia="zh-CN"/>
        </w:rPr>
        <w:t>下届会议</w:t>
      </w:r>
    </w:p>
    <w:p w:rsidR="000E6B13" w:rsidRPr="00A46677" w:rsidRDefault="000E6B13"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sidRPr="00A46677">
        <w:rPr>
          <w:rFonts w:ascii="SimSun" w:eastAsia="SimSun" w:hAnsi="SimSun" w:cs="Arial"/>
          <w:sz w:val="21"/>
          <w:szCs w:val="21"/>
          <w:lang w:eastAsia="zh-CN"/>
        </w:rPr>
        <w:t>SCCR</w:t>
      </w:r>
      <w:r w:rsidR="00702BFE" w:rsidRPr="00A46677">
        <w:rPr>
          <w:rFonts w:ascii="SimSun" w:eastAsia="SimSun" w:hAnsi="SimSun" w:cs="Arial" w:hint="eastAsia"/>
          <w:sz w:val="21"/>
          <w:szCs w:val="21"/>
          <w:lang w:eastAsia="zh-CN"/>
        </w:rPr>
        <w:t>第二十九届会议将于2014年12月8日至12日举行。</w:t>
      </w:r>
    </w:p>
    <w:p w:rsidR="000E6B13" w:rsidRPr="00A46677" w:rsidRDefault="004441DF" w:rsidP="00A46677">
      <w:pPr>
        <w:pStyle w:val="a5"/>
        <w:numPr>
          <w:ilvl w:val="0"/>
          <w:numId w:val="3"/>
        </w:numPr>
        <w:spacing w:afterLines="50" w:after="120" w:line="340" w:lineRule="atLeast"/>
        <w:ind w:left="0" w:firstLineChars="0" w:firstLine="0"/>
        <w:jc w:val="both"/>
        <w:rPr>
          <w:rFonts w:ascii="SimSun" w:eastAsia="SimSun" w:hAnsi="SimSun" w:cs="Arial"/>
          <w:sz w:val="21"/>
          <w:szCs w:val="21"/>
          <w:lang w:eastAsia="zh-CN"/>
        </w:rPr>
      </w:pPr>
      <w:r>
        <w:rPr>
          <w:rFonts w:ascii="SimSun" w:eastAsia="SimSun" w:hAnsi="SimSun" w:cs="Arial" w:hint="eastAsia"/>
          <w:sz w:val="21"/>
          <w:szCs w:val="21"/>
          <w:lang w:eastAsia="zh-CN"/>
        </w:rPr>
        <w:t>主席关于未来工作的建议：</w:t>
      </w:r>
      <w:r w:rsidR="00E4345C" w:rsidRPr="00A46677">
        <w:rPr>
          <w:rFonts w:ascii="SimSun" w:eastAsia="SimSun" w:hAnsi="SimSun" w:cs="Arial"/>
          <w:sz w:val="21"/>
          <w:szCs w:val="21"/>
          <w:lang w:eastAsia="zh-CN"/>
        </w:rPr>
        <w:t>SCCR</w:t>
      </w:r>
      <w:r w:rsidR="00E4345C" w:rsidRPr="00A46677">
        <w:rPr>
          <w:rFonts w:ascii="SimSun" w:eastAsia="SimSun" w:hAnsi="SimSun" w:cs="Arial" w:hint="eastAsia"/>
          <w:sz w:val="21"/>
          <w:szCs w:val="21"/>
          <w:lang w:eastAsia="zh-CN"/>
        </w:rPr>
        <w:t>第二十九届会议的时间分配将与</w:t>
      </w:r>
      <w:r w:rsidR="00E4345C" w:rsidRPr="00A46677">
        <w:rPr>
          <w:rFonts w:ascii="SimSun" w:eastAsia="SimSun" w:hAnsi="SimSun" w:cs="Arial"/>
          <w:sz w:val="21"/>
          <w:szCs w:val="21"/>
          <w:lang w:eastAsia="zh-CN"/>
        </w:rPr>
        <w:t>SCCR</w:t>
      </w:r>
      <w:r w:rsidR="00E4345C" w:rsidRPr="00A46677">
        <w:rPr>
          <w:rFonts w:ascii="SimSun" w:eastAsia="SimSun" w:hAnsi="SimSun" w:cs="Arial" w:hint="eastAsia"/>
          <w:sz w:val="21"/>
          <w:szCs w:val="21"/>
          <w:lang w:eastAsia="zh-CN"/>
        </w:rPr>
        <w:t>第二十八届会议的时间分配相同。</w:t>
      </w:r>
    </w:p>
    <w:p w:rsidR="000E6B13" w:rsidRPr="00A46677" w:rsidRDefault="000E6B13" w:rsidP="004441DF">
      <w:pPr>
        <w:widowControl w:val="0"/>
        <w:spacing w:afterLines="50" w:after="120" w:line="340" w:lineRule="atLeast"/>
        <w:ind w:left="5534"/>
        <w:jc w:val="both"/>
        <w:rPr>
          <w:rFonts w:ascii="Arial" w:eastAsia="Times New Roman" w:hAnsi="Arial" w:cs="Arial"/>
          <w:sz w:val="21"/>
          <w:szCs w:val="21"/>
          <w:lang w:eastAsia="zh-CN"/>
        </w:rPr>
      </w:pPr>
    </w:p>
    <w:p w:rsidR="000E6B13" w:rsidRPr="00A46677" w:rsidRDefault="000E6B13" w:rsidP="00A46677">
      <w:pPr>
        <w:widowControl w:val="0"/>
        <w:spacing w:afterLines="50" w:after="120" w:line="340" w:lineRule="atLeast"/>
        <w:ind w:left="5534"/>
        <w:jc w:val="both"/>
        <w:rPr>
          <w:rFonts w:ascii="KaiTi" w:eastAsia="KaiTi" w:hAnsi="KaiTi" w:cs="Arial"/>
          <w:sz w:val="21"/>
          <w:szCs w:val="21"/>
          <w:lang w:eastAsia="zh-CN"/>
        </w:rPr>
      </w:pPr>
      <w:r w:rsidRPr="00A46677">
        <w:rPr>
          <w:rFonts w:ascii="KaiTi" w:eastAsia="KaiTi" w:hAnsi="KaiTi" w:cs="Arial"/>
          <w:sz w:val="21"/>
          <w:szCs w:val="21"/>
        </w:rPr>
        <w:t>[</w:t>
      </w:r>
      <w:r w:rsidR="00E4345C" w:rsidRPr="00A46677">
        <w:rPr>
          <w:rFonts w:ascii="KaiTi" w:eastAsia="KaiTi" w:hAnsi="KaiTi" w:cs="Arial" w:hint="eastAsia"/>
          <w:sz w:val="21"/>
          <w:szCs w:val="21"/>
          <w:lang w:eastAsia="zh-CN"/>
        </w:rPr>
        <w:t>结论完</w:t>
      </w:r>
      <w:r w:rsidRPr="00A46677">
        <w:rPr>
          <w:rFonts w:ascii="KaiTi" w:eastAsia="KaiTi" w:hAnsi="KaiTi" w:cs="Arial"/>
          <w:sz w:val="21"/>
          <w:szCs w:val="21"/>
        </w:rPr>
        <w:t>]</w:t>
      </w:r>
    </w:p>
    <w:sectPr w:rsidR="000E6B13" w:rsidRPr="00A46677" w:rsidSect="004441DF">
      <w:headerReference w:type="default" r:id="rId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47" w:rsidRDefault="00425147" w:rsidP="00425147">
      <w:pPr>
        <w:spacing w:after="0" w:line="240" w:lineRule="auto"/>
      </w:pPr>
      <w:r>
        <w:separator/>
      </w:r>
    </w:p>
  </w:endnote>
  <w:endnote w:type="continuationSeparator" w:id="0">
    <w:p w:rsidR="00425147" w:rsidRDefault="00425147" w:rsidP="0042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47" w:rsidRDefault="00425147" w:rsidP="00425147">
      <w:pPr>
        <w:spacing w:after="0" w:line="240" w:lineRule="auto"/>
      </w:pPr>
      <w:r>
        <w:separator/>
      </w:r>
    </w:p>
  </w:footnote>
  <w:footnote w:type="continuationSeparator" w:id="0">
    <w:p w:rsidR="00425147" w:rsidRDefault="00425147" w:rsidP="00425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540992"/>
      <w:docPartObj>
        <w:docPartGallery w:val="Page Numbers (Top of Page)"/>
        <w:docPartUnique/>
      </w:docPartObj>
    </w:sdtPr>
    <w:sdtEndPr>
      <w:rPr>
        <w:rFonts w:ascii="SimSun" w:eastAsia="SimSun" w:hAnsi="SimSun"/>
        <w:sz w:val="21"/>
      </w:rPr>
    </w:sdtEndPr>
    <w:sdtContent>
      <w:p w:rsidR="004441DF" w:rsidRPr="004441DF" w:rsidRDefault="004441DF" w:rsidP="004441DF">
        <w:pPr>
          <w:pStyle w:val="a3"/>
          <w:pBdr>
            <w:bottom w:val="none" w:sz="0" w:space="0" w:color="auto"/>
          </w:pBdr>
          <w:jc w:val="right"/>
          <w:rPr>
            <w:rFonts w:ascii="SimSun" w:eastAsia="SimSun" w:hAnsi="SimSun"/>
            <w:sz w:val="21"/>
          </w:rPr>
        </w:pPr>
        <w:r w:rsidRPr="004441DF">
          <w:rPr>
            <w:rFonts w:ascii="SimSun" w:eastAsia="SimSun" w:hAnsi="SimSun"/>
            <w:sz w:val="21"/>
          </w:rPr>
          <w:fldChar w:fldCharType="begin"/>
        </w:r>
        <w:r w:rsidRPr="004441DF">
          <w:rPr>
            <w:rFonts w:ascii="SimSun" w:eastAsia="SimSun" w:hAnsi="SimSun"/>
            <w:sz w:val="21"/>
          </w:rPr>
          <w:instrText>PAGE   \* MERGEFORMAT</w:instrText>
        </w:r>
        <w:r w:rsidRPr="004441DF">
          <w:rPr>
            <w:rFonts w:ascii="SimSun" w:eastAsia="SimSun" w:hAnsi="SimSun"/>
            <w:sz w:val="21"/>
          </w:rPr>
          <w:fldChar w:fldCharType="separate"/>
        </w:r>
        <w:r w:rsidRPr="004441DF">
          <w:rPr>
            <w:rFonts w:ascii="SimSun" w:eastAsia="SimSun" w:hAnsi="SimSun"/>
            <w:noProof/>
            <w:sz w:val="21"/>
            <w:lang w:val="zh-CN" w:eastAsia="zh-CN"/>
          </w:rPr>
          <w:t>2</w:t>
        </w:r>
        <w:r w:rsidRPr="004441DF">
          <w:rPr>
            <w:rFonts w:ascii="SimSun" w:eastAsia="SimSun" w:hAnsi="SimSun"/>
            <w:sz w:val="21"/>
          </w:rPr>
          <w:fldChar w:fldCharType="end"/>
        </w:r>
      </w:p>
    </w:sdtContent>
  </w:sdt>
  <w:p w:rsidR="004441DF" w:rsidRDefault="004441DF" w:rsidP="004441D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349C0"/>
    <w:multiLevelType w:val="hybridMultilevel"/>
    <w:tmpl w:val="0AEA17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2E72F1"/>
    <w:multiLevelType w:val="hybridMultilevel"/>
    <w:tmpl w:val="71C4C8B0"/>
    <w:lvl w:ilvl="0" w:tplc="4D0C42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DC4D34"/>
    <w:multiLevelType w:val="hybridMultilevel"/>
    <w:tmpl w:val="91B40AA8"/>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17"/>
    <w:rsid w:val="000B5D9E"/>
    <w:rsid w:val="000D24C9"/>
    <w:rsid w:val="000E6B13"/>
    <w:rsid w:val="001359AA"/>
    <w:rsid w:val="00156FFA"/>
    <w:rsid w:val="001E7559"/>
    <w:rsid w:val="0021067B"/>
    <w:rsid w:val="002F1D4A"/>
    <w:rsid w:val="003A5209"/>
    <w:rsid w:val="003E612E"/>
    <w:rsid w:val="004149F4"/>
    <w:rsid w:val="00425147"/>
    <w:rsid w:val="00435478"/>
    <w:rsid w:val="00441117"/>
    <w:rsid w:val="004441DF"/>
    <w:rsid w:val="00483BEF"/>
    <w:rsid w:val="005D45D1"/>
    <w:rsid w:val="00625CDE"/>
    <w:rsid w:val="00702BFE"/>
    <w:rsid w:val="0070586C"/>
    <w:rsid w:val="007E2CEC"/>
    <w:rsid w:val="008C016F"/>
    <w:rsid w:val="008F6D54"/>
    <w:rsid w:val="00954297"/>
    <w:rsid w:val="00A46677"/>
    <w:rsid w:val="00AF5071"/>
    <w:rsid w:val="00B62329"/>
    <w:rsid w:val="00B90C4D"/>
    <w:rsid w:val="00BA3E72"/>
    <w:rsid w:val="00D34B66"/>
    <w:rsid w:val="00E05D3C"/>
    <w:rsid w:val="00E4345C"/>
    <w:rsid w:val="00E47200"/>
    <w:rsid w:val="00E6679C"/>
    <w:rsid w:val="00E7317A"/>
    <w:rsid w:val="00E8425A"/>
    <w:rsid w:val="00EE1338"/>
    <w:rsid w:val="00FD032C"/>
    <w:rsid w:val="00FF3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147"/>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3"/>
    <w:uiPriority w:val="99"/>
    <w:rsid w:val="00425147"/>
    <w:rPr>
      <w:sz w:val="18"/>
      <w:szCs w:val="18"/>
    </w:rPr>
  </w:style>
  <w:style w:type="paragraph" w:styleId="a4">
    <w:name w:val="footer"/>
    <w:basedOn w:val="a"/>
    <w:link w:val="Char0"/>
    <w:uiPriority w:val="99"/>
    <w:unhideWhenUsed/>
    <w:rsid w:val="00425147"/>
    <w:pPr>
      <w:tabs>
        <w:tab w:val="center" w:pos="4513"/>
        <w:tab w:val="right" w:pos="9026"/>
      </w:tabs>
      <w:snapToGrid w:val="0"/>
      <w:spacing w:line="240" w:lineRule="auto"/>
    </w:pPr>
    <w:rPr>
      <w:sz w:val="18"/>
      <w:szCs w:val="18"/>
    </w:rPr>
  </w:style>
  <w:style w:type="character" w:customStyle="1" w:styleId="Char0">
    <w:name w:val="页脚 Char"/>
    <w:basedOn w:val="a0"/>
    <w:link w:val="a4"/>
    <w:uiPriority w:val="99"/>
    <w:rsid w:val="00425147"/>
    <w:rPr>
      <w:sz w:val="18"/>
      <w:szCs w:val="18"/>
    </w:rPr>
  </w:style>
  <w:style w:type="paragraph" w:styleId="a5">
    <w:name w:val="List Paragraph"/>
    <w:basedOn w:val="a"/>
    <w:uiPriority w:val="34"/>
    <w:qFormat/>
    <w:rsid w:val="001359AA"/>
    <w:pPr>
      <w:ind w:firstLineChars="200" w:firstLine="420"/>
    </w:pPr>
  </w:style>
  <w:style w:type="paragraph" w:customStyle="1" w:styleId="Default">
    <w:name w:val="Default"/>
    <w:rsid w:val="000E6B13"/>
    <w:pPr>
      <w:widowControl w:val="0"/>
      <w:autoSpaceDE w:val="0"/>
      <w:autoSpaceDN w:val="0"/>
      <w:adjustRightInd w:val="0"/>
      <w:spacing w:after="0" w:line="240" w:lineRule="auto"/>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147"/>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3"/>
    <w:uiPriority w:val="99"/>
    <w:rsid w:val="00425147"/>
    <w:rPr>
      <w:sz w:val="18"/>
      <w:szCs w:val="18"/>
    </w:rPr>
  </w:style>
  <w:style w:type="paragraph" w:styleId="a4">
    <w:name w:val="footer"/>
    <w:basedOn w:val="a"/>
    <w:link w:val="Char0"/>
    <w:uiPriority w:val="99"/>
    <w:unhideWhenUsed/>
    <w:rsid w:val="00425147"/>
    <w:pPr>
      <w:tabs>
        <w:tab w:val="center" w:pos="4513"/>
        <w:tab w:val="right" w:pos="9026"/>
      </w:tabs>
      <w:snapToGrid w:val="0"/>
      <w:spacing w:line="240" w:lineRule="auto"/>
    </w:pPr>
    <w:rPr>
      <w:sz w:val="18"/>
      <w:szCs w:val="18"/>
    </w:rPr>
  </w:style>
  <w:style w:type="character" w:customStyle="1" w:styleId="Char0">
    <w:name w:val="页脚 Char"/>
    <w:basedOn w:val="a0"/>
    <w:link w:val="a4"/>
    <w:uiPriority w:val="99"/>
    <w:rsid w:val="00425147"/>
    <w:rPr>
      <w:sz w:val="18"/>
      <w:szCs w:val="18"/>
    </w:rPr>
  </w:style>
  <w:style w:type="paragraph" w:styleId="a5">
    <w:name w:val="List Paragraph"/>
    <w:basedOn w:val="a"/>
    <w:uiPriority w:val="34"/>
    <w:qFormat/>
    <w:rsid w:val="001359AA"/>
    <w:pPr>
      <w:ind w:firstLineChars="200" w:firstLine="420"/>
    </w:pPr>
  </w:style>
  <w:style w:type="paragraph" w:customStyle="1" w:styleId="Default">
    <w:name w:val="Default"/>
    <w:rsid w:val="000E6B13"/>
    <w:pPr>
      <w:widowControl w:val="0"/>
      <w:autoSpaceDE w:val="0"/>
      <w:autoSpaceDN w:val="0"/>
      <w:adjustRightInd w:val="0"/>
      <w:spacing w:after="0" w:line="240" w:lineRule="auto"/>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 Weihai</cp:lastModifiedBy>
  <cp:revision>3</cp:revision>
  <cp:lastPrinted>2014-07-04T15:21:00Z</cp:lastPrinted>
  <dcterms:created xsi:type="dcterms:W3CDTF">2014-08-05T06:35:00Z</dcterms:created>
  <dcterms:modified xsi:type="dcterms:W3CDTF">2014-08-05T06:54:00Z</dcterms:modified>
</cp:coreProperties>
</file>