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7F524" w14:textId="1729D071" w:rsidR="008B2CC1" w:rsidRPr="008B2CC1" w:rsidRDefault="004B61C8" w:rsidP="00F11D94">
      <w:pPr>
        <w:spacing w:after="120"/>
        <w:jc w:val="right"/>
      </w:pPr>
      <w:r w:rsidRPr="0042194C">
        <w:rPr>
          <w:noProof/>
          <w:lang w:val="en-US"/>
        </w:rPr>
        <w:drawing>
          <wp:inline distT="0" distB="0" distL="0" distR="0" wp14:anchorId="3A2E4020" wp14:editId="1B5EEF3F">
            <wp:extent cx="3122295" cy="1409700"/>
            <wp:effectExtent l="0" t="0" r="1905"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13">
                      <a:extLst>
                        <a:ext uri="{28A0092B-C50C-407E-A947-70E740481C1C}">
                          <a14:useLocalDpi xmlns:a14="http://schemas.microsoft.com/office/drawing/2010/main" val="0"/>
                        </a:ext>
                      </a:extLst>
                    </a:blip>
                    <a:srcRect l="3815" t="9113" b="4440"/>
                    <a:stretch>
                      <a:fillRect/>
                    </a:stretch>
                  </pic:blipFill>
                  <pic:spPr bwMode="auto">
                    <a:xfrm>
                      <a:off x="0" y="0"/>
                      <a:ext cx="3122295" cy="1409700"/>
                    </a:xfrm>
                    <a:prstGeom prst="rect">
                      <a:avLst/>
                    </a:prstGeom>
                    <a:noFill/>
                    <a:ln>
                      <a:noFill/>
                    </a:ln>
                    <a:extLst>
                      <a:ext uri="{53640926-AAD7-44D8-BBD7-CCE9431645EC}">
                        <a14:shadowObscured xmlns:a14="http://schemas.microsoft.com/office/drawing/2010/main"/>
                      </a:ext>
                    </a:extLst>
                  </pic:spPr>
                </pic:pic>
              </a:graphicData>
            </a:graphic>
          </wp:inline>
        </w:drawing>
      </w:r>
      <w:r w:rsidR="00873EE5">
        <w:rPr>
          <w:rFonts w:ascii="Arial Black" w:hAnsi="Arial Black"/>
          <w:caps/>
          <w:noProof/>
          <w:sz w:val="15"/>
        </w:rPr>
        <mc:AlternateContent>
          <mc:Choice Requires="wps">
            <w:drawing>
              <wp:inline distT="0" distB="0" distL="0" distR="0" wp14:anchorId="3B2CE4BE" wp14:editId="2E347A9A">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588252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184555A" w14:textId="6B8BC885" w:rsidR="008B2CC1" w:rsidRPr="001024FE" w:rsidRDefault="00FA7EAE" w:rsidP="001024FE">
      <w:pPr>
        <w:jc w:val="right"/>
        <w:rPr>
          <w:rFonts w:ascii="Arial Black" w:hAnsi="Arial Black"/>
          <w:caps/>
          <w:sz w:val="15"/>
          <w:szCs w:val="15"/>
        </w:rPr>
      </w:pPr>
      <w:r>
        <w:rPr>
          <w:rFonts w:ascii="Arial Black" w:hAnsi="Arial Black"/>
          <w:caps/>
          <w:sz w:val="15"/>
        </w:rPr>
        <w:t>SCCR/48/</w:t>
      </w:r>
      <w:bookmarkStart w:id="0" w:name="Code"/>
      <w:bookmarkEnd w:id="0"/>
      <w:r>
        <w:rPr>
          <w:rFonts w:ascii="Arial Black" w:hAnsi="Arial Black"/>
          <w:caps/>
          <w:sz w:val="15"/>
        </w:rPr>
        <w:t>4</w:t>
      </w:r>
    </w:p>
    <w:p w14:paraId="4CCB070E" w14:textId="6C988223"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23DA881E" w14:textId="31C5613E"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14 марта 2026 года</w:t>
      </w:r>
    </w:p>
    <w:bookmarkEnd w:id="2"/>
    <w:p w14:paraId="11A4B8A6" w14:textId="77777777" w:rsidR="008B2CC1" w:rsidRPr="003845C1" w:rsidRDefault="003F4808" w:rsidP="0095239B">
      <w:pPr>
        <w:spacing w:after="480"/>
        <w:rPr>
          <w:b/>
          <w:sz w:val="28"/>
          <w:szCs w:val="28"/>
        </w:rPr>
      </w:pPr>
      <w:r>
        <w:rPr>
          <w:b/>
          <w:sz w:val="28"/>
        </w:rPr>
        <w:t>Постоянный комитет по авторскому праву и смежным правам</w:t>
      </w:r>
    </w:p>
    <w:p w14:paraId="774C724C" w14:textId="77777777" w:rsidR="008B2CC1" w:rsidRPr="003845C1" w:rsidRDefault="003F4808" w:rsidP="008B2CC1">
      <w:pPr>
        <w:rPr>
          <w:b/>
          <w:sz w:val="24"/>
          <w:szCs w:val="24"/>
        </w:rPr>
      </w:pPr>
      <w:r>
        <w:rPr>
          <w:b/>
          <w:sz w:val="24"/>
        </w:rPr>
        <w:t>Сорок восьмая сессия</w:t>
      </w:r>
    </w:p>
    <w:p w14:paraId="4AC9BE14" w14:textId="77777777" w:rsidR="008B2CC1" w:rsidRPr="009F3BF9" w:rsidRDefault="003F4808" w:rsidP="00CE65D4">
      <w:pPr>
        <w:spacing w:after="720"/>
      </w:pPr>
      <w:r>
        <w:rPr>
          <w:b/>
          <w:sz w:val="24"/>
        </w:rPr>
        <w:t>Женева, 18–22 мая 2026 года</w:t>
      </w:r>
    </w:p>
    <w:p w14:paraId="388DD178" w14:textId="5063681E" w:rsidR="008B2CC1" w:rsidRPr="009F3BF9" w:rsidRDefault="00A97915" w:rsidP="00CE65D4">
      <w:pPr>
        <w:spacing w:after="360"/>
        <w:rPr>
          <w:caps/>
          <w:sz w:val="24"/>
        </w:rPr>
      </w:pPr>
      <w:bookmarkStart w:id="3" w:name="TitleOfDoc"/>
      <w:r>
        <w:rPr>
          <w:caps/>
          <w:sz w:val="24"/>
        </w:rPr>
        <w:t>ЭЛЕМЕНТЫ ВОЗМОЖНОГО МЕЖДУНАРОДНОГО ДОКУМЕНТА О РЕГУЛИРОВАНИИ ВОПРОСОВ, СВЯЗАННЫХ С РОЯЛТИ В АВТОРСКОМ ПРАВЕ, В ЦИФРОВОЙ СРЕДЕ — ПРОЕКТ</w:t>
      </w:r>
    </w:p>
    <w:p w14:paraId="33A9B805" w14:textId="134DD52A" w:rsidR="008B2CC1" w:rsidRPr="004D39C4" w:rsidRDefault="004105F6" w:rsidP="00CE65D4">
      <w:pPr>
        <w:spacing w:after="960"/>
        <w:rPr>
          <w:i/>
        </w:rPr>
      </w:pPr>
      <w:bookmarkStart w:id="4" w:name="Prepared"/>
      <w:bookmarkEnd w:id="3"/>
      <w:r>
        <w:rPr>
          <w:i/>
        </w:rPr>
        <w:t>Предложение подготовлено министерством юстиции Республики Индонезия</w:t>
      </w:r>
    </w:p>
    <w:bookmarkEnd w:id="4"/>
    <w:p w14:paraId="11055FFA" w14:textId="08F93D5B" w:rsidR="004105F6" w:rsidRDefault="004105F6">
      <w:r>
        <w:br w:type="page"/>
      </w:r>
    </w:p>
    <w:p w14:paraId="62053118" w14:textId="44D9D1F9" w:rsidR="004105F6" w:rsidRPr="00931B30" w:rsidRDefault="004105F6" w:rsidP="00931B30">
      <w:pPr>
        <w:pStyle w:val="ListParagraph"/>
        <w:numPr>
          <w:ilvl w:val="0"/>
          <w:numId w:val="7"/>
        </w:numPr>
        <w:rPr>
          <w:b/>
          <w:bCs/>
          <w:szCs w:val="22"/>
        </w:rPr>
      </w:pPr>
      <w:r>
        <w:rPr>
          <w:b/>
        </w:rPr>
        <w:lastRenderedPageBreak/>
        <w:t>Обзор</w:t>
      </w:r>
    </w:p>
    <w:p w14:paraId="06AA0DA3" w14:textId="77777777" w:rsidR="00931B30" w:rsidRPr="00931B30" w:rsidRDefault="00931B30" w:rsidP="00931B30">
      <w:pPr>
        <w:pStyle w:val="ListParagraph"/>
        <w:ind w:left="1080"/>
        <w:rPr>
          <w:b/>
          <w:bCs/>
          <w:szCs w:val="22"/>
        </w:rPr>
      </w:pPr>
    </w:p>
    <w:p w14:paraId="06A270DC" w14:textId="76AE3042" w:rsidR="004105F6" w:rsidRDefault="004105F6" w:rsidP="006352B4">
      <w:pPr>
        <w:rPr>
          <w:szCs w:val="22"/>
        </w:rPr>
      </w:pPr>
      <w:r>
        <w:t>1.</w:t>
      </w:r>
      <w:r>
        <w:tab/>
        <w:t>В ходе 47-й сессии Постоянного комитета по авторскому праву и смежным правам (ПКАП) государства-члены и наблюдатели сошлись во мнении о том, что усиление международной координации по‑прежнему остается важнейшим приоритетом; при этом многие делегации высказали конструктивные соображения в отношении представленного Индонезией предложения (документ SCCR/47/6), а также в поддержку дальнейшего изучения международных подходов к решению проблем в вопросах координации.  Обсуждения в ходе сессии подчеркнули значимость устойчивого и структурированного диалога по вопросам механизмов регулирования, которые могли бы способствовать повышению транспарентности, подотчетности и операционной совместимости в сфере трансграничного регулирования вопросов, касающихся роялти в авторском праве. В развитие этих обсуждений настоящий документ под названием «Элементы возможного международного документа о регулировании вопросов, связанных с роялти в авторском праве, в цифровой среде» был подготовлен в качестве последующего шага по итогам 47-й сессии и с учетом консультаций с широким кругом заинтересованных сторон, включая межправительственные организации, а также представителей композиторов, продюсеров и исполнителей, с целью учета разнообразных технических, правовых и практических аспектов.</w:t>
      </w:r>
    </w:p>
    <w:p w14:paraId="688D3835" w14:textId="77777777" w:rsidR="00931B30" w:rsidRPr="004105F6" w:rsidRDefault="00931B30" w:rsidP="00931B30">
      <w:pPr>
        <w:rPr>
          <w:szCs w:val="22"/>
        </w:rPr>
      </w:pPr>
    </w:p>
    <w:p w14:paraId="5CB37BC9" w14:textId="5725FB77" w:rsidR="002928D3" w:rsidRPr="00931B30" w:rsidRDefault="004105F6" w:rsidP="006352B4">
      <w:pPr>
        <w:rPr>
          <w:szCs w:val="22"/>
        </w:rPr>
      </w:pPr>
      <w:r>
        <w:t>2.</w:t>
      </w:r>
      <w:r>
        <w:tab/>
        <w:t>Цель этого документа с элементами — внести вклад в текущие обсуждения в ПКАП, определив возможные подходы к управлению, которые могут способствовать улучшению механизмов коммуникации, сотрудничества и координации, а также стимулировать дальнейшие размышления о потенциальных принципах управления в деле укрепления трансграничного управления авторскими отчислениями в рамках экосистемы цифровой музыки.  Документ представлен в духе конструктивного взаимодействия и отражает намерение содействовать инклюзивному участию глобальных заинтересованных сторон, включая государства-члены и структуры, вовлеченные в трансграничное управление роялти.  В нем также выдвигается возможное предложение о рассмотрении вопроса включения специального пункта в повестку дня, который мог бы обеспечить регулярные и структурированные обсуждения проблем регулирования, включая, при необходимости, изучение международно-нормативных рамок.</w:t>
      </w:r>
    </w:p>
    <w:p w14:paraId="30C078A9" w14:textId="77777777" w:rsidR="004105F6" w:rsidRPr="00931B30" w:rsidRDefault="004105F6" w:rsidP="00931B30">
      <w:pPr>
        <w:rPr>
          <w:szCs w:val="22"/>
        </w:rPr>
      </w:pPr>
    </w:p>
    <w:p w14:paraId="5516A8EB" w14:textId="26243C31" w:rsidR="004105F6" w:rsidRDefault="004105F6" w:rsidP="006352B4">
      <w:pPr>
        <w:rPr>
          <w:szCs w:val="22"/>
        </w:rPr>
      </w:pPr>
      <w:r>
        <w:t>3.</w:t>
      </w:r>
      <w:r>
        <w:tab/>
        <w:t>В результате развития операционных аспектов, включая документацию, управление метаданными, обработку данных, обеспечение обнаружения, оценку стоимости и управление выплатами вознаграждения, сформировалась сложная трансграничная экосистема, которая не была предусмотрена существующими договорными рамками.  В результате этого образуется пробел в регулировании трансграничного управления роялти, который проявляется, в частности, в постоянной фрагментации метаданных, неравномерном распределении стоимости в ущерб правообладателям, ограниченной транспарентности алгоритмического распределения и трудностях координации между соответствующими участниками.  Несмотря на ключевую роль национальных рамок, с их стороны наблюдаются объективные ограничения при регулировании деятельности трансграничных цифровых платформ, где генерация данных, потоки роялти и алгоритмическое принятие решений выходят за пределы отдельных юрисдикций.  Отсутствие международных рамок приводит к фрагментации стандартов, пробелам в подотчетности и неэффективности средств правовой защиты, особенно в тех случаях, когда добровольные инициативы не обеспечивают операционную совместимость или надежность трансграничных потоков роялти.  Эти проблемы усугубляются развитием новых технологий, включая искусственный интеллект, что подчеркивает необходимость более глубокого изучения практического опыта для формирования действенных, соразмерных и адаптивных механизмов сотрудничества.</w:t>
      </w:r>
    </w:p>
    <w:p w14:paraId="5EB7BD87" w14:textId="77777777" w:rsidR="00931B30" w:rsidRPr="004105F6" w:rsidRDefault="00931B30" w:rsidP="00931B30">
      <w:pPr>
        <w:rPr>
          <w:szCs w:val="22"/>
        </w:rPr>
      </w:pPr>
    </w:p>
    <w:p w14:paraId="5056219F" w14:textId="0F89E9ED" w:rsidR="004105F6" w:rsidRDefault="004105F6" w:rsidP="006352B4">
      <w:pPr>
        <w:rPr>
          <w:szCs w:val="22"/>
        </w:rPr>
      </w:pPr>
      <w:r>
        <w:lastRenderedPageBreak/>
        <w:t>4.</w:t>
      </w:r>
      <w:r>
        <w:tab/>
        <w:t>Конечной целью системы регулирования, включая возможные документы, должно стать укрепление эффективной реализации уже признанных прав в рамках действующих международных договоров путем установления общих принципов регулирования и минимальных международных стандартов координации, касающихся транспарентности, подотчетности, операционной совместимости систем метаданных и институционального сотрудничества в сфере регулирования вопросов, связанных с роялти в авторском праве, в рамках цифровой музыкальной экосистемы.</w:t>
      </w:r>
    </w:p>
    <w:p w14:paraId="76C47553" w14:textId="69D5D867" w:rsidR="00931B30" w:rsidRDefault="00931B30">
      <w:pPr>
        <w:rPr>
          <w:szCs w:val="22"/>
        </w:rPr>
      </w:pPr>
      <w:r>
        <w:br w:type="page"/>
      </w:r>
    </w:p>
    <w:p w14:paraId="0EC0D7D1" w14:textId="77777777" w:rsidR="004105F6" w:rsidRPr="004105F6" w:rsidRDefault="004105F6" w:rsidP="00931B30">
      <w:pPr>
        <w:spacing w:after="220"/>
        <w:ind w:firstLine="567"/>
        <w:rPr>
          <w:b/>
          <w:bCs/>
          <w:szCs w:val="22"/>
        </w:rPr>
      </w:pPr>
      <w:r>
        <w:rPr>
          <w:b/>
        </w:rPr>
        <w:lastRenderedPageBreak/>
        <w:t>II. Справочная информация</w:t>
      </w:r>
    </w:p>
    <w:p w14:paraId="34FB65C2" w14:textId="30B15C0F" w:rsidR="004105F6" w:rsidRDefault="004105F6" w:rsidP="006352B4">
      <w:pPr>
        <w:rPr>
          <w:szCs w:val="22"/>
        </w:rPr>
      </w:pPr>
      <w:r>
        <w:t>5.</w:t>
      </w:r>
      <w:r>
        <w:tab/>
        <w:t>На своей 47-й сессии Постоянный комитет по авторскому праву и смежным правам рассмотрел предложение, представленное Индонезией, касающееся регулирования трансграничного управления роялти в авторском праве в цифровой среде.</w:t>
      </w:r>
    </w:p>
    <w:p w14:paraId="34FC596A" w14:textId="77777777" w:rsidR="00931B30" w:rsidRPr="004105F6" w:rsidRDefault="00931B30" w:rsidP="00931B30">
      <w:pPr>
        <w:rPr>
          <w:szCs w:val="22"/>
        </w:rPr>
      </w:pPr>
    </w:p>
    <w:p w14:paraId="6BFEC652" w14:textId="312FC87F" w:rsidR="004105F6" w:rsidRDefault="004105F6" w:rsidP="006352B4">
      <w:pPr>
        <w:rPr>
          <w:szCs w:val="22"/>
        </w:rPr>
      </w:pPr>
      <w:r>
        <w:t>6.</w:t>
      </w:r>
      <w:r>
        <w:tab/>
        <w:t>В представленном Индонезией материале были выделены структурные проблемы, возникающие в результате стремительного развития цифровых технологий, которые позволили трансграничным цифровым платформам расширять и масштабировать свою деятельность в различных юрисдикциях, что, в свою очередь, привело к таким проблемам, как фрагментация метаданных, недостаток транспарентности и неравное вознаграждение авторов, исполнителей, продюсеров и иных правообладателей.</w:t>
      </w:r>
    </w:p>
    <w:p w14:paraId="04D0F176" w14:textId="77777777" w:rsidR="00931B30" w:rsidRPr="004105F6" w:rsidRDefault="00931B30" w:rsidP="00931B30">
      <w:pPr>
        <w:rPr>
          <w:szCs w:val="22"/>
        </w:rPr>
      </w:pPr>
    </w:p>
    <w:p w14:paraId="71493421" w14:textId="3F783D97" w:rsidR="004105F6" w:rsidRDefault="004105F6" w:rsidP="006352B4">
      <w:pPr>
        <w:rPr>
          <w:szCs w:val="22"/>
        </w:rPr>
      </w:pPr>
      <w:r>
        <w:t>7.</w:t>
      </w:r>
      <w:r>
        <w:tab/>
        <w:t>Ряд делегаций и наблюдателей выразили конструктивную поддержку и приветствовали продолжение обсуждений с целью дальнейшего изучения этих вопросов и ведения структурированного диалога о возможных механизмах регулирования для решения проблем трансграничного управления роялти.</w:t>
      </w:r>
    </w:p>
    <w:p w14:paraId="4E7C2DBB" w14:textId="77777777" w:rsidR="00931B30" w:rsidRPr="004105F6" w:rsidRDefault="00931B30" w:rsidP="00931B30">
      <w:pPr>
        <w:rPr>
          <w:szCs w:val="22"/>
        </w:rPr>
      </w:pPr>
    </w:p>
    <w:p w14:paraId="232CAE03" w14:textId="0C89BA49" w:rsidR="004105F6" w:rsidRDefault="004105F6" w:rsidP="006352B4">
      <w:pPr>
        <w:rPr>
          <w:szCs w:val="22"/>
        </w:rPr>
      </w:pPr>
      <w:r>
        <w:t>8.</w:t>
      </w:r>
      <w:r>
        <w:tab/>
        <w:t>Подготовка настоящего документа была осуществлена с учетом консультаций с различными заинтересованными сторонами, включая межправительственные организации, а также представителей авторов, продюсеров, исполнителей и организаций коллективного управления (ОКУ). Эти консультации были направлены на учет разнообразных технических, правовых и практических перспектив с учетом различных уровней развития в соответствии с Рекомендацией 15 Повестки дня ВОИС в области развития.</w:t>
      </w:r>
    </w:p>
    <w:p w14:paraId="7B7313AF" w14:textId="77777777" w:rsidR="008C0BE2" w:rsidRPr="004105F6" w:rsidRDefault="008C0BE2" w:rsidP="00931B30">
      <w:pPr>
        <w:rPr>
          <w:szCs w:val="22"/>
        </w:rPr>
      </w:pPr>
    </w:p>
    <w:p w14:paraId="6C0D7343" w14:textId="487FE8CC" w:rsidR="004105F6" w:rsidRDefault="004105F6" w:rsidP="006352B4">
      <w:pPr>
        <w:rPr>
          <w:szCs w:val="22"/>
        </w:rPr>
      </w:pPr>
      <w:r>
        <w:t>9.</w:t>
      </w:r>
      <w:r>
        <w:tab/>
        <w:t>Инициатива Индонезии опирается на предшествующие предложения, выдвинутые другими государствами-членами и региональными группами, и дополняет их. Он согласуется с предложениями, представленными Группой стран Латинской Америки и Карибского бассейна (ГРУЛАК) (SCCR 31/4), в которых содержался призыв к более глубокому изучению авторского права в цифровой среде, включая вопросы прозрачности, асимметрии в переговорах, справедливого вознаграждения, трансграничного правоприменения и влияния новых технологий, таких как искусственный интеллект.  Эта инициатива также согласуется с предложением Африканской группы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 (SCCR/47/4), в котором подчеркивается необходимость изучения стратегий укрепления экономического положения аудиовизуальных исполнителей и обеспечения адекватного вознаграждения за использование их творческого вклада.</w:t>
      </w:r>
    </w:p>
    <w:p w14:paraId="45C04269" w14:textId="77777777" w:rsidR="008C0BE2" w:rsidRPr="004105F6" w:rsidRDefault="008C0BE2" w:rsidP="008C0BE2">
      <w:pPr>
        <w:rPr>
          <w:szCs w:val="22"/>
        </w:rPr>
      </w:pPr>
    </w:p>
    <w:p w14:paraId="22616D80" w14:textId="32CC659E" w:rsidR="004105F6" w:rsidRPr="00931B30" w:rsidRDefault="004105F6" w:rsidP="006352B4">
      <w:pPr>
        <w:rPr>
          <w:szCs w:val="22"/>
        </w:rPr>
      </w:pPr>
      <w:r>
        <w:t>10.</w:t>
      </w:r>
      <w:r>
        <w:tab/>
        <w:t xml:space="preserve">На протяжении многих лет в исследованиях и докладах, представляемых в рамках ПКАП, последовательно выявлялись структурные проблемы в регулировании вопросов, связанных с роялти в авторском праве, в цифровой среде. В документе SCCR/41/2 подчеркиваются сохраняющиеся недостатки цифрового музыкального рынка, включая ограниченную транспарентность потоков доходов, а также недостаточную точность и операционную совместимость метаданных, что подрывает надлежащую идентификацию правообладателей и распределение роялти в разных юрисдикциях.  Эти вопросы находят отражение и в документе SCCR/41/3, в котором содержится указание на ограниченную эффективность прав исполнителей в обеспечении постоянного получения вознаграждений, а также на структурные дисбаланс переговорной силы, в результате чего часто применяются модели на основе единовременной выплаты вознаграждения.  В то же время документ SCCR/41/6 отражает более широкую системную фрагментацию, в нем выявлены различия во взглядах государств-членов на международное нормотворчество и подчеркивается отсутствие скоординированных глобальных подходов к решению трансграничных вопросов.  Дополняя эти выводы, документ SCCR/41/7 </w:t>
      </w:r>
      <w:r>
        <w:lastRenderedPageBreak/>
        <w:t>иллюстрирует, каким образом эволюция цифровых музыкальных рынков, включая рост стриминговых платформ, сложные лицензионные схемы и усиление роли посредников, таких как агрегаторы, нарушила традиционные цепочки создания стоимости и усугубила проблемы отслеживания роялти, управления данными и трансграничных потоков роялти.</w:t>
      </w:r>
    </w:p>
    <w:p w14:paraId="49773E50" w14:textId="77777777" w:rsidR="00D11B8E" w:rsidRPr="00D11B8E" w:rsidRDefault="00D11B8E" w:rsidP="008C0BE2">
      <w:pPr>
        <w:spacing w:after="220"/>
        <w:ind w:firstLine="567"/>
        <w:rPr>
          <w:b/>
          <w:bCs/>
          <w:szCs w:val="22"/>
        </w:rPr>
      </w:pPr>
      <w:r>
        <w:rPr>
          <w:b/>
        </w:rPr>
        <w:t>III. Введение</w:t>
      </w:r>
    </w:p>
    <w:p w14:paraId="624B52B9" w14:textId="05BF085C" w:rsidR="00D11B8E" w:rsidRDefault="00D11B8E" w:rsidP="006352B4">
      <w:pPr>
        <w:rPr>
          <w:szCs w:val="22"/>
        </w:rPr>
      </w:pPr>
      <w:r>
        <w:t>11.</w:t>
      </w:r>
      <w:r>
        <w:tab/>
        <w:t>Действующие международные договоры в области авторского права и смежных прав, включая Бернскую конвенцию, Римскую конвенцию, Договор ВОИС по авторскому праву, Договор ВОИС по исполнениям и фонограммам, Пекинский договор по аудиовизуальным исполнениям, а также Соглашение по торговым аспектам прав интеллектуальной собственности (ТРИПС), создают прочную и технологически нейтральную основу для охраны исключительных прав авторов, исполнителей, продюсеров и вещательных организаций.</w:t>
      </w:r>
    </w:p>
    <w:p w14:paraId="66C1285A" w14:textId="77777777" w:rsidR="008C0BE2" w:rsidRPr="00D11B8E" w:rsidRDefault="008C0BE2" w:rsidP="008C0BE2">
      <w:pPr>
        <w:rPr>
          <w:szCs w:val="22"/>
        </w:rPr>
      </w:pPr>
    </w:p>
    <w:p w14:paraId="3C7DAC4F" w14:textId="6D09EFA2" w:rsidR="00D11B8E" w:rsidRDefault="00D11B8E" w:rsidP="006352B4">
      <w:pPr>
        <w:rPr>
          <w:szCs w:val="22"/>
        </w:rPr>
      </w:pPr>
      <w:r>
        <w:t>12.</w:t>
      </w:r>
      <w:r>
        <w:tab/>
        <w:t>В то же время операционные аспекты современного цифрового использования, включая документацию, управление метаданными, обработку данных, обеспечение обнаружения, оценку стоимости и трансграничное распределение вознаграждения, сформировали сложную трансграничную экосистему, которая не была предусмотрена существующими договорными рамками.  Центральной проблемой является не недостаточность материальных прав как таковых, а пробел в регулировании трансграничного управления роялти.  Этот пробел проявляется в устойчивой фрагментации метаданных, различиях в оценке стоимости, затрагивающих правообладателей, непрозрачности алгоритмического распределения роялти и трудностях координации между структурами, вовлеченными в трансграничное управление роялти.</w:t>
      </w:r>
    </w:p>
    <w:p w14:paraId="7FF9D928" w14:textId="77777777" w:rsidR="008C0BE2" w:rsidRPr="00D11B8E" w:rsidRDefault="008C0BE2" w:rsidP="008C0BE2">
      <w:pPr>
        <w:rPr>
          <w:szCs w:val="22"/>
        </w:rPr>
      </w:pPr>
    </w:p>
    <w:p w14:paraId="4D21E8E0" w14:textId="0C49BE5E" w:rsidR="00D11B8E" w:rsidRDefault="00D11B8E" w:rsidP="006352B4">
      <w:pPr>
        <w:rPr>
          <w:szCs w:val="22"/>
        </w:rPr>
      </w:pPr>
      <w:r>
        <w:t>13.</w:t>
      </w:r>
      <w:r>
        <w:tab/>
        <w:t>Национальные регуляторные рамки, оставаясь незаменимыми для внутренней имплементации, сталкиваются с объективными ограничениями при регулировании трансграничной цифровой музыкальной экосистемы.  Данные об использовании генерируются и обрабатываются на глобальном уровне, потоки роялти одновременно затрагивают несколько юрисдикций, а алгоритмическое принятие решений осуществляется в масштабах, выходящих за пределы любой отдельной территории.  Отсутствие международных правовых рамок приводит к фрагментации стандартов, пробелам в подотчетности и неэффективным средствам правовой защиты, особенно в тех случаях, когда добровольные инициативы, реализуемые отраслью, оказались недостаточными для обеспечения устойчивой операционной совместимости метаданных или надежных трансграничных потоков роялти.</w:t>
      </w:r>
    </w:p>
    <w:p w14:paraId="59AE83DC" w14:textId="77777777" w:rsidR="008C0BE2" w:rsidRPr="00D11B8E" w:rsidRDefault="008C0BE2" w:rsidP="008C0BE2">
      <w:pPr>
        <w:rPr>
          <w:szCs w:val="22"/>
        </w:rPr>
      </w:pPr>
    </w:p>
    <w:p w14:paraId="51A13FC1" w14:textId="515DC057" w:rsidR="00D11B8E" w:rsidRDefault="00D11B8E" w:rsidP="006352B4">
      <w:pPr>
        <w:rPr>
          <w:szCs w:val="22"/>
        </w:rPr>
      </w:pPr>
      <w:r>
        <w:t>14.</w:t>
      </w:r>
      <w:r>
        <w:tab/>
        <w:t>Эти вызовы дополнительно усугубляются стремительным развитием новых технологий, включая искусственный интеллект, которые вносят дополнительные сложности в идентификацию, атрибуцию и вознаграждение произведений в цифровой среде. Более глубокое понимание практического опыта на национальном и региональном уровнях, а также текущей практики заинтересованных сторон будет иметь ключевое значение для обеспечения того, чтобы любые механизмы сотрудничества были действенными, соразмерными и адаптивными к реальным потребностям.</w:t>
      </w:r>
    </w:p>
    <w:p w14:paraId="478D9B9F" w14:textId="77777777" w:rsidR="008C0BE2" w:rsidRPr="00D11B8E" w:rsidRDefault="008C0BE2" w:rsidP="008C0BE2">
      <w:pPr>
        <w:rPr>
          <w:szCs w:val="22"/>
        </w:rPr>
      </w:pPr>
    </w:p>
    <w:p w14:paraId="0701424D" w14:textId="7FB11871" w:rsidR="00D11B8E" w:rsidRPr="00931B30" w:rsidRDefault="00D11B8E" w:rsidP="006352B4">
      <w:pPr>
        <w:rPr>
          <w:szCs w:val="22"/>
        </w:rPr>
      </w:pPr>
      <w:r>
        <w:t>15.</w:t>
      </w:r>
      <w:r>
        <w:tab/>
        <w:t>В этой связи в настоящем документе определяются возможные элементы, которые могли бы быть рассмотрены в случае, если государства-члены примут решение о продолжении работы в данной области. Любые такие рамки носили бы строго дополнительный характер по отношению к существующим договорам, не пересматривали бы материальные права, не были бы направлены на регулирование технологий и при этом учитывали бы законные бизнес-модели и свободу договора. Их единственным предметом являлись бы минимальные принципы регулирования и механизмы координации, способные укрепить транспарентность, подотчетность, операционную совместимость и справедливое вознаграждение в цифровой среде.</w:t>
      </w:r>
    </w:p>
    <w:p w14:paraId="60ED639C" w14:textId="77777777" w:rsidR="00D11B8E" w:rsidRPr="00931B30" w:rsidRDefault="00D11B8E" w:rsidP="008C0BE2">
      <w:pPr>
        <w:rPr>
          <w:szCs w:val="22"/>
        </w:rPr>
      </w:pPr>
    </w:p>
    <w:p w14:paraId="13A980EB" w14:textId="77777777" w:rsidR="00D11B8E" w:rsidRDefault="00D11B8E" w:rsidP="008C0BE2">
      <w:pPr>
        <w:autoSpaceDE w:val="0"/>
        <w:autoSpaceDN w:val="0"/>
        <w:adjustRightInd w:val="0"/>
        <w:ind w:firstLine="567"/>
        <w:rPr>
          <w:rFonts w:eastAsia="Times New Roman"/>
          <w:b/>
          <w:bCs/>
          <w:color w:val="242424"/>
          <w:szCs w:val="22"/>
        </w:rPr>
      </w:pPr>
      <w:r>
        <w:rPr>
          <w:b/>
          <w:color w:val="242424"/>
        </w:rPr>
        <w:t>IV. Обоснование</w:t>
      </w:r>
    </w:p>
    <w:p w14:paraId="6B0F61BC" w14:textId="77777777" w:rsidR="008C0BE2" w:rsidRPr="00931B30" w:rsidRDefault="008C0BE2" w:rsidP="008C0BE2">
      <w:pPr>
        <w:autoSpaceDE w:val="0"/>
        <w:autoSpaceDN w:val="0"/>
        <w:adjustRightInd w:val="0"/>
        <w:rPr>
          <w:rFonts w:eastAsia="Times New Roman"/>
          <w:b/>
          <w:bCs/>
          <w:color w:val="242424"/>
          <w:szCs w:val="22"/>
          <w:lang w:eastAsia="fr-CH"/>
        </w:rPr>
      </w:pPr>
    </w:p>
    <w:p w14:paraId="0462AED9" w14:textId="4AEC8C42" w:rsidR="00D11B8E" w:rsidRDefault="00D11B8E" w:rsidP="006352B4">
      <w:pPr>
        <w:autoSpaceDE w:val="0"/>
        <w:autoSpaceDN w:val="0"/>
        <w:adjustRightInd w:val="0"/>
        <w:rPr>
          <w:szCs w:val="22"/>
        </w:rPr>
      </w:pPr>
      <w:r>
        <w:rPr>
          <w:color w:val="242424"/>
        </w:rPr>
        <w:t>16.</w:t>
      </w:r>
      <w:r>
        <w:rPr>
          <w:color w:val="242424"/>
        </w:rPr>
        <w:tab/>
        <w:t xml:space="preserve">Целесообразность и конкретная форма любых возможных международных рамок регулирования трансграничного управления роялти в авторском праве будут в значительной степени зависеть от целей, которым они призваны служить.  К таким целям относятся:  </w:t>
      </w:r>
      <w:r>
        <w:t>повышение правовой определенности трансграничного регулирования роялти для всех сторон, включая, помимо прочего, правообладателей и структуры, вовлеченные в трансграничное управление роялти; сокращение неэффективности, связанной с трансграничными потоками роялти; содействие более справедливому вознаграждению правообладателей; повышение транспарентности и подотчетности алгоритмических механизмов распределения и начисления роялти; предотвращение нераспределения и ошибочного распределения роялти; формирование устойчивого институционального потенциала в развивающихся странах и наименее развитых странах; а также поддержка долгосрочной жизнеспособности и роста творческих экономик во всем мире.</w:t>
      </w:r>
    </w:p>
    <w:p w14:paraId="0BA83264" w14:textId="77777777" w:rsidR="008C0BE2" w:rsidRPr="00D11B8E" w:rsidRDefault="008C0BE2" w:rsidP="008C0BE2">
      <w:pPr>
        <w:rPr>
          <w:szCs w:val="22"/>
        </w:rPr>
      </w:pPr>
    </w:p>
    <w:p w14:paraId="09B3E6CB" w14:textId="2832931E" w:rsidR="00D11B8E" w:rsidRDefault="00D11B8E" w:rsidP="006352B4">
      <w:pPr>
        <w:rPr>
          <w:szCs w:val="22"/>
        </w:rPr>
      </w:pPr>
      <w:r>
        <w:t>17.</w:t>
      </w:r>
      <w:r>
        <w:tab/>
        <w:t>Первым обоснованием является необходимость повышения правовой определенности в трансграничном регулировании роялти. Четкие, транспарентные и функционально совместимые стандарты регулирования позволили бы повысить надежность для всех сторон, включая авторов, исполнителей, продюсеров и иных правообладателей, стремящихся проверить и получить причитающееся им вознаграждение, структуры, осуществляющие трансграничное распределение, а также поставщиков цифровых услуг, обрабатывающих данные об использовании в крупном масштабе, тем самым создавая более стабильную среду для платформенного использования произведений.</w:t>
      </w:r>
    </w:p>
    <w:p w14:paraId="32D9FDC0" w14:textId="77777777" w:rsidR="008C0BE2" w:rsidRPr="00D11B8E" w:rsidRDefault="008C0BE2" w:rsidP="008C0BE2">
      <w:pPr>
        <w:rPr>
          <w:szCs w:val="22"/>
        </w:rPr>
      </w:pPr>
    </w:p>
    <w:p w14:paraId="2404F700" w14:textId="0439C5FE" w:rsidR="00D11B8E" w:rsidRDefault="00D11B8E" w:rsidP="006352B4">
      <w:pPr>
        <w:rPr>
          <w:szCs w:val="22"/>
        </w:rPr>
      </w:pPr>
      <w:r>
        <w:t>18.</w:t>
      </w:r>
      <w:r>
        <w:tab/>
        <w:t>Второе обоснование касается сокращения неэффективности.  Фрагментация метаданных, несогласованные форматы отчетности и отсутствие надежных механизмов трансграничного согласования данных в настоящее время порождают значительные административные издержки, задержки и невостребованные роялти.  Минимальные международные принципы регулирования могли бы снизить эти издержки и повысить эффективность потоков роялти, дополняя существующие инициативы.</w:t>
      </w:r>
    </w:p>
    <w:p w14:paraId="7567FD4D" w14:textId="77777777" w:rsidR="006352B4" w:rsidRPr="00D11B8E" w:rsidRDefault="006352B4" w:rsidP="006352B4">
      <w:pPr>
        <w:rPr>
          <w:szCs w:val="22"/>
        </w:rPr>
      </w:pPr>
    </w:p>
    <w:p w14:paraId="55CBF97E" w14:textId="653711F7" w:rsidR="00D11B8E" w:rsidRDefault="00D11B8E" w:rsidP="006352B4">
      <w:pPr>
        <w:rPr>
          <w:szCs w:val="22"/>
        </w:rPr>
      </w:pPr>
      <w:r>
        <w:t>19.</w:t>
      </w:r>
      <w:r>
        <w:tab/>
        <w:t>Третье обоснование связано с обеспечением возможности получения правообладателями справедливого вознаграждения путем формирования практических механизмов для повышения транспарентности методик распределения роялти и проверки данных. Таким образом, такие рамки могли бы способствовать устранению сохраняющихся различий в оценке стоимости, затрагивающих многочисленных правообладателей, с учетом существующих договорных отношений.</w:t>
      </w:r>
    </w:p>
    <w:p w14:paraId="6E5BBCD9" w14:textId="77777777" w:rsidR="008C0BE2" w:rsidRPr="00D11B8E" w:rsidRDefault="008C0BE2" w:rsidP="008C0BE2">
      <w:pPr>
        <w:rPr>
          <w:szCs w:val="22"/>
        </w:rPr>
      </w:pPr>
    </w:p>
    <w:p w14:paraId="06B4857F" w14:textId="622D9A46" w:rsidR="00D11B8E" w:rsidRDefault="00D11B8E" w:rsidP="006352B4">
      <w:pPr>
        <w:rPr>
          <w:szCs w:val="22"/>
        </w:rPr>
      </w:pPr>
      <w:r>
        <w:t>20.</w:t>
      </w:r>
      <w:r>
        <w:tab/>
        <w:t>Дополнительные обоснования включают укрепление институционального доверия путем обеспечения целостности систем сбора и распределения роялти за счет совершенствования согласования данных и трансграничного сотрудничества, усиления подотчетности структур, вовлеченных в управление роялти, а также поддержки целевых механизмов наращивания потенциала и финансирования для ОКУ в развивающихся странах и наименее развитых странах, что, в свою очередь, позволит обеспечить более инклюзивное участие в глобальном цифровом рынке.</w:t>
      </w:r>
    </w:p>
    <w:p w14:paraId="5CEC3D43" w14:textId="77777777" w:rsidR="008C0BE2" w:rsidRPr="00D11B8E" w:rsidRDefault="008C0BE2" w:rsidP="008C0BE2">
      <w:pPr>
        <w:rPr>
          <w:szCs w:val="22"/>
        </w:rPr>
      </w:pPr>
    </w:p>
    <w:p w14:paraId="73B79AD6" w14:textId="7D7207DE" w:rsidR="00D11B8E" w:rsidRDefault="00D11B8E" w:rsidP="006352B4">
      <w:pPr>
        <w:rPr>
          <w:szCs w:val="22"/>
        </w:rPr>
      </w:pPr>
      <w:r>
        <w:t>21.</w:t>
      </w:r>
      <w:r>
        <w:tab/>
        <w:t>Наконец, такой подход к регулированию мог бы способствовать более широкой цели поддержания динамично развивающихся творческих экономик за счет обеспечения более надежного и предсказуемого поступления вознаграждения правообладателям, тем самым стимулируя культурное производство, инновации и распространение произведений через платформы, включая поставщиков цифровых услуг, во всех регионах.</w:t>
      </w:r>
    </w:p>
    <w:p w14:paraId="3A5F8845" w14:textId="77777777" w:rsidR="008C0BE2" w:rsidRPr="00931B30" w:rsidRDefault="008C0BE2" w:rsidP="008C0BE2">
      <w:pPr>
        <w:rPr>
          <w:szCs w:val="22"/>
        </w:rPr>
      </w:pPr>
    </w:p>
    <w:p w14:paraId="582ECC0E" w14:textId="0714C5EC" w:rsidR="00D11B8E" w:rsidRDefault="00D11B8E" w:rsidP="006352B4">
      <w:pPr>
        <w:rPr>
          <w:szCs w:val="22"/>
        </w:rPr>
      </w:pPr>
      <w:r>
        <w:lastRenderedPageBreak/>
        <w:t>22.</w:t>
      </w:r>
      <w:r>
        <w:tab/>
        <w:t>Любой будущий документ в области регулирования должен включать четкие и надлежащие гарантии защиты персональных данных, обеспечения добросовестной конкуренции и соблюдения суверенного права государства регулировать данные в соответствии со своим национальным законодательством и применимым международным правом, а также быть разработанным таким образом, чтобы он был практичным, эффективным и не дублировал существующие структуры, не создавая дополнительных административных или институциональных уровней либо нагрузок.  Таким образом, он представлял бы собой целенаправленный, соразмерный и дополнительный ответ на выявленные проблемы трансграничной координации, не затрагивая действующие правовые рамки и не являясь всеобъемлющей регуляторной реформой.</w:t>
      </w:r>
    </w:p>
    <w:p w14:paraId="389E8886" w14:textId="77777777" w:rsidR="008C0BE2" w:rsidRPr="00931B30" w:rsidRDefault="008C0BE2" w:rsidP="008C0BE2">
      <w:pPr>
        <w:rPr>
          <w:szCs w:val="22"/>
        </w:rPr>
      </w:pPr>
    </w:p>
    <w:p w14:paraId="79E77A86" w14:textId="77777777" w:rsidR="00D11B8E" w:rsidRDefault="00D11B8E" w:rsidP="008C0BE2">
      <w:pPr>
        <w:ind w:firstLine="567"/>
        <w:rPr>
          <w:b/>
          <w:bCs/>
          <w:szCs w:val="22"/>
        </w:rPr>
      </w:pPr>
      <w:r>
        <w:rPr>
          <w:b/>
        </w:rPr>
        <w:t>V. Элементы возможных рамок регулирования</w:t>
      </w:r>
    </w:p>
    <w:p w14:paraId="1CA4D19B" w14:textId="77777777" w:rsidR="008C0BE2" w:rsidRPr="00D11B8E" w:rsidRDefault="008C0BE2" w:rsidP="008C0BE2">
      <w:pPr>
        <w:ind w:firstLine="567"/>
        <w:rPr>
          <w:b/>
          <w:bCs/>
          <w:szCs w:val="22"/>
        </w:rPr>
      </w:pPr>
    </w:p>
    <w:p w14:paraId="069B5EA6" w14:textId="10EBC6D8" w:rsidR="00D11B8E" w:rsidRDefault="00D11B8E" w:rsidP="006352B4">
      <w:pPr>
        <w:rPr>
          <w:szCs w:val="22"/>
        </w:rPr>
      </w:pPr>
      <w:r>
        <w:t>23.</w:t>
      </w:r>
      <w:r>
        <w:tab/>
        <w:t>В следующих пунктах в систематизированном виде излагаются возможные элементы, которые государства-члены могли бы рассмотреть в рамках ориентированного на регулирование международного документа. Эти элементы представлены в качестве вопросов для обсуждения, а не в виде предписывающих положений, и сгруппированы по основным характеристикам, которые необходимо было бы охватить:</w:t>
      </w:r>
    </w:p>
    <w:p w14:paraId="6E722473" w14:textId="47B06292" w:rsidR="008C0BE2" w:rsidRDefault="008C0BE2">
      <w:pPr>
        <w:rPr>
          <w:szCs w:val="22"/>
        </w:rPr>
      </w:pPr>
      <w:r>
        <w:br w:type="page"/>
      </w:r>
    </w:p>
    <w:p w14:paraId="118AC300" w14:textId="34AD1214" w:rsidR="00D11B8E" w:rsidRPr="008C0BE2" w:rsidRDefault="00D11B8E" w:rsidP="008C0BE2">
      <w:pPr>
        <w:pStyle w:val="ListParagraph"/>
        <w:numPr>
          <w:ilvl w:val="0"/>
          <w:numId w:val="8"/>
        </w:numPr>
        <w:rPr>
          <w:b/>
          <w:bCs/>
          <w:szCs w:val="22"/>
        </w:rPr>
      </w:pPr>
      <w:r>
        <w:rPr>
          <w:b/>
        </w:rPr>
        <w:lastRenderedPageBreak/>
        <w:t>Общие правовые рамки / соотношение с предыдущими документами</w:t>
      </w:r>
    </w:p>
    <w:p w14:paraId="4AAC1BB9" w14:textId="77777777" w:rsidR="008C0BE2" w:rsidRDefault="008C0BE2" w:rsidP="008C0BE2">
      <w:pPr>
        <w:rPr>
          <w:szCs w:val="22"/>
        </w:rPr>
      </w:pPr>
    </w:p>
    <w:p w14:paraId="162E385B" w14:textId="2AFE52C6" w:rsidR="00D11B8E" w:rsidRPr="00D11B8E" w:rsidRDefault="00D11B8E" w:rsidP="006352B4">
      <w:pPr>
        <w:rPr>
          <w:szCs w:val="22"/>
        </w:rPr>
      </w:pPr>
      <w:r>
        <w:t>Любой новый документ носил бы строго дополнительный характер по отношению к существующим международным договорам в области авторского права и смежных прав (включая Бернскую конвенцию, Римскую конвенцию, Договор ВОИС по авторскому праву, Договор ВОИС по исполнениям и фонограммам, Пекинский договор и Соглашение ТРИПС) и не отступал бы от них.  Ничто в рамках такого документа не изменяло бы, не ограничивало бы и не ущемляло бы права и обязательства, установленные этими договорами.  Документ действовал бы исключительно на уровне регулирования трансграничного</w:t>
      </w:r>
    </w:p>
    <w:p w14:paraId="0634C458" w14:textId="77777777" w:rsidR="00D11B8E" w:rsidRDefault="00D11B8E" w:rsidP="008C0BE2">
      <w:pPr>
        <w:rPr>
          <w:szCs w:val="22"/>
        </w:rPr>
      </w:pPr>
      <w:r>
        <w:t>управления роялти.</w:t>
      </w:r>
    </w:p>
    <w:p w14:paraId="2DA8F5E5" w14:textId="77777777" w:rsidR="008C0BE2" w:rsidRPr="00D11B8E" w:rsidRDefault="008C0BE2" w:rsidP="008C0BE2">
      <w:pPr>
        <w:rPr>
          <w:szCs w:val="22"/>
        </w:rPr>
      </w:pPr>
    </w:p>
    <w:p w14:paraId="315D09CF" w14:textId="43E0393A" w:rsidR="00D11B8E" w:rsidRPr="008C0BE2" w:rsidRDefault="00D11B8E" w:rsidP="008C0BE2">
      <w:pPr>
        <w:pStyle w:val="ListParagraph"/>
        <w:numPr>
          <w:ilvl w:val="0"/>
          <w:numId w:val="8"/>
        </w:numPr>
        <w:rPr>
          <w:b/>
          <w:bCs/>
          <w:szCs w:val="22"/>
        </w:rPr>
      </w:pPr>
      <w:r>
        <w:rPr>
          <w:b/>
        </w:rPr>
        <w:t>Цели политики</w:t>
      </w:r>
    </w:p>
    <w:p w14:paraId="5B757396" w14:textId="77777777" w:rsidR="008C0BE2" w:rsidRPr="008C0BE2" w:rsidRDefault="008C0BE2" w:rsidP="008C0BE2">
      <w:pPr>
        <w:rPr>
          <w:b/>
          <w:bCs/>
          <w:szCs w:val="22"/>
        </w:rPr>
      </w:pPr>
    </w:p>
    <w:p w14:paraId="26705645" w14:textId="042321DB" w:rsidR="00D11B8E" w:rsidRDefault="00D11B8E" w:rsidP="006352B4">
      <w:pPr>
        <w:rPr>
          <w:szCs w:val="22"/>
        </w:rPr>
      </w:pPr>
      <w:r>
        <w:t>Возможные элементы могли бы включать цель укрепления эффективной реализации уже признанных прав путем установления принципов, касающихся транспарентности, подотчетности и операционной совместимости в управлении роялти, с тем чтобы повысить надежность трансграничного регулирования роялти, сократить неэффективности и обеспечить справедливое вознаграждение правообладателей в цифровой среде.</w:t>
      </w:r>
    </w:p>
    <w:p w14:paraId="77651012" w14:textId="77777777" w:rsidR="008C0BE2" w:rsidRPr="00D11B8E" w:rsidRDefault="008C0BE2" w:rsidP="008C0BE2">
      <w:pPr>
        <w:rPr>
          <w:szCs w:val="22"/>
        </w:rPr>
      </w:pPr>
    </w:p>
    <w:p w14:paraId="3EAA6EC2" w14:textId="52B78189" w:rsidR="00D11B8E" w:rsidRPr="008C0BE2" w:rsidRDefault="00D11B8E" w:rsidP="008C0BE2">
      <w:pPr>
        <w:pStyle w:val="ListParagraph"/>
        <w:numPr>
          <w:ilvl w:val="0"/>
          <w:numId w:val="8"/>
        </w:numPr>
        <w:rPr>
          <w:b/>
          <w:bCs/>
          <w:szCs w:val="22"/>
        </w:rPr>
      </w:pPr>
      <w:r>
        <w:rPr>
          <w:b/>
        </w:rPr>
        <w:t>Сфера охвата / предмет регулирования</w:t>
      </w:r>
    </w:p>
    <w:p w14:paraId="10BA3608" w14:textId="77777777" w:rsidR="008C0BE2" w:rsidRPr="008C0BE2" w:rsidRDefault="008C0BE2" w:rsidP="008C0BE2">
      <w:pPr>
        <w:ind w:left="360"/>
        <w:rPr>
          <w:b/>
          <w:bCs/>
          <w:szCs w:val="22"/>
        </w:rPr>
      </w:pPr>
    </w:p>
    <w:p w14:paraId="437A7C0C" w14:textId="10A9F06E" w:rsidR="00D11B8E" w:rsidRDefault="00D11B8E" w:rsidP="006352B4">
      <w:pPr>
        <w:rPr>
          <w:szCs w:val="22"/>
        </w:rPr>
      </w:pPr>
      <w:r>
        <w:t>Возможные элементы могли бы предусматривать первоначальную ориентацию на правообладателей фонограмм с учетом их значимой роли в трансграничном цифровом использовании и ранней подверженности технологическим изменениям.  При этом сфера охвата могла бы оставаться открытой для последующего расширения на другие категории произведений и смежных прав по мере накопления опыта применения рамок и развития цифровой конвергенции.</w:t>
      </w:r>
    </w:p>
    <w:p w14:paraId="0BE4FF98" w14:textId="77777777" w:rsidR="00E01310" w:rsidRPr="00D11B8E" w:rsidRDefault="00E01310" w:rsidP="008C0BE2">
      <w:pPr>
        <w:rPr>
          <w:szCs w:val="22"/>
        </w:rPr>
      </w:pPr>
    </w:p>
    <w:p w14:paraId="4CF5BC77" w14:textId="0383534A" w:rsidR="00D11B8E" w:rsidRPr="00E01310" w:rsidRDefault="00D11B8E" w:rsidP="00E01310">
      <w:pPr>
        <w:pStyle w:val="ListParagraph"/>
        <w:numPr>
          <w:ilvl w:val="0"/>
          <w:numId w:val="8"/>
        </w:numPr>
        <w:rPr>
          <w:b/>
          <w:bCs/>
          <w:szCs w:val="22"/>
        </w:rPr>
      </w:pPr>
      <w:r>
        <w:rPr>
          <w:b/>
        </w:rPr>
        <w:t>Имплементация документа</w:t>
      </w:r>
    </w:p>
    <w:p w14:paraId="626CD063" w14:textId="77777777" w:rsidR="00E01310" w:rsidRPr="00E01310" w:rsidRDefault="00E01310" w:rsidP="00E01310">
      <w:pPr>
        <w:pStyle w:val="ListParagraph"/>
        <w:rPr>
          <w:b/>
          <w:bCs/>
          <w:szCs w:val="22"/>
        </w:rPr>
      </w:pPr>
    </w:p>
    <w:p w14:paraId="52117A60" w14:textId="524B1656" w:rsidR="00D11B8E" w:rsidRDefault="00D11B8E" w:rsidP="006352B4">
      <w:pPr>
        <w:rPr>
          <w:szCs w:val="22"/>
        </w:rPr>
      </w:pPr>
      <w:r>
        <w:t>Договаривающиеся стороны должны были бы принимать, в соответствии со своими соответствующими правовыми системами и практикой, необходимые меры для реализации его положений.</w:t>
      </w:r>
    </w:p>
    <w:p w14:paraId="0A545D21" w14:textId="77777777" w:rsidR="00E01310" w:rsidRPr="00D11B8E" w:rsidRDefault="00E01310" w:rsidP="008C0BE2">
      <w:pPr>
        <w:rPr>
          <w:szCs w:val="22"/>
        </w:rPr>
      </w:pPr>
    </w:p>
    <w:p w14:paraId="039090E4" w14:textId="7690291B" w:rsidR="00D11B8E" w:rsidRPr="00E01310" w:rsidRDefault="00D11B8E" w:rsidP="00E01310">
      <w:pPr>
        <w:pStyle w:val="ListParagraph"/>
        <w:numPr>
          <w:ilvl w:val="0"/>
          <w:numId w:val="8"/>
        </w:numPr>
        <w:rPr>
          <w:b/>
          <w:bCs/>
          <w:szCs w:val="22"/>
        </w:rPr>
      </w:pPr>
      <w:r>
        <w:rPr>
          <w:b/>
        </w:rPr>
        <w:t>Число бенефициаров</w:t>
      </w:r>
    </w:p>
    <w:p w14:paraId="57C33334" w14:textId="77777777" w:rsidR="00E01310" w:rsidRPr="00E01310" w:rsidRDefault="00E01310" w:rsidP="00E01310">
      <w:pPr>
        <w:pStyle w:val="ListParagraph"/>
        <w:rPr>
          <w:b/>
          <w:bCs/>
          <w:szCs w:val="22"/>
        </w:rPr>
      </w:pPr>
    </w:p>
    <w:p w14:paraId="4BC6AA3C" w14:textId="07115FC9" w:rsidR="00D11B8E" w:rsidRDefault="00D11B8E" w:rsidP="006352B4">
      <w:pPr>
        <w:rPr>
          <w:szCs w:val="22"/>
        </w:rPr>
      </w:pPr>
      <w:r>
        <w:t>Основными бенефициарами являлись бы авторы, исполнители, продюсеры и иные правообладатели, чьи произведения и смежные права используются в цифровой среде.   Благодаря усовершенствованным механизмам регулирования такие правообладатели получили бы более широкие возможности для проверки и получения справедливого и надлежащего вознаграждения.  Структуры, вовлеченные в управление роялти, включая ОКУ и поставщиков цифровых услуг, извлекли бы выгоду из более четких принципов регулирования и минимальных международных стандартов координации, в то время как договаривающиеся стороны укрепили бы свой институциональный потенциал в поддержке национальных творческих экономик.</w:t>
      </w:r>
    </w:p>
    <w:p w14:paraId="0E070355" w14:textId="77777777" w:rsidR="00E01310" w:rsidRPr="00931B30" w:rsidRDefault="00E01310" w:rsidP="008C0BE2">
      <w:pPr>
        <w:rPr>
          <w:szCs w:val="22"/>
        </w:rPr>
      </w:pPr>
    </w:p>
    <w:p w14:paraId="46B01BED" w14:textId="2B08D6B6" w:rsidR="00D11B8E" w:rsidRDefault="00D11B8E" w:rsidP="00E01310">
      <w:pPr>
        <w:pStyle w:val="ListParagraph"/>
        <w:numPr>
          <w:ilvl w:val="0"/>
          <w:numId w:val="8"/>
        </w:numPr>
        <w:rPr>
          <w:b/>
          <w:bCs/>
          <w:szCs w:val="22"/>
        </w:rPr>
      </w:pPr>
      <w:r>
        <w:rPr>
          <w:b/>
        </w:rPr>
        <w:t>Характер и объем обязательств (транспарентность, функциональная совместимость, подотчетность)</w:t>
      </w:r>
    </w:p>
    <w:p w14:paraId="2CA0FECC" w14:textId="77777777" w:rsidR="00E01310" w:rsidRPr="00E01310" w:rsidRDefault="00E01310" w:rsidP="00E01310">
      <w:pPr>
        <w:pStyle w:val="ListParagraph"/>
        <w:rPr>
          <w:b/>
          <w:bCs/>
          <w:szCs w:val="22"/>
        </w:rPr>
      </w:pPr>
    </w:p>
    <w:p w14:paraId="46A0D713" w14:textId="267666B3" w:rsidR="00D11B8E" w:rsidRDefault="00D11B8E" w:rsidP="008C0BE2">
      <w:pPr>
        <w:rPr>
          <w:szCs w:val="22"/>
        </w:rPr>
      </w:pPr>
      <w:r>
        <w:t xml:space="preserve">Возможные элементы могли бы включать международные принципы, касающиеся транспарентности сбора, начисления и распределения роялти; операционной совместимости систем метаданных и данных об использовании; а также подотчетности в </w:t>
      </w:r>
      <w:r>
        <w:lastRenderedPageBreak/>
        <w:t>тех случаях, когда алгоритмические системы оказывают влияние на результаты вознаграждения.  Эти принципы применялись бы к взаимодействию между структурами, вовлеченными в управление роялти, включая, помимо прочего, ОКУ и поставщиков цифровых услуг, при одновременном соблюдении требований по защите персональных данных, обеспечению добросовестной конкуренции и суверенного права государства на регулирование данных.</w:t>
      </w:r>
    </w:p>
    <w:p w14:paraId="50D3FAE6" w14:textId="77777777" w:rsidR="00E01310" w:rsidRPr="00931B30" w:rsidRDefault="00E01310" w:rsidP="008C0BE2">
      <w:pPr>
        <w:rPr>
          <w:szCs w:val="22"/>
        </w:rPr>
      </w:pPr>
    </w:p>
    <w:p w14:paraId="52686F0F" w14:textId="33994FDB" w:rsidR="00D11B8E" w:rsidRPr="004C66F8" w:rsidRDefault="00D11B8E" w:rsidP="00E01310">
      <w:pPr>
        <w:pStyle w:val="ListParagraph"/>
        <w:numPr>
          <w:ilvl w:val="0"/>
          <w:numId w:val="8"/>
        </w:numPr>
        <w:rPr>
          <w:b/>
          <w:bCs/>
          <w:szCs w:val="22"/>
        </w:rPr>
      </w:pPr>
      <w:r>
        <w:rPr>
          <w:b/>
        </w:rPr>
        <w:t>Механизмы приобретения / документирования (реестр метаданных, идентификаторы)</w:t>
      </w:r>
    </w:p>
    <w:p w14:paraId="7B84E02E" w14:textId="77777777" w:rsidR="00E01310" w:rsidRPr="00E01310" w:rsidRDefault="00E01310" w:rsidP="00E01310">
      <w:pPr>
        <w:pStyle w:val="ListParagraph"/>
        <w:rPr>
          <w:szCs w:val="22"/>
        </w:rPr>
      </w:pPr>
    </w:p>
    <w:p w14:paraId="04A5DDB0" w14:textId="017446AB" w:rsidR="00D11B8E" w:rsidRDefault="00D11B8E" w:rsidP="008C0BE2">
      <w:pPr>
        <w:rPr>
          <w:szCs w:val="22"/>
        </w:rPr>
      </w:pPr>
      <w:r>
        <w:t>Возможные элементы могли бы предусматривать содействие внедрению надежных механизмов документирования, поддерживающих аутентификацию и проверку, включая признание существующих отраслевых идентификаторов (ISRC, ISWC), принципы операционной совместимости и исправления данных, а также нейтральную координирующую роль ВОИС в целях содействия техническому сотрудничеству.  Государства-члены могли бы рассмотреть поэтапные или модульные подходы к имплементации, потенциально включая федеративный или централизованный компонент реестра.</w:t>
      </w:r>
    </w:p>
    <w:p w14:paraId="78744FCF" w14:textId="77777777" w:rsidR="00E01310" w:rsidRDefault="00E01310" w:rsidP="00E01310">
      <w:pPr>
        <w:ind w:left="6237" w:firstLine="567"/>
        <w:rPr>
          <w:szCs w:val="22"/>
        </w:rPr>
      </w:pPr>
    </w:p>
    <w:p w14:paraId="646C0560" w14:textId="77777777" w:rsidR="00E01310" w:rsidRDefault="00E01310" w:rsidP="00E01310">
      <w:pPr>
        <w:ind w:left="6237" w:firstLine="567"/>
        <w:rPr>
          <w:szCs w:val="22"/>
        </w:rPr>
      </w:pPr>
    </w:p>
    <w:p w14:paraId="53928A59" w14:textId="77777777" w:rsidR="00E01310" w:rsidRDefault="00E01310" w:rsidP="00E01310">
      <w:pPr>
        <w:ind w:left="6237" w:firstLine="567"/>
        <w:rPr>
          <w:szCs w:val="22"/>
        </w:rPr>
      </w:pPr>
    </w:p>
    <w:p w14:paraId="616BAE33" w14:textId="0C000960" w:rsidR="00E01310" w:rsidRPr="00931B30" w:rsidRDefault="00E01310" w:rsidP="00E01310">
      <w:pPr>
        <w:ind w:left="6237" w:hanging="27"/>
        <w:rPr>
          <w:szCs w:val="22"/>
        </w:rPr>
      </w:pPr>
      <w:r>
        <w:t>[Конец документа]</w:t>
      </w:r>
    </w:p>
    <w:sectPr w:rsidR="00E01310" w:rsidRPr="00931B30" w:rsidSect="004105F6">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ED5E5" w14:textId="77777777" w:rsidR="003D22F8" w:rsidRDefault="003D22F8">
      <w:r>
        <w:separator/>
      </w:r>
    </w:p>
  </w:endnote>
  <w:endnote w:type="continuationSeparator" w:id="0">
    <w:p w14:paraId="5DB2BF6A" w14:textId="77777777" w:rsidR="003D22F8" w:rsidRDefault="003D22F8" w:rsidP="003B38C1">
      <w:r>
        <w:separator/>
      </w:r>
    </w:p>
    <w:p w14:paraId="2D66203F" w14:textId="77777777" w:rsidR="003D22F8" w:rsidRPr="004B61C8" w:rsidRDefault="003D22F8" w:rsidP="003B38C1">
      <w:pPr>
        <w:spacing w:after="60"/>
        <w:rPr>
          <w:sz w:val="17"/>
          <w:lang w:val="en-US"/>
        </w:rPr>
      </w:pPr>
      <w:r w:rsidRPr="004B61C8">
        <w:rPr>
          <w:sz w:val="17"/>
          <w:lang w:val="en-US"/>
        </w:rPr>
        <w:t>[Endnote continued from previous page]</w:t>
      </w:r>
    </w:p>
  </w:endnote>
  <w:endnote w:type="continuationNotice" w:id="1">
    <w:p w14:paraId="2BDBD571" w14:textId="77777777" w:rsidR="003D22F8" w:rsidRPr="004B61C8" w:rsidRDefault="003D22F8" w:rsidP="003B38C1">
      <w:pPr>
        <w:spacing w:before="60"/>
        <w:jc w:val="right"/>
        <w:rPr>
          <w:sz w:val="17"/>
          <w:szCs w:val="17"/>
          <w:lang w:val="en-US"/>
        </w:rPr>
      </w:pPr>
      <w:r w:rsidRPr="004B61C8">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9B60A" w14:textId="77777777" w:rsidR="003D22F8" w:rsidRDefault="003D22F8">
      <w:r>
        <w:separator/>
      </w:r>
    </w:p>
  </w:footnote>
  <w:footnote w:type="continuationSeparator" w:id="0">
    <w:p w14:paraId="615B921E" w14:textId="77777777" w:rsidR="003D22F8" w:rsidRDefault="003D22F8" w:rsidP="008B60B2">
      <w:r>
        <w:separator/>
      </w:r>
    </w:p>
    <w:p w14:paraId="110184D5" w14:textId="77777777" w:rsidR="003D22F8" w:rsidRPr="004B61C8" w:rsidRDefault="003D22F8" w:rsidP="008B60B2">
      <w:pPr>
        <w:spacing w:after="60"/>
        <w:rPr>
          <w:sz w:val="17"/>
          <w:szCs w:val="17"/>
          <w:lang w:val="en-US"/>
        </w:rPr>
      </w:pPr>
      <w:r w:rsidRPr="004B61C8">
        <w:rPr>
          <w:sz w:val="17"/>
          <w:szCs w:val="17"/>
          <w:lang w:val="en-US"/>
        </w:rPr>
        <w:t>[Footnote continued from previous page]</w:t>
      </w:r>
    </w:p>
  </w:footnote>
  <w:footnote w:type="continuationNotice" w:id="1">
    <w:p w14:paraId="10F9D086" w14:textId="77777777" w:rsidR="003D22F8" w:rsidRPr="004B61C8" w:rsidRDefault="003D22F8" w:rsidP="008B60B2">
      <w:pPr>
        <w:spacing w:before="60"/>
        <w:jc w:val="right"/>
        <w:rPr>
          <w:sz w:val="17"/>
          <w:szCs w:val="17"/>
          <w:lang w:val="en-US"/>
        </w:rPr>
      </w:pPr>
      <w:r w:rsidRPr="004B61C8">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DF6D" w14:textId="1F449A29" w:rsidR="00EC4E49" w:rsidRDefault="004105F6" w:rsidP="00477D6B">
    <w:pPr>
      <w:jc w:val="right"/>
    </w:pPr>
    <w:bookmarkStart w:id="5" w:name="Code2"/>
    <w:bookmarkEnd w:id="5"/>
    <w:r>
      <w:t>SCCR/48/4</w:t>
    </w:r>
  </w:p>
  <w:p w14:paraId="153C3895" w14:textId="77777777" w:rsidR="00EC4E49" w:rsidRDefault="00EC4E49" w:rsidP="00477D6B">
    <w:pPr>
      <w:jc w:val="right"/>
    </w:pPr>
    <w:r>
      <w:t xml:space="preserve">cтр. </w:t>
    </w:r>
    <w:r>
      <w:fldChar w:fldCharType="begin"/>
    </w:r>
    <w:r>
      <w:instrText xml:space="preserve"> PAGE  \* MERGEFORMAT </w:instrText>
    </w:r>
    <w:r>
      <w:fldChar w:fldCharType="separate"/>
    </w:r>
    <w:r w:rsidR="00E671A6">
      <w:t>2</w:t>
    </w:r>
    <w:r>
      <w:fldChar w:fldCharType="end"/>
    </w:r>
  </w:p>
  <w:p w14:paraId="425379C1" w14:textId="77777777" w:rsidR="00EC4E49" w:rsidRDefault="00EC4E49" w:rsidP="00477D6B">
    <w:pPr>
      <w:jc w:val="right"/>
    </w:pPr>
  </w:p>
  <w:p w14:paraId="1772C1D9"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9247F5A"/>
    <w:multiLevelType w:val="hybridMultilevel"/>
    <w:tmpl w:val="7E5AE160"/>
    <w:lvl w:ilvl="0" w:tplc="46AC8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D2081B"/>
    <w:multiLevelType w:val="hybridMultilevel"/>
    <w:tmpl w:val="64407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28076068">
    <w:abstractNumId w:val="2"/>
  </w:num>
  <w:num w:numId="2" w16cid:durableId="1246458243">
    <w:abstractNumId w:val="6"/>
  </w:num>
  <w:num w:numId="3" w16cid:durableId="273441559">
    <w:abstractNumId w:val="0"/>
  </w:num>
  <w:num w:numId="4" w16cid:durableId="286401011">
    <w:abstractNumId w:val="7"/>
  </w:num>
  <w:num w:numId="5" w16cid:durableId="113525721">
    <w:abstractNumId w:val="1"/>
  </w:num>
  <w:num w:numId="6" w16cid:durableId="1127430456">
    <w:abstractNumId w:val="3"/>
  </w:num>
  <w:num w:numId="7" w16cid:durableId="1447192229">
    <w:abstractNumId w:val="4"/>
  </w:num>
  <w:num w:numId="8" w16cid:durableId="141054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5F6"/>
    <w:rsid w:val="0000182B"/>
    <w:rsid w:val="00010F79"/>
    <w:rsid w:val="0001647B"/>
    <w:rsid w:val="00017C43"/>
    <w:rsid w:val="00043CAA"/>
    <w:rsid w:val="00071E83"/>
    <w:rsid w:val="00075432"/>
    <w:rsid w:val="000968ED"/>
    <w:rsid w:val="00096B1A"/>
    <w:rsid w:val="000F5E56"/>
    <w:rsid w:val="001024FE"/>
    <w:rsid w:val="001362EE"/>
    <w:rsid w:val="00142868"/>
    <w:rsid w:val="001832A6"/>
    <w:rsid w:val="00190746"/>
    <w:rsid w:val="001C6808"/>
    <w:rsid w:val="001D1DA3"/>
    <w:rsid w:val="002121FA"/>
    <w:rsid w:val="0024032A"/>
    <w:rsid w:val="002634C4"/>
    <w:rsid w:val="002928D3"/>
    <w:rsid w:val="002F1FE6"/>
    <w:rsid w:val="002F4E68"/>
    <w:rsid w:val="00312F7F"/>
    <w:rsid w:val="003228B7"/>
    <w:rsid w:val="003508A3"/>
    <w:rsid w:val="003673CF"/>
    <w:rsid w:val="003845C1"/>
    <w:rsid w:val="003A6F89"/>
    <w:rsid w:val="003B38C1"/>
    <w:rsid w:val="003D22F8"/>
    <w:rsid w:val="003D352A"/>
    <w:rsid w:val="003F4808"/>
    <w:rsid w:val="004105F6"/>
    <w:rsid w:val="00423E3E"/>
    <w:rsid w:val="00427AF4"/>
    <w:rsid w:val="004400E2"/>
    <w:rsid w:val="00444C62"/>
    <w:rsid w:val="00461632"/>
    <w:rsid w:val="004647DA"/>
    <w:rsid w:val="00474062"/>
    <w:rsid w:val="00477D6B"/>
    <w:rsid w:val="004901B4"/>
    <w:rsid w:val="004B61C8"/>
    <w:rsid w:val="004C66F8"/>
    <w:rsid w:val="004D39C4"/>
    <w:rsid w:val="004F110B"/>
    <w:rsid w:val="00510CF1"/>
    <w:rsid w:val="0053057A"/>
    <w:rsid w:val="00560A29"/>
    <w:rsid w:val="00594D27"/>
    <w:rsid w:val="00601760"/>
    <w:rsid w:val="00605827"/>
    <w:rsid w:val="006352B4"/>
    <w:rsid w:val="00640D02"/>
    <w:rsid w:val="00646050"/>
    <w:rsid w:val="006713CA"/>
    <w:rsid w:val="00676C5C"/>
    <w:rsid w:val="00695558"/>
    <w:rsid w:val="006D5E0F"/>
    <w:rsid w:val="007058FB"/>
    <w:rsid w:val="00727720"/>
    <w:rsid w:val="00782CAC"/>
    <w:rsid w:val="007A198B"/>
    <w:rsid w:val="007B6A58"/>
    <w:rsid w:val="007D1613"/>
    <w:rsid w:val="008332E8"/>
    <w:rsid w:val="00873EE5"/>
    <w:rsid w:val="008B2CC1"/>
    <w:rsid w:val="008B4B5E"/>
    <w:rsid w:val="008B60B2"/>
    <w:rsid w:val="008C0BE2"/>
    <w:rsid w:val="009020C4"/>
    <w:rsid w:val="0090731E"/>
    <w:rsid w:val="00916EE2"/>
    <w:rsid w:val="00924FAA"/>
    <w:rsid w:val="00931B30"/>
    <w:rsid w:val="00933A65"/>
    <w:rsid w:val="0095239B"/>
    <w:rsid w:val="00966A22"/>
    <w:rsid w:val="0096722F"/>
    <w:rsid w:val="00980843"/>
    <w:rsid w:val="00985AB9"/>
    <w:rsid w:val="00992725"/>
    <w:rsid w:val="009E2791"/>
    <w:rsid w:val="009E3F6F"/>
    <w:rsid w:val="009F3BF9"/>
    <w:rsid w:val="009F499F"/>
    <w:rsid w:val="00A27344"/>
    <w:rsid w:val="00A33F05"/>
    <w:rsid w:val="00A42DAF"/>
    <w:rsid w:val="00A45BD8"/>
    <w:rsid w:val="00A5792C"/>
    <w:rsid w:val="00A778BF"/>
    <w:rsid w:val="00A85B8E"/>
    <w:rsid w:val="00A97915"/>
    <w:rsid w:val="00AB3100"/>
    <w:rsid w:val="00AC205C"/>
    <w:rsid w:val="00AF5C73"/>
    <w:rsid w:val="00B05A69"/>
    <w:rsid w:val="00B40598"/>
    <w:rsid w:val="00B50B99"/>
    <w:rsid w:val="00B62CD9"/>
    <w:rsid w:val="00B74666"/>
    <w:rsid w:val="00B9734B"/>
    <w:rsid w:val="00BD4BB6"/>
    <w:rsid w:val="00C00A50"/>
    <w:rsid w:val="00C11BFE"/>
    <w:rsid w:val="00C2562C"/>
    <w:rsid w:val="00C42181"/>
    <w:rsid w:val="00C94629"/>
    <w:rsid w:val="00CE480A"/>
    <w:rsid w:val="00CE65D4"/>
    <w:rsid w:val="00D11B8E"/>
    <w:rsid w:val="00D16EC4"/>
    <w:rsid w:val="00D45252"/>
    <w:rsid w:val="00D71B4D"/>
    <w:rsid w:val="00D762E1"/>
    <w:rsid w:val="00D93D55"/>
    <w:rsid w:val="00DC5E15"/>
    <w:rsid w:val="00E01310"/>
    <w:rsid w:val="00E161A2"/>
    <w:rsid w:val="00E1703C"/>
    <w:rsid w:val="00E335FE"/>
    <w:rsid w:val="00E5021F"/>
    <w:rsid w:val="00E671A6"/>
    <w:rsid w:val="00EC4E49"/>
    <w:rsid w:val="00ED77FB"/>
    <w:rsid w:val="00F021A6"/>
    <w:rsid w:val="00F11D94"/>
    <w:rsid w:val="00F51DEC"/>
    <w:rsid w:val="00F572BE"/>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7D4AC"/>
  <w15:docId w15:val="{4E627F4E-31C1-4308-AEA9-2545CCB7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31B30"/>
    <w:pPr>
      <w:ind w:left="720"/>
      <w:contextualSpacing/>
    </w:pPr>
  </w:style>
  <w:style w:type="paragraph" w:styleId="Revision">
    <w:name w:val="Revision"/>
    <w:hidden/>
    <w:uiPriority w:val="99"/>
    <w:semiHidden/>
    <w:rsid w:val="00C2562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LDBFP-2000531084-62906</_dlc_DocId>
    <_dlc_DocIdUrl xmlns="ffaa6062-2aba-4ca6-91a9-50f50ca0253d">
      <Url>https://wipoprod.sharepoint.com/sites/SPS-INT-BFP-LD-RussTran/_layouts/15/DocIdRedir.aspx?ID=LDBFP-2000531084-62906</Url>
      <Description>LDBFP-2000531084-62906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86A843A96D54E74B8E758CD75F8EEDD5" ma:contentTypeVersion="21" ma:contentTypeDescription="" ma:contentTypeScope="" ma:versionID="562ba6a88a93e58b0128a1cd35a20106">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82381f60fb81b2fe52ef3ac0abbd3bc1"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7f86033-58c5-448b-b075-56f4e487cde4}"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7f86033-58c5-448b-b075-56f4e487cde4}"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993815-0C4A-427C-AA20-6AA7970F2BA5}">
  <ds:schemaRefs>
    <ds:schemaRef ds:uri="http://schemas.microsoft.com/sharepoint/v3/contenttype/forms"/>
  </ds:schemaRefs>
</ds:datastoreItem>
</file>

<file path=customXml/itemProps2.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customXml/itemProps3.xml><?xml version="1.0" encoding="utf-8"?>
<ds:datastoreItem xmlns:ds="http://schemas.openxmlformats.org/officeDocument/2006/customXml" ds:itemID="{CEC7828D-EB8C-4983-AF56-815A79142501}">
  <ds:schemaRefs>
    <ds:schemaRef ds:uri="http://schemas.microsoft.com/office/2006/metadata/properties"/>
    <ds:schemaRef ds:uri="http://schemas.microsoft.com/office/infopath/2007/PartnerControls"/>
    <ds:schemaRef ds:uri="56500874-bba0-4b48-9090-b201492e8473"/>
    <ds:schemaRef ds:uri="0d6abe56-55ad-41de-8124-44420a0ee71d"/>
    <ds:schemaRef ds:uri="ffaa6062-2aba-4ca6-91a9-50f50ca0253d"/>
  </ds:schemaRefs>
</ds:datastoreItem>
</file>

<file path=customXml/itemProps4.xml><?xml version="1.0" encoding="utf-8"?>
<ds:datastoreItem xmlns:ds="http://schemas.openxmlformats.org/officeDocument/2006/customXml" ds:itemID="{17358046-EBC0-4C1A-B604-D7B33F37C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53FC2F-C249-406C-8DF1-5F196855751A}">
  <ds:schemaRefs>
    <ds:schemaRef ds:uri="Microsoft.SharePoint.Taxonomy.ContentTypeSync"/>
  </ds:schemaRefs>
</ds:datastoreItem>
</file>

<file path=customXml/itemProps6.xml><?xml version="1.0" encoding="utf-8"?>
<ds:datastoreItem xmlns:ds="http://schemas.openxmlformats.org/officeDocument/2006/customXml" ds:itemID="{56C784DA-2F4D-4C05-94FB-F16C56CC55C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SCCR_48 (E)</Template>
  <TotalTime>6</TotalTime>
  <Pages>9</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SCCR/48/4</vt:lpstr>
    </vt:vector>
  </TitlesOfParts>
  <Company>WIPO</Company>
  <LinksUpToDate>false</LinksUpToDate>
  <CharactersWithSpaces>20086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SCCR/48/4</dc:title>
  <dc:creator>HAIZEL Francesca</dc:creator>
  <cp:keywords>FOR OFFICIAL USE ONLY</cp:keywords>
  <cp:lastModifiedBy>HAIZEL Francesca</cp:lastModifiedBy>
  <cp:revision>2</cp:revision>
  <cp:lastPrinted>2011-02-15T11:56:00Z</cp:lastPrinted>
  <dcterms:created xsi:type="dcterms:W3CDTF">2026-04-28T09:31:00Z</dcterms:created>
  <dcterms:modified xsi:type="dcterms:W3CDTF">2026-04-28T09:31:00Z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ContentTypeId">
    <vt:lpwstr>0x01010043A0F979BE30A3469F998CB749C11FBD0086A843A96D54E74B8E758CD75F8EEDD5</vt:lpwstr>
  </property>
  <property fmtid="{D5CDD505-2E9C-101B-9397-08002B2CF9AE}" pid="16" name="_dlc_DocIdItemGuid">
    <vt:lpwstr>7b3c0453-8b4e-425e-8de5-ea4021b0c77c</vt:lpwstr>
  </property>
  <property fmtid="{D5CDD505-2E9C-101B-9397-08002B2CF9AE}" pid="17" name="Languages">
    <vt:lpwstr>1;#English|950e6fa2-2df0-4983-a604-54e57c7a6d93</vt:lpwstr>
  </property>
  <property fmtid="{D5CDD505-2E9C-101B-9397-08002B2CF9AE}" pid="18" name="BusinessUnit">
    <vt:lpwstr>3;#Language Division|9d03c550-61a5-463a-85fe-6ed05e2d8eeb</vt:lpwstr>
  </property>
  <property fmtid="{D5CDD505-2E9C-101B-9397-08002B2CF9AE}" pid="19" name="MediaServiceImageTags">
    <vt:lpwstr/>
  </property>
  <property fmtid="{D5CDD505-2E9C-101B-9397-08002B2CF9AE}" pid="20" name="RMClassification">
    <vt:lpwstr>2;#05 Reference Material|9ea5a724-be39-4cdd-b7fd-205cb2d62f2f</vt:lpwstr>
  </property>
  <property fmtid="{D5CDD505-2E9C-101B-9397-08002B2CF9AE}" pid="21" name="lcf76f155ced4ddcb4097134ff3c332f">
    <vt:lpwstr/>
  </property>
</Properties>
</file>