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D409" w14:textId="40757FDA" w:rsidR="008B2CC1" w:rsidRPr="008B2CC1" w:rsidRDefault="0064437B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6B694C6" wp14:editId="5576742D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8730E4D" wp14:editId="31DB2DB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28D0C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B6E2FD7" w14:textId="05DA2B07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SCCR/47/</w:t>
      </w:r>
      <w:bookmarkStart w:id="0" w:name="Code"/>
      <w:bookmarkEnd w:id="0"/>
      <w:r>
        <w:rPr>
          <w:rFonts w:ascii="Arial Black" w:hAnsi="Arial Black"/>
          <w:caps/>
          <w:sz w:val="15"/>
        </w:rPr>
        <w:t>9</w:t>
      </w:r>
    </w:p>
    <w:p w14:paraId="7D2E2B63" w14:textId="1DB1616B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6F435E89" w14:textId="38F3105A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 ДЕКАБРЯ 2025 ГОДА</w:t>
      </w:r>
    </w:p>
    <w:bookmarkEnd w:id="2"/>
    <w:p w14:paraId="068EAB6E" w14:textId="77777777" w:rsidR="008B2CC1" w:rsidRPr="003845C1" w:rsidRDefault="003F4808" w:rsidP="0095239B">
      <w:pPr>
        <w:spacing w:after="48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2A533F9A" w14:textId="77777777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14:paraId="56BBC9F7" w14:textId="77777777" w:rsidR="008B2CC1" w:rsidRPr="009F3BF9" w:rsidRDefault="003F4808" w:rsidP="00CE65D4">
      <w:pPr>
        <w:spacing w:after="720"/>
      </w:pPr>
      <w:r>
        <w:rPr>
          <w:b/>
          <w:sz w:val="24"/>
        </w:rPr>
        <w:t>Женева, 1–5 декабря 2025 года</w:t>
      </w:r>
    </w:p>
    <w:p w14:paraId="7D3FEC75" w14:textId="27BECD1E" w:rsidR="008B2CC1" w:rsidRPr="009F3BF9" w:rsidRDefault="003208FB" w:rsidP="00CE65D4">
      <w:pPr>
        <w:spacing w:after="360"/>
        <w:rPr>
          <w:caps/>
          <w:sz w:val="24"/>
        </w:rPr>
      </w:pPr>
      <w:bookmarkStart w:id="3" w:name="TitleOfDoc"/>
      <w:r>
        <w:t>ОБНОВЛЕННЫЙ ВАРИАНТ ДОКУМЕНТА «ЦЕЛИ И ПРИНЦИПЫ В ОТНОШЕНИИ ИСКЛЮЧЕНИЙ И ОГРАНИЧЕНИЙ ДЛЯ ОБРАЗОВАТЕЛЬНЫХ, УЧЕБНЫХ И НАУЧНО-ИССЛЕДОВАТЕЛЬСКИХ УЧРЕЖДЕНИЙ» (SCCR/27/8)</w:t>
      </w:r>
    </w:p>
    <w:p w14:paraId="185F3BA5" w14:textId="15DE796F" w:rsidR="008B2CC1" w:rsidRPr="004D39C4" w:rsidRDefault="003208FB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делегацией Соединенных Штатов Америки</w:t>
      </w:r>
    </w:p>
    <w:bookmarkEnd w:id="4"/>
    <w:p w14:paraId="187FD53A" w14:textId="12E55A50" w:rsidR="003208FB" w:rsidRDefault="003208FB">
      <w:r>
        <w:br w:type="page"/>
      </w:r>
    </w:p>
    <w:p w14:paraId="3811F80F" w14:textId="77777777" w:rsidR="003208FB" w:rsidRDefault="003208FB" w:rsidP="003208FB">
      <w:pPr>
        <w:pStyle w:val="Heading1"/>
        <w:spacing w:before="250"/>
        <w:rPr>
          <w:spacing w:val="-2"/>
        </w:rPr>
      </w:pPr>
      <w:r>
        <w:lastRenderedPageBreak/>
        <w:t>ВВЕДЕНИЕ</w:t>
      </w:r>
    </w:p>
    <w:p w14:paraId="24662D78" w14:textId="77777777" w:rsidR="003208FB" w:rsidRDefault="003208FB" w:rsidP="003208FB">
      <w:pPr>
        <w:pStyle w:val="Heading1"/>
        <w:spacing w:before="250"/>
        <w:rPr>
          <w:b w:val="0"/>
          <w:bCs w:val="0"/>
          <w:spacing w:val="-2"/>
        </w:rPr>
      </w:pPr>
      <w:r w:rsidRPr="006E3F42">
        <w:rPr>
          <w:b w:val="0"/>
          <w:caps w:val="0"/>
        </w:rPr>
        <w:t>Настоящий документ представляет собой обновленный вариант документа «Цели и принципы в отношении исключений и ограничений для образовательных, учебных и научно-исследовательских учреждений» (SCCR/27/8), который был представлен Соединенными Штатами на тридцать седьмой сессии Постоянного комитета по авторскому праву и смежным правам (ПКАП) в 2014 году</w:t>
      </w:r>
      <w:r>
        <w:rPr>
          <w:b w:val="0"/>
        </w:rPr>
        <w:t>.</w:t>
      </w:r>
    </w:p>
    <w:p w14:paraId="7E2B8DE0" w14:textId="77777777" w:rsidR="003208FB" w:rsidRDefault="003208FB" w:rsidP="003208FB">
      <w:pPr>
        <w:pStyle w:val="BodyText"/>
        <w:ind w:right="147"/>
      </w:pPr>
    </w:p>
    <w:p w14:paraId="1CA3C98E" w14:textId="6FCEADB4" w:rsidR="003208FB" w:rsidRPr="000F3A41" w:rsidRDefault="003208FB" w:rsidP="003208FB">
      <w:pPr>
        <w:pStyle w:val="BodyText"/>
        <w:ind w:right="147"/>
      </w:pPr>
      <w:r>
        <w:t xml:space="preserve">Цель документа </w:t>
      </w:r>
      <w:r w:rsidR="006E3F42">
        <w:t>—</w:t>
      </w:r>
      <w:r>
        <w:t xml:space="preserve"> побудить государства-члены содействовать деятельности образовательных, учебных и научно-исследовательских учреждений при помощи тщательно продуманных исключений и ограничений, позволяющих этим учреждениям осуществлять свою важную социальную миссию, о чем подробнее говорится ниже.</w:t>
      </w:r>
    </w:p>
    <w:p w14:paraId="527807DA" w14:textId="77777777" w:rsidR="003208FB" w:rsidRDefault="003208FB" w:rsidP="003208FB">
      <w:pPr>
        <w:pStyle w:val="Heading1"/>
        <w:spacing w:before="250"/>
      </w:pPr>
      <w:r>
        <w:t>ОБЩИЕ ПОЛОЖЕНИЯ</w:t>
      </w:r>
    </w:p>
    <w:p w14:paraId="61D22A08" w14:textId="77777777" w:rsidR="003208FB" w:rsidRDefault="003208FB" w:rsidP="003208FB">
      <w:pPr>
        <w:pStyle w:val="BodyText"/>
        <w:spacing w:before="3"/>
        <w:rPr>
          <w:b/>
        </w:rPr>
      </w:pPr>
    </w:p>
    <w:p w14:paraId="56A36E10" w14:textId="77777777" w:rsidR="003208FB" w:rsidRDefault="003208FB" w:rsidP="003208FB">
      <w:pPr>
        <w:pStyle w:val="BodyText"/>
        <w:ind w:left="1" w:right="173"/>
      </w:pPr>
      <w:r>
        <w:t>Система авторского права является двигателем научных исследований и публикаций. Она играет крайне важную роль в разработке и распространении авторских произведений, используемых в сфере образования, и в поощрении образовательных, учебных и научно-исследовательских целей. Надлежащий баланс прав и исключений и ограничений, соответствующий международным обязательствам, включая трехступенчатую проверку</w:t>
      </w:r>
      <w:r>
        <w:rPr>
          <w:rStyle w:val="FootnoteReference"/>
        </w:rPr>
        <w:footnoteReference w:id="2"/>
      </w:r>
      <w:r>
        <w:t>, поддерживает задачи и деятельность образовательных, учебных и научно-исследовательских учреждений.</w:t>
      </w:r>
    </w:p>
    <w:p w14:paraId="56C25100" w14:textId="77777777" w:rsidR="003208FB" w:rsidRDefault="003208FB" w:rsidP="003208FB">
      <w:pPr>
        <w:pStyle w:val="BodyText"/>
        <w:spacing w:before="248"/>
      </w:pPr>
    </w:p>
    <w:p w14:paraId="77AA4A22" w14:textId="77777777" w:rsidR="003208FB" w:rsidRDefault="003208FB" w:rsidP="003208FB">
      <w:pPr>
        <w:pStyle w:val="Heading1"/>
      </w:pPr>
      <w:r>
        <w:t>ПРИНЯТИЕ НАЦИОНАЛЬНЫХ ИСКЛЮЧЕНИЙ И ОГРАНИЧЕНИЙ</w:t>
      </w:r>
    </w:p>
    <w:p w14:paraId="5AEAF216" w14:textId="77777777" w:rsidR="003208FB" w:rsidRDefault="003208FB" w:rsidP="003208FB">
      <w:pPr>
        <w:pStyle w:val="BodyText"/>
        <w:spacing w:before="3"/>
        <w:rPr>
          <w:b/>
        </w:rPr>
      </w:pPr>
    </w:p>
    <w:p w14:paraId="02561A07" w14:textId="77777777" w:rsidR="003208FB" w:rsidRDefault="003208FB" w:rsidP="003208FB">
      <w:pPr>
        <w:ind w:left="1"/>
        <w:rPr>
          <w:i/>
        </w:rPr>
      </w:pPr>
      <w:r>
        <w:rPr>
          <w:i/>
        </w:rPr>
        <w:t>Цель.</w:t>
      </w:r>
    </w:p>
    <w:p w14:paraId="3C311E77" w14:textId="77777777" w:rsidR="003208FB" w:rsidRDefault="003208FB" w:rsidP="003208FB">
      <w:pPr>
        <w:pStyle w:val="BodyText"/>
        <w:rPr>
          <w:i/>
        </w:rPr>
      </w:pPr>
    </w:p>
    <w:p w14:paraId="436A7D3F" w14:textId="77777777" w:rsidR="003208FB" w:rsidRDefault="003208FB" w:rsidP="003208FB">
      <w:pPr>
        <w:pStyle w:val="BodyText"/>
        <w:ind w:left="1" w:right="173"/>
      </w:pPr>
      <w:r>
        <w:t>Стимулировать государства-члены к принятию в своем национальном законодательстве, сообразно своим международным обязательствам, включая трехступенчатую проверку, четко сформулированных исключений и ограничений, которые допускают определенные виды использования охраняемых авторским правом произведений в некоммерческих образовательных целях, одновременно с поддержанием баланса между правами авторов и интересами широкой публики, особенно в области образования, научных исследований и доступа к информации.</w:t>
      </w:r>
    </w:p>
    <w:p w14:paraId="6753A556" w14:textId="77777777" w:rsidR="003208FB" w:rsidRDefault="003208FB" w:rsidP="003208FB">
      <w:pPr>
        <w:pStyle w:val="BodyText"/>
      </w:pPr>
    </w:p>
    <w:p w14:paraId="0EFAD113" w14:textId="77777777" w:rsidR="003208FB" w:rsidRDefault="003208FB" w:rsidP="003208FB">
      <w:pPr>
        <w:ind w:left="1"/>
        <w:rPr>
          <w:i/>
        </w:rPr>
      </w:pPr>
      <w:r>
        <w:rPr>
          <w:i/>
        </w:rPr>
        <w:t>Принципы.</w:t>
      </w:r>
    </w:p>
    <w:p w14:paraId="473390E8" w14:textId="77777777" w:rsidR="003208FB" w:rsidRDefault="003208FB" w:rsidP="003208FB">
      <w:pPr>
        <w:pStyle w:val="BodyText"/>
        <w:rPr>
          <w:i/>
        </w:rPr>
      </w:pPr>
    </w:p>
    <w:p w14:paraId="204AE74E" w14:textId="77777777" w:rsidR="003208FB" w:rsidRDefault="003208FB" w:rsidP="003208FB">
      <w:pPr>
        <w:pStyle w:val="BodyText"/>
        <w:ind w:left="1" w:right="136"/>
      </w:pPr>
      <w:r>
        <w:t xml:space="preserve">Исключения и ограничения в интересах образования и научных исследований поддерживают основные функции некоммерческих образовательных учреждений на всех уровнях за счет содействия углублению знаний путем сохранения мирового </w:t>
      </w:r>
      <w:r>
        <w:lastRenderedPageBreak/>
        <w:t>культурного, художественного и научного наследия и облегчения доступа к знаниям и распространения знаний для целей преподавания и обучения.</w:t>
      </w:r>
    </w:p>
    <w:p w14:paraId="749858B3" w14:textId="77777777" w:rsidR="003208FB" w:rsidRDefault="003208FB" w:rsidP="003208FB">
      <w:pPr>
        <w:pStyle w:val="BodyText"/>
        <w:spacing w:before="1"/>
      </w:pPr>
    </w:p>
    <w:p w14:paraId="138FC22B" w14:textId="77777777" w:rsidR="003208FB" w:rsidRDefault="003208FB" w:rsidP="003208FB">
      <w:pPr>
        <w:pStyle w:val="BodyText"/>
        <w:ind w:left="1"/>
      </w:pPr>
      <w:r>
        <w:t>Исключения и ограничения в интересах образования и научных исследований также способствуют достижению целей общества, помогая индивидуумам развивать свой потенциал и принимать значимое участие в общественной жизни.</w:t>
      </w:r>
    </w:p>
    <w:p w14:paraId="0D1897E8" w14:textId="77777777" w:rsidR="003208FB" w:rsidRDefault="003208FB" w:rsidP="003208FB">
      <w:pPr>
        <w:pStyle w:val="BodyText"/>
        <w:spacing w:before="252"/>
        <w:ind w:left="1" w:right="173"/>
      </w:pPr>
      <w:r>
        <w:t>Исключения и ограничения в интересах образования и научных исследований должны уважать ценный вклад авторов и издателей в создание и распространение произведений, идущих на пользу работникам образования и общественности в целом, и должны соответствовать международным обязательствам, включая трехступенчатую проверку.</w:t>
      </w:r>
    </w:p>
    <w:p w14:paraId="0388602C" w14:textId="77777777" w:rsidR="003208FB" w:rsidRDefault="003208FB" w:rsidP="003208FB">
      <w:pPr>
        <w:pStyle w:val="BodyText"/>
        <w:spacing w:before="249"/>
      </w:pPr>
    </w:p>
    <w:p w14:paraId="21DE3700" w14:textId="77777777" w:rsidR="003208FB" w:rsidRDefault="003208FB" w:rsidP="003208FB">
      <w:pPr>
        <w:pStyle w:val="Heading1"/>
      </w:pPr>
      <w:r>
        <w:t>ПООЩРЕНИЕ ДОСТУПА К ОБРАЗОВАТЕЛЬНЫМ И НАУЧНО-ИССЛЕДОВАТЕЛЬСКИМ МАТЕРИАЛАМ ПУТЕМ СОДЕЙСТВИЯ РАЗВИТИЮ ЭНЕРГИЧНОГО КОММЕРЧЕСКОГО РЫНКА</w:t>
      </w:r>
    </w:p>
    <w:p w14:paraId="64F0CB9F" w14:textId="77777777" w:rsidR="003208FB" w:rsidRDefault="003208FB" w:rsidP="003208FB">
      <w:pPr>
        <w:pStyle w:val="BodyText"/>
        <w:spacing w:before="2"/>
        <w:rPr>
          <w:b/>
        </w:rPr>
      </w:pPr>
    </w:p>
    <w:p w14:paraId="04C07DB0" w14:textId="77777777" w:rsidR="003208FB" w:rsidRDefault="003208FB" w:rsidP="003208FB">
      <w:pPr>
        <w:ind w:left="1"/>
        <w:rPr>
          <w:i/>
        </w:rPr>
      </w:pPr>
      <w:r>
        <w:rPr>
          <w:i/>
        </w:rPr>
        <w:t>Цели.</w:t>
      </w:r>
    </w:p>
    <w:p w14:paraId="67A28421" w14:textId="77777777" w:rsidR="003208FB" w:rsidRDefault="003208FB" w:rsidP="003208FB">
      <w:pPr>
        <w:pStyle w:val="BodyText"/>
        <w:rPr>
          <w:i/>
        </w:rPr>
      </w:pPr>
    </w:p>
    <w:p w14:paraId="60B3D2DB" w14:textId="77777777" w:rsidR="003208FB" w:rsidRDefault="003208FB" w:rsidP="003208FB">
      <w:pPr>
        <w:pStyle w:val="BodyText"/>
        <w:ind w:left="1"/>
      </w:pPr>
      <w:r>
        <w:t>Поощрять доступ к образовательным и научно-исследовательским материалам путем поддержки коммерческого рынка этих ресурсов для обеспечения максимального наличия высококачественных произведений, охраняемых авторским правом, в образовательных и научно-исследовательских целях.</w:t>
      </w:r>
    </w:p>
    <w:p w14:paraId="6DAD18D6" w14:textId="77777777" w:rsidR="003208FB" w:rsidRDefault="003208FB" w:rsidP="003208FB">
      <w:pPr>
        <w:pStyle w:val="BodyText"/>
      </w:pPr>
    </w:p>
    <w:p w14:paraId="249EBE8F" w14:textId="77777777" w:rsidR="003208FB" w:rsidRDefault="003208FB" w:rsidP="003208FB">
      <w:pPr>
        <w:pStyle w:val="BodyText"/>
        <w:ind w:left="1" w:right="136"/>
      </w:pPr>
      <w:r>
        <w:t>Стимулировать и поддерживать гибкие и добровольные модели лицензирования, которые позволяют владельцам авторского права и пользователям устанавливать обоюдно удовлетворяющие отношения.</w:t>
      </w:r>
    </w:p>
    <w:p w14:paraId="79012E51" w14:textId="77777777" w:rsidR="003208FB" w:rsidRDefault="003208FB" w:rsidP="003208FB">
      <w:pPr>
        <w:spacing w:before="251"/>
        <w:ind w:left="1"/>
        <w:rPr>
          <w:i/>
        </w:rPr>
      </w:pPr>
      <w:r>
        <w:rPr>
          <w:i/>
        </w:rPr>
        <w:t>Принципы.</w:t>
      </w:r>
    </w:p>
    <w:p w14:paraId="3D5AC65F" w14:textId="77777777" w:rsidR="003208FB" w:rsidRDefault="003208FB" w:rsidP="003208FB">
      <w:pPr>
        <w:pStyle w:val="BodyText"/>
        <w:spacing w:before="1"/>
        <w:rPr>
          <w:i/>
        </w:rPr>
      </w:pPr>
    </w:p>
    <w:p w14:paraId="5E79088C" w14:textId="77777777" w:rsidR="003208FB" w:rsidRDefault="003208FB" w:rsidP="003208FB">
      <w:pPr>
        <w:pStyle w:val="BodyText"/>
        <w:ind w:left="1"/>
      </w:pPr>
      <w:r>
        <w:t>Энергичный коммерческий рынок в сочетании с использованием гибких и добровольных моделей лицензирования облегчает доступ к высококачественным образовательным и научно-исследовательским материалам, существенно увеличивая количество опубликованных произведений, имеющихся в распоряжении публики.</w:t>
      </w:r>
    </w:p>
    <w:p w14:paraId="6449BB1F" w14:textId="77777777" w:rsidR="003208FB" w:rsidRDefault="003208FB" w:rsidP="003208FB">
      <w:pPr>
        <w:pStyle w:val="BodyText"/>
      </w:pPr>
    </w:p>
    <w:p w14:paraId="7B9C9369" w14:textId="77777777" w:rsidR="003208FB" w:rsidRDefault="003208FB" w:rsidP="003208FB">
      <w:pPr>
        <w:pStyle w:val="BodyText"/>
        <w:ind w:left="1" w:right="173"/>
      </w:pPr>
      <w:r>
        <w:t>Этот коммерческий рынок, особенно в сочетании с использованием гибких и добровольных моделей лицензирования, обслуживает весь спектр образовательных учреждений и аудиторий, включая государственные и частные организации, а также учитывает самый разнообразный опыт — от начального образования в раннем возрасте до программ обучения взрослых и продвинутых программ университетского образования.</w:t>
      </w:r>
    </w:p>
    <w:p w14:paraId="40D02CB7" w14:textId="77777777" w:rsidR="003208FB" w:rsidRDefault="003208FB" w:rsidP="003208FB">
      <w:pPr>
        <w:pStyle w:val="BodyText"/>
        <w:spacing w:before="252"/>
        <w:ind w:left="1" w:right="173"/>
      </w:pPr>
      <w:r>
        <w:t xml:space="preserve">Гибкие и добровольные модели лицензирования могут позволять и облегчать использование в целях образования произведений, охраняемых авторским правом, на </w:t>
      </w:r>
      <w:r>
        <w:lastRenderedPageBreak/>
        <w:t>которые не распространяются ограничения и исключения в национальном законодательстве, создавая возможности для представления материалов в распоряжение учащихся и преподавателей в различном виде и в целом диапазоне совместимых форматов, от печатных книг до цифровых текстов и мультимедийных произведений.</w:t>
      </w:r>
    </w:p>
    <w:p w14:paraId="0D502ED7" w14:textId="77777777" w:rsidR="003208FB" w:rsidRDefault="003208FB" w:rsidP="003208FB">
      <w:pPr>
        <w:pStyle w:val="BodyText"/>
      </w:pPr>
    </w:p>
    <w:p w14:paraId="5821B716" w14:textId="77777777" w:rsidR="003208FB" w:rsidRDefault="003208FB" w:rsidP="003208FB">
      <w:pPr>
        <w:pStyle w:val="BodyText"/>
        <w:ind w:left="1" w:right="136"/>
      </w:pPr>
      <w:r>
        <w:t>Частный и государственный сектора могут также способствовать наличию образовательных материалов в онлайновом режиме, тем самым поощряя дальнейшее творчество, инновации и новые методы обучения для XXI века.</w:t>
      </w:r>
    </w:p>
    <w:p w14:paraId="20799DB0" w14:textId="77777777" w:rsidR="003208FB" w:rsidRDefault="003208FB" w:rsidP="003208FB">
      <w:pPr>
        <w:pStyle w:val="BodyText"/>
        <w:spacing w:before="251"/>
        <w:ind w:left="1"/>
      </w:pPr>
      <w:r>
        <w:t>Продолжение стимулирование создания и распространения образовательных и научных произведений крайне необходимо для обеспечения доступа к высококачественным и достоверным образовательным материалам.</w:t>
      </w:r>
    </w:p>
    <w:p w14:paraId="74A3227B" w14:textId="77777777" w:rsidR="003208FB" w:rsidRDefault="003208FB" w:rsidP="003208FB">
      <w:pPr>
        <w:pStyle w:val="BodyText"/>
        <w:spacing w:before="251"/>
      </w:pPr>
    </w:p>
    <w:p w14:paraId="316EB5B5" w14:textId="77777777" w:rsidR="003208FB" w:rsidRDefault="003208FB" w:rsidP="003208FB">
      <w:pPr>
        <w:pStyle w:val="Heading1"/>
        <w:spacing w:before="1"/>
      </w:pPr>
      <w:r>
        <w:t>ПОДДЕРЖКА ИСКЛЮЧЕНИЙ И ОГРАНИЧЕНИЙ ДЛЯ ИСПОЛЬЗОВАНИЯ В ПРЕОБРАЗУЮЩЕЙСЯ С ТОЧКИ ЗРЕНИЯ ТЕХНОЛОГИИ УЧЕБНОЙ СРЕДЕ</w:t>
      </w:r>
    </w:p>
    <w:p w14:paraId="7F3D9F51" w14:textId="77777777" w:rsidR="003208FB" w:rsidRDefault="003208FB" w:rsidP="003208FB">
      <w:pPr>
        <w:pStyle w:val="BodyText"/>
        <w:spacing w:before="1"/>
        <w:rPr>
          <w:b/>
        </w:rPr>
      </w:pPr>
    </w:p>
    <w:p w14:paraId="7A15D9F6" w14:textId="77777777" w:rsidR="003208FB" w:rsidRDefault="003208FB" w:rsidP="003208FB">
      <w:pPr>
        <w:ind w:left="1"/>
      </w:pPr>
      <w:r>
        <w:rPr>
          <w:i/>
          <w:iCs/>
        </w:rPr>
        <w:t>Цель.</w:t>
      </w:r>
    </w:p>
    <w:p w14:paraId="3357B62B" w14:textId="77777777" w:rsidR="003208FB" w:rsidRDefault="003208FB" w:rsidP="003208FB">
      <w:pPr>
        <w:pStyle w:val="BodyText"/>
      </w:pPr>
    </w:p>
    <w:p w14:paraId="46F45694" w14:textId="77777777" w:rsidR="003208FB" w:rsidRDefault="003208FB" w:rsidP="003208FB">
      <w:pPr>
        <w:pStyle w:val="BodyText"/>
        <w:spacing w:before="1"/>
        <w:ind w:left="1" w:right="136"/>
      </w:pPr>
      <w:r>
        <w:t>Поддерживать, сообразно с международными обязательствами, включая трехступенчатую проверку, исключения и ограничения, которые признают важность авторского права и в то же время продолжают поощрять и дозволять определенные виды использования в преобразующейся с точки зрения технологии учебной среде.</w:t>
      </w:r>
    </w:p>
    <w:p w14:paraId="26AA4622" w14:textId="77777777" w:rsidR="003208FB" w:rsidRDefault="003208FB" w:rsidP="003208FB">
      <w:pPr>
        <w:pStyle w:val="BodyText"/>
      </w:pPr>
    </w:p>
    <w:p w14:paraId="6D513C13" w14:textId="77777777" w:rsidR="003208FB" w:rsidRDefault="003208FB" w:rsidP="003208FB">
      <w:pPr>
        <w:ind w:left="1"/>
      </w:pPr>
      <w:r>
        <w:rPr>
          <w:i/>
          <w:iCs/>
        </w:rPr>
        <w:t>Принципы.</w:t>
      </w:r>
    </w:p>
    <w:p w14:paraId="607A87CE" w14:textId="77777777" w:rsidR="003208FB" w:rsidRDefault="003208FB" w:rsidP="003208FB">
      <w:pPr>
        <w:pStyle w:val="BodyText"/>
      </w:pPr>
    </w:p>
    <w:p w14:paraId="57B8E10C" w14:textId="77777777" w:rsidR="003208FB" w:rsidRDefault="003208FB" w:rsidP="003208FB">
      <w:pPr>
        <w:pStyle w:val="BodyText"/>
        <w:spacing w:before="1"/>
        <w:ind w:left="1" w:right="136"/>
      </w:pPr>
      <w:r>
        <w:t>Исключения и ограничения, которые поддерживают преобразующиеся с точки зрения технологии различные виды учебной среды, такие как онлайновое и смешанное обучение, являются важным средством, позволяющим идти в ногу с новыми технологиями и методами обучения, и могут активизировать и стимулировать более широкое распространение инструментов обучения.</w:t>
      </w:r>
    </w:p>
    <w:p w14:paraId="6A9E62D2" w14:textId="77777777" w:rsidR="003208FB" w:rsidRDefault="003208FB" w:rsidP="003208FB">
      <w:pPr>
        <w:pStyle w:val="BodyText"/>
        <w:spacing w:before="251"/>
        <w:ind w:right="136"/>
      </w:pPr>
      <w:r>
        <w:t>Конкретные национальные исключения и ограничения в онлайновой среде, разрешающие некоммерческое использование разумных и ограниченных частей произведений в связи с преподаванием и обучением в режиме онлайн и другими пользующимися технологической поддержкой подходами к обучению, могут позволить широкому диапазону учащихся, лишенных физического доступа к образовательным заведениям, получить возможность учиться.</w:t>
      </w:r>
    </w:p>
    <w:p w14:paraId="59420DD8" w14:textId="77777777" w:rsidR="003208FB" w:rsidRDefault="003208FB" w:rsidP="003208FB">
      <w:pPr>
        <w:pStyle w:val="BodyText"/>
        <w:spacing w:before="251"/>
      </w:pPr>
    </w:p>
    <w:p w14:paraId="561A0576" w14:textId="77777777" w:rsidR="003208FB" w:rsidRDefault="003208FB" w:rsidP="003208FB">
      <w:pPr>
        <w:pStyle w:val="Heading1"/>
      </w:pPr>
      <w:r>
        <w:t>ДРУГИЕ ОБЩИЕ ПРИНЦИПЫ</w:t>
      </w:r>
    </w:p>
    <w:p w14:paraId="3F507295" w14:textId="77777777" w:rsidR="003208FB" w:rsidRDefault="003208FB" w:rsidP="003208FB">
      <w:pPr>
        <w:pStyle w:val="BodyText"/>
        <w:spacing w:before="1"/>
        <w:rPr>
          <w:b/>
        </w:rPr>
      </w:pPr>
    </w:p>
    <w:p w14:paraId="0C489B7E" w14:textId="77777777" w:rsidR="003208FB" w:rsidRDefault="003208FB" w:rsidP="003208FB">
      <w:pPr>
        <w:pStyle w:val="BodyText"/>
        <w:ind w:right="136"/>
      </w:pPr>
      <w:r>
        <w:t xml:space="preserve">Другие исключения и ограничения, не относящиеся к образовательному контексту, могут также играть важную роль в предоставлении некоммерческим образовательным, </w:t>
      </w:r>
      <w:r>
        <w:lastRenderedPageBreak/>
        <w:t>учебным и научно-исследовательским учреждениям возможности выполнять свою функцию общественного служения.</w:t>
      </w:r>
    </w:p>
    <w:p w14:paraId="5881F0B0" w14:textId="77777777" w:rsidR="003208FB" w:rsidRDefault="003208FB" w:rsidP="003208FB">
      <w:pPr>
        <w:pStyle w:val="BodyText"/>
      </w:pPr>
    </w:p>
    <w:p w14:paraId="0BFB6775" w14:textId="77777777" w:rsidR="003208FB" w:rsidRDefault="003208FB" w:rsidP="003208FB">
      <w:pPr>
        <w:pStyle w:val="BodyText"/>
      </w:pPr>
      <w:r>
        <w:t>Государства-члены должны, следуя своим международным обязательствам, признать соответствующие ограничения в отношении определенных видов денежного ущерба, применимого к некоммерческим образовательным, учебным и научно-исследовательским учреждениям, а также их служащим и агентам, когда они доказывают, что они действовали добросовестно, полагая или имея разумные основания полагать, что их действия соответствуют законодательству об авторском праве.</w:t>
      </w:r>
    </w:p>
    <w:p w14:paraId="46BCACF9" w14:textId="77777777" w:rsidR="003208FB" w:rsidRDefault="003208FB" w:rsidP="003208FB">
      <w:pPr>
        <w:pStyle w:val="BodyText"/>
        <w:spacing w:before="13"/>
      </w:pPr>
    </w:p>
    <w:p w14:paraId="4F44B282" w14:textId="66EABF39" w:rsidR="003208FB" w:rsidRDefault="003208FB" w:rsidP="003208FB">
      <w:pPr>
        <w:pStyle w:val="BodyText"/>
        <w:spacing w:line="247" w:lineRule="auto"/>
        <w:ind w:left="1"/>
      </w:pPr>
      <w:r>
        <w:t>Правообладатели играют важнейшую роль в обеспечении устойчивого доступа к охраняемым авторским правом произведениям в развитых и развивающихся странах. Поскольку быстрые изменения в технической сфере требуют гибких решений, государствам-членам следует поощрять принятие совместных и новаторских решений всеми заинтересованными сторонами.</w:t>
      </w:r>
    </w:p>
    <w:p w14:paraId="3F00814A" w14:textId="77777777" w:rsidR="006E3F42" w:rsidRDefault="006E3F42" w:rsidP="003208FB">
      <w:pPr>
        <w:pStyle w:val="BodyText"/>
        <w:spacing w:line="247" w:lineRule="auto"/>
        <w:ind w:left="1"/>
        <w:rPr>
          <w:spacing w:val="-2"/>
        </w:rPr>
      </w:pPr>
    </w:p>
    <w:p w14:paraId="19810E34" w14:textId="77777777" w:rsidR="003208FB" w:rsidRDefault="003208FB" w:rsidP="003208FB">
      <w:pPr>
        <w:pStyle w:val="BodyText"/>
        <w:spacing w:after="0"/>
        <w:ind w:left="1"/>
      </w:pPr>
      <w:r>
        <w:t>Образовательные, учебные и научно-исследовательские учреждения должны иметь надлежащие гарантии, обеспечивающие ответственное и законное применение исключений и ограничений, благоприятствующих таким учреждениям.</w:t>
      </w:r>
    </w:p>
    <w:p w14:paraId="070AA6BA" w14:textId="77777777" w:rsidR="003208FB" w:rsidRDefault="003208FB" w:rsidP="003208FB">
      <w:pPr>
        <w:pStyle w:val="BodyText"/>
        <w:spacing w:after="0"/>
      </w:pPr>
    </w:p>
    <w:p w14:paraId="3EAAEC23" w14:textId="77777777" w:rsidR="003208FB" w:rsidRDefault="003208FB" w:rsidP="003208FB">
      <w:pPr>
        <w:pStyle w:val="BodyText"/>
        <w:spacing w:after="0"/>
      </w:pPr>
    </w:p>
    <w:p w14:paraId="03C67161" w14:textId="77777777" w:rsidR="002928D3" w:rsidRDefault="002928D3" w:rsidP="003208FB"/>
    <w:p w14:paraId="02C2EA8D" w14:textId="369EB3B8" w:rsidR="003208FB" w:rsidRDefault="003208FB" w:rsidP="003208FB">
      <w:pPr>
        <w:ind w:left="6804"/>
      </w:pPr>
      <w:r>
        <w:t>[Конец документа]</w:t>
      </w:r>
    </w:p>
    <w:sectPr w:rsidR="003208FB" w:rsidSect="003208F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10A3" w14:textId="77777777" w:rsidR="003208FB" w:rsidRDefault="003208FB">
      <w:r>
        <w:separator/>
      </w:r>
    </w:p>
  </w:endnote>
  <w:endnote w:type="continuationSeparator" w:id="0">
    <w:p w14:paraId="7E88B5B8" w14:textId="77777777" w:rsidR="003208FB" w:rsidRDefault="003208FB" w:rsidP="003B38C1">
      <w:r>
        <w:separator/>
      </w:r>
    </w:p>
    <w:p w14:paraId="5DB0474F" w14:textId="77777777" w:rsidR="003208FB" w:rsidRPr="006E3F42" w:rsidRDefault="003208FB" w:rsidP="003B38C1">
      <w:pPr>
        <w:spacing w:after="60"/>
        <w:rPr>
          <w:sz w:val="17"/>
          <w:lang w:val="en-US"/>
        </w:rPr>
      </w:pPr>
      <w:r w:rsidRPr="006E3F42">
        <w:rPr>
          <w:sz w:val="17"/>
          <w:lang w:val="en-US"/>
        </w:rPr>
        <w:t>[Endnote continued from previous page]</w:t>
      </w:r>
    </w:p>
  </w:endnote>
  <w:endnote w:type="continuationNotice" w:id="1">
    <w:p w14:paraId="4987F4C1" w14:textId="77777777" w:rsidR="003208FB" w:rsidRPr="006E3F42" w:rsidRDefault="003208FB" w:rsidP="003B38C1">
      <w:pPr>
        <w:spacing w:before="60"/>
        <w:jc w:val="right"/>
        <w:rPr>
          <w:sz w:val="17"/>
          <w:szCs w:val="17"/>
          <w:lang w:val="en-US"/>
        </w:rPr>
      </w:pPr>
      <w:r w:rsidRPr="006E3F4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C013" w14:textId="77777777" w:rsidR="003208FB" w:rsidRDefault="003208FB">
      <w:r>
        <w:separator/>
      </w:r>
    </w:p>
  </w:footnote>
  <w:footnote w:type="continuationSeparator" w:id="0">
    <w:p w14:paraId="7431C207" w14:textId="77777777" w:rsidR="003208FB" w:rsidRDefault="003208FB" w:rsidP="008B60B2">
      <w:r>
        <w:separator/>
      </w:r>
    </w:p>
    <w:p w14:paraId="33ED8F70" w14:textId="77777777" w:rsidR="003208FB" w:rsidRPr="006E3F42" w:rsidRDefault="003208FB" w:rsidP="008B60B2">
      <w:pPr>
        <w:spacing w:after="60"/>
        <w:rPr>
          <w:sz w:val="17"/>
          <w:szCs w:val="17"/>
          <w:lang w:val="en-US"/>
        </w:rPr>
      </w:pPr>
      <w:r w:rsidRPr="006E3F4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33A3707" w14:textId="77777777" w:rsidR="003208FB" w:rsidRPr="006E3F42" w:rsidRDefault="003208FB" w:rsidP="008B60B2">
      <w:pPr>
        <w:spacing w:before="60"/>
        <w:jc w:val="right"/>
        <w:rPr>
          <w:sz w:val="17"/>
          <w:szCs w:val="17"/>
          <w:lang w:val="en-US"/>
        </w:rPr>
      </w:pPr>
      <w:r w:rsidRPr="006E3F42">
        <w:rPr>
          <w:sz w:val="17"/>
          <w:szCs w:val="17"/>
          <w:lang w:val="en-US"/>
        </w:rPr>
        <w:t>[Footnote continued on next page]</w:t>
      </w:r>
    </w:p>
  </w:footnote>
  <w:footnote w:id="2">
    <w:p w14:paraId="3E31C7E4" w14:textId="77777777" w:rsidR="003208FB" w:rsidRPr="00A55EB2" w:rsidRDefault="003208FB" w:rsidP="003208FB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Международная система авторского права предоставляет государствам-членам широкую свободу действий по принятию исключений и ограничений из авторского права в целях реализации национальной культурной и образовательной политики при условии соблюдения общего обязательства, согласно которому исключения и ограничения исключительных прав ограничиваются некоторыми особыми случаями, не противоречащими нормальному использованию произведения и не наносящими необоснованного ущерба законным интересам автора. См., например, Бернскую конвенцию, ст. 9(2).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65CE" w14:textId="6A98D096" w:rsidR="00EC4E49" w:rsidRDefault="003208FB" w:rsidP="00477D6B">
    <w:pPr>
      <w:jc w:val="right"/>
    </w:pPr>
    <w:bookmarkStart w:id="5" w:name="Code2"/>
    <w:bookmarkEnd w:id="5"/>
    <w:r>
      <w:t>SCCR/47/9</w:t>
    </w:r>
  </w:p>
  <w:p w14:paraId="648F8566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70FD73AB" w14:textId="77777777" w:rsidR="00EC4E49" w:rsidRDefault="00EC4E49" w:rsidP="00477D6B">
    <w:pPr>
      <w:jc w:val="right"/>
    </w:pPr>
  </w:p>
  <w:p w14:paraId="464B4A40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FB"/>
    <w:rsid w:val="00010F79"/>
    <w:rsid w:val="0001647B"/>
    <w:rsid w:val="00017C43"/>
    <w:rsid w:val="00043CAA"/>
    <w:rsid w:val="00075432"/>
    <w:rsid w:val="000968ED"/>
    <w:rsid w:val="00096B1A"/>
    <w:rsid w:val="000F5E56"/>
    <w:rsid w:val="001024FE"/>
    <w:rsid w:val="001362EE"/>
    <w:rsid w:val="00142868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208FB"/>
    <w:rsid w:val="003228B7"/>
    <w:rsid w:val="003508A3"/>
    <w:rsid w:val="003673CF"/>
    <w:rsid w:val="003845C1"/>
    <w:rsid w:val="003A6F89"/>
    <w:rsid w:val="003B38C1"/>
    <w:rsid w:val="003D352A"/>
    <w:rsid w:val="003F4808"/>
    <w:rsid w:val="00423E3E"/>
    <w:rsid w:val="00427AF4"/>
    <w:rsid w:val="004400E2"/>
    <w:rsid w:val="00444C62"/>
    <w:rsid w:val="00461632"/>
    <w:rsid w:val="004647DA"/>
    <w:rsid w:val="00474062"/>
    <w:rsid w:val="00477D6B"/>
    <w:rsid w:val="004D39C4"/>
    <w:rsid w:val="0053057A"/>
    <w:rsid w:val="00560A29"/>
    <w:rsid w:val="00594D27"/>
    <w:rsid w:val="00601760"/>
    <w:rsid w:val="00605827"/>
    <w:rsid w:val="00640D02"/>
    <w:rsid w:val="0064437B"/>
    <w:rsid w:val="00646050"/>
    <w:rsid w:val="006713CA"/>
    <w:rsid w:val="00676C5C"/>
    <w:rsid w:val="00695558"/>
    <w:rsid w:val="006D5E0F"/>
    <w:rsid w:val="006E3F42"/>
    <w:rsid w:val="007058FB"/>
    <w:rsid w:val="00782CAC"/>
    <w:rsid w:val="007A198B"/>
    <w:rsid w:val="007B6A58"/>
    <w:rsid w:val="007D1613"/>
    <w:rsid w:val="008332E8"/>
    <w:rsid w:val="00873EE5"/>
    <w:rsid w:val="008B2CC1"/>
    <w:rsid w:val="008B4B5E"/>
    <w:rsid w:val="008B60B2"/>
    <w:rsid w:val="0090731E"/>
    <w:rsid w:val="00916EE2"/>
    <w:rsid w:val="00924FAA"/>
    <w:rsid w:val="0095239B"/>
    <w:rsid w:val="00966A22"/>
    <w:rsid w:val="0096722F"/>
    <w:rsid w:val="00980843"/>
    <w:rsid w:val="009E2791"/>
    <w:rsid w:val="009E3F6F"/>
    <w:rsid w:val="009F3BF9"/>
    <w:rsid w:val="009F499F"/>
    <w:rsid w:val="00A00A27"/>
    <w:rsid w:val="00A42DAF"/>
    <w:rsid w:val="00A45BD8"/>
    <w:rsid w:val="00A5792C"/>
    <w:rsid w:val="00A778BF"/>
    <w:rsid w:val="00A85B8E"/>
    <w:rsid w:val="00AB3100"/>
    <w:rsid w:val="00AC205C"/>
    <w:rsid w:val="00AF5C73"/>
    <w:rsid w:val="00B05A69"/>
    <w:rsid w:val="00B40598"/>
    <w:rsid w:val="00B50B99"/>
    <w:rsid w:val="00B62CD9"/>
    <w:rsid w:val="00B74666"/>
    <w:rsid w:val="00B9734B"/>
    <w:rsid w:val="00BD4BB6"/>
    <w:rsid w:val="00C00A50"/>
    <w:rsid w:val="00C11BFE"/>
    <w:rsid w:val="00C42181"/>
    <w:rsid w:val="00C94629"/>
    <w:rsid w:val="00CE65D4"/>
    <w:rsid w:val="00D16EC4"/>
    <w:rsid w:val="00D26CC8"/>
    <w:rsid w:val="00D45252"/>
    <w:rsid w:val="00D71B4D"/>
    <w:rsid w:val="00D93D55"/>
    <w:rsid w:val="00DB5AE9"/>
    <w:rsid w:val="00DE556F"/>
    <w:rsid w:val="00E161A2"/>
    <w:rsid w:val="00E1703C"/>
    <w:rsid w:val="00E335FE"/>
    <w:rsid w:val="00E5021F"/>
    <w:rsid w:val="00E671A6"/>
    <w:rsid w:val="00EA7F54"/>
    <w:rsid w:val="00EC4E49"/>
    <w:rsid w:val="00ED77FB"/>
    <w:rsid w:val="00F021A6"/>
    <w:rsid w:val="00F11D94"/>
    <w:rsid w:val="00F51DEC"/>
    <w:rsid w:val="00F66152"/>
    <w:rsid w:val="00FA7EAE"/>
    <w:rsid w:val="00F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AAD2F"/>
  <w15:docId w15:val="{E58DD7B5-7625-47B8-82B8-A24ED6C5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"/>
    <w:rsid w:val="003208FB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3208FB"/>
    <w:rPr>
      <w:rFonts w:ascii="Arial" w:eastAsia="SimSun" w:hAnsi="Arial" w:cs="Arial"/>
      <w:sz w:val="22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8FB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208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SCCR_47 (E)</Template>
  <TotalTime>0</TotalTime>
  <Pages>5</Pages>
  <Words>870</Words>
  <Characters>6840</Characters>
  <Application>Microsoft Office Word</Application>
  <DocSecurity>0</DocSecurity>
  <Lines>110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</vt:lpstr>
    </vt:vector>
  </TitlesOfParts>
  <Company>WIPO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SCCR/47/9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2025-12-05T15:35:00Z</dcterms:created>
  <dcterms:modified xsi:type="dcterms:W3CDTF">2025-12-05T15:35:00Z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