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7EA2" w14:textId="4171F0A2" w:rsidR="008B2CC1" w:rsidRPr="008B2CC1" w:rsidRDefault="0075590E" w:rsidP="008B14EA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B295363" wp14:editId="0B70E35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4EA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47BF467" wp14:editId="479886A3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A07C9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4AB923" w14:textId="7D076D60" w:rsidR="008B2CC1" w:rsidRPr="008B14EA" w:rsidRDefault="00D05711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>7</w:t>
      </w:r>
    </w:p>
    <w:p w14:paraId="11AD349B" w14:textId="4549B0FF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испанский</w:t>
      </w:r>
    </w:p>
    <w:bookmarkEnd w:id="1"/>
    <w:p w14:paraId="3CC7DD53" w14:textId="23150E98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31 октября 2025 года</w:t>
      </w:r>
    </w:p>
    <w:bookmarkEnd w:id="2"/>
    <w:p w14:paraId="5A8289C6" w14:textId="77777777" w:rsidR="001C4DD3" w:rsidRPr="001C4DD3" w:rsidRDefault="00E2115C" w:rsidP="00BC4EBB">
      <w:pPr>
        <w:spacing w:after="48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CEC5BDA" w14:textId="77777777" w:rsidR="00E2115C" w:rsidRDefault="00D05711" w:rsidP="00E2115C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728C9BC0" w14:textId="77777777" w:rsidR="008B2CC1" w:rsidRPr="003845C1" w:rsidRDefault="00E2115C" w:rsidP="008B14EA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1–5 декабря 2025 года</w:t>
      </w:r>
    </w:p>
    <w:p w14:paraId="490C4FCF" w14:textId="75345EA9" w:rsidR="00400D59" w:rsidRDefault="00665857" w:rsidP="00400D59">
      <w:pPr>
        <w:rPr>
          <w:sz w:val="24"/>
          <w:szCs w:val="24"/>
        </w:rPr>
      </w:pPr>
      <w:bookmarkStart w:id="3" w:name="TitleOfDoc"/>
      <w:r>
        <w:rPr>
          <w:sz w:val="24"/>
        </w:rPr>
        <w:t xml:space="preserve">ПЕРЕСМОТРЕННЫЙ </w:t>
      </w:r>
      <w:r w:rsidR="006558D6">
        <w:rPr>
          <w:sz w:val="24"/>
        </w:rPr>
        <w:t>ВАРИАНТ «</w:t>
      </w:r>
      <w:r w:rsidR="00400D59">
        <w:rPr>
          <w:sz w:val="24"/>
        </w:rPr>
        <w:t>ПРОЕКТ</w:t>
      </w:r>
      <w:r w:rsidR="0073001A">
        <w:rPr>
          <w:sz w:val="24"/>
        </w:rPr>
        <w:t>А</w:t>
      </w:r>
      <w:r w:rsidR="00400D59">
        <w:rPr>
          <w:sz w:val="24"/>
        </w:rPr>
        <w:t xml:space="preserve"> ПЛАНА РАБОТЫ В ОБЛАСТИ АВТОРСКОГО ПРАВА В ЦИФРОВОЙ СРЕДЕ </w:t>
      </w:r>
      <w:r w:rsidR="006558D6">
        <w:rPr>
          <w:sz w:val="24"/>
        </w:rPr>
        <w:t>(</w:t>
      </w:r>
      <w:r w:rsidR="006558D6" w:rsidRPr="006558D6">
        <w:rPr>
          <w:sz w:val="24"/>
        </w:rPr>
        <w:t>SCCR/45/4</w:t>
      </w:r>
      <w:r w:rsidR="006558D6">
        <w:rPr>
          <w:sz w:val="24"/>
        </w:rPr>
        <w:t>)» (ДОКУМЕНТ </w:t>
      </w:r>
      <w:r w:rsidR="006558D6" w:rsidRPr="006558D6">
        <w:rPr>
          <w:sz w:val="24"/>
        </w:rPr>
        <w:t>SCCR/47/7</w:t>
      </w:r>
      <w:r w:rsidR="006558D6">
        <w:rPr>
          <w:sz w:val="24"/>
        </w:rPr>
        <w:t>)</w:t>
      </w:r>
    </w:p>
    <w:p w14:paraId="174001A0" w14:textId="785E88E5" w:rsidR="008B2CC1" w:rsidRPr="00D36B79" w:rsidRDefault="008B2CC1" w:rsidP="008B14EA">
      <w:pPr>
        <w:spacing w:after="360"/>
        <w:rPr>
          <w:caps/>
          <w:sz w:val="24"/>
        </w:rPr>
      </w:pPr>
    </w:p>
    <w:p w14:paraId="0E27A2D3" w14:textId="172AB335" w:rsidR="00400D59" w:rsidRDefault="00400D59" w:rsidP="00400D59">
      <w:bookmarkStart w:id="4" w:name="Prepared"/>
      <w:bookmarkEnd w:id="3"/>
      <w:r>
        <w:rPr>
          <w:i/>
        </w:rPr>
        <w:t>представлен Группой стран Латинской Америки и Карибского бассейна (ГРУЛАК)</w:t>
      </w:r>
      <w:r>
        <w:t> </w:t>
      </w:r>
    </w:p>
    <w:p w14:paraId="470A0B8C" w14:textId="6769D74B" w:rsidR="00400D59" w:rsidRDefault="00400D59">
      <w:r>
        <w:br w:type="page"/>
      </w:r>
    </w:p>
    <w:p w14:paraId="7F2E1401" w14:textId="77777777" w:rsidR="00400D59" w:rsidRDefault="00400D59" w:rsidP="00283F02">
      <w:r>
        <w:lastRenderedPageBreak/>
        <w:t>С 2015 года в рамках Постоянного комитета по авторскому праву и смежным правам (ПКАП) неоднократно отмечалась необходимость более глубокого и широкого обсуждения авторского права и смежных прав художников и исполнителей в цифровой среде. Об этом свидетельствуют документы, представленные государствами-членами, а также данные исследований экономического воздействия и групповых дискуссий, проведенных по запросу ПКАП, которые проливают свет на трудности, связанные с защитой авторского права и смежных прав авторов, композиторов, исполнителей и других работников творческой отрасли в цифровой среде. </w:t>
      </w:r>
    </w:p>
    <w:p w14:paraId="25C26074" w14:textId="77777777" w:rsidR="00400D59" w:rsidRDefault="00400D59" w:rsidP="00283F02"/>
    <w:p w14:paraId="2CFB0B59" w14:textId="77777777" w:rsidR="00400D59" w:rsidRDefault="00400D59" w:rsidP="00283F02">
      <w:r>
        <w:t>Стремительное развитие технологий в последние несколько лет, обусловленное искусственным интеллектом (ИИ), стало серьезным вызовом для системы авторского права и может иметь далеко идущие последствия, заслуживающие внимательной оценки. Авторы, правообладатели и новаторы сталкиваются с различными ситуациями, касающимися авторского права и смежных прав, в связи как с использованием охраняемого авторским правом и смежными правами контента в качестве исходных данных для обучения систем, так и с результатами работы ИИ. Авторы и исполнители на постоянной основе выступают за выплату справедливого вознаграждения за использование их произведений в цифровой среде, доказательством чего служат многочисленные письма и публичные заявления, подписанные тысячами художников, исполнителей и их ассоциаций.</w:t>
      </w:r>
    </w:p>
    <w:p w14:paraId="35EF1A91" w14:textId="77777777" w:rsidR="00400D59" w:rsidRDefault="00400D59" w:rsidP="00283F02"/>
    <w:p w14:paraId="30DB0039" w14:textId="77777777" w:rsidR="00400D59" w:rsidRPr="00346C2B" w:rsidRDefault="00400D59" w:rsidP="00283F02">
      <w:r>
        <w:t>Кроме того, в вопросах эффективной реализации авторского права и смежных прав появляются новые вызовы, обусловленные транснациональным характером цифровых платформ и компаний, разрабатывающих технологии ИИ. Возможности правообладателей по обеспечению соблюдения их прав со стороны субъектов из других юрисдикций ограниваются отсутствием соответствующих международных механизмов или доступных процедур. В этой связи представляется актуальным способствовать созданию условий для диалога с тем, чтобы изыскать правовые и практические решения для устранения этих ограничений.</w:t>
      </w:r>
    </w:p>
    <w:p w14:paraId="5CA4527D" w14:textId="77777777" w:rsidR="00400D59" w:rsidRPr="00AE541F" w:rsidRDefault="00400D59" w:rsidP="00283F02"/>
    <w:p w14:paraId="26FD5FB3" w14:textId="77777777" w:rsidR="00400D59" w:rsidRDefault="00400D59" w:rsidP="00283F02">
      <w:r>
        <w:t>Особого внимания заслуживают технологии ИИ в силу их революционного характера, однако сохраняются и более широкие проблемы, связанные с обеспечением надлежащего и справедливого вознаграждения авторов, исполнителей и художников в цифровой среде. Обмен информацией о различных национальных и региональных инициативах и обсуждение мер политики позволит нам лучше понять, какие актуальные подходы могут быть использованы для разрешения этих сложных вопросов.</w:t>
      </w:r>
    </w:p>
    <w:p w14:paraId="614D2B25" w14:textId="77777777" w:rsidR="00400D59" w:rsidRDefault="00400D59" w:rsidP="00283F02"/>
    <w:p w14:paraId="687D1177" w14:textId="77777777" w:rsidR="00400D59" w:rsidRPr="008E1004" w:rsidRDefault="00400D59" w:rsidP="00283F02">
      <w:r>
        <w:t>В ходе 31-й сессии ПКАП в 2015 году Группа государств Латинской Америки и Карибского бассейна (ГРУЛАК) представила документ (SCCR/31/4), в котором содержался юридический анализ данной проблемы и предложение о проведении более обширного анализа влияния цифровой среды на систему авторского права. В ходе 43-й сессии ПКАП в этом году ГРУЛАК вновь представила документ по данному вопросу и призвала государства-члены и Секретариат изыскать соответствующие решения (SCCR/43/7). Также были представлены исследования, которые содержали доказательства и данные, характеризующие данную проблему: Кастл, Фейхоо: исследование «Исполнители на рынке цифровой музыки: экономические и правовые аспекты» (SCCR/41/3); Кобо: «Музыкальный рынок в странах Латинской Америки» (SCCR 42/V1). </w:t>
      </w:r>
    </w:p>
    <w:p w14:paraId="2113F912" w14:textId="77777777" w:rsidR="00400D59" w:rsidRPr="008E1004" w:rsidRDefault="00400D59" w:rsidP="00283F02">
      <w:r>
        <w:t> </w:t>
      </w:r>
    </w:p>
    <w:p w14:paraId="1646DE2A" w14:textId="77777777" w:rsidR="00400D59" w:rsidRDefault="00400D59" w:rsidP="00283F02">
      <w:r>
        <w:t xml:space="preserve">ГРУЛАК считает, что права автора в цифровой среде в их широком понимании и ИИ требуют серьезного обсуждения, о чем свидетельствуют последние информационные сессии по теме ИИ в рамках ПКАП, в связи с непрерывной эволюцией и технологическим прогрессом в области создания, производства, управления, коммерциализации, совместного использования и вознаграждения художников, исполнителей и других работников творческой отрасли. В соответствии с комментариями, представленными на </w:t>
      </w:r>
      <w:r>
        <w:lastRenderedPageBreak/>
        <w:t>прошлой сессии ПКАП, ГРУЛАК, признавая сложность дискуссии и разнообразие мнений по данному вопросу, представляет Комитету обновленное предложение по плану работы в области авторского права в цифровой среде, подготовленное на основе исследований и обсуждений по данной теме. Предлагается провести более глубокую и широкую дискуссию без предвзятости или приверженности той или иной позиции по какому-либо из вопросов. </w:t>
      </w:r>
    </w:p>
    <w:p w14:paraId="37C5B4B2" w14:textId="77777777" w:rsidR="00400D59" w:rsidRPr="008E1004" w:rsidRDefault="00400D59" w:rsidP="00283F02"/>
    <w:p w14:paraId="36B1D66C" w14:textId="77777777" w:rsidR="00400D59" w:rsidRDefault="00400D59" w:rsidP="00283F02">
      <w:r>
        <w:t>КОНТЕКСТ </w:t>
      </w:r>
    </w:p>
    <w:p w14:paraId="5F7BCB31" w14:textId="77777777" w:rsidR="00400D59" w:rsidRPr="008E1004" w:rsidRDefault="00400D59" w:rsidP="00283F02"/>
    <w:p w14:paraId="2B2F0E76" w14:textId="77777777" w:rsidR="00400D59" w:rsidRPr="00346C2B" w:rsidRDefault="00400D59" w:rsidP="00283F02">
      <w:r>
        <w:t>В 2015 году в документе, представленном ГРУЛАК, было предложено провести анализ и обсуждение правовых рамок охраны произведений, в том числе исполнений, в цифровых сервисах, роли компаний и корпораций, которые используют охраняемые материалы в цифровой среде, их практике и уровнях транспарентности, а также выплате вознаграждения владельцам авторского права и смежных прав. Также в нем содержался призыв к выработке консенсусного решения касательно управления авторским правом и смежными правами в цифровой среде. В период с 2015 по 2023 год Секретариат представил следующие исследования: «Музыкальный рынок в странах Латинской Америки» (SCCR/41/4), исследование «Исполнители на рынке цифровой музыки: экономические и правовые аспекты» (SCCR/41/3). Благодаря этим исследованиям были выявлены проблемы, с которыми авторы и другие работники творческих отраслей, обладающие авторскими правами и смежными правами, сталкиваются в цифровой среде. В целом данная ситуация характеризуется сильной асимметрией между сторонами при переговорах, практикой применения договоров присоединения, низким уровнем транспарентности и вознаграждения (или оплаты) в виде роялти за использование их произведений и исполнений, в особенности по сравнению с доходами, получаемыми благодаря платформам, которые предоставляют широкой публике доступ к результатам их труда. Дисбаланс, описанный в указанных ранее исследованиях и усугубившийся в период пандемии COVID-19, показывает, что отсутствие предметных и глубоких дискуссий о произведениях и исполнениях, охраняемых в цифровой среде, а также новых бизнес-моделях, напрямую затрагивает авторов и исполнителей, являющихся владельцами авторских и смежных прав. </w:t>
      </w:r>
    </w:p>
    <w:p w14:paraId="474AA1C7" w14:textId="77777777" w:rsidR="00400D59" w:rsidRPr="00346C2B" w:rsidRDefault="00400D59" w:rsidP="00283F02"/>
    <w:p w14:paraId="152D3220" w14:textId="77777777" w:rsidR="00400D59" w:rsidRPr="008E1004" w:rsidRDefault="00400D59" w:rsidP="00283F02">
      <w:r>
        <w:t>Несмотря на то что международные договоры ВОИС в области Интернета 1990-х годов, в том числе соответствующее «зонтичное решение», обеспечили решение некоторых вопросов и сохраняют свою актуальность, они, однако, оказались недостаточными для решения проблем, вызванных доминированием крупных глобальных поставщиков услуг и появлением услуг по требованию, платформ на основе контента, предоставляемого третьими сторонами, и, в недавнее время, генеративного искусственного интеллекта.</w:t>
      </w:r>
    </w:p>
    <w:p w14:paraId="01E8BF82" w14:textId="77777777" w:rsidR="00400D59" w:rsidRPr="00BF3442" w:rsidRDefault="00400D59" w:rsidP="00283F02"/>
    <w:p w14:paraId="59079573" w14:textId="77777777" w:rsidR="00400D59" w:rsidRDefault="00400D59" w:rsidP="00283F02">
      <w:r>
        <w:t>ПЛАН РАБОТЫ</w:t>
      </w:r>
    </w:p>
    <w:p w14:paraId="12FD319A" w14:textId="77777777" w:rsidR="00400D59" w:rsidRPr="008E1004" w:rsidRDefault="00400D59" w:rsidP="00283F02">
      <w:r>
        <w:t> </w:t>
      </w:r>
    </w:p>
    <w:p w14:paraId="16649CBE" w14:textId="77777777" w:rsidR="00400D59" w:rsidRDefault="00400D59" w:rsidP="00283F02">
      <w:r>
        <w:t xml:space="preserve">Предлагаемые в рамках данного плана работы мероприятия связаны с мандатом ПКАП и, </w:t>
      </w:r>
      <w:r>
        <w:br/>
        <w:t xml:space="preserve">в случае их утверждения, могут послужить основой для определения последующих шагов Комитета в отношении вопроса авторского права в цифровой среде. </w:t>
      </w:r>
    </w:p>
    <w:p w14:paraId="2CDDD68D" w14:textId="77777777" w:rsidR="00400D59" w:rsidRDefault="00400D59" w:rsidP="00283F02">
      <w:pPr>
        <w:rPr>
          <w:lang w:val="es-MX"/>
        </w:rPr>
      </w:pPr>
    </w:p>
    <w:p w14:paraId="557CBB89" w14:textId="77777777" w:rsidR="00400D59" w:rsidRPr="00346C2B" w:rsidRDefault="00400D59" w:rsidP="00283F02">
      <w:r>
        <w:t>Настоящий план на данном этапе не предполагает установления каких-либо международных стандартов. Его цель — способствовать информированным обсуждениям, чтобы страны могли принимать технические решения на основе данных, укреплять свою нормативно-правовую базу и предоставлять ПКАП информацию, на основе которой Комитет мог бы согласовывать свою будущую деятельность.</w:t>
      </w:r>
    </w:p>
    <w:p w14:paraId="2D334838" w14:textId="77777777" w:rsidR="00400D59" w:rsidRPr="00E2188D" w:rsidRDefault="00400D59" w:rsidP="00283F02"/>
    <w:p w14:paraId="236650D5" w14:textId="77777777" w:rsidR="00400D59" w:rsidRPr="008E1004" w:rsidRDefault="00400D59" w:rsidP="00283F02">
      <w:r>
        <w:t>В рамках настоящего плана работы на предстоящих сессиях ПКАП предлагается подготовить исследования и провести обсуждения по следующим темам: </w:t>
      </w:r>
    </w:p>
    <w:p w14:paraId="2737AF9B" w14:textId="77777777" w:rsidR="00400D59" w:rsidRPr="008E1004" w:rsidRDefault="00400D59" w:rsidP="00283F02">
      <w:r>
        <w:t> </w:t>
      </w:r>
    </w:p>
    <w:p w14:paraId="1E5897F1" w14:textId="77777777" w:rsidR="00400D59" w:rsidRPr="008E1004" w:rsidRDefault="00400D59" w:rsidP="00283F02">
      <w:pPr>
        <w:numPr>
          <w:ilvl w:val="0"/>
          <w:numId w:val="7"/>
        </w:numPr>
      </w:pPr>
      <w:r>
        <w:lastRenderedPageBreak/>
        <w:t>Исследование принятой рыночной практики, включая правила передачи и уступки прав, а также анализ уровня транспарентности как в отношении доступности и рекомендации контента для рядовой публики, пользующейся Интернетом, так и в отношении критериев вознаграждения (или оплаты) за произведения и исполнения.  </w:t>
      </w:r>
    </w:p>
    <w:p w14:paraId="47C9A8BB" w14:textId="77777777" w:rsidR="00400D59" w:rsidRPr="008E1004" w:rsidRDefault="00400D59" w:rsidP="00283F02">
      <w:r>
        <w:t> </w:t>
      </w:r>
    </w:p>
    <w:p w14:paraId="1E5ADFE8" w14:textId="77777777" w:rsidR="00400D59" w:rsidRPr="00346C2B" w:rsidRDefault="00400D59" w:rsidP="00283F02">
      <w:pPr>
        <w:numPr>
          <w:ilvl w:val="0"/>
          <w:numId w:val="8"/>
        </w:numPr>
      </w:pPr>
      <w:r>
        <w:t>ИИ и проблемы регулирования. Исследования рыночной практики, а также решений в области политики и нормативных решений в отношении взаимосвязи между обучением ИИ и авторским правом, правил и практики лицензирования и компенсации за произведения и другой контент, охраняемый авторским правом и смежными правами, которые используются для генерирования системами ИИ материалов (результаты работы ИИ), правил и практики выдачи разрешений и компенсации за использование для целей обучения, а также правил и практики лицензирования прав на голос и образ, когда они связаны с исполнителем или иным работником творческой отрасли.</w:t>
      </w:r>
    </w:p>
    <w:p w14:paraId="1F4C962F" w14:textId="77777777" w:rsidR="00400D59" w:rsidRDefault="00400D59" w:rsidP="00283F02">
      <w:pPr>
        <w:ind w:left="720"/>
      </w:pPr>
    </w:p>
    <w:p w14:paraId="582A46D0" w14:textId="77777777" w:rsidR="00400D59" w:rsidRPr="008E1004" w:rsidRDefault="00400D59" w:rsidP="00283F02">
      <w:pPr>
        <w:ind w:left="720"/>
      </w:pPr>
      <w:r>
        <w:t>Что касается этой темы, также предлагается организовать обсуждение механизмов обеспечения защиты прав правообладателей в тех случаях, когда разработчики ИИ расположены в других юрисдикциях, а также добровольной регистрации в ведомствах государств-членов произведений, созданных посредством ИИ, и целесообразности того, чтобы такие программы наносили на них идентификационные знаки.</w:t>
      </w:r>
    </w:p>
    <w:p w14:paraId="68EB8D2D" w14:textId="77777777" w:rsidR="00400D59" w:rsidRPr="008E1004" w:rsidRDefault="00400D59" w:rsidP="00283F02">
      <w:r>
        <w:t> </w:t>
      </w:r>
    </w:p>
    <w:p w14:paraId="2F93DB9A" w14:textId="77777777" w:rsidR="00400D59" w:rsidRPr="008E1004" w:rsidRDefault="00400D59" w:rsidP="00283F02">
      <w:pPr>
        <w:numPr>
          <w:ilvl w:val="0"/>
          <w:numId w:val="9"/>
        </w:numPr>
      </w:pPr>
      <w:r>
        <w:t>Надлежащий способ вознаграждения авторов и художников за использование их произведений и исполнений в цифровой среде, изучение различных решений и правовых альтернатив, гарантирующих плату за лицензии и передачу прав, возникших на этапах, предшествующих их использованию в цифровой среде. </w:t>
      </w:r>
    </w:p>
    <w:p w14:paraId="565C7E22" w14:textId="77777777" w:rsidR="00400D59" w:rsidRPr="008E1004" w:rsidRDefault="00400D59" w:rsidP="00283F02">
      <w:r>
        <w:t> </w:t>
      </w:r>
    </w:p>
    <w:p w14:paraId="355FBA5D" w14:textId="77777777" w:rsidR="00400D59" w:rsidRPr="00346C2B" w:rsidRDefault="00400D59" w:rsidP="00283F02">
      <w:pPr>
        <w:numPr>
          <w:ilvl w:val="0"/>
          <w:numId w:val="10"/>
        </w:numPr>
      </w:pPr>
      <w:r>
        <w:t>Тематические исследования и сравнительный анализ различных моделей охраны в глобальном масштабе. Разработка механизмов, обеспечивающих возможность пересмотра контрактов в случае, если они становятся невыгодными. </w:t>
      </w:r>
    </w:p>
    <w:p w14:paraId="347D5DB9" w14:textId="77777777" w:rsidR="00400D59" w:rsidRPr="008E1004" w:rsidRDefault="00400D59" w:rsidP="00283F02">
      <w:r>
        <w:t> </w:t>
      </w:r>
    </w:p>
    <w:p w14:paraId="4881572D" w14:textId="77777777" w:rsidR="00400D59" w:rsidRPr="00346C2B" w:rsidRDefault="00400D59" w:rsidP="00283F02">
      <w:pPr>
        <w:numPr>
          <w:ilvl w:val="0"/>
          <w:numId w:val="11"/>
        </w:numPr>
      </w:pPr>
      <w:r>
        <w:t>Исследование текущей конфигурации баланса в области выплаты роялти, связанных с авторским правом и смежными правами на произведения и исполнения, используемые в цифровой среде и в системах генеративного искусственного интеллекта. </w:t>
      </w:r>
    </w:p>
    <w:p w14:paraId="24FA3270" w14:textId="77777777" w:rsidR="00400D59" w:rsidRPr="00346C2B" w:rsidRDefault="00400D59" w:rsidP="00283F02">
      <w:r>
        <w:t> </w:t>
      </w:r>
    </w:p>
    <w:p w14:paraId="2D6DCB67" w14:textId="77777777" w:rsidR="00400D59" w:rsidRPr="00346C2B" w:rsidRDefault="00400D59" w:rsidP="00283F02">
      <w:pPr>
        <w:numPr>
          <w:ilvl w:val="0"/>
          <w:numId w:val="12"/>
        </w:numPr>
      </w:pPr>
      <w:r>
        <w:t>Исследование и разработка практических руководств по использованию технологических средств охраны произведений и исполнений в цифровой среде и в системах генеративного искусственного интеллекта. </w:t>
      </w:r>
    </w:p>
    <w:p w14:paraId="68210AA7" w14:textId="77777777" w:rsidR="00400D59" w:rsidRPr="008E1004" w:rsidRDefault="00400D59" w:rsidP="00283F02">
      <w:r>
        <w:t> </w:t>
      </w:r>
    </w:p>
    <w:p w14:paraId="56A29982" w14:textId="77777777" w:rsidR="00400D59" w:rsidRPr="008E1004" w:rsidRDefault="00400D59" w:rsidP="00283F02">
      <w:pPr>
        <w:numPr>
          <w:ilvl w:val="0"/>
          <w:numId w:val="13"/>
        </w:numPr>
      </w:pPr>
      <w:r>
        <w:t>Обзор и оценка национальных или региональных решений, касающихся прав в цифровой среде на любые типы произведений.  </w:t>
      </w:r>
    </w:p>
    <w:p w14:paraId="36E7FF32" w14:textId="77777777" w:rsidR="00400D59" w:rsidRPr="008E1004" w:rsidRDefault="00400D59" w:rsidP="00283F02">
      <w:r>
        <w:t> </w:t>
      </w:r>
    </w:p>
    <w:p w14:paraId="7D35FB60" w14:textId="77777777" w:rsidR="00400D59" w:rsidRPr="00346C2B" w:rsidRDefault="00400D59" w:rsidP="00283F02">
      <w:pPr>
        <w:numPr>
          <w:ilvl w:val="0"/>
          <w:numId w:val="14"/>
        </w:numPr>
      </w:pPr>
      <w:r>
        <w:t>Содействие проведению исследований по вопросам регулирования и охраны аудиовизуальных произведений и произведений изобразительного искусства на цифровых рынках. </w:t>
      </w:r>
    </w:p>
    <w:p w14:paraId="1AF98664" w14:textId="77777777" w:rsidR="00400D59" w:rsidRPr="00346C2B" w:rsidRDefault="00400D59" w:rsidP="00283F02">
      <w:pPr>
        <w:ind w:left="720"/>
      </w:pPr>
    </w:p>
    <w:p w14:paraId="71A56F2F" w14:textId="77777777" w:rsidR="00400D59" w:rsidRPr="00346C2B" w:rsidRDefault="00400D59" w:rsidP="00283F02">
      <w:pPr>
        <w:numPr>
          <w:ilvl w:val="0"/>
          <w:numId w:val="14"/>
        </w:numPr>
      </w:pPr>
      <w:r>
        <w:t>Руководство на основе передового опыта по надлежащему использованию произведений, охраняемых авторским правом и смежными правами, в генеративном ИИ, транспарентности, договорным отношениям и справедливому вознаграждению или оплате.</w:t>
      </w:r>
    </w:p>
    <w:p w14:paraId="72A75B80" w14:textId="77777777" w:rsidR="00400D59" w:rsidRPr="008E1004" w:rsidRDefault="00400D59" w:rsidP="00283F02"/>
    <w:p w14:paraId="196E4067" w14:textId="77777777" w:rsidR="00400D59" w:rsidRDefault="00400D59" w:rsidP="00283F02">
      <w:r>
        <w:lastRenderedPageBreak/>
        <w:t>Для достижения прогресса в разработке этой повестки также предлагается, чтобы государства-члены в рамках работы Комитета и при технической и финансовой поддержке ВОИС разработали инструменты, справочные типовые законы и учебные пособия по вышеупомянутым темам. </w:t>
      </w:r>
    </w:p>
    <w:p w14:paraId="35A96F7C" w14:textId="77777777" w:rsidR="00400D59" w:rsidRPr="008E1004" w:rsidRDefault="00400D59" w:rsidP="00283F02"/>
    <w:p w14:paraId="4026A723" w14:textId="77777777" w:rsidR="00400D59" w:rsidRPr="008E1004" w:rsidRDefault="00400D59" w:rsidP="00283F02">
      <w:r>
        <w:t> </w:t>
      </w:r>
    </w:p>
    <w:p w14:paraId="25E6C14F" w14:textId="77777777" w:rsidR="00400D59" w:rsidRDefault="00400D59" w:rsidP="00283F02">
      <w:pPr>
        <w:rPr>
          <w:u w:val="single"/>
          <w:lang w:val="es-MX"/>
        </w:rPr>
      </w:pPr>
    </w:p>
    <w:p w14:paraId="2092B424" w14:textId="77777777" w:rsidR="00400D59" w:rsidRPr="00083D01" w:rsidRDefault="00400D59" w:rsidP="00283F02">
      <w:pPr>
        <w:rPr>
          <w:b/>
          <w:bCs/>
        </w:rPr>
      </w:pPr>
      <w:r>
        <w:rPr>
          <w:b/>
          <w:u w:val="single"/>
        </w:rPr>
        <w:t>ПОСЛЕДУЮЩИЕ ШАГИ ПО РЕАЛИЗАЦИИ ПЛАНА РАБОТЫ</w:t>
      </w:r>
      <w:r>
        <w:rPr>
          <w:b/>
        </w:rPr>
        <w:t> </w:t>
      </w:r>
    </w:p>
    <w:p w14:paraId="371584A6" w14:textId="77777777" w:rsidR="00400D59" w:rsidRPr="008E1004" w:rsidRDefault="00400D59" w:rsidP="00283F02"/>
    <w:p w14:paraId="4F8E974A" w14:textId="77777777" w:rsidR="00400D59" w:rsidRDefault="00400D59" w:rsidP="00283F02">
      <w:r>
        <w:t>Предлагается проводить по крайней мере одно региональное техническое рабочее совещание перед сессиями Комитета с тем, чтобы обсуждать результаты исследований и, при необходимости, представлять соответствующие замечания. Это потребует участия региональных ведомств по авторскому праву и специалистов, работающих в предлагаемых областях. </w:t>
      </w:r>
    </w:p>
    <w:p w14:paraId="757D21CF" w14:textId="384CCAFD" w:rsidR="00400D59" w:rsidRDefault="00400D59" w:rsidP="00283F02"/>
    <w:p w14:paraId="68237045" w14:textId="77777777" w:rsidR="00400D59" w:rsidRPr="00400D59" w:rsidRDefault="00400D59" w:rsidP="00283F02">
      <w:r>
        <w:rPr>
          <w:u w:val="single"/>
        </w:rPr>
        <w:t>ШАГ 1</w:t>
      </w:r>
    </w:p>
    <w:p w14:paraId="3296FC7B" w14:textId="77777777" w:rsidR="00400D59" w:rsidRPr="008E1004" w:rsidRDefault="00400D59" w:rsidP="00283F02">
      <w:pPr>
        <w:rPr>
          <w:b/>
          <w:bCs/>
        </w:rPr>
      </w:pPr>
    </w:p>
    <w:p w14:paraId="6560C65C" w14:textId="77777777" w:rsidR="00400D59" w:rsidRDefault="00400D59" w:rsidP="00283F02">
      <w:pPr>
        <w:numPr>
          <w:ilvl w:val="0"/>
          <w:numId w:val="15"/>
        </w:numPr>
      </w:pPr>
      <w:r>
        <w:t>Исследование принятой рыночной практики, включая правила передачи и уступки прав, а также анализ уровня транспарентности как в отношении доступности и рекомендации контента для рядовой публики, пользующейся Интернетом, так и в отношении критериев вознаграждения за произведения и исполнения. </w:t>
      </w:r>
    </w:p>
    <w:p w14:paraId="4CA6A2CB" w14:textId="77777777" w:rsidR="00400D59" w:rsidRPr="008E1004" w:rsidRDefault="00400D59" w:rsidP="00283F02">
      <w:pPr>
        <w:ind w:left="720"/>
      </w:pPr>
    </w:p>
    <w:p w14:paraId="2FC02AC0" w14:textId="77777777" w:rsidR="00400D59" w:rsidRPr="008E1004" w:rsidRDefault="00400D59" w:rsidP="00283F02">
      <w:r>
        <w:t> </w:t>
      </w:r>
    </w:p>
    <w:p w14:paraId="7A34DBE4" w14:textId="77777777" w:rsidR="00400D59" w:rsidRDefault="00400D59" w:rsidP="00283F02">
      <w:pPr>
        <w:numPr>
          <w:ilvl w:val="0"/>
          <w:numId w:val="16"/>
        </w:numPr>
      </w:pPr>
      <w:r>
        <w:t>ИИ и проблемы регулирования, включая исследования рыночной практики, а также решений в области политики и нормативных решений в отношении взаимосвязи между обучением искусственного интеллекта и авторским правом, правил и практики выдачи разрешений и компенсации за использование, а также правил и практики лицензирования прав на голос и образ, когда они связаны с исполнителем или иным работником творческой отрасли. Кроме того, предлагается организовать обсуждение механизмов обеспечения защиты прав правообладателей в тех случаях, когда разработчики ИИ расположены в других юрисдикциях, а также обсуждение добровольной регистрации произведений, созданных с помощью искусственного интеллекта, и целесообразности того, чтобы такие программы наносили на них идентификационные знаки. </w:t>
      </w:r>
    </w:p>
    <w:p w14:paraId="58E4B95B" w14:textId="77777777" w:rsidR="00400D59" w:rsidRPr="008E1004" w:rsidRDefault="00400D59" w:rsidP="00283F02">
      <w:pPr>
        <w:ind w:left="720"/>
      </w:pPr>
    </w:p>
    <w:p w14:paraId="59A7B7E4" w14:textId="77777777" w:rsidR="00400D59" w:rsidRPr="008E1004" w:rsidRDefault="00400D59" w:rsidP="00283F02">
      <w:r>
        <w:t> </w:t>
      </w:r>
    </w:p>
    <w:p w14:paraId="12468BE2" w14:textId="77777777" w:rsidR="00400D59" w:rsidRPr="008E1004" w:rsidRDefault="00400D59" w:rsidP="00283F02">
      <w:r>
        <w:t> </w:t>
      </w:r>
    </w:p>
    <w:p w14:paraId="37711FB7" w14:textId="77777777" w:rsidR="00400D59" w:rsidRPr="008E1004" w:rsidRDefault="00400D59" w:rsidP="00283F02">
      <w:r>
        <w:rPr>
          <w:u w:val="single"/>
        </w:rPr>
        <w:t>ШАГ 2</w:t>
      </w:r>
    </w:p>
    <w:p w14:paraId="09DA7551" w14:textId="77777777" w:rsidR="00400D59" w:rsidRPr="008E1004" w:rsidRDefault="00400D59" w:rsidP="00283F02">
      <w:r>
        <w:t> </w:t>
      </w:r>
    </w:p>
    <w:p w14:paraId="1CD362FE" w14:textId="77777777" w:rsidR="00400D59" w:rsidRPr="00346C2B" w:rsidRDefault="00400D59" w:rsidP="00283F02">
      <w:pPr>
        <w:numPr>
          <w:ilvl w:val="0"/>
          <w:numId w:val="17"/>
        </w:numPr>
      </w:pPr>
      <w:r>
        <w:t>Экономическое исследование текущей конфигурации баланса в области выплаты роялти, связанных с авторским правом и смежными правами на произведения и исполнения, используемые в цифровой среде. </w:t>
      </w:r>
    </w:p>
    <w:p w14:paraId="74897772" w14:textId="77777777" w:rsidR="00400D59" w:rsidRPr="008E1004" w:rsidRDefault="00400D59" w:rsidP="00283F02">
      <w:r>
        <w:t> </w:t>
      </w:r>
    </w:p>
    <w:p w14:paraId="58B85410" w14:textId="77777777" w:rsidR="00400D59" w:rsidRDefault="00400D59" w:rsidP="00283F02">
      <w:pPr>
        <w:numPr>
          <w:ilvl w:val="0"/>
          <w:numId w:val="18"/>
        </w:numPr>
      </w:pPr>
      <w:r>
        <w:t>Надлежащий способ вознаграждения авторов и художников за использование их произведений и исполнений в цифровой среде, изучение различных решений и правовых альтернатив, гарантирующих плату за лицензии и передачу прав, возникших на этапах, предшествующих их использованию в цифровой среде. </w:t>
      </w:r>
    </w:p>
    <w:p w14:paraId="327DC933" w14:textId="77777777" w:rsidR="00400D59" w:rsidRPr="003673EF" w:rsidRDefault="00400D59" w:rsidP="00283F02">
      <w:pPr>
        <w:rPr>
          <w:strike/>
        </w:rPr>
      </w:pPr>
    </w:p>
    <w:p w14:paraId="1E9C65C6" w14:textId="77777777" w:rsidR="00400D59" w:rsidRPr="00346C2B" w:rsidRDefault="00400D59" w:rsidP="00283F02">
      <w:pPr>
        <w:numPr>
          <w:ilvl w:val="0"/>
          <w:numId w:val="19"/>
        </w:numPr>
      </w:pPr>
      <w:r>
        <w:t>Обзор и оценка решений на национальном, региональном и международном уровнях, касающихся прав в цифровой среде на любые типы произведений, включая регулирование права на справедливое вознаграждение, его сбор и распределение. </w:t>
      </w:r>
    </w:p>
    <w:p w14:paraId="70F911E7" w14:textId="77777777" w:rsidR="00400D59" w:rsidRPr="003673EF" w:rsidRDefault="00400D59" w:rsidP="00283F02">
      <w:r>
        <w:t> </w:t>
      </w:r>
    </w:p>
    <w:p w14:paraId="1E30B4DE" w14:textId="77777777" w:rsidR="00400D59" w:rsidRPr="00346C2B" w:rsidRDefault="00400D59" w:rsidP="00283F02">
      <w:pPr>
        <w:numPr>
          <w:ilvl w:val="0"/>
          <w:numId w:val="20"/>
        </w:numPr>
      </w:pPr>
      <w:r>
        <w:lastRenderedPageBreak/>
        <w:t>Установление минимальных гарантий в переговорах между авторами и исполнителями, с одной стороны, и платформами, агрегаторами контента и представителями отраслей в целом, с другой стороны, ввиду асимметричности переговорных отношений. Тематические исследования и сравнительный анализ различных моделей охраны в глобальном масштабе. Разработка механизмов, обеспечивающих возможность пересмотра контрактов в случае, если они становятся невыгодными. </w:t>
      </w:r>
    </w:p>
    <w:p w14:paraId="4D977C7E" w14:textId="77777777" w:rsidR="00400D59" w:rsidRPr="008E1004" w:rsidRDefault="00400D59" w:rsidP="00283F02">
      <w:r>
        <w:t> </w:t>
      </w:r>
    </w:p>
    <w:p w14:paraId="478FD16E" w14:textId="77777777" w:rsidR="00400D59" w:rsidRPr="008E1004" w:rsidRDefault="00400D59" w:rsidP="00283F02">
      <w:pPr>
        <w:numPr>
          <w:ilvl w:val="0"/>
          <w:numId w:val="21"/>
        </w:numPr>
      </w:pPr>
      <w:r>
        <w:t>Исследование и разработка практических руководств по использованию технологических средств охраны произведений в цифровой среде и в системах генеративного искусственного интеллекта. </w:t>
      </w:r>
    </w:p>
    <w:p w14:paraId="736232C3" w14:textId="77777777" w:rsidR="00400D59" w:rsidRPr="008E1004" w:rsidRDefault="00400D59" w:rsidP="00283F02">
      <w:r>
        <w:t> </w:t>
      </w:r>
    </w:p>
    <w:p w14:paraId="19425FD3" w14:textId="77777777" w:rsidR="00400D59" w:rsidRDefault="00400D59" w:rsidP="00283F02">
      <w:pPr>
        <w:numPr>
          <w:ilvl w:val="0"/>
          <w:numId w:val="22"/>
        </w:numPr>
      </w:pPr>
      <w:r>
        <w:t>Содействие проведению исследований по вопросам регулирования и охраны аудиовизуальных произведений и произведений изобразительного искусства на цифровых рынках. </w:t>
      </w:r>
    </w:p>
    <w:p w14:paraId="2262D43B" w14:textId="77777777" w:rsidR="00400D59" w:rsidRPr="008E1004" w:rsidRDefault="00400D59" w:rsidP="00283F02"/>
    <w:p w14:paraId="4474A636" w14:textId="77777777" w:rsidR="00400D59" w:rsidRPr="00400D59" w:rsidRDefault="00400D59" w:rsidP="00283F02">
      <w:pPr>
        <w:numPr>
          <w:ilvl w:val="0"/>
          <w:numId w:val="22"/>
        </w:numPr>
      </w:pPr>
      <w:r>
        <w:t>Руководство на основе передового опыта по надлежащему использованию произведений, исполнений, фонограмм и трансляций, охраняемых авторским правом и смежными правами, в системах генеративного искусственного интеллекта, транспарентности, договорным отношениям и справедливому вознаграждению или оплате.</w:t>
      </w:r>
    </w:p>
    <w:p w14:paraId="16C8E132" w14:textId="77777777" w:rsidR="00400D59" w:rsidRDefault="00400D59" w:rsidP="00400D59">
      <w:pPr>
        <w:rPr>
          <w:lang w:val="es-MX"/>
        </w:rPr>
      </w:pPr>
    </w:p>
    <w:p w14:paraId="041D9E28" w14:textId="77777777" w:rsidR="00400D59" w:rsidRDefault="00400D59" w:rsidP="00400D59">
      <w:pPr>
        <w:rPr>
          <w:lang w:val="es-MX"/>
        </w:rPr>
      </w:pPr>
    </w:p>
    <w:p w14:paraId="311F826D" w14:textId="77777777" w:rsidR="00400D59" w:rsidRDefault="00400D59" w:rsidP="00400D59">
      <w:pPr>
        <w:rPr>
          <w:lang w:val="es-MX"/>
        </w:rPr>
      </w:pPr>
    </w:p>
    <w:p w14:paraId="0D8B07C2" w14:textId="0F5AB97F" w:rsidR="008B2CC1" w:rsidRPr="00843582" w:rsidRDefault="00400D59" w:rsidP="009A00D4">
      <w:pPr>
        <w:ind w:left="6804"/>
        <w:rPr>
          <w:i/>
        </w:rPr>
      </w:pPr>
      <w:r>
        <w:t>[Конец документа] </w:t>
      </w:r>
    </w:p>
    <w:bookmarkEnd w:id="4"/>
    <w:p w14:paraId="29B54C89" w14:textId="77777777" w:rsidR="00152CEA" w:rsidRPr="00D36B79" w:rsidRDefault="00152CEA" w:rsidP="00BA063E">
      <w:pPr>
        <w:spacing w:after="220"/>
      </w:pPr>
    </w:p>
    <w:sectPr w:rsidR="00152CEA" w:rsidRPr="00D36B79" w:rsidSect="00400D5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84D6" w14:textId="77777777" w:rsidR="00400D59" w:rsidRDefault="00400D59">
      <w:r>
        <w:separator/>
      </w:r>
    </w:p>
  </w:endnote>
  <w:endnote w:type="continuationSeparator" w:id="0">
    <w:p w14:paraId="36F94099" w14:textId="77777777" w:rsidR="00400D59" w:rsidRPr="009D30E6" w:rsidRDefault="00400D5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2FFDFC" w14:textId="77777777" w:rsidR="00400D59" w:rsidRPr="004E0DB6" w:rsidRDefault="00400D59" w:rsidP="007E663E">
      <w:pPr>
        <w:spacing w:after="60"/>
        <w:rPr>
          <w:sz w:val="17"/>
          <w:szCs w:val="17"/>
          <w:lang w:val="fr-CH"/>
        </w:rPr>
      </w:pPr>
      <w:r w:rsidRPr="004E0DB6">
        <w:rPr>
          <w:sz w:val="17"/>
          <w:lang w:val="fr-CH"/>
        </w:rPr>
        <w:t>[Continuación de la nota de la página anterior]</w:t>
      </w:r>
    </w:p>
  </w:endnote>
  <w:endnote w:type="continuationNotice" w:id="1">
    <w:p w14:paraId="3AF0FE73" w14:textId="77777777" w:rsidR="00400D59" w:rsidRPr="004E0DB6" w:rsidRDefault="00400D59" w:rsidP="007E663E">
      <w:pPr>
        <w:spacing w:before="60"/>
        <w:jc w:val="right"/>
        <w:rPr>
          <w:sz w:val="17"/>
          <w:szCs w:val="17"/>
          <w:lang w:val="fr-CH"/>
        </w:rPr>
      </w:pPr>
      <w:r w:rsidRPr="004E0DB6">
        <w:rPr>
          <w:sz w:val="17"/>
          <w:szCs w:val="17"/>
          <w:lang w:val="fr-CH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E6F6" w14:textId="77777777" w:rsidR="00400D59" w:rsidRDefault="00400D59">
      <w:r>
        <w:separator/>
      </w:r>
    </w:p>
  </w:footnote>
  <w:footnote w:type="continuationSeparator" w:id="0">
    <w:p w14:paraId="38D1578C" w14:textId="77777777" w:rsidR="00400D59" w:rsidRPr="009D30E6" w:rsidRDefault="00400D5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186FB3" w14:textId="77777777" w:rsidR="00400D59" w:rsidRPr="004E0DB6" w:rsidRDefault="00400D59" w:rsidP="007E663E">
      <w:pPr>
        <w:spacing w:after="60"/>
        <w:rPr>
          <w:sz w:val="17"/>
          <w:szCs w:val="17"/>
          <w:lang w:val="fr-CH"/>
        </w:rPr>
      </w:pPr>
      <w:r w:rsidRPr="004E0DB6">
        <w:rPr>
          <w:sz w:val="17"/>
          <w:lang w:val="fr-CH"/>
        </w:rPr>
        <w:t>[Continuación de la nota de la página anterior]</w:t>
      </w:r>
    </w:p>
  </w:footnote>
  <w:footnote w:type="continuationNotice" w:id="1">
    <w:p w14:paraId="2B08676B" w14:textId="77777777" w:rsidR="00400D59" w:rsidRPr="004E0DB6" w:rsidRDefault="00400D59" w:rsidP="007E663E">
      <w:pPr>
        <w:spacing w:before="60"/>
        <w:jc w:val="right"/>
        <w:rPr>
          <w:sz w:val="17"/>
          <w:szCs w:val="17"/>
          <w:lang w:val="fr-CH"/>
        </w:rPr>
      </w:pPr>
      <w:r w:rsidRPr="004E0DB6">
        <w:rPr>
          <w:sz w:val="17"/>
          <w:szCs w:val="17"/>
          <w:lang w:val="fr-CH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D161" w14:textId="6A7B30F8" w:rsidR="00F84474" w:rsidRDefault="00400D59" w:rsidP="00477D6B">
    <w:pPr>
      <w:jc w:val="right"/>
    </w:pPr>
    <w:bookmarkStart w:id="5" w:name="Code2"/>
    <w:bookmarkEnd w:id="5"/>
    <w:r>
      <w:t>SCCR/47/7</w:t>
    </w:r>
  </w:p>
  <w:p w14:paraId="3B5935C7" w14:textId="77777777" w:rsidR="00F84474" w:rsidRDefault="00F84474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t>2</w:t>
    </w:r>
    <w:r>
      <w:fldChar w:fldCharType="end"/>
    </w:r>
  </w:p>
  <w:p w14:paraId="6870EE54" w14:textId="77777777" w:rsidR="00F84474" w:rsidRDefault="00F84474" w:rsidP="00477D6B">
    <w:pPr>
      <w:jc w:val="right"/>
    </w:pPr>
  </w:p>
  <w:p w14:paraId="4F7400F4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4744C6"/>
    <w:multiLevelType w:val="multilevel"/>
    <w:tmpl w:val="544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30B11"/>
    <w:multiLevelType w:val="multilevel"/>
    <w:tmpl w:val="750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60919"/>
    <w:multiLevelType w:val="multilevel"/>
    <w:tmpl w:val="605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D0767"/>
    <w:multiLevelType w:val="multilevel"/>
    <w:tmpl w:val="73F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994BF1"/>
    <w:multiLevelType w:val="multilevel"/>
    <w:tmpl w:val="442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306A4C"/>
    <w:multiLevelType w:val="multilevel"/>
    <w:tmpl w:val="746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6A244FA"/>
    <w:multiLevelType w:val="multilevel"/>
    <w:tmpl w:val="E29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D7454A"/>
    <w:multiLevelType w:val="multilevel"/>
    <w:tmpl w:val="D4BE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D5494F"/>
    <w:multiLevelType w:val="multilevel"/>
    <w:tmpl w:val="41B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805DBC"/>
    <w:multiLevelType w:val="multilevel"/>
    <w:tmpl w:val="7EA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BF5517"/>
    <w:multiLevelType w:val="multilevel"/>
    <w:tmpl w:val="2A0E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B44F30"/>
    <w:multiLevelType w:val="multilevel"/>
    <w:tmpl w:val="694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8A5CAD"/>
    <w:multiLevelType w:val="multilevel"/>
    <w:tmpl w:val="4EF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FB3110"/>
    <w:multiLevelType w:val="multilevel"/>
    <w:tmpl w:val="E35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9D3464"/>
    <w:multiLevelType w:val="multilevel"/>
    <w:tmpl w:val="53BC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B81D6C"/>
    <w:multiLevelType w:val="multilevel"/>
    <w:tmpl w:val="FD1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930950">
    <w:abstractNumId w:val="6"/>
  </w:num>
  <w:num w:numId="2" w16cid:durableId="803157564">
    <w:abstractNumId w:val="12"/>
  </w:num>
  <w:num w:numId="3" w16cid:durableId="1677994612">
    <w:abstractNumId w:val="0"/>
  </w:num>
  <w:num w:numId="4" w16cid:durableId="1032074281">
    <w:abstractNumId w:val="13"/>
  </w:num>
  <w:num w:numId="5" w16cid:durableId="1045062155">
    <w:abstractNumId w:val="1"/>
  </w:num>
  <w:num w:numId="6" w16cid:durableId="1621913335">
    <w:abstractNumId w:val="9"/>
  </w:num>
  <w:num w:numId="7" w16cid:durableId="603927975">
    <w:abstractNumId w:val="19"/>
  </w:num>
  <w:num w:numId="8" w16cid:durableId="1586957489">
    <w:abstractNumId w:val="15"/>
  </w:num>
  <w:num w:numId="9" w16cid:durableId="1633487421">
    <w:abstractNumId w:val="3"/>
  </w:num>
  <w:num w:numId="10" w16cid:durableId="1469669628">
    <w:abstractNumId w:val="8"/>
  </w:num>
  <w:num w:numId="11" w16cid:durableId="370082175">
    <w:abstractNumId w:val="5"/>
  </w:num>
  <w:num w:numId="12" w16cid:durableId="484663705">
    <w:abstractNumId w:val="14"/>
  </w:num>
  <w:num w:numId="13" w16cid:durableId="204371233">
    <w:abstractNumId w:val="17"/>
  </w:num>
  <w:num w:numId="14" w16cid:durableId="157843237">
    <w:abstractNumId w:val="2"/>
  </w:num>
  <w:num w:numId="15" w16cid:durableId="1052656196">
    <w:abstractNumId w:val="16"/>
  </w:num>
  <w:num w:numId="16" w16cid:durableId="1206257697">
    <w:abstractNumId w:val="21"/>
  </w:num>
  <w:num w:numId="17" w16cid:durableId="1623195894">
    <w:abstractNumId w:val="11"/>
  </w:num>
  <w:num w:numId="18" w16cid:durableId="251090298">
    <w:abstractNumId w:val="20"/>
  </w:num>
  <w:num w:numId="19" w16cid:durableId="620110880">
    <w:abstractNumId w:val="4"/>
  </w:num>
  <w:num w:numId="20" w16cid:durableId="900094030">
    <w:abstractNumId w:val="7"/>
  </w:num>
  <w:num w:numId="21" w16cid:durableId="700520743">
    <w:abstractNumId w:val="18"/>
  </w:num>
  <w:num w:numId="22" w16cid:durableId="1186485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9"/>
    <w:rsid w:val="00040261"/>
    <w:rsid w:val="00082FA0"/>
    <w:rsid w:val="0008740B"/>
    <w:rsid w:val="000E3BB3"/>
    <w:rsid w:val="000F5E56"/>
    <w:rsid w:val="001362EE"/>
    <w:rsid w:val="00152CEA"/>
    <w:rsid w:val="0016262D"/>
    <w:rsid w:val="00176294"/>
    <w:rsid w:val="0018251F"/>
    <w:rsid w:val="001832A6"/>
    <w:rsid w:val="001C4DD3"/>
    <w:rsid w:val="002634C4"/>
    <w:rsid w:val="00283F02"/>
    <w:rsid w:val="002F4E68"/>
    <w:rsid w:val="00307787"/>
    <w:rsid w:val="003408DF"/>
    <w:rsid w:val="00354647"/>
    <w:rsid w:val="00377273"/>
    <w:rsid w:val="003845C1"/>
    <w:rsid w:val="00387287"/>
    <w:rsid w:val="003D41D4"/>
    <w:rsid w:val="004004D8"/>
    <w:rsid w:val="00400D59"/>
    <w:rsid w:val="00423E3E"/>
    <w:rsid w:val="004269C9"/>
    <w:rsid w:val="00427AF4"/>
    <w:rsid w:val="0045231F"/>
    <w:rsid w:val="004647DA"/>
    <w:rsid w:val="00470516"/>
    <w:rsid w:val="00477D6B"/>
    <w:rsid w:val="004A6C37"/>
    <w:rsid w:val="004E0DB6"/>
    <w:rsid w:val="004F7418"/>
    <w:rsid w:val="005456B1"/>
    <w:rsid w:val="0055013B"/>
    <w:rsid w:val="0056224D"/>
    <w:rsid w:val="00571B99"/>
    <w:rsid w:val="005D64EC"/>
    <w:rsid w:val="005F53FF"/>
    <w:rsid w:val="00605827"/>
    <w:rsid w:val="006558D6"/>
    <w:rsid w:val="00665857"/>
    <w:rsid w:val="00675021"/>
    <w:rsid w:val="006A06C6"/>
    <w:rsid w:val="006A60BE"/>
    <w:rsid w:val="006D5216"/>
    <w:rsid w:val="007132A9"/>
    <w:rsid w:val="0073001A"/>
    <w:rsid w:val="0075590E"/>
    <w:rsid w:val="007E63AC"/>
    <w:rsid w:val="007E663E"/>
    <w:rsid w:val="00815082"/>
    <w:rsid w:val="00815D77"/>
    <w:rsid w:val="00843582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0D4"/>
    <w:rsid w:val="009A0C8B"/>
    <w:rsid w:val="009B6241"/>
    <w:rsid w:val="009E4D3B"/>
    <w:rsid w:val="00A16FC0"/>
    <w:rsid w:val="00A22D20"/>
    <w:rsid w:val="00A32C9E"/>
    <w:rsid w:val="00A7453D"/>
    <w:rsid w:val="00AB613D"/>
    <w:rsid w:val="00B65A0A"/>
    <w:rsid w:val="00B70A97"/>
    <w:rsid w:val="00B72D36"/>
    <w:rsid w:val="00BA063E"/>
    <w:rsid w:val="00BA3918"/>
    <w:rsid w:val="00BC4164"/>
    <w:rsid w:val="00BC4EBB"/>
    <w:rsid w:val="00BD2DCC"/>
    <w:rsid w:val="00BE1A8C"/>
    <w:rsid w:val="00C06472"/>
    <w:rsid w:val="00C42181"/>
    <w:rsid w:val="00C863F2"/>
    <w:rsid w:val="00C90559"/>
    <w:rsid w:val="00CD29F2"/>
    <w:rsid w:val="00D05711"/>
    <w:rsid w:val="00D36B79"/>
    <w:rsid w:val="00D40CF0"/>
    <w:rsid w:val="00D56C7C"/>
    <w:rsid w:val="00D71B4D"/>
    <w:rsid w:val="00D90289"/>
    <w:rsid w:val="00D93D55"/>
    <w:rsid w:val="00DC3D7B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CA3FC"/>
  <w15:docId w15:val="{5F901016-60C3-4416-9917-19940B9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(S)</Template>
  <TotalTime>0</TotalTime>
  <Pages>6</Pages>
  <Words>1697</Words>
  <Characters>12058</Characters>
  <Application>Microsoft Office Word</Application>
  <DocSecurity>0</DocSecurity>
  <Lines>185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</dc:title>
  <dc:creator>HAIZEL Francesca</dc:creator>
  <cp:keywords>FOR OFFICIAL USE ONLY</cp:keywords>
  <cp:lastModifiedBy>HAIZEL Francesca</cp:lastModifiedBy>
  <cp:revision>2</cp:revision>
  <dcterms:created xsi:type="dcterms:W3CDTF">2025-12-09T16:07:00Z</dcterms:created>
  <dcterms:modified xsi:type="dcterms:W3CDTF">2025-12-09T16:07:00Z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