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8DBC" w14:textId="57F2D6E7" w:rsidR="008B2CC1" w:rsidRPr="00340CB0" w:rsidRDefault="004D1E70" w:rsidP="00F11D94">
      <w:pPr>
        <w:spacing w:after="120"/>
        <w:jc w:val="right"/>
      </w:pPr>
      <w:r w:rsidRPr="00340CB0">
        <w:rPr>
          <w:noProof/>
        </w:rPr>
        <w:drawing>
          <wp:inline distT="0" distB="0" distL="0" distR="0" wp14:anchorId="7B32F42F" wp14:editId="19F3385E">
            <wp:extent cx="2940050" cy="1478356"/>
            <wp:effectExtent l="0" t="0" r="0" b="7620"/>
            <wp:docPr id="1965698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773" cy="1482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340CB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9B3717D" wp14:editId="1A2B2EC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6FBE4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4474055" w14:textId="5CC45DFC" w:rsidR="008B2CC1" w:rsidRPr="00340CB0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340CB0">
        <w:rPr>
          <w:rFonts w:ascii="Arial Black" w:hAnsi="Arial Black"/>
          <w:caps/>
          <w:sz w:val="15"/>
          <w:szCs w:val="15"/>
        </w:rPr>
        <w:t>SCCR/4</w:t>
      </w:r>
      <w:r w:rsidR="00017C43" w:rsidRPr="00340CB0">
        <w:rPr>
          <w:rFonts w:ascii="Arial Black" w:hAnsi="Arial Black"/>
          <w:caps/>
          <w:sz w:val="15"/>
          <w:szCs w:val="15"/>
        </w:rPr>
        <w:t>7</w:t>
      </w:r>
      <w:r w:rsidR="003F4808" w:rsidRPr="00340CB0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C43F7" w:rsidRPr="00340CB0">
        <w:rPr>
          <w:rFonts w:ascii="Arial Black" w:hAnsi="Arial Black"/>
          <w:caps/>
          <w:sz w:val="15"/>
          <w:szCs w:val="15"/>
        </w:rPr>
        <w:t>6</w:t>
      </w:r>
    </w:p>
    <w:p w14:paraId="4C7BF151" w14:textId="01361E3E" w:rsidR="00CE65D4" w:rsidRPr="00340CB0" w:rsidRDefault="004D1E70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340CB0">
        <w:rPr>
          <w:rFonts w:ascii="Arial Black" w:hAnsi="Arial Black"/>
          <w:caps/>
          <w:sz w:val="15"/>
          <w:szCs w:val="15"/>
        </w:rPr>
        <w:t>оригинал</w:t>
      </w:r>
      <w:r w:rsidR="00CE65D4" w:rsidRPr="00340CB0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 w:rsidRPr="00340CB0"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49E5949B" w14:textId="05E7C5BC" w:rsidR="008B2CC1" w:rsidRPr="00340CB0" w:rsidRDefault="004D1E70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340CB0">
        <w:rPr>
          <w:rFonts w:ascii="Arial Black" w:hAnsi="Arial Black"/>
          <w:caps/>
          <w:sz w:val="15"/>
          <w:szCs w:val="15"/>
        </w:rPr>
        <w:t>дата</w:t>
      </w:r>
      <w:r w:rsidR="00CE65D4" w:rsidRPr="00340CB0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0C43F7" w:rsidRPr="00340CB0">
        <w:rPr>
          <w:rFonts w:ascii="Arial Black" w:hAnsi="Arial Black"/>
          <w:caps/>
          <w:sz w:val="15"/>
          <w:szCs w:val="15"/>
        </w:rPr>
        <w:t>20</w:t>
      </w:r>
      <w:r w:rsidRPr="00340CB0">
        <w:rPr>
          <w:rFonts w:ascii="Arial Black" w:hAnsi="Arial Black"/>
          <w:caps/>
          <w:sz w:val="15"/>
          <w:szCs w:val="15"/>
        </w:rPr>
        <w:t xml:space="preserve"> октября</w:t>
      </w:r>
      <w:r w:rsidR="000C43F7" w:rsidRPr="00340CB0">
        <w:rPr>
          <w:rFonts w:ascii="Arial Black" w:hAnsi="Arial Black"/>
          <w:caps/>
          <w:sz w:val="15"/>
          <w:szCs w:val="15"/>
        </w:rPr>
        <w:t xml:space="preserve"> 2025</w:t>
      </w:r>
      <w:r w:rsidRPr="00340CB0">
        <w:rPr>
          <w:rFonts w:ascii="Arial Black" w:hAnsi="Arial Black"/>
          <w:caps/>
          <w:sz w:val="15"/>
          <w:szCs w:val="15"/>
        </w:rPr>
        <w:t xml:space="preserve"> года</w:t>
      </w:r>
    </w:p>
    <w:bookmarkEnd w:id="2"/>
    <w:p w14:paraId="0782D288" w14:textId="21CD1A3E" w:rsidR="008B2CC1" w:rsidRPr="00340CB0" w:rsidRDefault="0036676B" w:rsidP="0095239B">
      <w:pPr>
        <w:spacing w:after="480"/>
        <w:rPr>
          <w:b/>
          <w:sz w:val="28"/>
          <w:szCs w:val="28"/>
        </w:rPr>
      </w:pPr>
      <w:r w:rsidRPr="00340CB0">
        <w:rPr>
          <w:b/>
          <w:sz w:val="28"/>
          <w:szCs w:val="28"/>
        </w:rPr>
        <w:t>Постоянный комитет по авторскому праву и смежным правам</w:t>
      </w:r>
    </w:p>
    <w:p w14:paraId="40D3652D" w14:textId="58FF0AAE" w:rsidR="008B2CC1" w:rsidRPr="00340CB0" w:rsidRDefault="0036676B" w:rsidP="008B2CC1">
      <w:pPr>
        <w:rPr>
          <w:b/>
          <w:sz w:val="24"/>
          <w:szCs w:val="24"/>
        </w:rPr>
      </w:pPr>
      <w:r w:rsidRPr="00340CB0">
        <w:rPr>
          <w:b/>
          <w:sz w:val="24"/>
          <w:szCs w:val="24"/>
        </w:rPr>
        <w:t>Сорок седьмая сессия</w:t>
      </w:r>
    </w:p>
    <w:p w14:paraId="08DD4AEA" w14:textId="4B499CD6" w:rsidR="008B2CC1" w:rsidRPr="00340CB0" w:rsidRDefault="0036676B" w:rsidP="00CE65D4">
      <w:pPr>
        <w:spacing w:after="720"/>
      </w:pPr>
      <w:r w:rsidRPr="00340CB0">
        <w:rPr>
          <w:b/>
          <w:sz w:val="24"/>
          <w:szCs w:val="24"/>
        </w:rPr>
        <w:t>Женева, 1–5 декабря 2025 года</w:t>
      </w:r>
    </w:p>
    <w:p w14:paraId="2C8FA523" w14:textId="794A8202" w:rsidR="008B2CC1" w:rsidRPr="00340CB0" w:rsidRDefault="00422D50" w:rsidP="00CE65D4">
      <w:pPr>
        <w:spacing w:after="360"/>
        <w:rPr>
          <w:caps/>
          <w:sz w:val="24"/>
        </w:rPr>
      </w:pPr>
      <w:bookmarkStart w:id="3" w:name="TitleOfDoc"/>
      <w:r w:rsidRPr="00340CB0">
        <w:rPr>
          <w:caps/>
          <w:sz w:val="24"/>
        </w:rPr>
        <w:t>предложение индонезии о разрабо</w:t>
      </w:r>
      <w:r w:rsidRPr="00FD1A0B">
        <w:rPr>
          <w:caps/>
          <w:sz w:val="24"/>
        </w:rPr>
        <w:t xml:space="preserve">тке юридически обязательного документа о </w:t>
      </w:r>
      <w:bookmarkStart w:id="4" w:name="_Hlk213413135"/>
      <w:r w:rsidR="00267A13" w:rsidRPr="00FD1A0B">
        <w:rPr>
          <w:caps/>
          <w:sz w:val="24"/>
        </w:rPr>
        <w:t xml:space="preserve">регулировании </w:t>
      </w:r>
      <w:r w:rsidR="008901C8" w:rsidRPr="00FD1A0B">
        <w:rPr>
          <w:caps/>
          <w:sz w:val="24"/>
        </w:rPr>
        <w:t>вопросов</w:t>
      </w:r>
      <w:r w:rsidR="00CA1718" w:rsidRPr="00FD1A0B">
        <w:rPr>
          <w:caps/>
          <w:sz w:val="24"/>
        </w:rPr>
        <w:t>, связанн</w:t>
      </w:r>
      <w:r w:rsidR="008901C8" w:rsidRPr="00FD1A0B">
        <w:rPr>
          <w:caps/>
          <w:sz w:val="24"/>
        </w:rPr>
        <w:t xml:space="preserve">ых </w:t>
      </w:r>
      <w:r w:rsidR="00CA1718" w:rsidRPr="00FD1A0B">
        <w:rPr>
          <w:caps/>
          <w:sz w:val="24"/>
        </w:rPr>
        <w:t>с роялти</w:t>
      </w:r>
      <w:r w:rsidR="00FD3772" w:rsidRPr="00FD1A0B">
        <w:rPr>
          <w:caps/>
          <w:sz w:val="24"/>
        </w:rPr>
        <w:t xml:space="preserve"> в авторском праве</w:t>
      </w:r>
      <w:r w:rsidR="008901C8" w:rsidRPr="00FD1A0B">
        <w:rPr>
          <w:caps/>
          <w:sz w:val="24"/>
        </w:rPr>
        <w:t>,</w:t>
      </w:r>
      <w:r w:rsidRPr="00FD1A0B">
        <w:rPr>
          <w:caps/>
          <w:sz w:val="24"/>
        </w:rPr>
        <w:t xml:space="preserve"> </w:t>
      </w:r>
      <w:bookmarkEnd w:id="4"/>
      <w:r w:rsidRPr="00FD1A0B">
        <w:rPr>
          <w:caps/>
          <w:sz w:val="24"/>
        </w:rPr>
        <w:t xml:space="preserve">в цифровой </w:t>
      </w:r>
      <w:r w:rsidR="002D5CF4" w:rsidRPr="00FD1A0B">
        <w:rPr>
          <w:caps/>
          <w:sz w:val="24"/>
        </w:rPr>
        <w:t>среде</w:t>
      </w:r>
      <w:r w:rsidR="008672BB">
        <w:rPr>
          <w:caps/>
          <w:sz w:val="24"/>
        </w:rPr>
        <w:t xml:space="preserve">: </w:t>
      </w:r>
      <w:r w:rsidR="008672BB">
        <w:rPr>
          <w:caps/>
          <w:sz w:val="24"/>
        </w:rPr>
        <w:br/>
        <w:t>инициатива «</w:t>
      </w:r>
      <w:r w:rsidR="00E345BF" w:rsidRPr="00FD1A0B">
        <w:rPr>
          <w:caps/>
          <w:sz w:val="24"/>
        </w:rPr>
        <w:t xml:space="preserve">на пути к </w:t>
      </w:r>
      <w:r w:rsidR="002D5CF4" w:rsidRPr="00FD1A0B">
        <w:rPr>
          <w:caps/>
          <w:sz w:val="24"/>
        </w:rPr>
        <w:t>равны</w:t>
      </w:r>
      <w:r w:rsidR="00E345BF" w:rsidRPr="00FD1A0B">
        <w:rPr>
          <w:caps/>
          <w:sz w:val="24"/>
        </w:rPr>
        <w:t>м</w:t>
      </w:r>
      <w:r w:rsidR="002D5CF4" w:rsidRPr="00FD1A0B">
        <w:rPr>
          <w:caps/>
          <w:sz w:val="24"/>
        </w:rPr>
        <w:t xml:space="preserve"> возможност</w:t>
      </w:r>
      <w:r w:rsidR="00E345BF" w:rsidRPr="00FD1A0B">
        <w:rPr>
          <w:caps/>
          <w:sz w:val="24"/>
        </w:rPr>
        <w:t>ям</w:t>
      </w:r>
      <w:r w:rsidR="002D5CF4" w:rsidRPr="00FD1A0B">
        <w:rPr>
          <w:caps/>
          <w:sz w:val="24"/>
        </w:rPr>
        <w:t xml:space="preserve"> в</w:t>
      </w:r>
      <w:r w:rsidR="00E345BF" w:rsidRPr="00FD1A0B">
        <w:rPr>
          <w:caps/>
          <w:sz w:val="24"/>
        </w:rPr>
        <w:t xml:space="preserve"> </w:t>
      </w:r>
      <w:r w:rsidR="002D5CF4" w:rsidRPr="00FD1A0B">
        <w:rPr>
          <w:caps/>
          <w:sz w:val="24"/>
        </w:rPr>
        <w:t>глобально</w:t>
      </w:r>
      <w:r w:rsidR="00FD1A0B" w:rsidRPr="00FD1A0B">
        <w:rPr>
          <w:caps/>
          <w:sz w:val="24"/>
        </w:rPr>
        <w:t>м</w:t>
      </w:r>
      <w:r w:rsidR="002D5CF4" w:rsidRPr="00FD1A0B">
        <w:rPr>
          <w:caps/>
          <w:sz w:val="24"/>
        </w:rPr>
        <w:t xml:space="preserve"> мир</w:t>
      </w:r>
      <w:r w:rsidR="00FD1A0B" w:rsidRPr="00FD1A0B">
        <w:rPr>
          <w:caps/>
          <w:sz w:val="24"/>
        </w:rPr>
        <w:t>е</w:t>
      </w:r>
      <w:r w:rsidR="008672BB">
        <w:rPr>
          <w:caps/>
          <w:sz w:val="24"/>
        </w:rPr>
        <w:t>»</w:t>
      </w:r>
    </w:p>
    <w:p w14:paraId="1DBEF70D" w14:textId="0265C5C9" w:rsidR="008B2CC1" w:rsidRPr="00340CB0" w:rsidRDefault="002D5CF4" w:rsidP="00CE65D4">
      <w:pPr>
        <w:spacing w:after="960"/>
        <w:rPr>
          <w:i/>
        </w:rPr>
      </w:pPr>
      <w:bookmarkStart w:id="5" w:name="Prepared"/>
      <w:bookmarkEnd w:id="3"/>
      <w:r w:rsidRPr="00340CB0">
        <w:rPr>
          <w:i/>
        </w:rPr>
        <w:t>Предложение подготовлено министерством юстиции Республики Индонезия</w:t>
      </w:r>
    </w:p>
    <w:p w14:paraId="3A9E3DBF" w14:textId="77777777" w:rsidR="00E345BF" w:rsidRPr="00340CB0" w:rsidRDefault="00E345BF" w:rsidP="00CE65D4">
      <w:pPr>
        <w:spacing w:after="960"/>
        <w:rPr>
          <w:i/>
        </w:rPr>
      </w:pPr>
    </w:p>
    <w:bookmarkEnd w:id="5"/>
    <w:p w14:paraId="0095A9D9" w14:textId="77777777" w:rsidR="000C43F7" w:rsidRPr="00340CB0" w:rsidRDefault="000C43F7" w:rsidP="003D352A">
      <w:pPr>
        <w:spacing w:after="220"/>
        <w:sectPr w:rsidR="000C43F7" w:rsidRPr="00340CB0" w:rsidSect="000C43F7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173C178F" w14:textId="4681325A" w:rsidR="000C43F7" w:rsidRPr="00340CB0" w:rsidRDefault="00E345BF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>Рабочий документ</w:t>
      </w:r>
    </w:p>
    <w:p w14:paraId="7760766D" w14:textId="178241A2" w:rsidR="000C43F7" w:rsidRPr="00340CB0" w:rsidRDefault="00AA2D6A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FA387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Предложение Индонезии о разработке юридически обязательного документа о </w:t>
      </w:r>
      <w:r w:rsidR="00832154" w:rsidRPr="00FA3870">
        <w:rPr>
          <w:rFonts w:eastAsia="Aptos" w:cs="Noto Sans Display"/>
          <w:kern w:val="2"/>
          <w:szCs w:val="22"/>
          <w:lang w:eastAsia="en-US"/>
          <w14:ligatures w14:val="standardContextual"/>
        </w:rPr>
        <w:t>регулировании вопросов, связанных с роялти в авторском праве, в цифровой среде</w:t>
      </w:r>
    </w:p>
    <w:p w14:paraId="4AAC3D9E" w14:textId="7C7B4A82" w:rsidR="000C43F7" w:rsidRPr="00340CB0" w:rsidRDefault="00E345BF" w:rsidP="000C43F7">
      <w:pPr>
        <w:spacing w:before="180" w:after="240"/>
        <w:rPr>
          <w:rFonts w:eastAsia="Aptos" w:cs="Noto Sans Display"/>
          <w:iCs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На пути к равным возможностям в глобально</w:t>
      </w:r>
      <w:r w:rsidR="00832154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м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 xml:space="preserve"> мир</w:t>
      </w:r>
      <w:r w:rsidR="00832154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е</w:t>
      </w:r>
    </w:p>
    <w:p w14:paraId="4CC4A05A" w14:textId="52434BD2" w:rsidR="000C43F7" w:rsidRPr="00340CB0" w:rsidRDefault="00E345BF" w:rsidP="000C43F7">
      <w:pPr>
        <w:spacing w:before="180" w:after="240"/>
        <w:rPr>
          <w:rFonts w:eastAsia="Aptos" w:cs="Noto Sans Display"/>
          <w:iCs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iCs/>
          <w:kern w:val="2"/>
          <w:szCs w:val="22"/>
          <w:lang w:eastAsia="en-US"/>
          <w14:ligatures w14:val="standardContextual"/>
        </w:rPr>
        <w:t>Предложение подготовлено министерством юстиции Республики Индонезия</w:t>
      </w:r>
    </w:p>
    <w:p w14:paraId="2E488140" w14:textId="77777777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br w:type="page"/>
      </w:r>
    </w:p>
    <w:p w14:paraId="29A67728" w14:textId="48A58B74" w:rsidR="00942684" w:rsidRPr="00340CB0" w:rsidRDefault="008D1AA8" w:rsidP="00093B7D">
      <w:pPr>
        <w:pStyle w:val="TOC1"/>
        <w:jc w:val="center"/>
      </w:pPr>
      <w:r w:rsidRPr="00340CB0">
        <w:lastRenderedPageBreak/>
        <w:t>Содержание</w:t>
      </w:r>
    </w:p>
    <w:p w14:paraId="53378144" w14:textId="738F34D1" w:rsidR="00FE75B0" w:rsidRPr="00340CB0" w:rsidRDefault="00942684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4"/>
          <w:szCs w:val="24"/>
        </w:rPr>
      </w:pPr>
      <w:r w:rsidRPr="00340CB0">
        <w:fldChar w:fldCharType="begin"/>
      </w:r>
      <w:r w:rsidRPr="00340CB0">
        <w:instrText xml:space="preserve"> TOC \h \z \t "Heading 51,1" </w:instrText>
      </w:r>
      <w:r w:rsidRPr="00340CB0">
        <w:fldChar w:fldCharType="separate"/>
      </w:r>
      <w:hyperlink w:anchor="_Toc212710963" w:history="1">
        <w:r w:rsidR="00957727" w:rsidRPr="00340CB0">
          <w:rPr>
            <w:rStyle w:val="Hyperlink"/>
            <w:noProof/>
          </w:rPr>
          <w:t>Резюме</w:t>
        </w:r>
        <w:r w:rsidR="00FE75B0" w:rsidRPr="00340CB0">
          <w:rPr>
            <w:noProof/>
            <w:webHidden/>
          </w:rPr>
          <w:tab/>
        </w:r>
        <w:r w:rsidR="00FE75B0" w:rsidRPr="00340CB0">
          <w:rPr>
            <w:noProof/>
            <w:webHidden/>
          </w:rPr>
          <w:fldChar w:fldCharType="begin"/>
        </w:r>
        <w:r w:rsidR="00FE75B0" w:rsidRPr="00340CB0">
          <w:rPr>
            <w:noProof/>
            <w:webHidden/>
          </w:rPr>
          <w:instrText xml:space="preserve"> PAGEREF _Toc212710963 \h </w:instrText>
        </w:r>
        <w:r w:rsidR="00FE75B0" w:rsidRPr="00340CB0">
          <w:rPr>
            <w:noProof/>
            <w:webHidden/>
          </w:rPr>
        </w:r>
        <w:r w:rsidR="00FE75B0" w:rsidRPr="00340CB0">
          <w:rPr>
            <w:noProof/>
            <w:webHidden/>
          </w:rPr>
          <w:fldChar w:fldCharType="separate"/>
        </w:r>
        <w:r w:rsidR="00E64DA9">
          <w:rPr>
            <w:noProof/>
            <w:webHidden/>
          </w:rPr>
          <w:t>4</w:t>
        </w:r>
        <w:r w:rsidR="00FE75B0" w:rsidRPr="00340CB0">
          <w:rPr>
            <w:noProof/>
            <w:webHidden/>
          </w:rPr>
          <w:fldChar w:fldCharType="end"/>
        </w:r>
      </w:hyperlink>
    </w:p>
    <w:p w14:paraId="1366E5E6" w14:textId="4C14E539" w:rsidR="00FE75B0" w:rsidRPr="00340CB0" w:rsidRDefault="0095772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4"/>
          <w:szCs w:val="24"/>
        </w:rPr>
      </w:pPr>
      <w:hyperlink w:anchor="_Toc212710964" w:history="1">
        <w:r w:rsidRPr="00340CB0">
          <w:rPr>
            <w:rStyle w:val="Hyperlink"/>
            <w:noProof/>
          </w:rPr>
          <w:t>История вопроса</w:t>
        </w:r>
        <w:r w:rsidR="00FE75B0" w:rsidRPr="00340CB0">
          <w:rPr>
            <w:noProof/>
            <w:webHidden/>
          </w:rPr>
          <w:tab/>
        </w:r>
        <w:r w:rsidR="00FE75B0" w:rsidRPr="00340CB0">
          <w:rPr>
            <w:noProof/>
            <w:webHidden/>
          </w:rPr>
          <w:fldChar w:fldCharType="begin"/>
        </w:r>
        <w:r w:rsidR="00FE75B0" w:rsidRPr="00340CB0">
          <w:rPr>
            <w:noProof/>
            <w:webHidden/>
          </w:rPr>
          <w:instrText xml:space="preserve"> PAGEREF _Toc212710964 \h </w:instrText>
        </w:r>
        <w:r w:rsidR="00FE75B0" w:rsidRPr="00340CB0">
          <w:rPr>
            <w:noProof/>
            <w:webHidden/>
          </w:rPr>
        </w:r>
        <w:r w:rsidR="00FE75B0" w:rsidRPr="00340CB0">
          <w:rPr>
            <w:noProof/>
            <w:webHidden/>
          </w:rPr>
          <w:fldChar w:fldCharType="separate"/>
        </w:r>
        <w:r w:rsidR="00E64DA9">
          <w:rPr>
            <w:noProof/>
            <w:webHidden/>
          </w:rPr>
          <w:t>4</w:t>
        </w:r>
        <w:r w:rsidR="00FE75B0" w:rsidRPr="00340CB0">
          <w:rPr>
            <w:noProof/>
            <w:webHidden/>
          </w:rPr>
          <w:fldChar w:fldCharType="end"/>
        </w:r>
      </w:hyperlink>
    </w:p>
    <w:p w14:paraId="6D8E5403" w14:textId="2642EA7C" w:rsidR="00FE75B0" w:rsidRPr="00235CB7" w:rsidRDefault="004C39E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4"/>
          <w:szCs w:val="24"/>
        </w:rPr>
      </w:pPr>
      <w:hyperlink w:anchor="_Toc212710965" w:history="1">
        <w:r w:rsidRPr="00235CB7">
          <w:rPr>
            <w:rStyle w:val="Hyperlink"/>
            <w:noProof/>
          </w:rPr>
          <w:t>Регулирование вопросов, связанных с роялти за использование фонограмм и аудиовизуальных произведений в цифровой среде: пример Индонезии</w:t>
        </w:r>
        <w:r w:rsidR="00FE75B0" w:rsidRPr="00235CB7">
          <w:rPr>
            <w:rStyle w:val="Hyperlink"/>
            <w:noProof/>
            <w:webHidden/>
          </w:rPr>
          <w:tab/>
        </w:r>
        <w:r w:rsidR="00FE75B0" w:rsidRPr="00235CB7">
          <w:rPr>
            <w:rStyle w:val="Hyperlink"/>
            <w:noProof/>
            <w:webHidden/>
          </w:rPr>
          <w:fldChar w:fldCharType="begin"/>
        </w:r>
        <w:r w:rsidR="00FE75B0" w:rsidRPr="00235CB7">
          <w:rPr>
            <w:rStyle w:val="Hyperlink"/>
            <w:noProof/>
            <w:webHidden/>
          </w:rPr>
          <w:instrText xml:space="preserve"> PAGEREF _Toc212710965 \h </w:instrText>
        </w:r>
        <w:r w:rsidR="00FE75B0" w:rsidRPr="00235CB7">
          <w:rPr>
            <w:rStyle w:val="Hyperlink"/>
            <w:noProof/>
            <w:webHidden/>
          </w:rPr>
        </w:r>
        <w:r w:rsidR="00FE75B0" w:rsidRPr="00235CB7">
          <w:rPr>
            <w:rStyle w:val="Hyperlink"/>
            <w:noProof/>
            <w:webHidden/>
          </w:rPr>
          <w:fldChar w:fldCharType="separate"/>
        </w:r>
        <w:r w:rsidR="00E64DA9">
          <w:rPr>
            <w:rStyle w:val="Hyperlink"/>
            <w:noProof/>
            <w:webHidden/>
          </w:rPr>
          <w:t>5</w:t>
        </w:r>
        <w:r w:rsidR="00FE75B0" w:rsidRPr="00235CB7">
          <w:rPr>
            <w:rStyle w:val="Hyperlink"/>
            <w:noProof/>
            <w:webHidden/>
          </w:rPr>
          <w:fldChar w:fldCharType="end"/>
        </w:r>
      </w:hyperlink>
    </w:p>
    <w:p w14:paraId="0839DE6B" w14:textId="26846E49" w:rsidR="00FE75B0" w:rsidRPr="00235CB7" w:rsidRDefault="00235CB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4"/>
          <w:szCs w:val="24"/>
        </w:rPr>
      </w:pPr>
      <w:hyperlink w:anchor="_Toc212710966" w:history="1">
        <w:r w:rsidRPr="00235CB7">
          <w:rPr>
            <w:rStyle w:val="Hyperlink"/>
            <w:noProof/>
          </w:rPr>
          <w:t>Краткое изложение проблемы: комплекс вопросов, поднимаемых в предложении Индонезии</w:t>
        </w:r>
        <w:r w:rsidR="00FE75B0" w:rsidRPr="00235CB7">
          <w:rPr>
            <w:rStyle w:val="Hyperlink"/>
            <w:noProof/>
            <w:webHidden/>
          </w:rPr>
          <w:tab/>
        </w:r>
        <w:r w:rsidR="00FE75B0" w:rsidRPr="00235CB7">
          <w:rPr>
            <w:rStyle w:val="Hyperlink"/>
            <w:noProof/>
            <w:webHidden/>
          </w:rPr>
          <w:fldChar w:fldCharType="begin"/>
        </w:r>
        <w:r w:rsidR="00FE75B0" w:rsidRPr="00235CB7">
          <w:rPr>
            <w:rStyle w:val="Hyperlink"/>
            <w:noProof/>
            <w:webHidden/>
          </w:rPr>
          <w:instrText xml:space="preserve"> PAGEREF _Toc212710966 \h </w:instrText>
        </w:r>
        <w:r w:rsidR="00FE75B0" w:rsidRPr="00235CB7">
          <w:rPr>
            <w:rStyle w:val="Hyperlink"/>
            <w:noProof/>
            <w:webHidden/>
          </w:rPr>
        </w:r>
        <w:r w:rsidR="00FE75B0" w:rsidRPr="00235CB7">
          <w:rPr>
            <w:rStyle w:val="Hyperlink"/>
            <w:noProof/>
            <w:webHidden/>
          </w:rPr>
          <w:fldChar w:fldCharType="separate"/>
        </w:r>
        <w:r w:rsidR="00E64DA9">
          <w:rPr>
            <w:rStyle w:val="Hyperlink"/>
            <w:noProof/>
            <w:webHidden/>
          </w:rPr>
          <w:t>9</w:t>
        </w:r>
        <w:r w:rsidR="00FE75B0" w:rsidRPr="00235CB7">
          <w:rPr>
            <w:rStyle w:val="Hyperlink"/>
            <w:noProof/>
            <w:webHidden/>
          </w:rPr>
          <w:fldChar w:fldCharType="end"/>
        </w:r>
      </w:hyperlink>
    </w:p>
    <w:p w14:paraId="2F1674EE" w14:textId="0E86EB22" w:rsidR="00FE75B0" w:rsidRPr="00340CB0" w:rsidRDefault="00A928B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4"/>
          <w:szCs w:val="24"/>
        </w:rPr>
      </w:pPr>
      <w:hyperlink w:anchor="_Toc212710967" w:history="1">
        <w:r w:rsidRPr="00A928B8">
          <w:rPr>
            <w:rStyle w:val="Hyperlink"/>
            <w:noProof/>
          </w:rPr>
          <w:t>Заключение: на пути к справедливому глобальному миру</w:t>
        </w:r>
        <w:r w:rsidR="00FE75B0" w:rsidRPr="00A928B8">
          <w:rPr>
            <w:rStyle w:val="Hyperlink"/>
            <w:noProof/>
            <w:webHidden/>
          </w:rPr>
          <w:tab/>
        </w:r>
        <w:r w:rsidR="00FE75B0" w:rsidRPr="00A928B8">
          <w:rPr>
            <w:rStyle w:val="Hyperlink"/>
            <w:noProof/>
            <w:webHidden/>
          </w:rPr>
          <w:fldChar w:fldCharType="begin"/>
        </w:r>
        <w:r w:rsidR="00FE75B0" w:rsidRPr="00A928B8">
          <w:rPr>
            <w:rStyle w:val="Hyperlink"/>
            <w:noProof/>
            <w:webHidden/>
          </w:rPr>
          <w:instrText xml:space="preserve"> PAGEREF _Toc212710967 \h </w:instrText>
        </w:r>
        <w:r w:rsidR="00FE75B0" w:rsidRPr="00A928B8">
          <w:rPr>
            <w:rStyle w:val="Hyperlink"/>
            <w:noProof/>
            <w:webHidden/>
          </w:rPr>
        </w:r>
        <w:r w:rsidR="00FE75B0" w:rsidRPr="00A928B8">
          <w:rPr>
            <w:rStyle w:val="Hyperlink"/>
            <w:noProof/>
            <w:webHidden/>
          </w:rPr>
          <w:fldChar w:fldCharType="separate"/>
        </w:r>
        <w:r w:rsidR="00E64DA9">
          <w:rPr>
            <w:rStyle w:val="Hyperlink"/>
            <w:noProof/>
            <w:webHidden/>
          </w:rPr>
          <w:t>14</w:t>
        </w:r>
        <w:r w:rsidR="00FE75B0" w:rsidRPr="00A928B8">
          <w:rPr>
            <w:rStyle w:val="Hyperlink"/>
            <w:noProof/>
            <w:webHidden/>
          </w:rPr>
          <w:fldChar w:fldCharType="end"/>
        </w:r>
      </w:hyperlink>
    </w:p>
    <w:p w14:paraId="291620F8" w14:textId="0B90A1EF" w:rsidR="000C43F7" w:rsidRPr="00340CB0" w:rsidRDefault="00942684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fldChar w:fldCharType="end"/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br w:type="page"/>
      </w:r>
    </w:p>
    <w:p w14:paraId="50FB9E16" w14:textId="0599229B" w:rsidR="000C43F7" w:rsidRPr="00340CB0" w:rsidRDefault="008D1AA8" w:rsidP="000C43F7">
      <w:pPr>
        <w:spacing w:before="180" w:after="240"/>
        <w:jc w:val="both"/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lastRenderedPageBreak/>
        <w:t>Рабочий документ</w:t>
      </w:r>
    </w:p>
    <w:p w14:paraId="5FECA395" w14:textId="30A79F2C" w:rsidR="000C43F7" w:rsidRPr="00340CB0" w:rsidRDefault="00FA3870" w:rsidP="000C43F7">
      <w:pPr>
        <w:spacing w:before="180" w:after="24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FA3870">
        <w:rPr>
          <w:rFonts w:eastAsia="Aptos" w:cs="Noto Sans Display"/>
          <w:kern w:val="2"/>
          <w:szCs w:val="22"/>
          <w:lang w:eastAsia="en-US"/>
          <w14:ligatures w14:val="standardContextual"/>
        </w:rPr>
        <w:t>Предложение Индонезии о разработке юридически обязательного документа о регулировании вопросов, связанных с роялти в авторском праве, в цифровой среде</w:t>
      </w:r>
    </w:p>
    <w:p w14:paraId="144C730F" w14:textId="543CE586" w:rsidR="000C43F7" w:rsidRPr="00340CB0" w:rsidRDefault="002303A7" w:rsidP="000C43F7">
      <w:pPr>
        <w:spacing w:before="180" w:after="240"/>
        <w:jc w:val="both"/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На пути к равным возможностям в глобально</w:t>
      </w:r>
      <w:r w:rsidR="00FA387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м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 xml:space="preserve"> мир</w:t>
      </w:r>
      <w:r w:rsidR="00FA387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е</w:t>
      </w:r>
    </w:p>
    <w:p w14:paraId="53E6B774" w14:textId="7EE09E6C" w:rsidR="000C43F7" w:rsidRPr="00340CB0" w:rsidRDefault="008D1AA8" w:rsidP="00942684">
      <w:pPr>
        <w:pStyle w:val="Heading51"/>
        <w:rPr>
          <w:color w:val="1F497D" w:themeColor="text2"/>
        </w:rPr>
      </w:pPr>
      <w:bookmarkStart w:id="7" w:name="_Toc212710963"/>
      <w:r w:rsidRPr="00340CB0">
        <w:rPr>
          <w:color w:val="1F497D" w:themeColor="text2"/>
        </w:rPr>
        <w:t>Резюме</w:t>
      </w:r>
      <w:bookmarkEnd w:id="7"/>
    </w:p>
    <w:p w14:paraId="5518AF09" w14:textId="37E78360" w:rsidR="000C43F7" w:rsidRPr="00340CB0" w:rsidRDefault="00462068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В </w:t>
      </w:r>
      <w:r w:rsidR="00C63B44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глобальной 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отрасли цифровой музыки по-прежнему отмечается существенный разрыв между развитыми и развивающими странами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4175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Если страны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4175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лобального Севера играют ведущую роль в формировании онлайновой экосистемы (</w:t>
      </w:r>
      <w:r w:rsidR="00714DF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крупнейшие платформы, </w:t>
      </w:r>
      <w:r w:rsidR="004D0D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алгоритмы распределения</w:t>
      </w:r>
      <w:r w:rsidR="00714DF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 бизнес-модели</w:t>
      </w:r>
      <w:r w:rsidR="00AA2D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в основе которых лежит оказание услуг</w:t>
      </w:r>
      <w:r w:rsidR="00714DF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по подписке), то многие государства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714DF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лобального Юга </w:t>
      </w:r>
      <w:r w:rsidR="003714A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все еще не могут справиться с базовыми проблемами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3714A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Речь идет о неразвитой правовой инфраструктуре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3714A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ограниченном институциональном потенциале организаций коллективного управления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</w:t>
      </w:r>
      <w:r w:rsidR="003714A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ОКУ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)</w:t>
      </w:r>
      <w:r w:rsidR="003714A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 широко распространенной практике использования музыкальных произведений без надлежащей компенсации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AA2D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результате авторы из развивающихся стран нередко исключены из сферы применения механизмов справедливого распределения </w:t>
      </w:r>
      <w:r w:rsidR="0070789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роялти</w:t>
      </w:r>
      <w:r w:rsidR="00AA2D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несмотря на свой важный и все более </w:t>
      </w:r>
      <w:r w:rsidR="00C63B4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весомый</w:t>
      </w:r>
      <w:r w:rsidR="00AA2D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вклад в формировани</w:t>
      </w:r>
      <w:r w:rsidR="008F65B8"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AA2D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8F65B8">
        <w:rPr>
          <w:rFonts w:eastAsia="Aptos" w:cs="Noto Sans Display"/>
          <w:kern w:val="2"/>
          <w:szCs w:val="22"/>
          <w:lang w:eastAsia="en-US"/>
          <w14:ligatures w14:val="standardContextual"/>
        </w:rPr>
        <w:t>мирового</w:t>
      </w:r>
      <w:r w:rsidR="00AA2D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музыкального ландшафта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2EFFDA91" w14:textId="14030471" w:rsidR="000C43F7" w:rsidRPr="00340CB0" w:rsidRDefault="00AA7B8A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В настоящем рабочем документе </w:t>
      </w:r>
      <w:r w:rsidR="0077625E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сформулированы 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четыре </w:t>
      </w:r>
      <w:r w:rsidR="00600496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ключевы</w:t>
      </w:r>
      <w:r w:rsidR="00DC31A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е</w:t>
      </w:r>
      <w:r w:rsidR="00600496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</w:t>
      </w:r>
      <w:r w:rsidR="00775FA6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проблемы</w:t>
      </w:r>
      <w:r w:rsidR="00C75394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в области регулирования </w:t>
      </w:r>
      <w:r w:rsidR="00C75394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вопросов</w:t>
      </w:r>
      <w:r w:rsidR="00C44B83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, связанн</w:t>
      </w:r>
      <w:r w:rsidR="00C75394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ых</w:t>
      </w:r>
      <w:r w:rsidR="00C44B83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с </w:t>
      </w:r>
      <w:r w:rsidR="00707890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роялти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за использование музыкальных и аудиовизуальных произведений на цифровых платформах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: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(1)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 </w:t>
      </w:r>
      <w:r w:rsidR="00D930B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принципы </w:t>
      </w:r>
      <w:r w:rsidR="00A644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сбора и выплаты </w:t>
      </w:r>
      <w:r w:rsidR="0070789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роялти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(2)</w:t>
      </w:r>
      <w:r w:rsidR="00A644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 механизмы распределения </w:t>
      </w:r>
      <w:r w:rsidR="0070789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роялти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(3)</w:t>
      </w:r>
      <w:r w:rsidR="0043068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 централизация глобальной базы</w:t>
      </w:r>
      <w:r w:rsidR="00DB4C9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данных по</w:t>
      </w:r>
      <w:r w:rsidR="005C102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авторск</w:t>
      </w:r>
      <w:r w:rsidR="00DB4C9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ому </w:t>
      </w:r>
      <w:r w:rsidR="005C102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прав</w:t>
      </w:r>
      <w:r w:rsidR="00DB4C95">
        <w:rPr>
          <w:rFonts w:eastAsia="Aptos" w:cs="Noto Sans Display"/>
          <w:kern w:val="2"/>
          <w:szCs w:val="22"/>
          <w:lang w:eastAsia="en-US"/>
          <w14:ligatures w14:val="standardContextual"/>
        </w:rPr>
        <w:t>у</w:t>
      </w:r>
      <w:r w:rsidR="0043068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(4)</w:t>
      </w:r>
      <w:r w:rsidR="0043068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 различия </w:t>
      </w:r>
      <w:r w:rsidR="0043068F" w:rsidRPr="006004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</w:t>
      </w:r>
      <w:r w:rsidR="00F56DCB" w:rsidRPr="00600496">
        <w:rPr>
          <w:rFonts w:eastAsia="Aptos" w:cs="Noto Sans Display"/>
          <w:kern w:val="2"/>
          <w:szCs w:val="22"/>
          <w:lang w:eastAsia="en-US"/>
          <w14:ligatures w14:val="standardContextual"/>
        </w:rPr>
        <w:t>ра</w:t>
      </w:r>
      <w:r w:rsidR="00600496" w:rsidRPr="00600496">
        <w:rPr>
          <w:rFonts w:eastAsia="Aptos" w:cs="Noto Sans Display"/>
          <w:kern w:val="2"/>
          <w:szCs w:val="22"/>
          <w:lang w:eastAsia="en-US"/>
          <w14:ligatures w14:val="standardContextual"/>
        </w:rPr>
        <w:t>счете</w:t>
      </w:r>
      <w:r w:rsidR="0043068F" w:rsidRPr="006004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707890" w:rsidRPr="00600496">
        <w:rPr>
          <w:rFonts w:eastAsia="Aptos" w:cs="Noto Sans Display"/>
          <w:kern w:val="2"/>
          <w:szCs w:val="22"/>
          <w:lang w:eastAsia="en-US"/>
          <w14:ligatures w14:val="standardContextual"/>
        </w:rPr>
        <w:t>роялти</w:t>
      </w:r>
      <w:r w:rsidR="00A839BB" w:rsidRPr="00A839B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A839BB">
        <w:rPr>
          <w:rFonts w:eastAsia="Aptos" w:cs="Noto Sans Display"/>
          <w:kern w:val="2"/>
          <w:szCs w:val="22"/>
          <w:lang w:eastAsia="en-US"/>
          <w14:ligatures w14:val="standardContextual"/>
        </w:rPr>
        <w:t>в авторском праве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600496">
        <w:rPr>
          <w:rFonts w:eastAsia="Aptos" w:cs="Noto Sans Display"/>
          <w:kern w:val="2"/>
          <w:szCs w:val="22"/>
          <w:lang w:eastAsia="en-US"/>
          <w14:ligatures w14:val="standardContextual"/>
        </w:rPr>
        <w:t>В</w:t>
      </w:r>
      <w:r w:rsidR="00952C4A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этом контексте </w:t>
      </w:r>
      <w:r w:rsidR="00140AF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авторы </w:t>
      </w:r>
      <w:r w:rsidR="00140AF3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настоящего документа предлагают разработать предложение, которое было бы оформлено как юридически обязательный документ о регулировании </w:t>
      </w:r>
      <w:r w:rsidR="00600496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вопросов, связанных с </w:t>
      </w:r>
      <w:r w:rsidR="00707890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роялти</w:t>
      </w:r>
      <w:r w:rsidR="00140AF3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в</w:t>
      </w:r>
      <w:r w:rsidR="00600496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авторском праве, в</w:t>
      </w:r>
      <w:r w:rsidR="00140AF3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цифровой среде</w:t>
      </w:r>
      <w:r w:rsidR="001A7C0F" w:rsidRPr="001A7C0F">
        <w:rPr>
          <w:rFonts w:eastAsia="Aptos" w:cs="Noto Sans Display"/>
          <w:kern w:val="2"/>
          <w:szCs w:val="22"/>
          <w:lang w:eastAsia="en-US"/>
          <w14:ligatures w14:val="standardContextual"/>
        </w:rPr>
        <w:t>;</w:t>
      </w:r>
      <w:r w:rsidR="00211B3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1A7C0F">
        <w:rPr>
          <w:rFonts w:eastAsia="Aptos" w:cs="Noto Sans Display"/>
          <w:kern w:val="2"/>
          <w:szCs w:val="22"/>
          <w:lang w:eastAsia="en-US"/>
          <w14:ligatures w14:val="standardContextual"/>
        </w:rPr>
        <w:t>эт</w:t>
      </w:r>
      <w:r w:rsidR="00D109DC">
        <w:rPr>
          <w:rFonts w:eastAsia="Aptos" w:cs="Noto Sans Display"/>
          <w:kern w:val="2"/>
          <w:szCs w:val="22"/>
          <w:lang w:eastAsia="en-US"/>
          <w14:ligatures w14:val="standardContextual"/>
        </w:rPr>
        <w:t>а</w:t>
      </w:r>
      <w:r w:rsidR="001A7C0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211B3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стратегическ</w:t>
      </w:r>
      <w:r w:rsidR="00D109DC">
        <w:rPr>
          <w:rFonts w:eastAsia="Aptos" w:cs="Noto Sans Display"/>
          <w:kern w:val="2"/>
          <w:szCs w:val="22"/>
          <w:lang w:eastAsia="en-US"/>
          <w14:ligatures w14:val="standardContextual"/>
        </w:rPr>
        <w:t>ая</w:t>
      </w:r>
      <w:r w:rsidR="00211B3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инициатив</w:t>
      </w:r>
      <w:r w:rsidR="00D109DC">
        <w:rPr>
          <w:rFonts w:eastAsia="Aptos" w:cs="Noto Sans Display"/>
          <w:kern w:val="2"/>
          <w:szCs w:val="22"/>
          <w:lang w:eastAsia="en-US"/>
          <w14:ligatures w14:val="standardContextual"/>
        </w:rPr>
        <w:t>а</w:t>
      </w:r>
      <w:r w:rsidR="00211B3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Индонезии</w:t>
      </w:r>
      <w:r w:rsidR="00D109DC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призвана внести к</w:t>
      </w:r>
      <w:r w:rsidR="00211B3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онструктивн</w:t>
      </w:r>
      <w:r w:rsidR="00D109DC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ый вклад в достижение </w:t>
      </w:r>
      <w:r w:rsidR="00C63B4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баланса</w:t>
      </w:r>
      <w:r w:rsidR="00211B3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сил в глобальной системе интеллектуальной собственности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3F796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Это предложение нацелено не только на укрепление интересов</w:t>
      </w:r>
      <w:r w:rsidR="007D018C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стран</w:t>
      </w:r>
      <w:r w:rsidR="003F796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</w:t>
      </w:r>
      <w:r w:rsidR="00C63B4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области</w:t>
      </w:r>
      <w:r w:rsidR="003F796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охраны прав</w:t>
      </w:r>
      <w:r w:rsidR="007D018C" w:rsidRPr="007D018C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7D018C">
        <w:rPr>
          <w:rFonts w:eastAsia="Aptos" w:cs="Noto Sans Display"/>
          <w:kern w:val="2"/>
          <w:szCs w:val="22"/>
          <w:lang w:eastAsia="en-US"/>
          <w14:ligatures w14:val="standardContextual"/>
        </w:rPr>
        <w:t>своих</w:t>
      </w:r>
      <w:r w:rsidR="003F796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авторов, но и претендует на роль катализатора </w:t>
      </w:r>
      <w:r w:rsidR="0063319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более масштабного </w:t>
      </w:r>
      <w:r w:rsidR="003F796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международного сотрудничества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C63B4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При этом</w:t>
      </w:r>
      <w:r w:rsidR="00FB27C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его главной целью является создание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FB27CC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справедливой, транспарентной, и</w:t>
      </w:r>
      <w:r w:rsidR="00C63B44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н</w:t>
      </w:r>
      <w:r w:rsidR="00FB27CC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клюзивной и устойчивой</w:t>
      </w:r>
      <w:r w:rsidR="00FB27CC" w:rsidRPr="00846C1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846C1F" w:rsidRPr="00846C1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основы </w:t>
      </w:r>
      <w:r w:rsidR="00FB27C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для регулирования </w:t>
      </w:r>
      <w:r w:rsidR="009A7E2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вопросов, связанных с </w:t>
      </w:r>
      <w:r w:rsidR="0070789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роялти</w:t>
      </w:r>
      <w:r w:rsidR="00FB27C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за использование фонограмм и аудиовизуальных произведений, особенно на цифровых платформах, путем поощрения многостороннего диалога и коллективной ответственности государств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2870AE8A" w14:textId="72856251" w:rsidR="000C43F7" w:rsidRPr="00340CB0" w:rsidRDefault="00871896" w:rsidP="00942684">
      <w:pPr>
        <w:pStyle w:val="Heading51"/>
        <w:rPr>
          <w:color w:val="1F497D" w:themeColor="text2"/>
        </w:rPr>
      </w:pPr>
      <w:bookmarkStart w:id="8" w:name="_Toc212710964"/>
      <w:r w:rsidRPr="00340CB0">
        <w:rPr>
          <w:color w:val="1F497D" w:themeColor="text2"/>
        </w:rPr>
        <w:t>История вопроса</w:t>
      </w:r>
      <w:bookmarkEnd w:id="8"/>
    </w:p>
    <w:p w14:paraId="05E4B103" w14:textId="08585C8E" w:rsidR="000C43F7" w:rsidRPr="00340CB0" w:rsidRDefault="00FE363E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По мере р</w:t>
      </w:r>
      <w:r w:rsidR="000535B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азвити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я</w:t>
      </w:r>
      <w:r w:rsidR="000535B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мировой отрасли цифровой музыки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2"/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острее проявляется следующий парадокс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 одной стороны, с</w:t>
      </w:r>
      <w:r w:rsidR="004D0D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траны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4D0D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лобального Севера</w:t>
      </w:r>
      <w:r w:rsidR="003E097C">
        <w:rPr>
          <w:rFonts w:eastAsia="Aptos" w:cs="Noto Sans Display"/>
          <w:kern w:val="2"/>
          <w:szCs w:val="22"/>
          <w:lang w:eastAsia="en-US"/>
          <w14:ligatures w14:val="standardContextual"/>
        </w:rPr>
        <w:t>, которые</w:t>
      </w:r>
      <w:r w:rsidR="004D0D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созда</w:t>
      </w:r>
      <w:r w:rsidR="0020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ли</w:t>
      </w:r>
      <w:r w:rsidR="004D0D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налаженную онлайновую экосистему лицензирования</w:t>
      </w:r>
      <w:r w:rsidR="003E097C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благодаря</w:t>
      </w:r>
      <w:r w:rsidR="004D0D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рационально</w:t>
      </w:r>
      <w:r w:rsidR="003E097C">
        <w:rPr>
          <w:rFonts w:eastAsia="Aptos" w:cs="Noto Sans Display"/>
          <w:kern w:val="2"/>
          <w:szCs w:val="22"/>
          <w:lang w:eastAsia="en-US"/>
          <w14:ligatures w14:val="standardContextual"/>
        </w:rPr>
        <w:t>му</w:t>
      </w:r>
      <w:r w:rsidR="004D0D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управлени</w:t>
      </w:r>
      <w:r w:rsidR="003E097C">
        <w:rPr>
          <w:rFonts w:eastAsia="Aptos" w:cs="Noto Sans Display"/>
          <w:kern w:val="2"/>
          <w:szCs w:val="22"/>
          <w:lang w:eastAsia="en-US"/>
          <w14:ligatures w14:val="standardContextual"/>
        </w:rPr>
        <w:t>ю</w:t>
      </w:r>
      <w:r w:rsidR="004D0D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рыночными процессами с помощью бизнес-моделей, в основе которых лежит оказание услуг по подписке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3"/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="004D0D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алгоритмов распределения и господства крупнейших цифровых платформ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4"/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2E0B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По другую сторону находятся страны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2E0B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лобального Юга, которые продолжают бороться с базовыми проблемами, среди которых ограниченность доступа к официальным механизмам лицензирования, </w:t>
      </w:r>
      <w:r w:rsidR="0020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слабая</w:t>
      </w:r>
      <w:r w:rsidR="002E0B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система управления в организациях коллективного управления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</w:t>
      </w:r>
      <w:r w:rsidR="002E0B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ОКУ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)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5"/>
      </w:r>
      <w:r w:rsidR="002E0B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 ставшая нормой</w:t>
      </w:r>
      <w:r w:rsidR="0020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повсеместная</w:t>
      </w:r>
      <w:r w:rsidR="002E0B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практика коллективного использования музыкальных произведений без надлежащей компенсации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287B1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Этот </w:t>
      </w:r>
      <w:r w:rsidR="0020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дисбаланс</w:t>
      </w:r>
      <w:r w:rsidR="00287B1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указывает на серьезную проблему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:</w:t>
      </w:r>
      <w:r w:rsidR="00287B1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если </w:t>
      </w:r>
      <w:r w:rsidR="00287B1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 xml:space="preserve">авторы из стран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287B1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лобального Севера все больше выигрывают от наличия структурированных механизмов распределения </w:t>
      </w:r>
      <w:r w:rsidR="0070789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роялти</w:t>
      </w:r>
      <w:r w:rsidR="00287B1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как оценки их творческого труда, то </w:t>
      </w:r>
      <w:r w:rsidR="008745A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ряд </w:t>
      </w:r>
      <w:r w:rsidR="00287B1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их коллег из других частей света лишены </w:t>
      </w:r>
      <w:r w:rsidR="00D43EE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возможности пользоваться </w:t>
      </w:r>
      <w:r w:rsidR="00287B1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экономической ценност</w:t>
      </w:r>
      <w:r w:rsidR="00D43EE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ью, которую создают их произведения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6"/>
      </w:r>
      <w:r w:rsidR="00D43EE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65067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На </w:t>
      </w:r>
      <w:r w:rsidR="00E9045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более </w:t>
      </w:r>
      <w:r w:rsidR="0065067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глуб</w:t>
      </w:r>
      <w:r w:rsidR="00E9045F">
        <w:rPr>
          <w:rFonts w:eastAsia="Aptos" w:cs="Noto Sans Display"/>
          <w:kern w:val="2"/>
          <w:szCs w:val="22"/>
          <w:lang w:eastAsia="en-US"/>
          <w14:ligatures w14:val="standardContextual"/>
        </w:rPr>
        <w:t>оком</w:t>
      </w:r>
      <w:r w:rsidR="0065067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уровне эта диспропорция свидетельствует о еще большем экономическом неравенстве развитых и развивающихся рынков, подчеркивая необходимость создани</w:t>
      </w:r>
      <w:r w:rsidR="0020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я</w:t>
      </w:r>
      <w:r w:rsidR="0065067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более инклюзивных и справедливых </w:t>
      </w:r>
      <w:r w:rsidR="00AE3B7F">
        <w:rPr>
          <w:rFonts w:eastAsia="Aptos" w:cs="Noto Sans Display"/>
          <w:kern w:val="2"/>
          <w:szCs w:val="22"/>
          <w:lang w:eastAsia="en-US"/>
          <w14:ligatures w14:val="standardContextual"/>
        </w:rPr>
        <w:t>правил глобально</w:t>
      </w:r>
      <w:r w:rsidR="00525B0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го управления правами </w:t>
      </w:r>
      <w:r w:rsidR="00AE3B7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сегменте </w:t>
      </w:r>
      <w:r w:rsidR="0065067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цифров</w:t>
      </w:r>
      <w:r w:rsidR="00AE3B7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ой </w:t>
      </w:r>
      <w:r w:rsidR="0065067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музык</w:t>
      </w:r>
      <w:r w:rsidR="00AE3B7F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31678181" w14:textId="3DCA57CA" w:rsidR="000C43F7" w:rsidRPr="00340CB0" w:rsidRDefault="007212B7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Несмотря на важность этой проблемы, она </w:t>
      </w:r>
      <w:r w:rsidR="00141C9C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все еще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не получила </w:t>
      </w:r>
      <w:r w:rsidR="00C00EB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должного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внимания </w:t>
      </w:r>
      <w:r w:rsidR="00141C9C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рамках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ведущих м</w:t>
      </w:r>
      <w:r w:rsidR="00141C9C">
        <w:rPr>
          <w:rFonts w:eastAsia="Aptos" w:cs="Noto Sans Display"/>
          <w:kern w:val="2"/>
          <w:szCs w:val="22"/>
          <w:lang w:eastAsia="en-US"/>
          <w14:ligatures w14:val="standardContextual"/>
        </w:rPr>
        <w:t>ировых форумов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C00EB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Колумбия в числе немногих стран целенаправленно</w:t>
      </w:r>
      <w:r w:rsidR="0052486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добивается того, чтобы вопрос различи</w:t>
      </w:r>
      <w:r w:rsidR="00141C9C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й </w:t>
      </w:r>
      <w:r w:rsidR="00986677">
        <w:rPr>
          <w:rFonts w:eastAsia="Aptos" w:cs="Noto Sans Display"/>
          <w:kern w:val="2"/>
          <w:szCs w:val="22"/>
          <w:lang w:eastAsia="en-US"/>
          <w14:ligatures w14:val="standardContextual"/>
        </w:rPr>
        <w:t>в</w:t>
      </w:r>
      <w:r w:rsidR="0070789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роялти</w:t>
      </w:r>
      <w:r w:rsidR="0052486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был поднят на площадке Всемирной торговой организации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</w:t>
      </w:r>
      <w:r w:rsidR="0052486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ВТО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). </w:t>
      </w:r>
      <w:r w:rsidR="00985ED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</w:t>
      </w:r>
      <w:r w:rsidR="00014C6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справочном документе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(IP/C/W/721)</w:t>
      </w:r>
      <w:r w:rsidR="00014C6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от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16</w:t>
      </w:r>
      <w:r w:rsidR="00014C6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июня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2025</w:t>
      </w:r>
      <w:r w:rsidR="00014C6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года Колумбия обращает внимание на тревожную тенденцию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: </w:t>
      </w:r>
      <w:r w:rsidR="00104A9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абсолютное большинство потоков </w:t>
      </w:r>
      <w:r w:rsidR="0070789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роялти</w:t>
      </w:r>
      <w:r w:rsidR="00104A9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циркулируют</w:t>
      </w:r>
      <w:r w:rsidR="0056550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преимущественно</w:t>
      </w:r>
      <w:r w:rsidR="00104A9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развитых странах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2D659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Что касается </w:t>
      </w:r>
      <w:r w:rsidR="000662D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развивающи</w:t>
      </w:r>
      <w:r w:rsidR="002D6594">
        <w:rPr>
          <w:rFonts w:eastAsia="Aptos" w:cs="Noto Sans Display"/>
          <w:kern w:val="2"/>
          <w:szCs w:val="22"/>
          <w:lang w:eastAsia="en-US"/>
          <w14:ligatures w14:val="standardContextual"/>
        </w:rPr>
        <w:t>х</w:t>
      </w:r>
      <w:r w:rsidR="000662D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ся стран</w:t>
      </w:r>
      <w:r w:rsidR="002D6594">
        <w:rPr>
          <w:rFonts w:eastAsia="Aptos" w:cs="Noto Sans Display"/>
          <w:kern w:val="2"/>
          <w:szCs w:val="22"/>
          <w:lang w:eastAsia="en-US"/>
          <w14:ligatures w14:val="standardContextual"/>
        </w:rPr>
        <w:t>, то они</w:t>
      </w:r>
      <w:r w:rsidR="000662D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</w:t>
      </w:r>
      <w:r w:rsidR="0056550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662D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</w:t>
      </w:r>
      <w:r w:rsidR="0056550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овокупности</w:t>
      </w:r>
      <w:r w:rsidR="000662D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получили всего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16</w:t>
      </w:r>
      <w:r w:rsidR="000662DD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6</w:t>
      </w:r>
      <w:r w:rsidR="00C25299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 </w:t>
      </w:r>
      <w:r w:rsidR="000662DD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млрд долл. США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662D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доходов от роялти, хотя выплатили развитым </w:t>
      </w:r>
      <w:r w:rsidR="002D6594">
        <w:rPr>
          <w:rFonts w:eastAsia="Aptos" w:cs="Noto Sans Display"/>
          <w:kern w:val="2"/>
          <w:szCs w:val="22"/>
          <w:lang w:eastAsia="en-US"/>
          <w14:ligatures w14:val="standardContextual"/>
        </w:rPr>
        <w:t>государствам</w:t>
      </w:r>
      <w:r w:rsidR="000662D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порядка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97</w:t>
      </w:r>
      <w:r w:rsidR="000662DD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9 </w:t>
      </w:r>
      <w:r w:rsidR="000662DD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млрд долл.</w:t>
      </w:r>
      <w:r w:rsidR="000662D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что говорит о </w:t>
      </w:r>
      <w:r w:rsidR="000662DD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дефиците торгового баланса в сегменте </w:t>
      </w:r>
      <w:r w:rsidR="00707890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роялти в размере почти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589%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C2529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для стран с низким и средним уровнем дохода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7"/>
      </w:r>
      <w:r w:rsidR="00C2529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1B1C2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то же время </w:t>
      </w:r>
      <w:r w:rsidR="00BA105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важно отметить, что эти цифры отражают </w:t>
      </w:r>
      <w:r w:rsidR="007830C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все </w:t>
      </w:r>
      <w:r w:rsidR="00BA105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потоки роялти, не выделяя роялти за </w:t>
      </w:r>
      <w:r w:rsidR="007868DE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использование авторских прав на </w:t>
      </w:r>
      <w:r w:rsidR="00BA105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музыкальные произведения, но даже несмотря на это данные указывают на структурный дисбаланс в мировой системе интеллектуальной собственности</w:t>
      </w:r>
      <w:r w:rsidR="007830C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(ИС)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0B79C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Аналогичным образом глобальные данные за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2023</w:t>
      </w:r>
      <w:r w:rsidR="000B79C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год говорят о том, что размер собранных роялти за </w:t>
      </w:r>
      <w:r w:rsidR="009956B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использование </w:t>
      </w:r>
      <w:r w:rsidR="000B79C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фонограмм и аудиовизуальны</w:t>
      </w:r>
      <w:r w:rsidR="009956BF">
        <w:rPr>
          <w:rFonts w:eastAsia="Aptos" w:cs="Noto Sans Display"/>
          <w:kern w:val="2"/>
          <w:szCs w:val="22"/>
          <w:lang w:eastAsia="en-US"/>
          <w14:ligatures w14:val="standardContextual"/>
        </w:rPr>
        <w:t>х</w:t>
      </w:r>
      <w:r w:rsidR="000B79C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произведени</w:t>
      </w:r>
      <w:r w:rsidR="009956BF">
        <w:rPr>
          <w:rFonts w:eastAsia="Aptos" w:cs="Noto Sans Display"/>
          <w:kern w:val="2"/>
          <w:szCs w:val="22"/>
          <w:lang w:eastAsia="en-US"/>
          <w14:ligatures w14:val="standardContextual"/>
        </w:rPr>
        <w:t>й</w:t>
      </w:r>
      <w:r w:rsidR="000B79C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составил порядка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12</w:t>
      </w:r>
      <w:r w:rsidR="000B79C3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47 </w:t>
      </w:r>
      <w:r w:rsidR="000B79C3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млрд долл. США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8"/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ED361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Однако сумма несобранных роялти в этих </w:t>
      </w:r>
      <w:r w:rsidR="002D659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же </w:t>
      </w:r>
      <w:r w:rsidR="00ED361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категориях, по оценкам, составля</w:t>
      </w:r>
      <w:r w:rsidR="002D6594">
        <w:rPr>
          <w:rFonts w:eastAsia="Aptos" w:cs="Noto Sans Display"/>
          <w:kern w:val="2"/>
          <w:szCs w:val="22"/>
          <w:lang w:eastAsia="en-US"/>
          <w14:ligatures w14:val="standardContextual"/>
        </w:rPr>
        <w:t>ет</w:t>
      </w:r>
      <w:r w:rsidR="00ED361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от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51 </w:t>
      </w:r>
      <w:r w:rsidR="00ED361E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до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85</w:t>
      </w:r>
      <w:r w:rsidR="00ED361E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млрд долл. США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="00ED361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что свидетельствует о колоссальных потерях как для авторов, так и для экономики соответствующих стран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9"/>
      </w:r>
      <w:r w:rsidR="00ED361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C3092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среднем глобальные потери от роялти оценивались </w:t>
      </w:r>
      <w:r w:rsidR="001B1C2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диапазоне от</w:t>
      </w:r>
      <w:r w:rsidR="00C3092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38</w:t>
      </w:r>
      <w:r w:rsidR="00C3092A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53</w:t>
      </w:r>
      <w:r w:rsidR="001B1C2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до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72</w:t>
      </w:r>
      <w:r w:rsidR="00C3092A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53 </w:t>
      </w:r>
      <w:r w:rsidR="00C3092A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млрд долл. США</w:t>
      </w:r>
      <w:r w:rsidR="00C3092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т. е. примерно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55</w:t>
      </w:r>
      <w:r w:rsidR="00C3092A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53</w:t>
      </w:r>
      <w:r w:rsidR="00C3092A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млрд долл. США</w:t>
      </w:r>
      <w:r w:rsidR="00C3092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что соответствует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83</w:t>
      </w:r>
      <w:r w:rsidR="00911BC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29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2D6594">
        <w:rPr>
          <w:rFonts w:ascii="Noto Sans Display" w:eastAsia="Aptos" w:hAnsi="Noto Sans Display" w:cs="Noto Sans Display"/>
          <w:kern w:val="2"/>
          <w:szCs w:val="22"/>
          <w:lang w:eastAsia="en-US"/>
          <w14:ligatures w14:val="standardContextual"/>
        </w:rPr>
        <w:t>‒</w:t>
      </w:r>
      <w:r w:rsidR="00911BC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111</w:t>
      </w:r>
      <w:r w:rsidR="00911BC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06 </w:t>
      </w:r>
      <w:r w:rsidR="00911BC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млрд долл. США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911BC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упущенного роста мирового ВВП (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0</w:t>
      </w:r>
      <w:r w:rsidR="00911BC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08%</w:t>
      </w:r>
      <w:r w:rsidR="00911BC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</w:t>
      </w:r>
      <w:r w:rsidR="00911BC7" w:rsidRPr="00340CB0">
        <w:rPr>
          <w:rFonts w:ascii="Noto Sans Display" w:eastAsia="Aptos" w:hAnsi="Noto Sans Display" w:cs="Noto Sans Display"/>
          <w:b/>
          <w:bCs/>
          <w:kern w:val="2"/>
          <w:szCs w:val="22"/>
          <w:lang w:eastAsia="en-US"/>
          <w14:ligatures w14:val="standardContextual"/>
        </w:rPr>
        <w:t>‒</w:t>
      </w:r>
      <w:r w:rsidR="00911BC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0</w:t>
      </w:r>
      <w:r w:rsidR="00911BC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10%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911BC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мирового ВВП в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2023</w:t>
      </w:r>
      <w:r w:rsidR="00A61C8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 </w:t>
      </w:r>
      <w:r w:rsidR="00911BC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году)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6ADFFB4A" w14:textId="7C5DDD42" w:rsidR="000C43F7" w:rsidRPr="00340CB0" w:rsidRDefault="00EA56CE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Все это указывает на</w:t>
      </w:r>
      <w:r w:rsidR="00A7083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формирование тенденции, которая требует от глобального сообщества критической переоценки стратегического курса регулирования </w:t>
      </w:r>
      <w:r w:rsidR="00A61C8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ИС</w:t>
      </w:r>
      <w:r w:rsidR="00A7083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B46A37">
        <w:rPr>
          <w:rFonts w:eastAsia="Aptos" w:cs="Noto Sans Display"/>
          <w:kern w:val="2"/>
          <w:szCs w:val="22"/>
          <w:lang w:eastAsia="en-US"/>
          <w14:ligatures w14:val="standardContextual"/>
        </w:rPr>
        <w:t>на фоне</w:t>
      </w:r>
      <w:r w:rsidR="00A7083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стремительного внедрения инноваций и трансформации музыкальной отрасли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7830C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Подготовленный Колумбией документ содержит призыв </w:t>
      </w:r>
      <w:r w:rsidR="007830C2"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восстановить равновесие</w:t>
      </w:r>
      <w:r w:rsidR="007830C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рамках глобального режима </w:t>
      </w:r>
      <w:r w:rsidR="00A61C8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ИС</w:t>
      </w:r>
      <w:r w:rsidR="007830C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подчеркивая</w:t>
      </w:r>
      <w:r w:rsidR="00A61C8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необходимость </w:t>
      </w:r>
      <w:r w:rsidR="00FB4A7B">
        <w:rPr>
          <w:rFonts w:eastAsia="Aptos" w:cs="Noto Sans Display"/>
          <w:kern w:val="2"/>
          <w:szCs w:val="22"/>
          <w:lang w:eastAsia="en-US"/>
          <w14:ligatures w14:val="standardContextual"/>
        </w:rPr>
        <w:t>сохранения</w:t>
      </w:r>
      <w:r w:rsidR="00A61C8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B602E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роли ИС как </w:t>
      </w:r>
      <w:r w:rsidR="00A61C8D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катализатора инклюзивного и устойчивого развития</w:t>
      </w:r>
      <w:r w:rsidR="00A61C8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а не механизма, укореняющего </w:t>
      </w:r>
      <w:r w:rsidR="0016213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экономические диспропорции или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16213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способствующего сохранению гегемонии над развивающим</w:t>
      </w:r>
      <w:r w:rsidR="00B602EB">
        <w:rPr>
          <w:rFonts w:eastAsia="Aptos" w:cs="Noto Sans Display"/>
          <w:kern w:val="2"/>
          <w:szCs w:val="22"/>
          <w:lang w:eastAsia="en-US"/>
          <w14:ligatures w14:val="standardContextual"/>
        </w:rPr>
        <w:t>ся миром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F3678A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На этом фоне растет </w:t>
      </w:r>
      <w:r w:rsidR="0045340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потребность в инициативе, которая бы защищала авторов от </w:t>
      </w:r>
      <w:r w:rsidR="00F3678A">
        <w:rPr>
          <w:rFonts w:eastAsia="Aptos" w:cs="Noto Sans Display"/>
          <w:kern w:val="2"/>
          <w:szCs w:val="22"/>
          <w:lang w:eastAsia="en-US"/>
          <w14:ligatures w14:val="standardContextual"/>
        </w:rPr>
        <w:t>все большей</w:t>
      </w:r>
      <w:r w:rsidR="0045340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концентрации рыночной власти в руках крупных платформ</w:t>
      </w:r>
      <w:r w:rsidR="00B447A2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 обеспечивала </w:t>
      </w:r>
      <w:r w:rsidR="0045340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нормативную базу для поощрения добросовестного использования на основе механизмов справедливого распределения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AD1AE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Подобная инициатива могла бы не только способствовать </w:t>
      </w:r>
      <w:r w:rsidR="00B447A2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экономической </w:t>
      </w:r>
      <w:r w:rsidR="00AD1AE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справедливости</w:t>
      </w:r>
      <w:r w:rsidR="00B447A2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на</w:t>
      </w:r>
      <w:r w:rsidR="00AD1AE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мировом музыкальном рынке, но и содержательно поддерживать и сохранять </w:t>
      </w:r>
      <w:r w:rsidR="00B447A2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различные </w:t>
      </w:r>
      <w:r w:rsidR="00197BC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формы культурного выражения </w:t>
      </w:r>
      <w:r w:rsidR="00AD1AE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цифровую эпоху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2DB84663" w14:textId="7ACAC42A" w:rsidR="000C43F7" w:rsidRPr="00340CB0" w:rsidRDefault="00AD3FA8" w:rsidP="00942684">
      <w:pPr>
        <w:pStyle w:val="Heading51"/>
        <w:rPr>
          <w:color w:val="1F497D" w:themeColor="text2"/>
        </w:rPr>
      </w:pPr>
      <w:bookmarkStart w:id="9" w:name="_Toc212710965"/>
      <w:r w:rsidRPr="00340CB0">
        <w:rPr>
          <w:color w:val="1F497D" w:themeColor="text2"/>
        </w:rPr>
        <w:t xml:space="preserve">Регулирование </w:t>
      </w:r>
      <w:r w:rsidR="00AE3B7F">
        <w:rPr>
          <w:color w:val="1F497D" w:themeColor="text2"/>
        </w:rPr>
        <w:t xml:space="preserve">вопросов, связанных с </w:t>
      </w:r>
      <w:r w:rsidRPr="00340CB0">
        <w:rPr>
          <w:color w:val="1F497D" w:themeColor="text2"/>
        </w:rPr>
        <w:t>роялти за использование фонограмм и аудиовизуальных произведений в цифровой среде</w:t>
      </w:r>
      <w:r w:rsidR="000C43F7" w:rsidRPr="00340CB0">
        <w:rPr>
          <w:color w:val="1F497D" w:themeColor="text2"/>
        </w:rPr>
        <w:t xml:space="preserve">: </w:t>
      </w:r>
      <w:r w:rsidRPr="00340CB0">
        <w:rPr>
          <w:color w:val="1F497D" w:themeColor="text2"/>
        </w:rPr>
        <w:t>пример Индонезии</w:t>
      </w:r>
      <w:bookmarkEnd w:id="9"/>
    </w:p>
    <w:p w14:paraId="11710B3A" w14:textId="03C6CF08" w:rsidR="000C43F7" w:rsidRPr="00340CB0" w:rsidRDefault="00C91CBF" w:rsidP="000C43F7">
      <w:pPr>
        <w:spacing w:before="180" w:after="240"/>
        <w:ind w:firstLine="36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Индонезии н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ормативн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ая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баз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области прав ИС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</w:t>
      </w:r>
      <w:r w:rsidR="00CC64A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ложилась в результате 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ратифи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кации 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международны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х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соглашени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й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 принят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ия на национальном уровне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закон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ов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>регламентирующи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х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каждый из режимов ИС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Нормативной основой для авторского права служат три главны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правовы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04741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документа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:</w:t>
      </w:r>
    </w:p>
    <w:p w14:paraId="38C85995" w14:textId="5A962459" w:rsidR="000C43F7" w:rsidRPr="00340CB0" w:rsidRDefault="005A4D49" w:rsidP="000C43F7">
      <w:pPr>
        <w:numPr>
          <w:ilvl w:val="0"/>
          <w:numId w:val="25"/>
        </w:numPr>
        <w:spacing w:before="180" w:after="240"/>
        <w:contextualSpacing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Закон №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28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«Об авторском праве» 2014 года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(UU 28/2014)</w:t>
      </w:r>
      <w:r w:rsidR="009D61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;</w:t>
      </w:r>
    </w:p>
    <w:p w14:paraId="792174BA" w14:textId="76495362" w:rsidR="000C43F7" w:rsidRPr="00340CB0" w:rsidRDefault="009D61C1" w:rsidP="000C43F7">
      <w:pPr>
        <w:numPr>
          <w:ilvl w:val="0"/>
          <w:numId w:val="25"/>
        </w:numPr>
        <w:spacing w:before="180" w:after="240"/>
        <w:contextualSpacing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Постановление </w:t>
      </w:r>
      <w:r w:rsidR="00A6628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равительства №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56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«</w:t>
      </w:r>
      <w:r w:rsidRPr="004E5B17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 регулировании </w:t>
      </w:r>
      <w:r w:rsidR="004C39E3" w:rsidRPr="004E5B17">
        <w:rPr>
          <w:rFonts w:eastAsia="Aptos" w:cs="Noto Sans Display"/>
          <w:kern w:val="2"/>
          <w:szCs w:val="22"/>
          <w:lang w:eastAsia="en-US"/>
          <w14:ligatures w14:val="standardContextual"/>
        </w:rPr>
        <w:t>во</w:t>
      </w:r>
      <w:r w:rsidRPr="004E5B17">
        <w:rPr>
          <w:rFonts w:eastAsia="Aptos" w:cs="Noto Sans Display"/>
          <w:kern w:val="2"/>
          <w:szCs w:val="22"/>
          <w:lang w:eastAsia="en-US"/>
          <w14:ligatures w14:val="standardContextual"/>
        </w:rPr>
        <w:t>п</w:t>
      </w:r>
      <w:r w:rsidR="004C39E3" w:rsidRPr="004E5B17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росов, связанных с </w:t>
      </w:r>
      <w:r w:rsidRPr="004E5B17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роялти </w:t>
      </w:r>
      <w:r w:rsidR="00BB2015" w:rsidRPr="004E5B17">
        <w:rPr>
          <w:rFonts w:eastAsia="Aptos" w:cs="Noto Sans Display"/>
          <w:kern w:val="2"/>
          <w:szCs w:val="22"/>
          <w:lang w:eastAsia="en-US"/>
          <w14:ligatures w14:val="standardContextual"/>
        </w:rPr>
        <w:t>за использование песен</w:t>
      </w:r>
      <w:r w:rsidR="00535E3B" w:rsidRPr="004E5B17">
        <w:rPr>
          <w:rFonts w:eastAsia="Aptos" w:cs="Noto Sans Display"/>
          <w:kern w:val="2"/>
          <w:szCs w:val="22"/>
          <w:lang w:eastAsia="en-US"/>
          <w14:ligatures w14:val="standardContextual"/>
        </w:rPr>
        <w:t>ных и/или музыкальных</w:t>
      </w:r>
      <w:r w:rsidR="00535E3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композиций»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2021</w:t>
      </w:r>
      <w:r w:rsidR="00535E3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 года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(PP 56/2021)</w:t>
      </w:r>
      <w:r w:rsidR="00535E3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; </w:t>
      </w:r>
    </w:p>
    <w:p w14:paraId="13880E57" w14:textId="3229A390" w:rsidR="000C43F7" w:rsidRPr="00340CB0" w:rsidRDefault="00A6628C" w:rsidP="00342747">
      <w:pPr>
        <w:numPr>
          <w:ilvl w:val="0"/>
          <w:numId w:val="25"/>
        </w:numPr>
        <w:spacing w:before="180" w:after="240"/>
        <w:ind w:left="1077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Распоряжение Министра юстиции и по правам человека №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27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«О </w:t>
      </w:r>
      <w:r w:rsidR="00AC39C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выполнении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Постановления Правительства №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56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от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2021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года» от 2025 года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(Permenkumham 27/2025).</w:t>
      </w:r>
    </w:p>
    <w:p w14:paraId="659AE25D" w14:textId="7FF62A05" w:rsidR="000C43F7" w:rsidRPr="00340CB0" w:rsidRDefault="000A774D" w:rsidP="000C43F7">
      <w:pPr>
        <w:spacing w:before="180" w:after="240"/>
        <w:ind w:firstLine="36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Эти документы </w:t>
      </w:r>
      <w:r w:rsidR="0083545A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закрепляют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роль </w:t>
      </w:r>
      <w:r w:rsidR="0083545A">
        <w:rPr>
          <w:rFonts w:eastAsia="Aptos" w:cs="Noto Sans Display"/>
          <w:kern w:val="2"/>
          <w:szCs w:val="22"/>
          <w:lang w:eastAsia="en-US"/>
          <w14:ligatures w14:val="standardContextual"/>
        </w:rPr>
        <w:t>Н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ациональной организации коллективного управления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(Lembaga Manajemen Kolektif National</w:t>
      </w:r>
      <w:r w:rsidR="00CD38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(индонез.)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далее —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LMKN)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а также организаций коллективного управления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(Lembaga Manajemen Kolektif</w:t>
      </w:r>
      <w:r w:rsidR="00CD38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(индонез.),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далее</w:t>
      </w:r>
      <w:r w:rsidR="00CD38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 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—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LMK)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как основны</w:t>
      </w:r>
      <w:r w:rsidR="0083545A">
        <w:rPr>
          <w:rFonts w:eastAsia="Aptos" w:cs="Noto Sans Display"/>
          <w:kern w:val="2"/>
          <w:szCs w:val="22"/>
          <w:lang w:eastAsia="en-US"/>
          <w14:ligatures w14:val="standardContextual"/>
        </w:rPr>
        <w:t>х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структур, отвечающих за сбор и распределение роялти за использование музыкальных и аудиовизуальных произведений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CD38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Поддерживать деятельность </w:t>
      </w:r>
      <w:r w:rsidR="00717D6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этих субъектов</w:t>
      </w:r>
      <w:r w:rsidR="00CD38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призвана цифровая инфраструктура: база данных песенных и музыкальных композиций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(Pusat Data Lagu dan/atau Musik</w:t>
      </w:r>
      <w:r w:rsidR="00CD38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(индонез.), далее —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PDLM) </w:t>
      </w:r>
      <w:r w:rsidR="00CD38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и информационная система песенных и музыкальных композиций, которая </w:t>
      </w:r>
      <w:r w:rsidR="003B64D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еще только будет создана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(Sistem Informasi Lagu dan Musik</w:t>
      </w:r>
      <w:r w:rsidR="00CD38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(индонез.), далее —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SILM). </w:t>
      </w:r>
      <w:r w:rsidR="00CD38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Эта нормативная структура говорит о серьезном намерении государства обеспечить транспарентность, подотчетность и справедливость в процессе сбора, распределения и использования роялти и создать условия для справедливого вознаграждения вклада авторов, правообладателей и </w:t>
      </w:r>
      <w:r w:rsidR="008C4848">
        <w:rPr>
          <w:rFonts w:eastAsia="Aptos" w:cs="Noto Sans Display"/>
          <w:kern w:val="2"/>
          <w:szCs w:val="22"/>
          <w:lang w:eastAsia="en-US"/>
          <w14:ligatures w14:val="standardContextual"/>
        </w:rPr>
        <w:t>других заинтересованных сторон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01EB03EC" w14:textId="4242EDD5" w:rsidR="000C43F7" w:rsidRPr="00340CB0" w:rsidRDefault="00EA14A3" w:rsidP="000C43F7">
      <w:pPr>
        <w:spacing w:before="180" w:after="240"/>
        <w:ind w:firstLine="36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Существующая база закладывает прочный нормативно-правовой фундамент, однако применение этих положений на практике еще несовершенно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настоящем рабочем документе указаны 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три ключевы</w:t>
      </w:r>
      <w:r w:rsidR="00371B2E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е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</w:t>
      </w:r>
      <w:r w:rsidR="00371B2E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проблемы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заслуживающие внимания заинтересованных сторон на национальном уровне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: (1) 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пробелы в инфраструктуре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мешающие эффективно управлять правами и распределять роялти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; (2) 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соразмерность устанавливаемых </w:t>
      </w:r>
      <w:r w:rsidR="001A6190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ставок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особенно для микро-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малых и средних предприятий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ММСП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), </w:t>
      </w:r>
      <w:r w:rsidR="0003103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к которым могут применяться непропорциональные тарифы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; </w:t>
      </w:r>
      <w:r w:rsidR="0003103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(3)</w:t>
      </w:r>
      <w:r w:rsidR="00604D39">
        <w:rPr>
          <w:rFonts w:eastAsia="Aptos" w:cs="Noto Sans Display"/>
          <w:kern w:val="2"/>
          <w:szCs w:val="22"/>
          <w:lang w:eastAsia="en-US"/>
          <w14:ligatures w14:val="standardContextual"/>
        </w:rPr>
        <w:t> </w:t>
      </w:r>
      <w:r w:rsidR="00031036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транспарентность организаций коллективного управления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(</w:t>
      </w:r>
      <w:r w:rsidR="00031036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ОКУ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)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="00EE7EF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которая </w:t>
      </w:r>
      <w:r w:rsidR="0003103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неизменно </w:t>
      </w:r>
      <w:r w:rsidR="00EE7EF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является </w:t>
      </w:r>
      <w:r w:rsidR="0003103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ключев</w:t>
      </w:r>
      <w:r w:rsidR="00EE7EFB">
        <w:rPr>
          <w:rFonts w:eastAsia="Aptos" w:cs="Noto Sans Display"/>
          <w:kern w:val="2"/>
          <w:szCs w:val="22"/>
          <w:lang w:eastAsia="en-US"/>
          <w14:ligatures w14:val="standardContextual"/>
        </w:rPr>
        <w:t>ым</w:t>
      </w:r>
      <w:r w:rsidR="0003103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элемент</w:t>
      </w:r>
      <w:r w:rsidR="00EE7EFB">
        <w:rPr>
          <w:rFonts w:eastAsia="Aptos" w:cs="Noto Sans Display"/>
          <w:kern w:val="2"/>
          <w:szCs w:val="22"/>
          <w:lang w:eastAsia="en-US"/>
          <w14:ligatures w14:val="standardContextual"/>
        </w:rPr>
        <w:t>ом</w:t>
      </w:r>
      <w:r w:rsidR="0003103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обеспечения подотчетности</w:t>
      </w:r>
      <w:r w:rsidR="008E2F7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систем</w:t>
      </w:r>
      <w:r w:rsidR="00EE7EFB">
        <w:rPr>
          <w:rFonts w:eastAsia="Aptos" w:cs="Noto Sans Display"/>
          <w:kern w:val="2"/>
          <w:szCs w:val="22"/>
          <w:lang w:eastAsia="en-US"/>
          <w14:ligatures w14:val="standardContextual"/>
        </w:rPr>
        <w:t>ы</w:t>
      </w:r>
      <w:r w:rsidR="0003103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 доверия к </w:t>
      </w:r>
      <w:r w:rsidR="008E2F7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ней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4E49D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Таким образом </w:t>
      </w:r>
      <w:r w:rsidR="00604D3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уделение </w:t>
      </w:r>
      <w:r w:rsidR="004E49D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должно</w:t>
      </w:r>
      <w:r w:rsidR="00604D39">
        <w:rPr>
          <w:rFonts w:eastAsia="Aptos" w:cs="Noto Sans Display"/>
          <w:kern w:val="2"/>
          <w:szCs w:val="22"/>
          <w:lang w:eastAsia="en-US"/>
          <w14:ligatures w14:val="standardContextual"/>
        </w:rPr>
        <w:t>го</w:t>
      </w:r>
      <w:r w:rsidR="004E49D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внимани</w:t>
      </w:r>
      <w:r w:rsidR="00604D39">
        <w:rPr>
          <w:rFonts w:eastAsia="Aptos" w:cs="Noto Sans Display"/>
          <w:kern w:val="2"/>
          <w:szCs w:val="22"/>
          <w:lang w:eastAsia="en-US"/>
          <w14:ligatures w14:val="standardContextual"/>
        </w:rPr>
        <w:t>я</w:t>
      </w:r>
      <w:r w:rsidR="004E49D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этим аспектам имеет </w:t>
      </w:r>
      <w:r w:rsidR="00604D3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ключевое </w:t>
      </w:r>
      <w:r w:rsidR="004E49D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значение для повышения эффективности режима выплат роялти в Индонезии 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4E49D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его большей увязки с принципами справедливости, инклюзивности и правовой определенности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30022B0F" w14:textId="1C4201FF" w:rsidR="000C43F7" w:rsidRPr="00340CB0" w:rsidRDefault="00AE5D0D" w:rsidP="000C43F7">
      <w:pPr>
        <w:spacing w:before="180" w:after="240"/>
        <w:ind w:firstLine="36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Если говорить о базовом уровне технической инфраструктуры для сбора роялти, то главная </w:t>
      </w:r>
      <w:r w:rsidR="00A724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проблема связана с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отсутстви</w:t>
      </w:r>
      <w:r w:rsidR="00A724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ем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одного важн</w:t>
      </w:r>
      <w:r w:rsidR="00A724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ого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инструмента —</w:t>
      </w:r>
      <w:r w:rsidR="003B64D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SILM. </w:t>
      </w:r>
      <w:r w:rsidR="00CE3CD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</w:t>
      </w:r>
      <w:r w:rsidR="00A724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истем</w:t>
      </w:r>
      <w:r w:rsidR="00CE3CD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а, создание которой</w:t>
      </w:r>
      <w:r w:rsidR="00A724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было </w:t>
      </w:r>
      <w:r w:rsidR="00333C3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санкционировано </w:t>
      </w:r>
      <w:r w:rsidR="00A724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Постановлением Правительства №</w:t>
      </w:r>
      <w:r w:rsidR="00802125">
        <w:rPr>
          <w:rFonts w:eastAsia="Aptos" w:cs="Noto Sans Display"/>
          <w:kern w:val="2"/>
          <w:szCs w:val="22"/>
          <w:lang w:eastAsia="en-US"/>
          <w14:ligatures w14:val="standardContextual"/>
        </w:rPr>
        <w:t> 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56 2021</w:t>
      </w:r>
      <w:r w:rsidR="00333C3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 </w:t>
      </w:r>
      <w:r w:rsidR="00A724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года, пока</w:t>
      </w:r>
      <w:r w:rsidR="00CE3CD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так и</w:t>
      </w:r>
      <w:r w:rsidR="00A724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не материализовалась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802125">
        <w:rPr>
          <w:rFonts w:eastAsia="Aptos" w:cs="Noto Sans Display"/>
          <w:kern w:val="2"/>
          <w:szCs w:val="22"/>
          <w:lang w:eastAsia="en-US"/>
          <w14:ligatures w14:val="standardContextual"/>
        </w:rPr>
        <w:t>Прошло уже ч</w:t>
      </w:r>
      <w:r w:rsidR="00CE3CD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етыре года с вступления этого постановления в силу, однако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SILM</w:t>
      </w:r>
      <w:r w:rsidR="00CE3CD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все еще находится на этапе разработки в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LMKN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10"/>
      </w:r>
      <w:r w:rsidR="00CE3CD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CE3CD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Несмотря на успешно развернутую Министерством юстиции в ноябре 2022 года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PDLM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11"/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="00CE3CD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отсутствие соответствующей системы в</w:t>
      </w:r>
      <w:r w:rsidR="00333C3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LMKN</w:t>
      </w:r>
      <w:r w:rsidR="00CE3CD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333C3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во многом препятствует </w:t>
      </w:r>
      <w:r w:rsidR="00333C3F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операционной </w:t>
      </w:r>
      <w:r w:rsidR="00CE3CD3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совместимости данных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102E6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Этот недостаток, безусловно, сказывается на точности, транспарентности и эффективности сбора и распределения роялти за использование музыкальных произведений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12"/>
      </w:r>
      <w:r w:rsidR="00102E6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102E6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Взаимодействие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PDLM </w:t>
      </w:r>
      <w:r w:rsidR="00102E6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SILM </w:t>
      </w:r>
      <w:r w:rsidR="00102E6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— не просто техническая проблема, это важная предпосылка для надежной системы контроля за использованием авторских прав в онлайн-среде, особенно в музыкальной отрасли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5C32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Существующий пробел не позволяет заинтересованным сторонам полноценно отслеживать использование контента и обеспечивать справедливое вознаграждение авторов и правообладателей в цифровой экосистеме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13"/>
      </w:r>
      <w:r w:rsidR="005C32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5C32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Из-за отсутствия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SILM</w:t>
      </w:r>
      <w:r w:rsidR="005C32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возникает </w:t>
      </w:r>
      <w:r w:rsidR="005C32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>и вторая проблема, которая сегодня все чаще привлекает к себе общественное внимание: речь идет о соразмерности ставок роялти для микро-, малых и средних предприятий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</w:t>
      </w:r>
      <w:r w:rsidR="005C32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ММСП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). </w:t>
      </w:r>
      <w:r w:rsidR="00F600D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Распространено мнение, что современная структура тарифов недостаточно согласована с более широкими интересами общества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42142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Это утверждение опирается на то, что </w:t>
      </w:r>
      <w:r w:rsidR="00421428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ставки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</w:t>
      </w:r>
      <w:r w:rsidR="00421428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выплачиваемых роялти не различаются для крупного бизнеса и ММСП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B02B9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Ожидается, что LMKN создаст систему скидок для ММСП, однако</w:t>
      </w:r>
      <w:r w:rsidR="0022445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соответствующая политика все еще является предметом обсуждения ОКУ и </w:t>
      </w:r>
      <w:r w:rsidR="00EB18D3">
        <w:rPr>
          <w:rFonts w:eastAsia="Aptos" w:cs="Noto Sans Display"/>
          <w:kern w:val="2"/>
          <w:szCs w:val="22"/>
          <w:lang w:eastAsia="en-US"/>
          <w14:ligatures w14:val="standardContextual"/>
        </w:rPr>
        <w:t>м</w:t>
      </w:r>
      <w:r w:rsidR="0022445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инистерства юстиции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14"/>
      </w:r>
      <w:r w:rsidR="0022445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5E3AAC60" w14:textId="00C9A064" w:rsidR="000C43F7" w:rsidRPr="00340CB0" w:rsidRDefault="001A6190" w:rsidP="000C43F7">
      <w:pPr>
        <w:spacing w:before="180" w:after="240"/>
        <w:ind w:firstLine="36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80212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наконец,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самая острая проблема заключается в необходимости </w:t>
      </w:r>
      <w:r w:rsidR="003041D3" w:rsidRPr="00EB18D3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обеспечить </w:t>
      </w:r>
      <w:r w:rsidRPr="00EB18D3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транспарентно</w:t>
      </w:r>
      <w:r w:rsidR="003041D3" w:rsidRPr="00EB18D3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сть</w:t>
      </w:r>
      <w:r w:rsidRPr="00EB18D3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управления </w:t>
      </w:r>
      <w:r w:rsidR="003041D3" w:rsidRPr="00EB18D3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в</w:t>
      </w:r>
      <w:r w:rsidRPr="00EB18D3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</w:t>
      </w:r>
      <w:r w:rsidR="003041D3" w:rsidRPr="00EB18D3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системе </w:t>
      </w:r>
      <w:r w:rsidRPr="00EB18D3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ОКУ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3041D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Сюда можно отнести и непрозрачность вычетов на операционные расходы, и границы и эффективность надзорной и оценочной деятельности, 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3041D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ограниченность правовой определенности вокруг споров, связанных с авторским правом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E6675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Согласно Распоряжению Министра юстиции №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27 </w:t>
      </w:r>
      <w:r w:rsidR="00E6675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от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2025</w:t>
      </w:r>
      <w:r w:rsidR="00E6675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года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</w:t>
      </w:r>
      <w:r w:rsidR="000C43F7"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Permenkum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27/2025), LMKN</w:t>
      </w:r>
      <w:r w:rsidR="002B30B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представляющие авторов, и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LMKN</w:t>
      </w:r>
      <w:r w:rsidR="002B30B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представляющие владельцев смежных прав, имеют право удерживать не более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8% </w:t>
      </w:r>
      <w:r w:rsidR="002B30B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от общей суммы годовых сборов роялти для покрытия операционных расходов, включая вознаграждение кураторов, услуги специалистов по проведению надзорных мероприятий и другие смежные расходы. </w:t>
      </w:r>
      <w:r w:rsidR="00E9176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Однако на сегодняшний день не существует ни одной четко определенной формулы или публичной методики для расчета </w:t>
      </w:r>
      <w:r w:rsidR="00B627B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комиссии за </w:t>
      </w:r>
      <w:r w:rsidR="00E9176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управлен</w:t>
      </w:r>
      <w:r w:rsidR="00B627BB">
        <w:rPr>
          <w:rFonts w:eastAsia="Aptos" w:cs="Noto Sans Display"/>
          <w:kern w:val="2"/>
          <w:szCs w:val="22"/>
          <w:lang w:eastAsia="en-US"/>
          <w14:ligatures w14:val="standardContextual"/>
        </w:rPr>
        <w:t>ие средствами</w:t>
      </w:r>
      <w:r w:rsidR="00E9176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вычитаемо</w:t>
      </w:r>
      <w:r w:rsidR="00B627BB">
        <w:rPr>
          <w:rFonts w:eastAsia="Aptos" w:cs="Noto Sans Display"/>
          <w:kern w:val="2"/>
          <w:szCs w:val="22"/>
          <w:lang w:eastAsia="en-US"/>
          <w14:ligatures w14:val="standardContextual"/>
        </w:rPr>
        <w:t>й</w:t>
      </w:r>
      <w:r w:rsidR="00E9176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из общей суммы собранных роялти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E40B09">
        <w:rPr>
          <w:rFonts w:eastAsia="Aptos" w:cs="Noto Sans Display"/>
          <w:kern w:val="2"/>
          <w:szCs w:val="22"/>
          <w:lang w:eastAsia="en-US"/>
          <w14:ligatures w14:val="standardContextual"/>
        </w:rPr>
        <w:t>В части</w:t>
      </w:r>
      <w:r w:rsidR="00A0009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регулирования </w:t>
      </w:r>
      <w:r w:rsidR="00FA19C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вопросы оценки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FA19C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финансовой отчетности и аудита рассматриваются в статьях 51–56 Распоряжения 27/2025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FA19C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Однако отсутствие четких указаний по применению или стандартной рабочей методики (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SOP)</w:t>
      </w:r>
      <w:r w:rsidR="00FA19C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по-прежнему мешает эффективному надзору и подотчетности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86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то же время </w:t>
      </w:r>
      <w:r w:rsidR="00557ED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принципы </w:t>
      </w:r>
      <w:r w:rsidR="0086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руководств</w:t>
      </w:r>
      <w:r w:rsidR="00557ED3">
        <w:rPr>
          <w:rFonts w:eastAsia="Aptos" w:cs="Noto Sans Display"/>
          <w:kern w:val="2"/>
          <w:szCs w:val="22"/>
          <w:lang w:eastAsia="en-US"/>
          <w14:ligatures w14:val="standardContextual"/>
        </w:rPr>
        <w:t>а</w:t>
      </w:r>
      <w:r w:rsidR="0086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ОКУ наход</w:t>
      </w:r>
      <w:r w:rsidR="00557ED3">
        <w:rPr>
          <w:rFonts w:eastAsia="Aptos" w:cs="Noto Sans Display"/>
          <w:kern w:val="2"/>
          <w:szCs w:val="22"/>
          <w:lang w:eastAsia="en-US"/>
          <w14:ligatures w14:val="standardContextual"/>
        </w:rPr>
        <w:t>я</w:t>
      </w:r>
      <w:r w:rsidR="0086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т свое отражение в правовой неопределенности </w:t>
      </w:r>
      <w:r w:rsidR="00557ED3">
        <w:rPr>
          <w:rFonts w:eastAsia="Aptos" w:cs="Noto Sans Display"/>
          <w:kern w:val="2"/>
          <w:szCs w:val="22"/>
          <w:lang w:eastAsia="en-US"/>
          <w14:ligatures w14:val="standardContextual"/>
        </w:rPr>
        <w:t>в</w:t>
      </w:r>
      <w:r w:rsidR="0086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отношении разрешения споров, будь то споры между ОКУ и их членами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15"/>
      </w:r>
      <w:r w:rsidR="0086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или авторами и обладателями смежных прав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16"/>
      </w:r>
      <w:r w:rsidR="00867A0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CC459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Здесь важно </w:t>
      </w:r>
      <w:r w:rsidR="0077734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вновь заявить</w:t>
      </w:r>
      <w:r w:rsidR="00CC459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что споры в экосистеме роялти</w:t>
      </w:r>
      <w:r w:rsidR="0077734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согласно </w:t>
      </w:r>
      <w:r w:rsidR="00CC459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международной практике должны рассматриваться как </w:t>
      </w:r>
      <w:r w:rsidR="006B1CF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вопросы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6B1CF3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частного права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77734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Таким образом механизмы для их урегулирования должны относиться к сфере частного права, включая использование альтернативн</w:t>
      </w:r>
      <w:r w:rsidR="00557ED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ых механизмов </w:t>
      </w:r>
      <w:r w:rsidR="0077734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урегулирования (АУС) как перспективного варианта разрешения </w:t>
      </w:r>
      <w:r w:rsidR="00557ED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конфликтных ситуаций </w:t>
      </w:r>
      <w:r w:rsidR="0077734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во внесудебном порядке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0BF3CC20" w14:textId="77F2D6F9" w:rsidR="00EF0052" w:rsidRDefault="00D44140" w:rsidP="000C43F7">
      <w:pPr>
        <w:spacing w:before="180" w:after="240"/>
        <w:ind w:firstLine="36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Сегодня </w:t>
      </w:r>
      <w:r w:rsidR="00B003A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национальная нормативно-правовая база Индонезии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если говорить о правовом регулировании соответствующей области, </w:t>
      </w:r>
      <w:r w:rsidR="00B003A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обеспечивает необходим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ый фундамент </w:t>
      </w:r>
      <w:r w:rsidR="00B003A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для управления авторскими правами на музыкальные произведения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Однако применение этих норм</w:t>
      </w:r>
      <w:r w:rsidR="001A785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на практике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по-прежнему сопряжено с проблемами, унаследованными из прошлого, особенно в плане развития инфраструктуры, соразмерности ставок и транспарентности управления ОКУ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97671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Эти проблемы целесообразно </w:t>
      </w:r>
      <w:r w:rsidR="000D2E78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рассматривать </w:t>
      </w:r>
      <w:r w:rsidR="0097671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более широком, глобальном контексте,</w:t>
      </w:r>
      <w:r w:rsidR="000D2E78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 учетом того, что</w:t>
      </w:r>
      <w:r w:rsidR="0097671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развивающиеся страны систематически сталкиваются с дефицитом выплат роялти по сравнению с развитыми государствами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CA5F3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Международная полемика на тему диспропорций в отрасли цифровой музыки подчеркивает неотложность национальных реформ, </w:t>
      </w:r>
      <w:r w:rsidR="001A785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которые ставят </w:t>
      </w:r>
      <w:r w:rsidR="00CA5F3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во главу угла транспарентность и операционную совместимость систем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1A785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то же время эти реформы имеют жизненно важное значение для укрепления позиции Индонезии в деле борьбы за формирование более справедлив</w:t>
      </w:r>
      <w:r w:rsidR="00EB18D3">
        <w:rPr>
          <w:rFonts w:eastAsia="Aptos" w:cs="Noto Sans Display"/>
          <w:kern w:val="2"/>
          <w:szCs w:val="22"/>
          <w:lang w:eastAsia="en-US"/>
          <w14:ligatures w14:val="standardContextual"/>
        </w:rPr>
        <w:t>ой</w:t>
      </w:r>
      <w:r w:rsidR="001A785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глобальной </w:t>
      </w:r>
      <w:r w:rsidR="001A7856" w:rsidRPr="00EB18D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системы регулирования </w:t>
      </w:r>
      <w:r w:rsidR="00EB18D3" w:rsidRPr="00EB18D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вопросов, связанных с </w:t>
      </w:r>
      <w:r w:rsidR="001A7856" w:rsidRPr="00EB18D3">
        <w:rPr>
          <w:rFonts w:eastAsia="Aptos" w:cs="Noto Sans Display"/>
          <w:kern w:val="2"/>
          <w:szCs w:val="22"/>
          <w:lang w:eastAsia="en-US"/>
          <w14:ligatures w14:val="standardContextual"/>
        </w:rPr>
        <w:t>роялти</w:t>
      </w:r>
      <w:r w:rsidR="00EB18D3" w:rsidRPr="00EB18D3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1A7856" w:rsidRPr="00EB18D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как на национальном, так и на международном уровне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3A2E09CA" w14:textId="77777777" w:rsidR="00EF0052" w:rsidRDefault="00EF0052">
      <w:pPr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br w:type="page"/>
      </w:r>
    </w:p>
    <w:p w14:paraId="22EA94A9" w14:textId="3C537729" w:rsidR="000C43F7" w:rsidRPr="00340CB0" w:rsidRDefault="00FE7E57" w:rsidP="00FE75B0">
      <w:pPr>
        <w:rPr>
          <w:b/>
          <w:bCs/>
          <w:color w:val="1F497D" w:themeColor="text2"/>
        </w:rPr>
      </w:pPr>
      <w:r w:rsidRPr="00340CB0">
        <w:rPr>
          <w:b/>
          <w:bCs/>
          <w:color w:val="1F497D" w:themeColor="text2"/>
        </w:rPr>
        <w:lastRenderedPageBreak/>
        <w:t xml:space="preserve">Глобальное </w:t>
      </w:r>
      <w:r w:rsidRPr="00E87A1D">
        <w:rPr>
          <w:b/>
          <w:bCs/>
          <w:color w:val="1F497D" w:themeColor="text2"/>
        </w:rPr>
        <w:t>неравенство</w:t>
      </w:r>
      <w:r w:rsidR="003B6CEF" w:rsidRPr="00E87A1D">
        <w:rPr>
          <w:b/>
          <w:bCs/>
          <w:color w:val="1F497D" w:themeColor="text2"/>
        </w:rPr>
        <w:t xml:space="preserve"> в вопрос</w:t>
      </w:r>
      <w:r w:rsidR="00E87A1D" w:rsidRPr="00E87A1D">
        <w:rPr>
          <w:b/>
          <w:bCs/>
          <w:color w:val="1F497D" w:themeColor="text2"/>
        </w:rPr>
        <w:t xml:space="preserve">ах, связанных с </w:t>
      </w:r>
      <w:r w:rsidR="003B6CEF" w:rsidRPr="00E87A1D">
        <w:rPr>
          <w:b/>
          <w:bCs/>
          <w:color w:val="1F497D" w:themeColor="text2"/>
        </w:rPr>
        <w:t>роялти</w:t>
      </w:r>
      <w:r w:rsidR="003B6CEF" w:rsidRPr="00340CB0">
        <w:rPr>
          <w:b/>
          <w:bCs/>
          <w:color w:val="1F497D" w:themeColor="text2"/>
        </w:rPr>
        <w:t xml:space="preserve"> за использование фонограмм и аудиовизуальных произведений в цифровой среде</w:t>
      </w:r>
      <w:r w:rsidR="000C43F7" w:rsidRPr="00340CB0">
        <w:rPr>
          <w:b/>
          <w:bCs/>
          <w:color w:val="1F497D" w:themeColor="text2"/>
        </w:rPr>
        <w:t xml:space="preserve">: </w:t>
      </w:r>
      <w:r w:rsidR="003B6CEF" w:rsidRPr="00340CB0">
        <w:rPr>
          <w:b/>
          <w:bCs/>
          <w:color w:val="1F497D" w:themeColor="text2"/>
        </w:rPr>
        <w:t>устраняя разрыв между Севером и Югом</w:t>
      </w:r>
    </w:p>
    <w:p w14:paraId="1C55D13E" w14:textId="76050A51" w:rsidR="000C43F7" w:rsidRPr="00340CB0" w:rsidRDefault="0041594B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На международном уровне договоры об авторском праве и смежных правах традиционно устанавливают основополагающие принципы и указывают </w:t>
      </w:r>
      <w:r w:rsidR="001B017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магистральные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направления, оставляя за каждым государством-членом право самостоятельно разрабатывать детальные положения национального законодательства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1A59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Исторически международный режим ИС формировался под влиянием подхода к авторскому праву как к проблематике частного права и</w:t>
      </w:r>
      <w:r w:rsidR="001B0174">
        <w:rPr>
          <w:rFonts w:eastAsia="Aptos" w:cs="Noto Sans Display"/>
          <w:kern w:val="2"/>
          <w:szCs w:val="22"/>
          <w:lang w:eastAsia="en-US"/>
          <w14:ligatures w14:val="standardContextual"/>
        </w:rPr>
        <w:t>, следовательно,</w:t>
      </w:r>
      <w:r w:rsidR="001A59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1B017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преимущественно </w:t>
      </w:r>
      <w:r w:rsidR="001A59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регулир</w:t>
      </w:r>
      <w:r w:rsidR="001B0174">
        <w:rPr>
          <w:rFonts w:eastAsia="Aptos" w:cs="Noto Sans Display"/>
          <w:kern w:val="2"/>
          <w:szCs w:val="22"/>
          <w:lang w:eastAsia="en-US"/>
          <w14:ligatures w14:val="standardContextual"/>
        </w:rPr>
        <w:t>уется</w:t>
      </w:r>
      <w:r w:rsidR="001A59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механизм</w:t>
      </w:r>
      <w:r w:rsidR="001B0174">
        <w:rPr>
          <w:rFonts w:eastAsia="Aptos" w:cs="Noto Sans Display"/>
          <w:kern w:val="2"/>
          <w:szCs w:val="22"/>
          <w:lang w:eastAsia="en-US"/>
          <w14:ligatures w14:val="standardContextual"/>
        </w:rPr>
        <w:t>ами</w:t>
      </w:r>
      <w:r w:rsidR="001A59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частного права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17"/>
      </w:r>
      <w:r w:rsidR="001A59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F8166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Со временем эта структура породила значительные </w:t>
      </w:r>
      <w:r w:rsidR="00F8166E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расхождения в </w:t>
      </w:r>
      <w:r w:rsidR="00235CB7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регулировании </w:t>
      </w:r>
      <w:r w:rsidR="00F8166E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авторск</w:t>
      </w:r>
      <w:r w:rsidR="00235CB7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о</w:t>
      </w:r>
      <w:r w:rsidR="00824781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-правовых вопросов</w:t>
      </w:r>
      <w:r w:rsidR="00F8166E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между развитыми и развивающими странами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F8166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Эти расхождения во многом обусловлены </w:t>
      </w:r>
      <w:r w:rsidR="00F8166E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различием в институциональном потенциале, механизмах защиты прав и доступных ресурсах</w:t>
      </w:r>
      <w:r w:rsidR="00893B31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 </w:t>
      </w:r>
      <w:r w:rsidR="00F8166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— факторах, которые по-прежнему сдерживают </w:t>
      </w:r>
      <w:r w:rsidR="005D324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многие развивающиеся страны, не позволяя им обеспечить действенную охрану и защиту авторского права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7951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результате, несмотря на единые нормативные базовые параметры, заложенные международными соглашениями, неравномерное применение этих норм на уровне разных юрисдикций привело к появлению системных пробелов, усиливающих </w:t>
      </w:r>
      <w:r w:rsidR="00A4008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глобальный дисбаланс в управлении и монетизации результатов творческого труда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18"/>
      </w:r>
      <w:r w:rsidR="00A4008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2348F3B1" w14:textId="48DBC1BD" w:rsidR="000C43F7" w:rsidRPr="00340CB0" w:rsidRDefault="00DB4CD9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Эволюция международных соглашений в области авторского права свидетельствует о постепенном смещении фокуса внимания с узкой проблематики охраны художественных произведений к более широкой тематике нормативного регулирования с учетом реалий мировой торговли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CD4C8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Этот процесс начался с Бернской конвенции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1886</w:t>
      </w:r>
      <w:r w:rsidR="00CD4C8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года, которая была главным образом направлена на охрану литературных и художественных произведений, и с годами принял более масштабный характер благодаря заключению ряда современных соглашений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CD4C8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Поворотным моментом на этом пути стало приняти</w:t>
      </w:r>
      <w:r w:rsidR="00643522"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CD4C8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8C0FB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1994 году </w:t>
      </w:r>
      <w:r w:rsidR="00CD4C8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Соглашения по торговым аспектам </w:t>
      </w:r>
      <w:r w:rsidR="008C0FB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прав интеллектуальной собственности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(</w:t>
      </w:r>
      <w:r w:rsidR="008C0FB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Соглашение по ТРИПС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). </w:t>
      </w:r>
      <w:r w:rsidR="00B56CA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Если ранее принятые договоры преимущественно делали акцент на признании прав, вытекающих из наработок науки и техники, Соглашение по ТРИПС ознаменовало новый рубеж, поставив авторско-правовую охрану в ранг неотъемлемых элементов торговой политики страны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19"/>
      </w:r>
      <w:r w:rsidR="00B56CA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B777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отличие от более ранних соглашений в области авторского права Соглашение по ТРИПС создало обязательный механизм разрешения споров под эгидой Всемирной торговой организации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(</w:t>
      </w:r>
      <w:r w:rsidR="000B777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ВТО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)</w:t>
      </w:r>
      <w:r w:rsidR="000B777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тем самым еще теснее увязав ИС с нормами</w:t>
      </w:r>
      <w:r w:rsidR="00D96F9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мировой торговли</w:t>
      </w:r>
      <w:r w:rsidR="000B777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 принципами</w:t>
      </w:r>
      <w:r w:rsidR="00D96F9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ее</w:t>
      </w:r>
      <w:r w:rsidR="000B777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защиты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D96F9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Фактически </w:t>
      </w:r>
      <w:r w:rsidR="00D96F9C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Соглашение по ТРИПС коренным образом изменило видение игроков авторско-правового сектора принципов охраны и монетизации прав ИС</w:t>
      </w:r>
      <w:r w:rsidR="00D96F9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3412B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повысив роль авторского права до уровня правового и экономического инструмента в системе мирового порядка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40B9A1AC" w14:textId="0CDEBFC3" w:rsidR="000C43F7" w:rsidRPr="00340CB0" w:rsidRDefault="006B0D5F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Современные международные соглашения, включая Соглашение по ТРИПС, безусловно, принесли пользу авторам как в развивающихся, так и </w:t>
      </w:r>
      <w:r w:rsidR="00131CA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развитых странах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Эти документы созда</w:t>
      </w:r>
      <w:r w:rsidR="00131CA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ли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общую базу, которая позволяет авторам из разных юрисдикций участвовать в жизни мировых творческих отраслей на более 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равной и справедливой основе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3F120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Однако растущее число исследований указывает на сохраняющиеся проблемы, связанные главным образом с </w:t>
      </w:r>
      <w:r w:rsidR="003F1202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различиями в доступных ресурсах и правовой инфраструктуре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3F120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развитых и развивающихся государствах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5C492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целом развитые страны располагают </w:t>
      </w:r>
      <w:r w:rsidR="005C492C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б</w:t>
      </w:r>
      <w:r w:rsidR="005C492C" w:rsidRPr="00340CB0">
        <w:rPr>
          <w:rFonts w:ascii="Noto Sans Display" w:eastAsia="Aptos" w:hAnsi="Noto Sans Display" w:cs="Noto Sans Display"/>
          <w:b/>
          <w:bCs/>
          <w:kern w:val="2"/>
          <w:szCs w:val="22"/>
          <w:lang w:eastAsia="en-US"/>
          <w14:ligatures w14:val="standardContextual"/>
        </w:rPr>
        <w:t>ó</w:t>
      </w:r>
      <w:r w:rsidR="005C492C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льшим капиталом, лучшими условиями на старте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5C492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 более совершенными системами, в том числе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: (1) </w:t>
      </w:r>
      <w:r w:rsidR="005C492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подготовленными кадрами с более высоким уровнем понимания и профессионального опыта в области авторско-правовой охраны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; (2) </w:t>
      </w:r>
      <w:r w:rsidR="001B41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отлаженной</w:t>
      </w:r>
      <w:r w:rsidR="00E2047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национальной нормативно-правовой базой в области защиты прав ИС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; </w:t>
      </w:r>
      <w:r w:rsidR="00E2047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(3) </w:t>
      </w:r>
      <w:r w:rsidR="001B41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финансовыми возможностями для урегулирования трансграничных споров, включая судебные и арбитражные разбирательства в иностранных </w:t>
      </w:r>
      <w:r w:rsidR="001B41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>юрисдикциях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352FF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Из-за этого неравенства авторы </w:t>
      </w:r>
      <w:r w:rsidR="00131CA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</w:t>
      </w:r>
      <w:r w:rsidR="00352FF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развивающихся стран</w:t>
      </w:r>
      <w:r w:rsidR="00131CA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ах</w:t>
      </w:r>
      <w:r w:rsidR="00352FF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не могут полноценно использовать имеющиеся преимущества, несмотря на единые международные стандарты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260B1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Таким образом, устранение разрыва в вопросе практического применения норм остается безусловным приоритетом в рамках усилий по обеспечению инклюзивности и справедливости глобальной системы авторского права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20"/>
      </w:r>
      <w:r w:rsidR="00260B1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2C7C0B31" w14:textId="4CD436A9" w:rsidR="000C43F7" w:rsidRPr="00340CB0" w:rsidRDefault="003858EF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Эту проблему усугубляет и ц</w:t>
      </w:r>
      <w:r w:rsidR="00C62F3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ифровизаци</w:t>
      </w:r>
      <w:r w:rsidR="00131CA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я</w:t>
      </w:r>
      <w:r w:rsidR="00C62F3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творчества — процесс, инициируемым преимущественно развитыми странами, имеющими в распоряжении передовую технологическую инфраструктуру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BC2F5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Авторам из развитых стран, у которых есть более широкий доступ к образованию в сфере ИС и качественным технологическим мощностям, проще </w:t>
      </w:r>
      <w:r w:rsidR="00BE6B7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оптимально </w:t>
      </w:r>
      <w:r w:rsidR="00BC2F5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использовать преимущества цифровизации, максимально расширяя охват рынка и охраняя свои права в цифровой среде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BE6B7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Авторы из развивающихся стран, напротив,</w:t>
      </w:r>
      <w:r w:rsidR="00842EC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отстают от своих коллег в развитых государствах в плане использования правовой инфраструктуры для охраны авторских прав и задействования технологий для расширения своего присутствия на рынке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21"/>
      </w:r>
      <w:r w:rsidR="00842EC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E648C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Исследование, посвященное африканским странам, установило, что многие из них не имеют необходимых ресурсов и правовой инфраструктуры для охраны прав местных авторов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E648C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том числе в случае нарушения их авторских прав или незаконного использования</w:t>
      </w:r>
      <w:r w:rsidR="0064352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нередко без какой-либо компенсации</w:t>
      </w:r>
      <w:r w:rsidR="00643522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64352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E648C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авторских произведений субъектами в развитых государствах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A228E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Этот системный разрыв привел к весьма своевременному принятию мер </w:t>
      </w:r>
      <w:r w:rsidR="002A697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 повышению благосостояния авторов на Африканском континенте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22"/>
      </w:r>
      <w:r w:rsidR="002A697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11499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Этот же вопрос нашел свое отражение в уже упоминавшемся справочном документе Колумбии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(IP/C/W/721), </w:t>
      </w:r>
      <w:r w:rsidR="0011499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котором отмечен дисбаланс потоков роялти и указано, что доходы непропорционально перетекают из развивающихся в развитые страны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2DC62A1F" w14:textId="717BE323" w:rsidR="000C43F7" w:rsidRPr="00340CB0" w:rsidRDefault="00DA5EFF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На фоне </w:t>
      </w:r>
      <w:r w:rsidR="006734A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последовательного </w:t>
      </w:r>
      <w:r w:rsidR="00FF438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развития </w:t>
      </w:r>
      <w:r w:rsidR="006734A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рынка </w:t>
      </w:r>
      <w:r w:rsidR="00FF438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цифровой музыки ОКУ</w:t>
      </w:r>
      <w:r w:rsidR="003F53C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начинают играть все более важную роль</w:t>
      </w:r>
      <w:r w:rsidR="00FF438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сборе и распределении роялти, особенно роялти за использование фонограмм и аудиовизуальных произведений на онлайн-платформах, например</w:t>
      </w:r>
      <w:r w:rsidR="0071727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потоковых сервисах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EE2FB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Благодаря ОКУ авторы и другие правообладатели могут получать справедлив</w:t>
      </w:r>
      <w:r w:rsidR="00C57C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ую компенсацию </w:t>
      </w:r>
      <w:r w:rsidR="00EE2FB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за использование принадлежащих им произведений, даже если произведения используются в разных странах и на разных цифровых платформах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C07A8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этом отношении ОКУ играют стратегическую роль, приводя к единому знаменателю интересы правообладателей и пользователей в рамках онлайн-экосистемы музыки как на национальном, так и на международном уровн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C57C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ОКУ играют важнейшую роль в создании условий для того, чтобы цифровы</w:t>
      </w:r>
      <w:r w:rsidR="004C5F1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C57C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музыкальны</w:t>
      </w:r>
      <w:r w:rsidR="004C5F1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C57C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платформ</w:t>
      </w:r>
      <w:r w:rsidR="004C5F1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ы</w:t>
      </w:r>
      <w:r w:rsidR="00C57C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4C5F1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действовали </w:t>
      </w:r>
      <w:r w:rsidR="00C57C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 соблюдением прав авторов, </w:t>
      </w:r>
      <w:r w:rsidR="004C5F1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</w:t>
      </w:r>
      <w:r w:rsidR="00C57C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</w:t>
      </w:r>
      <w:r w:rsidR="004C5F1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особствовали </w:t>
      </w:r>
      <w:r w:rsidR="00C57C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выплат</w:t>
      </w:r>
      <w:r w:rsidR="004C5F1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C57C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им справедливого вознаграждения</w:t>
      </w:r>
      <w:r w:rsidR="004C5F1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 поддерживали этические принципы управления в сфере ИС в цифровую эпоху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1CC7D527" w14:textId="02841398" w:rsidR="000C43F7" w:rsidRPr="00340CB0" w:rsidRDefault="000739A7" w:rsidP="00942684">
      <w:pPr>
        <w:pStyle w:val="Heading51"/>
        <w:rPr>
          <w:color w:val="1F497D" w:themeColor="text2"/>
        </w:rPr>
      </w:pPr>
      <w:bookmarkStart w:id="10" w:name="_Toc212710966"/>
      <w:r w:rsidRPr="00340CB0">
        <w:rPr>
          <w:i/>
          <w:iCs/>
          <w:color w:val="1F497D" w:themeColor="text2"/>
        </w:rPr>
        <w:t>Краткое изложение проблемы</w:t>
      </w:r>
      <w:r w:rsidR="000C43F7" w:rsidRPr="00340CB0">
        <w:rPr>
          <w:color w:val="1F497D" w:themeColor="text2"/>
        </w:rPr>
        <w:t xml:space="preserve">: </w:t>
      </w:r>
      <w:r w:rsidR="00C36331" w:rsidRPr="00340CB0">
        <w:rPr>
          <w:color w:val="1F497D" w:themeColor="text2"/>
        </w:rPr>
        <w:t>комплекс вопросов, поднимаемых в предложении Индонезии</w:t>
      </w:r>
      <w:bookmarkEnd w:id="10"/>
    </w:p>
    <w:p w14:paraId="39490D2A" w14:textId="7C2FFA01" w:rsidR="000C43F7" w:rsidRPr="00340CB0" w:rsidRDefault="00BC7E72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Как отмечалось выше</w:t>
      </w:r>
      <w:r w:rsidR="00EA4FE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="003803F2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системе </w:t>
      </w:r>
      <w:r w:rsidR="00EA4FE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регулировани</w:t>
      </w:r>
      <w:r w:rsidR="003803F2">
        <w:rPr>
          <w:rFonts w:eastAsia="Aptos" w:cs="Noto Sans Display"/>
          <w:kern w:val="2"/>
          <w:szCs w:val="22"/>
          <w:lang w:eastAsia="en-US"/>
          <w14:ligatures w14:val="standardContextual"/>
        </w:rPr>
        <w:t>я</w:t>
      </w:r>
      <w:r w:rsidR="00EA4FE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3803F2">
        <w:rPr>
          <w:rFonts w:eastAsia="Aptos" w:cs="Noto Sans Display"/>
          <w:kern w:val="2"/>
          <w:szCs w:val="22"/>
          <w:lang w:eastAsia="en-US"/>
          <w14:ligatures w14:val="standardContextual"/>
        </w:rPr>
        <w:t>вопросов, связанных с</w:t>
      </w:r>
      <w:r w:rsidR="00EA4FE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роялти за использование фонограмм и аудиовизуальных произведений</w:t>
      </w:r>
      <w:r w:rsidR="003803F2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EA4FE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</w:t>
      </w:r>
      <w:r w:rsidR="00D07737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родолжает увеличиваться разрыв </w:t>
      </w:r>
      <w:r w:rsidR="00EA4FE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между существующей нормативно-правовой базой и ее применением н</w:t>
      </w:r>
      <w:r w:rsidR="00194F2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 практике</w:t>
      </w:r>
      <w:r w:rsidR="00D07737">
        <w:rPr>
          <w:rFonts w:eastAsia="Aptos" w:cs="Noto Sans Display"/>
          <w:kern w:val="2"/>
          <w:szCs w:val="22"/>
          <w:lang w:eastAsia="en-US"/>
          <w14:ligatures w14:val="standardContextual"/>
        </w:rPr>
        <w:t>, причем как</w:t>
      </w:r>
      <w:r w:rsidR="003803F2" w:rsidRPr="003803F2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3803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на национальном</w:t>
      </w:r>
      <w:r w:rsidR="00D07737">
        <w:rPr>
          <w:rFonts w:eastAsia="Aptos" w:cs="Noto Sans Display"/>
          <w:kern w:val="2"/>
          <w:szCs w:val="22"/>
          <w:lang w:eastAsia="en-US"/>
          <w14:ligatures w14:val="standardContextual"/>
        </w:rPr>
        <w:t>, так и</w:t>
      </w:r>
      <w:r w:rsidR="003803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международном уровне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В</w:t>
      </w:r>
      <w:r w:rsidR="005C24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глобальном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масштабе</w:t>
      </w:r>
      <w:r w:rsidR="005C24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развивающиеся страны </w:t>
      </w:r>
      <w:r w:rsidR="00BD11D4">
        <w:rPr>
          <w:rFonts w:eastAsia="Aptos" w:cs="Noto Sans Display"/>
          <w:kern w:val="2"/>
          <w:szCs w:val="22"/>
          <w:lang w:eastAsia="en-US"/>
          <w14:ligatures w14:val="standardContextual"/>
        </w:rPr>
        <w:t>по-прежнему находятся</w:t>
      </w:r>
      <w:r w:rsidR="005C24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</w:t>
      </w:r>
      <w:r w:rsidR="00896A7F">
        <w:rPr>
          <w:rFonts w:eastAsia="Aptos" w:cs="Noto Sans Display"/>
          <w:kern w:val="2"/>
          <w:szCs w:val="22"/>
          <w:lang w:eastAsia="en-US"/>
          <w14:ligatures w14:val="standardContextual"/>
        </w:rPr>
        <w:t>ущемленном</w:t>
      </w:r>
      <w:r w:rsidR="005C24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положении, обусловленном структурной асимметрией в доступе к капиталу, технологиям и правовой инфраструктуре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5C24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результате чего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5C24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лобальный Юг остается простым участнико</w:t>
      </w:r>
      <w:r w:rsidR="00477E52">
        <w:rPr>
          <w:rFonts w:eastAsia="Aptos" w:cs="Noto Sans Display"/>
          <w:kern w:val="2"/>
          <w:szCs w:val="22"/>
          <w:lang w:eastAsia="en-US"/>
          <w14:ligatures w14:val="standardContextual"/>
        </w:rPr>
        <w:t>м</w:t>
      </w:r>
      <w:r w:rsidR="005C24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системы, создаваемой и определяемой преимущественно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5C24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лобальным Севером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BB78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Эти процессы находят отражение </w:t>
      </w:r>
      <w:r w:rsidR="00BD125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 на индонезийской почве, где сбор роялти за онлайновое использование фонограмм и аудиовизуальных произведений все еще с</w:t>
      </w:r>
      <w:r w:rsidR="00477E52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опряжен </w:t>
      </w:r>
      <w:r w:rsidR="00BD125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 рядом серьезных препятствий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BD125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этом контексте в </w:t>
      </w:r>
      <w:r w:rsidR="00BD125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 xml:space="preserve">настоящем рабочем документе проанализированы и сведены воедино </w:t>
      </w:r>
      <w:r w:rsidR="005340C7">
        <w:rPr>
          <w:rFonts w:eastAsia="Aptos" w:cs="Noto Sans Display"/>
          <w:kern w:val="2"/>
          <w:szCs w:val="22"/>
          <w:lang w:eastAsia="en-US"/>
          <w14:ligatures w14:val="standardContextual"/>
        </w:rPr>
        <w:t>существующие в данном сегменте проблемы</w:t>
      </w:r>
      <w:r w:rsidR="00BD125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которые в схематическом виде </w:t>
      </w:r>
      <w:r w:rsidR="0021392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указаны ниже.</w:t>
      </w:r>
    </w:p>
    <w:p w14:paraId="428ACF7C" w14:textId="77777777" w:rsidR="000C43F7" w:rsidRPr="00340CB0" w:rsidRDefault="000C43F7" w:rsidP="000C43F7">
      <w:pPr>
        <w:spacing w:before="180" w:after="240"/>
        <w:jc w:val="both"/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noProof/>
          <w:kern w:val="2"/>
          <w:szCs w:val="22"/>
          <w:lang w:eastAsia="en-US"/>
          <w14:ligatures w14:val="standardContextual"/>
        </w:rPr>
        <w:drawing>
          <wp:anchor distT="0" distB="0" distL="0" distR="0" simplePos="0" relativeHeight="251657728" behindDoc="0" locked="0" layoutInCell="1" allowOverlap="1" wp14:anchorId="01308C03" wp14:editId="3E780F61">
            <wp:simplePos x="0" y="0"/>
            <wp:positionH relativeFrom="page">
              <wp:posOffset>914400</wp:posOffset>
            </wp:positionH>
            <wp:positionV relativeFrom="paragraph">
              <wp:posOffset>316865</wp:posOffset>
            </wp:positionV>
            <wp:extent cx="5229126" cy="3956304"/>
            <wp:effectExtent l="0" t="0" r="0" b="0"/>
            <wp:wrapTopAndBottom/>
            <wp:docPr id="11" name="image6.jpeg" descr="A diagram of a perform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 descr="A diagram of a performance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126" cy="395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6AFF8" w14:textId="0A1B473D" w:rsidR="000C43F7" w:rsidRPr="00340CB0" w:rsidRDefault="00213921" w:rsidP="000C43F7">
      <w:pPr>
        <w:spacing w:before="180" w:after="240"/>
        <w:jc w:val="both"/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Рис.</w:t>
      </w:r>
      <w:r w:rsidR="000C43F7"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 xml:space="preserve"> 1. </w:t>
      </w:r>
      <w:r w:rsidR="001E48A8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П</w:t>
      </w:r>
      <w:r w:rsidR="003858EF"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 xml:space="preserve">роблемы в области </w:t>
      </w:r>
      <w:r w:rsidR="001E48A8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 xml:space="preserve">регулирования </w:t>
      </w:r>
      <w:r w:rsidR="003858EF"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авторск</w:t>
      </w:r>
      <w:r w:rsidR="001E48A8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о-правовых вопросов в секторе</w:t>
      </w:r>
      <w:r w:rsidR="003858EF"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 xml:space="preserve"> фонограмм и аудиовизуальны</w:t>
      </w:r>
      <w:r w:rsidR="001E48A8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 xml:space="preserve">х произведений </w:t>
      </w:r>
      <w:r w:rsidR="003858EF"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в цифровой среде</w:t>
      </w:r>
      <w:r w:rsidR="001E48A8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 xml:space="preserve"> на уровне регионов</w:t>
      </w:r>
    </w:p>
    <w:p w14:paraId="4CD9BAD3" w14:textId="5DA37EA1" w:rsidR="000C43F7" w:rsidRPr="00340CB0" w:rsidRDefault="00BC024D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Если </w:t>
      </w:r>
      <w:r w:rsidR="00EA0B6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опираться на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представленн</w:t>
      </w:r>
      <w:r w:rsidR="00EA0B65">
        <w:rPr>
          <w:rFonts w:eastAsia="Aptos" w:cs="Noto Sans Display"/>
          <w:kern w:val="2"/>
          <w:szCs w:val="22"/>
          <w:lang w:eastAsia="en-US"/>
          <w14:ligatures w14:val="standardContextual"/>
        </w:rPr>
        <w:t>ую выше схему, становится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очевидно, что на национальном,</w:t>
      </w:r>
      <w:r w:rsidR="009779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как и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на международном уровне</w:t>
      </w:r>
      <w:r w:rsidR="009779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корень проблем</w:t>
      </w:r>
      <w:r w:rsidR="00E92388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связанных с </w:t>
      </w:r>
      <w:r w:rsidR="009779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лицензировани</w:t>
      </w:r>
      <w:r w:rsidR="00E92388">
        <w:rPr>
          <w:rFonts w:eastAsia="Aptos" w:cs="Noto Sans Display"/>
          <w:kern w:val="2"/>
          <w:szCs w:val="22"/>
          <w:lang w:eastAsia="en-US"/>
          <w14:ligatures w14:val="standardContextual"/>
        </w:rPr>
        <w:t>ем</w:t>
      </w:r>
      <w:r w:rsidR="009779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 выплат</w:t>
      </w:r>
      <w:r w:rsidR="00E92388">
        <w:rPr>
          <w:rFonts w:eastAsia="Aptos" w:cs="Noto Sans Display"/>
          <w:kern w:val="2"/>
          <w:szCs w:val="22"/>
          <w:lang w:eastAsia="en-US"/>
          <w14:ligatures w14:val="standardContextual"/>
        </w:rPr>
        <w:t>ой</w:t>
      </w:r>
      <w:r w:rsidR="009779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роялти за онлайновое использование музыки</w:t>
      </w:r>
      <w:r w:rsidR="00E92388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9779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кроется в структурной асимметрии в глобальной системе ИС, что непосредственно отражается на внутренних реалиях развивающихся стран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9779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практической плоскости эта асимметрия выражается в ряде </w:t>
      </w:r>
      <w:r w:rsidR="0098042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проблем, которые </w:t>
      </w:r>
      <w:r w:rsidR="009779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можно отнести к одной из четырех </w:t>
      </w:r>
      <w:r w:rsidR="00980429">
        <w:rPr>
          <w:rFonts w:eastAsia="Aptos" w:cs="Noto Sans Display"/>
          <w:kern w:val="2"/>
          <w:szCs w:val="22"/>
          <w:lang w:eastAsia="en-US"/>
          <w14:ligatures w14:val="standardContextual"/>
        </w:rPr>
        <w:t>категорий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: (1) </w:t>
      </w:r>
      <w:r w:rsidR="009779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регулирование порядка сбора и распределения роялти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(2) </w:t>
      </w:r>
      <w:r w:rsidR="009779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механизмы выплаты роялти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(3) </w:t>
      </w:r>
      <w:r w:rsidR="009779C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централизация глобальной </w:t>
      </w:r>
      <w:r w:rsidR="006375D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базы данных по авторскому праву 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(4) </w:t>
      </w:r>
      <w:r w:rsidR="006375D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различия в </w:t>
      </w:r>
      <w:r w:rsidR="00FC3A5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расчете </w:t>
      </w:r>
      <w:r w:rsidR="006375D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роялти</w:t>
      </w:r>
      <w:r w:rsidR="00FC3A5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авторском праве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57E1028C" w14:textId="2F742668" w:rsidR="000C43F7" w:rsidRPr="00340CB0" w:rsidRDefault="00F509C5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Первое — регулирование порядка сбора и распределения роялти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организациями коллективного управления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A9257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Поскольку правообладатели, как правило, не могут</w:t>
      </w:r>
      <w:r w:rsidR="00B96AC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самостоятельно проводит</w:t>
      </w:r>
      <w:r w:rsidR="004602DE">
        <w:rPr>
          <w:rFonts w:eastAsia="Aptos" w:cs="Noto Sans Display"/>
          <w:kern w:val="2"/>
          <w:szCs w:val="22"/>
          <w:lang w:eastAsia="en-US"/>
          <w14:ligatures w14:val="standardContextual"/>
        </w:rPr>
        <w:t>ь</w:t>
      </w:r>
      <w:r w:rsidR="00B96AC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сбор </w:t>
      </w:r>
      <w:r w:rsidR="00A9257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роялти с пользователей, ОКУ </w:t>
      </w:r>
      <w:r w:rsidR="00B96AC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берет на себя </w:t>
      </w:r>
      <w:r w:rsidR="00A9257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роль посредника, который собирает роялти с пользователей и распределяет их среди правообладателей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48372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Этот механизм является </w:t>
      </w:r>
      <w:r w:rsidR="00B8494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международным стандартом в области административного управления роялти по крайней мере с</w:t>
      </w:r>
      <w:r w:rsidR="004602DE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1886 года, когда была принята</w:t>
      </w:r>
      <w:r w:rsidR="00B8494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Бернск</w:t>
      </w:r>
      <w:r w:rsidR="004602DE">
        <w:rPr>
          <w:rFonts w:eastAsia="Aptos" w:cs="Noto Sans Display"/>
          <w:kern w:val="2"/>
          <w:szCs w:val="22"/>
          <w:lang w:eastAsia="en-US"/>
          <w14:ligatures w14:val="standardContextual"/>
        </w:rPr>
        <w:t>ая</w:t>
      </w:r>
      <w:r w:rsidR="00B8494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конвенци</w:t>
      </w:r>
      <w:r w:rsidR="004602DE">
        <w:rPr>
          <w:rFonts w:eastAsia="Aptos" w:cs="Noto Sans Display"/>
          <w:kern w:val="2"/>
          <w:szCs w:val="22"/>
          <w:lang w:eastAsia="en-US"/>
          <w14:ligatures w14:val="standardContextual"/>
        </w:rPr>
        <w:t>я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AC29B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Однако, как было отмечено выше, нормативные механизмы, регулирующие деятельность ОКУ, пока далеки от оптимальных, особенно в части обеспечения фундаментальных принципов справедливости, инклюзивности и транспарентности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AC29B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Что касается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AC29BF" w:rsidRPr="00340CB0">
        <w:rPr>
          <w:rFonts w:eastAsia="Aptos" w:cs="Noto Sans Display"/>
          <w:b/>
          <w:bCs/>
          <w:i/>
          <w:iCs/>
          <w:kern w:val="2"/>
          <w:szCs w:val="22"/>
          <w:lang w:eastAsia="en-US"/>
          <w14:ligatures w14:val="standardContextual"/>
        </w:rPr>
        <w:t>справедливости и инклюзивности</w:t>
      </w:r>
      <w:r w:rsidR="00AC29BF"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,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AC29B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проводившиеся исследования обнаружили сохраняющиеся проблемы в национальных нормативно-</w:t>
      </w:r>
      <w:r w:rsidR="00AC29B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>правовых базах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</w:t>
      </w:r>
      <w:r w:rsidR="00AC29B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 в отдельных случаях и в региональных, как показывает пример Европейского союза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). </w:t>
      </w:r>
      <w:r w:rsidR="00DD57A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Так, отдельные директивы ЕС создают угрозу усил</w:t>
      </w:r>
      <w:r w:rsidR="007C052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ен</w:t>
      </w:r>
      <w:r w:rsidR="00DD57A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ия господства крупных ОКУ</w:t>
      </w:r>
      <w:r w:rsidR="007C052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ущерб более мелких организаций в рамках механизма выплаты роялти за онлайновое использование произведений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23"/>
      </w:r>
      <w:r w:rsidR="007C052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2E5A6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Аналогичные проблемы отмечаются и в Африке, где отсутствие соглашений о максимальном размере вычет</w:t>
      </w:r>
      <w:r w:rsidR="00A22F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ов на административные расходы вылилось в крупные удержания из общей суммы собранных роялти (от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20</w:t>
      </w:r>
      <w:r w:rsidR="00A22F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до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40</w:t>
      </w:r>
      <w:r w:rsidR="00A22F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%)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24"/>
      </w:r>
      <w:r w:rsidR="00A22F0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D0725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Более того, нередко </w:t>
      </w:r>
      <w:r w:rsidR="00DA061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возникают </w:t>
      </w:r>
      <w:r w:rsidR="00D0725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вопросы </w:t>
      </w:r>
      <w:r w:rsidR="00DA061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к </w:t>
      </w:r>
      <w:r w:rsidR="00DA0616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сп</w:t>
      </w:r>
      <w:r w:rsidR="00D0725A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о</w:t>
      </w:r>
      <w:r w:rsidR="00DA0616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собности ОКУ осуществлять </w:t>
      </w:r>
      <w:r w:rsidR="00D0725A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финансово</w:t>
      </w:r>
      <w:r w:rsidR="00DA0616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е</w:t>
      </w:r>
      <w:r w:rsidR="00D0725A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управлени</w:t>
      </w:r>
      <w:r w:rsidR="00DA0616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е</w:t>
      </w:r>
      <w:r w:rsidR="00DA061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на фоне непропорционального распределения собранных роялти на административные и операционные расходы таких организаций вместо их перечисления правообладателям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25"/>
      </w:r>
      <w:r w:rsidR="00DA061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73206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</w:t>
      </w:r>
      <w:r w:rsidR="00DA061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сновные проблемы</w:t>
      </w:r>
      <w:r w:rsidR="0073206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связанные с </w:t>
      </w:r>
      <w:r w:rsidR="0073206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транспарентностью</w:t>
      </w:r>
      <w:r w:rsidR="0073206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DA061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кроются в ограниченной подотчетности ОКУ перед правообладателями</w:t>
      </w:r>
      <w:r w:rsidR="0073206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(отсутствует регулярный механизм отчетности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26"/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73206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или чрезмерно сложно разъясняются механизмы распределения роялти)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27"/>
      </w:r>
      <w:r w:rsidR="0073206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50266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Кроме того, нередко сообщается о не</w:t>
      </w:r>
      <w:r w:rsidR="00AE46F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н</w:t>
      </w:r>
      <w:r w:rsidR="0050266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ад</w:t>
      </w:r>
      <w:r w:rsidR="00AE46F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</w:t>
      </w:r>
      <w:r w:rsidR="0050266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AE46F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жащей</w:t>
      </w:r>
      <w:r w:rsidR="0050266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надзорной деятельности надзорных органов, таких как аудиторские комиссии или национальные ведомства ИС, в первую очередь в странах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50266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лобального Юга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28"/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536D7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Все эти заключения указывают на то, что во многих юрисдикциях сбор и распределение роялти силами ОКУ еще далеки от соответствия принципам справедливости, инклюзивности и транспарентности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6E2BA327" w14:textId="5F49B7B6" w:rsidR="000C43F7" w:rsidRPr="00340CB0" w:rsidRDefault="002E4EB3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Второе — системы распределения роялти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74685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Международные договоры действительно оставляют в компетенции национального законодательства государств-членов подробную проработку механизмов распределения роялти, однако страны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Гл</w:t>
      </w:r>
      <w:r w:rsidR="0074685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обального Севера по сравнению с представителями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74685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лобального Юга в основном находятся в более выгодном положении на переговорах с платформами цифровой музыки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526D9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Учитывая, что режим ИС вырос из частного права и основан на правовом принципе свободы договора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29"/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="00B52A5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нем преобладают методы, </w:t>
      </w:r>
      <w:r w:rsidR="001E64F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которые дают существенную фору </w:t>
      </w:r>
      <w:r w:rsidR="00B52A5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механизм</w:t>
      </w:r>
      <w:r w:rsidR="001E64F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ам</w:t>
      </w:r>
      <w:r w:rsidR="00B52A5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свободного рынка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5215A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Наиболее распространенные сегодня договорные модели опираются на Закон США «Об авторском праве», который в сущности отражает процессы развития современной отрасли цифровой музыки с господствующими в ней крупными корпорациями из развитых экономик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30"/>
      </w:r>
      <w:r w:rsidR="005215A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FD3D1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Если обратиться к примеру Индонезии, то доля подписчиков в этой стране остается исключительно низкой, менее 20% от всех пользователей, </w:t>
      </w:r>
      <w:r w:rsidR="0074307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что ведет к применению механизма «минимального распределения»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E54CC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такой системе сложно говорить о какой-либо реализации принципов справедливости и инклюзивности при распределении роялти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DF65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Ц</w:t>
      </w:r>
      <w:r w:rsidR="00EA663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ентральная проблема </w:t>
      </w:r>
      <w:r w:rsidR="00DF65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во всей этой ситуации </w:t>
      </w:r>
      <w:r w:rsidR="00EA663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связана с полемикой вокруг </w:t>
      </w:r>
      <w:r w:rsidR="00EA6631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м</w:t>
      </w:r>
      <w:r w:rsidR="00BB2899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одели</w:t>
      </w:r>
      <w:r w:rsidR="00EA6631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пропорционального распределения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(PRM)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="003B54C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которая служит основой для распределения роялти крупными цифровыми платформами, среди которых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Spotify </w:t>
      </w:r>
      <w:r w:rsidR="003B54C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Apple Music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31"/>
      </w:r>
      <w:r w:rsidR="003B54C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DF65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Во многих исследованиях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32"/>
      </w:r>
      <w:r w:rsidR="00DF65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содержится критика схемы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PRM</w:t>
      </w:r>
      <w:r w:rsidR="00DF65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за то, что она позволят непропорционально вознаграждать платформы и крупные лейблы и </w:t>
      </w:r>
      <w:r w:rsidR="007533D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обеспечивает </w:t>
      </w:r>
      <w:r w:rsidR="00DF65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лишь минимально</w:t>
      </w:r>
      <w:r w:rsidR="007533DF"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DF65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вознагражд</w:t>
      </w:r>
      <w:r w:rsidR="007533D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ение </w:t>
      </w:r>
      <w:r w:rsidR="00DF65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правообладател</w:t>
      </w:r>
      <w:r w:rsidR="007533DF">
        <w:rPr>
          <w:rFonts w:eastAsia="Aptos" w:cs="Noto Sans Display"/>
          <w:kern w:val="2"/>
          <w:szCs w:val="22"/>
          <w:lang w:eastAsia="en-US"/>
          <w14:ligatures w14:val="standardContextual"/>
        </w:rPr>
        <w:t>ям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DF427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Эта ситуация стала толчком для поиска альтернативных схем распределения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C9485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Однако </w:t>
      </w:r>
      <w:r w:rsidR="00DB0F4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примечательно, </w:t>
      </w:r>
      <w:r w:rsidR="00C9485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что главными инициаторами таких шагов выступают в основном страны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C9485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лобального Севера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</w:t>
      </w:r>
      <w:r w:rsidR="00C9485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Соединенное Королевство, Финляндия и Соединенные Штаты Америки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)</w:t>
      </w:r>
      <w:r w:rsidR="00C9485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стремясь подстегнуть более здоровую конкуренцию на рынке и создать более инклюзивную экосистему в интересах авторов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1B1EF765" w14:textId="0BA6028B" w:rsidR="000C43F7" w:rsidRPr="00340CB0" w:rsidRDefault="0054563B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Третье — централизация глобальной базы данных по авторскому праву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Ряд исследований высвечивают серьезные различия между ОКУ с точки зрения способности создать адекватную инфраструктуру для управления данными об авторских правах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47217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Под этими различиями следует понимать, что лишь ОКУ, располагающие достаточными возможностями, в состоянии эффективно проводить сбор и распределение роялти, особенно в трансграничном контексте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47217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Например, данные о членах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CISAC </w:t>
      </w:r>
      <w:r w:rsidR="0047217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показывают, что афф</w:t>
      </w:r>
      <w:r w:rsidR="00632E2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47217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лированные ОКУ по-прежнему находятся под влиянием европейских и североамериканских организаций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632E2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Эта ситуация </w:t>
      </w:r>
      <w:r w:rsidR="00632E2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 xml:space="preserve">свидетельствует не просто о дисбалансе в мире, но и о различиях между странами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632E2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лобального Севера, поскольку </w:t>
      </w:r>
      <w:r w:rsidR="005F0D3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выполнить </w:t>
      </w:r>
      <w:r w:rsidR="00632E2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требования стандартизации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CIS-Net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33"/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632E28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основном могут только относительно крупные ОКУ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21646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общеевропейском контексте это вызвало немало критики профильных директив ЕС, которые нередко расценивают</w:t>
      </w:r>
      <w:r w:rsidR="003F01FD">
        <w:rPr>
          <w:rFonts w:eastAsia="Aptos" w:cs="Noto Sans Display"/>
          <w:kern w:val="2"/>
          <w:szCs w:val="22"/>
          <w:lang w:eastAsia="en-US"/>
          <w14:ligatures w14:val="standardContextual"/>
        </w:rPr>
        <w:t>ся</w:t>
      </w:r>
      <w:r w:rsidR="0021646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как неспособн</w:t>
      </w:r>
      <w:r w:rsidR="003F01FD">
        <w:rPr>
          <w:rFonts w:eastAsia="Aptos" w:cs="Noto Sans Display"/>
          <w:kern w:val="2"/>
          <w:szCs w:val="22"/>
          <w:lang w:eastAsia="en-US"/>
          <w14:ligatures w14:val="standardContextual"/>
        </w:rPr>
        <w:t>ые</w:t>
      </w:r>
      <w:r w:rsidR="0021646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обеспечить </w:t>
      </w:r>
      <w:r w:rsidR="00216469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честную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21646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216469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инклюзивную</w:t>
      </w:r>
      <w:r w:rsidR="0021646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конкуренцию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D774F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Вопросы справедливости и инклюзивности также вызывают обеспокоенность в таких странах, как Индонезия, Индия и Испания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D774F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Несмотря на то что эти страны лидируют по общему числу музыкальных трансляций, </w:t>
      </w:r>
      <w:r w:rsidR="003F01FD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именно </w:t>
      </w:r>
      <w:r w:rsidR="00D774F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они </w:t>
      </w:r>
      <w:r w:rsidR="0029690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зарабатывают на музыке</w:t>
      </w:r>
      <w:r w:rsidR="003F01FD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меньше </w:t>
      </w:r>
      <w:r w:rsidR="00523971">
        <w:rPr>
          <w:rFonts w:eastAsia="Aptos" w:cs="Noto Sans Display"/>
          <w:kern w:val="2"/>
          <w:szCs w:val="22"/>
          <w:lang w:eastAsia="en-US"/>
          <w14:ligatures w14:val="standardContextual"/>
        </w:rPr>
        <w:t>всех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34"/>
      </w:r>
      <w:r w:rsidR="00D774F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497F6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Так, в Индонезии представители отрасли приводят примеры ситуаций, когда другие страны </w:t>
      </w:r>
      <w:r w:rsidR="004D7A3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пре</w:t>
      </w:r>
      <w:r w:rsidR="0016020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тендовали на роль </w:t>
      </w:r>
      <w:r w:rsidR="00497F6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«представ</w:t>
      </w:r>
      <w:r w:rsidR="0016020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ителя</w:t>
      </w:r>
      <w:r w:rsidR="004D7A3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» Индонези</w:t>
      </w:r>
      <w:r w:rsidR="0016020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4D7A3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на переговорах с цифровыми платформами, ссылаясь на то, что </w:t>
      </w:r>
      <w:r w:rsidR="000727AF">
        <w:rPr>
          <w:rFonts w:eastAsia="Aptos" w:cs="Noto Sans Display"/>
          <w:kern w:val="2"/>
          <w:szCs w:val="22"/>
          <w:lang w:eastAsia="en-US"/>
          <w14:ligatures w14:val="standardContextual"/>
        </w:rPr>
        <w:t>эта страна</w:t>
      </w:r>
      <w:r w:rsidR="004D7A3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«не может» </w:t>
      </w:r>
      <w:r w:rsidR="0016020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выполнить отраслевые стандарты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35"/>
      </w:r>
      <w:r w:rsidR="0016020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C56C4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Такое восприятие грозит вылиться в колоссальные потери дохода, поскольку роялти</w:t>
      </w:r>
      <w:r w:rsidR="000727AF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C56C4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происходящие из других юрисдикций</w:t>
      </w:r>
      <w:r w:rsidR="0020240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C56C4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по существу</w:t>
      </w:r>
      <w:r w:rsidR="000727A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исчезают</w:t>
      </w:r>
      <w:r w:rsidR="00C56C4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«черном ящике», не доходя до законных правообладателей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0E05AAA5" w14:textId="6572F31D" w:rsidR="000C43F7" w:rsidRPr="00340CB0" w:rsidRDefault="0020240A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Еще одна инициатива, нацеленная на повышение транспарентности в системе управления данными о музыкальных произведениях, </w:t>
      </w:r>
      <w:r w:rsidR="000C43F7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Open Music Initiative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E9220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была инициирована Музыкальным колледжем Беркли и Медиа-лабораторией Массачусетского технологического института (</w:t>
      </w:r>
      <w:r w:rsidR="001947F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МТИ</w:t>
      </w:r>
      <w:r w:rsidR="00E9220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)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E416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Эта инициатива, инспирированная академическими кругами, была встречена </w:t>
      </w:r>
      <w:r w:rsidR="0010040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 энтузиазмом </w:t>
      </w:r>
      <w:r w:rsidR="00E416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 стала катализатором межсекторального сотрудничества разных игроков музыкального отрасли,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E416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включая цифровые платформы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Spotify </w:t>
      </w:r>
      <w:r w:rsidR="00E416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YouTube, </w:t>
      </w:r>
      <w:r w:rsidR="00E416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 также ведущие музыкальные лейблы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36"/>
      </w:r>
      <w:r w:rsidR="00E4160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619F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Эта инициатива появилась в ответ на неуклонную фрагментацию системы управления данными о репертуарах, которая служит фундаментом сбора и распределения роялти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B10FC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Фрагментация затрудняет согласование метаданных музыкальных произведений и </w:t>
      </w:r>
      <w:r w:rsidR="001E64F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подсчет всех </w:t>
      </w:r>
      <w:r w:rsidR="00F662D9">
        <w:rPr>
          <w:rFonts w:eastAsia="Aptos" w:cs="Noto Sans Display"/>
          <w:kern w:val="2"/>
          <w:szCs w:val="22"/>
          <w:lang w:eastAsia="en-US"/>
          <w14:ligatures w14:val="standardContextual"/>
        </w:rPr>
        <w:t>онлайн-</w:t>
      </w:r>
      <w:r w:rsidR="001E64F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трансляций, что подрывает </w:t>
      </w:r>
      <w:r w:rsidR="001E64FC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транспарентность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1E64F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секторе музыкального стриминга в целом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37"/>
      </w:r>
      <w:r w:rsidR="001E64F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480CB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Конкретные шаги </w:t>
      </w:r>
      <w:r w:rsidR="0010040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этих </w:t>
      </w:r>
      <w:r w:rsidR="00480CB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двух ведущих сил, запускающих инновационные процессы (субъекты отрасли и вузы)</w:t>
      </w:r>
      <w:r w:rsidR="00100409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480CB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нужно понимать как </w:t>
      </w:r>
      <w:r w:rsidR="00480CB9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сигнал к действию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480CB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для правительств</w:t>
      </w:r>
      <w:r w:rsidR="0016415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чья роль регулятора обязывает прин</w:t>
      </w:r>
      <w:r w:rsidR="0029012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я</w:t>
      </w:r>
      <w:r w:rsidR="0016415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ть оперативные меры для консолидации усилий и продвижения этих вопросов в рамках международных форумов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0A704453" w14:textId="5F230CEF" w:rsidR="000C43F7" w:rsidRPr="00340CB0" w:rsidRDefault="00B8405F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Упомянутая и</w:t>
      </w:r>
      <w:r w:rsidR="001355D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нициатива </w:t>
      </w:r>
      <w:r w:rsidR="00726CE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не является </w:t>
      </w:r>
      <w:r w:rsidR="001355D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беспрецедентно</w:t>
      </w:r>
      <w:r w:rsidR="00726CE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1355D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2010</w:t>
      </w:r>
      <w:r w:rsidR="001355D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году </w:t>
      </w:r>
      <w:r w:rsidR="00026439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музыкальная отрасль при содействии ВОИС начала работу по созданию Глобальной репертуарной базы данных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(GRD)</w:t>
      </w:r>
      <w:r w:rsidR="00726CE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: это была новаторская инициатива, направленная на создание централизованной музыкальной базы данных для систематизации глобальных процедур лицензирования и повышения транспарентности в системе управления правами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38"/>
      </w:r>
      <w:r w:rsidR="00726CE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5A620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Через десять лет, в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2020</w:t>
      </w:r>
      <w:r w:rsidR="005A620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году, ВОИС </w:t>
      </w:r>
      <w:r w:rsidR="00887C8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запустила платформу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WIPO Connect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39"/>
      </w:r>
      <w:r w:rsidR="00887C8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а впоследствии заключила соглашение с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CISAC</w:t>
      </w:r>
      <w:r w:rsidR="000177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 целью упростить порядок использования </w:t>
      </w:r>
      <w:r w:rsidR="00887C8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международной информационн</w:t>
      </w:r>
      <w:r w:rsidR="000177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ой</w:t>
      </w:r>
      <w:r w:rsidR="00887C8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систем</w:t>
      </w:r>
      <w:r w:rsidR="000177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ы</w:t>
      </w:r>
      <w:r w:rsidR="00887C8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CISAC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40"/>
      </w:r>
      <w:r w:rsidR="000177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соответствующими бенефициарами</w:t>
      </w:r>
      <w:r w:rsidR="00887C8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2470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При этом не стоит забывать, что </w:t>
      </w:r>
      <w:r w:rsidR="000177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первую очередь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WIPO Connect</w:t>
      </w:r>
      <w:r w:rsidR="000177DC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играет роль базового инструмента для развивающихся стран, позволяя им выполнить по крайней мере основополагающие требования отраслевых стандартов, которые были установлены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CISAC. </w:t>
      </w:r>
      <w:r w:rsidR="0090145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Однако о</w:t>
      </w:r>
      <w:r w:rsidR="001D09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трасль, как и цифровые платформы станов</w:t>
      </w:r>
      <w:r w:rsidR="00024705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1D09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тся все более комплексн</w:t>
      </w:r>
      <w:r w:rsidR="00024705">
        <w:rPr>
          <w:rFonts w:eastAsia="Aptos" w:cs="Noto Sans Display"/>
          <w:kern w:val="2"/>
          <w:szCs w:val="22"/>
          <w:lang w:eastAsia="en-US"/>
          <w14:ligatures w14:val="standardContextual"/>
        </w:rPr>
        <w:t>ой</w:t>
      </w:r>
      <w:r w:rsidR="001D09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и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WIPO Connect</w:t>
      </w:r>
      <w:r w:rsidR="001D09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нередко </w:t>
      </w:r>
      <w:r w:rsidR="00A5436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рассматривается как инструмент, не способный полноценно закрыть </w:t>
      </w:r>
      <w:r w:rsidR="001D09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потребност</w:t>
      </w:r>
      <w:r w:rsidR="00A5436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="001D09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новых ОКУ в ряде юрисдикций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41"/>
      </w:r>
      <w:r w:rsidR="001D096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0FF9E977" w14:textId="7247CB04" w:rsidR="000C43F7" w:rsidRPr="00340CB0" w:rsidRDefault="000A2750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Пример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GRD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42"/>
      </w:r>
      <w:r w:rsidR="00D85E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наряду с </w:t>
      </w:r>
      <w:r w:rsidR="005375C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аналогичны</w:t>
      </w:r>
      <w:r w:rsidR="00D85E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ми</w:t>
      </w:r>
      <w:r w:rsidR="005375C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инициатив</w:t>
      </w:r>
      <w:r w:rsidR="00D85E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ами</w:t>
      </w:r>
      <w:r w:rsidR="005375C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(например,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WIPO Connect</w:t>
      </w:r>
      <w:r w:rsidR="005375C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)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заслуживает внимание как </w:t>
      </w:r>
      <w:r w:rsidR="005375C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передов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ая</w:t>
      </w:r>
      <w:r w:rsidR="00D85E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практик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а</w:t>
      </w:r>
      <w:r w:rsidR="005375C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закладыва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ющая </w:t>
      </w:r>
      <w:r w:rsidR="005375C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основу для централизации данных об авторских правах на международном уровне под эгидой международной организации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D85E9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Опираясь на эти прецеденты, можно уверенно говорить о том, что ВОИС могла бы стать центральным органом, курирующим глобальную базу данных о фонограммах и аудиовизуальных произведениях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B27E0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Такой механизм повысил бы транспарентность, операционную совместимость и справедливость в системе </w:t>
      </w:r>
      <w:r w:rsidR="00B27E0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>управления авторскими правами и укрепил доверие к ней и сотрудничество на глобальном уровне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370B1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Благодаря своим институциональным полномочиям, компетенции и атмосфере доверия среди государств-членов ВОИС является уникальной площадкой для гармонизации норм и правил, позволяющих устранить сохраняющиеся различия между развитыми и развивающимися экономиками в глобальной творческой экосистеме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017E2E62" w14:textId="337DE677" w:rsidR="000C43F7" w:rsidRPr="00340CB0" w:rsidRDefault="00FE286F" w:rsidP="000C43F7">
      <w:pPr>
        <w:spacing w:before="180" w:after="240"/>
        <w:ind w:firstLine="72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Четвертое — различия в </w:t>
      </w:r>
      <w:r w:rsidR="00FC3A5B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расчете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роялти</w:t>
      </w:r>
      <w:r w:rsidR="00FC3A5B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в авторском праве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210EA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целом, как отмечают исследования, субъекты авторско-правового сектора в странах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210EA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лобального Севера имеют более широкие возможности влиять на определение размера роялти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43"/>
      </w:r>
      <w:r w:rsidR="00210EA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8B23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Благодаря качественным финансовым, техническим и культурным </w:t>
      </w:r>
      <w:r w:rsidR="005825B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возможностям</w:t>
      </w:r>
      <w:r w:rsidR="008B23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="005825B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он</w:t>
      </w:r>
      <w:r w:rsidR="008B23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и могут более продуктивно проникать на рынки и </w:t>
      </w:r>
      <w:r w:rsidR="008533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обеспечивать </w:t>
      </w:r>
      <w:r w:rsidR="008B22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лучш</w:t>
      </w:r>
      <w:r w:rsidR="008533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ую узнава</w:t>
      </w:r>
      <w:r w:rsidR="008B22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8533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мость</w:t>
      </w:r>
      <w:r w:rsidR="008B22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8B23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свои</w:t>
      </w:r>
      <w:r w:rsidR="008533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х</w:t>
      </w:r>
      <w:r w:rsidR="008B234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произведени</w:t>
      </w:r>
      <w:r w:rsidR="008533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й</w:t>
      </w:r>
      <w:r w:rsidR="008B22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что, в свою очередь, повышает</w:t>
      </w:r>
      <w:r w:rsidR="008533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их</w:t>
      </w:r>
      <w:r w:rsidR="008B22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8533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стоимость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8B22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Этот структурный недостаток сформировался под влиянием нескольких факторов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4F320D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В</w:t>
      </w:r>
      <w:r w:rsidR="008B22D0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финансово</w:t>
      </w:r>
      <w:r w:rsidR="004F320D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м отношении</w:t>
      </w:r>
      <w:r w:rsidR="008B22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участники </w:t>
      </w:r>
      <w:r w:rsidR="008533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отрасли</w:t>
      </w:r>
      <w:r w:rsidR="008B22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из стран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8B22D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лобального Севера могут гораздо шире продвигать свои произведения на международном рынке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4F320D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В техническом отношении </w:t>
      </w:r>
      <w:r w:rsidR="004F320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они </w:t>
      </w:r>
      <w:r w:rsidR="005825B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могут свободнее</w:t>
      </w:r>
      <w:r w:rsidR="004F320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использова</w:t>
      </w:r>
      <w:r w:rsidR="005825B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ть</w:t>
      </w:r>
      <w:r w:rsidR="004F320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цифровы</w:t>
      </w:r>
      <w:r w:rsidR="005825B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</w:t>
      </w:r>
      <w:r w:rsidR="004F320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инструмент</w:t>
      </w:r>
      <w:r w:rsidR="005825B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ы</w:t>
      </w:r>
      <w:r w:rsidR="004F320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для выхода на потенциальных </w:t>
      </w:r>
      <w:r w:rsidR="005825B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пользователей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4F153E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В культурном отношении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4F153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привилегированный статус языков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4F153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лобального Севера (английский, французский и испанский) как мировых языков межнационального общения значительно повышает охват аудитории и рынка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44"/>
      </w:r>
      <w:r w:rsidR="004F153E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392E1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Во многих странах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392E1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лобального Юга, напротив, местные языки используются только</w:t>
      </w:r>
      <w:r w:rsidR="008533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для внутреннего пользования </w:t>
      </w:r>
      <w:r w:rsidR="00171E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или на уровне региона, что ограничивает их международное влияние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171E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результате произведения, созданные в странах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171E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лобального Севера, как правило, </w:t>
      </w:r>
      <w:r w:rsidR="0085336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оцениваются дороже</w:t>
      </w:r>
      <w:r w:rsidR="00171E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чем созданные на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="00171E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лобальном Юге, что отражает не только художественные достоинства, но и укоренившуюся асимметрию с точки зрения ресурсов и доступа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60C62943" w14:textId="5BA7BD28" w:rsidR="000C43F7" w:rsidRPr="00340CB0" w:rsidRDefault="00171EE5" w:rsidP="000C43F7">
      <w:pPr>
        <w:spacing w:before="180" w:after="240"/>
        <w:ind w:firstLine="720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На следующем уровне четыре описанные выше проблемы </w:t>
      </w:r>
      <w:r w:rsidR="0004257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пересекаются еще и с вопросами, касающимися издательских прав</w:t>
      </w:r>
      <w:r w:rsidR="007836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: это</w:t>
      </w:r>
      <w:r w:rsidR="0004257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смежное понятие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45"/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4257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онлайн-среде, введенное для защиты прав работников медиа-отрасли применительно к</w:t>
      </w:r>
      <w:r w:rsidR="005701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результатам</w:t>
      </w:r>
      <w:r w:rsidR="0004257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их журналистской деятельности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7836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Результаты журналистского труда, как и музыкальные произведения, по-прежнему </w:t>
      </w:r>
      <w:r w:rsidR="005701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подвержены </w:t>
      </w:r>
      <w:r w:rsidR="007836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несанкционированно</w:t>
      </w:r>
      <w:r w:rsidR="005701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му</w:t>
      </w:r>
      <w:r w:rsidR="007836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использовани</w:t>
      </w:r>
      <w:r w:rsidR="005701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ю</w:t>
      </w:r>
      <w:r w:rsidR="007836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ведущими технологическими платформами</w:t>
      </w:r>
      <w:r w:rsidR="003A4B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либо для использования </w:t>
      </w:r>
      <w:r w:rsidR="007836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искусственным интеллектом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46"/>
      </w:r>
      <w:r w:rsidR="003A4B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либо для переработки и воспроизведения</w:t>
      </w:r>
      <w:r w:rsidR="007836E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виде нового аудиовизуального контента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6D533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Эта ситуация </w:t>
      </w:r>
      <w:r w:rsidR="00030D9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подчеркивает срочную необходимость создания</w:t>
      </w:r>
      <w:r w:rsidR="003A4B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комплексной межсекторальной нормативной основы, призванной обеспечить заслуженную охрану и справедливое вознаграждение авторов за создаваемые произведения в условиях все более стремительно</w:t>
      </w:r>
      <w:r w:rsidR="00156777">
        <w:rPr>
          <w:rFonts w:eastAsia="Aptos" w:cs="Noto Sans Display"/>
          <w:kern w:val="2"/>
          <w:szCs w:val="22"/>
          <w:lang w:eastAsia="en-US"/>
          <w14:ligatures w14:val="standardContextual"/>
        </w:rPr>
        <w:t>го развития</w:t>
      </w:r>
      <w:r w:rsidR="003A4B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цифровой экосистемы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2D29CA01" w14:textId="4F5CCBE5" w:rsidR="000C43F7" w:rsidRPr="00340CB0" w:rsidRDefault="009C0E42" w:rsidP="00F12E57">
      <w:pPr>
        <w:spacing w:before="180" w:after="240"/>
        <w:ind w:firstLine="567"/>
        <w:jc w:val="both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Приведенный выше анализ четко указывает на то, что проблемы, связанные </w:t>
      </w:r>
      <w:r w:rsidR="00AF5EA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роялти за использование фонограмм и аудиовизуальных произведений, невозможно эффективно решить </w:t>
      </w:r>
      <w:r w:rsidR="00AF5EA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изоляции, на одном лишь национальном уровне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Трансграничный характер этих вопросов требует согласованной международной реакции, в частности создания юридически обязательного документа, который бы обеспечил справедливо</w:t>
      </w:r>
      <w:r w:rsidR="0059753A">
        <w:rPr>
          <w:rFonts w:eastAsia="Aptos" w:cs="Noto Sans Display"/>
          <w:kern w:val="2"/>
          <w:szCs w:val="22"/>
          <w:lang w:eastAsia="en-US"/>
          <w14:ligatures w14:val="standardContextual"/>
        </w:rPr>
        <w:t>сть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транспарентно</w:t>
      </w:r>
      <w:r w:rsidR="0059753A">
        <w:rPr>
          <w:rFonts w:eastAsia="Aptos" w:cs="Noto Sans Display"/>
          <w:kern w:val="2"/>
          <w:szCs w:val="22"/>
          <w:lang w:eastAsia="en-US"/>
          <w14:ligatures w14:val="standardContextual"/>
        </w:rPr>
        <w:t>сть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 подотчетно</w:t>
      </w:r>
      <w:r w:rsidR="0059753A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сть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регулировани</w:t>
      </w:r>
      <w:r w:rsidR="0059753A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я вопросов,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связанн</w:t>
      </w:r>
      <w:r w:rsidR="0059753A">
        <w:rPr>
          <w:rFonts w:eastAsia="Aptos" w:cs="Noto Sans Display"/>
          <w:kern w:val="2"/>
          <w:szCs w:val="22"/>
          <w:lang w:eastAsia="en-US"/>
          <w14:ligatures w14:val="standardContextual"/>
        </w:rPr>
        <w:t>ых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 роялти </w:t>
      </w:r>
      <w:r w:rsidR="0059753A">
        <w:rPr>
          <w:rFonts w:eastAsia="Aptos" w:cs="Noto Sans Display"/>
          <w:kern w:val="2"/>
          <w:szCs w:val="22"/>
          <w:lang w:eastAsia="en-US"/>
          <w14:ligatures w14:val="standardContextual"/>
        </w:rPr>
        <w:t>в авторском праве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в цифровой среде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B7309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Документ</w:t>
      </w:r>
      <w:r w:rsidR="00AF5EA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а</w:t>
      </w:r>
      <w:r w:rsidR="00B7309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способн</w:t>
      </w:r>
      <w:r w:rsidR="00AF5EA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ого</w:t>
      </w:r>
      <w:r w:rsidR="00B7309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AF5EA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обеспечить</w:t>
      </w:r>
      <w:r w:rsidR="00B7309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прогресс в области регулирования </w:t>
      </w:r>
      <w:r w:rsidR="00176C7C">
        <w:rPr>
          <w:rFonts w:eastAsia="Aptos" w:cs="Noto Sans Display"/>
          <w:kern w:val="2"/>
          <w:szCs w:val="22"/>
          <w:lang w:eastAsia="en-US"/>
          <w14:ligatures w14:val="standardContextual"/>
        </w:rPr>
        <w:t>вопросов</w:t>
      </w:r>
      <w:r w:rsidR="00AF5EA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связанн</w:t>
      </w:r>
      <w:r w:rsidR="00176C7C">
        <w:rPr>
          <w:rFonts w:eastAsia="Aptos" w:cs="Noto Sans Display"/>
          <w:kern w:val="2"/>
          <w:szCs w:val="22"/>
          <w:lang w:eastAsia="en-US"/>
          <w14:ligatures w14:val="standardContextual"/>
        </w:rPr>
        <w:t>ых</w:t>
      </w:r>
      <w:r w:rsidR="00AF5EA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 </w:t>
      </w:r>
      <w:r w:rsidR="00B7309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роялти</w:t>
      </w:r>
      <w:r w:rsidR="00176C7C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авторском праве</w:t>
      </w:r>
      <w:r w:rsidR="00AF5EA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B7309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AF5EA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 учетом принципов</w:t>
      </w:r>
      <w:r w:rsidR="00B7309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справедливости, инклюзивности, транспарентности и устойчивости</w:t>
      </w:r>
      <w:r w:rsidR="00AF5EA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— фундамента</w:t>
      </w:r>
      <w:r w:rsidR="00E50938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для решения </w:t>
      </w:r>
      <w:r w:rsidR="00AF5EA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четырех главных проблем, изложенных выше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0D6D6D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Если не будет разработан мировой стандарт, способный сгладить финансовые, технологические и культурные различия в условиях преобладания механизмов свободного рынка в отрасли цифровой музыки, распределение роялти будет, как и раньше, порождать структурное неравенство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00386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этой связи задачей первостепенной важности является формирование международно-правовых рамок, которые могут служить фундаментом для </w:t>
      </w:r>
      <w:r w:rsidR="00003860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>консолидации усилий мирового сообщества в деле создания более справедливого и транспарентного механизма регулирования на международном уровне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3737656D" w14:textId="3E11CF0A" w:rsidR="000C43F7" w:rsidRPr="00340CB0" w:rsidRDefault="00EC3F41" w:rsidP="00942684">
      <w:pPr>
        <w:pStyle w:val="Heading51"/>
        <w:rPr>
          <w:color w:val="1F497D" w:themeColor="text2"/>
        </w:rPr>
      </w:pPr>
      <w:bookmarkStart w:id="11" w:name="_Toc212710967"/>
      <w:r w:rsidRPr="00340CB0">
        <w:rPr>
          <w:color w:val="1F497D" w:themeColor="text2"/>
        </w:rPr>
        <w:t>Заключение</w:t>
      </w:r>
      <w:r w:rsidR="000C43F7" w:rsidRPr="00340CB0">
        <w:rPr>
          <w:color w:val="1F497D" w:themeColor="text2"/>
        </w:rPr>
        <w:t xml:space="preserve">: </w:t>
      </w:r>
      <w:r w:rsidRPr="00340CB0">
        <w:rPr>
          <w:color w:val="1F497D" w:themeColor="text2"/>
        </w:rPr>
        <w:t xml:space="preserve">на пути к справедливому </w:t>
      </w:r>
      <w:r w:rsidR="00371F20" w:rsidRPr="00340CB0">
        <w:rPr>
          <w:color w:val="1F497D" w:themeColor="text2"/>
        </w:rPr>
        <w:t xml:space="preserve">глобальному </w:t>
      </w:r>
      <w:r w:rsidRPr="00340CB0">
        <w:rPr>
          <w:color w:val="1F497D" w:themeColor="text2"/>
        </w:rPr>
        <w:t>миру</w:t>
      </w:r>
      <w:bookmarkEnd w:id="11"/>
    </w:p>
    <w:p w14:paraId="633AD100" w14:textId="63AAFA14" w:rsidR="000C43F7" w:rsidRPr="00340CB0" w:rsidRDefault="00672723" w:rsidP="000C43F7">
      <w:pPr>
        <w:spacing w:before="180" w:after="240"/>
        <w:ind w:firstLine="72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Сложившийся сегодня дисбаланс в регулировании </w:t>
      </w:r>
      <w:r w:rsidR="002D1079">
        <w:rPr>
          <w:rFonts w:eastAsia="Aptos" w:cs="Noto Sans Display"/>
          <w:kern w:val="2"/>
          <w:szCs w:val="22"/>
          <w:lang w:eastAsia="en-US"/>
          <w14:ligatures w14:val="standardContextual"/>
        </w:rPr>
        <w:t>вопросов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связанн</w:t>
      </w:r>
      <w:r w:rsidR="002D1079">
        <w:rPr>
          <w:rFonts w:eastAsia="Aptos" w:cs="Noto Sans Display"/>
          <w:kern w:val="2"/>
          <w:szCs w:val="22"/>
          <w:lang w:eastAsia="en-US"/>
          <w14:ligatures w14:val="standardContextual"/>
        </w:rPr>
        <w:t>ых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 лицензированием музыкальных произведений и роялти</w:t>
      </w:r>
      <w:r w:rsidR="006347D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за их использование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на цифровых платформах акцентирует внимание на структурной асимметрии сил в рамках глобальной системы ИС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Если авторы и правообладатели из стран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лобального Юга изначально вынуждены преодолевать структурные препятствия, сформировавшиеся под влиянием экономического неравенства, на деле и они, и страны </w:t>
      </w:r>
      <w:r w:rsidR="00F10CDA">
        <w:rPr>
          <w:rFonts w:eastAsia="Aptos" w:cs="Noto Sans Display"/>
          <w:kern w:val="2"/>
          <w:szCs w:val="22"/>
          <w:lang w:eastAsia="en-US"/>
          <w14:ligatures w14:val="standardContextual"/>
        </w:rPr>
        <w:t>Г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лобального Севера сталкиваются с </w:t>
      </w:r>
      <w:r w:rsidR="006347DB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похожими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проблемами в процессе взаимодействия с </w:t>
      </w:r>
      <w:r w:rsidR="00873F66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доминирующими игроками отрасли цифровой музыки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6A633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</w:t>
      </w:r>
      <w:r w:rsidR="00884897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результате </w:t>
      </w:r>
      <w:r w:rsidR="006A633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экономические выгоды от использования музыкальных произведений концентрируются в основном в руках платформ, </w:t>
      </w:r>
      <w:r w:rsidR="00884897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прежде всего </w:t>
      </w:r>
      <w:r w:rsidR="006A633B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с большим капиталом и сильной рыночной позицией, а не распределяются среди авторов и правообладателей пропорционально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96069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Такое положение дел не только углубляет экономическое неравенство, но и мешает глобальной творческой отрасли раскрыть весь свой потенциал в духе принципов инклюзивности и устойчивости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E86D6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этом контексте настоящее </w:t>
      </w:r>
      <w:r w:rsidR="00E86D65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предложение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E86D6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представляет собой </w:t>
      </w:r>
      <w:r w:rsidR="00E86D65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стратегическую инициативу Индонезии</w:t>
      </w:r>
      <w:r w:rsidR="00E86D6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направленную на консолида</w:t>
      </w:r>
      <w:r w:rsidR="00175B7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цию международного сообщества с целью формирования справедливой, инклюзивной, транспарентной и устойчивой глобальной системы регулирования </w:t>
      </w:r>
      <w:r w:rsidR="002D1079">
        <w:rPr>
          <w:rFonts w:eastAsia="Aptos" w:cs="Noto Sans Display"/>
          <w:kern w:val="2"/>
          <w:szCs w:val="22"/>
          <w:lang w:eastAsia="en-US"/>
          <w14:ligatures w14:val="standardContextual"/>
        </w:rPr>
        <w:t>вопросов</w:t>
      </w:r>
      <w:r w:rsidR="00175B7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связанн</w:t>
      </w:r>
      <w:r w:rsidR="002D1079">
        <w:rPr>
          <w:rFonts w:eastAsia="Aptos" w:cs="Noto Sans Display"/>
          <w:kern w:val="2"/>
          <w:szCs w:val="22"/>
          <w:lang w:eastAsia="en-US"/>
          <w14:ligatures w14:val="standardContextual"/>
        </w:rPr>
        <w:t>ых</w:t>
      </w:r>
      <w:r w:rsidR="00175B7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 роялти</w:t>
      </w:r>
      <w:r w:rsidR="002D107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175B7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сегменте цифровой музыки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B46C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Предлагаемый документ в силу своего международно-правового характера</w:t>
      </w:r>
      <w:r w:rsidR="000C43F7" w:rsidRPr="00340CB0">
        <w:rPr>
          <w:rFonts w:eastAsia="Aptos" w:cs="Noto Sans Display"/>
          <w:kern w:val="2"/>
          <w:szCs w:val="22"/>
          <w:vertAlign w:val="superscript"/>
          <w:lang w:eastAsia="en-US"/>
          <w14:ligatures w14:val="standardContextual"/>
        </w:rPr>
        <w:endnoteReference w:id="47"/>
      </w:r>
      <w:r w:rsidR="00B46C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должен будет укрепить </w:t>
      </w:r>
      <w:r w:rsidR="00884897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базу для </w:t>
      </w:r>
      <w:r w:rsidR="00B46C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регулирования в</w:t>
      </w:r>
      <w:r w:rsidR="00250CF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опросов, связанных с </w:t>
      </w:r>
      <w:r w:rsidR="00B46C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роялти</w:t>
      </w:r>
      <w:r w:rsidR="00250CF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="00B46C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в цифровой среде, за</w:t>
      </w:r>
      <w:r w:rsidR="00D06402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фиксировав </w:t>
      </w:r>
      <w:r w:rsidR="00B46CF2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комплекс правил, призванных обеспечить принципы справедливости, инклюзивности, транспарентности и устойчивости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6270D500" w14:textId="0D0E1C2E" w:rsidR="000C43F7" w:rsidRPr="00340CB0" w:rsidRDefault="00AB44C0" w:rsidP="00F12E57">
      <w:pPr>
        <w:spacing w:before="180" w:after="240"/>
        <w:ind w:firstLine="567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 учетом </w:t>
      </w:r>
      <w:r w:rsidR="00C44B8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четыре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х</w:t>
      </w:r>
      <w:r w:rsidR="00C44B83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ключевых проблем, подробно рассмотренных в предыдущем разделе, авторы настоящего предложения предлагают альтернативный план решения, включающий: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(1)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создание </w:t>
      </w:r>
      <w:r w:rsidR="00B849DD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единой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основы для регул</w:t>
      </w:r>
      <w:r w:rsidR="003754F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ирования порядка сбора и распределения роялти, включая трансграничное лицензирование, 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(2) </w:t>
      </w:r>
      <w:r w:rsidR="003754F1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продвижение идеи принятия модульной системы для стандартизации «глобальной музыкальной базы данных» путем организации межсекторального взаимодействия государств, субъектов частного сектора, объединений авторов и правообладателей, а также академических кругов и сообщества специалистов-практиков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3A669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Это предложение также соответствует повестке дня 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45</w:t>
      </w:r>
      <w:r w:rsidR="003A669A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-й сессии Постоянного комитета по авторскому праву и смежным правам, в рамках которой заявлено стремление двигаться в направлении «формирования возможной международной правовой базы в отношении права на справедливое вознаграждение за авторское право и смежные права в цифровой среде», включая модели сбора и распространения таких средств. 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Реформирование </w:t>
      </w:r>
      <w:r w:rsidR="001B300A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принципов 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регулирования </w:t>
      </w:r>
      <w:r w:rsidR="001B300A">
        <w:rPr>
          <w:rFonts w:eastAsia="Aptos" w:cs="Noto Sans Display"/>
          <w:kern w:val="2"/>
          <w:szCs w:val="22"/>
          <w:lang w:eastAsia="en-US"/>
          <w14:ligatures w14:val="standardContextual"/>
        </w:rPr>
        <w:t>вопросов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связанн</w:t>
      </w:r>
      <w:r w:rsidR="001B300A">
        <w:rPr>
          <w:rFonts w:eastAsia="Aptos" w:cs="Noto Sans Display"/>
          <w:kern w:val="2"/>
          <w:szCs w:val="22"/>
          <w:lang w:eastAsia="en-US"/>
          <w14:ligatures w14:val="standardContextual"/>
        </w:rPr>
        <w:t>ых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 роялти за использование фонограмм и аудиовизуальных произведений в цифровой среде</w:t>
      </w:r>
      <w:r w:rsidR="00B849DD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— первый шаг, который заложит фундамент для реализации других прав в сфере авторского права, включая права на использование </w:t>
      </w:r>
      <w:r w:rsidR="00A0546A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произведений 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журналистск</w:t>
      </w:r>
      <w:r w:rsidR="00A0546A">
        <w:rPr>
          <w:rFonts w:eastAsia="Aptos" w:cs="Noto Sans Display"/>
          <w:kern w:val="2"/>
          <w:szCs w:val="22"/>
          <w:lang w:eastAsia="en-US"/>
          <w14:ligatures w14:val="standardContextual"/>
        </w:rPr>
        <w:t>ого характера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в цифровой среде, в рамках более комплексной работы по формированию цифровой экосистемы, благоприятствующей развитию инноваций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Этим предложением Индонезия не только в очередной раз подтверждает свою заинтересованность в защите </w:t>
      </w:r>
      <w:r w:rsidR="00B849DD">
        <w:rPr>
          <w:rFonts w:eastAsia="Aptos" w:cs="Noto Sans Display"/>
          <w:kern w:val="2"/>
          <w:szCs w:val="22"/>
          <w:lang w:eastAsia="en-US"/>
          <w14:ligatures w14:val="standardContextual"/>
        </w:rPr>
        <w:t>национальных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деятелей культуры, но и заявляет о себе как об одном из </w:t>
      </w:r>
      <w:r w:rsidR="00B849DD">
        <w:rPr>
          <w:rFonts w:eastAsia="Aptos" w:cs="Noto Sans Display"/>
          <w:kern w:val="2"/>
          <w:szCs w:val="22"/>
          <w:lang w:eastAsia="en-US"/>
          <w14:ligatures w14:val="standardContextual"/>
        </w:rPr>
        <w:t>лидеров движения за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более гармоничн</w:t>
      </w:r>
      <w:r w:rsidR="00B849DD">
        <w:rPr>
          <w:rFonts w:eastAsia="Aptos" w:cs="Noto Sans Display"/>
          <w:kern w:val="2"/>
          <w:szCs w:val="22"/>
          <w:lang w:eastAsia="en-US"/>
          <w14:ligatures w14:val="standardContextual"/>
        </w:rPr>
        <w:t>ую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глобальн</w:t>
      </w:r>
      <w:r w:rsidR="00B849DD">
        <w:rPr>
          <w:rFonts w:eastAsia="Aptos" w:cs="Noto Sans Display"/>
          <w:kern w:val="2"/>
          <w:szCs w:val="22"/>
          <w:lang w:eastAsia="en-US"/>
          <w14:ligatures w14:val="standardContextual"/>
        </w:rPr>
        <w:t>ую</w:t>
      </w:r>
      <w:r w:rsidR="00547C84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экосистем</w:t>
      </w:r>
      <w:r w:rsidR="00B849DD">
        <w:rPr>
          <w:rFonts w:eastAsia="Aptos" w:cs="Noto Sans Display"/>
          <w:kern w:val="2"/>
          <w:szCs w:val="22"/>
          <w:lang w:eastAsia="en-US"/>
          <w14:ligatures w14:val="standardContextual"/>
        </w:rPr>
        <w:t>у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1DA83F56" w14:textId="0990F051" w:rsidR="000C43F7" w:rsidRPr="00340CB0" w:rsidRDefault="0099700C" w:rsidP="000C43F7">
      <w:pPr>
        <w:spacing w:before="180" w:after="240"/>
        <w:ind w:firstLine="72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Наконец, на правах члена ВОИС Индонезия и ее правительство поддерживают основную задачу ВОИС, закрепленную в основополагающих документах Организации, и руководствуются существующими примерами, в частности Мадридской, Гаагской, 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>Лиссабонской системами и системой Договора о патентной кооперации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D2533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В русле сказанного предлагается, чтобы ВОИС выступала распорядителем будущей международной системы по регулированию </w:t>
      </w:r>
      <w:r w:rsidR="00C118E2">
        <w:rPr>
          <w:rFonts w:eastAsia="Aptos" w:cs="Noto Sans Display"/>
          <w:kern w:val="2"/>
          <w:szCs w:val="22"/>
          <w:lang w:eastAsia="en-US"/>
          <w14:ligatures w14:val="standardContextual"/>
        </w:rPr>
        <w:t>вопросов</w:t>
      </w:r>
      <w:r w:rsidR="00D2533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связанн</w:t>
      </w:r>
      <w:r w:rsidR="00C118E2">
        <w:rPr>
          <w:rFonts w:eastAsia="Aptos" w:cs="Noto Sans Display"/>
          <w:kern w:val="2"/>
          <w:szCs w:val="22"/>
          <w:lang w:eastAsia="en-US"/>
          <w14:ligatures w14:val="standardContextual"/>
        </w:rPr>
        <w:t>ых</w:t>
      </w:r>
      <w:r w:rsidR="00D2533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 роялти, и более активно </w:t>
      </w:r>
      <w:r w:rsidR="00557F90">
        <w:rPr>
          <w:rFonts w:eastAsia="Aptos" w:cs="Noto Sans Display"/>
          <w:kern w:val="2"/>
          <w:szCs w:val="22"/>
          <w:lang w:eastAsia="en-US"/>
          <w14:ligatures w14:val="standardContextual"/>
        </w:rPr>
        <w:t>включилась в работу по устранению</w:t>
      </w:r>
      <w:r w:rsidR="00D25335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различий в уровне развития своих государств-членов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F12E5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Полагаем, что многосторонние усилия под эгидой ВОИС будут способствовать созданию справедливой, транспарентной, инклюзивной и устойчивой системы охраны авторских прав на фонограммы и аудиовизуальный контент в цифровой среде</w:t>
      </w:r>
      <w:r w:rsidR="000C43F7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5A929404" w14:textId="77777777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  <w:sectPr w:rsidR="000C43F7" w:rsidRPr="00340CB0" w:rsidSect="000C43F7"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A75B5EF" w14:textId="77777777" w:rsidR="00DB6E87" w:rsidRPr="00340CB0" w:rsidRDefault="00DB6E87" w:rsidP="000C43F7">
      <w:pPr>
        <w:spacing w:before="180" w:after="240"/>
        <w:jc w:val="center"/>
        <w:rPr>
          <w:rFonts w:eastAsia="Aptos" w:cs="Noto Sans Display"/>
          <w:b/>
          <w:bCs/>
          <w:color w:val="156082"/>
          <w:kern w:val="2"/>
          <w:szCs w:val="22"/>
          <w:lang w:eastAsia="en-US"/>
          <w14:ligatures w14:val="standardContextual"/>
        </w:rPr>
        <w:sectPr w:rsidR="00DB6E87" w:rsidRPr="00340CB0" w:rsidSect="00DB6E87">
          <w:footerReference w:type="default" r:id="rId14"/>
          <w:endnotePr>
            <w:numFmt w:val="decimal"/>
          </w:endnotePr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18625F7" w14:textId="0E5C0CB0" w:rsidR="000C43F7" w:rsidRPr="00340CB0" w:rsidRDefault="00FE776F" w:rsidP="000C43F7">
      <w:pPr>
        <w:spacing w:before="180" w:after="240"/>
        <w:jc w:val="center"/>
        <w:rPr>
          <w:rFonts w:eastAsia="Aptos" w:cs="Noto Sans Display"/>
          <w:b/>
          <w:bCs/>
          <w:color w:val="156082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color w:val="156082"/>
          <w:kern w:val="2"/>
          <w:szCs w:val="22"/>
          <w:lang w:eastAsia="en-US"/>
          <w14:ligatures w14:val="standardContextual"/>
        </w:rPr>
        <w:lastRenderedPageBreak/>
        <w:t>Приложение</w:t>
      </w:r>
    </w:p>
    <w:p w14:paraId="099331EE" w14:textId="6EF90440" w:rsidR="00EB4DEF" w:rsidRPr="00340CB0" w:rsidRDefault="0068200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4"/>
          <w:szCs w:val="24"/>
        </w:rPr>
      </w:pPr>
      <w:r w:rsidRPr="00340CB0">
        <w:fldChar w:fldCharType="begin"/>
      </w:r>
      <w:r w:rsidRPr="00340CB0">
        <w:instrText xml:space="preserve"> TOC \h \z \u \t "Heading 3,1" </w:instrText>
      </w:r>
      <w:r w:rsidRPr="00340CB0">
        <w:fldChar w:fldCharType="separate"/>
      </w:r>
      <w:hyperlink w:anchor="_Toc212652676" w:history="1">
        <w:r w:rsidR="00C013D9" w:rsidRPr="00C013D9">
          <w:rPr>
            <w:rStyle w:val="Hyperlink"/>
            <w:noProof/>
          </w:rPr>
          <w:t>Приложение I. Проблемы разных регионов в области регулирования авторско</w:t>
        </w:r>
        <w:r w:rsidR="00B96E22">
          <w:rPr>
            <w:rStyle w:val="Hyperlink"/>
            <w:noProof/>
          </w:rPr>
          <w:t>-правовых вопросов</w:t>
        </w:r>
        <w:r w:rsidR="00C013D9" w:rsidRPr="00C013D9">
          <w:rPr>
            <w:rStyle w:val="Hyperlink"/>
            <w:noProof/>
          </w:rPr>
          <w:t xml:space="preserve"> в секторе фонограмм и аудиовизуальных произведений в условиях цифровой среды</w:t>
        </w:r>
        <w:r w:rsidR="00EB4DEF" w:rsidRPr="00C013D9">
          <w:rPr>
            <w:rStyle w:val="Hyperlink"/>
            <w:noProof/>
            <w:webHidden/>
          </w:rPr>
          <w:tab/>
        </w:r>
        <w:r w:rsidR="00EB4DEF" w:rsidRPr="00C013D9">
          <w:rPr>
            <w:rStyle w:val="Hyperlink"/>
            <w:noProof/>
            <w:webHidden/>
          </w:rPr>
          <w:fldChar w:fldCharType="begin"/>
        </w:r>
        <w:r w:rsidR="00EB4DEF" w:rsidRPr="00C013D9">
          <w:rPr>
            <w:rStyle w:val="Hyperlink"/>
            <w:noProof/>
            <w:webHidden/>
          </w:rPr>
          <w:instrText xml:space="preserve"> PAGEREF _Toc212652676 \h </w:instrText>
        </w:r>
        <w:r w:rsidR="00EB4DEF" w:rsidRPr="00C013D9">
          <w:rPr>
            <w:rStyle w:val="Hyperlink"/>
            <w:noProof/>
            <w:webHidden/>
          </w:rPr>
        </w:r>
        <w:r w:rsidR="00EB4DEF" w:rsidRPr="00C013D9">
          <w:rPr>
            <w:rStyle w:val="Hyperlink"/>
            <w:noProof/>
            <w:webHidden/>
          </w:rPr>
          <w:fldChar w:fldCharType="separate"/>
        </w:r>
        <w:r w:rsidR="00E64DA9">
          <w:rPr>
            <w:rStyle w:val="Hyperlink"/>
            <w:noProof/>
            <w:webHidden/>
          </w:rPr>
          <w:t>19</w:t>
        </w:r>
        <w:r w:rsidR="00EB4DEF" w:rsidRPr="00C013D9">
          <w:rPr>
            <w:rStyle w:val="Hyperlink"/>
            <w:noProof/>
            <w:webHidden/>
          </w:rPr>
          <w:fldChar w:fldCharType="end"/>
        </w:r>
      </w:hyperlink>
    </w:p>
    <w:p w14:paraId="6EEF39EB" w14:textId="424C31DA" w:rsidR="00EB4DEF" w:rsidRPr="00340CB0" w:rsidRDefault="00337A0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4"/>
          <w:szCs w:val="24"/>
        </w:rPr>
      </w:pPr>
      <w:hyperlink w:anchor="_Toc212652677" w:history="1">
        <w:r w:rsidRPr="00337A07">
          <w:rPr>
            <w:rStyle w:val="Hyperlink"/>
            <w:noProof/>
          </w:rPr>
          <w:t xml:space="preserve">Приложение II. Иллюстрация модели пропорционального распределения (PRM) </w:t>
        </w:r>
        <w:r w:rsidR="00B83768">
          <w:rPr>
            <w:rStyle w:val="Hyperlink"/>
            <w:noProof/>
          </w:rPr>
          <w:br/>
        </w:r>
        <w:r w:rsidRPr="00337A07">
          <w:rPr>
            <w:rStyle w:val="Hyperlink"/>
            <w:noProof/>
          </w:rPr>
          <w:t>и пользователецентричной системы выплат (UCPS)</w:t>
        </w:r>
        <w:r w:rsidR="00EB4DEF" w:rsidRPr="00337A07">
          <w:rPr>
            <w:rStyle w:val="Hyperlink"/>
            <w:noProof/>
            <w:webHidden/>
          </w:rPr>
          <w:tab/>
        </w:r>
        <w:r w:rsidR="00EB4DEF" w:rsidRPr="00337A07">
          <w:rPr>
            <w:rStyle w:val="Hyperlink"/>
            <w:noProof/>
            <w:webHidden/>
          </w:rPr>
          <w:fldChar w:fldCharType="begin"/>
        </w:r>
        <w:r w:rsidR="00EB4DEF" w:rsidRPr="00337A07">
          <w:rPr>
            <w:rStyle w:val="Hyperlink"/>
            <w:noProof/>
            <w:webHidden/>
          </w:rPr>
          <w:instrText xml:space="preserve"> PAGEREF _Toc212652677 \h </w:instrText>
        </w:r>
        <w:r w:rsidR="00EB4DEF" w:rsidRPr="00337A07">
          <w:rPr>
            <w:rStyle w:val="Hyperlink"/>
            <w:noProof/>
            <w:webHidden/>
          </w:rPr>
        </w:r>
        <w:r w:rsidR="00EB4DEF" w:rsidRPr="00337A07">
          <w:rPr>
            <w:rStyle w:val="Hyperlink"/>
            <w:noProof/>
            <w:webHidden/>
          </w:rPr>
          <w:fldChar w:fldCharType="separate"/>
        </w:r>
        <w:r w:rsidR="00E64DA9">
          <w:rPr>
            <w:rStyle w:val="Hyperlink"/>
            <w:noProof/>
            <w:webHidden/>
          </w:rPr>
          <w:t>22</w:t>
        </w:r>
        <w:r w:rsidR="00EB4DEF" w:rsidRPr="00337A07">
          <w:rPr>
            <w:rStyle w:val="Hyperlink"/>
            <w:noProof/>
            <w:webHidden/>
          </w:rPr>
          <w:fldChar w:fldCharType="end"/>
        </w:r>
      </w:hyperlink>
    </w:p>
    <w:p w14:paraId="6A8DF0FE" w14:textId="1B1E0062" w:rsidR="00EB4DEF" w:rsidRPr="00340CB0" w:rsidRDefault="00C013D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4"/>
          <w:szCs w:val="24"/>
        </w:rPr>
      </w:pPr>
      <w:hyperlink w:anchor="_Toc212652678" w:history="1">
        <w:r>
          <w:rPr>
            <w:rStyle w:val="Hyperlink"/>
            <w:noProof/>
          </w:rPr>
          <w:t xml:space="preserve">Приложение </w:t>
        </w:r>
        <w:r w:rsidR="00EB4DEF" w:rsidRPr="00C013D9">
          <w:rPr>
            <w:rStyle w:val="Hyperlink"/>
            <w:noProof/>
          </w:rPr>
          <w:t>III</w:t>
        </w:r>
        <w:r>
          <w:rPr>
            <w:rStyle w:val="Hyperlink"/>
            <w:noProof/>
          </w:rPr>
          <w:t>.</w:t>
        </w:r>
        <w:r w:rsidRPr="00C013D9">
          <w:rPr>
            <w:rStyle w:val="Hyperlink"/>
            <w:rFonts w:eastAsia="SimSun" w:cs="Arial"/>
            <w:b w:val="0"/>
            <w:bCs w:val="0"/>
            <w:noProof/>
            <w:kern w:val="0"/>
            <w:szCs w:val="20"/>
            <w14:ligatures w14:val="none"/>
          </w:rPr>
          <w:t xml:space="preserve"> </w:t>
        </w:r>
        <w:r w:rsidRPr="00C013D9">
          <w:rPr>
            <w:rStyle w:val="Hyperlink"/>
            <w:noProof/>
          </w:rPr>
          <w:t xml:space="preserve">Национальные и региональные трудности в области </w:t>
        </w:r>
        <w:r w:rsidR="00B96E22">
          <w:rPr>
            <w:rStyle w:val="Hyperlink"/>
            <w:noProof/>
          </w:rPr>
          <w:t xml:space="preserve">регулирования </w:t>
        </w:r>
        <w:r w:rsidRPr="00C013D9">
          <w:rPr>
            <w:rStyle w:val="Hyperlink"/>
            <w:noProof/>
          </w:rPr>
          <w:t>авторск</w:t>
        </w:r>
        <w:r w:rsidR="00B96E22">
          <w:rPr>
            <w:rStyle w:val="Hyperlink"/>
            <w:noProof/>
          </w:rPr>
          <w:t>о-</w:t>
        </w:r>
        <w:r w:rsidRPr="00C013D9">
          <w:rPr>
            <w:rStyle w:val="Hyperlink"/>
            <w:noProof/>
          </w:rPr>
          <w:t>прав</w:t>
        </w:r>
        <w:r w:rsidR="00B96E22">
          <w:rPr>
            <w:rStyle w:val="Hyperlink"/>
            <w:noProof/>
          </w:rPr>
          <w:t>овых вопросов</w:t>
        </w:r>
        <w:r w:rsidRPr="00C013D9">
          <w:rPr>
            <w:rStyle w:val="Hyperlink"/>
            <w:noProof/>
          </w:rPr>
          <w:t xml:space="preserve"> в отношениях между цифровыми платформами и издателями периодических изданий</w:t>
        </w:r>
        <w:r w:rsidR="00EB4DEF" w:rsidRPr="00C013D9">
          <w:rPr>
            <w:rStyle w:val="Hyperlink"/>
            <w:noProof/>
            <w:webHidden/>
          </w:rPr>
          <w:tab/>
        </w:r>
        <w:r w:rsidR="00EB4DEF" w:rsidRPr="00C013D9">
          <w:rPr>
            <w:rStyle w:val="Hyperlink"/>
            <w:noProof/>
            <w:webHidden/>
          </w:rPr>
          <w:fldChar w:fldCharType="begin"/>
        </w:r>
        <w:r w:rsidR="00EB4DEF" w:rsidRPr="00C013D9">
          <w:rPr>
            <w:rStyle w:val="Hyperlink"/>
            <w:noProof/>
            <w:webHidden/>
          </w:rPr>
          <w:instrText xml:space="preserve"> PAGEREF _Toc212652678 \h </w:instrText>
        </w:r>
        <w:r w:rsidR="00EB4DEF" w:rsidRPr="00C013D9">
          <w:rPr>
            <w:rStyle w:val="Hyperlink"/>
            <w:noProof/>
            <w:webHidden/>
          </w:rPr>
        </w:r>
        <w:r w:rsidR="00EB4DEF" w:rsidRPr="00C013D9">
          <w:rPr>
            <w:rStyle w:val="Hyperlink"/>
            <w:noProof/>
            <w:webHidden/>
          </w:rPr>
          <w:fldChar w:fldCharType="separate"/>
        </w:r>
        <w:r w:rsidR="00E64DA9">
          <w:rPr>
            <w:rStyle w:val="Hyperlink"/>
            <w:noProof/>
            <w:webHidden/>
          </w:rPr>
          <w:t>23</w:t>
        </w:r>
        <w:r w:rsidR="00EB4DEF" w:rsidRPr="00C013D9">
          <w:rPr>
            <w:rStyle w:val="Hyperlink"/>
            <w:noProof/>
            <w:webHidden/>
          </w:rPr>
          <w:fldChar w:fldCharType="end"/>
        </w:r>
      </w:hyperlink>
    </w:p>
    <w:p w14:paraId="783D17B0" w14:textId="62632D98" w:rsidR="0068200E" w:rsidRPr="00340CB0" w:rsidRDefault="0068200E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  <w:sectPr w:rsidR="0068200E" w:rsidRPr="00340CB0" w:rsidSect="0019147E">
          <w:endnotePr>
            <w:numFmt w:val="decimal"/>
          </w:endnotePr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fldChar w:fldCharType="end"/>
      </w:r>
    </w:p>
    <w:p w14:paraId="6A6A006F" w14:textId="7C16D6A9" w:rsidR="000C43F7" w:rsidRPr="00C87C35" w:rsidRDefault="00B65FC7" w:rsidP="005A2E0E">
      <w:pPr>
        <w:pStyle w:val="Heading3"/>
        <w:spacing w:after="120"/>
        <w:rPr>
          <w:color w:val="1F497D" w:themeColor="text2"/>
          <w:u w:val="none"/>
          <w:lang w:val="en-US" w:eastAsia="en-US"/>
        </w:rPr>
      </w:pPr>
      <w:bookmarkStart w:id="12" w:name="_Toc212652676"/>
      <w:r w:rsidRPr="00340CB0">
        <w:rPr>
          <w:b/>
          <w:bCs w:val="0"/>
          <w:color w:val="1F497D" w:themeColor="text2"/>
          <w:u w:val="none"/>
          <w:lang w:eastAsia="en-US"/>
        </w:rPr>
        <w:lastRenderedPageBreak/>
        <w:t>Приложение</w:t>
      </w:r>
      <w:r w:rsidR="000C43F7" w:rsidRPr="00340CB0">
        <w:rPr>
          <w:b/>
          <w:bCs w:val="0"/>
          <w:color w:val="1F497D" w:themeColor="text2"/>
          <w:u w:val="none"/>
          <w:lang w:eastAsia="en-US"/>
        </w:rPr>
        <w:t xml:space="preserve"> I</w:t>
      </w:r>
      <w:r w:rsidRPr="00340CB0">
        <w:rPr>
          <w:b/>
          <w:bCs w:val="0"/>
          <w:color w:val="1F497D" w:themeColor="text2"/>
          <w:u w:val="none"/>
          <w:lang w:eastAsia="en-US"/>
        </w:rPr>
        <w:t>.</w:t>
      </w:r>
      <w:r w:rsidR="000C43F7" w:rsidRPr="00340CB0">
        <w:rPr>
          <w:b/>
          <w:bCs w:val="0"/>
          <w:color w:val="1F497D" w:themeColor="text2"/>
          <w:u w:val="none"/>
          <w:lang w:eastAsia="en-US"/>
        </w:rPr>
        <w:t xml:space="preserve"> </w:t>
      </w:r>
      <w:bookmarkEnd w:id="12"/>
      <w:r w:rsidR="00C87C35">
        <w:rPr>
          <w:color w:val="1F497D" w:themeColor="text2"/>
          <w:u w:val="none"/>
          <w:lang w:eastAsia="en-US"/>
        </w:rPr>
        <w:t>Проблемы разных регионов в области регулирования авторско</w:t>
      </w:r>
      <w:r w:rsidR="00B96E22">
        <w:rPr>
          <w:color w:val="1F497D" w:themeColor="text2"/>
          <w:u w:val="none"/>
          <w:lang w:eastAsia="en-US"/>
        </w:rPr>
        <w:t>-</w:t>
      </w:r>
      <w:r w:rsidR="00C87C35">
        <w:rPr>
          <w:color w:val="1F497D" w:themeColor="text2"/>
          <w:u w:val="none"/>
          <w:lang w:eastAsia="en-US"/>
        </w:rPr>
        <w:t>прав</w:t>
      </w:r>
      <w:r w:rsidR="00B96E22">
        <w:rPr>
          <w:color w:val="1F497D" w:themeColor="text2"/>
          <w:u w:val="none"/>
          <w:lang w:eastAsia="en-US"/>
        </w:rPr>
        <w:t>овых вопросов</w:t>
      </w:r>
      <w:r w:rsidR="00C87C35">
        <w:rPr>
          <w:color w:val="1F497D" w:themeColor="text2"/>
          <w:u w:val="none"/>
          <w:lang w:eastAsia="en-US"/>
        </w:rPr>
        <w:t xml:space="preserve"> в секторе фонограмм и аудиовизуальных произведений в условиях цифровой среды</w:t>
      </w:r>
    </w:p>
    <w:tbl>
      <w:tblPr>
        <w:tblW w:w="14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1826"/>
        <w:gridCol w:w="6679"/>
        <w:gridCol w:w="2126"/>
        <w:gridCol w:w="2076"/>
      </w:tblGrid>
      <w:tr w:rsidR="000C43F7" w:rsidRPr="00340CB0" w14:paraId="6D10E4F3" w14:textId="77777777" w:rsidTr="00181594">
        <w:trPr>
          <w:trHeight w:val="503"/>
          <w:jc w:val="center"/>
        </w:trPr>
        <w:tc>
          <w:tcPr>
            <w:tcW w:w="1857" w:type="dxa"/>
            <w:shd w:val="clear" w:color="auto" w:fill="D9D9D9"/>
            <w:vAlign w:val="center"/>
          </w:tcPr>
          <w:p w14:paraId="7F9F8082" w14:textId="424D8A34" w:rsidR="000C43F7" w:rsidRPr="00F04B59" w:rsidRDefault="00BD2F91" w:rsidP="008E2049">
            <w:pPr>
              <w:widowControl w:val="0"/>
              <w:autoSpaceDE w:val="0"/>
              <w:autoSpaceDN w:val="0"/>
              <w:spacing w:before="125"/>
              <w:jc w:val="center"/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</w:pPr>
            <w:r w:rsidRPr="00F04B59"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  <w:t>Ключевые вопросы</w:t>
            </w:r>
          </w:p>
        </w:tc>
        <w:tc>
          <w:tcPr>
            <w:tcW w:w="1826" w:type="dxa"/>
            <w:shd w:val="clear" w:color="auto" w:fill="D9D9D9"/>
            <w:vAlign w:val="center"/>
          </w:tcPr>
          <w:p w14:paraId="2511F86F" w14:textId="076C9708" w:rsidR="000C43F7" w:rsidRPr="00F04B59" w:rsidRDefault="00CF1831" w:rsidP="000C43F7">
            <w:pPr>
              <w:widowControl w:val="0"/>
              <w:autoSpaceDE w:val="0"/>
              <w:autoSpaceDN w:val="0"/>
              <w:spacing w:before="125"/>
              <w:ind w:left="440"/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</w:pPr>
            <w:r w:rsidRPr="00F04B59">
              <w:rPr>
                <w:rFonts w:asciiTheme="majorBidi" w:eastAsia="Times New Roman" w:hAnsiTheme="majorBidi" w:cstheme="majorBidi"/>
                <w:b/>
                <w:spacing w:val="-2"/>
                <w:sz w:val="20"/>
                <w:lang w:eastAsia="en-US"/>
              </w:rPr>
              <w:t>Аспект</w:t>
            </w:r>
          </w:p>
        </w:tc>
        <w:tc>
          <w:tcPr>
            <w:tcW w:w="6679" w:type="dxa"/>
            <w:shd w:val="clear" w:color="auto" w:fill="D9D9D9"/>
            <w:vAlign w:val="center"/>
          </w:tcPr>
          <w:p w14:paraId="3D7481E2" w14:textId="5B43EA25" w:rsidR="000C43F7" w:rsidRPr="00F04B59" w:rsidRDefault="00892692" w:rsidP="000C43F7">
            <w:pPr>
              <w:widowControl w:val="0"/>
              <w:autoSpaceDE w:val="0"/>
              <w:autoSpaceDN w:val="0"/>
              <w:spacing w:before="125"/>
              <w:ind w:left="2564" w:right="2550"/>
              <w:jc w:val="center"/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</w:pPr>
            <w:r w:rsidRPr="00F04B59">
              <w:rPr>
                <w:rFonts w:asciiTheme="majorBidi" w:eastAsia="Times New Roman" w:hAnsiTheme="majorBidi" w:cstheme="majorBidi"/>
                <w:b/>
                <w:sz w:val="20"/>
                <w:lang w:val="en-US" w:eastAsia="en-US"/>
              </w:rPr>
              <w:t>C</w:t>
            </w:r>
            <w:r w:rsidRPr="00F04B59"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  <w:t>уть проблемы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9A7807C" w14:textId="050B6C3B" w:rsidR="000C43F7" w:rsidRPr="00340CB0" w:rsidRDefault="00CF1831" w:rsidP="008E2049">
            <w:pPr>
              <w:widowControl w:val="0"/>
              <w:autoSpaceDE w:val="0"/>
              <w:autoSpaceDN w:val="0"/>
              <w:spacing w:before="125"/>
              <w:ind w:left="97" w:right="97"/>
              <w:jc w:val="center"/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b/>
                <w:spacing w:val="-2"/>
                <w:sz w:val="20"/>
                <w:lang w:eastAsia="en-US"/>
              </w:rPr>
              <w:t>Регион</w:t>
            </w:r>
          </w:p>
        </w:tc>
        <w:tc>
          <w:tcPr>
            <w:tcW w:w="2076" w:type="dxa"/>
            <w:shd w:val="clear" w:color="auto" w:fill="D9D9D9"/>
            <w:vAlign w:val="center"/>
          </w:tcPr>
          <w:p w14:paraId="0F167EF3" w14:textId="7A3FF00A" w:rsidR="000C43F7" w:rsidRPr="00340CB0" w:rsidRDefault="00B02DAC" w:rsidP="008E2049">
            <w:pPr>
              <w:widowControl w:val="0"/>
              <w:autoSpaceDE w:val="0"/>
              <w:autoSpaceDN w:val="0"/>
              <w:spacing w:line="249" w:lineRule="exact"/>
              <w:ind w:left="207" w:right="195"/>
              <w:jc w:val="center"/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b/>
                <w:spacing w:val="-2"/>
                <w:sz w:val="20"/>
                <w:lang w:eastAsia="en-US"/>
              </w:rPr>
              <w:t xml:space="preserve">Действующее </w:t>
            </w:r>
            <w:r w:rsidR="00CF1831" w:rsidRPr="00340CB0">
              <w:rPr>
                <w:rFonts w:asciiTheme="majorBidi" w:eastAsia="Times New Roman" w:hAnsiTheme="majorBidi" w:cstheme="majorBidi"/>
                <w:b/>
                <w:spacing w:val="-2"/>
                <w:sz w:val="20"/>
                <w:lang w:eastAsia="en-US"/>
              </w:rPr>
              <w:t>законодательство</w:t>
            </w:r>
          </w:p>
        </w:tc>
      </w:tr>
      <w:tr w:rsidR="000C43F7" w:rsidRPr="00340CB0" w14:paraId="6958C74D" w14:textId="77777777" w:rsidTr="00181594">
        <w:trPr>
          <w:trHeight w:val="508"/>
          <w:jc w:val="center"/>
        </w:trPr>
        <w:tc>
          <w:tcPr>
            <w:tcW w:w="1857" w:type="dxa"/>
            <w:vMerge w:val="restart"/>
            <w:vAlign w:val="center"/>
          </w:tcPr>
          <w:p w14:paraId="3C2C32B7" w14:textId="45F67E98" w:rsidR="000C43F7" w:rsidRPr="00340CB0" w:rsidRDefault="004060F7" w:rsidP="008E2049">
            <w:pPr>
              <w:widowControl w:val="0"/>
              <w:autoSpaceDE w:val="0"/>
              <w:autoSpaceDN w:val="0"/>
              <w:spacing w:before="1"/>
              <w:ind w:right="11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Регулирование порядка сбора и распределения роялти</w:t>
            </w:r>
          </w:p>
        </w:tc>
        <w:tc>
          <w:tcPr>
            <w:tcW w:w="1826" w:type="dxa"/>
            <w:vMerge w:val="restart"/>
            <w:vAlign w:val="center"/>
          </w:tcPr>
          <w:p w14:paraId="06A27AD0" w14:textId="6FDD0175" w:rsidR="000C43F7" w:rsidRPr="00340CB0" w:rsidRDefault="00CF1831" w:rsidP="00340CB0">
            <w:pPr>
              <w:widowControl w:val="0"/>
              <w:autoSpaceDE w:val="0"/>
              <w:autoSpaceDN w:val="0"/>
              <w:spacing w:before="1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Справедливость и инклюзивность</w:t>
            </w:r>
          </w:p>
        </w:tc>
        <w:tc>
          <w:tcPr>
            <w:tcW w:w="6679" w:type="dxa"/>
            <w:vAlign w:val="center"/>
          </w:tcPr>
          <w:p w14:paraId="224E395B" w14:textId="0B31889C" w:rsidR="000C43F7" w:rsidRPr="00340CB0" w:rsidRDefault="005E6D4B" w:rsidP="000C43F7">
            <w:pPr>
              <w:widowControl w:val="0"/>
              <w:autoSpaceDE w:val="0"/>
              <w:autoSpaceDN w:val="0"/>
              <w:spacing w:line="254" w:lineRule="exact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Различия в принципах регулирования между организациями коллективного управления (ОКУ) и независимыми музыкальными организациями (НМО)</w:t>
            </w:r>
          </w:p>
        </w:tc>
        <w:tc>
          <w:tcPr>
            <w:tcW w:w="2126" w:type="dxa"/>
            <w:vAlign w:val="center"/>
          </w:tcPr>
          <w:p w14:paraId="2DFB2FF3" w14:textId="52DFA813" w:rsidR="000C43F7" w:rsidRPr="00340CB0" w:rsidRDefault="00CF1831" w:rsidP="008E2049">
            <w:pPr>
              <w:widowControl w:val="0"/>
              <w:autoSpaceDE w:val="0"/>
              <w:autoSpaceDN w:val="0"/>
              <w:spacing w:line="254" w:lineRule="exact"/>
              <w:ind w:left="97" w:right="359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Европейский союз</w:t>
            </w:r>
          </w:p>
        </w:tc>
        <w:tc>
          <w:tcPr>
            <w:tcW w:w="2076" w:type="dxa"/>
            <w:vAlign w:val="center"/>
          </w:tcPr>
          <w:p w14:paraId="186B5997" w14:textId="15F45E18" w:rsidR="000C43F7" w:rsidRPr="00340CB0" w:rsidRDefault="00B02DAC" w:rsidP="008E2049">
            <w:pPr>
              <w:widowControl w:val="0"/>
              <w:autoSpaceDE w:val="0"/>
              <w:autoSpaceDN w:val="0"/>
              <w:spacing w:before="1"/>
              <w:ind w:left="20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>Директивы</w:t>
            </w:r>
            <w:r w:rsidR="000C43F7"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 xml:space="preserve"> </w:t>
            </w:r>
            <w:r w:rsidR="000C43F7"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2014/26/EU</w:t>
            </w:r>
          </w:p>
        </w:tc>
      </w:tr>
      <w:tr w:rsidR="000C43F7" w:rsidRPr="00340CB0" w14:paraId="04A5DF7C" w14:textId="77777777" w:rsidTr="00181594">
        <w:trPr>
          <w:trHeight w:val="249"/>
          <w:jc w:val="center"/>
        </w:trPr>
        <w:tc>
          <w:tcPr>
            <w:tcW w:w="1857" w:type="dxa"/>
            <w:vMerge/>
            <w:tcBorders>
              <w:top w:val="nil"/>
            </w:tcBorders>
            <w:vAlign w:val="center"/>
          </w:tcPr>
          <w:p w14:paraId="0DE2BFD3" w14:textId="77777777" w:rsidR="000C43F7" w:rsidRPr="00340CB0" w:rsidRDefault="000C43F7" w:rsidP="008E2049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14:paraId="4EE5B5E0" w14:textId="77777777" w:rsidR="000C43F7" w:rsidRPr="00340CB0" w:rsidRDefault="000C43F7" w:rsidP="00340CB0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6679" w:type="dxa"/>
            <w:vAlign w:val="center"/>
          </w:tcPr>
          <w:p w14:paraId="5D7F435E" w14:textId="76143B91" w:rsidR="000C43F7" w:rsidRPr="00340CB0" w:rsidRDefault="001079DD" w:rsidP="000C43F7">
            <w:pPr>
              <w:widowControl w:val="0"/>
              <w:autoSpaceDE w:val="0"/>
              <w:autoSpaceDN w:val="0"/>
              <w:spacing w:line="229" w:lineRule="exact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Потенциально недобросовестная конкуренция между ОКУ И НМО</w:t>
            </w:r>
          </w:p>
        </w:tc>
        <w:tc>
          <w:tcPr>
            <w:tcW w:w="2126" w:type="dxa"/>
            <w:vAlign w:val="center"/>
          </w:tcPr>
          <w:p w14:paraId="764843B0" w14:textId="09160915" w:rsidR="000C43F7" w:rsidRPr="00340CB0" w:rsidRDefault="00CF1831" w:rsidP="008E2049">
            <w:pPr>
              <w:widowControl w:val="0"/>
              <w:autoSpaceDE w:val="0"/>
              <w:autoSpaceDN w:val="0"/>
              <w:spacing w:line="229" w:lineRule="exact"/>
              <w:ind w:left="97" w:right="9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Кения – Африка</w:t>
            </w:r>
          </w:p>
        </w:tc>
        <w:tc>
          <w:tcPr>
            <w:tcW w:w="2076" w:type="dxa"/>
            <w:vMerge w:val="restart"/>
            <w:vAlign w:val="center"/>
          </w:tcPr>
          <w:p w14:paraId="4D59AF46" w14:textId="594A8035" w:rsidR="000C43F7" w:rsidRPr="00340CB0" w:rsidRDefault="00B02DAC" w:rsidP="008E2049">
            <w:pPr>
              <w:widowControl w:val="0"/>
              <w:autoSpaceDE w:val="0"/>
              <w:autoSpaceDN w:val="0"/>
              <w:ind w:left="207" w:right="195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Соответствующие законы об авторском праве государств – членов АРОИС</w:t>
            </w:r>
          </w:p>
        </w:tc>
      </w:tr>
      <w:tr w:rsidR="000C43F7" w:rsidRPr="00340CB0" w14:paraId="648BE2BD" w14:textId="77777777" w:rsidTr="00181594">
        <w:trPr>
          <w:trHeight w:val="762"/>
          <w:jc w:val="center"/>
        </w:trPr>
        <w:tc>
          <w:tcPr>
            <w:tcW w:w="1857" w:type="dxa"/>
            <w:vMerge/>
            <w:tcBorders>
              <w:top w:val="nil"/>
            </w:tcBorders>
            <w:vAlign w:val="center"/>
          </w:tcPr>
          <w:p w14:paraId="6A7B3D5C" w14:textId="77777777" w:rsidR="000C43F7" w:rsidRPr="00340CB0" w:rsidRDefault="000C43F7" w:rsidP="008E2049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14:paraId="14EDDDCC" w14:textId="77777777" w:rsidR="000C43F7" w:rsidRPr="00340CB0" w:rsidRDefault="000C43F7" w:rsidP="00340CB0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6679" w:type="dxa"/>
            <w:vAlign w:val="center"/>
          </w:tcPr>
          <w:p w14:paraId="046299C1" w14:textId="374DEF52" w:rsidR="000C43F7" w:rsidRPr="00340CB0" w:rsidRDefault="001079DD" w:rsidP="000C43F7">
            <w:pPr>
              <w:widowControl w:val="0"/>
              <w:autoSpaceDE w:val="0"/>
              <w:autoSpaceDN w:val="0"/>
              <w:spacing w:line="254" w:lineRule="exact"/>
              <w:ind w:left="109" w:right="94"/>
              <w:jc w:val="both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Неоптимальное регулирование</w:t>
            </w:r>
            <w:r w:rsidR="00340CB0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административных расходов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. 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Отсутствие согласованного «потолка» </w:t>
            </w:r>
            <w:r w:rsidR="007F598F">
              <w:rPr>
                <w:rFonts w:asciiTheme="majorBidi" w:eastAsia="Times New Roman" w:hAnsiTheme="majorBidi" w:cstheme="majorBidi"/>
                <w:sz w:val="20"/>
                <w:lang w:eastAsia="en-US"/>
              </w:rPr>
              <w:t>административных расходов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позволяет ОКУ производить непропорционально высокие удержания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(20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–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40%).</w:t>
            </w:r>
          </w:p>
        </w:tc>
        <w:tc>
          <w:tcPr>
            <w:tcW w:w="2126" w:type="dxa"/>
            <w:vAlign w:val="center"/>
          </w:tcPr>
          <w:p w14:paraId="55B12EE5" w14:textId="1646EB9F" w:rsidR="000C43F7" w:rsidRPr="00340CB0" w:rsidRDefault="00CF1831" w:rsidP="008E2049">
            <w:pPr>
              <w:widowControl w:val="0"/>
              <w:autoSpaceDE w:val="0"/>
              <w:autoSpaceDN w:val="0"/>
              <w:ind w:left="97" w:right="9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Африка</w:t>
            </w:r>
          </w:p>
        </w:tc>
        <w:tc>
          <w:tcPr>
            <w:tcW w:w="2076" w:type="dxa"/>
            <w:vMerge/>
            <w:tcBorders>
              <w:top w:val="nil"/>
            </w:tcBorders>
            <w:vAlign w:val="center"/>
          </w:tcPr>
          <w:p w14:paraId="0960E05C" w14:textId="77777777" w:rsidR="000C43F7" w:rsidRPr="00340CB0" w:rsidRDefault="000C43F7" w:rsidP="008E2049">
            <w:pPr>
              <w:spacing w:before="180" w:after="240"/>
              <w:ind w:left="207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0C43F7" w:rsidRPr="00340CB0" w14:paraId="0956BA69" w14:textId="77777777" w:rsidTr="00181594">
        <w:trPr>
          <w:trHeight w:val="504"/>
          <w:jc w:val="center"/>
        </w:trPr>
        <w:tc>
          <w:tcPr>
            <w:tcW w:w="1857" w:type="dxa"/>
            <w:vMerge/>
            <w:tcBorders>
              <w:top w:val="nil"/>
            </w:tcBorders>
            <w:vAlign w:val="center"/>
          </w:tcPr>
          <w:p w14:paraId="65866B23" w14:textId="77777777" w:rsidR="000C43F7" w:rsidRPr="00340CB0" w:rsidRDefault="000C43F7" w:rsidP="008E2049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70C90EEE" w14:textId="07BF2146" w:rsidR="000C43F7" w:rsidRPr="00340CB0" w:rsidRDefault="00CF1831" w:rsidP="00340CB0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Транспарентность</w:t>
            </w:r>
          </w:p>
        </w:tc>
        <w:tc>
          <w:tcPr>
            <w:tcW w:w="6679" w:type="dxa"/>
            <w:vAlign w:val="center"/>
          </w:tcPr>
          <w:p w14:paraId="6C4EABE8" w14:textId="12BB9CEF" w:rsidR="000C43F7" w:rsidRPr="00340CB0" w:rsidRDefault="001079DD" w:rsidP="000C43F7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Ограниченность надзорных функций ОКУ, например отсутствие периодических аудиторских проверок или обзоров финансовой отчетности</w:t>
            </w:r>
          </w:p>
        </w:tc>
        <w:tc>
          <w:tcPr>
            <w:tcW w:w="2126" w:type="dxa"/>
            <w:vMerge w:val="restart"/>
            <w:vAlign w:val="center"/>
          </w:tcPr>
          <w:p w14:paraId="2125CF68" w14:textId="19CBF675" w:rsidR="000C43F7" w:rsidRPr="00340CB0" w:rsidRDefault="00181594" w:rsidP="008E2049">
            <w:pPr>
              <w:widowControl w:val="0"/>
              <w:autoSpaceDE w:val="0"/>
              <w:autoSpaceDN w:val="0"/>
              <w:ind w:left="9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Африка</w:t>
            </w:r>
          </w:p>
        </w:tc>
        <w:tc>
          <w:tcPr>
            <w:tcW w:w="2076" w:type="dxa"/>
            <w:vMerge/>
            <w:tcBorders>
              <w:top w:val="nil"/>
            </w:tcBorders>
            <w:vAlign w:val="center"/>
          </w:tcPr>
          <w:p w14:paraId="42928074" w14:textId="77777777" w:rsidR="000C43F7" w:rsidRPr="00340CB0" w:rsidRDefault="000C43F7" w:rsidP="008E2049">
            <w:pPr>
              <w:spacing w:before="180" w:after="240"/>
              <w:ind w:left="207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0C43F7" w:rsidRPr="00340CB0" w14:paraId="22BA9084" w14:textId="77777777" w:rsidTr="00181594">
        <w:trPr>
          <w:trHeight w:val="508"/>
          <w:jc w:val="center"/>
        </w:trPr>
        <w:tc>
          <w:tcPr>
            <w:tcW w:w="1857" w:type="dxa"/>
            <w:vMerge/>
            <w:tcBorders>
              <w:top w:val="nil"/>
            </w:tcBorders>
            <w:vAlign w:val="center"/>
          </w:tcPr>
          <w:p w14:paraId="5F3A0092" w14:textId="77777777" w:rsidR="000C43F7" w:rsidRPr="00340CB0" w:rsidRDefault="000C43F7" w:rsidP="008E2049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14:paraId="4F34C43E" w14:textId="77777777" w:rsidR="000C43F7" w:rsidRPr="00340CB0" w:rsidRDefault="000C43F7" w:rsidP="000C43F7">
            <w:pPr>
              <w:spacing w:before="180" w:after="240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6679" w:type="dxa"/>
            <w:vAlign w:val="center"/>
          </w:tcPr>
          <w:p w14:paraId="36596B3F" w14:textId="7180CC54" w:rsidR="000C43F7" w:rsidRPr="00340CB0" w:rsidRDefault="001079DD" w:rsidP="000C43F7">
            <w:pPr>
              <w:widowControl w:val="0"/>
              <w:autoSpaceDE w:val="0"/>
              <w:autoSpaceDN w:val="0"/>
              <w:spacing w:line="254" w:lineRule="exact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Ограниченный надзор и контроль за соблюдением закона со стороны компетентных органов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(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например, ведомств ИС</w:t>
            </w:r>
            <w:r w:rsidR="000C43F7"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)</w:t>
            </w: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14:paraId="1F7418DF" w14:textId="77777777" w:rsidR="000C43F7" w:rsidRPr="00340CB0" w:rsidRDefault="000C43F7" w:rsidP="008E2049">
            <w:pPr>
              <w:spacing w:before="180" w:after="240"/>
              <w:ind w:left="97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vAlign w:val="center"/>
          </w:tcPr>
          <w:p w14:paraId="43EAD357" w14:textId="77777777" w:rsidR="000C43F7" w:rsidRPr="00340CB0" w:rsidRDefault="000C43F7" w:rsidP="008E2049">
            <w:pPr>
              <w:spacing w:before="180" w:after="240"/>
              <w:ind w:left="207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0C43F7" w:rsidRPr="00340CB0" w14:paraId="5751F9E3" w14:textId="77777777" w:rsidTr="00181594">
        <w:trPr>
          <w:trHeight w:val="504"/>
          <w:jc w:val="center"/>
        </w:trPr>
        <w:tc>
          <w:tcPr>
            <w:tcW w:w="1857" w:type="dxa"/>
            <w:vMerge/>
            <w:tcBorders>
              <w:top w:val="nil"/>
            </w:tcBorders>
            <w:vAlign w:val="center"/>
          </w:tcPr>
          <w:p w14:paraId="6A46DE9C" w14:textId="77777777" w:rsidR="000C43F7" w:rsidRPr="00340CB0" w:rsidRDefault="000C43F7" w:rsidP="008E2049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14:paraId="3BD6EB87" w14:textId="77777777" w:rsidR="000C43F7" w:rsidRPr="00340CB0" w:rsidRDefault="000C43F7" w:rsidP="000C43F7">
            <w:pPr>
              <w:spacing w:before="180" w:after="240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6679" w:type="dxa"/>
            <w:vAlign w:val="center"/>
          </w:tcPr>
          <w:p w14:paraId="3F166040" w14:textId="6692A0B0" w:rsidR="000C43F7" w:rsidRPr="00340CB0" w:rsidRDefault="00C55812" w:rsidP="00EF6C37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Ограниченная информация о графиках и сроках распределения роялти. В результате автор</w:t>
            </w:r>
            <w:r w:rsidR="00EF6C3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ам приходится многие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месяцы и</w:t>
            </w:r>
            <w:r w:rsidR="00EF6C3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ли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даже годы</w:t>
            </w:r>
            <w:r w:rsidR="00EF6C3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ждать 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выплаты роялти</w:t>
            </w:r>
            <w:r w:rsidR="00EF6C3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14:paraId="587758A8" w14:textId="77777777" w:rsidR="000C43F7" w:rsidRPr="00340CB0" w:rsidRDefault="000C43F7" w:rsidP="008E2049">
            <w:pPr>
              <w:spacing w:before="180" w:after="240"/>
              <w:ind w:left="97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vAlign w:val="center"/>
          </w:tcPr>
          <w:p w14:paraId="759103F6" w14:textId="77777777" w:rsidR="000C43F7" w:rsidRPr="00340CB0" w:rsidRDefault="000C43F7" w:rsidP="008E2049">
            <w:pPr>
              <w:spacing w:before="180" w:after="240"/>
              <w:ind w:left="207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0C43F7" w:rsidRPr="00340CB0" w14:paraId="6B8AFBB0" w14:textId="77777777" w:rsidTr="00181594">
        <w:trPr>
          <w:trHeight w:val="508"/>
          <w:jc w:val="center"/>
        </w:trPr>
        <w:tc>
          <w:tcPr>
            <w:tcW w:w="1857" w:type="dxa"/>
            <w:vMerge/>
            <w:tcBorders>
              <w:top w:val="nil"/>
            </w:tcBorders>
            <w:vAlign w:val="center"/>
          </w:tcPr>
          <w:p w14:paraId="7EEC6DAD" w14:textId="77777777" w:rsidR="000C43F7" w:rsidRPr="00340CB0" w:rsidRDefault="000C43F7" w:rsidP="008E2049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14:paraId="4F387B7C" w14:textId="77777777" w:rsidR="000C43F7" w:rsidRPr="00340CB0" w:rsidRDefault="000C43F7" w:rsidP="000C43F7">
            <w:pPr>
              <w:spacing w:before="180" w:after="240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6679" w:type="dxa"/>
            <w:vAlign w:val="center"/>
          </w:tcPr>
          <w:p w14:paraId="44E624C8" w14:textId="5797F0A2" w:rsidR="000C43F7" w:rsidRPr="00340CB0" w:rsidRDefault="00EF6C37" w:rsidP="000C43F7">
            <w:pPr>
              <w:widowControl w:val="0"/>
              <w:autoSpaceDE w:val="0"/>
              <w:autoSpaceDN w:val="0"/>
              <w:spacing w:line="254" w:lineRule="exact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Нарушение условий лицензии со стороны ОКУ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: 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фактически распределено всего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35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,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9% 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от необходимых 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70%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всех собранных роялти</w:t>
            </w: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14:paraId="4C1DD33D" w14:textId="77777777" w:rsidR="000C43F7" w:rsidRPr="00340CB0" w:rsidRDefault="000C43F7" w:rsidP="008E2049">
            <w:pPr>
              <w:spacing w:before="180" w:after="240"/>
              <w:ind w:left="97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vAlign w:val="center"/>
          </w:tcPr>
          <w:p w14:paraId="2F3DA90C" w14:textId="77777777" w:rsidR="000C43F7" w:rsidRPr="00340CB0" w:rsidRDefault="000C43F7" w:rsidP="008E2049">
            <w:pPr>
              <w:spacing w:before="180" w:after="240"/>
              <w:ind w:left="207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0C43F7" w:rsidRPr="00340CB0" w14:paraId="1BD907A0" w14:textId="77777777" w:rsidTr="00181594">
        <w:trPr>
          <w:trHeight w:val="503"/>
          <w:jc w:val="center"/>
        </w:trPr>
        <w:tc>
          <w:tcPr>
            <w:tcW w:w="1857" w:type="dxa"/>
            <w:vMerge/>
            <w:tcBorders>
              <w:top w:val="nil"/>
            </w:tcBorders>
            <w:vAlign w:val="center"/>
          </w:tcPr>
          <w:p w14:paraId="4DE66FF8" w14:textId="77777777" w:rsidR="000C43F7" w:rsidRPr="00340CB0" w:rsidRDefault="000C43F7" w:rsidP="008E2049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14:paraId="1C625FA0" w14:textId="77777777" w:rsidR="000C43F7" w:rsidRPr="00340CB0" w:rsidRDefault="000C43F7" w:rsidP="000C43F7">
            <w:pPr>
              <w:spacing w:before="180" w:after="240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6679" w:type="dxa"/>
            <w:vAlign w:val="center"/>
          </w:tcPr>
          <w:p w14:paraId="04FB5180" w14:textId="0CB3F8EA" w:rsidR="000C43F7" w:rsidRPr="00340CB0" w:rsidRDefault="0039441E" w:rsidP="000C43F7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Применяемые ОКУ методы расчета роялти рассматриваются как недостаточно транспарентные и сложные для понимания</w:t>
            </w:r>
          </w:p>
        </w:tc>
        <w:tc>
          <w:tcPr>
            <w:tcW w:w="2126" w:type="dxa"/>
            <w:vAlign w:val="center"/>
          </w:tcPr>
          <w:p w14:paraId="38723CD8" w14:textId="3874F9B4" w:rsidR="000C43F7" w:rsidRPr="00340CB0" w:rsidRDefault="00181594" w:rsidP="008E2049">
            <w:pPr>
              <w:widowControl w:val="0"/>
              <w:autoSpaceDE w:val="0"/>
              <w:autoSpaceDN w:val="0"/>
              <w:spacing w:line="249" w:lineRule="exact"/>
              <w:ind w:left="97" w:right="9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Европейский союз</w:t>
            </w:r>
          </w:p>
        </w:tc>
        <w:tc>
          <w:tcPr>
            <w:tcW w:w="2076" w:type="dxa"/>
            <w:vAlign w:val="center"/>
          </w:tcPr>
          <w:p w14:paraId="1194FDCB" w14:textId="59AC4910" w:rsidR="000C43F7" w:rsidRPr="00340CB0" w:rsidRDefault="00B02DAC" w:rsidP="008E2049">
            <w:pPr>
              <w:widowControl w:val="0"/>
              <w:autoSpaceDE w:val="0"/>
              <w:autoSpaceDN w:val="0"/>
              <w:spacing w:line="249" w:lineRule="exact"/>
              <w:ind w:left="20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>Директивы</w:t>
            </w:r>
            <w:r w:rsidR="000C43F7"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 xml:space="preserve"> </w:t>
            </w:r>
            <w:r w:rsidR="000C43F7"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2014/26/EU</w:t>
            </w:r>
          </w:p>
        </w:tc>
      </w:tr>
      <w:tr w:rsidR="000C43F7" w:rsidRPr="00340CB0" w14:paraId="16F674DB" w14:textId="77777777" w:rsidTr="00181594">
        <w:trPr>
          <w:trHeight w:val="758"/>
          <w:jc w:val="center"/>
        </w:trPr>
        <w:tc>
          <w:tcPr>
            <w:tcW w:w="1857" w:type="dxa"/>
            <w:vMerge w:val="restart"/>
            <w:vAlign w:val="center"/>
          </w:tcPr>
          <w:p w14:paraId="70064569" w14:textId="1057765F" w:rsidR="000C43F7" w:rsidRPr="00340CB0" w:rsidRDefault="00340CB0" w:rsidP="008E2049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Системы распределения роялти</w:t>
            </w:r>
          </w:p>
        </w:tc>
        <w:tc>
          <w:tcPr>
            <w:tcW w:w="1826" w:type="dxa"/>
            <w:vMerge w:val="restart"/>
            <w:vAlign w:val="center"/>
          </w:tcPr>
          <w:p w14:paraId="3BA1C781" w14:textId="36CF8F40" w:rsidR="000C43F7" w:rsidRPr="00340CB0" w:rsidRDefault="00CF1831" w:rsidP="00340CB0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Справедливость и инклюзивность</w:t>
            </w:r>
          </w:p>
        </w:tc>
        <w:tc>
          <w:tcPr>
            <w:tcW w:w="6679" w:type="dxa"/>
            <w:vAlign w:val="center"/>
          </w:tcPr>
          <w:p w14:paraId="486F6B2B" w14:textId="74255BB6" w:rsidR="000C43F7" w:rsidRPr="00340CB0" w:rsidRDefault="00A66D94" w:rsidP="000C43F7">
            <w:pPr>
              <w:widowControl w:val="0"/>
              <w:autoSpaceDE w:val="0"/>
              <w:autoSpaceDN w:val="0"/>
              <w:spacing w:before="1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Лицензионный паспорт ЕС по-прежнему доступен только крупным ОКУ, имеющим достаточные инфраструктурные мощности для </w:t>
            </w:r>
            <w:r w:rsidR="000E58A5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развертывания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системы, что исключает из процесса более мелких игроков рынка</w:t>
            </w:r>
          </w:p>
        </w:tc>
        <w:tc>
          <w:tcPr>
            <w:tcW w:w="2126" w:type="dxa"/>
            <w:vAlign w:val="center"/>
          </w:tcPr>
          <w:p w14:paraId="756F1926" w14:textId="1E4ECD4A" w:rsidR="000C43F7" w:rsidRPr="00340CB0" w:rsidRDefault="00181594" w:rsidP="008E2049">
            <w:pPr>
              <w:widowControl w:val="0"/>
              <w:autoSpaceDE w:val="0"/>
              <w:autoSpaceDN w:val="0"/>
              <w:spacing w:before="126"/>
              <w:ind w:left="97" w:right="359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Европейский союз</w:t>
            </w:r>
          </w:p>
        </w:tc>
        <w:tc>
          <w:tcPr>
            <w:tcW w:w="2076" w:type="dxa"/>
            <w:vAlign w:val="center"/>
          </w:tcPr>
          <w:p w14:paraId="4224C06A" w14:textId="4483CEF2" w:rsidR="000C43F7" w:rsidRPr="00340CB0" w:rsidRDefault="00B02DAC" w:rsidP="008E2049">
            <w:pPr>
              <w:widowControl w:val="0"/>
              <w:autoSpaceDE w:val="0"/>
              <w:autoSpaceDN w:val="0"/>
              <w:spacing w:before="126"/>
              <w:ind w:left="20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>Директивы</w:t>
            </w:r>
            <w:r w:rsidR="000C43F7"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 xml:space="preserve"> </w:t>
            </w:r>
            <w:r w:rsidR="000C43F7"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2014/26/EU</w:t>
            </w:r>
          </w:p>
        </w:tc>
      </w:tr>
      <w:tr w:rsidR="000C43F7" w:rsidRPr="00340CB0" w14:paraId="210F6D7E" w14:textId="77777777" w:rsidTr="00181594">
        <w:trPr>
          <w:trHeight w:val="758"/>
          <w:jc w:val="center"/>
        </w:trPr>
        <w:tc>
          <w:tcPr>
            <w:tcW w:w="1857" w:type="dxa"/>
            <w:vMerge/>
            <w:tcBorders>
              <w:top w:val="nil"/>
            </w:tcBorders>
            <w:vAlign w:val="center"/>
          </w:tcPr>
          <w:p w14:paraId="07EDC0F1" w14:textId="77777777" w:rsidR="000C43F7" w:rsidRPr="00340CB0" w:rsidRDefault="000C43F7" w:rsidP="008E2049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14:paraId="470F86B0" w14:textId="77777777" w:rsidR="000C43F7" w:rsidRPr="00340CB0" w:rsidRDefault="000C43F7" w:rsidP="000C43F7">
            <w:pPr>
              <w:spacing w:before="180" w:after="240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6679" w:type="dxa"/>
            <w:vAlign w:val="center"/>
          </w:tcPr>
          <w:p w14:paraId="39AEDD10" w14:textId="0AF764BF" w:rsidR="000C43F7" w:rsidRPr="00340CB0" w:rsidRDefault="00D8131F" w:rsidP="000C43F7">
            <w:pPr>
              <w:widowControl w:val="0"/>
              <w:autoSpaceDE w:val="0"/>
              <w:autoSpaceDN w:val="0"/>
              <w:spacing w:before="1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Неравномерное распределение технологической инфраструктуры 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(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выставление счетов онлайн, инструменты отслеживания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)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EC3ABD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сформировало 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зависимость от ручных методов сверки информации о роялти, что снижает эффективность</w:t>
            </w:r>
            <w:r w:rsidR="000C43F7" w:rsidRPr="00340CB0">
              <w:rPr>
                <w:rFonts w:asciiTheme="majorBidi" w:eastAsia="Times New Roman" w:hAnsiTheme="majorBidi" w:cstheme="majorBidi"/>
                <w:spacing w:val="-10"/>
                <w:sz w:val="20"/>
                <w:lang w:eastAsia="en-US"/>
              </w:rPr>
              <w:t xml:space="preserve"> </w:t>
            </w:r>
            <w:r w:rsidRPr="00340CB0">
              <w:rPr>
                <w:rFonts w:asciiTheme="majorBidi" w:eastAsia="Times New Roman" w:hAnsiTheme="majorBidi" w:cstheme="majorBidi"/>
                <w:spacing w:val="-10"/>
                <w:sz w:val="20"/>
                <w:lang w:eastAsia="en-US"/>
              </w:rPr>
              <w:t xml:space="preserve">и </w:t>
            </w:r>
            <w:r w:rsidRPr="00EC3ABD">
              <w:rPr>
                <w:rFonts w:asciiTheme="majorBidi" w:eastAsia="Times New Roman" w:hAnsiTheme="majorBidi" w:cstheme="majorBidi"/>
                <w:sz w:val="20"/>
                <w:lang w:eastAsia="en-US"/>
              </w:rPr>
              <w:t>делает процесс менее транспарентным</w:t>
            </w:r>
          </w:p>
        </w:tc>
        <w:tc>
          <w:tcPr>
            <w:tcW w:w="2126" w:type="dxa"/>
            <w:vAlign w:val="center"/>
          </w:tcPr>
          <w:p w14:paraId="04638176" w14:textId="3BEE79C9" w:rsidR="000C43F7" w:rsidRPr="00340CB0" w:rsidRDefault="00181594" w:rsidP="008E2049">
            <w:pPr>
              <w:widowControl w:val="0"/>
              <w:autoSpaceDE w:val="0"/>
              <w:autoSpaceDN w:val="0"/>
              <w:ind w:left="97" w:right="9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Африка</w:t>
            </w:r>
          </w:p>
        </w:tc>
        <w:tc>
          <w:tcPr>
            <w:tcW w:w="2076" w:type="dxa"/>
            <w:vAlign w:val="center"/>
          </w:tcPr>
          <w:p w14:paraId="786A4CC1" w14:textId="6CB3499E" w:rsidR="000C43F7" w:rsidRPr="00340CB0" w:rsidRDefault="00B02DAC" w:rsidP="008E2049">
            <w:pPr>
              <w:widowControl w:val="0"/>
              <w:autoSpaceDE w:val="0"/>
              <w:autoSpaceDN w:val="0"/>
              <w:spacing w:before="1"/>
              <w:ind w:left="20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Соответствующие законы об авторском праве государств – членов АРОИС</w:t>
            </w:r>
          </w:p>
        </w:tc>
      </w:tr>
      <w:tr w:rsidR="000C43F7" w:rsidRPr="00340CB0" w14:paraId="0C8FB3C5" w14:textId="77777777" w:rsidTr="00181594">
        <w:trPr>
          <w:trHeight w:val="1267"/>
          <w:jc w:val="center"/>
        </w:trPr>
        <w:tc>
          <w:tcPr>
            <w:tcW w:w="1857" w:type="dxa"/>
            <w:vMerge/>
            <w:tcBorders>
              <w:top w:val="nil"/>
            </w:tcBorders>
            <w:vAlign w:val="center"/>
          </w:tcPr>
          <w:p w14:paraId="67E84B78" w14:textId="77777777" w:rsidR="000C43F7" w:rsidRPr="00340CB0" w:rsidRDefault="000C43F7" w:rsidP="008E2049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14:paraId="55A42C7C" w14:textId="77777777" w:rsidR="000C43F7" w:rsidRPr="00340CB0" w:rsidRDefault="000C43F7" w:rsidP="000C43F7">
            <w:pPr>
              <w:spacing w:before="180" w:after="240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6679" w:type="dxa"/>
            <w:vAlign w:val="center"/>
          </w:tcPr>
          <w:p w14:paraId="164B6E7C" w14:textId="52A6CA6C" w:rsidR="000C43F7" w:rsidRPr="00340CB0" w:rsidRDefault="00B96DC8" w:rsidP="000C43F7">
            <w:pPr>
              <w:widowControl w:val="0"/>
              <w:autoSpaceDE w:val="0"/>
              <w:autoSpaceDN w:val="0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В критических материалах представителей академических кругов и отрасли отмечаются структурные недостатки </w:t>
            </w:r>
            <w:r w:rsidR="00BB2899">
              <w:rPr>
                <w:rFonts w:asciiTheme="majorBidi" w:eastAsia="Times New Roman" w:hAnsiTheme="majorBidi" w:cstheme="majorBidi"/>
                <w:sz w:val="20"/>
                <w:lang w:eastAsia="en-US"/>
              </w:rPr>
              <w:t>модели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пропорционального распределения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(PRM)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, применяемой глобальными цифровыми платформами для распределения роялти</w:t>
            </w:r>
          </w:p>
        </w:tc>
        <w:tc>
          <w:tcPr>
            <w:tcW w:w="2126" w:type="dxa"/>
            <w:vAlign w:val="center"/>
          </w:tcPr>
          <w:p w14:paraId="66DA51ED" w14:textId="3B4D0F61" w:rsidR="000C43F7" w:rsidRPr="00340CB0" w:rsidRDefault="00181594" w:rsidP="008E2049">
            <w:pPr>
              <w:widowControl w:val="0"/>
              <w:autoSpaceDE w:val="0"/>
              <w:autoSpaceDN w:val="0"/>
              <w:spacing w:before="130"/>
              <w:ind w:left="97" w:right="9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Европейский союз, Соединенное Королевство</w:t>
            </w:r>
            <w:r w:rsidR="00B02DAC"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 xml:space="preserve"> (СК)</w:t>
            </w: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, США</w:t>
            </w:r>
          </w:p>
        </w:tc>
        <w:tc>
          <w:tcPr>
            <w:tcW w:w="2076" w:type="dxa"/>
            <w:vAlign w:val="center"/>
          </w:tcPr>
          <w:p w14:paraId="6085EADB" w14:textId="02B6107F" w:rsidR="000C43F7" w:rsidRPr="00340CB0" w:rsidRDefault="00B02DAC" w:rsidP="008E2049">
            <w:pPr>
              <w:widowControl w:val="0"/>
              <w:autoSpaceDE w:val="0"/>
              <w:autoSpaceDN w:val="0"/>
              <w:spacing w:before="1"/>
              <w:ind w:left="207" w:right="195"/>
              <w:jc w:val="center"/>
              <w:rPr>
                <w:rFonts w:asciiTheme="majorBidi" w:eastAsia="Times New Roman" w:hAnsiTheme="majorBidi" w:cstheme="majorBidi"/>
                <w:i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>Директивы</w:t>
            </w:r>
            <w:r w:rsidR="000C43F7"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 xml:space="preserve"> 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2014/26/EU,</w:t>
            </w:r>
            <w:r w:rsidR="000C43F7" w:rsidRPr="00340CB0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 w:rsidRPr="00340CB0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>Закон США «Об авторском праве», Закон СК «Об авторском праве»</w:t>
            </w:r>
          </w:p>
        </w:tc>
      </w:tr>
      <w:tr w:rsidR="000C43F7" w:rsidRPr="00340CB0" w14:paraId="653844BD" w14:textId="77777777" w:rsidTr="00181594">
        <w:trPr>
          <w:trHeight w:val="758"/>
          <w:jc w:val="center"/>
        </w:trPr>
        <w:tc>
          <w:tcPr>
            <w:tcW w:w="1857" w:type="dxa"/>
            <w:vAlign w:val="center"/>
          </w:tcPr>
          <w:p w14:paraId="7FF048BB" w14:textId="78338FFA" w:rsidR="000C43F7" w:rsidRPr="00340CB0" w:rsidRDefault="00BF2DFC" w:rsidP="008E2049">
            <w:pPr>
              <w:widowControl w:val="0"/>
              <w:autoSpaceDE w:val="0"/>
              <w:autoSpaceDN w:val="0"/>
              <w:spacing w:before="1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lastRenderedPageBreak/>
              <w:t>Централизация глобальной базы данных по авторскому праву</w:t>
            </w:r>
          </w:p>
        </w:tc>
        <w:tc>
          <w:tcPr>
            <w:tcW w:w="1826" w:type="dxa"/>
            <w:vAlign w:val="center"/>
          </w:tcPr>
          <w:p w14:paraId="402328AB" w14:textId="39B923DF" w:rsidR="000C43F7" w:rsidRPr="00340CB0" w:rsidRDefault="00CF1831" w:rsidP="00C819A5">
            <w:pPr>
              <w:widowControl w:val="0"/>
              <w:autoSpaceDE w:val="0"/>
              <w:autoSpaceDN w:val="0"/>
              <w:spacing w:before="125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Справедливость и инклюзивность</w:t>
            </w:r>
          </w:p>
        </w:tc>
        <w:tc>
          <w:tcPr>
            <w:tcW w:w="6679" w:type="dxa"/>
            <w:vAlign w:val="center"/>
          </w:tcPr>
          <w:p w14:paraId="1FDBEFFB" w14:textId="74B2AA9B" w:rsidR="000C43F7" w:rsidRPr="00340CB0" w:rsidRDefault="000E58A5" w:rsidP="000C43F7">
            <w:pPr>
              <w:widowControl w:val="0"/>
              <w:autoSpaceDE w:val="0"/>
              <w:autoSpaceDN w:val="0"/>
              <w:spacing w:before="1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Различия в </w:t>
            </w:r>
            <w:r w:rsidR="00BF2DFC">
              <w:rPr>
                <w:rFonts w:asciiTheme="majorBidi" w:eastAsia="Times New Roman" w:hAnsiTheme="majorBidi" w:cstheme="majorBidi"/>
                <w:sz w:val="20"/>
                <w:lang w:eastAsia="en-US"/>
              </w:rPr>
              <w:t>с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по</w:t>
            </w:r>
            <w:r w:rsidR="00BF2DFC">
              <w:rPr>
                <w:rFonts w:asciiTheme="majorBidi" w:eastAsia="Times New Roman" w:hAnsiTheme="majorBidi" w:cstheme="majorBidi"/>
                <w:sz w:val="20"/>
                <w:lang w:eastAsia="en-US"/>
              </w:rPr>
              <w:t>собности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ОКУ внедр</w:t>
            </w:r>
            <w:r w:rsidR="00BF2DFC">
              <w:rPr>
                <w:rFonts w:asciiTheme="majorBidi" w:eastAsia="Times New Roman" w:hAnsiTheme="majorBidi" w:cstheme="majorBidi"/>
                <w:sz w:val="20"/>
                <w:lang w:eastAsia="en-US"/>
              </w:rPr>
              <w:t>я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ть и разв</w:t>
            </w:r>
            <w:r w:rsidR="00BF2DFC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орачивать 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стандартизированные технологические системы </w:t>
            </w:r>
            <w:r w:rsidRPr="00340CB0">
              <w:rPr>
                <w:rFonts w:asciiTheme="majorBidi" w:eastAsia="Times New Roman" w:hAnsiTheme="majorBidi" w:cstheme="majorBidi"/>
                <w:spacing w:val="-5"/>
                <w:sz w:val="20"/>
                <w:lang w:eastAsia="en-US"/>
              </w:rPr>
              <w:t>для управления коллекциями</w:t>
            </w:r>
          </w:p>
        </w:tc>
        <w:tc>
          <w:tcPr>
            <w:tcW w:w="2126" w:type="dxa"/>
            <w:vAlign w:val="center"/>
          </w:tcPr>
          <w:p w14:paraId="53922B14" w14:textId="58DC7176" w:rsidR="000C43F7" w:rsidRPr="00340CB0" w:rsidRDefault="00181594" w:rsidP="008E2049">
            <w:pPr>
              <w:widowControl w:val="0"/>
              <w:autoSpaceDE w:val="0"/>
              <w:autoSpaceDN w:val="0"/>
              <w:spacing w:before="125"/>
              <w:ind w:left="97" w:right="359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Европейский союз</w:t>
            </w:r>
          </w:p>
        </w:tc>
        <w:tc>
          <w:tcPr>
            <w:tcW w:w="2076" w:type="dxa"/>
            <w:vAlign w:val="center"/>
          </w:tcPr>
          <w:p w14:paraId="298B6F44" w14:textId="428CFDAB" w:rsidR="000C43F7" w:rsidRPr="00340CB0" w:rsidRDefault="0065232B" w:rsidP="008E2049">
            <w:pPr>
              <w:widowControl w:val="0"/>
              <w:autoSpaceDE w:val="0"/>
              <w:autoSpaceDN w:val="0"/>
              <w:spacing w:before="125"/>
              <w:ind w:left="20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>Директивы</w:t>
            </w:r>
            <w:r w:rsidR="000C43F7"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 xml:space="preserve"> </w:t>
            </w:r>
            <w:r w:rsidR="000C43F7"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2014/26/EU</w:t>
            </w:r>
          </w:p>
        </w:tc>
      </w:tr>
      <w:tr w:rsidR="000C43F7" w:rsidRPr="00340CB0" w14:paraId="607C95D0" w14:textId="77777777" w:rsidTr="00181594">
        <w:trPr>
          <w:trHeight w:val="1800"/>
          <w:jc w:val="center"/>
        </w:trPr>
        <w:tc>
          <w:tcPr>
            <w:tcW w:w="1857" w:type="dxa"/>
            <w:vMerge w:val="restart"/>
            <w:vAlign w:val="center"/>
          </w:tcPr>
          <w:p w14:paraId="7FA0C1C2" w14:textId="77777777" w:rsidR="000C43F7" w:rsidRPr="00892692" w:rsidRDefault="000C43F7" w:rsidP="008E2049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</w:pPr>
          </w:p>
        </w:tc>
        <w:tc>
          <w:tcPr>
            <w:tcW w:w="1826" w:type="dxa"/>
            <w:vAlign w:val="center"/>
          </w:tcPr>
          <w:p w14:paraId="5536282F" w14:textId="77777777" w:rsidR="000C43F7" w:rsidRPr="00340CB0" w:rsidRDefault="000C43F7" w:rsidP="00C819A5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6679" w:type="dxa"/>
            <w:vAlign w:val="center"/>
          </w:tcPr>
          <w:p w14:paraId="19B084E5" w14:textId="0A929DC8" w:rsidR="000C43F7" w:rsidRPr="00340CB0" w:rsidRDefault="00405F1C" w:rsidP="000C43F7">
            <w:pPr>
              <w:widowControl w:val="0"/>
              <w:numPr>
                <w:ilvl w:val="0"/>
                <w:numId w:val="26"/>
              </w:numPr>
              <w:tabs>
                <w:tab w:val="left" w:pos="470"/>
              </w:tabs>
              <w:autoSpaceDE w:val="0"/>
              <w:autoSpaceDN w:val="0"/>
              <w:spacing w:before="27" w:after="240" w:line="225" w:lineRule="auto"/>
              <w:ind w:right="101"/>
              <w:jc w:val="both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Ограниченный потенциал ОКУ приводит к отсутствию надежных консолидированных данных</w:t>
            </w:r>
          </w:p>
          <w:p w14:paraId="23E6F54C" w14:textId="5B9BD7C9" w:rsidR="000C43F7" w:rsidRPr="00340CB0" w:rsidRDefault="008D4591" w:rsidP="000C43F7">
            <w:pPr>
              <w:widowControl w:val="0"/>
              <w:numPr>
                <w:ilvl w:val="0"/>
                <w:numId w:val="26"/>
              </w:numPr>
              <w:tabs>
                <w:tab w:val="left" w:pos="470"/>
              </w:tabs>
              <w:autoSpaceDE w:val="0"/>
              <w:autoSpaceDN w:val="0"/>
              <w:spacing w:before="21" w:after="240" w:line="235" w:lineRule="auto"/>
              <w:ind w:right="97"/>
              <w:jc w:val="both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По мнению </w:t>
            </w:r>
            <w:r w:rsidR="00405F1C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отрасли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,</w:t>
            </w:r>
            <w:r w:rsidR="00405F1C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ОКУ Индонезии не 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сумели </w:t>
            </w:r>
            <w:r w:rsidR="00405F1C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продемонстрирова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ть, что способны принять устоявшиеся международные стандарты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. 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На основе этой субъективной оценки иностранные организации сочли возможным взять на себя роль представителя индонезийской музыки на региональном уровне в А</w:t>
            </w:r>
            <w:r w:rsidR="00BF2DFC">
              <w:rPr>
                <w:rFonts w:asciiTheme="majorBidi" w:eastAsia="Times New Roman" w:hAnsiTheme="majorBidi" w:cstheme="majorBidi"/>
                <w:sz w:val="20"/>
                <w:lang w:eastAsia="en-US"/>
              </w:rPr>
              <w:t>зиатско-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Т</w:t>
            </w:r>
            <w:r w:rsidR="00BF2DFC">
              <w:rPr>
                <w:rFonts w:asciiTheme="majorBidi" w:eastAsia="Times New Roman" w:hAnsiTheme="majorBidi" w:cstheme="majorBidi"/>
                <w:sz w:val="20"/>
                <w:lang w:eastAsia="en-US"/>
              </w:rPr>
              <w:t>ихоокеанском регионе</w:t>
            </w:r>
            <w:r w:rsidR="000C43F7"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.</w:t>
            </w:r>
          </w:p>
        </w:tc>
        <w:tc>
          <w:tcPr>
            <w:tcW w:w="2126" w:type="dxa"/>
            <w:vAlign w:val="center"/>
          </w:tcPr>
          <w:p w14:paraId="6E5D2F9C" w14:textId="7E9DE365" w:rsidR="000C43F7" w:rsidRPr="00340CB0" w:rsidRDefault="00B02DAC" w:rsidP="008E2049">
            <w:pPr>
              <w:widowControl w:val="0"/>
              <w:autoSpaceDE w:val="0"/>
              <w:autoSpaceDN w:val="0"/>
              <w:ind w:left="97" w:right="9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Индонезия, Азия</w:t>
            </w:r>
          </w:p>
        </w:tc>
        <w:tc>
          <w:tcPr>
            <w:tcW w:w="2076" w:type="dxa"/>
            <w:vAlign w:val="center"/>
          </w:tcPr>
          <w:p w14:paraId="07F86D0F" w14:textId="77777777" w:rsidR="000C43F7" w:rsidRPr="00340CB0" w:rsidRDefault="000C43F7" w:rsidP="008E2049">
            <w:pPr>
              <w:widowControl w:val="0"/>
              <w:autoSpaceDE w:val="0"/>
              <w:autoSpaceDN w:val="0"/>
              <w:ind w:left="207" w:right="195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PP</w:t>
            </w:r>
            <w:r w:rsidRPr="00340CB0">
              <w:rPr>
                <w:rFonts w:asciiTheme="majorBidi" w:eastAsia="Times New Roman" w:hAnsiTheme="majorBidi" w:cstheme="majorBidi"/>
                <w:spacing w:val="-5"/>
                <w:sz w:val="20"/>
                <w:lang w:eastAsia="en-US"/>
              </w:rPr>
              <w:t xml:space="preserve"> </w:t>
            </w: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56/2021</w:t>
            </w:r>
          </w:p>
        </w:tc>
      </w:tr>
      <w:tr w:rsidR="000C43F7" w:rsidRPr="00340CB0" w14:paraId="4E8156C7" w14:textId="77777777" w:rsidTr="00181594">
        <w:trPr>
          <w:trHeight w:val="508"/>
          <w:jc w:val="center"/>
        </w:trPr>
        <w:tc>
          <w:tcPr>
            <w:tcW w:w="1857" w:type="dxa"/>
            <w:vMerge/>
            <w:tcBorders>
              <w:top w:val="nil"/>
            </w:tcBorders>
            <w:vAlign w:val="center"/>
          </w:tcPr>
          <w:p w14:paraId="268C43B3" w14:textId="77777777" w:rsidR="000C43F7" w:rsidRPr="00340CB0" w:rsidRDefault="000C43F7" w:rsidP="008E2049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826" w:type="dxa"/>
            <w:vMerge w:val="restart"/>
            <w:vAlign w:val="center"/>
          </w:tcPr>
          <w:p w14:paraId="6E0DFC85" w14:textId="1DF6722F" w:rsidR="000C43F7" w:rsidRPr="00340CB0" w:rsidRDefault="00CF1831" w:rsidP="00C819A5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Транспарентность</w:t>
            </w:r>
          </w:p>
        </w:tc>
        <w:tc>
          <w:tcPr>
            <w:tcW w:w="6679" w:type="dxa"/>
            <w:vAlign w:val="center"/>
          </w:tcPr>
          <w:p w14:paraId="299D79FF" w14:textId="190F650C" w:rsidR="000C43F7" w:rsidRPr="00340CB0" w:rsidRDefault="00020C06" w:rsidP="000C43F7">
            <w:pPr>
              <w:widowControl w:val="0"/>
              <w:autoSpaceDE w:val="0"/>
              <w:autoSpaceDN w:val="0"/>
              <w:spacing w:line="254" w:lineRule="exact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Фрагментация коллекций усложняет согласование метаданных музыкальных произведений</w:t>
            </w:r>
            <w:r w:rsidR="00C6227B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— процесс, на котором основан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сбор роялти</w:t>
            </w:r>
          </w:p>
        </w:tc>
        <w:tc>
          <w:tcPr>
            <w:tcW w:w="2126" w:type="dxa"/>
            <w:vAlign w:val="center"/>
          </w:tcPr>
          <w:p w14:paraId="195DF2E5" w14:textId="5A4D3E7C" w:rsidR="000C43F7" w:rsidRPr="00340CB0" w:rsidRDefault="00B02DAC" w:rsidP="008E2049">
            <w:pPr>
              <w:widowControl w:val="0"/>
              <w:autoSpaceDE w:val="0"/>
              <w:autoSpaceDN w:val="0"/>
              <w:spacing w:line="254" w:lineRule="exact"/>
              <w:ind w:left="97" w:right="359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Европейский союз</w:t>
            </w:r>
          </w:p>
        </w:tc>
        <w:tc>
          <w:tcPr>
            <w:tcW w:w="2076" w:type="dxa"/>
            <w:vAlign w:val="center"/>
          </w:tcPr>
          <w:p w14:paraId="443C0B11" w14:textId="26B1C5D8" w:rsidR="000C43F7" w:rsidRPr="00340CB0" w:rsidRDefault="0065232B" w:rsidP="008E2049">
            <w:pPr>
              <w:widowControl w:val="0"/>
              <w:autoSpaceDE w:val="0"/>
              <w:autoSpaceDN w:val="0"/>
              <w:spacing w:before="1"/>
              <w:ind w:left="207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>Директивы</w:t>
            </w:r>
            <w:r w:rsidR="000C43F7" w:rsidRPr="00340CB0">
              <w:rPr>
                <w:rFonts w:asciiTheme="majorBidi" w:eastAsia="Times New Roman" w:hAnsiTheme="majorBidi" w:cstheme="majorBidi"/>
                <w:i/>
                <w:spacing w:val="-2"/>
                <w:sz w:val="20"/>
                <w:lang w:eastAsia="en-US"/>
              </w:rPr>
              <w:t xml:space="preserve"> </w:t>
            </w:r>
            <w:r w:rsidR="000C43F7"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2014/26/EU</w:t>
            </w:r>
          </w:p>
        </w:tc>
      </w:tr>
      <w:tr w:rsidR="000C43F7" w:rsidRPr="00340CB0" w14:paraId="4A396829" w14:textId="77777777" w:rsidTr="00181594">
        <w:trPr>
          <w:trHeight w:val="504"/>
          <w:jc w:val="center"/>
        </w:trPr>
        <w:tc>
          <w:tcPr>
            <w:tcW w:w="1857" w:type="dxa"/>
            <w:vMerge/>
            <w:tcBorders>
              <w:top w:val="nil"/>
            </w:tcBorders>
            <w:vAlign w:val="center"/>
          </w:tcPr>
          <w:p w14:paraId="52EAF4B2" w14:textId="77777777" w:rsidR="000C43F7" w:rsidRPr="00340CB0" w:rsidRDefault="000C43F7" w:rsidP="008E2049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826" w:type="dxa"/>
            <w:vMerge/>
            <w:tcBorders>
              <w:top w:val="nil"/>
            </w:tcBorders>
            <w:vAlign w:val="center"/>
          </w:tcPr>
          <w:p w14:paraId="1ABA39CB" w14:textId="77777777" w:rsidR="000C43F7" w:rsidRPr="00340CB0" w:rsidRDefault="000C43F7" w:rsidP="00C819A5">
            <w:pPr>
              <w:spacing w:before="180" w:after="240"/>
              <w:jc w:val="center"/>
              <w:rPr>
                <w:rFonts w:asciiTheme="majorBidi" w:eastAsia="Aptos" w:hAnsiTheme="majorBidi" w:cstheme="majorBidi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6679" w:type="dxa"/>
            <w:vAlign w:val="center"/>
          </w:tcPr>
          <w:p w14:paraId="7547CE26" w14:textId="2ED18242" w:rsidR="000C43F7" w:rsidRPr="00340CB0" w:rsidRDefault="009D7578" w:rsidP="000C43F7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Большая востребованность отрытой базы данных музыкальных произведений, продвигаемой в рамках инициативы 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Open Music</w:t>
            </w:r>
          </w:p>
        </w:tc>
        <w:tc>
          <w:tcPr>
            <w:tcW w:w="2126" w:type="dxa"/>
            <w:vAlign w:val="center"/>
          </w:tcPr>
          <w:p w14:paraId="5EBC8ADA" w14:textId="1967973C" w:rsidR="000C43F7" w:rsidRPr="00340CB0" w:rsidRDefault="00B02DAC" w:rsidP="008E2049">
            <w:pPr>
              <w:widowControl w:val="0"/>
              <w:autoSpaceDE w:val="0"/>
              <w:autoSpaceDN w:val="0"/>
              <w:spacing w:before="125"/>
              <w:ind w:left="97" w:right="96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США</w:t>
            </w:r>
          </w:p>
        </w:tc>
        <w:tc>
          <w:tcPr>
            <w:tcW w:w="2076" w:type="dxa"/>
            <w:vAlign w:val="center"/>
          </w:tcPr>
          <w:p w14:paraId="0227C190" w14:textId="6D144F21" w:rsidR="000C43F7" w:rsidRPr="00340CB0" w:rsidRDefault="0065232B" w:rsidP="008E2049">
            <w:pPr>
              <w:widowControl w:val="0"/>
              <w:autoSpaceDE w:val="0"/>
              <w:autoSpaceDN w:val="0"/>
              <w:spacing w:before="125"/>
              <w:ind w:left="207" w:right="101"/>
              <w:jc w:val="center"/>
              <w:rPr>
                <w:rFonts w:asciiTheme="majorBidi" w:eastAsia="Times New Roman" w:hAnsiTheme="majorBidi" w:cstheme="majorBidi"/>
                <w:i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Закон США «Об авторском праве»</w:t>
            </w:r>
          </w:p>
        </w:tc>
      </w:tr>
      <w:tr w:rsidR="000C43F7" w:rsidRPr="00340CB0" w14:paraId="77CC0D34" w14:textId="77777777" w:rsidTr="00181594">
        <w:trPr>
          <w:trHeight w:val="762"/>
          <w:jc w:val="center"/>
        </w:trPr>
        <w:tc>
          <w:tcPr>
            <w:tcW w:w="1857" w:type="dxa"/>
            <w:vAlign w:val="center"/>
          </w:tcPr>
          <w:p w14:paraId="175DC53D" w14:textId="2CAFAF50" w:rsidR="000C43F7" w:rsidRPr="00340CB0" w:rsidRDefault="00212375" w:rsidP="008E2049">
            <w:pPr>
              <w:widowControl w:val="0"/>
              <w:autoSpaceDE w:val="0"/>
              <w:autoSpaceDN w:val="0"/>
              <w:spacing w:line="254" w:lineRule="exact"/>
              <w:ind w:right="301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Различия в расчете роялти в авторском праве</w:t>
            </w:r>
          </w:p>
        </w:tc>
        <w:tc>
          <w:tcPr>
            <w:tcW w:w="1826" w:type="dxa"/>
            <w:vAlign w:val="center"/>
          </w:tcPr>
          <w:p w14:paraId="03648590" w14:textId="224D8351" w:rsidR="000C43F7" w:rsidRPr="00340CB0" w:rsidRDefault="00CF1831" w:rsidP="00C819A5">
            <w:pPr>
              <w:widowControl w:val="0"/>
              <w:autoSpaceDE w:val="0"/>
              <w:autoSpaceDN w:val="0"/>
              <w:spacing w:before="125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Справедливость и инклюзивность</w:t>
            </w:r>
          </w:p>
        </w:tc>
        <w:tc>
          <w:tcPr>
            <w:tcW w:w="6679" w:type="dxa"/>
            <w:vAlign w:val="center"/>
          </w:tcPr>
          <w:p w14:paraId="426494F8" w14:textId="6149599E" w:rsidR="000C43F7" w:rsidRPr="00340CB0" w:rsidRDefault="004145F0" w:rsidP="000C43F7">
            <w:pPr>
              <w:widowControl w:val="0"/>
              <w:autoSpaceDE w:val="0"/>
              <w:autoSpaceDN w:val="0"/>
              <w:spacing w:line="254" w:lineRule="exact"/>
              <w:ind w:left="109" w:right="99"/>
              <w:jc w:val="both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Отсутствие </w:t>
            </w:r>
            <w:r w:rsidR="003E176E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специального 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нормативно-правово</w:t>
            </w:r>
            <w:r w:rsidR="003E176E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го регулирования вопроса различия между размером роялти, начисляемых цифровыми платформами, и долей, фактически получаемой авторами</w:t>
            </w:r>
            <w:r w:rsidR="000C43F7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.</w:t>
            </w:r>
          </w:p>
        </w:tc>
        <w:tc>
          <w:tcPr>
            <w:tcW w:w="2126" w:type="dxa"/>
            <w:vAlign w:val="center"/>
          </w:tcPr>
          <w:p w14:paraId="27B3B5A7" w14:textId="172CFEAD" w:rsidR="000C43F7" w:rsidRPr="00340CB0" w:rsidRDefault="00B02DAC" w:rsidP="008E2049">
            <w:pPr>
              <w:widowControl w:val="0"/>
              <w:autoSpaceDE w:val="0"/>
              <w:autoSpaceDN w:val="0"/>
              <w:ind w:left="97" w:right="9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4"/>
                <w:sz w:val="20"/>
                <w:lang w:eastAsia="en-US"/>
              </w:rPr>
              <w:t>Азия</w:t>
            </w:r>
          </w:p>
        </w:tc>
        <w:tc>
          <w:tcPr>
            <w:tcW w:w="2076" w:type="dxa"/>
            <w:vAlign w:val="center"/>
          </w:tcPr>
          <w:p w14:paraId="344C8D0D" w14:textId="329679A5" w:rsidR="000C43F7" w:rsidRPr="00340CB0" w:rsidRDefault="0065232B" w:rsidP="008E2049">
            <w:pPr>
              <w:widowControl w:val="0"/>
              <w:autoSpaceDE w:val="0"/>
              <w:autoSpaceDN w:val="0"/>
              <w:ind w:left="207" w:right="195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5"/>
                <w:sz w:val="20"/>
                <w:lang w:eastAsia="en-US"/>
              </w:rPr>
              <w:t>неприменимо</w:t>
            </w:r>
          </w:p>
        </w:tc>
      </w:tr>
    </w:tbl>
    <w:p w14:paraId="6A2369CA" w14:textId="56ACE5CA" w:rsidR="000C43F7" w:rsidRPr="00340CB0" w:rsidRDefault="00FE776F" w:rsidP="000C43F7">
      <w:pPr>
        <w:spacing w:before="180" w:after="240"/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Справочная литература</w:t>
      </w:r>
    </w:p>
    <w:p w14:paraId="6B9E6BC8" w14:textId="77777777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ARIPO. "The ARIPO Online Collective Management Organizations Survey Report." Harare, 2021. https://www.aripo.org/storage/copyright- publication/1724743652_The ARIPO Online Collective Management Organizations Survey Report.pdf</w:t>
      </w:r>
    </w:p>
    <w:p w14:paraId="3799CC18" w14:textId="32726FE8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Calboli, Irene. "Report on the Online Music Market and Main Business Models in Asia: Overview and General Trends." Geneva, 2021. </w:t>
      </w:r>
      <w:r>
        <w:fldChar w:fldCharType="begin"/>
      </w:r>
      <w:r>
        <w:instrText>HYPERLINK "https://www.wipo.int/meetings/en/doc_details.jsp?doc_id=540737"</w:instrText>
      </w:r>
      <w:r>
        <w:fldChar w:fldCharType="separate"/>
      </w:r>
      <w:r w:rsidRPr="00340CB0">
        <w:rPr>
          <w:rFonts w:eastAsia="Aptos" w:cs="Noto Sans Display"/>
          <w:color w:val="467886"/>
          <w:kern w:val="2"/>
          <w:szCs w:val="22"/>
          <w:u w:val="single"/>
          <w:lang w:eastAsia="en-US"/>
          <w14:ligatures w14:val="standardContextual"/>
        </w:rPr>
        <w:t>https://www.wipo.int/meetings/en/doc_details.jsp?doc_id=540737</w:t>
      </w:r>
      <w:r>
        <w:fldChar w:fldCharType="end"/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2237990D" w14:textId="740B9609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DCMS Select Committee. "Economics of Music Streaming." 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Digital</w:t>
      </w:r>
      <w:r w:rsidR="00CB566F"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,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 xml:space="preserve"> Culture</w:t>
      </w:r>
      <w:r w:rsidR="00CB566F"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,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 xml:space="preserve"> Media</w:t>
      </w:r>
      <w:r w:rsidR="00CB566F"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,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 xml:space="preserve"> and Sport Committee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London, 2021. </w:t>
      </w:r>
      <w:hyperlink r:id="rId15" w:history="1">
        <w:r w:rsidRPr="00340CB0">
          <w:rPr>
            <w:rFonts w:eastAsia="Aptos" w:cs="Noto Sans Display"/>
            <w:color w:val="467886"/>
            <w:kern w:val="2"/>
            <w:szCs w:val="22"/>
            <w:u w:val="single"/>
            <w:lang w:eastAsia="en-US"/>
            <w14:ligatures w14:val="standardContextual"/>
          </w:rPr>
          <w:t>https://committees.parliament.uk/work/646/economics-of-music-streaming/publications/</w:t>
        </w:r>
      </w:hyperlink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49F74384" w14:textId="77777777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European Commission. "Report on the Application of Directive 2014/26/EU on Collective Management of Copyright and Related Rights and Multi-Territorial Licensing of Rights in Musical Works for Online Use in the Internal Market." Brussels, 2021. https://ec.europa.eu/newsroom/dae/redirection/document/81237.</w:t>
      </w:r>
    </w:p>
    <w:p w14:paraId="2DE5F6D8" w14:textId="77777777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lastRenderedPageBreak/>
        <w:t xml:space="preserve">Mendis, Dinusha. "An Analysis of Directive 2014 / 26 / EU on Collective Management of Copyright and Related Rights and Multi-Territorial Licensing of Rights in Musical Works for Online Use in the Internal Market." 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In Eu Regulation of E-Commerce: A Commentary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, edited by Arno R. Lodder and Andrew D. Murray, 290-312. Cheltenham: Edward Elgar Publishing, 2017. https://doi.org/10.4337/9781785369346.00018.</w:t>
      </w:r>
    </w:p>
    <w:p w14:paraId="6A3B98C7" w14:textId="25900CA3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Muikku, Jari. "Pro Rata and User Centric Distribution Models: A Comparative Study." 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Digital Media Finland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Helsinki, 2017. </w:t>
      </w:r>
      <w:r>
        <w:fldChar w:fldCharType="begin"/>
      </w:r>
      <w:r>
        <w:instrText>HYPERLINK "http://www.ifpi.org/downloads/GMR2017.pdf"</w:instrText>
      </w:r>
      <w:r>
        <w:fldChar w:fldCharType="separate"/>
      </w:r>
      <w:r w:rsidRPr="00340CB0">
        <w:rPr>
          <w:rFonts w:eastAsia="Aptos" w:cs="Noto Sans Display"/>
          <w:color w:val="467886"/>
          <w:kern w:val="2"/>
          <w:szCs w:val="22"/>
          <w:u w:val="single"/>
          <w:lang w:eastAsia="en-US"/>
          <w14:ligatures w14:val="standardContextual"/>
        </w:rPr>
        <w:t>http://www.ifpi.org/downloads/GMR2017.pdf</w:t>
      </w:r>
      <w:r>
        <w:fldChar w:fldCharType="end"/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0B61021B" w14:textId="47F445F8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Panay, Panos A., Alex Pentland, and Thomas Hardjono. "Why Success of the Music Modernization Act Depends on Open Standards." 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Open Music Initiative White Paper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Cambridge, MA, 2018. </w:t>
      </w:r>
      <w:hyperlink r:id="rId16" w:history="1">
        <w:r w:rsidRPr="00340CB0">
          <w:rPr>
            <w:rFonts w:eastAsia="Aptos" w:cs="Noto Sans Display"/>
            <w:color w:val="467886"/>
            <w:kern w:val="2"/>
            <w:szCs w:val="22"/>
            <w:u w:val="single"/>
            <w:lang w:eastAsia="en-US"/>
            <w14:ligatures w14:val="standardContextual"/>
          </w:rPr>
          <w:t>https://www.billboard.com/articles/business/8482056/mma-op-ed-open-music-initiative-open-standards</w:t>
        </w:r>
      </w:hyperlink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239A8A4C" w14:textId="39EAA21A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Sganga, Caterina. "Is There Still a Policy Agenda for EU Copyright Law?" 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IIC International Review of Intellectual Property and Competition Law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54, no. 9 (2023): 1407-17. </w:t>
      </w:r>
      <w:r>
        <w:fldChar w:fldCharType="begin"/>
      </w:r>
      <w:r>
        <w:instrText>HYPERLINK "https://doi.org/10.1007/s40319-023-01365-0"</w:instrText>
      </w:r>
      <w:r>
        <w:fldChar w:fldCharType="separate"/>
      </w:r>
      <w:r w:rsidRPr="00340CB0">
        <w:rPr>
          <w:rFonts w:eastAsia="Aptos" w:cs="Noto Sans Display"/>
          <w:color w:val="467886"/>
          <w:kern w:val="2"/>
          <w:szCs w:val="22"/>
          <w:u w:val="single"/>
          <w:lang w:eastAsia="en-US"/>
          <w14:ligatures w14:val="standardContextual"/>
        </w:rPr>
        <w:t>https://doi.org/10.1007/s40319-023-01365-0</w:t>
      </w:r>
      <w:r>
        <w:fldChar w:fldCharType="end"/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7AB839D5" w14:textId="79890E9F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Stern, Zoe. "The Inequalities of Digital Music Streaming." The Regulatory Review, 2024. </w:t>
      </w:r>
      <w:r>
        <w:fldChar w:fldCharType="begin"/>
      </w:r>
      <w:r>
        <w:instrText>HYPERLINK "https://www.theregreview.org/2024/05/30/stern-the-inequalities-of-digital-%20music-streaming/"</w:instrText>
      </w:r>
      <w:r>
        <w:fldChar w:fldCharType="separate"/>
      </w:r>
      <w:r w:rsidRPr="00340CB0">
        <w:rPr>
          <w:rFonts w:eastAsia="Aptos" w:cs="Noto Sans Display"/>
          <w:color w:val="467886"/>
          <w:kern w:val="2"/>
          <w:szCs w:val="22"/>
          <w:u w:val="single"/>
          <w:lang w:eastAsia="en-US"/>
          <w14:ligatures w14:val="standardContextual"/>
        </w:rPr>
        <w:t>https://www.theregreview.org/2024/05/30/stern-the-inequalities-of-digital- music-streaming/</w:t>
      </w:r>
      <w:r>
        <w:fldChar w:fldCharType="end"/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352E9A54" w14:textId="77777777" w:rsidR="00850191" w:rsidRPr="00340CB0" w:rsidRDefault="00850191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  <w:sectPr w:rsidR="00850191" w:rsidRPr="00340CB0" w:rsidSect="0019147E">
          <w:endnotePr>
            <w:numFmt w:val="decimal"/>
          </w:endnotePr>
          <w:pgSz w:w="16834" w:h="11909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6C8C00F" w14:textId="5BEA0599" w:rsidR="000C43F7" w:rsidRPr="00340CB0" w:rsidRDefault="00B65FC7" w:rsidP="00BE29E7">
      <w:pPr>
        <w:pStyle w:val="Heading3"/>
        <w:rPr>
          <w:color w:val="1F497D" w:themeColor="text2"/>
          <w:u w:val="none"/>
          <w:lang w:eastAsia="en-US"/>
        </w:rPr>
      </w:pPr>
      <w:bookmarkStart w:id="13" w:name="_Toc212652677"/>
      <w:r w:rsidRPr="00340CB0">
        <w:rPr>
          <w:b/>
          <w:bCs w:val="0"/>
          <w:color w:val="1F497D" w:themeColor="text2"/>
          <w:u w:val="none"/>
          <w:lang w:eastAsia="en-US"/>
        </w:rPr>
        <w:lastRenderedPageBreak/>
        <w:t>Приложение</w:t>
      </w:r>
      <w:r w:rsidR="000C43F7" w:rsidRPr="00340CB0">
        <w:rPr>
          <w:b/>
          <w:bCs w:val="0"/>
          <w:color w:val="1F497D" w:themeColor="text2"/>
          <w:u w:val="none"/>
          <w:lang w:eastAsia="en-US"/>
        </w:rPr>
        <w:t xml:space="preserve"> II</w:t>
      </w:r>
      <w:r w:rsidRPr="00340CB0">
        <w:rPr>
          <w:b/>
          <w:bCs w:val="0"/>
          <w:color w:val="1F497D" w:themeColor="text2"/>
          <w:u w:val="none"/>
          <w:lang w:eastAsia="en-US"/>
        </w:rPr>
        <w:t>.</w:t>
      </w:r>
      <w:r w:rsidR="000C43F7" w:rsidRPr="00340CB0">
        <w:rPr>
          <w:b/>
          <w:bCs w:val="0"/>
          <w:color w:val="1F497D" w:themeColor="text2"/>
          <w:u w:val="none"/>
          <w:lang w:eastAsia="en-US"/>
        </w:rPr>
        <w:t xml:space="preserve"> </w:t>
      </w:r>
      <w:r w:rsidRPr="00340CB0">
        <w:rPr>
          <w:color w:val="1F497D" w:themeColor="text2"/>
          <w:u w:val="none"/>
          <w:lang w:eastAsia="en-US"/>
        </w:rPr>
        <w:t xml:space="preserve">Иллюстрация </w:t>
      </w:r>
      <w:r w:rsidR="00BB2899">
        <w:rPr>
          <w:color w:val="1F497D" w:themeColor="text2"/>
          <w:u w:val="none"/>
          <w:lang w:eastAsia="en-US"/>
        </w:rPr>
        <w:t>модели</w:t>
      </w:r>
      <w:r w:rsidRPr="00340CB0">
        <w:rPr>
          <w:color w:val="1F497D" w:themeColor="text2"/>
          <w:u w:val="none"/>
          <w:lang w:eastAsia="en-US"/>
        </w:rPr>
        <w:t xml:space="preserve"> пропорционального распределения </w:t>
      </w:r>
      <w:r w:rsidR="000C43F7" w:rsidRPr="00340CB0">
        <w:rPr>
          <w:color w:val="1F497D" w:themeColor="text2"/>
          <w:u w:val="none"/>
          <w:lang w:eastAsia="en-US"/>
        </w:rPr>
        <w:t xml:space="preserve">(PRM) </w:t>
      </w:r>
      <w:r w:rsidRPr="00340CB0">
        <w:rPr>
          <w:color w:val="1F497D" w:themeColor="text2"/>
          <w:u w:val="none"/>
          <w:lang w:eastAsia="en-US"/>
        </w:rPr>
        <w:t>и пользователецентричной системы выплат</w:t>
      </w:r>
      <w:r w:rsidR="000C43F7" w:rsidRPr="00340CB0">
        <w:rPr>
          <w:color w:val="1F497D" w:themeColor="text2"/>
          <w:u w:val="none"/>
          <w:lang w:eastAsia="en-US"/>
        </w:rPr>
        <w:t xml:space="preserve"> (UCPS)</w:t>
      </w:r>
      <w:bookmarkEnd w:id="13"/>
    </w:p>
    <w:p w14:paraId="5E7CAB0E" w14:textId="0605F732" w:rsidR="000C43F7" w:rsidRPr="00340CB0" w:rsidRDefault="000C43F7" w:rsidP="000C43F7">
      <w:pPr>
        <w:spacing w:before="180" w:after="240"/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A. </w:t>
      </w:r>
      <w:r w:rsidR="00BB2899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Модель</w:t>
      </w:r>
      <w:r w:rsidR="001556E8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пропорционального распределения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(PRM)</w:t>
      </w:r>
    </w:p>
    <w:p w14:paraId="6FBB2D59" w14:textId="244477E6" w:rsidR="000C43F7" w:rsidRPr="000F2E96" w:rsidRDefault="007A73A5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В</w:t>
      </w:r>
      <w:r w:rsidRPr="007A73A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рамках</w:t>
      </w:r>
      <w:r w:rsid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модели</w:t>
      </w:r>
      <w:r w:rsidRPr="007A73A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пропорционального</w:t>
      </w:r>
      <w:r w:rsidRPr="007A73A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распределения</w:t>
      </w:r>
      <w:r w:rsidRPr="007A73A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все</w:t>
      </w:r>
      <w:r w:rsidRPr="007A73A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доходы</w:t>
      </w:r>
      <w:r w:rsidRPr="007A73A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за</w:t>
      </w:r>
      <w:r w:rsidRPr="007A73A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месяц</w:t>
      </w:r>
      <w:r w:rsidRPr="007A73A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складываются</w:t>
      </w:r>
      <w:r w:rsidRPr="007A73A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 w:rsidRPr="007A73A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распределяются на каждую песню с учетом общего количества онлайн-трансляций (стрим)</w:t>
      </w:r>
      <w:r w:rsidR="000C43F7" w:rsidRPr="007A73A5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 w:rsid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>Ниже</w:t>
      </w:r>
      <w:r w:rsidR="00BB2899" w:rsidRP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>приводится</w:t>
      </w:r>
      <w:r w:rsidR="00BB2899" w:rsidRP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>формула</w:t>
      </w:r>
      <w:r w:rsidR="00BB2899" w:rsidRP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>для</w:t>
      </w:r>
      <w:r w:rsidR="00BB2899" w:rsidRP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>расчета</w:t>
      </w:r>
      <w:r w:rsidR="00BB2899" w:rsidRP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>модели</w:t>
      </w:r>
      <w:r w:rsidR="00BB2899" w:rsidRP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>пропорционального распределения</w:t>
      </w:r>
      <w:r w:rsidR="000C43F7" w:rsidRP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(</w:t>
      </w:r>
      <w:r w:rsidR="000C43F7" w:rsidRPr="00BB2899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PRM</w:t>
      </w:r>
      <w:r w:rsidR="000C43F7" w:rsidRPr="00BB2899">
        <w:rPr>
          <w:rFonts w:eastAsia="Aptos" w:cs="Noto Sans Display"/>
          <w:kern w:val="2"/>
          <w:szCs w:val="22"/>
          <w:lang w:eastAsia="en-US"/>
          <w14:ligatures w14:val="standardContextual"/>
        </w:rPr>
        <w:t>)</w:t>
      </w:r>
      <w:r w:rsid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для одной песни:</w:t>
      </w:r>
    </w:p>
    <w:p w14:paraId="7AC7936F" w14:textId="7F81DA16" w:rsidR="000C43F7" w:rsidRPr="00340CB0" w:rsidRDefault="00E64DA9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m:oMathPara>
        <m:oMath>
          <m:f>
            <m:fPr>
              <m:ctrlPr>
                <w:rPr>
                  <w:rFonts w:ascii="Cambria Math" w:eastAsia="Aptos" w:hAnsi="Cambria Math" w:cs="Noto Sans Display"/>
                  <w:i/>
                  <w:kern w:val="2"/>
                  <w:szCs w:val="22"/>
                  <w:lang w:eastAsia="en-US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Noto Sans Display"/>
                  <w:kern w:val="2"/>
                  <w:szCs w:val="22"/>
                  <w:lang w:eastAsia="en-US"/>
                  <w14:ligatures w14:val="standardContextual"/>
                </w:rPr>
                <m:t xml:space="preserve">Общее число онлайн-трансляций трека </m:t>
              </m:r>
              <m:r>
                <w:rPr>
                  <w:rFonts w:ascii="Cambria Math" w:eastAsia="Aptos" w:hAnsi="Cambria Math" w:cs="Noto Sans Display"/>
                  <w:kern w:val="2"/>
                  <w:szCs w:val="22"/>
                  <w:lang w:eastAsia="en-US"/>
                  <w14:ligatures w14:val="standardContextual"/>
                </w:rPr>
                <m:t>A</m:t>
              </m:r>
            </m:num>
            <m:den>
              <m:r>
                <w:rPr>
                  <w:rFonts w:ascii="Cambria Math" w:eastAsia="Aptos" w:hAnsi="Cambria Math" w:cs="Noto Sans Display"/>
                  <w:kern w:val="2"/>
                  <w:szCs w:val="22"/>
                  <w:lang w:eastAsia="en-US"/>
                  <w14:ligatures w14:val="standardContextual"/>
                </w:rPr>
                <m:t>Общее число онлайн-трансляций</m:t>
              </m:r>
            </m:den>
          </m:f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 xml:space="preserve"> </m:t>
          </m:r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>x</m:t>
          </m:r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 xml:space="preserve"> Общий доход</m:t>
          </m:r>
        </m:oMath>
      </m:oMathPara>
    </w:p>
    <w:p w14:paraId="556FFCF0" w14:textId="0B22EC6E" w:rsidR="000C43F7" w:rsidRPr="000F2E96" w:rsidRDefault="000F2E96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Например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0C43F7"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если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трек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0F2E96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A</w:t>
      </w:r>
      <w:r w:rsidR="000C43F7"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транслировался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онлайн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>100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раз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 w:rsidR="00C94087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а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общее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число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онлайн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>-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трансляций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равно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>1</w:t>
      </w:r>
      <w:r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 </w:t>
      </w:r>
      <w:r w:rsidR="000C43F7"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>000</w:t>
      </w:r>
      <w:r w:rsidRPr="000F2E96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 </w:t>
      </w:r>
      <w:r w:rsidR="000C43F7"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>000,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C94087">
        <w:rPr>
          <w:rFonts w:eastAsia="Aptos" w:cs="Noto Sans Display"/>
          <w:kern w:val="2"/>
          <w:szCs w:val="22"/>
          <w:lang w:eastAsia="en-US"/>
          <w14:ligatures w14:val="standardContextual"/>
        </w:rPr>
        <w:t>при этом</w:t>
      </w:r>
      <w:r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общий доход после вычета комиссии за обслуживание составляет</w:t>
      </w:r>
      <w:r w:rsidR="000C43F7" w:rsidRPr="000F2E96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500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млн индонезийских рупий, то размер</w:t>
      </w:r>
      <w:r w:rsidR="00CE6C78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суммы за использование песни А рассчитывается </w:t>
      </w:r>
      <w:r w:rsidR="00BB191A">
        <w:rPr>
          <w:rFonts w:eastAsia="Aptos" w:cs="Noto Sans Display"/>
          <w:kern w:val="2"/>
          <w:szCs w:val="22"/>
          <w:lang w:eastAsia="en-US"/>
          <w14:ligatures w14:val="standardContextual"/>
        </w:rPr>
        <w:t>следующим образом</w:t>
      </w:r>
      <w:r w:rsidR="00CE6C78">
        <w:rPr>
          <w:rFonts w:eastAsia="Aptos" w:cs="Noto Sans Display"/>
          <w:kern w:val="2"/>
          <w:szCs w:val="22"/>
          <w:lang w:eastAsia="en-US"/>
          <w14:ligatures w14:val="standardContextual"/>
        </w:rPr>
        <w:t>:</w:t>
      </w:r>
    </w:p>
    <w:p w14:paraId="44476784" w14:textId="78E671B8" w:rsidR="000C43F7" w:rsidRPr="00340CB0" w:rsidRDefault="00E64DA9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m:oMathPara>
        <m:oMath>
          <m:f>
            <m:fPr>
              <m:ctrlPr>
                <w:rPr>
                  <w:rFonts w:ascii="Cambria Math" w:eastAsia="Aptos" w:hAnsi="Cambria Math" w:cs="Noto Sans Display"/>
                  <w:i/>
                  <w:kern w:val="2"/>
                  <w:szCs w:val="22"/>
                  <w:lang w:eastAsia="en-US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Noto Sans Display"/>
                  <w:kern w:val="2"/>
                  <w:szCs w:val="22"/>
                  <w:lang w:eastAsia="en-US"/>
                  <w14:ligatures w14:val="standardContextual"/>
                </w:rPr>
                <m:t>100</m:t>
              </m:r>
            </m:num>
            <m:den>
              <m:r>
                <w:rPr>
                  <w:rFonts w:ascii="Cambria Math" w:eastAsia="Aptos" w:hAnsi="Cambria Math" w:cs="Noto Sans Display"/>
                  <w:kern w:val="2"/>
                  <w:szCs w:val="22"/>
                  <w:lang w:eastAsia="en-US"/>
                  <w14:ligatures w14:val="standardContextual"/>
                </w:rPr>
                <m:t>1 000 000</m:t>
              </m:r>
            </m:den>
          </m:f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 xml:space="preserve"> </m:t>
          </m:r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>x</m:t>
          </m:r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 xml:space="preserve"> 500 000 000</m:t>
          </m:r>
        </m:oMath>
      </m:oMathPara>
    </w:p>
    <w:p w14:paraId="025B151D" w14:textId="3D0D77C5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m:oMathPara>
        <m:oMath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>0,0001 x 500 000 000=50 000</m:t>
          </m:r>
        </m:oMath>
      </m:oMathPara>
    </w:p>
    <w:p w14:paraId="7B45AB0F" w14:textId="4C8448D5" w:rsidR="000C43F7" w:rsidRPr="00C95354" w:rsidRDefault="00C95354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Затем</w:t>
      </w:r>
      <w:r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с</w:t>
      </w:r>
      <w:r w:rsidR="00CE6C78">
        <w:rPr>
          <w:rFonts w:eastAsia="Aptos" w:cs="Noto Sans Display"/>
          <w:kern w:val="2"/>
          <w:szCs w:val="22"/>
          <w:lang w:eastAsia="en-US"/>
          <w14:ligatures w14:val="standardContextual"/>
        </w:rPr>
        <w:t>умма</w:t>
      </w:r>
      <w:r w:rsidR="00CE6C78"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CE6C78">
        <w:rPr>
          <w:rFonts w:eastAsia="Aptos" w:cs="Noto Sans Display"/>
          <w:kern w:val="2"/>
          <w:szCs w:val="22"/>
          <w:lang w:eastAsia="en-US"/>
          <w14:ligatures w14:val="standardContextual"/>
        </w:rPr>
        <w:t>в</w:t>
      </w:r>
      <w:r w:rsidR="00CE6C78"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CE6C78">
        <w:rPr>
          <w:rFonts w:eastAsia="Aptos" w:cs="Noto Sans Display"/>
          <w:kern w:val="2"/>
          <w:szCs w:val="22"/>
          <w:lang w:eastAsia="en-US"/>
          <w14:ligatures w14:val="standardContextual"/>
        </w:rPr>
        <w:t>размере</w:t>
      </w:r>
      <w:r w:rsidR="00CE6C78"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>50</w:t>
      </w:r>
      <w:r w:rsidR="00CE6C78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 </w:t>
      </w:r>
      <w:r w:rsidR="000C43F7"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>000</w:t>
      </w:r>
      <w:r w:rsidR="00CE6C78"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CE6C78">
        <w:rPr>
          <w:rFonts w:eastAsia="Aptos" w:cs="Noto Sans Display"/>
          <w:kern w:val="2"/>
          <w:szCs w:val="22"/>
          <w:lang w:eastAsia="en-US"/>
          <w14:ligatures w14:val="standardContextual"/>
        </w:rPr>
        <w:t>индонезийских</w:t>
      </w:r>
      <w:r w:rsidR="00CE6C78"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CE6C78">
        <w:rPr>
          <w:rFonts w:eastAsia="Aptos" w:cs="Noto Sans Display"/>
          <w:kern w:val="2"/>
          <w:szCs w:val="22"/>
          <w:lang w:eastAsia="en-US"/>
          <w14:ligatures w14:val="standardContextual"/>
        </w:rPr>
        <w:t>рупий</w:t>
      </w:r>
      <w:r w:rsidR="00CE6C78"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распределяется</w:t>
      </w:r>
      <w:r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правообладателям трека</w:t>
      </w:r>
      <w:r w:rsidR="000C43F7"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CE6C78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A</w:t>
      </w:r>
      <w:r w:rsidR="000C43F7" w:rsidRPr="00C95354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3AC06121" w14:textId="164C8D00" w:rsidR="000C43F7" w:rsidRPr="00340CB0" w:rsidRDefault="000C43F7" w:rsidP="000C43F7">
      <w:pPr>
        <w:spacing w:before="180" w:after="240"/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B. </w:t>
      </w:r>
      <w:r w:rsidR="001556E8"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Пользователецентричная система выплат</w:t>
      </w: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 xml:space="preserve"> (UCPS)</w:t>
      </w:r>
    </w:p>
    <w:p w14:paraId="015AF127" w14:textId="00680D4B" w:rsidR="000C43F7" w:rsidRPr="003E00A1" w:rsidRDefault="003E00A1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Расчет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с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использованием пользователецентричной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системы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выплат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>(</w:t>
      </w:r>
      <w:r w:rsidR="000C43F7" w:rsidRPr="003E00A1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UCPS</w:t>
      </w:r>
      <w:r w:rsidR="000C43F7"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>)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про</w:t>
      </w:r>
      <w:r w:rsidR="002542A5">
        <w:rPr>
          <w:rFonts w:eastAsia="Aptos" w:cs="Noto Sans Display"/>
          <w:kern w:val="2"/>
          <w:szCs w:val="22"/>
          <w:lang w:eastAsia="en-US"/>
          <w14:ligatures w14:val="standardContextual"/>
        </w:rPr>
        <w:t>и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зводится с учетом привычек каждого слушателя</w:t>
      </w:r>
      <w:r w:rsidR="000C43F7"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Ниже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приводится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формула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для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расчета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3E00A1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UCPS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для</w:t>
      </w:r>
      <w:r w:rsidRPr="003E00A1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одной песни:</w:t>
      </w:r>
    </w:p>
    <w:p w14:paraId="18E2278F" w14:textId="033FE5CA" w:rsidR="000C43F7" w:rsidRPr="00340CB0" w:rsidRDefault="00E64DA9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m:oMathPara>
        <m:oMath>
          <m:f>
            <m:fPr>
              <m:ctrlPr>
                <w:rPr>
                  <w:rFonts w:ascii="Cambria Math" w:eastAsia="Aptos" w:hAnsi="Cambria Math" w:cs="Noto Sans Display"/>
                  <w:i/>
                  <w:kern w:val="2"/>
                  <w:szCs w:val="22"/>
                  <w:lang w:eastAsia="en-US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Noto Sans Display"/>
                  <w:kern w:val="2"/>
                  <w:szCs w:val="22"/>
                  <w:lang w:eastAsia="en-US"/>
                  <w14:ligatures w14:val="standardContextual"/>
                </w:rPr>
                <m:t xml:space="preserve">Общее число онлайн-трансляций трека </m:t>
              </m:r>
              <m:r>
                <w:rPr>
                  <w:rFonts w:ascii="Cambria Math" w:eastAsia="Aptos" w:hAnsi="Cambria Math" w:cs="Noto Sans Display"/>
                  <w:kern w:val="2"/>
                  <w:szCs w:val="22"/>
                  <w:lang w:eastAsia="en-US"/>
                  <w14:ligatures w14:val="standardContextual"/>
                </w:rPr>
                <m:t>A</m:t>
              </m:r>
              <m:r>
                <w:rPr>
                  <w:rFonts w:ascii="Cambria Math" w:eastAsia="Aptos" w:hAnsi="Cambria Math" w:cs="Noto Sans Display"/>
                  <w:kern w:val="2"/>
                  <w:szCs w:val="22"/>
                  <w:lang w:eastAsia="en-US"/>
                  <w14:ligatures w14:val="standardContextual"/>
                </w:rPr>
                <m:t xml:space="preserve"> пользователем  1</m:t>
              </m:r>
            </m:num>
            <m:den>
              <m:r>
                <w:rPr>
                  <w:rFonts w:ascii="Cambria Math" w:eastAsia="Aptos" w:hAnsi="Cambria Math" w:cs="Noto Sans Display"/>
                  <w:kern w:val="2"/>
                  <w:szCs w:val="22"/>
                  <w:lang w:eastAsia="en-US"/>
                  <w14:ligatures w14:val="standardContextual"/>
                </w:rPr>
                <m:t>Общее число онлайн-трансляций пользователем 1</m:t>
              </m:r>
            </m:den>
          </m:f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 xml:space="preserve"> </m:t>
          </m:r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>x</m:t>
          </m:r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 xml:space="preserve"> Общий доход от польз. 1</m:t>
          </m:r>
        </m:oMath>
      </m:oMathPara>
    </w:p>
    <w:p w14:paraId="371449E1" w14:textId="20047775" w:rsidR="000C43F7" w:rsidRPr="005923E9" w:rsidRDefault="005923E9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Например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если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общее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число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онлайн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>-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трансляций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пользовател</w:t>
      </w:r>
      <w:r w:rsidR="002542A5">
        <w:rPr>
          <w:rFonts w:eastAsia="Aptos" w:cs="Noto Sans Display"/>
          <w:kern w:val="2"/>
          <w:szCs w:val="22"/>
          <w:lang w:eastAsia="en-US"/>
          <w14:ligatures w14:val="standardContextual"/>
        </w:rPr>
        <w:t>ем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1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равно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>100,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а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на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трек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5923E9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A</w:t>
      </w:r>
      <w:r w:rsidR="000C43F7"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из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них</w:t>
      </w:r>
      <w:r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приходится </w:t>
      </w:r>
      <w:r w:rsidR="000C43F7"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>25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, при этом доход, получаемый от пользователя </w:t>
      </w:r>
      <w:r w:rsidR="000C43F7"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>1</w:t>
      </w:r>
      <w:r w:rsidR="002542A5">
        <w:rPr>
          <w:rFonts w:eastAsia="Aptos" w:cs="Noto Sans Display"/>
          <w:kern w:val="2"/>
          <w:szCs w:val="22"/>
          <w:lang w:eastAsia="en-US"/>
          <w14:ligatures w14:val="standardContextual"/>
        </w:rPr>
        <w:t>,</w:t>
      </w:r>
      <w:r w:rsidR="000C43F7"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составляет </w:t>
      </w:r>
      <w:r w:rsidR="000C43F7"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>150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 </w:t>
      </w:r>
      <w:r w:rsidR="000C43F7"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>000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индонезийских рупий, то </w:t>
      </w:r>
      <w:r w:rsidR="00A4711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размер суммы за использование трека </w:t>
      </w:r>
      <w:r w:rsidR="000C43F7" w:rsidRPr="005923E9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A</w:t>
      </w:r>
      <w:r w:rsidR="000C43F7"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A4711F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рассчитывается </w:t>
      </w:r>
      <w:r w:rsidR="002542A5">
        <w:rPr>
          <w:rFonts w:eastAsia="Aptos" w:cs="Noto Sans Display"/>
          <w:kern w:val="2"/>
          <w:szCs w:val="22"/>
          <w:lang w:eastAsia="en-US"/>
          <w14:ligatures w14:val="standardContextual"/>
        </w:rPr>
        <w:t>следующим образом</w:t>
      </w:r>
      <w:r w:rsidR="000C43F7" w:rsidRPr="005923E9">
        <w:rPr>
          <w:rFonts w:eastAsia="Aptos" w:cs="Noto Sans Display"/>
          <w:kern w:val="2"/>
          <w:szCs w:val="22"/>
          <w:lang w:eastAsia="en-US"/>
          <w14:ligatures w14:val="standardContextual"/>
        </w:rPr>
        <w:t>:</w:t>
      </w:r>
    </w:p>
    <w:p w14:paraId="2063132C" w14:textId="6DC610EA" w:rsidR="000C43F7" w:rsidRPr="00340CB0" w:rsidRDefault="00E64DA9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m:oMathPara>
        <m:oMath>
          <m:f>
            <m:fPr>
              <m:ctrlPr>
                <w:rPr>
                  <w:rFonts w:ascii="Cambria Math" w:eastAsia="Aptos" w:hAnsi="Cambria Math" w:cs="Noto Sans Display"/>
                  <w:i/>
                  <w:kern w:val="2"/>
                  <w:szCs w:val="22"/>
                  <w:lang w:eastAsia="en-US"/>
                  <w14:ligatures w14:val="standardContextual"/>
                </w:rPr>
              </m:ctrlPr>
            </m:fPr>
            <m:num>
              <m:r>
                <w:rPr>
                  <w:rFonts w:ascii="Cambria Math" w:eastAsia="Aptos" w:hAnsi="Cambria Math" w:cs="Noto Sans Display"/>
                  <w:kern w:val="2"/>
                  <w:szCs w:val="22"/>
                  <w:lang w:eastAsia="en-US"/>
                  <w14:ligatures w14:val="standardContextual"/>
                </w:rPr>
                <m:t>25</m:t>
              </m:r>
            </m:num>
            <m:den>
              <m:r>
                <w:rPr>
                  <w:rFonts w:ascii="Cambria Math" w:eastAsia="Aptos" w:hAnsi="Cambria Math" w:cs="Noto Sans Display"/>
                  <w:kern w:val="2"/>
                  <w:szCs w:val="22"/>
                  <w:lang w:eastAsia="en-US"/>
                  <w14:ligatures w14:val="standardContextual"/>
                </w:rPr>
                <m:t>100</m:t>
              </m:r>
            </m:den>
          </m:f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 xml:space="preserve"> </m:t>
          </m:r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>x</m:t>
          </m:r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 xml:space="preserve"> 150 000</m:t>
          </m:r>
        </m:oMath>
      </m:oMathPara>
    </w:p>
    <w:p w14:paraId="13E3334A" w14:textId="34FAF127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m:oMathPara>
        <m:oMath>
          <m:r>
            <w:rPr>
              <w:rFonts w:ascii="Cambria Math" w:eastAsia="Aptos" w:hAnsi="Cambria Math" w:cs="Noto Sans Display"/>
              <w:kern w:val="2"/>
              <w:szCs w:val="22"/>
              <w:lang w:eastAsia="en-US"/>
              <w14:ligatures w14:val="standardContextual"/>
            </w:rPr>
            <m:t>0,25 x 200 000=37 500</m:t>
          </m:r>
        </m:oMath>
      </m:oMathPara>
    </w:p>
    <w:p w14:paraId="0E33491F" w14:textId="7EA49F32" w:rsidR="000C43F7" w:rsidRPr="007663C3" w:rsidRDefault="007663C3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Затем</w:t>
      </w:r>
      <w:r w:rsidRPr="007663C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сумма</w:t>
      </w:r>
      <w:r w:rsidRPr="007663C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в</w:t>
      </w:r>
      <w:r w:rsidRPr="007663C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размере</w:t>
      </w:r>
      <w:r w:rsidRPr="007663C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7663C3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37</w:t>
      </w:r>
      <w:r w:rsidRPr="007663C3">
        <w:rPr>
          <w:rFonts w:eastAsia="Aptos" w:cs="Noto Sans Display"/>
          <w:b/>
          <w:bCs/>
          <w:kern w:val="2"/>
          <w:szCs w:val="22"/>
          <w:lang w:val="en-US" w:eastAsia="en-US"/>
          <w14:ligatures w14:val="standardContextual"/>
        </w:rPr>
        <w:t> </w:t>
      </w:r>
      <w:r w:rsidR="000C43F7" w:rsidRPr="007663C3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500</w:t>
      </w:r>
      <w:r w:rsidR="000C43F7" w:rsidRPr="007663C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индонезийских</w:t>
      </w:r>
      <w:r w:rsidRPr="007663C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рупий</w:t>
      </w:r>
      <w:r w:rsidRPr="007663C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распределяется</w:t>
      </w:r>
      <w:r w:rsidRPr="007663C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eastAsia="Aptos" w:cs="Noto Sans Display"/>
          <w:kern w:val="2"/>
          <w:szCs w:val="22"/>
          <w:lang w:eastAsia="en-US"/>
          <w14:ligatures w14:val="standardContextual"/>
        </w:rPr>
        <w:t>правообладателям трека</w:t>
      </w:r>
      <w:r w:rsidR="000C43F7" w:rsidRPr="007663C3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</w:t>
      </w:r>
      <w:r w:rsidR="000C43F7" w:rsidRPr="007663C3">
        <w:rPr>
          <w:rFonts w:eastAsia="Aptos" w:cs="Noto Sans Display"/>
          <w:kern w:val="2"/>
          <w:szCs w:val="22"/>
          <w:lang w:val="en-US" w:eastAsia="en-US"/>
          <w14:ligatures w14:val="standardContextual"/>
        </w:rPr>
        <w:t>A</w:t>
      </w:r>
      <w:r w:rsidR="000C43F7" w:rsidRPr="007663C3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6088D651" w14:textId="7A793737" w:rsidR="000C43F7" w:rsidRPr="00340CB0" w:rsidRDefault="00FE776F" w:rsidP="000C43F7">
      <w:pPr>
        <w:spacing w:before="180" w:after="240"/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t>Справочная литература</w:t>
      </w:r>
    </w:p>
    <w:p w14:paraId="7C92DA22" w14:textId="7E96E64D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Muikku, Jari. "Pro Rata and User Centric Distribution Models: A Comparative Study." 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Digital Media Finland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. Helsinki, 2017. </w:t>
      </w:r>
      <w:r>
        <w:fldChar w:fldCharType="begin"/>
      </w:r>
      <w:r>
        <w:instrText>HYPERLINK "http://www.ifpi.org/downloads/GMR2017.pdf"</w:instrText>
      </w:r>
      <w:r>
        <w:fldChar w:fldCharType="separate"/>
      </w:r>
      <w:r w:rsidRPr="00340CB0">
        <w:rPr>
          <w:rFonts w:eastAsia="Aptos" w:cs="Noto Sans Display"/>
          <w:color w:val="467886"/>
          <w:kern w:val="2"/>
          <w:szCs w:val="22"/>
          <w:u w:val="single"/>
          <w:lang w:eastAsia="en-US"/>
          <w14:ligatures w14:val="standardContextual"/>
        </w:rPr>
        <w:t>http://www.ifpi.org/downloads/GMR2017.pdf</w:t>
      </w:r>
      <w:r>
        <w:fldChar w:fldCharType="end"/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3B1A46A8" w14:textId="77777777" w:rsidR="00850191" w:rsidRPr="00340CB0" w:rsidRDefault="00850191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  <w:sectPr w:rsidR="00850191" w:rsidRPr="00340CB0" w:rsidSect="00850191">
          <w:endnotePr>
            <w:numFmt w:val="decimal"/>
          </w:endnotePr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7E59345D" w14:textId="18F552DF" w:rsidR="000C43F7" w:rsidRPr="00340CB0" w:rsidRDefault="0000701D" w:rsidP="005A2E0E">
      <w:pPr>
        <w:pStyle w:val="Heading3"/>
        <w:spacing w:after="120"/>
        <w:rPr>
          <w:color w:val="1F497D" w:themeColor="text2"/>
          <w:u w:val="none"/>
          <w:lang w:eastAsia="en-US"/>
        </w:rPr>
      </w:pPr>
      <w:bookmarkStart w:id="14" w:name="_Toc212652678"/>
      <w:r w:rsidRPr="00340CB0">
        <w:rPr>
          <w:b/>
          <w:bCs w:val="0"/>
          <w:color w:val="1F497D" w:themeColor="text2"/>
          <w:u w:val="none"/>
          <w:lang w:eastAsia="en-US"/>
        </w:rPr>
        <w:lastRenderedPageBreak/>
        <w:t>Приложение</w:t>
      </w:r>
      <w:r w:rsidR="000C43F7" w:rsidRPr="00340CB0">
        <w:rPr>
          <w:b/>
          <w:bCs w:val="0"/>
          <w:color w:val="1F497D" w:themeColor="text2"/>
          <w:u w:val="none"/>
          <w:lang w:eastAsia="en-US"/>
        </w:rPr>
        <w:t xml:space="preserve"> III</w:t>
      </w:r>
      <w:r w:rsidRPr="00340CB0">
        <w:rPr>
          <w:b/>
          <w:bCs w:val="0"/>
          <w:color w:val="1F497D" w:themeColor="text2"/>
          <w:u w:val="none"/>
          <w:lang w:eastAsia="en-US"/>
        </w:rPr>
        <w:t>.</w:t>
      </w:r>
      <w:r w:rsidR="000C43F7" w:rsidRPr="00340CB0">
        <w:rPr>
          <w:b/>
          <w:bCs w:val="0"/>
          <w:color w:val="1F497D" w:themeColor="text2"/>
          <w:u w:val="none"/>
          <w:lang w:eastAsia="en-US"/>
        </w:rPr>
        <w:t xml:space="preserve"> </w:t>
      </w:r>
      <w:bookmarkEnd w:id="14"/>
      <w:r w:rsidR="00B96E22" w:rsidRPr="00B96E22">
        <w:rPr>
          <w:color w:val="1F497D" w:themeColor="text2"/>
          <w:u w:val="none"/>
          <w:lang w:eastAsia="en-US"/>
        </w:rPr>
        <w:t>Национальные и региональные трудности в области регулирования авторско-правовых вопросов в отношениях между цифровыми платформами и издателями периодических изданий</w:t>
      </w:r>
    </w:p>
    <w:tbl>
      <w:tblPr>
        <w:tblW w:w="14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843"/>
        <w:gridCol w:w="6665"/>
        <w:gridCol w:w="1441"/>
        <w:gridCol w:w="2959"/>
      </w:tblGrid>
      <w:tr w:rsidR="00EB59F8" w:rsidRPr="00340CB0" w14:paraId="59350A37" w14:textId="77777777" w:rsidTr="005A2E0E">
        <w:trPr>
          <w:trHeight w:val="253"/>
          <w:jc w:val="center"/>
        </w:trPr>
        <w:tc>
          <w:tcPr>
            <w:tcW w:w="1696" w:type="dxa"/>
            <w:tcBorders>
              <w:bottom w:val="single" w:sz="4" w:space="0" w:color="000000"/>
            </w:tcBorders>
            <w:shd w:val="clear" w:color="auto" w:fill="D9D9D9"/>
          </w:tcPr>
          <w:p w14:paraId="7EBD2841" w14:textId="2E89409A" w:rsidR="00EB59F8" w:rsidRPr="00B83768" w:rsidRDefault="00B83768" w:rsidP="00892692">
            <w:pPr>
              <w:widowControl w:val="0"/>
              <w:autoSpaceDE w:val="0"/>
              <w:autoSpaceDN w:val="0"/>
              <w:spacing w:before="1" w:line="233" w:lineRule="exact"/>
              <w:jc w:val="center"/>
              <w:rPr>
                <w:rFonts w:asciiTheme="majorBidi" w:eastAsia="Times New Roman" w:hAnsiTheme="majorBidi" w:cstheme="majorBidi"/>
                <w:b/>
                <w:spacing w:val="-2"/>
                <w:sz w:val="20"/>
                <w:lang w:eastAsia="en-US"/>
              </w:rPr>
            </w:pPr>
            <w:r w:rsidRPr="00B83768">
              <w:rPr>
                <w:rFonts w:asciiTheme="majorBidi" w:eastAsia="Times New Roman" w:hAnsiTheme="majorBidi" w:cstheme="majorBidi"/>
                <w:b/>
                <w:spacing w:val="-2"/>
                <w:sz w:val="20"/>
                <w:lang w:eastAsia="en-US"/>
              </w:rPr>
              <w:t>Ключевые вопросы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D9D9D9"/>
          </w:tcPr>
          <w:p w14:paraId="39BE4DD5" w14:textId="2F1DEC94" w:rsidR="00EB59F8" w:rsidRPr="00B83768" w:rsidRDefault="000E2A76" w:rsidP="00892692">
            <w:pPr>
              <w:widowControl w:val="0"/>
              <w:autoSpaceDE w:val="0"/>
              <w:autoSpaceDN w:val="0"/>
              <w:spacing w:before="1" w:line="233" w:lineRule="exact"/>
              <w:ind w:left="1"/>
              <w:jc w:val="center"/>
              <w:rPr>
                <w:rFonts w:asciiTheme="majorBidi" w:eastAsia="Times New Roman" w:hAnsiTheme="majorBidi" w:cstheme="majorBidi"/>
                <w:b/>
                <w:spacing w:val="-2"/>
                <w:sz w:val="20"/>
                <w:lang w:eastAsia="en-US"/>
              </w:rPr>
            </w:pPr>
            <w:r w:rsidRPr="00B83768">
              <w:rPr>
                <w:rFonts w:asciiTheme="majorBidi" w:eastAsia="Times New Roman" w:hAnsiTheme="majorBidi" w:cstheme="majorBidi"/>
                <w:b/>
                <w:spacing w:val="-2"/>
                <w:sz w:val="20"/>
                <w:lang w:eastAsia="en-US"/>
              </w:rPr>
              <w:t>Аспект</w:t>
            </w:r>
          </w:p>
        </w:tc>
        <w:tc>
          <w:tcPr>
            <w:tcW w:w="6665" w:type="dxa"/>
            <w:shd w:val="clear" w:color="auto" w:fill="D9D9D9"/>
          </w:tcPr>
          <w:p w14:paraId="54BCC6E9" w14:textId="457FF4C5" w:rsidR="00EB59F8" w:rsidRPr="00B83768" w:rsidRDefault="00B83768" w:rsidP="00EB59F8">
            <w:pPr>
              <w:widowControl w:val="0"/>
              <w:autoSpaceDE w:val="0"/>
              <w:autoSpaceDN w:val="0"/>
              <w:spacing w:before="1" w:line="233" w:lineRule="exact"/>
              <w:ind w:left="2242" w:right="2229"/>
              <w:jc w:val="center"/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</w:pPr>
            <w:r w:rsidRPr="00B83768"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  <w:t>Суть проблемы</w:t>
            </w:r>
          </w:p>
        </w:tc>
        <w:tc>
          <w:tcPr>
            <w:tcW w:w="1441" w:type="dxa"/>
            <w:shd w:val="clear" w:color="auto" w:fill="D9D9D9"/>
          </w:tcPr>
          <w:p w14:paraId="6927AD03" w14:textId="7ABABCA2" w:rsidR="00EB59F8" w:rsidRPr="00340CB0" w:rsidRDefault="000E2A76" w:rsidP="00892692">
            <w:pPr>
              <w:widowControl w:val="0"/>
              <w:autoSpaceDE w:val="0"/>
              <w:autoSpaceDN w:val="0"/>
              <w:spacing w:before="1" w:line="233" w:lineRule="exact"/>
              <w:ind w:left="147" w:right="134"/>
              <w:jc w:val="center"/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b/>
                <w:spacing w:val="-2"/>
                <w:sz w:val="20"/>
                <w:lang w:eastAsia="en-US"/>
              </w:rPr>
              <w:t>Регион</w:t>
            </w:r>
          </w:p>
        </w:tc>
        <w:tc>
          <w:tcPr>
            <w:tcW w:w="2959" w:type="dxa"/>
            <w:shd w:val="clear" w:color="auto" w:fill="D9D9D9"/>
          </w:tcPr>
          <w:p w14:paraId="32253A29" w14:textId="57033785" w:rsidR="00EB59F8" w:rsidRPr="00340CB0" w:rsidRDefault="000E2A76" w:rsidP="00892692">
            <w:pPr>
              <w:widowControl w:val="0"/>
              <w:autoSpaceDE w:val="0"/>
              <w:autoSpaceDN w:val="0"/>
              <w:spacing w:before="1" w:line="233" w:lineRule="exact"/>
              <w:jc w:val="center"/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b/>
                <w:sz w:val="20"/>
                <w:lang w:eastAsia="en-US"/>
              </w:rPr>
              <w:t>Действующее законодательство</w:t>
            </w:r>
          </w:p>
        </w:tc>
      </w:tr>
      <w:tr w:rsidR="00EB59F8" w:rsidRPr="0089601F" w14:paraId="2D391D2B" w14:textId="77777777" w:rsidTr="005A2E0E">
        <w:trPr>
          <w:trHeight w:val="259"/>
          <w:jc w:val="center"/>
        </w:trPr>
        <w:tc>
          <w:tcPr>
            <w:tcW w:w="1696" w:type="dxa"/>
            <w:tcBorders>
              <w:bottom w:val="nil"/>
            </w:tcBorders>
          </w:tcPr>
          <w:p w14:paraId="62D5B938" w14:textId="77777777" w:rsidR="00EB59F8" w:rsidRPr="00340CB0" w:rsidRDefault="00EB59F8" w:rsidP="00557C2F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2F7FFF" w14:textId="77777777" w:rsidR="00EB59F8" w:rsidRPr="00340CB0" w:rsidRDefault="00EB59F8" w:rsidP="00557C2F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6665" w:type="dxa"/>
            <w:tcBorders>
              <w:bottom w:val="nil"/>
            </w:tcBorders>
          </w:tcPr>
          <w:p w14:paraId="054E2DA3" w14:textId="2E0B1474" w:rsidR="00EB59F8" w:rsidRPr="0089601F" w:rsidRDefault="0089601F" w:rsidP="00EB59F8">
            <w:pPr>
              <w:widowControl w:val="0"/>
              <w:autoSpaceDE w:val="0"/>
              <w:autoSpaceDN w:val="0"/>
              <w:spacing w:before="1" w:line="238" w:lineRule="exact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Индонезия</w:t>
            </w:r>
            <w:r w:rsidRPr="0089601F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применяет</w:t>
            </w:r>
            <w:r w:rsidRPr="0089601F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концепцию</w:t>
            </w:r>
            <w:r w:rsidRPr="0089601F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издательских</w:t>
            </w:r>
            <w:r w:rsidRPr="0089601F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прав</w:t>
            </w:r>
            <w:r w:rsidRPr="0089601F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но</w:t>
            </w:r>
            <w:r w:rsidRPr="0089601F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не</w:t>
            </w:r>
            <w:r w:rsidRPr="0089601F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имеет установленного порядка выплаты роялти за использование авторских прав на </w:t>
            </w:r>
            <w:r w:rsidR="0029630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произведения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журналистск</w:t>
            </w:r>
            <w:r w:rsidR="00296305">
              <w:rPr>
                <w:rFonts w:asciiTheme="majorBidi" w:eastAsia="Times New Roman" w:hAnsiTheme="majorBidi" w:cstheme="majorBidi"/>
                <w:sz w:val="20"/>
                <w:lang w:eastAsia="en-US"/>
              </w:rPr>
              <w:t>ого характера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. Распоряжение Президента №</w:t>
            </w:r>
            <w:r w:rsidR="00E91C67">
              <w:rPr>
                <w:rFonts w:asciiTheme="majorBidi" w:eastAsia="Times New Roman" w:hAnsiTheme="majorBidi" w:cstheme="majorBidi"/>
                <w:sz w:val="20"/>
                <w:lang w:eastAsia="en-US"/>
              </w:rPr>
              <w:t> 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32</w:t>
            </w:r>
            <w:r w:rsidRPr="0089601F">
              <w:rPr>
                <w:rFonts w:asciiTheme="majorBidi" w:eastAsia="Times New Roman" w:hAnsiTheme="majorBidi" w:cstheme="majorBidi"/>
                <w:sz w:val="20"/>
                <w:lang w:eastAsia="en-US"/>
              </w:rPr>
              <w:t>/2024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регулирует порядок сотрудничества между цифровыми платформами и прессой. Пункт (2) статьи 7 гласит, что такое сотрудничество может осуществляться в форме получения платных лицензий, распределения доходов, обмена агрегированными пользовательскими данными о новостных материалах и других согласованных формах.</w:t>
            </w:r>
          </w:p>
        </w:tc>
        <w:tc>
          <w:tcPr>
            <w:tcW w:w="1441" w:type="dxa"/>
            <w:tcBorders>
              <w:bottom w:val="nil"/>
            </w:tcBorders>
          </w:tcPr>
          <w:p w14:paraId="23396B15" w14:textId="08267DE8" w:rsidR="00EB59F8" w:rsidRPr="0089601F" w:rsidRDefault="00447A99" w:rsidP="00557C2F">
            <w:pPr>
              <w:widowControl w:val="0"/>
              <w:autoSpaceDE w:val="0"/>
              <w:autoSpaceDN w:val="0"/>
              <w:ind w:left="147" w:right="134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Индонезия</w:t>
            </w:r>
          </w:p>
        </w:tc>
        <w:tc>
          <w:tcPr>
            <w:tcW w:w="2959" w:type="dxa"/>
            <w:tcBorders>
              <w:bottom w:val="nil"/>
            </w:tcBorders>
          </w:tcPr>
          <w:p w14:paraId="6CCDC630" w14:textId="1AB32975" w:rsidR="00EB59F8" w:rsidRPr="0089601F" w:rsidRDefault="00993186" w:rsidP="00557C2F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993186">
              <w:rPr>
                <w:rFonts w:asciiTheme="majorBidi" w:eastAsia="Times New Roman" w:hAnsiTheme="majorBidi" w:cstheme="majorBidi"/>
                <w:sz w:val="20"/>
                <w:lang w:eastAsia="en-US"/>
              </w:rPr>
              <w:t>Распоряжение Президента № 32 от 2024 года «Об ответственности цифровых компаний поддерживать качественную журналистику»</w:t>
            </w:r>
          </w:p>
        </w:tc>
      </w:tr>
      <w:tr w:rsidR="00993186" w:rsidRPr="0089601F" w14:paraId="5298C338" w14:textId="77777777" w:rsidTr="005A2E0E">
        <w:trPr>
          <w:trHeight w:val="259"/>
          <w:jc w:val="center"/>
        </w:trPr>
        <w:tc>
          <w:tcPr>
            <w:tcW w:w="1696" w:type="dxa"/>
            <w:tcBorders>
              <w:top w:val="nil"/>
              <w:bottom w:val="nil"/>
            </w:tcBorders>
          </w:tcPr>
          <w:p w14:paraId="36BA6B5F" w14:textId="77777777" w:rsidR="00993186" w:rsidRPr="00340CB0" w:rsidRDefault="00993186" w:rsidP="00557C2F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8B5FB0C" w14:textId="77777777" w:rsidR="00993186" w:rsidRPr="00340CB0" w:rsidRDefault="00993186" w:rsidP="00557C2F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6665" w:type="dxa"/>
            <w:tcBorders>
              <w:bottom w:val="nil"/>
            </w:tcBorders>
          </w:tcPr>
          <w:p w14:paraId="686CC589" w14:textId="78EB2CC1" w:rsidR="00993186" w:rsidRPr="006B703C" w:rsidRDefault="006B703C" w:rsidP="00EB59F8">
            <w:pPr>
              <w:widowControl w:val="0"/>
              <w:autoSpaceDE w:val="0"/>
              <w:autoSpaceDN w:val="0"/>
              <w:spacing w:before="1" w:line="238" w:lineRule="exact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Европейский союз предоставляет «издателями периодических изданий» соответствующие права (статья 15 Директивы «Об авторском праве на едином цифровом рынке») и требует, что авторы </w:t>
            </w:r>
            <w:r w:rsidRPr="006B703C">
              <w:rPr>
                <w:rFonts w:asciiTheme="majorBidi" w:eastAsia="Times New Roman" w:hAnsiTheme="majorBidi" w:cstheme="majorBidi"/>
                <w:sz w:val="20"/>
                <w:lang w:eastAsia="en-US"/>
              </w:rPr>
              <w:t>/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журналисты получали справедливую долю дохода от лицензирования. Однако толкование этой статьи различается, что выливается в разные механизмы применения и регулирования в разных странах ЕС.</w:t>
            </w:r>
          </w:p>
        </w:tc>
        <w:tc>
          <w:tcPr>
            <w:tcW w:w="1441" w:type="dxa"/>
            <w:tcBorders>
              <w:bottom w:val="nil"/>
            </w:tcBorders>
          </w:tcPr>
          <w:p w14:paraId="2FE3123B" w14:textId="197D6028" w:rsidR="00993186" w:rsidRPr="0089601F" w:rsidRDefault="00993186" w:rsidP="00557C2F">
            <w:pPr>
              <w:widowControl w:val="0"/>
              <w:autoSpaceDE w:val="0"/>
              <w:autoSpaceDN w:val="0"/>
              <w:ind w:left="147" w:right="134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Европейский союз</w:t>
            </w:r>
          </w:p>
        </w:tc>
        <w:tc>
          <w:tcPr>
            <w:tcW w:w="2959" w:type="dxa"/>
            <w:tcBorders>
              <w:bottom w:val="nil"/>
            </w:tcBorders>
          </w:tcPr>
          <w:p w14:paraId="353F25C5" w14:textId="3E7F9014" w:rsidR="00993186" w:rsidRPr="0089601F" w:rsidRDefault="00993186" w:rsidP="00557C2F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993186">
              <w:rPr>
                <w:rFonts w:asciiTheme="majorBidi" w:eastAsia="Times New Roman" w:hAnsiTheme="majorBidi" w:cstheme="majorBidi"/>
                <w:sz w:val="20"/>
                <w:lang w:eastAsia="en-US"/>
              </w:rPr>
              <w:t>Директива ЕС «Об авторском праве на едином цифровом рынке» (№ 2019/790)</w:t>
            </w:r>
          </w:p>
        </w:tc>
      </w:tr>
      <w:tr w:rsidR="00EB59F8" w:rsidRPr="00340CB0" w14:paraId="1442087A" w14:textId="77777777" w:rsidTr="005A2E0E">
        <w:trPr>
          <w:trHeight w:val="758"/>
          <w:jc w:val="center"/>
        </w:trPr>
        <w:tc>
          <w:tcPr>
            <w:tcW w:w="1696" w:type="dxa"/>
            <w:vMerge w:val="restart"/>
            <w:tcBorders>
              <w:top w:val="nil"/>
              <w:bottom w:val="nil"/>
            </w:tcBorders>
          </w:tcPr>
          <w:p w14:paraId="335882DE" w14:textId="3255198C" w:rsidR="00EB59F8" w:rsidRPr="00A0546A" w:rsidRDefault="004060F7" w:rsidP="00285405">
            <w:pPr>
              <w:widowControl w:val="0"/>
              <w:autoSpaceDE w:val="0"/>
              <w:autoSpaceDN w:val="0"/>
              <w:spacing w:before="87"/>
              <w:ind w:left="110" w:right="129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Регулирование порядка сбора и распределения роялти</w:t>
            </w:r>
            <w:r w:rsidR="00EB59F8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89269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за использование </w:t>
            </w:r>
            <w:r w:rsidR="00A0546A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произведений </w:t>
            </w:r>
            <w:r w:rsidR="00892692">
              <w:rPr>
                <w:rFonts w:asciiTheme="majorBidi" w:eastAsia="Times New Roman" w:hAnsiTheme="majorBidi" w:cstheme="majorBidi"/>
                <w:sz w:val="20"/>
                <w:lang w:eastAsia="en-US"/>
              </w:rPr>
              <w:t>журналистск</w:t>
            </w:r>
            <w:r w:rsidR="00A0546A">
              <w:rPr>
                <w:rFonts w:asciiTheme="majorBidi" w:eastAsia="Times New Roman" w:hAnsiTheme="majorBidi" w:cstheme="majorBidi"/>
                <w:sz w:val="20"/>
                <w:lang w:eastAsia="en-US"/>
              </w:rPr>
              <w:t>ого характера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</w:tcBorders>
          </w:tcPr>
          <w:p w14:paraId="796DA959" w14:textId="11544D2A" w:rsidR="00EB59F8" w:rsidRPr="00340CB0" w:rsidRDefault="00CF1831" w:rsidP="00892692">
            <w:pPr>
              <w:widowControl w:val="0"/>
              <w:autoSpaceDE w:val="0"/>
              <w:autoSpaceDN w:val="0"/>
              <w:spacing w:before="19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Справедливость и</w:t>
            </w:r>
            <w:r w:rsidR="00EB59F8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т</w:t>
            </w: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ранспарентность</w:t>
            </w:r>
          </w:p>
        </w:tc>
        <w:tc>
          <w:tcPr>
            <w:tcW w:w="6665" w:type="dxa"/>
          </w:tcPr>
          <w:p w14:paraId="3DA6475A" w14:textId="4BCE3BBD" w:rsidR="00EB59F8" w:rsidRPr="00C4728C" w:rsidRDefault="00C4728C" w:rsidP="00D62723">
            <w:pPr>
              <w:widowControl w:val="0"/>
              <w:autoSpaceDE w:val="0"/>
              <w:autoSpaceDN w:val="0"/>
              <w:spacing w:line="242" w:lineRule="auto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Принятый</w:t>
            </w:r>
            <w:r w:rsidRPr="00C4728C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в</w:t>
            </w:r>
            <w:r w:rsidRPr="00C4728C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Австралии</w:t>
            </w:r>
            <w:r w:rsidRPr="00C4728C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Кодекс</w:t>
            </w:r>
            <w:r w:rsidRPr="00C4728C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ведения</w:t>
            </w:r>
            <w:r w:rsidRPr="00C4728C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переговоров</w:t>
            </w:r>
            <w:r w:rsidRPr="00C4728C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со</w:t>
            </w:r>
            <w:r w:rsidRPr="00C4728C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СМИ</w:t>
            </w:r>
            <w:r w:rsidRPr="00C4728C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создал</w:t>
            </w:r>
            <w:r w:rsidRPr="00C4728C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712E9D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неравенство позиций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крупны</w:t>
            </w:r>
            <w:r w:rsidR="00712E9D">
              <w:rPr>
                <w:rFonts w:asciiTheme="majorBidi" w:eastAsia="Times New Roman" w:hAnsiTheme="majorBidi" w:cstheme="majorBidi"/>
                <w:sz w:val="20"/>
                <w:lang w:eastAsia="en-US"/>
              </w:rPr>
              <w:t>х</w:t>
            </w:r>
            <w:r w:rsidRPr="00C4728C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печатны</w:t>
            </w:r>
            <w:r w:rsidR="00712E9D">
              <w:rPr>
                <w:rFonts w:asciiTheme="majorBidi" w:eastAsia="Times New Roman" w:hAnsiTheme="majorBidi" w:cstheme="majorBidi"/>
                <w:sz w:val="20"/>
                <w:lang w:eastAsia="en-US"/>
              </w:rPr>
              <w:t>х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орган</w:t>
            </w:r>
            <w:r w:rsidR="00712E9D">
              <w:rPr>
                <w:rFonts w:asciiTheme="majorBidi" w:eastAsia="Times New Roman" w:hAnsiTheme="majorBidi" w:cstheme="majorBidi"/>
                <w:sz w:val="20"/>
                <w:lang w:eastAsia="en-US"/>
              </w:rPr>
              <w:t>ов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и более мелки</w:t>
            </w:r>
            <w:r w:rsidR="00712E9D">
              <w:rPr>
                <w:rFonts w:asciiTheme="majorBidi" w:eastAsia="Times New Roman" w:hAnsiTheme="majorBidi" w:cstheme="majorBidi"/>
                <w:sz w:val="20"/>
                <w:lang w:eastAsia="en-US"/>
              </w:rPr>
              <w:t>х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712E9D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периодических изданий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регионального или сельского значения </w:t>
            </w:r>
            <w:r w:rsidR="001E48BB"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при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заключени</w:t>
            </w:r>
            <w:r w:rsidR="001E48BB">
              <w:rPr>
                <w:rFonts w:asciiTheme="majorBidi" w:eastAsia="Times New Roman" w:hAnsiTheme="majorBidi" w:cstheme="majorBidi"/>
                <w:sz w:val="20"/>
                <w:lang w:eastAsia="en-US"/>
              </w:rPr>
              <w:t>и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коммерческих соглашений с </w:t>
            </w:r>
            <w:r w:rsidR="00EB59F8" w:rsidRPr="00C4728C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Google</w:t>
            </w:r>
            <w:r w:rsidR="00EB59F8" w:rsidRPr="00C4728C">
              <w:rPr>
                <w:rFonts w:asciiTheme="majorBidi" w:eastAsia="Times New Roman" w:hAnsiTheme="majorBidi" w:cstheme="majorBidi"/>
                <w:spacing w:val="-6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pacing w:val="-6"/>
                <w:sz w:val="20"/>
                <w:lang w:eastAsia="en-US"/>
              </w:rPr>
              <w:t>и</w:t>
            </w:r>
            <w:r w:rsidR="00EB59F8" w:rsidRPr="00C4728C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 w:rsidR="00EB59F8" w:rsidRPr="00C4728C">
              <w:rPr>
                <w:rFonts w:asciiTheme="majorBidi" w:eastAsia="Times New Roman" w:hAnsiTheme="majorBidi" w:cstheme="majorBidi"/>
                <w:spacing w:val="-2"/>
                <w:sz w:val="20"/>
                <w:lang w:val="en-US" w:eastAsia="en-US"/>
              </w:rPr>
              <w:t>Meta</w:t>
            </w:r>
            <w:r w:rsidR="00EB59F8" w:rsidRPr="00C4728C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.</w:t>
            </w:r>
          </w:p>
        </w:tc>
        <w:tc>
          <w:tcPr>
            <w:tcW w:w="1441" w:type="dxa"/>
          </w:tcPr>
          <w:p w14:paraId="7D80ECAF" w14:textId="68D419C9" w:rsidR="00EB59F8" w:rsidRPr="00340CB0" w:rsidRDefault="000E2A76" w:rsidP="00892692">
            <w:pPr>
              <w:widowControl w:val="0"/>
              <w:autoSpaceDE w:val="0"/>
              <w:autoSpaceDN w:val="0"/>
              <w:spacing w:before="1"/>
              <w:ind w:left="147" w:right="134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Австралия</w:t>
            </w:r>
          </w:p>
        </w:tc>
        <w:tc>
          <w:tcPr>
            <w:tcW w:w="2959" w:type="dxa"/>
          </w:tcPr>
          <w:p w14:paraId="5604E13F" w14:textId="03E0BBE1" w:rsidR="00EB59F8" w:rsidRPr="00340CB0" w:rsidRDefault="001556E8" w:rsidP="00892692">
            <w:pPr>
              <w:widowControl w:val="0"/>
              <w:autoSpaceDE w:val="0"/>
              <w:autoSpaceDN w:val="0"/>
              <w:ind w:left="257" w:right="28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Кодекс ведения переговоров со СМИ</w:t>
            </w:r>
            <w:r w:rsidR="00EB59F8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(NMBC) 2021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года</w:t>
            </w:r>
          </w:p>
        </w:tc>
      </w:tr>
      <w:tr w:rsidR="00EB59F8" w:rsidRPr="00340CB0" w14:paraId="6D825E0E" w14:textId="77777777" w:rsidTr="005A2E0E">
        <w:trPr>
          <w:trHeight w:val="1295"/>
          <w:jc w:val="center"/>
        </w:trPr>
        <w:tc>
          <w:tcPr>
            <w:tcW w:w="1696" w:type="dxa"/>
            <w:vMerge/>
            <w:tcBorders>
              <w:top w:val="nil"/>
              <w:bottom w:val="nil"/>
            </w:tcBorders>
          </w:tcPr>
          <w:p w14:paraId="444BFAF3" w14:textId="77777777" w:rsidR="00EB59F8" w:rsidRPr="00340CB0" w:rsidRDefault="00EB59F8" w:rsidP="00EB59F8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14:paraId="31E712D2" w14:textId="77777777" w:rsidR="00EB59F8" w:rsidRPr="00340CB0" w:rsidRDefault="00EB59F8" w:rsidP="00892692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14:paraId="08C9D444" w14:textId="19E22184" w:rsidR="00EB59F8" w:rsidRPr="00730164" w:rsidRDefault="00730164" w:rsidP="00EB59F8">
            <w:pPr>
              <w:widowControl w:val="0"/>
              <w:numPr>
                <w:ilvl w:val="0"/>
                <w:numId w:val="27"/>
              </w:numPr>
              <w:tabs>
                <w:tab w:val="left" w:pos="470"/>
              </w:tabs>
              <w:autoSpaceDE w:val="0"/>
              <w:autoSpaceDN w:val="0"/>
              <w:spacing w:before="26" w:line="225" w:lineRule="auto"/>
              <w:ind w:right="96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В</w:t>
            </w:r>
            <w:r w:rsidR="00EB59F8"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2014</w:t>
            </w:r>
            <w:r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году</w:t>
            </w:r>
            <w:r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в</w:t>
            </w:r>
            <w:r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Испании</w:t>
            </w:r>
            <w:r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был</w:t>
            </w:r>
            <w:r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принял</w:t>
            </w:r>
            <w:r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закон</w:t>
            </w:r>
            <w:r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известный</w:t>
            </w:r>
            <w:r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как</w:t>
            </w:r>
            <w:r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налог на ссылку» (или «налог на </w:t>
            </w:r>
            <w:r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Google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»), который заставил на несколько лет закрыть доступ к </w:t>
            </w:r>
            <w:r w:rsidR="00EB59F8" w:rsidRPr="00730164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Google</w:t>
            </w:r>
            <w:r w:rsidR="00EB59F8"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EB59F8" w:rsidRPr="00730164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News</w:t>
            </w:r>
            <w:r w:rsidR="00EB59F8" w:rsidRPr="00730164">
              <w:rPr>
                <w:rFonts w:asciiTheme="majorBidi" w:eastAsia="Times New Roman" w:hAnsiTheme="majorBidi" w:cstheme="majorBidi"/>
                <w:sz w:val="20"/>
                <w:lang w:eastAsia="en-US"/>
              </w:rPr>
              <w:t>.</w:t>
            </w:r>
          </w:p>
          <w:p w14:paraId="6A945143" w14:textId="5DD59D96" w:rsidR="00EB59F8" w:rsidRPr="005A3F9E" w:rsidRDefault="005A3F9E" w:rsidP="00D62723">
            <w:pPr>
              <w:widowControl w:val="0"/>
              <w:numPr>
                <w:ilvl w:val="0"/>
                <w:numId w:val="27"/>
              </w:numPr>
              <w:tabs>
                <w:tab w:val="left" w:pos="470"/>
              </w:tabs>
              <w:autoSpaceDE w:val="0"/>
              <w:autoSpaceDN w:val="0"/>
              <w:spacing w:before="33" w:line="220" w:lineRule="auto"/>
              <w:ind w:right="95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Исследования</w:t>
            </w:r>
            <w:r w:rsidRPr="005A3F9E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показывают</w:t>
            </w:r>
            <w:r w:rsidRPr="005A3F9E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что</w:t>
            </w:r>
            <w:r w:rsidRPr="005A3F9E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этот закон привел к</w:t>
            </w:r>
            <w:r w:rsidRPr="005A3F9E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уменьшению</w:t>
            </w:r>
            <w:r w:rsidRPr="005A3F9E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потребления</w:t>
            </w:r>
            <w:r w:rsidRPr="005A3F9E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новостных</w:t>
            </w:r>
            <w:r w:rsidRPr="005A3F9E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материалов, что отрицательно сказалось на более мелких СМИ, которые зависят от количества посетителей и дохода от рекламы</w:t>
            </w:r>
            <w:r w:rsidR="00EB59F8" w:rsidRPr="005A3F9E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.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0B618A62" w14:textId="25620517" w:rsidR="00EB59F8" w:rsidRPr="00340CB0" w:rsidRDefault="000E2A76" w:rsidP="00892692">
            <w:pPr>
              <w:widowControl w:val="0"/>
              <w:autoSpaceDE w:val="0"/>
              <w:autoSpaceDN w:val="0"/>
              <w:ind w:left="147" w:right="134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4"/>
                <w:sz w:val="20"/>
                <w:lang w:eastAsia="en-US"/>
              </w:rPr>
              <w:t>Испания</w:t>
            </w:r>
          </w:p>
        </w:tc>
        <w:tc>
          <w:tcPr>
            <w:tcW w:w="2959" w:type="dxa"/>
          </w:tcPr>
          <w:p w14:paraId="38068753" w14:textId="064FB12C" w:rsidR="00EB59F8" w:rsidRPr="00340CB0" w:rsidRDefault="001556E8" w:rsidP="00892692">
            <w:pPr>
              <w:widowControl w:val="0"/>
              <w:autoSpaceDE w:val="0"/>
              <w:autoSpaceDN w:val="0"/>
              <w:ind w:left="257" w:right="28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Ассоциация издателей периодической п</w:t>
            </w:r>
            <w:r w:rsidR="00892692">
              <w:rPr>
                <w:rFonts w:asciiTheme="majorBidi" w:eastAsia="Times New Roman" w:hAnsiTheme="majorBidi" w:cstheme="majorBidi"/>
                <w:sz w:val="20"/>
                <w:lang w:eastAsia="en-US"/>
              </w:rPr>
              <w:t>ечати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Испании</w:t>
            </w:r>
            <w:r w:rsidR="00EB59F8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(Canon AEDE)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, часть Закона «Об интеллектуальной собственности» </w:t>
            </w:r>
            <w:r w:rsidR="00EB59F8"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2014</w:t>
            </w: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года</w:t>
            </w:r>
          </w:p>
        </w:tc>
      </w:tr>
      <w:tr w:rsidR="00285405" w:rsidRPr="00285405" w14:paraId="748D41A9" w14:textId="77777777" w:rsidTr="005A2E0E">
        <w:trPr>
          <w:trHeight w:val="1295"/>
          <w:jc w:val="center"/>
        </w:trPr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14:paraId="543F5FDD" w14:textId="77777777" w:rsidR="00285405" w:rsidRPr="00340CB0" w:rsidRDefault="00285405" w:rsidP="00EB59F8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4D73C9" w14:textId="77777777" w:rsidR="00285405" w:rsidRPr="00340CB0" w:rsidRDefault="00285405" w:rsidP="00892692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14:paraId="1C5F98F9" w14:textId="1F8C2FAF" w:rsidR="00285405" w:rsidRPr="00B076E6" w:rsidRDefault="00B076E6" w:rsidP="002C0FC8">
            <w:pPr>
              <w:widowControl w:val="0"/>
              <w:autoSpaceDE w:val="0"/>
              <w:autoSpaceDN w:val="0"/>
              <w:spacing w:before="26" w:line="225" w:lineRule="auto"/>
              <w:ind w:left="140" w:right="96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Алгоритмы</w:t>
            </w:r>
            <w:r w:rsidRPr="00B076E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ведущих</w:t>
            </w:r>
            <w:r w:rsidRPr="00B076E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цифровых</w:t>
            </w:r>
            <w:r w:rsidRPr="00B076E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платформ</w:t>
            </w:r>
            <w:r w:rsidR="00285405" w:rsidRPr="00B076E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(</w:t>
            </w:r>
            <w:r w:rsidR="00285405" w:rsidRPr="00285405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Google</w:t>
            </w:r>
            <w:r w:rsidR="00285405" w:rsidRPr="00B076E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, </w:t>
            </w:r>
            <w:r w:rsidR="00285405" w:rsidRPr="00285405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Meta</w:t>
            </w:r>
            <w:r w:rsidR="00285405" w:rsidRPr="00B076E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, </w:t>
            </w:r>
            <w:r w:rsidR="00285405" w:rsidRPr="00285405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X</w:t>
            </w:r>
            <w:r w:rsidR="00285405" w:rsidRPr="00B076E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)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господствуют</w:t>
            </w:r>
            <w:r w:rsidRPr="00B076E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в глобальном новостном ландшафте Южной Африки и недостаточно представляют мнение местных сообществ и СМИ</w:t>
            </w:r>
            <w:r w:rsid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>.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1A7C4FB7" w14:textId="5234E8CF" w:rsidR="00285405" w:rsidRPr="00285405" w:rsidRDefault="00285405" w:rsidP="00892692">
            <w:pPr>
              <w:widowControl w:val="0"/>
              <w:autoSpaceDE w:val="0"/>
              <w:autoSpaceDN w:val="0"/>
              <w:ind w:left="147" w:right="134"/>
              <w:jc w:val="center"/>
              <w:rPr>
                <w:rFonts w:asciiTheme="majorBidi" w:eastAsia="Times New Roman" w:hAnsiTheme="majorBidi" w:cstheme="majorBidi"/>
                <w:spacing w:val="-4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pacing w:val="-4"/>
                <w:sz w:val="20"/>
                <w:lang w:eastAsia="en-US"/>
              </w:rPr>
              <w:t>Южная Африка</w:t>
            </w:r>
          </w:p>
        </w:tc>
        <w:tc>
          <w:tcPr>
            <w:tcW w:w="2959" w:type="dxa"/>
          </w:tcPr>
          <w:p w14:paraId="2E0AEF5B" w14:textId="77777777" w:rsidR="00285405" w:rsidRPr="00285405" w:rsidRDefault="00285405" w:rsidP="00892692">
            <w:pPr>
              <w:widowControl w:val="0"/>
              <w:autoSpaceDE w:val="0"/>
              <w:autoSpaceDN w:val="0"/>
              <w:ind w:left="257" w:right="283"/>
              <w:jc w:val="center"/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</w:pPr>
          </w:p>
        </w:tc>
      </w:tr>
      <w:tr w:rsidR="00C96D20" w:rsidRPr="007804ED" w14:paraId="01C8C0E1" w14:textId="77777777" w:rsidTr="00E06514">
        <w:trPr>
          <w:trHeight w:val="1295"/>
          <w:jc w:val="center"/>
        </w:trPr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14:paraId="4AE788FB" w14:textId="77777777" w:rsidR="00C96D20" w:rsidRPr="00340CB0" w:rsidRDefault="00C96D20" w:rsidP="00EB59F8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F7EE804" w14:textId="77777777" w:rsidR="00C96D20" w:rsidRPr="00340CB0" w:rsidRDefault="00C96D20" w:rsidP="00892692">
            <w:pPr>
              <w:widowControl w:val="0"/>
              <w:autoSpaceDE w:val="0"/>
              <w:autoSpaceDN w:val="0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6665" w:type="dxa"/>
            <w:tcBorders>
              <w:bottom w:val="single" w:sz="4" w:space="0" w:color="auto"/>
            </w:tcBorders>
          </w:tcPr>
          <w:p w14:paraId="3297AB55" w14:textId="6C93621E" w:rsidR="00C96D20" w:rsidRPr="002A2699" w:rsidRDefault="00137812" w:rsidP="00137812">
            <w:pPr>
              <w:widowControl w:val="0"/>
              <w:autoSpaceDE w:val="0"/>
              <w:autoSpaceDN w:val="0"/>
              <w:spacing w:before="26" w:line="225" w:lineRule="auto"/>
              <w:ind w:left="140" w:right="96"/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Динамика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отношений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между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владельцами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авторских прав и ПО поиска информации с технологией искусственного интеллекта</w:t>
            </w:r>
            <w:r w:rsidR="002A2699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(ИИ)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: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в Окружной суд Токио был подан иск </w:t>
            </w:r>
            <w:r w:rsidRPr="00137812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Asahi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Pr="00137812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Shimbun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Pr="00137812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Co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.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и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Pr="00137812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Nikkei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Pr="00137812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Inc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.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против </w:t>
            </w:r>
            <w:r w:rsidRPr="00137812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Perplexity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Pr="00137812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AI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Pr="00137812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Inc</w:t>
            </w:r>
            <w:r w:rsidRPr="0013781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. </w:t>
            </w:r>
            <w:r w:rsidRPr="00137812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Perplexity</w:t>
            </w:r>
            <w:r w:rsidRPr="002A2699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Pr="00137812"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  <w:t>AI</w:t>
            </w:r>
            <w:r w:rsidRPr="002A2699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2A2699">
              <w:rPr>
                <w:rFonts w:asciiTheme="majorBidi" w:eastAsia="Times New Roman" w:hAnsiTheme="majorBidi" w:cstheme="majorBidi"/>
                <w:sz w:val="20"/>
                <w:lang w:eastAsia="en-US"/>
              </w:rPr>
              <w:t>обвинялась</w:t>
            </w:r>
            <w:r w:rsidR="002A2699" w:rsidRPr="002A2699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2A2699">
              <w:rPr>
                <w:rFonts w:asciiTheme="majorBidi" w:eastAsia="Times New Roman" w:hAnsiTheme="majorBidi" w:cstheme="majorBidi"/>
                <w:sz w:val="20"/>
                <w:lang w:eastAsia="en-US"/>
              </w:rPr>
              <w:t>в</w:t>
            </w:r>
            <w:r w:rsidR="002A2699" w:rsidRPr="002A2699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2A2699">
              <w:rPr>
                <w:rFonts w:asciiTheme="majorBidi" w:eastAsia="Times New Roman" w:hAnsiTheme="majorBidi" w:cstheme="majorBidi"/>
                <w:sz w:val="20"/>
                <w:lang w:eastAsia="en-US"/>
              </w:rPr>
              <w:t>копировании новостных сообщений двух издателей периодических изданий без их согласия и использовании скопированных материалов для генеративного ИИ компании.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7F94B976" w14:textId="5A49B723" w:rsidR="00C96D20" w:rsidRDefault="007804ED" w:rsidP="00892692">
            <w:pPr>
              <w:widowControl w:val="0"/>
              <w:autoSpaceDE w:val="0"/>
              <w:autoSpaceDN w:val="0"/>
              <w:ind w:left="147" w:right="134"/>
              <w:jc w:val="center"/>
              <w:rPr>
                <w:rFonts w:asciiTheme="majorBidi" w:eastAsia="Times New Roman" w:hAnsiTheme="majorBidi" w:cstheme="majorBidi"/>
                <w:spacing w:val="-4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pacing w:val="-4"/>
                <w:sz w:val="20"/>
                <w:lang w:eastAsia="en-US"/>
              </w:rPr>
              <w:t>Япония</w:t>
            </w:r>
          </w:p>
        </w:tc>
        <w:tc>
          <w:tcPr>
            <w:tcW w:w="2959" w:type="dxa"/>
          </w:tcPr>
          <w:p w14:paraId="079BDF0E" w14:textId="5FFCEECF" w:rsidR="00C96D20" w:rsidRPr="007804ED" w:rsidRDefault="00D657C7" w:rsidP="00892692">
            <w:pPr>
              <w:widowControl w:val="0"/>
              <w:autoSpaceDE w:val="0"/>
              <w:autoSpaceDN w:val="0"/>
              <w:ind w:left="257" w:right="28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proofErr w:type="spellStart"/>
            <w:r w:rsidRPr="00EB59F8">
              <w:rPr>
                <w:rFonts w:asciiTheme="majorBidi" w:eastAsia="MS Mincho" w:hAnsiTheme="majorBidi" w:cstheme="majorBidi"/>
                <w:sz w:val="20"/>
                <w:lang w:eastAsia="en-US"/>
              </w:rPr>
              <w:t>著作権法</w:t>
            </w:r>
            <w:proofErr w:type="spellEnd"/>
            <w:r w:rsidRPr="00EB59F8">
              <w:rPr>
                <w:rFonts w:asciiTheme="majorBidi" w:eastAsia="MS Mincho" w:hAnsiTheme="majorBidi" w:cstheme="majorBidi"/>
                <w:sz w:val="20"/>
                <w:lang w:eastAsia="en-US"/>
              </w:rPr>
              <w:t>/</w:t>
            </w:r>
            <w:r w:rsid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>Закон</w:t>
            </w:r>
            <w:r w:rsidR="007804ED" w:rsidRP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>Японии</w:t>
            </w:r>
            <w:r w:rsidR="007804ED" w:rsidRP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«</w:t>
            </w:r>
            <w:r w:rsid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>Об</w:t>
            </w:r>
            <w:r w:rsidR="007804ED" w:rsidRP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>авторском праве»</w:t>
            </w:r>
            <w:r w:rsidR="007804ED" w:rsidRP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(</w:t>
            </w:r>
            <w:r w:rsid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с изменениями от </w:t>
            </w:r>
            <w:r w:rsidR="007804ED" w:rsidRP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>2018</w:t>
            </w:r>
            <w:r w:rsid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года</w:t>
            </w:r>
            <w:r w:rsidR="007804ED" w:rsidRPr="007804ED">
              <w:rPr>
                <w:rFonts w:asciiTheme="majorBidi" w:eastAsia="Times New Roman" w:hAnsiTheme="majorBidi" w:cstheme="majorBidi"/>
                <w:sz w:val="20"/>
                <w:lang w:eastAsia="en-US"/>
              </w:rPr>
              <w:t>)</w:t>
            </w:r>
          </w:p>
        </w:tc>
      </w:tr>
      <w:tr w:rsidR="00EB59F8" w:rsidRPr="00340CB0" w14:paraId="39EB7442" w14:textId="77777777" w:rsidTr="005B08E5">
        <w:trPr>
          <w:cantSplit/>
          <w:trHeight w:val="1262"/>
          <w:jc w:val="center"/>
        </w:trPr>
        <w:tc>
          <w:tcPr>
            <w:tcW w:w="1696" w:type="dxa"/>
            <w:vMerge w:val="restart"/>
            <w:tcBorders>
              <w:top w:val="nil"/>
            </w:tcBorders>
          </w:tcPr>
          <w:p w14:paraId="4F8C4954" w14:textId="77777777" w:rsidR="00EB59F8" w:rsidRPr="007804ED" w:rsidRDefault="00EB59F8" w:rsidP="00892692">
            <w:pPr>
              <w:widowControl w:val="0"/>
              <w:autoSpaceDE w:val="0"/>
              <w:autoSpaceDN w:val="0"/>
              <w:ind w:left="-9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5685B5C6" w14:textId="3DF5A3E7" w:rsidR="00EB59F8" w:rsidRPr="00340CB0" w:rsidRDefault="00CF1831" w:rsidP="00892692">
            <w:pPr>
              <w:widowControl w:val="0"/>
              <w:autoSpaceDE w:val="0"/>
              <w:autoSpaceDN w:val="0"/>
              <w:spacing w:before="165"/>
              <w:ind w:left="2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Транспарентность</w:t>
            </w:r>
          </w:p>
        </w:tc>
        <w:tc>
          <w:tcPr>
            <w:tcW w:w="6665" w:type="dxa"/>
          </w:tcPr>
          <w:p w14:paraId="7A895EA4" w14:textId="16BB776D" w:rsidR="00EB59F8" w:rsidRPr="00285405" w:rsidRDefault="00C87C35" w:rsidP="00EB59F8">
            <w:pPr>
              <w:widowControl w:val="0"/>
              <w:autoSpaceDE w:val="0"/>
              <w:autoSpaceDN w:val="0"/>
              <w:ind w:left="109" w:right="97"/>
              <w:jc w:val="both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Распоряжени</w:t>
            </w:r>
            <w:r w:rsid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>е</w:t>
            </w:r>
            <w:r w:rsidRP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Президента</w:t>
            </w:r>
            <w:r w:rsidRP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E91C67" w:rsidRP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№ </w:t>
            </w:r>
            <w:r w:rsidR="00EB59F8" w:rsidRP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32/2024 </w:t>
            </w:r>
            <w:r w:rsid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>не</w:t>
            </w:r>
            <w:r w:rsidR="00285405" w:rsidRP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>затрагивает</w:t>
            </w:r>
            <w:r w:rsidR="00285405" w:rsidRP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процедурный</w:t>
            </w:r>
            <w:r w:rsidR="00285405" w:rsidRP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>уровень</w:t>
            </w:r>
            <w:r w:rsidR="00285405" w:rsidRP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>и</w:t>
            </w:r>
            <w:r w:rsidR="00285405" w:rsidRP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 w:rsid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обязательства </w:t>
            </w:r>
            <w:r w:rsidR="005B08E5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цифровых платформ перед издателями периодических изданий </w:t>
            </w:r>
            <w:r w:rsidR="00285405">
              <w:rPr>
                <w:rFonts w:asciiTheme="majorBidi" w:eastAsia="Times New Roman" w:hAnsiTheme="majorBidi" w:cstheme="majorBidi"/>
                <w:sz w:val="20"/>
                <w:lang w:eastAsia="en-US"/>
              </w:rPr>
              <w:t>по осуществлению прав на произведения журналистского характера</w:t>
            </w:r>
            <w:r w:rsidR="005B08E5">
              <w:rPr>
                <w:rFonts w:asciiTheme="majorBidi" w:eastAsia="Times New Roman" w:hAnsiTheme="majorBidi" w:cstheme="majorBidi"/>
                <w:sz w:val="20"/>
                <w:lang w:eastAsia="en-US"/>
              </w:rPr>
              <w:t>.</w:t>
            </w:r>
          </w:p>
        </w:tc>
        <w:tc>
          <w:tcPr>
            <w:tcW w:w="1441" w:type="dxa"/>
          </w:tcPr>
          <w:p w14:paraId="1FBD405A" w14:textId="64BB6634" w:rsidR="00EB59F8" w:rsidRPr="00340CB0" w:rsidRDefault="000E2A76" w:rsidP="00892692">
            <w:pPr>
              <w:widowControl w:val="0"/>
              <w:autoSpaceDE w:val="0"/>
              <w:autoSpaceDN w:val="0"/>
              <w:spacing w:before="1"/>
              <w:ind w:left="28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Индонезия</w:t>
            </w:r>
          </w:p>
        </w:tc>
        <w:tc>
          <w:tcPr>
            <w:tcW w:w="2959" w:type="dxa"/>
            <w:vAlign w:val="center"/>
          </w:tcPr>
          <w:p w14:paraId="7D943613" w14:textId="3385D613" w:rsidR="00EB59F8" w:rsidRPr="00340CB0" w:rsidRDefault="001556E8" w:rsidP="00892692">
            <w:pPr>
              <w:widowControl w:val="0"/>
              <w:autoSpaceDE w:val="0"/>
              <w:autoSpaceDN w:val="0"/>
              <w:spacing w:before="1"/>
              <w:ind w:left="259" w:right="14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Распоряжение Президента № 32 от 2024 года «Об ответственности цифровых компаний поддерживать качественную журналистику»</w:t>
            </w:r>
          </w:p>
        </w:tc>
      </w:tr>
      <w:tr w:rsidR="00EB59F8" w:rsidRPr="00340CB0" w14:paraId="77901BE4" w14:textId="77777777" w:rsidTr="00445219">
        <w:trPr>
          <w:cantSplit/>
          <w:trHeight w:val="1522"/>
          <w:jc w:val="center"/>
        </w:trPr>
        <w:tc>
          <w:tcPr>
            <w:tcW w:w="1696" w:type="dxa"/>
            <w:vMerge/>
            <w:tcBorders>
              <w:top w:val="nil"/>
            </w:tcBorders>
          </w:tcPr>
          <w:p w14:paraId="18D7DD79" w14:textId="77777777" w:rsidR="00EB59F8" w:rsidRPr="00340CB0" w:rsidRDefault="00EB59F8" w:rsidP="00892692">
            <w:pPr>
              <w:widowControl w:val="0"/>
              <w:autoSpaceDE w:val="0"/>
              <w:autoSpaceDN w:val="0"/>
              <w:ind w:left="-9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C58281A" w14:textId="77777777" w:rsidR="00EB59F8" w:rsidRPr="00340CB0" w:rsidRDefault="00EB59F8" w:rsidP="00EB59F8">
            <w:pPr>
              <w:widowControl w:val="0"/>
              <w:autoSpaceDE w:val="0"/>
              <w:autoSpaceDN w:val="0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</w:p>
        </w:tc>
        <w:tc>
          <w:tcPr>
            <w:tcW w:w="6665" w:type="dxa"/>
          </w:tcPr>
          <w:p w14:paraId="26C8C0EC" w14:textId="25F48F02" w:rsidR="00EB59F8" w:rsidRPr="00ED1876" w:rsidRDefault="00ED1876" w:rsidP="00D62723">
            <w:pPr>
              <w:widowControl w:val="0"/>
              <w:autoSpaceDE w:val="0"/>
              <w:autoSpaceDN w:val="0"/>
              <w:spacing w:before="1"/>
              <w:ind w:left="109" w:right="95"/>
              <w:jc w:val="both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В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разных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странах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ЕС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распределение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доходов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между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издателями периодических изданий и журналистами раскрывается с разной степенью т</w:t>
            </w:r>
            <w:r w:rsidR="005B08E5">
              <w:rPr>
                <w:rFonts w:asciiTheme="majorBidi" w:eastAsia="Times New Roman" w:hAnsiTheme="majorBidi" w:cstheme="majorBidi"/>
                <w:sz w:val="20"/>
                <w:lang w:eastAsia="en-US"/>
              </w:rPr>
              <w:t>рансп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арентности</w:t>
            </w:r>
            <w:r w:rsidR="00EB59F8"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.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Несмотря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на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то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что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Директивы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ЕС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требуют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выплачивать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журналистам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«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справедливую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долю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»,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на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практике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размер выплат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и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механизмы для</w:t>
            </w:r>
            <w:r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распределения дохода среди репортеров</w:t>
            </w:r>
            <w:r w:rsidR="00EB59F8"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включая постоянных</w:t>
            </w:r>
            <w:r w:rsidR="00EB59F8"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>/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нештатных сотрудников</w:t>
            </w:r>
            <w:r w:rsidR="00EB59F8" w:rsidRPr="00ED1876">
              <w:rPr>
                <w:rFonts w:asciiTheme="majorBidi" w:eastAsia="Times New Roman" w:hAnsiTheme="majorBidi" w:cstheme="majorBidi"/>
                <w:sz w:val="20"/>
                <w:lang w:eastAsia="en-US"/>
              </w:rPr>
              <w:t>)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нередко не обнародуются или являются предметом индивидуальных договоренностей, в результате чего у ассоциаций почти не остается возможности для контроля</w:t>
            </w:r>
            <w:r w:rsidR="00EB59F8" w:rsidRPr="00ED1876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.</w:t>
            </w:r>
          </w:p>
        </w:tc>
        <w:tc>
          <w:tcPr>
            <w:tcW w:w="1441" w:type="dxa"/>
          </w:tcPr>
          <w:p w14:paraId="7B435CB2" w14:textId="24B16760" w:rsidR="00EB59F8" w:rsidRPr="00340CB0" w:rsidRDefault="000E2A76" w:rsidP="00892692">
            <w:pPr>
              <w:widowControl w:val="0"/>
              <w:autoSpaceDE w:val="0"/>
              <w:autoSpaceDN w:val="0"/>
              <w:spacing w:line="237" w:lineRule="auto"/>
              <w:ind w:left="28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Европейский союз</w:t>
            </w:r>
          </w:p>
        </w:tc>
        <w:tc>
          <w:tcPr>
            <w:tcW w:w="2959" w:type="dxa"/>
            <w:vAlign w:val="center"/>
          </w:tcPr>
          <w:p w14:paraId="7FF510BD" w14:textId="2D18A590" w:rsidR="00EB59F8" w:rsidRPr="00340CB0" w:rsidRDefault="000521F9" w:rsidP="00892692">
            <w:pPr>
              <w:widowControl w:val="0"/>
              <w:autoSpaceDE w:val="0"/>
              <w:autoSpaceDN w:val="0"/>
              <w:spacing w:before="1"/>
              <w:ind w:left="259" w:right="14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Директива ЕС «Об авторском праве на едином цифровом рынке» (№ 2019/790)</w:t>
            </w:r>
          </w:p>
        </w:tc>
      </w:tr>
      <w:tr w:rsidR="00EB59F8" w:rsidRPr="00340CB0" w14:paraId="18BB0FA4" w14:textId="77777777" w:rsidTr="00445219">
        <w:trPr>
          <w:cantSplit/>
          <w:trHeight w:val="1262"/>
          <w:jc w:val="center"/>
        </w:trPr>
        <w:tc>
          <w:tcPr>
            <w:tcW w:w="1696" w:type="dxa"/>
          </w:tcPr>
          <w:p w14:paraId="64115D60" w14:textId="6D18E88D" w:rsidR="00EB59F8" w:rsidRPr="00340CB0" w:rsidRDefault="00892692" w:rsidP="00892692">
            <w:pPr>
              <w:widowControl w:val="0"/>
              <w:autoSpaceDE w:val="0"/>
              <w:autoSpaceDN w:val="0"/>
              <w:spacing w:before="1"/>
              <w:ind w:left="-9" w:right="129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Система распределения роялти</w:t>
            </w:r>
          </w:p>
        </w:tc>
        <w:tc>
          <w:tcPr>
            <w:tcW w:w="1843" w:type="dxa"/>
          </w:tcPr>
          <w:p w14:paraId="499B5CF9" w14:textId="73DAF34F" w:rsidR="00EB59F8" w:rsidRPr="00340CB0" w:rsidRDefault="00CF1831" w:rsidP="00892692">
            <w:pPr>
              <w:widowControl w:val="0"/>
              <w:autoSpaceDE w:val="0"/>
              <w:autoSpaceDN w:val="0"/>
              <w:spacing w:line="237" w:lineRule="auto"/>
              <w:ind w:left="2" w:right="2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Справедливость и инклюзивность</w:t>
            </w:r>
          </w:p>
        </w:tc>
        <w:tc>
          <w:tcPr>
            <w:tcW w:w="6665" w:type="dxa"/>
          </w:tcPr>
          <w:p w14:paraId="123ADEDA" w14:textId="657CB896" w:rsidR="00EB59F8" w:rsidRPr="001A31C8" w:rsidRDefault="001A31C8" w:rsidP="00EB59F8">
            <w:pPr>
              <w:widowControl w:val="0"/>
              <w:autoSpaceDE w:val="0"/>
              <w:autoSpaceDN w:val="0"/>
              <w:spacing w:before="1"/>
              <w:ind w:left="109" w:right="96"/>
              <w:jc w:val="both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Распоряжение</w:t>
            </w:r>
            <w:r w:rsidRPr="001A31C8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Президента</w:t>
            </w:r>
            <w:r w:rsidRPr="001A31C8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№</w:t>
            </w:r>
            <w:r w:rsidR="00EB59F8" w:rsidRPr="001A31C8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 w:rsidR="00EB59F8" w:rsidRPr="001A31C8">
              <w:rPr>
                <w:rFonts w:asciiTheme="majorBidi" w:eastAsia="Times New Roman" w:hAnsiTheme="majorBidi" w:cstheme="majorBidi"/>
                <w:sz w:val="20"/>
                <w:lang w:eastAsia="en-US"/>
              </w:rPr>
              <w:t>32/2024</w:t>
            </w:r>
            <w:r w:rsidR="00EB59F8" w:rsidRPr="001A31C8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>требует</w:t>
            </w:r>
            <w:r w:rsidRPr="001A31C8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>от</w:t>
            </w:r>
            <w:r w:rsidRPr="001A31C8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>платформ</w:t>
            </w:r>
            <w:r w:rsidRPr="001A31C8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>не</w:t>
            </w:r>
            <w:r w:rsidRPr="001A31C8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>использовать</w:t>
            </w:r>
            <w:r w:rsidRPr="001A31C8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>в</w:t>
            </w:r>
            <w:r w:rsidRPr="001A31C8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>коммерческих</w:t>
            </w:r>
            <w:r w:rsidRPr="001A31C8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>целях</w:t>
            </w:r>
            <w:r w:rsidRPr="001A31C8"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pacing w:val="-3"/>
                <w:sz w:val="20"/>
                <w:lang w:eastAsia="en-US"/>
              </w:rPr>
              <w:t xml:space="preserve">новостные материалы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и заключать договоренности в случае такого использования, однако оно не устанавливает ни формулу для расчета роялти ни минимальную долю для журналистов</w:t>
            </w:r>
            <w:r w:rsidR="00EB59F8" w:rsidRPr="001A31C8">
              <w:rPr>
                <w:rFonts w:asciiTheme="majorBidi" w:eastAsia="Times New Roman" w:hAnsiTheme="majorBidi" w:cstheme="majorBidi"/>
                <w:sz w:val="20"/>
                <w:lang w:eastAsia="en-US"/>
              </w:rPr>
              <w:t>/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нештатных сотрудников</w:t>
            </w:r>
            <w:r w:rsidR="00EB59F8" w:rsidRPr="001A31C8">
              <w:rPr>
                <w:rFonts w:asciiTheme="majorBidi" w:eastAsia="Times New Roman" w:hAnsiTheme="majorBidi" w:cstheme="majorBidi"/>
                <w:sz w:val="20"/>
                <w:lang w:eastAsia="en-US"/>
              </w:rPr>
              <w:t>.</w:t>
            </w:r>
          </w:p>
        </w:tc>
        <w:tc>
          <w:tcPr>
            <w:tcW w:w="1441" w:type="dxa"/>
          </w:tcPr>
          <w:p w14:paraId="6E768331" w14:textId="4005E0E0" w:rsidR="00EB59F8" w:rsidRPr="00340CB0" w:rsidRDefault="000E2A76" w:rsidP="00892692">
            <w:pPr>
              <w:widowControl w:val="0"/>
              <w:autoSpaceDE w:val="0"/>
              <w:autoSpaceDN w:val="0"/>
              <w:ind w:left="28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Индонезия</w:t>
            </w:r>
          </w:p>
        </w:tc>
        <w:tc>
          <w:tcPr>
            <w:tcW w:w="2959" w:type="dxa"/>
            <w:vAlign w:val="center"/>
          </w:tcPr>
          <w:p w14:paraId="6E10E200" w14:textId="75ACCC6D" w:rsidR="00EB59F8" w:rsidRPr="00340CB0" w:rsidRDefault="001556E8" w:rsidP="00892692">
            <w:pPr>
              <w:widowControl w:val="0"/>
              <w:autoSpaceDE w:val="0"/>
              <w:autoSpaceDN w:val="0"/>
              <w:spacing w:line="242" w:lineRule="auto"/>
              <w:ind w:left="259" w:right="14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pacing w:val="-2"/>
                <w:sz w:val="20"/>
                <w:lang w:eastAsia="en-US"/>
              </w:rPr>
              <w:t>Распоряжение Президента № 32 от 2024 года «Об ответственности цифровых компаний поддерживать качественную журналистику»</w:t>
            </w:r>
          </w:p>
        </w:tc>
      </w:tr>
      <w:tr w:rsidR="00EB59F8" w:rsidRPr="00340CB0" w14:paraId="24F20C80" w14:textId="77777777" w:rsidTr="00445219">
        <w:trPr>
          <w:cantSplit/>
          <w:trHeight w:val="1008"/>
          <w:jc w:val="center"/>
        </w:trPr>
        <w:tc>
          <w:tcPr>
            <w:tcW w:w="1696" w:type="dxa"/>
          </w:tcPr>
          <w:p w14:paraId="5B53C0F2" w14:textId="7384A8B9" w:rsidR="00892692" w:rsidRPr="00892692" w:rsidRDefault="00892692" w:rsidP="00892692">
            <w:pPr>
              <w:widowControl w:val="0"/>
              <w:autoSpaceDE w:val="0"/>
              <w:autoSpaceDN w:val="0"/>
              <w:spacing w:before="121"/>
              <w:ind w:left="-9" w:right="129"/>
              <w:jc w:val="center"/>
              <w:rPr>
                <w:rFonts w:asciiTheme="majorBidi" w:eastAsia="Times New Roman" w:hAnsiTheme="majorBidi" w:cstheme="majorBidi"/>
                <w:sz w:val="20"/>
                <w:lang w:val="en-US"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Централизация</w:t>
            </w:r>
            <w:r w:rsidRPr="0089269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управления</w:t>
            </w:r>
            <w:r w:rsidRPr="0089269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данными</w:t>
            </w:r>
            <w:r w:rsidRPr="00892692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об авторских правах</w:t>
            </w:r>
          </w:p>
        </w:tc>
        <w:tc>
          <w:tcPr>
            <w:tcW w:w="1843" w:type="dxa"/>
          </w:tcPr>
          <w:p w14:paraId="12AE05CF" w14:textId="0ADBE905" w:rsidR="00EB59F8" w:rsidRPr="00340CB0" w:rsidRDefault="00CF1831" w:rsidP="00892692">
            <w:pPr>
              <w:widowControl w:val="0"/>
              <w:autoSpaceDE w:val="0"/>
              <w:autoSpaceDN w:val="0"/>
              <w:spacing w:line="237" w:lineRule="auto"/>
              <w:ind w:left="2" w:right="2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Справедливость и инклюзивность</w:t>
            </w:r>
          </w:p>
        </w:tc>
        <w:tc>
          <w:tcPr>
            <w:tcW w:w="6665" w:type="dxa"/>
          </w:tcPr>
          <w:p w14:paraId="5A183C13" w14:textId="3C9FA43D" w:rsidR="00EB59F8" w:rsidRPr="00340CB0" w:rsidRDefault="005F7CBB" w:rsidP="00615909">
            <w:pPr>
              <w:widowControl w:val="0"/>
              <w:autoSpaceDE w:val="0"/>
              <w:autoSpaceDN w:val="0"/>
              <w:ind w:left="109" w:right="96"/>
              <w:jc w:val="both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Глобальная</w:t>
            </w:r>
            <w:r w:rsidRPr="005F7CBB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или</w:t>
            </w:r>
            <w:r w:rsidRPr="005F7CBB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централизованная</w:t>
            </w:r>
            <w:r w:rsidRPr="005F7CBB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система</w:t>
            </w:r>
            <w:r w:rsidRPr="005F7CBB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разработанная</w:t>
            </w:r>
            <w:r w:rsidRPr="005F7CBB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специально</w:t>
            </w:r>
            <w:r w:rsidRPr="005F7CBB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для</w:t>
            </w:r>
            <w:r w:rsidRPr="005F7CBB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авторских</w:t>
            </w:r>
            <w:r w:rsidRPr="005F7CBB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прав</w:t>
            </w:r>
            <w:r w:rsidRPr="005F7CBB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на журналистские произведения</w:t>
            </w:r>
            <w:r w:rsidR="000707FE">
              <w:rPr>
                <w:rFonts w:asciiTheme="majorBidi" w:eastAsia="Times New Roman" w:hAnsiTheme="majorBidi" w:cstheme="majorBidi"/>
                <w:sz w:val="20"/>
                <w:lang w:eastAsia="en-US"/>
              </w:rPr>
              <w:t>,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в мире отсутствует</w:t>
            </w:r>
            <w:r w:rsidR="00EB59F8" w:rsidRPr="005F7CBB">
              <w:rPr>
                <w:rFonts w:asciiTheme="majorBidi" w:eastAsia="Times New Roman" w:hAnsiTheme="majorBidi" w:cstheme="majorBidi"/>
                <w:sz w:val="20"/>
                <w:lang w:eastAsia="en-US"/>
              </w:rPr>
              <w:t>.</w:t>
            </w:r>
            <w:r w:rsidR="00EB59F8" w:rsidRPr="005F7CBB">
              <w:rPr>
                <w:rFonts w:asciiTheme="majorBidi" w:eastAsia="Times New Roman" w:hAnsiTheme="majorBidi" w:cstheme="majorBidi"/>
                <w:spacing w:val="-14"/>
                <w:sz w:val="20"/>
                <w:lang w:eastAsia="en-US"/>
              </w:rPr>
              <w:t xml:space="preserve"> </w:t>
            </w:r>
            <w:r w:rsidR="00615909" w:rsidRPr="00615909">
              <w:rPr>
                <w:rFonts w:asciiTheme="majorBidi" w:eastAsia="Times New Roman" w:hAnsiTheme="majorBidi" w:cstheme="majorBidi"/>
                <w:sz w:val="20"/>
                <w:lang w:eastAsia="en-US"/>
              </w:rPr>
              <w:t>Пока единой международной базы, с помощью которой осуществлялось бы управление или хранение данных об авторском праве сугубо на журналистские материалы на уровне всего мира, нет.</w:t>
            </w:r>
          </w:p>
        </w:tc>
        <w:tc>
          <w:tcPr>
            <w:tcW w:w="1441" w:type="dxa"/>
          </w:tcPr>
          <w:p w14:paraId="6EC5875B" w14:textId="0A677294" w:rsidR="00EB59F8" w:rsidRPr="00340CB0" w:rsidRDefault="000521F9" w:rsidP="00892692">
            <w:pPr>
              <w:widowControl w:val="0"/>
              <w:autoSpaceDE w:val="0"/>
              <w:autoSpaceDN w:val="0"/>
              <w:spacing w:before="121"/>
              <w:ind w:left="28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Без указания конкретного субъекта</w:t>
            </w:r>
          </w:p>
        </w:tc>
        <w:tc>
          <w:tcPr>
            <w:tcW w:w="2959" w:type="dxa"/>
            <w:vAlign w:val="center"/>
          </w:tcPr>
          <w:p w14:paraId="6CDAE78D" w14:textId="3BB7B7B3" w:rsidR="00EB59F8" w:rsidRPr="00340CB0" w:rsidRDefault="000521F9" w:rsidP="00892692">
            <w:pPr>
              <w:widowControl w:val="0"/>
              <w:autoSpaceDE w:val="0"/>
              <w:autoSpaceDN w:val="0"/>
              <w:spacing w:line="237" w:lineRule="auto"/>
              <w:ind w:left="259" w:right="14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Без указания конкретного документа</w:t>
            </w:r>
          </w:p>
        </w:tc>
      </w:tr>
      <w:tr w:rsidR="00EB59F8" w:rsidRPr="00340CB0" w14:paraId="12CEF897" w14:textId="77777777" w:rsidTr="00445219">
        <w:trPr>
          <w:cantSplit/>
          <w:trHeight w:val="758"/>
          <w:jc w:val="center"/>
        </w:trPr>
        <w:tc>
          <w:tcPr>
            <w:tcW w:w="1696" w:type="dxa"/>
          </w:tcPr>
          <w:p w14:paraId="5FA63158" w14:textId="7E954F28" w:rsidR="00EB59F8" w:rsidRPr="00340CB0" w:rsidRDefault="00212375" w:rsidP="00892692">
            <w:pPr>
              <w:widowControl w:val="0"/>
              <w:autoSpaceDE w:val="0"/>
              <w:autoSpaceDN w:val="0"/>
              <w:spacing w:before="1"/>
              <w:ind w:left="-9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Различия в расчете роялти в авторском праве</w:t>
            </w:r>
          </w:p>
        </w:tc>
        <w:tc>
          <w:tcPr>
            <w:tcW w:w="1843" w:type="dxa"/>
          </w:tcPr>
          <w:p w14:paraId="05BFF216" w14:textId="249C7F5D" w:rsidR="00EB59F8" w:rsidRPr="00340CB0" w:rsidRDefault="00CF1831" w:rsidP="00892692">
            <w:pPr>
              <w:widowControl w:val="0"/>
              <w:autoSpaceDE w:val="0"/>
              <w:autoSpaceDN w:val="0"/>
              <w:spacing w:before="126"/>
              <w:ind w:left="2" w:right="2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Справедливость и инклюзивность</w:t>
            </w:r>
          </w:p>
        </w:tc>
        <w:tc>
          <w:tcPr>
            <w:tcW w:w="6665" w:type="dxa"/>
          </w:tcPr>
          <w:p w14:paraId="2FB6E5CC" w14:textId="7C6F0C79" w:rsidR="00EB59F8" w:rsidRPr="00AB5660" w:rsidRDefault="00AB5660" w:rsidP="00EB59F8">
            <w:pPr>
              <w:widowControl w:val="0"/>
              <w:autoSpaceDE w:val="0"/>
              <w:autoSpaceDN w:val="0"/>
              <w:spacing w:before="126"/>
              <w:ind w:left="109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Специальных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правил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пока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нет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но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практика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оценки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стоимости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произведений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журналистского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характера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существует</w:t>
            </w:r>
            <w:r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sz w:val="20"/>
                <w:lang w:eastAsia="en-US"/>
              </w:rPr>
              <w:t>особенно в медиа-компаниях</w:t>
            </w:r>
            <w:r w:rsidR="00EB59F8" w:rsidRPr="00AB5660">
              <w:rPr>
                <w:rFonts w:asciiTheme="majorBidi" w:eastAsia="Times New Roman" w:hAnsiTheme="majorBidi" w:cstheme="majorBidi"/>
                <w:sz w:val="20"/>
                <w:lang w:eastAsia="en-US"/>
              </w:rPr>
              <w:t>.</w:t>
            </w:r>
          </w:p>
        </w:tc>
        <w:tc>
          <w:tcPr>
            <w:tcW w:w="1441" w:type="dxa"/>
          </w:tcPr>
          <w:p w14:paraId="43DD2F73" w14:textId="1D36C956" w:rsidR="00EB59F8" w:rsidRPr="00340CB0" w:rsidRDefault="000521F9" w:rsidP="00892692">
            <w:pPr>
              <w:widowControl w:val="0"/>
              <w:autoSpaceDE w:val="0"/>
              <w:autoSpaceDN w:val="0"/>
              <w:spacing w:before="1"/>
              <w:ind w:left="28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Без указания конкретного субъекта</w:t>
            </w:r>
          </w:p>
        </w:tc>
        <w:tc>
          <w:tcPr>
            <w:tcW w:w="2959" w:type="dxa"/>
            <w:vAlign w:val="center"/>
          </w:tcPr>
          <w:p w14:paraId="17723103" w14:textId="4A4CB6C1" w:rsidR="00EB59F8" w:rsidRPr="00340CB0" w:rsidRDefault="000521F9" w:rsidP="00892692">
            <w:pPr>
              <w:widowControl w:val="0"/>
              <w:autoSpaceDE w:val="0"/>
              <w:autoSpaceDN w:val="0"/>
              <w:spacing w:before="126"/>
              <w:ind w:left="259" w:right="143"/>
              <w:jc w:val="center"/>
              <w:rPr>
                <w:rFonts w:asciiTheme="majorBidi" w:eastAsia="Times New Roman" w:hAnsiTheme="majorBidi" w:cstheme="majorBidi"/>
                <w:sz w:val="20"/>
                <w:lang w:eastAsia="en-US"/>
              </w:rPr>
            </w:pPr>
            <w:r w:rsidRPr="00340CB0">
              <w:rPr>
                <w:rFonts w:asciiTheme="majorBidi" w:eastAsia="Times New Roman" w:hAnsiTheme="majorBidi" w:cstheme="majorBidi"/>
                <w:sz w:val="20"/>
                <w:lang w:eastAsia="en-US"/>
              </w:rPr>
              <w:t>Без указания конкретного документа</w:t>
            </w:r>
          </w:p>
        </w:tc>
      </w:tr>
    </w:tbl>
    <w:p w14:paraId="0BF4752C" w14:textId="77777777" w:rsidR="00DA2F2C" w:rsidRPr="00EB5179" w:rsidRDefault="00DA2F2C" w:rsidP="00557C2F">
      <w:pPr>
        <w:spacing w:before="480"/>
        <w:rPr>
          <w:rFonts w:eastAsia="Aptos" w:cs="Noto Sans Display"/>
          <w:kern w:val="2"/>
          <w:szCs w:val="22"/>
          <w:lang w:eastAsia="en-US"/>
          <w14:ligatures w14:val="standardContextual"/>
        </w:rPr>
      </w:pPr>
    </w:p>
    <w:p w14:paraId="77EF6CE3" w14:textId="77777777" w:rsidR="00DA2F2C" w:rsidRDefault="00DA2F2C">
      <w:pPr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</w:pPr>
      <w:r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br w:type="page"/>
      </w:r>
    </w:p>
    <w:p w14:paraId="31E80784" w14:textId="3C3FD587" w:rsidR="000C43F7" w:rsidRPr="00340CB0" w:rsidRDefault="00FE776F" w:rsidP="00557C2F">
      <w:pPr>
        <w:spacing w:before="480"/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b/>
          <w:bCs/>
          <w:kern w:val="2"/>
          <w:szCs w:val="22"/>
          <w:lang w:eastAsia="en-US"/>
          <w14:ligatures w14:val="standardContextual"/>
        </w:rPr>
        <w:lastRenderedPageBreak/>
        <w:t>Справочная литература</w:t>
      </w:r>
    </w:p>
    <w:p w14:paraId="2D751F75" w14:textId="7A610F18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Bossio, Diana, Andrea Carson, and James Meese. "A Different Playbook for the Same Outcome? Examining Google's and Meta's Strategic Responses to Australia's News Media Bargaining Code." 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New Media &amp; Society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27, no. 7 (July 5, 2025): 3890-3910. </w:t>
      </w:r>
      <w:hyperlink r:id="rId17" w:history="1">
        <w:r w:rsidRPr="00340CB0">
          <w:rPr>
            <w:rFonts w:eastAsia="Aptos" w:cs="Noto Sans Display"/>
            <w:color w:val="467886"/>
            <w:kern w:val="2"/>
            <w:szCs w:val="22"/>
            <w:u w:val="single"/>
            <w:lang w:eastAsia="en-US"/>
            <w14:ligatures w14:val="standardContextual"/>
          </w:rPr>
          <w:t>https://doi.org/10.1177/14614448241232296</w:t>
        </w:r>
      </w:hyperlink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01449071" w14:textId="5443432C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Dludla, Nqobile. "Google, Meta Face Penalties for Anti-Competitive Behaviour towards South African News Media." Reuters.com, 2025. https://www.reuters.com/technology/google-meta-face-penalties-anti-competitive-behaviour-towards-south-african-news-2025-02-24/?utm_source </w:t>
      </w:r>
      <w:hyperlink r:id="rId18" w:history="1">
        <w:r w:rsidRPr="00340CB0">
          <w:rPr>
            <w:rFonts w:eastAsia="Aptos" w:cs="Noto Sans Display"/>
            <w:color w:val="467886"/>
            <w:kern w:val="2"/>
            <w:szCs w:val="22"/>
            <w:u w:val="single"/>
            <w:lang w:eastAsia="en-US"/>
            <w14:ligatures w14:val="standardContextual"/>
          </w:rPr>
          <w:t>https://mg.co.za/news/2025-02-24-google-must-pay-sa-media-up-to-r500-million-says-competition-commission/?utm_source</w:t>
        </w:r>
      </w:hyperlink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3E65F6B9" w14:textId="245A0088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Furgal, Ula. "The EU Press Publishers' Right: Where Do Member States Stand?" 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Journal of Intellectual Property Law &amp; Practice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16, no. 8 (October 26, 2021): 887-93. </w:t>
      </w:r>
      <w:hyperlink r:id="rId19" w:history="1">
        <w:r w:rsidRPr="00340CB0">
          <w:rPr>
            <w:rFonts w:eastAsia="Aptos" w:cs="Noto Sans Display"/>
            <w:color w:val="467886"/>
            <w:kern w:val="2"/>
            <w:szCs w:val="22"/>
            <w:u w:val="single"/>
            <w:lang w:eastAsia="en-US"/>
            <w14:ligatures w14:val="standardContextual"/>
          </w:rPr>
          <w:t>https://doi.org/10.1093/jiplp/jpab105</w:t>
        </w:r>
      </w:hyperlink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68B6EF79" w14:textId="5D1CA507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Goto, Ryota, and Ryo Sanada. "Asahi, Nikkei Sue Perplexity AI over Copyright Infringement." The Asahi Shimbun, 2025. </w:t>
      </w:r>
      <w:hyperlink r:id="rId20" w:history="1">
        <w:r w:rsidRPr="00340CB0">
          <w:rPr>
            <w:rFonts w:eastAsia="Aptos" w:cs="Noto Sans Display"/>
            <w:color w:val="467886"/>
            <w:kern w:val="2"/>
            <w:szCs w:val="22"/>
            <w:u w:val="single"/>
            <w:lang w:eastAsia="en-US"/>
            <w14:ligatures w14:val="standardContextual"/>
          </w:rPr>
          <w:t>https://www.asahi.com/ajw/articles/15987899?utm_source</w:t>
        </w:r>
      </w:hyperlink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4D0DD936" w14:textId="5FDEEB21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Humas Sekretariat Kabinet Republik Indonesia. "Inilah Perpres 32/2024 Tentang Publisher Rights." Berita, 2024. </w:t>
      </w:r>
      <w:hyperlink r:id="rId21" w:history="1">
        <w:r w:rsidRPr="00340CB0">
          <w:rPr>
            <w:rFonts w:eastAsia="Aptos" w:cs="Noto Sans Display"/>
            <w:color w:val="467886"/>
            <w:kern w:val="2"/>
            <w:szCs w:val="22"/>
            <w:u w:val="single"/>
            <w:lang w:eastAsia="en-US"/>
            <w14:ligatures w14:val="standardContextual"/>
          </w:rPr>
          <w:t>https://setkab.go.id/inilah-perpres-32-2024-tentang-publisher-rights/?utm_source</w:t>
        </w:r>
      </w:hyperlink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2752C7CF" w14:textId="44420D91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Maj</w:t>
      </w:r>
      <w:r w:rsidR="00CB566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ó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-Vazquez, Silvia, Ana S. Cardenal, and Sandra Gonzalez-Bail</w:t>
      </w:r>
      <w:r w:rsidR="00CB566F"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ó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n. "Digital News Consumption and Copyright Intervention: Evidence from Spain Before and After the 2015 'Link Tax.'" </w:t>
      </w:r>
      <w:r w:rsidRPr="00340CB0">
        <w:rPr>
          <w:rFonts w:eastAsia="Aptos" w:cs="Noto Sans Display"/>
          <w:i/>
          <w:iCs/>
          <w:kern w:val="2"/>
          <w:szCs w:val="22"/>
          <w:lang w:eastAsia="en-US"/>
          <w14:ligatures w14:val="standardContextual"/>
        </w:rPr>
        <w:t>Journal of Computer-Mediated Communication</w:t>
      </w: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 22, no. 5 (September 2017): 284-301. </w:t>
      </w:r>
      <w:hyperlink r:id="rId22" w:history="1">
        <w:r w:rsidRPr="00340CB0">
          <w:rPr>
            <w:rFonts w:eastAsia="Aptos" w:cs="Noto Sans Display"/>
            <w:color w:val="467886"/>
            <w:kern w:val="2"/>
            <w:szCs w:val="22"/>
            <w:u w:val="single"/>
            <w:lang w:eastAsia="en-US"/>
            <w14:ligatures w14:val="standardContextual"/>
          </w:rPr>
          <w:t>https://doi.org/10.1111/jcc4.12196</w:t>
        </w:r>
      </w:hyperlink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2DC805D9" w14:textId="25ADA32E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Nobre, Teresa. "The Post-DSM Copyright Report: The Press Publishers' Right." Communia, 2024. </w:t>
      </w:r>
      <w:hyperlink r:id="rId23" w:history="1">
        <w:r w:rsidRPr="00340CB0">
          <w:rPr>
            <w:rFonts w:eastAsia="Aptos" w:cs="Noto Sans Display"/>
            <w:color w:val="467886"/>
            <w:kern w:val="2"/>
            <w:szCs w:val="22"/>
            <w:u w:val="single"/>
            <w:lang w:eastAsia="en-US"/>
            <w14:ligatures w14:val="standardContextual"/>
          </w:rPr>
          <w:t>https://communia-association.org/2024/02/19/the-post- dsm-copyright-report-the-press-publishers-right/</w:t>
        </w:r>
      </w:hyperlink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6D9531C4" w14:textId="41ACC539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Olivi, Giangiacomo. "The New EU Copyright Directive and the New Right for Press Publishers." Dentons, 2020. </w:t>
      </w:r>
      <w:hyperlink r:id="rId24" w:history="1">
        <w:r w:rsidRPr="00340CB0">
          <w:rPr>
            <w:rFonts w:eastAsia="Aptos" w:cs="Noto Sans Display"/>
            <w:color w:val="467886"/>
            <w:kern w:val="2"/>
            <w:szCs w:val="22"/>
            <w:u w:val="single"/>
            <w:lang w:eastAsia="en-US"/>
            <w14:ligatures w14:val="standardContextual"/>
          </w:rPr>
          <w:t>https://www.dentons.com/en/insights/articles/2020/november/30/the-new-eu-copyright-directive-and-the-new-right-for-press-publishers?utm_source</w:t>
        </w:r>
      </w:hyperlink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0FA3278A" w14:textId="3A0A342F" w:rsidR="000C43F7" w:rsidRPr="00340CB0" w:rsidRDefault="000C43F7" w:rsidP="000C43F7">
      <w:pPr>
        <w:spacing w:before="180" w:after="240"/>
        <w:rPr>
          <w:rFonts w:eastAsia="Aptos" w:cs="Noto Sans Display"/>
          <w:kern w:val="2"/>
          <w:szCs w:val="22"/>
          <w:lang w:eastAsia="en-US"/>
          <w14:ligatures w14:val="standardContextual"/>
        </w:rPr>
      </w:pPr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 xml:space="preserve">The Jiji Press. "Asahi, Nikkei Sue U.S. AI Biz Perplexity over Copyright." Nippon.com, 2025. </w:t>
      </w:r>
      <w:hyperlink r:id="rId25" w:history="1">
        <w:r w:rsidRPr="00340CB0">
          <w:rPr>
            <w:rFonts w:eastAsia="Aptos" w:cs="Noto Sans Display"/>
            <w:color w:val="467886"/>
            <w:kern w:val="2"/>
            <w:szCs w:val="22"/>
            <w:u w:val="single"/>
            <w:lang w:eastAsia="en-US"/>
            <w14:ligatures w14:val="standardContextual"/>
          </w:rPr>
          <w:t>https://www.nippon.com/en/news/yjj2025082600776/asahi-nikkei-sue-u-s-ai-biz-perplexity-over-copyright.html?utm_source</w:t>
        </w:r>
      </w:hyperlink>
      <w:r w:rsidRPr="00340CB0">
        <w:rPr>
          <w:rFonts w:eastAsia="Aptos" w:cs="Noto Sans Display"/>
          <w:kern w:val="2"/>
          <w:szCs w:val="22"/>
          <w:lang w:eastAsia="en-US"/>
          <w14:ligatures w14:val="standardContextual"/>
        </w:rPr>
        <w:t>.</w:t>
      </w:r>
    </w:p>
    <w:p w14:paraId="42185E34" w14:textId="033F4A38" w:rsidR="002928D3" w:rsidRPr="000C43F7" w:rsidRDefault="000C43F7" w:rsidP="00FE776F">
      <w:pPr>
        <w:pStyle w:val="Endofdocument-Annex"/>
        <w:jc w:val="right"/>
        <w:rPr>
          <w:lang w:val="fr-FR"/>
        </w:rPr>
      </w:pPr>
      <w:r w:rsidRPr="00340CB0">
        <w:t>[</w:t>
      </w:r>
      <w:r w:rsidR="00FE776F" w:rsidRPr="00340CB0">
        <w:t>Конец документа</w:t>
      </w:r>
      <w:r w:rsidRPr="00340CB0">
        <w:t>]</w:t>
      </w:r>
    </w:p>
    <w:sectPr w:rsidR="002928D3" w:rsidRPr="000C43F7" w:rsidSect="000C43F7">
      <w:footerReference w:type="default" r:id="rId26"/>
      <w:endnotePr>
        <w:numFmt w:val="decimal"/>
      </w:endnotePr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580C" w14:textId="77777777" w:rsidR="007E7CEC" w:rsidRPr="00340CB0" w:rsidRDefault="007E7CEC">
      <w:r w:rsidRPr="00340CB0">
        <w:separator/>
      </w:r>
    </w:p>
  </w:endnote>
  <w:endnote w:type="continuationSeparator" w:id="0">
    <w:p w14:paraId="1436C053" w14:textId="77777777" w:rsidR="007E7CEC" w:rsidRPr="00340CB0" w:rsidRDefault="007E7CEC" w:rsidP="003B38C1">
      <w:r w:rsidRPr="00340CB0">
        <w:separator/>
      </w:r>
    </w:p>
    <w:p w14:paraId="137CED4C" w14:textId="77777777" w:rsidR="007E7CEC" w:rsidRPr="00340CB0" w:rsidRDefault="007E7CEC" w:rsidP="003B38C1">
      <w:pPr>
        <w:spacing w:after="60"/>
        <w:rPr>
          <w:sz w:val="17"/>
        </w:rPr>
      </w:pPr>
      <w:r w:rsidRPr="00340CB0">
        <w:rPr>
          <w:sz w:val="17"/>
        </w:rPr>
        <w:t>[Endnote continued from previous page]</w:t>
      </w:r>
    </w:p>
  </w:endnote>
  <w:endnote w:type="continuationNotice" w:id="1">
    <w:p w14:paraId="628B7F2E" w14:textId="77777777" w:rsidR="007E7CEC" w:rsidRPr="00340CB0" w:rsidRDefault="007E7CEC" w:rsidP="003B38C1">
      <w:pPr>
        <w:spacing w:before="60"/>
        <w:jc w:val="right"/>
        <w:rPr>
          <w:sz w:val="17"/>
          <w:szCs w:val="17"/>
        </w:rPr>
      </w:pPr>
      <w:r w:rsidRPr="00340CB0">
        <w:rPr>
          <w:sz w:val="17"/>
          <w:szCs w:val="17"/>
        </w:rPr>
        <w:t>[Endnote continued on next page]</w:t>
      </w:r>
    </w:p>
  </w:endnote>
  <w:endnote w:id="2">
    <w:p w14:paraId="1EF2D03D" w14:textId="340F3AED" w:rsidR="000C43F7" w:rsidRPr="00340CB0" w:rsidRDefault="00FE776F" w:rsidP="000C43F7">
      <w:pPr>
        <w:spacing w:after="240"/>
        <w:jc w:val="both"/>
        <w:rPr>
          <w:b/>
          <w:bCs/>
          <w:sz w:val="18"/>
          <w:szCs w:val="18"/>
        </w:rPr>
      </w:pPr>
      <w:r w:rsidRPr="00340CB0">
        <w:rPr>
          <w:b/>
          <w:bCs/>
          <w:sz w:val="18"/>
          <w:szCs w:val="18"/>
        </w:rPr>
        <w:t>Сноски</w:t>
      </w:r>
    </w:p>
    <w:p w14:paraId="642B647D" w14:textId="1CA84448" w:rsidR="000C43F7" w:rsidRPr="00340CB0" w:rsidRDefault="000C43F7" w:rsidP="000C43F7">
      <w:pPr>
        <w:jc w:val="both"/>
        <w:rPr>
          <w:sz w:val="18"/>
          <w:szCs w:val="18"/>
        </w:rPr>
      </w:pPr>
      <w:r w:rsidRPr="00340CB0">
        <w:rPr>
          <w:rStyle w:val="EndnoteReference"/>
          <w:sz w:val="18"/>
          <w:szCs w:val="18"/>
        </w:rPr>
        <w:endnoteRef/>
      </w:r>
      <w:r w:rsidRPr="00340CB0">
        <w:rPr>
          <w:sz w:val="18"/>
          <w:szCs w:val="18"/>
        </w:rPr>
        <w:t xml:space="preserve"> </w:t>
      </w:r>
      <w:r w:rsidR="00B13360" w:rsidRPr="00340CB0">
        <w:rPr>
          <w:sz w:val="18"/>
          <w:szCs w:val="18"/>
        </w:rPr>
        <w:t>В настоящем документе термины «музыка / музыкальные произведения» и «фонограммы» используются как синонимы и означают</w:t>
      </w:r>
      <w:r w:rsidR="00CF5321">
        <w:rPr>
          <w:sz w:val="18"/>
          <w:szCs w:val="18"/>
        </w:rPr>
        <w:t xml:space="preserve"> (в широком смысле)</w:t>
      </w:r>
      <w:r w:rsidR="00B13360" w:rsidRPr="00340CB0">
        <w:rPr>
          <w:sz w:val="18"/>
          <w:szCs w:val="18"/>
        </w:rPr>
        <w:t xml:space="preserve"> звукозаписи и художественные произведения, на основе которых сделаны эти записи. Это соответствует более ранним договорам ВОИС, в которых проводится различие между фонограммами</w:t>
      </w:r>
      <w:r w:rsidRPr="00340CB0">
        <w:rPr>
          <w:sz w:val="18"/>
          <w:szCs w:val="18"/>
        </w:rPr>
        <w:t xml:space="preserve"> (</w:t>
      </w:r>
      <w:r w:rsidR="00B13360" w:rsidRPr="00340CB0">
        <w:rPr>
          <w:sz w:val="18"/>
          <w:szCs w:val="18"/>
        </w:rPr>
        <w:t>запись звуков</w:t>
      </w:r>
      <w:r w:rsidRPr="00340CB0">
        <w:rPr>
          <w:sz w:val="18"/>
          <w:szCs w:val="18"/>
        </w:rPr>
        <w:t xml:space="preserve">) </w:t>
      </w:r>
      <w:r w:rsidR="00B13360" w:rsidRPr="00340CB0">
        <w:rPr>
          <w:sz w:val="18"/>
          <w:szCs w:val="18"/>
        </w:rPr>
        <w:t xml:space="preserve">и художественными произведениями и признается их тесная техническая взаимосвязанность в системе </w:t>
      </w:r>
      <w:r w:rsidR="00912A4A">
        <w:rPr>
          <w:sz w:val="18"/>
          <w:szCs w:val="18"/>
        </w:rPr>
        <w:t>регулирования вопросов</w:t>
      </w:r>
      <w:r w:rsidR="00B13360" w:rsidRPr="00340CB0">
        <w:rPr>
          <w:sz w:val="18"/>
          <w:szCs w:val="18"/>
        </w:rPr>
        <w:t xml:space="preserve"> авторск</w:t>
      </w:r>
      <w:r w:rsidR="00912A4A">
        <w:rPr>
          <w:sz w:val="18"/>
          <w:szCs w:val="18"/>
        </w:rPr>
        <w:t>ого</w:t>
      </w:r>
      <w:r w:rsidR="00B13360" w:rsidRPr="00340CB0">
        <w:rPr>
          <w:sz w:val="18"/>
          <w:szCs w:val="18"/>
        </w:rPr>
        <w:t xml:space="preserve"> прав</w:t>
      </w:r>
      <w:r w:rsidR="00912A4A">
        <w:rPr>
          <w:sz w:val="18"/>
          <w:szCs w:val="18"/>
        </w:rPr>
        <w:t>а</w:t>
      </w:r>
      <w:r w:rsidRPr="00340CB0">
        <w:rPr>
          <w:sz w:val="18"/>
          <w:szCs w:val="18"/>
        </w:rPr>
        <w:t>.</w:t>
      </w:r>
    </w:p>
  </w:endnote>
  <w:endnote w:id="3">
    <w:p w14:paraId="6FBAEF51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Vialma, </w:t>
      </w:r>
      <w:r w:rsidRPr="00340CB0">
        <w:rPr>
          <w:i/>
          <w:iCs/>
          <w:szCs w:val="18"/>
        </w:rPr>
        <w:t>"Revenue Distribution and Transformation in the Music Streaming Value Chain,"</w:t>
      </w:r>
      <w:r w:rsidRPr="00340CB0">
        <w:rPr>
          <w:szCs w:val="18"/>
        </w:rPr>
        <w:t xml:space="preserve"> </w:t>
      </w:r>
      <w:r w:rsidRPr="00340CB0">
        <w:rPr>
          <w:i/>
          <w:iCs/>
          <w:szCs w:val="18"/>
        </w:rPr>
        <w:t>Perspectives for the Diversity of Cultural Expressions</w:t>
      </w:r>
      <w:r w:rsidRPr="00340CB0">
        <w:rPr>
          <w:szCs w:val="18"/>
        </w:rPr>
        <w:t xml:space="preserve"> (Paris, 2022).</w:t>
      </w:r>
    </w:p>
  </w:endnote>
  <w:endnote w:id="4">
    <w:p w14:paraId="717BE372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Rebecca Giblin and Cory Doctorow, </w:t>
      </w:r>
      <w:r w:rsidRPr="00340CB0">
        <w:rPr>
          <w:i/>
          <w:iCs/>
          <w:szCs w:val="18"/>
        </w:rPr>
        <w:t>"Streamers Use Playlists to Control the Music Industry,"</w:t>
      </w:r>
      <w:r w:rsidRPr="00340CB0">
        <w:rPr>
          <w:szCs w:val="18"/>
        </w:rPr>
        <w:t xml:space="preserve"> WIRED, October 2022, </w:t>
      </w:r>
      <w:hyperlink r:id="rId1" w:history="1">
        <w:r w:rsidRPr="00340CB0">
          <w:rPr>
            <w:rStyle w:val="Hyperlink1"/>
            <w:szCs w:val="18"/>
          </w:rPr>
          <w:t>https://www.wired.com/story/spotify-streaming-playlists-music/</w:t>
        </w:r>
      </w:hyperlink>
      <w:r w:rsidRPr="00340CB0">
        <w:rPr>
          <w:szCs w:val="18"/>
        </w:rPr>
        <w:t>.</w:t>
      </w:r>
    </w:p>
  </w:endnote>
  <w:endnote w:id="5">
    <w:p w14:paraId="38D17158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ARIPO, </w:t>
      </w:r>
      <w:r w:rsidRPr="00340CB0">
        <w:rPr>
          <w:i/>
          <w:iCs/>
          <w:szCs w:val="18"/>
        </w:rPr>
        <w:t xml:space="preserve">"The ARIPO Online </w:t>
      </w:r>
      <w:r w:rsidRPr="00340CB0">
        <w:rPr>
          <w:i/>
          <w:iCs/>
          <w:szCs w:val="18"/>
        </w:rPr>
        <w:t>Collective Management Organizations Survey Report"</w:t>
      </w:r>
      <w:r w:rsidRPr="00340CB0">
        <w:rPr>
          <w:szCs w:val="18"/>
        </w:rPr>
        <w:t xml:space="preserve"> (Harare, 2021), 51-52, https://www.aripo.org/storage/copyright-publication/1724743652_</w:t>
      </w:r>
      <w:r w:rsidRPr="00340CB0">
        <w:rPr>
          <w:i/>
          <w:iCs/>
          <w:szCs w:val="18"/>
        </w:rPr>
        <w:t>The ARIPO Online Collective Management Organizations Survey Report.pdf</w:t>
      </w:r>
      <w:r w:rsidRPr="00340CB0">
        <w:rPr>
          <w:szCs w:val="18"/>
        </w:rPr>
        <w:t>.</w:t>
      </w:r>
    </w:p>
  </w:endnote>
  <w:endnote w:id="6">
    <w:p w14:paraId="55F60A38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Republic </w:t>
      </w:r>
      <w:r w:rsidRPr="00340CB0">
        <w:rPr>
          <w:szCs w:val="18"/>
        </w:rPr>
        <w:t xml:space="preserve">of Colombia, "Trade-Related Figures of Intellectual Property at the WTO: The Case of IP Royalties at the Global Level," (2025), </w:t>
      </w:r>
      <w:hyperlink r:id="rId2" w:history="1">
        <w:r w:rsidRPr="00340CB0">
          <w:rPr>
            <w:rStyle w:val="Hyperlink1"/>
            <w:szCs w:val="18"/>
          </w:rPr>
          <w:t>https://docs.wto.org/dol2fe/Pages/SS/directdoc.aspx?filename=Q:/IP/C/W721.pdf&amp;Open=True</w:t>
        </w:r>
      </w:hyperlink>
      <w:r w:rsidRPr="00340CB0">
        <w:rPr>
          <w:szCs w:val="18"/>
        </w:rPr>
        <w:t>.</w:t>
      </w:r>
    </w:p>
  </w:endnote>
  <w:endnote w:id="7">
    <w:p w14:paraId="5AF2EA99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Republic </w:t>
      </w:r>
      <w:r w:rsidRPr="00340CB0">
        <w:rPr>
          <w:szCs w:val="18"/>
        </w:rPr>
        <w:t>of Colombia, 3</w:t>
      </w:r>
    </w:p>
  </w:endnote>
  <w:endnote w:id="8">
    <w:p w14:paraId="341ECAC5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CISAC, "CISAC Global Collection </w:t>
      </w:r>
      <w:r w:rsidRPr="00340CB0">
        <w:rPr>
          <w:szCs w:val="18"/>
        </w:rPr>
        <w:t xml:space="preserve">Reports 2023," 2023, </w:t>
      </w:r>
      <w:hyperlink r:id="rId3" w:history="1">
        <w:r w:rsidRPr="00340CB0">
          <w:rPr>
            <w:rStyle w:val="Hyperlink1"/>
            <w:szCs w:val="18"/>
          </w:rPr>
          <w:t>https://www.cisac.org/sites/main/files/files/2023-11/COM23-0846_CISAC_Global_Collections_Report_2023_for_2022_data_2023-10-26_EN%287%29.pdf</w:t>
        </w:r>
      </w:hyperlink>
      <w:r w:rsidRPr="00340CB0">
        <w:rPr>
          <w:szCs w:val="18"/>
        </w:rPr>
        <w:t>.</w:t>
      </w:r>
    </w:p>
  </w:endnote>
  <w:endnote w:id="9">
    <w:p w14:paraId="1C55C395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Marie-</w:t>
      </w:r>
      <w:r w:rsidRPr="00340CB0">
        <w:rPr>
          <w:szCs w:val="18"/>
        </w:rPr>
        <w:t xml:space="preserve">Louise Gumuchian, "Streaming Subscriptions Boost 2023 Recorded Music Revenues -Report," Reuters.com, 2024, </w:t>
      </w:r>
      <w:hyperlink r:id="rId4" w:history="1">
        <w:r w:rsidRPr="00340CB0">
          <w:rPr>
            <w:rStyle w:val="Hyperlink1"/>
            <w:szCs w:val="18"/>
          </w:rPr>
          <w:t>https://www.reuters.com/business/media-telecom/streaming-subscriptions-boost-2023-recorded-music-revenues-report-2024-03-21/</w:t>
        </w:r>
      </w:hyperlink>
      <w:r w:rsidRPr="00340CB0">
        <w:rPr>
          <w:szCs w:val="18"/>
        </w:rPr>
        <w:t xml:space="preserve">; IFPI, "IFPI Global Music Report: Global Recorded Music Revenues Grew 10.2% In 2023," News, accessed September 15, 2025, </w:t>
      </w:r>
      <w:hyperlink r:id="rId5" w:history="1">
        <w:r w:rsidRPr="00340CB0">
          <w:rPr>
            <w:rStyle w:val="Hyperlink1"/>
            <w:szCs w:val="18"/>
          </w:rPr>
          <w:t>https://www.ifpi.org/ifpi-global-music-report-global-recorded-music-revenues-grew-10- 2-in-2023/</w:t>
        </w:r>
      </w:hyperlink>
      <w:r w:rsidRPr="00340CB0">
        <w:rPr>
          <w:szCs w:val="18"/>
        </w:rPr>
        <w:t xml:space="preserve">; Maria Sherman, "Spotify Paid $9 Billion in Royalties in 2023. Here's What Fueled the Growth," Associated Press, 2024, </w:t>
      </w:r>
      <w:hyperlink r:id="rId6" w:history="1">
        <w:r w:rsidRPr="00340CB0">
          <w:rPr>
            <w:rStyle w:val="Hyperlink1"/>
            <w:szCs w:val="18"/>
          </w:rPr>
          <w:t>https://apnews.com/article/spotify-loud-clear-report-8ddab5a6e03f65233b0f9ed80eb99e0c</w:t>
        </w:r>
      </w:hyperlink>
      <w:r w:rsidRPr="00340CB0">
        <w:rPr>
          <w:szCs w:val="18"/>
        </w:rPr>
        <w:t>.</w:t>
      </w:r>
    </w:p>
  </w:endnote>
  <w:endnote w:id="10">
    <w:p w14:paraId="213CE0B4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Ahmad </w:t>
      </w:r>
      <w:r w:rsidRPr="00340CB0">
        <w:rPr>
          <w:szCs w:val="18"/>
        </w:rPr>
        <w:t xml:space="preserve">Faishal Adnan, "LMKN Pantau Dan Evaluasi Skema SILM Terkait Royalti Lagu Dan Musik," </w:t>
      </w:r>
      <w:r w:rsidRPr="00340CB0">
        <w:rPr>
          <w:i/>
          <w:iCs/>
          <w:szCs w:val="18"/>
        </w:rPr>
        <w:t>Antaranews.Com</w:t>
      </w:r>
      <w:r w:rsidRPr="00340CB0">
        <w:rPr>
          <w:szCs w:val="18"/>
        </w:rPr>
        <w:t xml:space="preserve">, March 2023, </w:t>
      </w:r>
      <w:hyperlink r:id="rId7" w:history="1">
        <w:r w:rsidRPr="00340CB0">
          <w:rPr>
            <w:rStyle w:val="Hyperlink1"/>
            <w:szCs w:val="18"/>
          </w:rPr>
          <w:t>https://www.antaranews.com/berita/3430227/lmkn-pantau-dan-evaluasi-skema-silm-terkait-royalti-lagu-dan-musik</w:t>
        </w:r>
      </w:hyperlink>
      <w:r w:rsidRPr="00340CB0">
        <w:rPr>
          <w:szCs w:val="18"/>
        </w:rPr>
        <w:t>.</w:t>
      </w:r>
    </w:p>
  </w:endnote>
  <w:endnote w:id="11">
    <w:p w14:paraId="37852E5C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Tempo.co, "</w:t>
      </w:r>
      <w:r w:rsidRPr="00340CB0">
        <w:rPr>
          <w:szCs w:val="18"/>
        </w:rPr>
        <w:t xml:space="preserve">Transparansi Pembayaran Royalti, PDLM Milik DJKI Harus Terintegrasi Dengan SILM," </w:t>
      </w:r>
      <w:r w:rsidRPr="00340CB0">
        <w:rPr>
          <w:i/>
          <w:iCs/>
          <w:szCs w:val="18"/>
        </w:rPr>
        <w:t>Tempo.Co</w:t>
      </w:r>
      <w:r w:rsidRPr="00340CB0">
        <w:rPr>
          <w:szCs w:val="18"/>
        </w:rPr>
        <w:t xml:space="preserve">, December 2022, </w:t>
      </w:r>
      <w:hyperlink r:id="rId8" w:history="1">
        <w:r w:rsidRPr="00340CB0">
          <w:rPr>
            <w:rStyle w:val="Hyperlink1"/>
            <w:szCs w:val="18"/>
          </w:rPr>
          <w:t>https://www.tempo.co/info-tempo/transparansi-pembayaran-royalti-pdlm-milik-djki-harus-terintegrasi- dengan-silm--240980</w:t>
        </w:r>
      </w:hyperlink>
      <w:r w:rsidRPr="00340CB0">
        <w:rPr>
          <w:szCs w:val="18"/>
        </w:rPr>
        <w:t>.</w:t>
      </w:r>
    </w:p>
  </w:endnote>
  <w:endnote w:id="12">
    <w:p w14:paraId="0B505884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PRS For Music, "</w:t>
      </w:r>
      <w:r w:rsidRPr="00340CB0">
        <w:rPr>
          <w:i/>
          <w:iCs/>
          <w:szCs w:val="18"/>
        </w:rPr>
        <w:t xml:space="preserve">From </w:t>
      </w:r>
      <w:r w:rsidRPr="00340CB0">
        <w:rPr>
          <w:i/>
          <w:iCs/>
          <w:szCs w:val="18"/>
        </w:rPr>
        <w:t>Repertoire to Royalties: The Role of a Collecting Society,</w:t>
      </w:r>
      <w:r w:rsidRPr="00340CB0">
        <w:rPr>
          <w:szCs w:val="18"/>
        </w:rPr>
        <w:t xml:space="preserve">" 2012, </w:t>
      </w:r>
      <w:hyperlink r:id="rId9" w:history="1">
        <w:r w:rsidRPr="00340CB0">
          <w:rPr>
            <w:rStyle w:val="Hyperlink1"/>
            <w:szCs w:val="18"/>
          </w:rPr>
          <w:t>http://prsformusic.com/-/media/files/prs-for-music/licensing/repertoire_to_royalties-dec_2012</w:t>
        </w:r>
      </w:hyperlink>
      <w:r w:rsidRPr="00340CB0">
        <w:rPr>
          <w:szCs w:val="18"/>
        </w:rPr>
        <w:t>.</w:t>
      </w:r>
    </w:p>
  </w:endnote>
  <w:endnote w:id="13">
    <w:p w14:paraId="2460724F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PRS For Music.</w:t>
      </w:r>
    </w:p>
  </w:endnote>
  <w:endnote w:id="14">
    <w:p w14:paraId="230DF693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Hammam Izzuddin, "LMKN Kaji Tarif Royalti Pemutaran Musik Untuk UMKM," </w:t>
      </w:r>
      <w:r w:rsidRPr="00340CB0">
        <w:rPr>
          <w:i/>
          <w:iCs/>
          <w:szCs w:val="18"/>
        </w:rPr>
        <w:t>Tempo.Co</w:t>
      </w:r>
      <w:r w:rsidRPr="00340CB0">
        <w:rPr>
          <w:szCs w:val="18"/>
        </w:rPr>
        <w:t xml:space="preserve">, August 2025, </w:t>
      </w:r>
      <w:hyperlink r:id="rId10" w:history="1">
        <w:r w:rsidRPr="00340CB0">
          <w:rPr>
            <w:rStyle w:val="Hyperlink1"/>
            <w:szCs w:val="18"/>
          </w:rPr>
          <w:t>https://www.tempo.co/hukum/lmkn-kaji-tarif-royalti-pemutaran-musik-untuk-umkm-2057117</w:t>
        </w:r>
      </w:hyperlink>
      <w:r w:rsidRPr="00340CB0">
        <w:rPr>
          <w:szCs w:val="18"/>
        </w:rPr>
        <w:t>.</w:t>
      </w:r>
    </w:p>
  </w:endnote>
  <w:endnote w:id="15">
    <w:p w14:paraId="69B92FE1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Zhohorianis Asmara, "Tompi Mundur Dari WAMI Dan Gratiskan Lagunya," </w:t>
      </w:r>
      <w:r w:rsidRPr="00340CB0">
        <w:rPr>
          <w:i/>
          <w:iCs/>
          <w:szCs w:val="18"/>
        </w:rPr>
        <w:t>RRI.Co.Id,</w:t>
      </w:r>
      <w:r w:rsidRPr="00340CB0">
        <w:rPr>
          <w:szCs w:val="18"/>
        </w:rPr>
        <w:t xml:space="preserve"> August 2025, </w:t>
      </w:r>
      <w:hyperlink r:id="rId11" w:history="1">
        <w:r w:rsidRPr="00340CB0">
          <w:rPr>
            <w:rStyle w:val="Hyperlink1"/>
            <w:szCs w:val="18"/>
          </w:rPr>
          <w:t>https://rri.co.id/hiburan/1765868/tompi-mundur-dari-wami-dan-gratiskan-lagunya</w:t>
        </w:r>
      </w:hyperlink>
      <w:r w:rsidRPr="00340CB0">
        <w:rPr>
          <w:szCs w:val="18"/>
        </w:rPr>
        <w:t xml:space="preserve">; Raden Putri A Ginanjar, "Ari Lasso Ajukan Petisi Audit WAMI Imbas Kasus Royalti Musik," </w:t>
      </w:r>
      <w:r w:rsidRPr="00340CB0">
        <w:rPr>
          <w:i/>
          <w:iCs/>
          <w:szCs w:val="18"/>
        </w:rPr>
        <w:t>Tempo.Co,</w:t>
      </w:r>
      <w:r w:rsidRPr="00340CB0">
        <w:rPr>
          <w:szCs w:val="18"/>
        </w:rPr>
        <w:t xml:space="preserve"> August 2025, </w:t>
      </w:r>
      <w:hyperlink r:id="rId12" w:history="1">
        <w:r w:rsidRPr="00340CB0">
          <w:rPr>
            <w:rStyle w:val="Hyperlink1"/>
            <w:szCs w:val="18"/>
          </w:rPr>
          <w:t>https://www.tempo.co/teroka/ari- lasso-ajukan-petisi-audit-wami-imbas-kasus-royalti-musik-2058503</w:t>
        </w:r>
      </w:hyperlink>
      <w:r w:rsidRPr="00340CB0">
        <w:rPr>
          <w:szCs w:val="18"/>
        </w:rPr>
        <w:t>.</w:t>
      </w:r>
    </w:p>
  </w:endnote>
  <w:endnote w:id="16">
    <w:p w14:paraId="006EB9B6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CNN </w:t>
      </w:r>
      <w:r w:rsidRPr="00340CB0">
        <w:rPr>
          <w:szCs w:val="18"/>
        </w:rPr>
        <w:t xml:space="preserve">Indonesia, "Kronologi Perseteruan Ahmad Dhani Larang Once Bawa Lagu Dewa 19," Cnnindonesia.Com, April 2023 </w:t>
      </w:r>
      <w:hyperlink r:id="rId13" w:history="1">
        <w:r w:rsidRPr="00340CB0">
          <w:rPr>
            <w:rStyle w:val="Hyperlink1"/>
            <w:szCs w:val="18"/>
          </w:rPr>
          <w:t>https://www.cnnindonesia.com/hiburan/20230401070011-227-932161/kronologi-perseteruan-ahmad-dhani- larang-once-bawa-lagu-dewa-19</w:t>
        </w:r>
      </w:hyperlink>
      <w:r w:rsidRPr="00340CB0">
        <w:rPr>
          <w:szCs w:val="18"/>
        </w:rPr>
        <w:t>.</w:t>
      </w:r>
    </w:p>
  </w:endnote>
  <w:endnote w:id="17">
    <w:p w14:paraId="32D72EF8" w14:textId="07E117FD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="00B13360" w:rsidRPr="00340CB0">
        <w:rPr>
          <w:szCs w:val="18"/>
        </w:rPr>
        <w:t>ВОИС</w:t>
      </w:r>
      <w:r w:rsidRPr="00340CB0">
        <w:rPr>
          <w:szCs w:val="18"/>
        </w:rPr>
        <w:t>,</w:t>
      </w:r>
      <w:r w:rsidR="000A5C21" w:rsidRPr="00340CB0">
        <w:rPr>
          <w:szCs w:val="18"/>
        </w:rPr>
        <w:t xml:space="preserve"> Пособие по передовой практике для организаций коллективного управления</w:t>
      </w:r>
      <w:r w:rsidRPr="00340CB0">
        <w:rPr>
          <w:i/>
          <w:iCs/>
          <w:szCs w:val="18"/>
        </w:rPr>
        <w:t xml:space="preserve"> </w:t>
      </w:r>
      <w:r w:rsidRPr="00340CB0">
        <w:rPr>
          <w:szCs w:val="18"/>
        </w:rPr>
        <w:t>(</w:t>
      </w:r>
      <w:r w:rsidR="000A5C21" w:rsidRPr="00340CB0">
        <w:rPr>
          <w:szCs w:val="18"/>
        </w:rPr>
        <w:t>Пособие</w:t>
      </w:r>
      <w:r w:rsidRPr="00340CB0">
        <w:rPr>
          <w:szCs w:val="18"/>
        </w:rPr>
        <w:t>) (</w:t>
      </w:r>
      <w:r w:rsidR="000A5C21" w:rsidRPr="00340CB0">
        <w:rPr>
          <w:szCs w:val="18"/>
        </w:rPr>
        <w:t>Женева, ВОИС</w:t>
      </w:r>
      <w:r w:rsidRPr="00340CB0">
        <w:rPr>
          <w:szCs w:val="18"/>
        </w:rPr>
        <w:t>, 2025), 7,</w:t>
      </w:r>
      <w:r w:rsidR="000A5C21" w:rsidRPr="00340CB0">
        <w:t xml:space="preserve"> </w:t>
      </w:r>
      <w:hyperlink r:id="rId14" w:history="1">
        <w:r w:rsidR="000A5C21" w:rsidRPr="00340CB0">
          <w:rPr>
            <w:rStyle w:val="Hyperlink"/>
            <w:szCs w:val="18"/>
          </w:rPr>
          <w:t>https://www.wipo.int/edocs/pubdocs/ru/wipo-pub-cr-cmotoolkit-2025-ru-wipo-good-practice-toolkit-for-collective-management-organizations-the-toolkit.pdf</w:t>
        </w:r>
      </w:hyperlink>
      <w:r w:rsidRPr="00340CB0">
        <w:rPr>
          <w:szCs w:val="18"/>
        </w:rPr>
        <w:t>.</w:t>
      </w:r>
    </w:p>
  </w:endnote>
  <w:endnote w:id="18">
    <w:p w14:paraId="0431AE40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Wale Adedeji, </w:t>
      </w:r>
      <w:r w:rsidRPr="00340CB0">
        <w:rPr>
          <w:i/>
          <w:iCs/>
          <w:szCs w:val="18"/>
        </w:rPr>
        <w:t>"Copyright Policy and the Nigerian Music Industry in the Era of Digitalisation," Journal of Legal Anthropology</w:t>
      </w:r>
      <w:r w:rsidRPr="00340CB0">
        <w:rPr>
          <w:szCs w:val="18"/>
        </w:rPr>
        <w:t xml:space="preserve"> 7, no. 2 (December 1, 2023): 13-41, </w:t>
      </w:r>
      <w:hyperlink r:id="rId15" w:history="1">
        <w:r w:rsidRPr="00340CB0">
          <w:rPr>
            <w:rStyle w:val="Hyperlink1"/>
            <w:szCs w:val="18"/>
          </w:rPr>
          <w:t>https://doi.org/10.3167/jla.2023.070202</w:t>
        </w:r>
      </w:hyperlink>
      <w:r w:rsidRPr="00340CB0">
        <w:rPr>
          <w:szCs w:val="18"/>
        </w:rPr>
        <w:t>.</w:t>
      </w:r>
    </w:p>
  </w:endnote>
  <w:endnote w:id="19">
    <w:p w14:paraId="00F6772D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Peter </w:t>
      </w:r>
      <w:r w:rsidRPr="00340CB0">
        <w:rPr>
          <w:szCs w:val="18"/>
        </w:rPr>
        <w:t xml:space="preserve">Drahos, </w:t>
      </w:r>
      <w:r w:rsidRPr="00340CB0">
        <w:rPr>
          <w:i/>
          <w:iCs/>
          <w:szCs w:val="18"/>
        </w:rPr>
        <w:t>"GLOBAL PROPERTY RIGHTS IN INFORMATION: The Story of TRIPS at the GATT," Prometheus</w:t>
      </w:r>
      <w:r w:rsidRPr="00340CB0">
        <w:rPr>
          <w:szCs w:val="18"/>
        </w:rPr>
        <w:t xml:space="preserve"> 13, no. 1 (June 1, 1995), </w:t>
      </w:r>
      <w:hyperlink r:id="rId16" w:history="1">
        <w:r w:rsidRPr="00340CB0">
          <w:rPr>
            <w:rStyle w:val="Hyperlink1"/>
            <w:szCs w:val="18"/>
          </w:rPr>
          <w:t>https://doi.org/10.1080/08109029508629187</w:t>
        </w:r>
      </w:hyperlink>
      <w:r w:rsidRPr="00340CB0">
        <w:rPr>
          <w:szCs w:val="18"/>
        </w:rPr>
        <w:t>.</w:t>
      </w:r>
    </w:p>
  </w:endnote>
  <w:endnote w:id="20">
    <w:p w14:paraId="0A46B1BC" w14:textId="77777777" w:rsidR="000C43F7" w:rsidRPr="00340CB0" w:rsidRDefault="000C43F7" w:rsidP="000C43F7">
      <w:pPr>
        <w:pStyle w:val="EndnoteText"/>
        <w:jc w:val="both"/>
        <w:rPr>
          <w:i/>
          <w:iCs/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Adedeji, </w:t>
      </w:r>
      <w:r w:rsidRPr="00340CB0">
        <w:rPr>
          <w:i/>
          <w:iCs/>
          <w:szCs w:val="18"/>
        </w:rPr>
        <w:t>"Copyright Policy and the Nigerian Music Industry in the Era of Digitalisation."</w:t>
      </w:r>
    </w:p>
  </w:endnote>
  <w:endnote w:id="21">
    <w:p w14:paraId="551D33DB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Shantel Teixeira, "Digitization and Globalization: Where Is the African Music Industry?" (Boston: Music Business Journal - Berklee College of Music, 2023), </w:t>
      </w:r>
      <w:hyperlink r:id="rId17" w:history="1">
        <w:r w:rsidRPr="00340CB0">
          <w:rPr>
            <w:rStyle w:val="Hyperlink1"/>
            <w:szCs w:val="18"/>
          </w:rPr>
          <w:t>https://www.thembj.org/2023/06/digitization-and-globalization-where-is-the- african-music-industry/</w:t>
        </w:r>
      </w:hyperlink>
      <w:r w:rsidRPr="00340CB0">
        <w:rPr>
          <w:szCs w:val="18"/>
        </w:rPr>
        <w:t>.</w:t>
      </w:r>
    </w:p>
  </w:endnote>
  <w:endnote w:id="22">
    <w:p w14:paraId="5C5B28E1" w14:textId="379E79E3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="00FE776F" w:rsidRPr="00340CB0">
        <w:rPr>
          <w:szCs w:val="18"/>
        </w:rPr>
        <w:t>См.</w:t>
      </w:r>
      <w:r w:rsidRPr="00340CB0">
        <w:rPr>
          <w:szCs w:val="18"/>
        </w:rPr>
        <w:t xml:space="preserve"> </w:t>
      </w:r>
      <w:r w:rsidRPr="00340CB0">
        <w:rPr>
          <w:szCs w:val="18"/>
        </w:rPr>
        <w:t>Teixeira.</w:t>
      </w:r>
    </w:p>
  </w:endnote>
  <w:endnote w:id="23">
    <w:p w14:paraId="303C3527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>Dinusha Mendis, "</w:t>
      </w:r>
      <w:r w:rsidRPr="00340CB0">
        <w:rPr>
          <w:i/>
          <w:iCs/>
          <w:szCs w:val="18"/>
        </w:rPr>
        <w:t>An Analysis of Directive 2014 / 26 / EU on Collective Management of Copyright and Related Rights and Multi-Territorial Licensing of Rights in Musical Works for Online Use in the Internal Market," in Eu Regulation of E-Commerce: A Commentary,</w:t>
      </w:r>
      <w:r w:rsidRPr="00340CB0">
        <w:rPr>
          <w:szCs w:val="18"/>
        </w:rPr>
        <w:t xml:space="preserve"> ed. Arno R. Lodder and Andrew D. Murray (Cheltenham: Edward Elgar Publishing, 2017), 306-7, </w:t>
      </w:r>
      <w:hyperlink r:id="rId18" w:history="1">
        <w:r w:rsidRPr="00340CB0">
          <w:rPr>
            <w:rStyle w:val="Hyperlink1"/>
            <w:szCs w:val="18"/>
          </w:rPr>
          <w:t>https://doi.org/10.4337/9781785369346.00018</w:t>
        </w:r>
      </w:hyperlink>
      <w:r w:rsidRPr="00340CB0">
        <w:rPr>
          <w:szCs w:val="18"/>
        </w:rPr>
        <w:t>.</w:t>
      </w:r>
    </w:p>
  </w:endnote>
  <w:endnote w:id="24">
    <w:p w14:paraId="10CFE4D9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i/>
          <w:iCs/>
          <w:szCs w:val="18"/>
        </w:rPr>
        <w:t>Keitseng Nkah Monyatsi, "Survey on the Status of Collective Management Organizations in ARIPO Member States,"</w:t>
      </w:r>
      <w:r w:rsidRPr="00340CB0">
        <w:rPr>
          <w:szCs w:val="18"/>
        </w:rPr>
        <w:t xml:space="preserve"> 2014.</w:t>
      </w:r>
    </w:p>
  </w:endnote>
  <w:endnote w:id="25">
    <w:p w14:paraId="128B1DD8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Joseph Wangui,  </w:t>
      </w:r>
      <w:r w:rsidRPr="00340CB0">
        <w:rPr>
          <w:i/>
          <w:iCs/>
          <w:szCs w:val="18"/>
        </w:rPr>
        <w:t>"Copyright Board Deregisters 3 Royalty Collection Groups," Daily Nation</w:t>
      </w:r>
      <w:r w:rsidRPr="00340CB0">
        <w:rPr>
          <w:szCs w:val="18"/>
        </w:rPr>
        <w:t xml:space="preserve">, 2021, </w:t>
      </w:r>
      <w:hyperlink r:id="rId19" w:history="1">
        <w:r w:rsidRPr="00340CB0">
          <w:rPr>
            <w:rStyle w:val="Hyperlink1"/>
            <w:szCs w:val="18"/>
          </w:rPr>
          <w:t>https://nation.africa/kenya/business/kecobo-deregisters-3-royalty-collection-groups-3523056?utm_source.com</w:t>
        </w:r>
      </w:hyperlink>
      <w:r w:rsidRPr="00340CB0">
        <w:rPr>
          <w:szCs w:val="18"/>
        </w:rPr>
        <w:t>.</w:t>
      </w:r>
    </w:p>
  </w:endnote>
  <w:endnote w:id="26">
    <w:p w14:paraId="7E04A61B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ARIPO, </w:t>
      </w:r>
      <w:r w:rsidRPr="00340CB0">
        <w:rPr>
          <w:i/>
          <w:iCs/>
          <w:szCs w:val="18"/>
        </w:rPr>
        <w:t xml:space="preserve">"The ARIPO Online </w:t>
      </w:r>
      <w:r w:rsidRPr="00340CB0">
        <w:rPr>
          <w:i/>
          <w:iCs/>
          <w:szCs w:val="18"/>
        </w:rPr>
        <w:t>Collective Management Organizations Survey Report."</w:t>
      </w:r>
    </w:p>
  </w:endnote>
  <w:endnote w:id="27">
    <w:p w14:paraId="13655452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>Agnese Krivade, "</w:t>
      </w:r>
      <w:r w:rsidRPr="00340CB0">
        <w:rPr>
          <w:i/>
          <w:iCs/>
          <w:szCs w:val="18"/>
        </w:rPr>
        <w:t>Music Streaming Sector: EU Must Ensure Just Pay for Artists and Fair Algorithms,</w:t>
      </w:r>
      <w:r w:rsidRPr="00340CB0">
        <w:rPr>
          <w:szCs w:val="18"/>
        </w:rPr>
        <w:t xml:space="preserve">" European Parliament, 2024, </w:t>
      </w:r>
      <w:hyperlink r:id="rId20" w:history="1">
        <w:r w:rsidRPr="00340CB0">
          <w:rPr>
            <w:rStyle w:val="Hyperlink1"/>
            <w:szCs w:val="18"/>
          </w:rPr>
          <w:t>https://www.europarl.europa.eu/news/en/press-room/20240112IPR16773/music-streaming-sector-eu-must-ensure-just-pay-for-artists-and-fair-algorithms</w:t>
        </w:r>
      </w:hyperlink>
      <w:r w:rsidRPr="00340CB0">
        <w:rPr>
          <w:szCs w:val="18"/>
        </w:rPr>
        <w:t>.</w:t>
      </w:r>
    </w:p>
  </w:endnote>
  <w:endnote w:id="28">
    <w:p w14:paraId="316080AB" w14:textId="77777777" w:rsidR="000C43F7" w:rsidRPr="00340CB0" w:rsidRDefault="000C43F7" w:rsidP="000C43F7">
      <w:pPr>
        <w:jc w:val="both"/>
        <w:rPr>
          <w:sz w:val="18"/>
          <w:szCs w:val="18"/>
        </w:rPr>
      </w:pPr>
      <w:r w:rsidRPr="00340CB0">
        <w:rPr>
          <w:rStyle w:val="EndnoteReference"/>
          <w:sz w:val="18"/>
          <w:szCs w:val="18"/>
        </w:rPr>
        <w:endnoteRef/>
      </w:r>
      <w:r w:rsidRPr="00340CB0">
        <w:rPr>
          <w:sz w:val="18"/>
          <w:szCs w:val="18"/>
        </w:rPr>
        <w:t xml:space="preserve"> ARIPO, </w:t>
      </w:r>
      <w:r w:rsidRPr="00340CB0">
        <w:rPr>
          <w:i/>
          <w:iCs/>
          <w:sz w:val="18"/>
          <w:szCs w:val="18"/>
        </w:rPr>
        <w:t xml:space="preserve">"The ARIPO Online </w:t>
      </w:r>
      <w:r w:rsidRPr="00340CB0">
        <w:rPr>
          <w:i/>
          <w:iCs/>
          <w:sz w:val="18"/>
          <w:szCs w:val="18"/>
        </w:rPr>
        <w:t>Collective Management Organizations Survey Report."</w:t>
      </w:r>
    </w:p>
  </w:endnote>
  <w:endnote w:id="29">
    <w:p w14:paraId="5E34E068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Martin </w:t>
      </w:r>
      <w:r w:rsidRPr="00340CB0">
        <w:rPr>
          <w:szCs w:val="18"/>
        </w:rPr>
        <w:t xml:space="preserve">Kretschmer, </w:t>
      </w:r>
      <w:r w:rsidRPr="00340CB0">
        <w:rPr>
          <w:i/>
          <w:iCs/>
          <w:szCs w:val="18"/>
        </w:rPr>
        <w:t>"Copyright and Contract Law: Regulating User Contracts: The State of the Art and a Research Agenda," Journal of Intellectual Property Law 18</w:t>
      </w:r>
      <w:r w:rsidRPr="00340CB0">
        <w:rPr>
          <w:szCs w:val="18"/>
        </w:rPr>
        <w:t xml:space="preserve">, no. 1 (2010): 144, </w:t>
      </w:r>
      <w:hyperlink r:id="rId21" w:history="1">
        <w:r w:rsidRPr="00340CB0">
          <w:rPr>
            <w:rStyle w:val="Hyperlink1"/>
            <w:szCs w:val="18"/>
          </w:rPr>
          <w:t>https://digitalcommons.law.uga.edu/jipl/vol18/iss1/5/</w:t>
        </w:r>
      </w:hyperlink>
      <w:r w:rsidRPr="00340CB0">
        <w:rPr>
          <w:szCs w:val="18"/>
        </w:rPr>
        <w:t>.</w:t>
      </w:r>
    </w:p>
  </w:endnote>
  <w:endnote w:id="30">
    <w:p w14:paraId="2D91F024" w14:textId="5B74952F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="00A504D6" w:rsidRPr="00340CB0">
        <w:rPr>
          <w:szCs w:val="18"/>
        </w:rPr>
        <w:t>Заявление участников фокус-групп</w:t>
      </w:r>
      <w:r w:rsidR="00E520C0" w:rsidRPr="00340CB0">
        <w:rPr>
          <w:szCs w:val="18"/>
        </w:rPr>
        <w:t>ы</w:t>
      </w:r>
      <w:r w:rsidR="00A504D6" w:rsidRPr="00340CB0">
        <w:rPr>
          <w:szCs w:val="18"/>
        </w:rPr>
        <w:t>, организованн</w:t>
      </w:r>
      <w:r w:rsidR="00E520C0" w:rsidRPr="00340CB0">
        <w:rPr>
          <w:szCs w:val="18"/>
        </w:rPr>
        <w:t>ой</w:t>
      </w:r>
      <w:r w:rsidR="00A504D6" w:rsidRPr="00340CB0">
        <w:rPr>
          <w:szCs w:val="18"/>
        </w:rPr>
        <w:t xml:space="preserve"> BSK </w:t>
      </w:r>
      <w:r w:rsidR="00A504D6" w:rsidRPr="00340CB0">
        <w:rPr>
          <w:szCs w:val="18"/>
        </w:rPr>
        <w:t>Hukum в порядке сбора информации для первоначального исследования в связи с подготовкой Предложения Индонезии,</w:t>
      </w:r>
      <w:r w:rsidRPr="00340CB0">
        <w:rPr>
          <w:szCs w:val="18"/>
        </w:rPr>
        <w:t xml:space="preserve"> 8 </w:t>
      </w:r>
      <w:r w:rsidR="00A504D6" w:rsidRPr="00340CB0">
        <w:rPr>
          <w:szCs w:val="18"/>
        </w:rPr>
        <w:t>сентября</w:t>
      </w:r>
      <w:r w:rsidRPr="00340CB0">
        <w:rPr>
          <w:szCs w:val="18"/>
        </w:rPr>
        <w:t xml:space="preserve"> 2025</w:t>
      </w:r>
      <w:r w:rsidR="00A504D6" w:rsidRPr="00340CB0">
        <w:rPr>
          <w:szCs w:val="18"/>
        </w:rPr>
        <w:t xml:space="preserve"> года</w:t>
      </w:r>
      <w:r w:rsidRPr="00340CB0">
        <w:rPr>
          <w:szCs w:val="18"/>
        </w:rPr>
        <w:t>.</w:t>
      </w:r>
    </w:p>
  </w:endnote>
  <w:endnote w:id="31">
    <w:p w14:paraId="52B6604E" w14:textId="52FDCFF6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="00A504D6" w:rsidRPr="00340CB0">
        <w:rPr>
          <w:szCs w:val="18"/>
        </w:rPr>
        <w:t xml:space="preserve">Дополнительная информация о </w:t>
      </w:r>
      <w:r w:rsidR="00BB2899">
        <w:rPr>
          <w:szCs w:val="18"/>
        </w:rPr>
        <w:t>модели</w:t>
      </w:r>
      <w:r w:rsidR="00A504D6" w:rsidRPr="00340CB0">
        <w:rPr>
          <w:szCs w:val="18"/>
        </w:rPr>
        <w:t xml:space="preserve"> пропорционального распределения и ее сравнении с </w:t>
      </w:r>
      <w:r w:rsidR="00A504D6" w:rsidRPr="00340CB0">
        <w:rPr>
          <w:szCs w:val="18"/>
        </w:rPr>
        <w:t xml:space="preserve">пользователецентричной системой выплат приводится в </w:t>
      </w:r>
      <w:r w:rsidR="00A504D6" w:rsidRPr="00340CB0">
        <w:rPr>
          <w:b/>
          <w:bCs/>
          <w:szCs w:val="18"/>
        </w:rPr>
        <w:t xml:space="preserve">приложении </w:t>
      </w:r>
      <w:r w:rsidRPr="00340CB0">
        <w:rPr>
          <w:b/>
          <w:bCs/>
          <w:szCs w:val="18"/>
        </w:rPr>
        <w:t>II</w:t>
      </w:r>
      <w:r w:rsidRPr="00340CB0">
        <w:rPr>
          <w:szCs w:val="18"/>
        </w:rPr>
        <w:t xml:space="preserve"> </w:t>
      </w:r>
      <w:r w:rsidR="00A504D6" w:rsidRPr="00340CB0">
        <w:rPr>
          <w:szCs w:val="18"/>
        </w:rPr>
        <w:t>к настоящему документу</w:t>
      </w:r>
      <w:r w:rsidRPr="00340CB0">
        <w:rPr>
          <w:szCs w:val="18"/>
        </w:rPr>
        <w:t>.</w:t>
      </w:r>
    </w:p>
  </w:endnote>
  <w:endnote w:id="32">
    <w:p w14:paraId="39997843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Zoe Stern, </w:t>
      </w:r>
      <w:r w:rsidRPr="00340CB0">
        <w:rPr>
          <w:i/>
          <w:iCs/>
          <w:szCs w:val="18"/>
        </w:rPr>
        <w:t>"The Inequalities of Digital Music Streaming," The Regulatory Review</w:t>
      </w:r>
      <w:r w:rsidRPr="00340CB0">
        <w:rPr>
          <w:szCs w:val="18"/>
        </w:rPr>
        <w:t xml:space="preserve">, 2024, </w:t>
      </w:r>
      <w:hyperlink r:id="rId22" w:history="1">
        <w:r w:rsidRPr="00340CB0">
          <w:rPr>
            <w:rStyle w:val="Hyperlink1"/>
            <w:szCs w:val="18"/>
          </w:rPr>
          <w:t>https://www.theregreview.org/2024/05/30/stern-the-inequalities-of-digital-music-streaming/</w:t>
        </w:r>
      </w:hyperlink>
      <w:r w:rsidRPr="00340CB0">
        <w:rPr>
          <w:szCs w:val="18"/>
        </w:rPr>
        <w:t xml:space="preserve">; Jari Muikku, </w:t>
      </w:r>
      <w:r w:rsidRPr="00340CB0">
        <w:rPr>
          <w:i/>
          <w:iCs/>
          <w:szCs w:val="18"/>
        </w:rPr>
        <w:t>"Pro Rata and User Centric Distribution Models: A Comparative Study," Digital Media Finland</w:t>
      </w:r>
      <w:r w:rsidRPr="00340CB0">
        <w:rPr>
          <w:szCs w:val="18"/>
        </w:rPr>
        <w:t xml:space="preserve"> (Helsinki, 2017), </w:t>
      </w:r>
      <w:hyperlink r:id="rId23" w:history="1">
        <w:r w:rsidRPr="00340CB0">
          <w:rPr>
            <w:rStyle w:val="Hyperlink1"/>
            <w:szCs w:val="18"/>
          </w:rPr>
          <w:t>http://www.ifpi.org/downloads/GMR2017.pdf</w:t>
        </w:r>
      </w:hyperlink>
      <w:r w:rsidRPr="00340CB0">
        <w:rPr>
          <w:szCs w:val="18"/>
        </w:rPr>
        <w:t xml:space="preserve">; DCMS Select Committee, </w:t>
      </w:r>
      <w:r w:rsidRPr="00340CB0">
        <w:rPr>
          <w:i/>
          <w:iCs/>
          <w:szCs w:val="18"/>
        </w:rPr>
        <w:t>"Economics of Music Streaming," Digital, Culture, Media, and Sport Committee</w:t>
      </w:r>
      <w:r w:rsidRPr="00340CB0">
        <w:rPr>
          <w:szCs w:val="18"/>
        </w:rPr>
        <w:t xml:space="preserve"> (London, 2021), </w:t>
      </w:r>
      <w:hyperlink r:id="rId24" w:history="1">
        <w:r w:rsidRPr="00340CB0">
          <w:rPr>
            <w:rStyle w:val="Hyperlink1"/>
            <w:szCs w:val="18"/>
          </w:rPr>
          <w:t>https://committees.parliament.uk/work/646/economics-of-music- streaming/publications/</w:t>
        </w:r>
      </w:hyperlink>
      <w:r w:rsidRPr="00340CB0">
        <w:rPr>
          <w:szCs w:val="18"/>
        </w:rPr>
        <w:t>.</w:t>
      </w:r>
    </w:p>
  </w:endnote>
  <w:endnote w:id="33">
    <w:p w14:paraId="4FA779B5" w14:textId="7693DEA0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="003A4C7C" w:rsidRPr="00340CB0">
        <w:rPr>
          <w:szCs w:val="18"/>
        </w:rPr>
        <w:t xml:space="preserve">Глобальный репертуарный фонд </w:t>
      </w:r>
      <w:r w:rsidRPr="00340CB0">
        <w:rPr>
          <w:szCs w:val="18"/>
        </w:rPr>
        <w:t>CISAC</w:t>
      </w:r>
      <w:r w:rsidR="003A4C7C" w:rsidRPr="00340CB0">
        <w:rPr>
          <w:szCs w:val="18"/>
        </w:rPr>
        <w:t xml:space="preserve"> выполняет функции централизованной базы данных для управления данными об авторских правах от имени членов CISAC</w:t>
      </w:r>
      <w:r w:rsidRPr="00340CB0">
        <w:rPr>
          <w:szCs w:val="18"/>
        </w:rPr>
        <w:t>.</w:t>
      </w:r>
    </w:p>
  </w:endnote>
  <w:endnote w:id="34">
    <w:p w14:paraId="66F4E6A6" w14:textId="68E168E0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="00CE2093" w:rsidRPr="00340CB0">
        <w:rPr>
          <w:szCs w:val="18"/>
        </w:rPr>
        <w:t>Исследование аффилированного участника Союза авторов музыки АТР</w:t>
      </w:r>
      <w:r w:rsidRPr="00340CB0">
        <w:rPr>
          <w:szCs w:val="18"/>
        </w:rPr>
        <w:t>,</w:t>
      </w:r>
      <w:r w:rsidR="00CE2093" w:rsidRPr="00340CB0">
        <w:rPr>
          <w:szCs w:val="18"/>
        </w:rPr>
        <w:t xml:space="preserve"> представленное в фокус-группе по Предложению Индонезии </w:t>
      </w:r>
      <w:r w:rsidRPr="00340CB0">
        <w:rPr>
          <w:szCs w:val="18"/>
        </w:rPr>
        <w:t xml:space="preserve">28 </w:t>
      </w:r>
      <w:r w:rsidR="00CE2093" w:rsidRPr="00340CB0">
        <w:rPr>
          <w:szCs w:val="18"/>
        </w:rPr>
        <w:t>августа</w:t>
      </w:r>
      <w:r w:rsidRPr="00340CB0">
        <w:rPr>
          <w:szCs w:val="18"/>
        </w:rPr>
        <w:t xml:space="preserve"> 2025</w:t>
      </w:r>
      <w:r w:rsidR="00CE2093" w:rsidRPr="00340CB0">
        <w:rPr>
          <w:szCs w:val="18"/>
        </w:rPr>
        <w:t xml:space="preserve"> года в BPSDM </w:t>
      </w:r>
      <w:r w:rsidR="00CE2093" w:rsidRPr="00340CB0">
        <w:rPr>
          <w:szCs w:val="18"/>
        </w:rPr>
        <w:t>Hukum.</w:t>
      </w:r>
    </w:p>
  </w:endnote>
  <w:endnote w:id="35">
    <w:p w14:paraId="5C415C99" w14:textId="77004345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="00CE2093" w:rsidRPr="00340CB0">
        <w:rPr>
          <w:szCs w:val="18"/>
        </w:rPr>
        <w:t xml:space="preserve">Исследование аффилированного участника Союза авторов музыки АТР, представленное в фокус-группе по Предложению Индонезии 28 августа 2025 года в BPSDM </w:t>
      </w:r>
      <w:r w:rsidR="00CE2093" w:rsidRPr="00340CB0">
        <w:rPr>
          <w:szCs w:val="18"/>
        </w:rPr>
        <w:t>Hukum</w:t>
      </w:r>
      <w:r w:rsidRPr="00340CB0">
        <w:rPr>
          <w:szCs w:val="18"/>
        </w:rPr>
        <w:t>.</w:t>
      </w:r>
    </w:p>
  </w:endnote>
  <w:endnote w:id="36">
    <w:p w14:paraId="528A41CE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>Panos A. Panay, Alex Pentland, and Thomas Hardjono, "</w:t>
      </w:r>
      <w:r w:rsidRPr="00340CB0">
        <w:rPr>
          <w:i/>
          <w:iCs/>
          <w:szCs w:val="18"/>
        </w:rPr>
        <w:t>Why Success of the Music Modernization Act Depends on Open Standards," Open Music Initiative White Paper</w:t>
      </w:r>
      <w:r w:rsidRPr="00340CB0">
        <w:rPr>
          <w:szCs w:val="18"/>
        </w:rPr>
        <w:t xml:space="preserve"> (Cambridge, MA, 2018), </w:t>
      </w:r>
      <w:hyperlink r:id="rId25" w:history="1">
        <w:r w:rsidRPr="00340CB0">
          <w:rPr>
            <w:rStyle w:val="Hyperlink1"/>
            <w:szCs w:val="18"/>
          </w:rPr>
          <w:t>https://www.billboard.com/articles/business/8482056/mma-op-ed-open-music-initiative-open-standards</w:t>
        </w:r>
      </w:hyperlink>
      <w:r w:rsidRPr="00340CB0">
        <w:rPr>
          <w:szCs w:val="18"/>
        </w:rPr>
        <w:t>.</w:t>
      </w:r>
    </w:p>
  </w:endnote>
  <w:endnote w:id="37">
    <w:p w14:paraId="1D0B6F14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Panay, Pentland, and Hardjono; European Commission, </w:t>
      </w:r>
      <w:r w:rsidRPr="00340CB0">
        <w:rPr>
          <w:i/>
          <w:iCs/>
          <w:szCs w:val="18"/>
        </w:rPr>
        <w:t>"Report on the Application of Directive 2014/26/EU on Collective Management of Copyright and Related Rights and Multi-Territorial Licensing of Rights in Musical Works for Online Use in the Internal Market"</w:t>
      </w:r>
      <w:r w:rsidRPr="00340CB0">
        <w:rPr>
          <w:szCs w:val="18"/>
        </w:rPr>
        <w:t xml:space="preserve"> (Brussels, 2021), </w:t>
      </w:r>
      <w:hyperlink r:id="rId26" w:history="1">
        <w:r w:rsidRPr="00340CB0">
          <w:rPr>
            <w:rStyle w:val="Hyperlink1"/>
            <w:szCs w:val="18"/>
          </w:rPr>
          <w:t>https://ec.europa.eu/newsroom/dae/redirection/document/81237</w:t>
        </w:r>
      </w:hyperlink>
      <w:r w:rsidRPr="00340CB0">
        <w:rPr>
          <w:szCs w:val="18"/>
        </w:rPr>
        <w:t>.</w:t>
      </w:r>
    </w:p>
  </w:endnote>
  <w:endnote w:id="38">
    <w:p w14:paraId="5AB113AD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Mark </w:t>
      </w:r>
      <w:r w:rsidRPr="00340CB0">
        <w:rPr>
          <w:szCs w:val="18"/>
        </w:rPr>
        <w:t xml:space="preserve">Isherwood, "Global Repertoire Database World International Property Organisation: Copyright Documentation and Infrastructure," 2011, </w:t>
      </w:r>
      <w:hyperlink r:id="rId27" w:history="1">
        <w:r w:rsidRPr="00340CB0">
          <w:rPr>
            <w:rStyle w:val="Hyperlink1"/>
            <w:szCs w:val="18"/>
          </w:rPr>
          <w:t>https://www.wipo.int/meetings/en/2011/wipo_cr_doc_ge_11/pdf/isherwood_grd.pdf</w:t>
        </w:r>
      </w:hyperlink>
      <w:r w:rsidRPr="00340CB0">
        <w:rPr>
          <w:szCs w:val="18"/>
        </w:rPr>
        <w:t>.</w:t>
      </w:r>
    </w:p>
  </w:endnote>
  <w:endnote w:id="39">
    <w:p w14:paraId="564CC3A4" w14:textId="67562B06" w:rsidR="000C43F7" w:rsidRPr="00340CB0" w:rsidRDefault="000C43F7" w:rsidP="000C43F7">
      <w:pPr>
        <w:jc w:val="both"/>
        <w:rPr>
          <w:sz w:val="18"/>
          <w:szCs w:val="18"/>
        </w:rPr>
      </w:pPr>
      <w:r w:rsidRPr="00340CB0">
        <w:rPr>
          <w:rStyle w:val="EndnoteReference"/>
          <w:sz w:val="18"/>
          <w:szCs w:val="18"/>
        </w:rPr>
        <w:endnoteRef/>
      </w:r>
      <w:r w:rsidRPr="00340CB0">
        <w:rPr>
          <w:sz w:val="18"/>
          <w:szCs w:val="18"/>
        </w:rPr>
        <w:t xml:space="preserve"> </w:t>
      </w:r>
      <w:r w:rsidR="0084589B" w:rsidRPr="00340CB0">
        <w:rPr>
          <w:sz w:val="18"/>
          <w:szCs w:val="18"/>
        </w:rPr>
        <w:t>Информационная система, позволяющая управлять данными и документацией об авторских правах и распределении роялти</w:t>
      </w:r>
      <w:r w:rsidRPr="00340CB0">
        <w:rPr>
          <w:sz w:val="18"/>
          <w:szCs w:val="18"/>
        </w:rPr>
        <w:t>.</w:t>
      </w:r>
      <w:r w:rsidR="0084589B" w:rsidRPr="00340CB0">
        <w:rPr>
          <w:sz w:val="18"/>
          <w:szCs w:val="18"/>
        </w:rPr>
        <w:t xml:space="preserve"> См.</w:t>
      </w:r>
      <w:r w:rsidRPr="00340CB0">
        <w:rPr>
          <w:sz w:val="18"/>
          <w:szCs w:val="18"/>
        </w:rPr>
        <w:t xml:space="preserve"> </w:t>
      </w:r>
      <w:r w:rsidR="00E520C0" w:rsidRPr="00340CB0">
        <w:rPr>
          <w:sz w:val="18"/>
          <w:szCs w:val="18"/>
        </w:rPr>
        <w:t xml:space="preserve">Группа ООН по оценке, </w:t>
      </w:r>
      <w:r w:rsidRPr="00340CB0">
        <w:rPr>
          <w:sz w:val="18"/>
          <w:szCs w:val="18"/>
        </w:rPr>
        <w:t xml:space="preserve">Pre-Evaluation Review of WIPO Connect (New York, 2024), </w:t>
      </w:r>
      <w:hyperlink r:id="rId28" w:history="1">
        <w:r w:rsidRPr="00340CB0">
          <w:rPr>
            <w:rStyle w:val="Hyperlink1"/>
            <w:sz w:val="18"/>
            <w:szCs w:val="18"/>
          </w:rPr>
          <w:t>https://www.unevaluation.org/sites/default/files/member_publications/evaluation-report-wipo- connect_1730473099.pdf</w:t>
        </w:r>
      </w:hyperlink>
      <w:r w:rsidRPr="00340CB0">
        <w:rPr>
          <w:sz w:val="18"/>
          <w:szCs w:val="18"/>
        </w:rPr>
        <w:t>.</w:t>
      </w:r>
    </w:p>
  </w:endnote>
  <w:endnote w:id="40">
    <w:p w14:paraId="59FA44B7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CISAC, "WIPO </w:t>
      </w:r>
      <w:r w:rsidRPr="00340CB0">
        <w:rPr>
          <w:szCs w:val="18"/>
        </w:rPr>
        <w:t xml:space="preserve">and CISAC Announce New Repertoire Data Agreement to Support Collective Management Organizations," Newsroom, 2020, </w:t>
      </w:r>
      <w:hyperlink r:id="rId29" w:history="1">
        <w:r w:rsidRPr="00340CB0">
          <w:rPr>
            <w:rStyle w:val="Hyperlink1"/>
            <w:szCs w:val="18"/>
          </w:rPr>
          <w:t>https://www.cisac.org/Newsroom/news-releases/wipo-and-cisac-announce-new-repertoire-data-agreement-support-collective</w:t>
        </w:r>
      </w:hyperlink>
      <w:r w:rsidRPr="00340CB0">
        <w:rPr>
          <w:szCs w:val="18"/>
        </w:rPr>
        <w:t>.</w:t>
      </w:r>
    </w:p>
  </w:endnote>
  <w:endnote w:id="41">
    <w:p w14:paraId="712B0E06" w14:textId="06E0B6F1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="00E520C0" w:rsidRPr="00340CB0">
        <w:rPr>
          <w:szCs w:val="18"/>
        </w:rPr>
        <w:t xml:space="preserve">Заявление участников фокус-группы, организованной BSK </w:t>
      </w:r>
      <w:r w:rsidR="00E520C0" w:rsidRPr="00340CB0">
        <w:rPr>
          <w:szCs w:val="18"/>
        </w:rPr>
        <w:t>Hukum в порядке сбора информации для первоначального исследования в связи с подготовкой Предложения Индонезии, 8 сентября 2025 года</w:t>
      </w:r>
      <w:r w:rsidRPr="00340CB0">
        <w:rPr>
          <w:szCs w:val="18"/>
        </w:rPr>
        <w:t>.</w:t>
      </w:r>
    </w:p>
  </w:endnote>
  <w:endnote w:id="42">
    <w:p w14:paraId="1BC5EB73" w14:textId="5791FC49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="008404D0" w:rsidRPr="00340CB0">
        <w:rPr>
          <w:szCs w:val="18"/>
        </w:rPr>
        <w:t>Проект по созданию</w:t>
      </w:r>
      <w:r w:rsidRPr="00340CB0">
        <w:rPr>
          <w:szCs w:val="18"/>
        </w:rPr>
        <w:t xml:space="preserve"> GRD</w:t>
      </w:r>
      <w:r w:rsidR="008404D0" w:rsidRPr="00340CB0">
        <w:rPr>
          <w:szCs w:val="18"/>
        </w:rPr>
        <w:t>, по-видимому, прекращен</w:t>
      </w:r>
      <w:r w:rsidRPr="00340CB0">
        <w:rPr>
          <w:szCs w:val="18"/>
        </w:rPr>
        <w:t xml:space="preserve">. Paul </w:t>
      </w:r>
      <w:r w:rsidRPr="00340CB0">
        <w:rPr>
          <w:szCs w:val="18"/>
        </w:rPr>
        <w:t xml:space="preserve">Resnikoff, "Global Repertoire Database Declared a Global Failure.," Digital Music News, 2024, </w:t>
      </w:r>
      <w:hyperlink r:id="rId30" w:history="1">
        <w:r w:rsidRPr="00340CB0">
          <w:rPr>
            <w:rStyle w:val="Hyperlink1"/>
            <w:szCs w:val="18"/>
          </w:rPr>
          <w:t>https://www.digitalmusicnews.com/2014/07/10/global-repertoire-database- declared-global-failure/</w:t>
        </w:r>
      </w:hyperlink>
      <w:r w:rsidRPr="00340CB0">
        <w:rPr>
          <w:szCs w:val="18"/>
        </w:rPr>
        <w:t>.</w:t>
      </w:r>
    </w:p>
  </w:endnote>
  <w:endnote w:id="43">
    <w:p w14:paraId="12E66A94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Darci Sprengel, </w:t>
      </w:r>
      <w:r w:rsidRPr="00340CB0">
        <w:rPr>
          <w:i/>
          <w:iCs/>
          <w:szCs w:val="18"/>
        </w:rPr>
        <w:t>"Imperial Lag: Some Spatial-Temporal Politics of Music Streaming's Global Expansion," Communication, Culture &amp; Critique</w:t>
      </w:r>
      <w:r w:rsidRPr="00340CB0">
        <w:rPr>
          <w:szCs w:val="18"/>
        </w:rPr>
        <w:t xml:space="preserve"> 16, no. 4 (December 4, 2023): 243-49, </w:t>
      </w:r>
      <w:hyperlink r:id="rId31" w:history="1">
        <w:r w:rsidRPr="00340CB0">
          <w:rPr>
            <w:rStyle w:val="Hyperlink1"/>
            <w:szCs w:val="18"/>
          </w:rPr>
          <w:t>https://doi.org/10.1093/ccc/tcad024</w:t>
        </w:r>
      </w:hyperlink>
      <w:r w:rsidRPr="00340CB0">
        <w:rPr>
          <w:szCs w:val="18"/>
        </w:rPr>
        <w:t>.</w:t>
      </w:r>
    </w:p>
  </w:endnote>
  <w:endnote w:id="44">
    <w:p w14:paraId="2C937467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Arthur </w:t>
      </w:r>
      <w:r w:rsidRPr="00340CB0">
        <w:rPr>
          <w:szCs w:val="18"/>
        </w:rPr>
        <w:t xml:space="preserve">Bernstein, Naoki Sekine, and Dick Weissman, </w:t>
      </w:r>
      <w:r w:rsidRPr="00340CB0">
        <w:rPr>
          <w:i/>
          <w:iCs/>
          <w:szCs w:val="18"/>
        </w:rPr>
        <w:t>The Global Music Industry: Three Perspectives</w:t>
      </w:r>
      <w:r w:rsidRPr="00340CB0">
        <w:rPr>
          <w:szCs w:val="18"/>
        </w:rPr>
        <w:t>, 1st ed. (New York: Routledge, 2013).</w:t>
      </w:r>
    </w:p>
  </w:endnote>
  <w:endnote w:id="45">
    <w:p w14:paraId="2FE55595" w14:textId="0A8D11A6" w:rsidR="000C43F7" w:rsidRPr="00340CB0" w:rsidRDefault="000C43F7" w:rsidP="006A17B4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="008404D0" w:rsidRPr="00340CB0">
        <w:rPr>
          <w:szCs w:val="18"/>
        </w:rPr>
        <w:t>Эта концепция конкретно упомянута в некоторых правовых документах,</w:t>
      </w:r>
      <w:r w:rsidRPr="00340CB0">
        <w:rPr>
          <w:szCs w:val="18"/>
        </w:rPr>
        <w:t xml:space="preserve"> </w:t>
      </w:r>
      <w:r w:rsidR="008404D0" w:rsidRPr="00340CB0">
        <w:rPr>
          <w:szCs w:val="18"/>
        </w:rPr>
        <w:t>одним из которых является Директива Европейского союза</w:t>
      </w:r>
      <w:r w:rsidRPr="00340CB0">
        <w:rPr>
          <w:szCs w:val="18"/>
        </w:rPr>
        <w:t xml:space="preserve"> (</w:t>
      </w:r>
      <w:r w:rsidR="008404D0" w:rsidRPr="00340CB0">
        <w:rPr>
          <w:szCs w:val="18"/>
        </w:rPr>
        <w:t>ЕС</w:t>
      </w:r>
      <w:r w:rsidRPr="00340CB0">
        <w:rPr>
          <w:szCs w:val="18"/>
        </w:rPr>
        <w:t xml:space="preserve">) </w:t>
      </w:r>
      <w:r w:rsidR="008404D0" w:rsidRPr="00340CB0">
        <w:rPr>
          <w:szCs w:val="18"/>
        </w:rPr>
        <w:t>№</w:t>
      </w:r>
      <w:r w:rsidRPr="00340CB0">
        <w:rPr>
          <w:szCs w:val="18"/>
        </w:rPr>
        <w:t xml:space="preserve"> 2019/790</w:t>
      </w:r>
      <w:r w:rsidR="006A17B4" w:rsidRPr="00340CB0">
        <w:rPr>
          <w:szCs w:val="18"/>
        </w:rPr>
        <w:t xml:space="preserve"> Европейского парламента и Совета Европейского союза «Об авторском праве и смежных правах на едином цифровом рынке» от 17 апреля 2019 года</w:t>
      </w:r>
      <w:r w:rsidRPr="00340CB0">
        <w:rPr>
          <w:szCs w:val="18"/>
        </w:rPr>
        <w:t xml:space="preserve">, </w:t>
      </w:r>
      <w:r w:rsidR="006A17B4" w:rsidRPr="00340CB0">
        <w:rPr>
          <w:szCs w:val="18"/>
        </w:rPr>
        <w:t>статья </w:t>
      </w:r>
      <w:r w:rsidRPr="00340CB0">
        <w:rPr>
          <w:szCs w:val="18"/>
        </w:rPr>
        <w:t xml:space="preserve">15. </w:t>
      </w:r>
      <w:r w:rsidR="00D979AE" w:rsidRPr="00340CB0">
        <w:rPr>
          <w:szCs w:val="18"/>
        </w:rPr>
        <w:t>В Индонезии правовой базой для охраны этого вида прав служит</w:t>
      </w:r>
      <w:r w:rsidRPr="00340CB0">
        <w:rPr>
          <w:szCs w:val="18"/>
        </w:rPr>
        <w:t xml:space="preserve"> </w:t>
      </w:r>
      <w:r w:rsidR="00D979AE" w:rsidRPr="00340CB0">
        <w:rPr>
          <w:szCs w:val="18"/>
        </w:rPr>
        <w:t>Распоряжение Президента № </w:t>
      </w:r>
      <w:r w:rsidRPr="00340CB0">
        <w:rPr>
          <w:szCs w:val="18"/>
        </w:rPr>
        <w:t xml:space="preserve">32 </w:t>
      </w:r>
      <w:r w:rsidR="00D979AE" w:rsidRPr="00340CB0">
        <w:rPr>
          <w:szCs w:val="18"/>
        </w:rPr>
        <w:t>от</w:t>
      </w:r>
      <w:r w:rsidRPr="00340CB0">
        <w:rPr>
          <w:szCs w:val="18"/>
        </w:rPr>
        <w:t xml:space="preserve"> 2024</w:t>
      </w:r>
      <w:r w:rsidR="00D979AE" w:rsidRPr="00340CB0">
        <w:rPr>
          <w:szCs w:val="18"/>
        </w:rPr>
        <w:t> года</w:t>
      </w:r>
      <w:r w:rsidRPr="00340CB0">
        <w:rPr>
          <w:szCs w:val="18"/>
        </w:rPr>
        <w:t>.</w:t>
      </w:r>
    </w:p>
  </w:endnote>
  <w:endnote w:id="46">
    <w:p w14:paraId="0C10F785" w14:textId="77777777" w:rsidR="000C43F7" w:rsidRPr="00340CB0" w:rsidRDefault="000C43F7" w:rsidP="000C43F7">
      <w:pPr>
        <w:pStyle w:val="EndnoteText"/>
        <w:jc w:val="both"/>
        <w:rPr>
          <w:szCs w:val="18"/>
        </w:rPr>
      </w:pPr>
      <w:r w:rsidRPr="00340CB0">
        <w:rPr>
          <w:rStyle w:val="EndnoteReference"/>
          <w:szCs w:val="18"/>
        </w:rPr>
        <w:endnoteRef/>
      </w:r>
      <w:r w:rsidRPr="00340CB0">
        <w:rPr>
          <w:szCs w:val="18"/>
        </w:rPr>
        <w:t xml:space="preserve"> </w:t>
      </w:r>
      <w:r w:rsidRPr="00340CB0">
        <w:rPr>
          <w:szCs w:val="18"/>
        </w:rPr>
        <w:t xml:space="preserve">Mayumi Negishi, "Nikkei and Asahi Shimbun Sue Perplexity AI over Alleged Copyright Violations," The Japan Times, 2025, </w:t>
      </w:r>
      <w:hyperlink r:id="rId32" w:history="1">
        <w:r w:rsidRPr="00340CB0">
          <w:rPr>
            <w:rStyle w:val="Hyperlink1"/>
            <w:szCs w:val="18"/>
          </w:rPr>
          <w:t>https://www.japantimes.co.jp/news/2025/08/26/japan/crime-legal/japan-newspapers-sue-ai-startup/</w:t>
        </w:r>
      </w:hyperlink>
      <w:r w:rsidRPr="00340CB0">
        <w:rPr>
          <w:szCs w:val="18"/>
        </w:rPr>
        <w:t>.</w:t>
      </w:r>
    </w:p>
  </w:endnote>
  <w:endnote w:id="47">
    <w:p w14:paraId="01F45A40" w14:textId="46EBE080" w:rsidR="000C43F7" w:rsidRPr="003A48E1" w:rsidRDefault="000C43F7" w:rsidP="000C43F7">
      <w:pPr>
        <w:jc w:val="both"/>
        <w:rPr>
          <w:sz w:val="18"/>
          <w:szCs w:val="18"/>
        </w:rPr>
      </w:pPr>
      <w:r w:rsidRPr="00340CB0">
        <w:rPr>
          <w:rStyle w:val="EndnoteReference"/>
          <w:sz w:val="18"/>
          <w:szCs w:val="18"/>
        </w:rPr>
        <w:endnoteRef/>
      </w:r>
      <w:r w:rsidRPr="00340CB0">
        <w:rPr>
          <w:sz w:val="18"/>
          <w:szCs w:val="18"/>
        </w:rPr>
        <w:t xml:space="preserve"> </w:t>
      </w:r>
      <w:r w:rsidR="007464B0" w:rsidRPr="00340CB0">
        <w:rPr>
          <w:sz w:val="18"/>
          <w:szCs w:val="18"/>
        </w:rPr>
        <w:t>По официальным сообщениям министерства иностранных дел Индонезии, в настоящее время ВОИС разрабатывает международную конвенцию по вопросам вещания</w:t>
      </w:r>
      <w:r w:rsidRPr="00340CB0">
        <w:rPr>
          <w:sz w:val="18"/>
          <w:szCs w:val="18"/>
        </w:rPr>
        <w:t xml:space="preserve">. </w:t>
      </w:r>
      <w:r w:rsidR="007464B0" w:rsidRPr="00340CB0">
        <w:rPr>
          <w:sz w:val="18"/>
          <w:szCs w:val="18"/>
        </w:rPr>
        <w:t>В этой связи МИД Индонезии рекомендует заниматься технической реализацией этой работы на международных площадках, опираясь на механизмы ВОИС</w:t>
      </w:r>
      <w:r w:rsidRPr="00340CB0">
        <w:rPr>
          <w:sz w:val="18"/>
          <w:szCs w:val="18"/>
        </w:rPr>
        <w:t xml:space="preserve">. </w:t>
      </w:r>
      <w:r w:rsidR="007464B0" w:rsidRPr="00340CB0">
        <w:rPr>
          <w:sz w:val="18"/>
          <w:szCs w:val="18"/>
        </w:rPr>
        <w:t>Мы понимаем, что</w:t>
      </w:r>
      <w:r w:rsidR="003A48E1" w:rsidRPr="00340CB0">
        <w:rPr>
          <w:sz w:val="18"/>
          <w:szCs w:val="18"/>
        </w:rPr>
        <w:t xml:space="preserve"> для</w:t>
      </w:r>
      <w:r w:rsidR="007464B0" w:rsidRPr="00340CB0">
        <w:rPr>
          <w:sz w:val="18"/>
          <w:szCs w:val="18"/>
        </w:rPr>
        <w:t xml:space="preserve"> выработк</w:t>
      </w:r>
      <w:r w:rsidR="003A48E1" w:rsidRPr="00340CB0">
        <w:rPr>
          <w:sz w:val="18"/>
          <w:szCs w:val="18"/>
        </w:rPr>
        <w:t>и</w:t>
      </w:r>
      <w:r w:rsidR="007464B0" w:rsidRPr="00340CB0">
        <w:rPr>
          <w:sz w:val="18"/>
          <w:szCs w:val="18"/>
        </w:rPr>
        <w:t xml:space="preserve"> международного документа</w:t>
      </w:r>
      <w:r w:rsidR="003A48E1" w:rsidRPr="00340CB0">
        <w:rPr>
          <w:sz w:val="18"/>
          <w:szCs w:val="18"/>
        </w:rPr>
        <w:t xml:space="preserve"> чаще всего требуется продолжительное время, поэтому представляется необходимым периодически проводить оценку</w:t>
      </w:r>
      <w:r w:rsidR="002526F7">
        <w:rPr>
          <w:sz w:val="18"/>
          <w:szCs w:val="18"/>
        </w:rPr>
        <w:t xml:space="preserve"> работы</w:t>
      </w:r>
      <w:r w:rsidR="003A48E1" w:rsidRPr="00340CB0">
        <w:rPr>
          <w:sz w:val="18"/>
          <w:szCs w:val="18"/>
        </w:rPr>
        <w:t>, особенно на предмет согласованности перспективного документа с национальной политикой и документами о планировании, включая выделение бюджетных средств и ресурсов</w:t>
      </w:r>
      <w:r w:rsidRPr="00340CB0"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BDF4" w14:textId="77777777" w:rsidR="000C43F7" w:rsidRPr="00340CB0" w:rsidRDefault="000C43F7">
    <w:pPr>
      <w:pStyle w:val="Footer"/>
    </w:pPr>
    <w:r w:rsidRPr="00340CB0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06DF3D" wp14:editId="10AEF1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9660" cy="459740"/>
              <wp:effectExtent l="0" t="0" r="15240" b="0"/>
              <wp:wrapNone/>
              <wp:docPr id="1865935979" name="Text Box 2" descr="WIPO 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6EDD1" w14:textId="77777777" w:rsidR="000C43F7" w:rsidRPr="00340CB0" w:rsidRDefault="000C43F7" w:rsidP="005E720A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</w:rPr>
                          </w:pPr>
                          <w:r w:rsidRPr="00340CB0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</w:rPr>
                            <w:t xml:space="preserve">WIPO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6DF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CONFIDENTIAL " style="position:absolute;margin-left:0;margin-top:0;width:85.8pt;height:36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" filled="f" stroked="f">
              <v:textbox style="mso-fit-shape-to-text:t" inset="0,0,0,15pt">
                <w:txbxContent>
                  <w:p w14:paraId="1636EDD1" w14:textId="77777777" w:rsidR="000C43F7" w:rsidRPr="00340CB0" w:rsidRDefault="000C43F7" w:rsidP="005E720A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</w:rPr>
                    </w:pPr>
                    <w:r w:rsidRPr="00340CB0">
                      <w:rPr>
                        <w:rFonts w:ascii="Calibri" w:eastAsia="Calibri" w:hAnsi="Calibri" w:cs="Calibri"/>
                        <w:color w:val="FF0000"/>
                        <w:sz w:val="20"/>
                      </w:rPr>
                      <w:t xml:space="preserve">WIPO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52EC" w14:textId="77777777" w:rsidR="000C43F7" w:rsidRPr="00340CB0" w:rsidRDefault="000C43F7">
    <w:pPr>
      <w:pStyle w:val="Footer"/>
    </w:pPr>
    <w:r w:rsidRPr="00340CB0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64CA17" wp14:editId="0FA9A50E">
              <wp:simplePos x="914400" y="996270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9660" cy="459740"/>
              <wp:effectExtent l="0" t="0" r="15240" b="0"/>
              <wp:wrapNone/>
              <wp:docPr id="1280990598" name="Text Box 3" descr="WIPO 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013AC" w14:textId="77777777" w:rsidR="000C43F7" w:rsidRPr="00340CB0" w:rsidRDefault="000C43F7" w:rsidP="005E720A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</w:rPr>
                          </w:pPr>
                          <w:r w:rsidRPr="00340CB0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</w:rPr>
                            <w:t xml:space="preserve">WIPO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4CA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CONFIDENTIAL " style="position:absolute;margin-left:0;margin-top:0;width:85.8pt;height:36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" filled="f" stroked="f">
              <v:textbox style="mso-fit-shape-to-text:t" inset="0,0,0,15pt">
                <w:txbxContent>
                  <w:p w14:paraId="57A013AC" w14:textId="77777777" w:rsidR="000C43F7" w:rsidRPr="00340CB0" w:rsidRDefault="000C43F7" w:rsidP="005E720A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</w:rPr>
                    </w:pPr>
                    <w:r w:rsidRPr="00340CB0">
                      <w:rPr>
                        <w:rFonts w:ascii="Calibri" w:eastAsia="Calibri" w:hAnsi="Calibri" w:cs="Calibri"/>
                        <w:color w:val="FF0000"/>
                        <w:sz w:val="20"/>
                      </w:rPr>
                      <w:t xml:space="preserve">WIPO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3509" w14:textId="77777777" w:rsidR="000C43F7" w:rsidRPr="00340CB0" w:rsidRDefault="000C43F7">
    <w:pPr>
      <w:pStyle w:val="Footer"/>
    </w:pPr>
    <w:r w:rsidRPr="00340CB0"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7A2DD59C" wp14:editId="4B68C5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89660" cy="459740"/>
              <wp:effectExtent l="0" t="0" r="15240" b="0"/>
              <wp:wrapNone/>
              <wp:docPr id="1353134783" name="Text Box 1" descr="WIPO CONFIDENT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10A8D" w14:textId="77777777" w:rsidR="000C43F7" w:rsidRPr="00340CB0" w:rsidRDefault="000C43F7" w:rsidP="005E720A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</w:rPr>
                          </w:pPr>
                          <w:r w:rsidRPr="00340CB0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</w:rPr>
                            <w:t xml:space="preserve">WIPO CONFIDENTIAL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2DD5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CONFIDENTIAL " style="position:absolute;margin-left:0;margin-top:0;width:85.8pt;height:36.2pt;z-index:251655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" filled="f" stroked="f">
              <v:textbox style="mso-fit-shape-to-text:t" inset="0,0,0,15pt">
                <w:txbxContent>
                  <w:p w14:paraId="5E910A8D" w14:textId="77777777" w:rsidR="000C43F7" w:rsidRPr="00340CB0" w:rsidRDefault="000C43F7" w:rsidP="005E720A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</w:rPr>
                    </w:pPr>
                    <w:r w:rsidRPr="00340CB0">
                      <w:rPr>
                        <w:rFonts w:ascii="Calibri" w:eastAsia="Calibri" w:hAnsi="Calibri" w:cs="Calibri"/>
                        <w:color w:val="FF0000"/>
                        <w:sz w:val="20"/>
                      </w:rPr>
                      <w:t xml:space="preserve">WIPO CONFIDENTIAL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9D2C" w14:textId="77777777" w:rsidR="000C43F7" w:rsidRPr="00340CB0" w:rsidRDefault="000C43F7" w:rsidP="000C43F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4304" w14:textId="19FC189E" w:rsidR="00EB59F8" w:rsidRPr="00340CB0" w:rsidRDefault="00EB59F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3A2E" w14:textId="77777777" w:rsidR="007E7CEC" w:rsidRPr="00340CB0" w:rsidRDefault="007E7CEC">
      <w:r w:rsidRPr="00340CB0">
        <w:separator/>
      </w:r>
    </w:p>
  </w:footnote>
  <w:footnote w:type="continuationSeparator" w:id="0">
    <w:p w14:paraId="4CA6DBFC" w14:textId="77777777" w:rsidR="007E7CEC" w:rsidRPr="00340CB0" w:rsidRDefault="007E7CEC" w:rsidP="008B60B2">
      <w:r w:rsidRPr="00340CB0">
        <w:separator/>
      </w:r>
    </w:p>
    <w:p w14:paraId="385225CB" w14:textId="77777777" w:rsidR="007E7CEC" w:rsidRPr="00340CB0" w:rsidRDefault="007E7CEC" w:rsidP="008B60B2">
      <w:pPr>
        <w:spacing w:after="60"/>
        <w:rPr>
          <w:sz w:val="17"/>
          <w:szCs w:val="17"/>
        </w:rPr>
      </w:pPr>
      <w:r w:rsidRPr="00340CB0">
        <w:rPr>
          <w:sz w:val="17"/>
          <w:szCs w:val="17"/>
        </w:rPr>
        <w:t>[</w:t>
      </w:r>
      <w:r w:rsidRPr="00340CB0">
        <w:rPr>
          <w:sz w:val="17"/>
          <w:szCs w:val="17"/>
        </w:rPr>
        <w:t>Footnote continued from previous page]</w:t>
      </w:r>
    </w:p>
  </w:footnote>
  <w:footnote w:type="continuationNotice" w:id="1">
    <w:p w14:paraId="5DC71739" w14:textId="77777777" w:rsidR="007E7CEC" w:rsidRPr="00340CB0" w:rsidRDefault="007E7CEC" w:rsidP="008B60B2">
      <w:pPr>
        <w:spacing w:before="60"/>
        <w:jc w:val="right"/>
        <w:rPr>
          <w:sz w:val="17"/>
          <w:szCs w:val="17"/>
        </w:rPr>
      </w:pPr>
      <w:r w:rsidRPr="00340CB0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16EE" w14:textId="0360461A" w:rsidR="00EC4E49" w:rsidRPr="00340CB0" w:rsidRDefault="000C43F7" w:rsidP="00477D6B">
    <w:pPr>
      <w:jc w:val="right"/>
    </w:pPr>
    <w:bookmarkStart w:id="6" w:name="Code2"/>
    <w:bookmarkEnd w:id="6"/>
    <w:r w:rsidRPr="00340CB0">
      <w:t>SCCR/47/6</w:t>
    </w:r>
  </w:p>
  <w:p w14:paraId="5CC16D05" w14:textId="10DAA71E" w:rsidR="00EC4E49" w:rsidRPr="00340CB0" w:rsidRDefault="00E345BF" w:rsidP="00477D6B">
    <w:pPr>
      <w:jc w:val="right"/>
    </w:pPr>
    <w:r w:rsidRPr="00340CB0">
      <w:t>стр.</w:t>
    </w:r>
    <w:r w:rsidR="00EC4E49" w:rsidRPr="00340CB0">
      <w:t xml:space="preserve"> </w:t>
    </w:r>
    <w:r w:rsidR="00EC4E49" w:rsidRPr="00340CB0">
      <w:fldChar w:fldCharType="begin"/>
    </w:r>
    <w:r w:rsidR="00EC4E49" w:rsidRPr="00340CB0">
      <w:instrText xml:space="preserve"> PAGE  \* MERGEFORMAT </w:instrText>
    </w:r>
    <w:r w:rsidR="00EC4E49" w:rsidRPr="00340CB0">
      <w:fldChar w:fldCharType="separate"/>
    </w:r>
    <w:r w:rsidR="00E671A6" w:rsidRPr="00340CB0">
      <w:t>2</w:t>
    </w:r>
    <w:r w:rsidR="00EC4E49" w:rsidRPr="00340CB0">
      <w:fldChar w:fldCharType="end"/>
    </w:r>
  </w:p>
  <w:p w14:paraId="03803A61" w14:textId="77777777" w:rsidR="00EC4E49" w:rsidRPr="00340CB0" w:rsidRDefault="00EC4E49" w:rsidP="00477D6B">
    <w:pPr>
      <w:jc w:val="right"/>
    </w:pPr>
  </w:p>
  <w:p w14:paraId="694C3B61" w14:textId="77777777" w:rsidR="00B50B99" w:rsidRPr="00340CB0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1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7793A83"/>
    <w:multiLevelType w:val="hybridMultilevel"/>
    <w:tmpl w:val="0A2A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25444B58"/>
    <w:multiLevelType w:val="hybridMultilevel"/>
    <w:tmpl w:val="D0084D78"/>
    <w:lvl w:ilvl="0" w:tplc="0C1AAE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E0F80"/>
    <w:multiLevelType w:val="hybridMultilevel"/>
    <w:tmpl w:val="8E2E0242"/>
    <w:lvl w:ilvl="0" w:tplc="FDE846C8">
      <w:numFmt w:val="bullet"/>
      <w:lvlText w:val="•"/>
      <w:lvlJc w:val="left"/>
      <w:pPr>
        <w:ind w:left="4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CE74E72E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2" w:tplc="7F7C2ED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4B16F1BA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4" w:tplc="00E25AFC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5" w:tplc="DB0E5378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6" w:tplc="9670D4A2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7" w:tplc="E83001F2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8" w:tplc="FA10EC98"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E6461"/>
    <w:multiLevelType w:val="hybridMultilevel"/>
    <w:tmpl w:val="03DA1F20"/>
    <w:lvl w:ilvl="0" w:tplc="8914342C">
      <w:numFmt w:val="bullet"/>
      <w:lvlText w:val="•"/>
      <w:lvlJc w:val="left"/>
      <w:pPr>
        <w:ind w:left="4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E56E3508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C8E49122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3" w:tplc="56B25528">
      <w:numFmt w:val="bullet"/>
      <w:lvlText w:val="•"/>
      <w:lvlJc w:val="left"/>
      <w:pPr>
        <w:ind w:left="2318" w:hanging="360"/>
      </w:pPr>
      <w:rPr>
        <w:rFonts w:hint="default"/>
        <w:lang w:val="en-US" w:eastAsia="en-US" w:bidi="ar-SA"/>
      </w:rPr>
    </w:lvl>
    <w:lvl w:ilvl="4" w:tplc="51DA7CFC"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ar-SA"/>
      </w:rPr>
    </w:lvl>
    <w:lvl w:ilvl="5" w:tplc="32F670E6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6" w:tplc="CB96D260">
      <w:numFmt w:val="bullet"/>
      <w:lvlText w:val="•"/>
      <w:lvlJc w:val="left"/>
      <w:pPr>
        <w:ind w:left="4177" w:hanging="360"/>
      </w:pPr>
      <w:rPr>
        <w:rFonts w:hint="default"/>
        <w:lang w:val="en-US" w:eastAsia="en-US" w:bidi="ar-SA"/>
      </w:rPr>
    </w:lvl>
    <w:lvl w:ilvl="7" w:tplc="4F30595A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8" w:tplc="3CA25FBA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28076068">
    <w:abstractNumId w:val="12"/>
  </w:num>
  <w:num w:numId="2" w16cid:durableId="1246458243">
    <w:abstractNumId w:val="18"/>
  </w:num>
  <w:num w:numId="3" w16cid:durableId="273441559">
    <w:abstractNumId w:val="8"/>
  </w:num>
  <w:num w:numId="4" w16cid:durableId="286401011">
    <w:abstractNumId w:val="19"/>
  </w:num>
  <w:num w:numId="5" w16cid:durableId="113525721">
    <w:abstractNumId w:val="10"/>
  </w:num>
  <w:num w:numId="6" w16cid:durableId="1127430456">
    <w:abstractNumId w:val="14"/>
  </w:num>
  <w:num w:numId="7" w16cid:durableId="1626697618">
    <w:abstractNumId w:val="9"/>
  </w:num>
  <w:num w:numId="8" w16cid:durableId="1237787080">
    <w:abstractNumId w:val="7"/>
  </w:num>
  <w:num w:numId="9" w16cid:durableId="79253211">
    <w:abstractNumId w:val="6"/>
  </w:num>
  <w:num w:numId="10" w16cid:durableId="373433696">
    <w:abstractNumId w:val="5"/>
  </w:num>
  <w:num w:numId="11" w16cid:durableId="128406450">
    <w:abstractNumId w:val="4"/>
  </w:num>
  <w:num w:numId="12" w16cid:durableId="2141605880">
    <w:abstractNumId w:val="3"/>
  </w:num>
  <w:num w:numId="13" w16cid:durableId="568617192">
    <w:abstractNumId w:val="2"/>
  </w:num>
  <w:num w:numId="14" w16cid:durableId="1840540628">
    <w:abstractNumId w:val="1"/>
  </w:num>
  <w:num w:numId="15" w16cid:durableId="1319067564">
    <w:abstractNumId w:val="0"/>
  </w:num>
  <w:num w:numId="16" w16cid:durableId="1545949926">
    <w:abstractNumId w:val="26"/>
  </w:num>
  <w:num w:numId="17" w16cid:durableId="202795967">
    <w:abstractNumId w:val="20"/>
  </w:num>
  <w:num w:numId="18" w16cid:durableId="1947343053">
    <w:abstractNumId w:val="16"/>
  </w:num>
  <w:num w:numId="19" w16cid:durableId="342900915">
    <w:abstractNumId w:val="22"/>
  </w:num>
  <w:num w:numId="20" w16cid:durableId="1455171063">
    <w:abstractNumId w:val="13"/>
  </w:num>
  <w:num w:numId="21" w16cid:durableId="1305965883">
    <w:abstractNumId w:val="17"/>
  </w:num>
  <w:num w:numId="22" w16cid:durableId="959340432">
    <w:abstractNumId w:val="23"/>
  </w:num>
  <w:num w:numId="23" w16cid:durableId="1665159429">
    <w:abstractNumId w:val="24"/>
  </w:num>
  <w:num w:numId="24" w16cid:durableId="132601755">
    <w:abstractNumId w:val="11"/>
  </w:num>
  <w:num w:numId="25" w16cid:durableId="704333231">
    <w:abstractNumId w:val="15"/>
  </w:num>
  <w:num w:numId="26" w16cid:durableId="2099203837">
    <w:abstractNumId w:val="21"/>
  </w:num>
  <w:num w:numId="27" w16cid:durableId="13802011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F7"/>
    <w:rsid w:val="00003860"/>
    <w:rsid w:val="0000701D"/>
    <w:rsid w:val="00010F79"/>
    <w:rsid w:val="00014C66"/>
    <w:rsid w:val="0001647B"/>
    <w:rsid w:val="000177DC"/>
    <w:rsid w:val="00017C43"/>
    <w:rsid w:val="00020C06"/>
    <w:rsid w:val="00024452"/>
    <w:rsid w:val="00024705"/>
    <w:rsid w:val="00026439"/>
    <w:rsid w:val="00030D9A"/>
    <w:rsid w:val="00031036"/>
    <w:rsid w:val="00042576"/>
    <w:rsid w:val="00043CAA"/>
    <w:rsid w:val="0004741B"/>
    <w:rsid w:val="000521F9"/>
    <w:rsid w:val="000535BE"/>
    <w:rsid w:val="000619FF"/>
    <w:rsid w:val="000662DD"/>
    <w:rsid w:val="000707FE"/>
    <w:rsid w:val="000727AF"/>
    <w:rsid w:val="000739A7"/>
    <w:rsid w:val="00075432"/>
    <w:rsid w:val="00084EC6"/>
    <w:rsid w:val="00093B7D"/>
    <w:rsid w:val="000968ED"/>
    <w:rsid w:val="00096B1A"/>
    <w:rsid w:val="000A017B"/>
    <w:rsid w:val="000A2750"/>
    <w:rsid w:val="000A5C21"/>
    <w:rsid w:val="000A774D"/>
    <w:rsid w:val="000B466C"/>
    <w:rsid w:val="000B7779"/>
    <w:rsid w:val="000B79C3"/>
    <w:rsid w:val="000C43F7"/>
    <w:rsid w:val="000C5606"/>
    <w:rsid w:val="000D2E78"/>
    <w:rsid w:val="000D6D6D"/>
    <w:rsid w:val="000E2A76"/>
    <w:rsid w:val="000E58A5"/>
    <w:rsid w:val="000F2E96"/>
    <w:rsid w:val="000F5E56"/>
    <w:rsid w:val="00100409"/>
    <w:rsid w:val="001024FE"/>
    <w:rsid w:val="00102E69"/>
    <w:rsid w:val="00104A98"/>
    <w:rsid w:val="001079DD"/>
    <w:rsid w:val="0011123D"/>
    <w:rsid w:val="00114999"/>
    <w:rsid w:val="00131CAB"/>
    <w:rsid w:val="001355D5"/>
    <w:rsid w:val="001362EE"/>
    <w:rsid w:val="00137812"/>
    <w:rsid w:val="00140AF3"/>
    <w:rsid w:val="00141C9C"/>
    <w:rsid w:val="00142868"/>
    <w:rsid w:val="001556E8"/>
    <w:rsid w:val="00156777"/>
    <w:rsid w:val="00156AB4"/>
    <w:rsid w:val="00160209"/>
    <w:rsid w:val="00162132"/>
    <w:rsid w:val="00164156"/>
    <w:rsid w:val="00171EE5"/>
    <w:rsid w:val="00175B72"/>
    <w:rsid w:val="00176C7C"/>
    <w:rsid w:val="00181594"/>
    <w:rsid w:val="001820D9"/>
    <w:rsid w:val="001832A6"/>
    <w:rsid w:val="0019147E"/>
    <w:rsid w:val="001947E2"/>
    <w:rsid w:val="001947F0"/>
    <w:rsid w:val="00194F23"/>
    <w:rsid w:val="00197BCB"/>
    <w:rsid w:val="001A31C8"/>
    <w:rsid w:val="001A59DC"/>
    <w:rsid w:val="001A6190"/>
    <w:rsid w:val="001A7856"/>
    <w:rsid w:val="001A7C0F"/>
    <w:rsid w:val="001B0174"/>
    <w:rsid w:val="001B1C2E"/>
    <w:rsid w:val="001B21AA"/>
    <w:rsid w:val="001B300A"/>
    <w:rsid w:val="001B4142"/>
    <w:rsid w:val="001C6808"/>
    <w:rsid w:val="001D096A"/>
    <w:rsid w:val="001D1DA3"/>
    <w:rsid w:val="001E48A8"/>
    <w:rsid w:val="001E48BB"/>
    <w:rsid w:val="001E64FC"/>
    <w:rsid w:val="0020240A"/>
    <w:rsid w:val="00207A03"/>
    <w:rsid w:val="00210EA6"/>
    <w:rsid w:val="00211B3E"/>
    <w:rsid w:val="002121FA"/>
    <w:rsid w:val="00212375"/>
    <w:rsid w:val="00213921"/>
    <w:rsid w:val="00216469"/>
    <w:rsid w:val="00217B3B"/>
    <w:rsid w:val="00224455"/>
    <w:rsid w:val="002303A7"/>
    <w:rsid w:val="00235CB7"/>
    <w:rsid w:val="00236349"/>
    <w:rsid w:val="00250CF0"/>
    <w:rsid w:val="002526F7"/>
    <w:rsid w:val="002542A5"/>
    <w:rsid w:val="00260B13"/>
    <w:rsid w:val="002634C4"/>
    <w:rsid w:val="00267A13"/>
    <w:rsid w:val="0028028D"/>
    <w:rsid w:val="00285405"/>
    <w:rsid w:val="00287B1C"/>
    <w:rsid w:val="00290126"/>
    <w:rsid w:val="002928D3"/>
    <w:rsid w:val="00296305"/>
    <w:rsid w:val="0029690E"/>
    <w:rsid w:val="002A2699"/>
    <w:rsid w:val="002A6975"/>
    <w:rsid w:val="002B30BD"/>
    <w:rsid w:val="002C0FC8"/>
    <w:rsid w:val="002C7D61"/>
    <w:rsid w:val="002D1079"/>
    <w:rsid w:val="002D5CF4"/>
    <w:rsid w:val="002D6594"/>
    <w:rsid w:val="002E0B6B"/>
    <w:rsid w:val="002E4EB3"/>
    <w:rsid w:val="002E5A65"/>
    <w:rsid w:val="002F0B46"/>
    <w:rsid w:val="002F117B"/>
    <w:rsid w:val="002F1FE6"/>
    <w:rsid w:val="002F4E68"/>
    <w:rsid w:val="003006F9"/>
    <w:rsid w:val="003041D3"/>
    <w:rsid w:val="00304295"/>
    <w:rsid w:val="00307941"/>
    <w:rsid w:val="00312F7F"/>
    <w:rsid w:val="003228B7"/>
    <w:rsid w:val="00333C3F"/>
    <w:rsid w:val="00335C26"/>
    <w:rsid w:val="00337A07"/>
    <w:rsid w:val="00340CB0"/>
    <w:rsid w:val="003412BE"/>
    <w:rsid w:val="00342747"/>
    <w:rsid w:val="003508A3"/>
    <w:rsid w:val="00352FFA"/>
    <w:rsid w:val="0036676B"/>
    <w:rsid w:val="003673CF"/>
    <w:rsid w:val="00370B1F"/>
    <w:rsid w:val="003714A1"/>
    <w:rsid w:val="00371B2E"/>
    <w:rsid w:val="00371F20"/>
    <w:rsid w:val="003754F1"/>
    <w:rsid w:val="003803F2"/>
    <w:rsid w:val="003845C1"/>
    <w:rsid w:val="003858EF"/>
    <w:rsid w:val="00392E11"/>
    <w:rsid w:val="0039441E"/>
    <w:rsid w:val="00396D6C"/>
    <w:rsid w:val="003A3150"/>
    <w:rsid w:val="003A48E1"/>
    <w:rsid w:val="003A4BF2"/>
    <w:rsid w:val="003A4C7C"/>
    <w:rsid w:val="003A669A"/>
    <w:rsid w:val="003A6F89"/>
    <w:rsid w:val="003A7A95"/>
    <w:rsid w:val="003B38C1"/>
    <w:rsid w:val="003B54CD"/>
    <w:rsid w:val="003B64D8"/>
    <w:rsid w:val="003B6CEF"/>
    <w:rsid w:val="003D352A"/>
    <w:rsid w:val="003E00A1"/>
    <w:rsid w:val="003E097C"/>
    <w:rsid w:val="003E1695"/>
    <w:rsid w:val="003E176E"/>
    <w:rsid w:val="003E4CD4"/>
    <w:rsid w:val="003E6FC1"/>
    <w:rsid w:val="003E74B5"/>
    <w:rsid w:val="003F01FD"/>
    <w:rsid w:val="003F1202"/>
    <w:rsid w:val="003F4808"/>
    <w:rsid w:val="003F53C4"/>
    <w:rsid w:val="003F7964"/>
    <w:rsid w:val="00405F1C"/>
    <w:rsid w:val="004060F7"/>
    <w:rsid w:val="004145F0"/>
    <w:rsid w:val="0041594B"/>
    <w:rsid w:val="00417501"/>
    <w:rsid w:val="00421428"/>
    <w:rsid w:val="00422D50"/>
    <w:rsid w:val="00423E3E"/>
    <w:rsid w:val="00424A9A"/>
    <w:rsid w:val="00427AF4"/>
    <w:rsid w:val="0043068F"/>
    <w:rsid w:val="004400E2"/>
    <w:rsid w:val="00444C62"/>
    <w:rsid w:val="00445219"/>
    <w:rsid w:val="00447A99"/>
    <w:rsid w:val="00453407"/>
    <w:rsid w:val="004602DE"/>
    <w:rsid w:val="00461632"/>
    <w:rsid w:val="00462068"/>
    <w:rsid w:val="004647DA"/>
    <w:rsid w:val="004710AE"/>
    <w:rsid w:val="00472170"/>
    <w:rsid w:val="00474062"/>
    <w:rsid w:val="00477D6B"/>
    <w:rsid w:val="00477E52"/>
    <w:rsid w:val="00480CB9"/>
    <w:rsid w:val="00483720"/>
    <w:rsid w:val="00490D1F"/>
    <w:rsid w:val="00497F67"/>
    <w:rsid w:val="004C39E3"/>
    <w:rsid w:val="004C5963"/>
    <w:rsid w:val="004C5F11"/>
    <w:rsid w:val="004D0D0B"/>
    <w:rsid w:val="004D1E70"/>
    <w:rsid w:val="004D39C4"/>
    <w:rsid w:val="004D7A33"/>
    <w:rsid w:val="004E1134"/>
    <w:rsid w:val="004E49DA"/>
    <w:rsid w:val="004E5B17"/>
    <w:rsid w:val="004F153E"/>
    <w:rsid w:val="004F320D"/>
    <w:rsid w:val="0050266F"/>
    <w:rsid w:val="0050438E"/>
    <w:rsid w:val="005215AD"/>
    <w:rsid w:val="00523971"/>
    <w:rsid w:val="0052486D"/>
    <w:rsid w:val="00525B03"/>
    <w:rsid w:val="00526D9E"/>
    <w:rsid w:val="0053057A"/>
    <w:rsid w:val="005340C7"/>
    <w:rsid w:val="00535E3B"/>
    <w:rsid w:val="00536D7C"/>
    <w:rsid w:val="005375CA"/>
    <w:rsid w:val="0054563B"/>
    <w:rsid w:val="00547C84"/>
    <w:rsid w:val="00552089"/>
    <w:rsid w:val="00557C2F"/>
    <w:rsid w:val="00557ED3"/>
    <w:rsid w:val="00557F90"/>
    <w:rsid w:val="00560A29"/>
    <w:rsid w:val="005629A4"/>
    <w:rsid w:val="0056550F"/>
    <w:rsid w:val="005701F2"/>
    <w:rsid w:val="005825B4"/>
    <w:rsid w:val="005923E9"/>
    <w:rsid w:val="00594D27"/>
    <w:rsid w:val="0059753A"/>
    <w:rsid w:val="005A2E0E"/>
    <w:rsid w:val="005A3F9E"/>
    <w:rsid w:val="005A4D49"/>
    <w:rsid w:val="005A6200"/>
    <w:rsid w:val="005B08E5"/>
    <w:rsid w:val="005C1022"/>
    <w:rsid w:val="005C2401"/>
    <w:rsid w:val="005C320B"/>
    <w:rsid w:val="005C492C"/>
    <w:rsid w:val="005D324B"/>
    <w:rsid w:val="005E6D4B"/>
    <w:rsid w:val="005F0D3B"/>
    <w:rsid w:val="005F7CBB"/>
    <w:rsid w:val="00600496"/>
    <w:rsid w:val="00601760"/>
    <w:rsid w:val="00604D39"/>
    <w:rsid w:val="00605827"/>
    <w:rsid w:val="00615909"/>
    <w:rsid w:val="00632E28"/>
    <w:rsid w:val="00633194"/>
    <w:rsid w:val="006347DB"/>
    <w:rsid w:val="006375DB"/>
    <w:rsid w:val="00640D02"/>
    <w:rsid w:val="00643522"/>
    <w:rsid w:val="00646050"/>
    <w:rsid w:val="00650670"/>
    <w:rsid w:val="0065232B"/>
    <w:rsid w:val="00661CE4"/>
    <w:rsid w:val="006713CA"/>
    <w:rsid w:val="00672723"/>
    <w:rsid w:val="006734AF"/>
    <w:rsid w:val="00673626"/>
    <w:rsid w:val="00676C5C"/>
    <w:rsid w:val="00681D13"/>
    <w:rsid w:val="0068200E"/>
    <w:rsid w:val="00692AF7"/>
    <w:rsid w:val="00695558"/>
    <w:rsid w:val="006A17B4"/>
    <w:rsid w:val="006A46CC"/>
    <w:rsid w:val="006A633B"/>
    <w:rsid w:val="006B0D5F"/>
    <w:rsid w:val="006B1048"/>
    <w:rsid w:val="006B1CF3"/>
    <w:rsid w:val="006B703C"/>
    <w:rsid w:val="006D5331"/>
    <w:rsid w:val="006D5E0F"/>
    <w:rsid w:val="007046DE"/>
    <w:rsid w:val="007058FB"/>
    <w:rsid w:val="00707890"/>
    <w:rsid w:val="00712E9D"/>
    <w:rsid w:val="00714DFA"/>
    <w:rsid w:val="00717274"/>
    <w:rsid w:val="00717D67"/>
    <w:rsid w:val="007212B7"/>
    <w:rsid w:val="00726CE2"/>
    <w:rsid w:val="00730164"/>
    <w:rsid w:val="00732067"/>
    <w:rsid w:val="0073756D"/>
    <w:rsid w:val="00741CE1"/>
    <w:rsid w:val="0074307C"/>
    <w:rsid w:val="007464B0"/>
    <w:rsid w:val="0074685C"/>
    <w:rsid w:val="007533DF"/>
    <w:rsid w:val="007663C3"/>
    <w:rsid w:val="00767136"/>
    <w:rsid w:val="0077249F"/>
    <w:rsid w:val="00775FA6"/>
    <w:rsid w:val="0077625E"/>
    <w:rsid w:val="00777343"/>
    <w:rsid w:val="007804ED"/>
    <w:rsid w:val="00782CAC"/>
    <w:rsid w:val="007830C2"/>
    <w:rsid w:val="007836E5"/>
    <w:rsid w:val="007868DE"/>
    <w:rsid w:val="00795184"/>
    <w:rsid w:val="007A198B"/>
    <w:rsid w:val="007A73A5"/>
    <w:rsid w:val="007B6A58"/>
    <w:rsid w:val="007C0523"/>
    <w:rsid w:val="007D018C"/>
    <w:rsid w:val="007D1613"/>
    <w:rsid w:val="007D3320"/>
    <w:rsid w:val="007E7CEC"/>
    <w:rsid w:val="007F598F"/>
    <w:rsid w:val="00802125"/>
    <w:rsid w:val="00824781"/>
    <w:rsid w:val="00832154"/>
    <w:rsid w:val="008332E8"/>
    <w:rsid w:val="0083545A"/>
    <w:rsid w:val="008404D0"/>
    <w:rsid w:val="00842ECD"/>
    <w:rsid w:val="0084589B"/>
    <w:rsid w:val="00846C1F"/>
    <w:rsid w:val="00850191"/>
    <w:rsid w:val="0085336B"/>
    <w:rsid w:val="008672BB"/>
    <w:rsid w:val="00867A03"/>
    <w:rsid w:val="00871896"/>
    <w:rsid w:val="00873EE5"/>
    <w:rsid w:val="00873F66"/>
    <w:rsid w:val="008745A9"/>
    <w:rsid w:val="00884897"/>
    <w:rsid w:val="00887C80"/>
    <w:rsid w:val="008901C8"/>
    <w:rsid w:val="00892692"/>
    <w:rsid w:val="008935E3"/>
    <w:rsid w:val="00893B31"/>
    <w:rsid w:val="0089601F"/>
    <w:rsid w:val="00896A7F"/>
    <w:rsid w:val="008A418A"/>
    <w:rsid w:val="008B22D0"/>
    <w:rsid w:val="008B2342"/>
    <w:rsid w:val="008B2CC1"/>
    <w:rsid w:val="008B4B5E"/>
    <w:rsid w:val="008B60B2"/>
    <w:rsid w:val="008B6FF5"/>
    <w:rsid w:val="008C0FB5"/>
    <w:rsid w:val="008C4848"/>
    <w:rsid w:val="008D1AA8"/>
    <w:rsid w:val="008D4591"/>
    <w:rsid w:val="008E2049"/>
    <w:rsid w:val="008E2F74"/>
    <w:rsid w:val="008F65B8"/>
    <w:rsid w:val="0090145D"/>
    <w:rsid w:val="0090731E"/>
    <w:rsid w:val="00911BC7"/>
    <w:rsid w:val="0091271E"/>
    <w:rsid w:val="00912A4A"/>
    <w:rsid w:val="00916EE2"/>
    <w:rsid w:val="009170B1"/>
    <w:rsid w:val="00924FAA"/>
    <w:rsid w:val="00942684"/>
    <w:rsid w:val="0095239B"/>
    <w:rsid w:val="00952C4A"/>
    <w:rsid w:val="00957727"/>
    <w:rsid w:val="00960695"/>
    <w:rsid w:val="00966A22"/>
    <w:rsid w:val="0096722F"/>
    <w:rsid w:val="00976716"/>
    <w:rsid w:val="009779C1"/>
    <w:rsid w:val="00980429"/>
    <w:rsid w:val="00980843"/>
    <w:rsid w:val="00985EDB"/>
    <w:rsid w:val="00986677"/>
    <w:rsid w:val="00987161"/>
    <w:rsid w:val="009925F8"/>
    <w:rsid w:val="00993186"/>
    <w:rsid w:val="009953EC"/>
    <w:rsid w:val="009956BF"/>
    <w:rsid w:val="0099700C"/>
    <w:rsid w:val="009A325E"/>
    <w:rsid w:val="009A7074"/>
    <w:rsid w:val="009A7E23"/>
    <w:rsid w:val="009C0E42"/>
    <w:rsid w:val="009D61C1"/>
    <w:rsid w:val="009D7578"/>
    <w:rsid w:val="009E2791"/>
    <w:rsid w:val="009E3F6F"/>
    <w:rsid w:val="009F3BF9"/>
    <w:rsid w:val="009F499F"/>
    <w:rsid w:val="00A00098"/>
    <w:rsid w:val="00A0546A"/>
    <w:rsid w:val="00A228E6"/>
    <w:rsid w:val="00A22F01"/>
    <w:rsid w:val="00A24A3B"/>
    <w:rsid w:val="00A25C79"/>
    <w:rsid w:val="00A31453"/>
    <w:rsid w:val="00A40081"/>
    <w:rsid w:val="00A42DAF"/>
    <w:rsid w:val="00A45BD8"/>
    <w:rsid w:val="00A4711F"/>
    <w:rsid w:val="00A504D6"/>
    <w:rsid w:val="00A5436E"/>
    <w:rsid w:val="00A5792C"/>
    <w:rsid w:val="00A61C8D"/>
    <w:rsid w:val="00A644DC"/>
    <w:rsid w:val="00A6628C"/>
    <w:rsid w:val="00A66D94"/>
    <w:rsid w:val="00A7083C"/>
    <w:rsid w:val="00A72484"/>
    <w:rsid w:val="00A778BF"/>
    <w:rsid w:val="00A81204"/>
    <w:rsid w:val="00A839BB"/>
    <w:rsid w:val="00A85B8E"/>
    <w:rsid w:val="00A9257F"/>
    <w:rsid w:val="00A928B8"/>
    <w:rsid w:val="00AA2D6A"/>
    <w:rsid w:val="00AA7B8A"/>
    <w:rsid w:val="00AB3100"/>
    <w:rsid w:val="00AB44C0"/>
    <w:rsid w:val="00AB5660"/>
    <w:rsid w:val="00AC205C"/>
    <w:rsid w:val="00AC29BF"/>
    <w:rsid w:val="00AC39CB"/>
    <w:rsid w:val="00AD1AE4"/>
    <w:rsid w:val="00AD3FA8"/>
    <w:rsid w:val="00AE3B7F"/>
    <w:rsid w:val="00AE46F4"/>
    <w:rsid w:val="00AE5D0D"/>
    <w:rsid w:val="00AF5C73"/>
    <w:rsid w:val="00AF5EA7"/>
    <w:rsid w:val="00B003AD"/>
    <w:rsid w:val="00B02B97"/>
    <w:rsid w:val="00B02DAC"/>
    <w:rsid w:val="00B05A69"/>
    <w:rsid w:val="00B05ACC"/>
    <w:rsid w:val="00B076E6"/>
    <w:rsid w:val="00B10FCA"/>
    <w:rsid w:val="00B13360"/>
    <w:rsid w:val="00B25673"/>
    <w:rsid w:val="00B27E00"/>
    <w:rsid w:val="00B40598"/>
    <w:rsid w:val="00B447A2"/>
    <w:rsid w:val="00B46A37"/>
    <w:rsid w:val="00B46CF2"/>
    <w:rsid w:val="00B50B99"/>
    <w:rsid w:val="00B52A5E"/>
    <w:rsid w:val="00B56CA6"/>
    <w:rsid w:val="00B602EB"/>
    <w:rsid w:val="00B627BB"/>
    <w:rsid w:val="00B62CD9"/>
    <w:rsid w:val="00B65FC7"/>
    <w:rsid w:val="00B73091"/>
    <w:rsid w:val="00B74666"/>
    <w:rsid w:val="00B80629"/>
    <w:rsid w:val="00B83768"/>
    <w:rsid w:val="00B8405F"/>
    <w:rsid w:val="00B84947"/>
    <w:rsid w:val="00B849DD"/>
    <w:rsid w:val="00B96AC5"/>
    <w:rsid w:val="00B96DC8"/>
    <w:rsid w:val="00B96E22"/>
    <w:rsid w:val="00B9734B"/>
    <w:rsid w:val="00BA105B"/>
    <w:rsid w:val="00BB0E7C"/>
    <w:rsid w:val="00BB191A"/>
    <w:rsid w:val="00BB2015"/>
    <w:rsid w:val="00BB2899"/>
    <w:rsid w:val="00BB78E5"/>
    <w:rsid w:val="00BC024D"/>
    <w:rsid w:val="00BC2F57"/>
    <w:rsid w:val="00BC7E72"/>
    <w:rsid w:val="00BD11D4"/>
    <w:rsid w:val="00BD1258"/>
    <w:rsid w:val="00BD2F91"/>
    <w:rsid w:val="00BD4BB6"/>
    <w:rsid w:val="00BD4F74"/>
    <w:rsid w:val="00BE29E7"/>
    <w:rsid w:val="00BE6B7A"/>
    <w:rsid w:val="00BE6EF6"/>
    <w:rsid w:val="00BF2DFC"/>
    <w:rsid w:val="00BF43AC"/>
    <w:rsid w:val="00C00A50"/>
    <w:rsid w:val="00C00EBD"/>
    <w:rsid w:val="00C012AC"/>
    <w:rsid w:val="00C013D9"/>
    <w:rsid w:val="00C07A8A"/>
    <w:rsid w:val="00C118E2"/>
    <w:rsid w:val="00C11BFE"/>
    <w:rsid w:val="00C25299"/>
    <w:rsid w:val="00C25C79"/>
    <w:rsid w:val="00C3092A"/>
    <w:rsid w:val="00C36331"/>
    <w:rsid w:val="00C42181"/>
    <w:rsid w:val="00C44B83"/>
    <w:rsid w:val="00C4728C"/>
    <w:rsid w:val="00C4746D"/>
    <w:rsid w:val="00C55812"/>
    <w:rsid w:val="00C56C4E"/>
    <w:rsid w:val="00C57C9B"/>
    <w:rsid w:val="00C6227B"/>
    <w:rsid w:val="00C62F31"/>
    <w:rsid w:val="00C63B44"/>
    <w:rsid w:val="00C64A15"/>
    <w:rsid w:val="00C75394"/>
    <w:rsid w:val="00C819A5"/>
    <w:rsid w:val="00C82B42"/>
    <w:rsid w:val="00C87C35"/>
    <w:rsid w:val="00C91CBF"/>
    <w:rsid w:val="00C94087"/>
    <w:rsid w:val="00C94629"/>
    <w:rsid w:val="00C9485F"/>
    <w:rsid w:val="00C95354"/>
    <w:rsid w:val="00C96D20"/>
    <w:rsid w:val="00CA1718"/>
    <w:rsid w:val="00CA5F38"/>
    <w:rsid w:val="00CB566F"/>
    <w:rsid w:val="00CC04EB"/>
    <w:rsid w:val="00CC4593"/>
    <w:rsid w:val="00CC64AB"/>
    <w:rsid w:val="00CD18B1"/>
    <w:rsid w:val="00CD3842"/>
    <w:rsid w:val="00CD4C82"/>
    <w:rsid w:val="00CE2093"/>
    <w:rsid w:val="00CE3CD3"/>
    <w:rsid w:val="00CE65D4"/>
    <w:rsid w:val="00CE6C78"/>
    <w:rsid w:val="00CF1831"/>
    <w:rsid w:val="00CF452B"/>
    <w:rsid w:val="00CF5321"/>
    <w:rsid w:val="00D06402"/>
    <w:rsid w:val="00D0725A"/>
    <w:rsid w:val="00D07737"/>
    <w:rsid w:val="00D109DC"/>
    <w:rsid w:val="00D16EC4"/>
    <w:rsid w:val="00D25335"/>
    <w:rsid w:val="00D367B1"/>
    <w:rsid w:val="00D43EE1"/>
    <w:rsid w:val="00D44140"/>
    <w:rsid w:val="00D45252"/>
    <w:rsid w:val="00D537EB"/>
    <w:rsid w:val="00D62723"/>
    <w:rsid w:val="00D657C7"/>
    <w:rsid w:val="00D67967"/>
    <w:rsid w:val="00D71B4D"/>
    <w:rsid w:val="00D774FE"/>
    <w:rsid w:val="00D8131F"/>
    <w:rsid w:val="00D85B8E"/>
    <w:rsid w:val="00D85E9B"/>
    <w:rsid w:val="00D930BB"/>
    <w:rsid w:val="00D93D55"/>
    <w:rsid w:val="00D96F9C"/>
    <w:rsid w:val="00D979AE"/>
    <w:rsid w:val="00DA0616"/>
    <w:rsid w:val="00DA2F2C"/>
    <w:rsid w:val="00DA5EFF"/>
    <w:rsid w:val="00DB0F4C"/>
    <w:rsid w:val="00DB110B"/>
    <w:rsid w:val="00DB4C95"/>
    <w:rsid w:val="00DB4CD9"/>
    <w:rsid w:val="00DB6E87"/>
    <w:rsid w:val="00DC31A0"/>
    <w:rsid w:val="00DC411B"/>
    <w:rsid w:val="00DD57A9"/>
    <w:rsid w:val="00DE26CE"/>
    <w:rsid w:val="00DE3E27"/>
    <w:rsid w:val="00DF4274"/>
    <w:rsid w:val="00DF65D0"/>
    <w:rsid w:val="00DF7485"/>
    <w:rsid w:val="00E06514"/>
    <w:rsid w:val="00E07A98"/>
    <w:rsid w:val="00E161A2"/>
    <w:rsid w:val="00E1703C"/>
    <w:rsid w:val="00E2047B"/>
    <w:rsid w:val="00E335FE"/>
    <w:rsid w:val="00E345BF"/>
    <w:rsid w:val="00E40B09"/>
    <w:rsid w:val="00E4160B"/>
    <w:rsid w:val="00E428C8"/>
    <w:rsid w:val="00E5021F"/>
    <w:rsid w:val="00E50938"/>
    <w:rsid w:val="00E520C0"/>
    <w:rsid w:val="00E54CC8"/>
    <w:rsid w:val="00E648C8"/>
    <w:rsid w:val="00E64DA9"/>
    <w:rsid w:val="00E66750"/>
    <w:rsid w:val="00E671A6"/>
    <w:rsid w:val="00E86D65"/>
    <w:rsid w:val="00E87A1D"/>
    <w:rsid w:val="00E9045F"/>
    <w:rsid w:val="00E9176C"/>
    <w:rsid w:val="00E91C67"/>
    <w:rsid w:val="00E92206"/>
    <w:rsid w:val="00E92388"/>
    <w:rsid w:val="00E97DA7"/>
    <w:rsid w:val="00EA0B65"/>
    <w:rsid w:val="00EA14A3"/>
    <w:rsid w:val="00EA4FE8"/>
    <w:rsid w:val="00EA56CE"/>
    <w:rsid w:val="00EA5F4C"/>
    <w:rsid w:val="00EA6631"/>
    <w:rsid w:val="00EB18D3"/>
    <w:rsid w:val="00EB4DEF"/>
    <w:rsid w:val="00EB5179"/>
    <w:rsid w:val="00EB59F8"/>
    <w:rsid w:val="00EB73D8"/>
    <w:rsid w:val="00EC3ABD"/>
    <w:rsid w:val="00EC3F41"/>
    <w:rsid w:val="00EC4E49"/>
    <w:rsid w:val="00ED1876"/>
    <w:rsid w:val="00ED361E"/>
    <w:rsid w:val="00ED77FB"/>
    <w:rsid w:val="00EE1BE2"/>
    <w:rsid w:val="00EE2FBF"/>
    <w:rsid w:val="00EE3F96"/>
    <w:rsid w:val="00EE7EFB"/>
    <w:rsid w:val="00EF0052"/>
    <w:rsid w:val="00EF6C37"/>
    <w:rsid w:val="00F021A6"/>
    <w:rsid w:val="00F02488"/>
    <w:rsid w:val="00F02B82"/>
    <w:rsid w:val="00F04B59"/>
    <w:rsid w:val="00F10CDA"/>
    <w:rsid w:val="00F11D94"/>
    <w:rsid w:val="00F12E57"/>
    <w:rsid w:val="00F16102"/>
    <w:rsid w:val="00F343F1"/>
    <w:rsid w:val="00F3678A"/>
    <w:rsid w:val="00F40503"/>
    <w:rsid w:val="00F45182"/>
    <w:rsid w:val="00F456C9"/>
    <w:rsid w:val="00F46255"/>
    <w:rsid w:val="00F509C5"/>
    <w:rsid w:val="00F51DEC"/>
    <w:rsid w:val="00F56DCB"/>
    <w:rsid w:val="00F600D7"/>
    <w:rsid w:val="00F66152"/>
    <w:rsid w:val="00F662D9"/>
    <w:rsid w:val="00F8166E"/>
    <w:rsid w:val="00FA19C4"/>
    <w:rsid w:val="00FA1F33"/>
    <w:rsid w:val="00FA3870"/>
    <w:rsid w:val="00FA7EAE"/>
    <w:rsid w:val="00FB27CC"/>
    <w:rsid w:val="00FB4A7B"/>
    <w:rsid w:val="00FB6F6B"/>
    <w:rsid w:val="00FC3A5B"/>
    <w:rsid w:val="00FD1A0B"/>
    <w:rsid w:val="00FD258D"/>
    <w:rsid w:val="00FD3772"/>
    <w:rsid w:val="00FD3D1D"/>
    <w:rsid w:val="00FE1C74"/>
    <w:rsid w:val="00FE286F"/>
    <w:rsid w:val="00FE363E"/>
    <w:rsid w:val="00FE75B0"/>
    <w:rsid w:val="00FE776F"/>
    <w:rsid w:val="00FE7E57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1639B"/>
  <w15:docId w15:val="{02B03048-7182-401B-AA39-D6C89CFA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3F7"/>
    <w:pPr>
      <w:keepNext/>
      <w:keepLines/>
      <w:spacing w:before="40"/>
      <w:outlineLvl w:val="4"/>
    </w:pPr>
    <w:rPr>
      <w:rFonts w:eastAsia="Yu Gothic Light" w:cs="Noto Sans Display"/>
      <w:b/>
      <w:sz w:val="20"/>
      <w:lang w:val="fr-CH" w:eastAsia="fr-C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3F7"/>
    <w:pPr>
      <w:keepNext/>
      <w:keepLines/>
      <w:spacing w:before="40"/>
      <w:outlineLvl w:val="5"/>
    </w:pPr>
    <w:rPr>
      <w:rFonts w:ascii="Noto Sans SemiBold" w:eastAsia="Yu Gothic Light" w:hAnsi="Noto Sans SemiBold" w:cs="Noto Sans SemiBold"/>
      <w:bCs/>
      <w:sz w:val="20"/>
      <w:lang w:val="fr-CH" w:eastAsia="fr-C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3F7"/>
    <w:pPr>
      <w:keepNext/>
      <w:keepLines/>
      <w:spacing w:before="40"/>
      <w:outlineLvl w:val="6"/>
    </w:pPr>
    <w:rPr>
      <w:rFonts w:ascii="Aptos" w:eastAsia="Yu Gothic Light" w:hAnsi="Aptos" w:cs="Times New Roman"/>
      <w:color w:val="595959"/>
      <w:sz w:val="20"/>
      <w:lang w:val="fr-CH" w:eastAsia="fr-C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3F7"/>
    <w:pPr>
      <w:keepNext/>
      <w:keepLines/>
      <w:spacing w:before="40"/>
      <w:outlineLvl w:val="7"/>
    </w:pPr>
    <w:rPr>
      <w:rFonts w:ascii="Aptos" w:eastAsia="Yu Gothic Light" w:hAnsi="Aptos" w:cs="Times New Roman"/>
      <w:i/>
      <w:iCs/>
      <w:color w:val="272727"/>
      <w:sz w:val="20"/>
      <w:lang w:val="fr-CH" w:eastAsia="fr-C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3F7"/>
    <w:pPr>
      <w:keepNext/>
      <w:keepLines/>
      <w:spacing w:before="40"/>
      <w:outlineLvl w:val="8"/>
    </w:pPr>
    <w:rPr>
      <w:rFonts w:ascii="Aptos" w:eastAsia="Yu Gothic Light" w:hAnsi="Aptos" w:cs="Times New Roman"/>
      <w:color w:val="272727"/>
      <w:sz w:val="20"/>
      <w:lang w:val="fr-CH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Heading51">
    <w:name w:val="Heading 51"/>
    <w:basedOn w:val="Normal"/>
    <w:next w:val="Normal"/>
    <w:uiPriority w:val="9"/>
    <w:unhideWhenUsed/>
    <w:qFormat/>
    <w:rsid w:val="000C43F7"/>
    <w:pPr>
      <w:keepNext/>
      <w:keepLines/>
      <w:spacing w:before="180" w:after="240"/>
      <w:outlineLvl w:val="4"/>
    </w:pPr>
    <w:rPr>
      <w:rFonts w:eastAsia="Yu Gothic Light" w:cs="Noto Sans Display"/>
      <w:b/>
      <w:kern w:val="2"/>
      <w:szCs w:val="22"/>
      <w:lang w:eastAsia="en-US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0C43F7"/>
    <w:pPr>
      <w:keepNext/>
      <w:keepLines/>
      <w:spacing w:before="180" w:after="240"/>
      <w:outlineLvl w:val="5"/>
    </w:pPr>
    <w:rPr>
      <w:rFonts w:ascii="Noto Sans SemiBold" w:eastAsia="Yu Gothic Light" w:hAnsi="Noto Sans SemiBold" w:cs="Noto Sans SemiBold"/>
      <w:bCs/>
      <w:kern w:val="2"/>
      <w:szCs w:val="22"/>
      <w:lang w:eastAsia="en-US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0C43F7"/>
    <w:pPr>
      <w:keepNext/>
      <w:keepLines/>
      <w:spacing w:before="40"/>
      <w:outlineLvl w:val="6"/>
    </w:pPr>
    <w:rPr>
      <w:rFonts w:ascii="Aptos" w:eastAsia="Yu Gothic Light" w:hAnsi="Aptos" w:cs="Times New Roman"/>
      <w:color w:val="595959"/>
      <w:kern w:val="2"/>
      <w:szCs w:val="22"/>
      <w:lang w:eastAsia="en-US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0C43F7"/>
    <w:pPr>
      <w:keepNext/>
      <w:keepLines/>
      <w:outlineLvl w:val="7"/>
    </w:pPr>
    <w:rPr>
      <w:rFonts w:ascii="Aptos" w:eastAsia="Yu Gothic Light" w:hAnsi="Aptos" w:cs="Times New Roman"/>
      <w:i/>
      <w:iCs/>
      <w:color w:val="272727"/>
      <w:kern w:val="2"/>
      <w:szCs w:val="22"/>
      <w:lang w:eastAsia="en-US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0C43F7"/>
    <w:pPr>
      <w:keepNext/>
      <w:keepLines/>
      <w:outlineLvl w:val="8"/>
    </w:pPr>
    <w:rPr>
      <w:rFonts w:ascii="Aptos" w:eastAsia="Yu Gothic Light" w:hAnsi="Aptos" w:cs="Times New Roman"/>
      <w:color w:val="272727"/>
      <w:kern w:val="2"/>
      <w:szCs w:val="22"/>
      <w:lang w:eastAsia="en-US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0C43F7"/>
  </w:style>
  <w:style w:type="character" w:customStyle="1" w:styleId="Heading1Char">
    <w:name w:val="Heading 1 Char"/>
    <w:basedOn w:val="DefaultParagraphFont"/>
    <w:link w:val="Heading1"/>
    <w:uiPriority w:val="9"/>
    <w:rsid w:val="000C43F7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C43F7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C43F7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0C43F7"/>
    <w:rPr>
      <w:rFonts w:ascii="Arial" w:eastAsia="SimSun" w:hAnsi="Arial" w:cs="Arial"/>
      <w:bCs/>
      <w:i/>
      <w:sz w:val="22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0C43F7"/>
    <w:rPr>
      <w:rFonts w:ascii="Arial" w:eastAsia="Yu Gothic Light" w:hAnsi="Arial" w:cs="Noto Sans Display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0C43F7"/>
    <w:rPr>
      <w:rFonts w:ascii="Noto Sans SemiBold" w:eastAsia="Yu Gothic Light" w:hAnsi="Noto Sans SemiBold" w:cs="Noto Sans SemiBold"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3F7"/>
    <w:rPr>
      <w:rFonts w:ascii="Aptos" w:eastAsia="Yu Gothic Light" w:hAnsi="Aptos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3F7"/>
    <w:rPr>
      <w:rFonts w:ascii="Aptos" w:eastAsia="Yu Gothic Light" w:hAnsi="Aptos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3F7"/>
    <w:rPr>
      <w:rFonts w:ascii="Aptos" w:eastAsia="Yu Gothic Light" w:hAnsi="Aptos" w:cs="Times New Roman"/>
      <w:color w:val="272727"/>
    </w:rPr>
  </w:style>
  <w:style w:type="character" w:customStyle="1" w:styleId="HeaderChar">
    <w:name w:val="Header Char"/>
    <w:basedOn w:val="DefaultParagraphFont"/>
    <w:link w:val="Header"/>
    <w:uiPriority w:val="99"/>
    <w:rsid w:val="000C43F7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C43F7"/>
    <w:rPr>
      <w:rFonts w:ascii="Arial" w:eastAsia="SimSun" w:hAnsi="Arial" w:cs="Arial"/>
      <w:sz w:val="22"/>
      <w:lang w:val="en-US" w:eastAsia="zh-CN"/>
    </w:rPr>
  </w:style>
  <w:style w:type="paragraph" w:customStyle="1" w:styleId="Quote1">
    <w:name w:val="Quote1"/>
    <w:basedOn w:val="Normal"/>
    <w:next w:val="Normal"/>
    <w:uiPriority w:val="10"/>
    <w:qFormat/>
    <w:rsid w:val="000C43F7"/>
    <w:pPr>
      <w:spacing w:after="480" w:line="480" w:lineRule="exact"/>
      <w:jc w:val="center"/>
    </w:pPr>
    <w:rPr>
      <w:rFonts w:eastAsia="Aptos" w:cs="Noto Sans Display"/>
      <w:iCs/>
      <w:color w:val="23B9D6"/>
      <w:kern w:val="2"/>
      <w:sz w:val="40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10"/>
    <w:rsid w:val="000C43F7"/>
    <w:rPr>
      <w:rFonts w:ascii="Arial" w:hAnsi="Arial" w:cs="Noto Sans Display"/>
      <w:iCs/>
      <w:color w:val="23B9D6"/>
      <w:sz w:val="40"/>
    </w:rPr>
  </w:style>
  <w:style w:type="paragraph" w:customStyle="1" w:styleId="List1">
    <w:name w:val="List1"/>
    <w:basedOn w:val="Normal"/>
    <w:next w:val="List"/>
    <w:uiPriority w:val="99"/>
    <w:unhideWhenUsed/>
    <w:rsid w:val="000C43F7"/>
    <w:pPr>
      <w:spacing w:before="180" w:after="240"/>
      <w:ind w:left="360" w:hanging="360"/>
      <w:contextualSpacing/>
    </w:pPr>
    <w:rPr>
      <w:rFonts w:eastAsia="Aptos" w:cs="Noto Sans Display"/>
      <w:kern w:val="2"/>
      <w:szCs w:val="22"/>
      <w:lang w:eastAsia="en-US"/>
      <w14:ligatures w14:val="standardContextual"/>
    </w:rPr>
  </w:style>
  <w:style w:type="paragraph" w:customStyle="1" w:styleId="ListBullet1">
    <w:name w:val="List Bullet1"/>
    <w:basedOn w:val="Normal"/>
    <w:next w:val="ListBullet"/>
    <w:uiPriority w:val="99"/>
    <w:unhideWhenUsed/>
    <w:rsid w:val="000C43F7"/>
    <w:pPr>
      <w:numPr>
        <w:numId w:val="7"/>
      </w:numPr>
      <w:ind w:left="0" w:firstLine="0"/>
      <w:contextualSpacing/>
    </w:pPr>
    <w:rPr>
      <w:rFonts w:eastAsia="Aptos" w:cs="Noto Sans Display"/>
      <w:kern w:val="2"/>
      <w:szCs w:val="22"/>
      <w:lang w:eastAsia="en-US"/>
      <w14:ligatures w14:val="standardContextual"/>
    </w:rPr>
  </w:style>
  <w:style w:type="paragraph" w:customStyle="1" w:styleId="ColorIndent">
    <w:name w:val="ColorIndent"/>
    <w:basedOn w:val="Normal"/>
    <w:next w:val="Normal"/>
    <w:uiPriority w:val="13"/>
    <w:qFormat/>
    <w:rsid w:val="000C43F7"/>
    <w:pPr>
      <w:ind w:left="1440"/>
    </w:pPr>
    <w:rPr>
      <w:rFonts w:eastAsia="Aptos" w:cs="Noto Sans Display"/>
      <w:color w:val="00B0F0"/>
      <w:kern w:val="2"/>
      <w:szCs w:val="18"/>
      <w:lang w:val="fr-CH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43F7"/>
    <w:rPr>
      <w:rFonts w:ascii="Arial" w:eastAsia="SimSun" w:hAnsi="Arial" w:cs="Arial"/>
      <w:sz w:val="18"/>
      <w:lang w:val="en-US" w:eastAsia="zh-CN"/>
    </w:rPr>
  </w:style>
  <w:style w:type="paragraph" w:customStyle="1" w:styleId="PhotoCredit">
    <w:name w:val="Photo Credit"/>
    <w:basedOn w:val="Normal"/>
    <w:uiPriority w:val="13"/>
    <w:qFormat/>
    <w:rsid w:val="000C43F7"/>
    <w:pPr>
      <w:spacing w:before="180" w:after="240"/>
    </w:pPr>
    <w:rPr>
      <w:rFonts w:eastAsia="Aptos" w:cs="Noto Sans Display"/>
      <w:color w:val="A6A6A6"/>
      <w:kern w:val="2"/>
      <w:sz w:val="11"/>
      <w:szCs w:val="11"/>
      <w:lang w:eastAsia="en-US"/>
      <w14:ligatures w14:val="standardContextual"/>
    </w:rPr>
  </w:style>
  <w:style w:type="paragraph" w:customStyle="1" w:styleId="Legend">
    <w:name w:val="Legend"/>
    <w:basedOn w:val="Normal"/>
    <w:uiPriority w:val="14"/>
    <w:qFormat/>
    <w:rsid w:val="000C43F7"/>
    <w:pPr>
      <w:spacing w:before="120" w:line="120" w:lineRule="exact"/>
      <w:ind w:left="6480"/>
    </w:pPr>
    <w:rPr>
      <w:rFonts w:eastAsia="Aptos" w:cs="Noto Sans Display"/>
      <w:kern w:val="2"/>
      <w:sz w:val="14"/>
      <w:szCs w:val="22"/>
      <w:lang w:eastAsia="en-US"/>
      <w14:ligatures w14:val="standardContextual"/>
    </w:rPr>
  </w:style>
  <w:style w:type="paragraph" w:customStyle="1" w:styleId="Title1">
    <w:name w:val="Title1"/>
    <w:basedOn w:val="Normal"/>
    <w:next w:val="Normal"/>
    <w:uiPriority w:val="11"/>
    <w:qFormat/>
    <w:rsid w:val="000C43F7"/>
    <w:pPr>
      <w:contextualSpacing/>
    </w:pPr>
    <w:rPr>
      <w:rFonts w:ascii="Aptos Display" w:eastAsia="Yu Gothic Light" w:hAnsi="Aptos Display" w:cs="Times New Roman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1"/>
    <w:rsid w:val="000C43F7"/>
    <w:rPr>
      <w:rFonts w:ascii="Aptos Display" w:eastAsia="Yu Gothic Light" w:hAnsi="Aptos Display" w:cs="Times New Roman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0C43F7"/>
    <w:rPr>
      <w:rFonts w:ascii="Noto Sans Display" w:hAnsi="Noto Sans Display" w:cs="Noto Sans Display"/>
      <w:b/>
      <w:sz w:val="20"/>
      <w:szCs w:val="20"/>
      <w:lang w:val="en-US" w:eastAsia="en-US"/>
      <w14:ligatures w14:val="standardContextual"/>
    </w:rPr>
  </w:style>
  <w:style w:type="paragraph" w:customStyle="1" w:styleId="Box">
    <w:name w:val="Box"/>
    <w:basedOn w:val="Normal"/>
    <w:uiPriority w:val="16"/>
    <w:qFormat/>
    <w:rsid w:val="000C43F7"/>
    <w:pPr>
      <w:spacing w:before="180" w:after="240"/>
    </w:pPr>
    <w:rPr>
      <w:rFonts w:eastAsia="Aptos" w:cs="Noto Sans Display"/>
      <w:color w:val="00B0F0"/>
      <w:kern w:val="2"/>
      <w:szCs w:val="22"/>
      <w:lang w:eastAsia="en-US"/>
      <w14:ligatures w14:val="standardContextual"/>
    </w:rPr>
  </w:style>
  <w:style w:type="paragraph" w:customStyle="1" w:styleId="BoxList">
    <w:name w:val="Box List"/>
    <w:basedOn w:val="ListBullet"/>
    <w:uiPriority w:val="17"/>
    <w:qFormat/>
    <w:rsid w:val="000C43F7"/>
    <w:rPr>
      <w:rFonts w:eastAsia="Aptos" w:cs="Noto Sans Display"/>
      <w:color w:val="00B0F0"/>
      <w:kern w:val="2"/>
      <w:szCs w:val="22"/>
      <w:lang w:val="fr-CH" w:eastAsia="en-US"/>
      <w14:ligatures w14:val="standardContextual"/>
    </w:rPr>
  </w:style>
  <w:style w:type="paragraph" w:customStyle="1" w:styleId="Subtitle1">
    <w:name w:val="Subtitle1"/>
    <w:basedOn w:val="Normal"/>
    <w:next w:val="Normal"/>
    <w:uiPriority w:val="12"/>
    <w:qFormat/>
    <w:rsid w:val="000C43F7"/>
    <w:pPr>
      <w:numPr>
        <w:ilvl w:val="1"/>
      </w:numPr>
      <w:spacing w:before="180" w:after="160"/>
    </w:pPr>
    <w:rPr>
      <w:rFonts w:ascii="Aptos" w:eastAsia="Yu Gothic Light" w:hAnsi="Aptos" w:cs="Times New Roman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2"/>
    <w:rsid w:val="000C43F7"/>
    <w:rPr>
      <w:rFonts w:ascii="Aptos" w:eastAsia="Yu Gothic Light" w:hAnsi="Aptos" w:cs="Times New Roman"/>
      <w:color w:val="595959"/>
      <w:spacing w:val="15"/>
      <w:sz w:val="28"/>
      <w:szCs w:val="28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0C43F7"/>
    <w:pPr>
      <w:spacing w:before="180" w:after="240"/>
      <w:ind w:left="720"/>
      <w:contextualSpacing/>
    </w:pPr>
    <w:rPr>
      <w:rFonts w:eastAsia="Aptos" w:cs="Noto Sans Display"/>
      <w:kern w:val="2"/>
      <w:szCs w:val="22"/>
      <w:lang w:eastAsia="en-US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0C43F7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0C43F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eastAsia="Aptos" w:cs="Noto Sans Display"/>
      <w:i/>
      <w:iCs/>
      <w:color w:val="0F4761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3F7"/>
    <w:rPr>
      <w:rFonts w:ascii="Arial" w:hAnsi="Arial" w:cs="Noto Sans Display"/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0C43F7"/>
    <w:rPr>
      <w:b/>
      <w:bCs/>
      <w:smallCaps/>
      <w:color w:val="0F4761"/>
      <w:spacing w:val="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43F7"/>
    <w:rPr>
      <w:rFonts w:ascii="Arial" w:eastAsia="SimSun" w:hAnsi="Arial" w:cs="Arial"/>
      <w:sz w:val="18"/>
      <w:lang w:val="en-US"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0C43F7"/>
    <w:rPr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rsid w:val="000C43F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3F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C43F7"/>
    <w:rPr>
      <w:rFonts w:ascii="Arial" w:eastAsia="SimSun" w:hAnsi="Arial" w:cs="Arial"/>
      <w:sz w:val="22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0C43F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43F7"/>
    <w:rPr>
      <w:color w:val="666666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0C43F7"/>
    <w:pPr>
      <w:keepLines/>
      <w:spacing w:after="0" w:line="259" w:lineRule="auto"/>
      <w:outlineLvl w:val="9"/>
    </w:pPr>
    <w:rPr>
      <w:rFonts w:ascii="Aptos Display" w:eastAsia="Yu Gothic Light" w:hAnsi="Aptos Display" w:cs="Times New Roman"/>
      <w:b w:val="0"/>
      <w:bCs w:val="0"/>
      <w:caps w:val="0"/>
      <w:color w:val="0F4761"/>
      <w:kern w:val="0"/>
      <w:sz w:val="32"/>
      <w:lang w:eastAsia="en-US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0C43F7"/>
    <w:pPr>
      <w:spacing w:before="180" w:after="100"/>
      <w:ind w:left="220"/>
    </w:pPr>
    <w:rPr>
      <w:rFonts w:eastAsia="Aptos" w:cs="Noto Sans Display"/>
      <w:kern w:val="2"/>
      <w:szCs w:val="22"/>
      <w:lang w:eastAsia="en-US"/>
      <w14:ligatures w14:val="standardContextual"/>
    </w:rPr>
  </w:style>
  <w:style w:type="character" w:customStyle="1" w:styleId="Heading5Char1">
    <w:name w:val="Heading 5 Char1"/>
    <w:basedOn w:val="DefaultParagraphFont"/>
    <w:semiHidden/>
    <w:rsid w:val="000C43F7"/>
    <w:rPr>
      <w:rFonts w:asciiTheme="majorHAnsi" w:eastAsiaTheme="majorEastAsia" w:hAnsiTheme="majorHAnsi" w:cstheme="majorBidi"/>
      <w:color w:val="365F91" w:themeColor="accent1" w:themeShade="BF"/>
      <w:sz w:val="22"/>
      <w:lang w:val="en-US" w:eastAsia="zh-CN"/>
    </w:rPr>
  </w:style>
  <w:style w:type="character" w:customStyle="1" w:styleId="Heading6Char1">
    <w:name w:val="Heading 6 Char1"/>
    <w:basedOn w:val="DefaultParagraphFont"/>
    <w:semiHidden/>
    <w:rsid w:val="000C43F7"/>
    <w:rPr>
      <w:rFonts w:asciiTheme="majorHAnsi" w:eastAsiaTheme="majorEastAsia" w:hAnsiTheme="majorHAnsi" w:cstheme="majorBidi"/>
      <w:color w:val="243F60" w:themeColor="accent1" w:themeShade="7F"/>
      <w:sz w:val="22"/>
      <w:lang w:val="en-US" w:eastAsia="zh-CN"/>
    </w:rPr>
  </w:style>
  <w:style w:type="character" w:customStyle="1" w:styleId="Heading7Char1">
    <w:name w:val="Heading 7 Char1"/>
    <w:basedOn w:val="DefaultParagraphFont"/>
    <w:semiHidden/>
    <w:rsid w:val="000C43F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US" w:eastAsia="zh-CN"/>
    </w:rPr>
  </w:style>
  <w:style w:type="character" w:customStyle="1" w:styleId="Heading8Char1">
    <w:name w:val="Heading 8 Char1"/>
    <w:basedOn w:val="DefaultParagraphFont"/>
    <w:semiHidden/>
    <w:rsid w:val="000C43F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zh-CN"/>
    </w:rPr>
  </w:style>
  <w:style w:type="character" w:customStyle="1" w:styleId="Heading9Char1">
    <w:name w:val="Heading 9 Char1"/>
    <w:basedOn w:val="DefaultParagraphFont"/>
    <w:semiHidden/>
    <w:rsid w:val="000C43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10"/>
    <w:qFormat/>
    <w:rsid w:val="000C43F7"/>
    <w:pPr>
      <w:spacing w:before="200" w:after="160"/>
      <w:ind w:left="864" w:right="864"/>
      <w:jc w:val="center"/>
    </w:pPr>
    <w:rPr>
      <w:rFonts w:eastAsia="Times New Roman" w:cs="Noto Sans Display"/>
      <w:iCs/>
      <w:color w:val="23B9D6"/>
      <w:sz w:val="40"/>
      <w:lang w:val="fr-CH" w:eastAsia="fr-CH"/>
    </w:rPr>
  </w:style>
  <w:style w:type="character" w:customStyle="1" w:styleId="QuoteChar1">
    <w:name w:val="Quote Char1"/>
    <w:basedOn w:val="DefaultParagraphFont"/>
    <w:uiPriority w:val="29"/>
    <w:rsid w:val="000C43F7"/>
    <w:rPr>
      <w:rFonts w:ascii="Arial" w:eastAsia="SimSun" w:hAnsi="Arial" w:cs="Arial"/>
      <w:i/>
      <w:iCs/>
      <w:color w:val="404040" w:themeColor="text1" w:themeTint="BF"/>
      <w:sz w:val="22"/>
      <w:lang w:val="en-US" w:eastAsia="zh-CN"/>
    </w:rPr>
  </w:style>
  <w:style w:type="paragraph" w:styleId="List">
    <w:name w:val="List"/>
    <w:basedOn w:val="Normal"/>
    <w:semiHidden/>
    <w:unhideWhenUsed/>
    <w:rsid w:val="000C43F7"/>
    <w:pPr>
      <w:ind w:left="360" w:hanging="360"/>
      <w:contextualSpacing/>
    </w:pPr>
  </w:style>
  <w:style w:type="paragraph" w:styleId="ListBullet">
    <w:name w:val="List Bullet"/>
    <w:basedOn w:val="Normal"/>
    <w:semiHidden/>
    <w:unhideWhenUsed/>
    <w:rsid w:val="000C43F7"/>
    <w:pPr>
      <w:contextualSpacing/>
    </w:pPr>
  </w:style>
  <w:style w:type="paragraph" w:styleId="Title">
    <w:name w:val="Title"/>
    <w:basedOn w:val="Normal"/>
    <w:next w:val="Normal"/>
    <w:link w:val="TitleChar"/>
    <w:uiPriority w:val="11"/>
    <w:qFormat/>
    <w:rsid w:val="000C43F7"/>
    <w:pPr>
      <w:contextualSpacing/>
    </w:pPr>
    <w:rPr>
      <w:rFonts w:ascii="Aptos Display" w:eastAsia="Yu Gothic Light" w:hAnsi="Aptos Display" w:cs="Times New Roman"/>
      <w:spacing w:val="-10"/>
      <w:kern w:val="28"/>
      <w:sz w:val="56"/>
      <w:szCs w:val="56"/>
      <w:lang w:val="fr-CH" w:eastAsia="fr-CH"/>
    </w:rPr>
  </w:style>
  <w:style w:type="character" w:customStyle="1" w:styleId="TitleChar1">
    <w:name w:val="Title Char1"/>
    <w:basedOn w:val="DefaultParagraphFont"/>
    <w:rsid w:val="000C43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2"/>
    <w:qFormat/>
    <w:rsid w:val="000C43F7"/>
    <w:pPr>
      <w:numPr>
        <w:ilvl w:val="1"/>
      </w:numPr>
      <w:spacing w:after="160"/>
    </w:pPr>
    <w:rPr>
      <w:rFonts w:ascii="Aptos" w:eastAsia="Yu Gothic Light" w:hAnsi="Aptos" w:cs="Times New Roman"/>
      <w:color w:val="595959"/>
      <w:spacing w:val="15"/>
      <w:sz w:val="28"/>
      <w:szCs w:val="28"/>
      <w:lang w:val="fr-CH" w:eastAsia="fr-CH"/>
    </w:rPr>
  </w:style>
  <w:style w:type="character" w:customStyle="1" w:styleId="SubtitleChar1">
    <w:name w:val="Subtitle Char1"/>
    <w:basedOn w:val="DefaultParagraphFont"/>
    <w:rsid w:val="000C43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C4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3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3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 w:cs="Noto Sans Display"/>
      <w:i/>
      <w:iCs/>
      <w:color w:val="0F4761"/>
      <w:sz w:val="20"/>
      <w:lang w:val="fr-CH" w:eastAsia="fr-CH"/>
    </w:rPr>
  </w:style>
  <w:style w:type="character" w:customStyle="1" w:styleId="IntenseQuoteChar1">
    <w:name w:val="Intense Quote Char1"/>
    <w:basedOn w:val="DefaultParagraphFont"/>
    <w:uiPriority w:val="30"/>
    <w:rsid w:val="000C43F7"/>
    <w:rPr>
      <w:rFonts w:ascii="Arial" w:eastAsia="SimSun" w:hAnsi="Arial" w:cs="Arial"/>
      <w:i/>
      <w:iCs/>
      <w:color w:val="4F81BD" w:themeColor="accent1"/>
      <w:sz w:val="22"/>
      <w:lang w:val="en-US" w:eastAsia="zh-CN"/>
    </w:rPr>
  </w:style>
  <w:style w:type="character" w:styleId="IntenseReference">
    <w:name w:val="Intense Reference"/>
    <w:basedOn w:val="DefaultParagraphFont"/>
    <w:uiPriority w:val="32"/>
    <w:qFormat/>
    <w:rsid w:val="000C43F7"/>
    <w:rPr>
      <w:b/>
      <w:bCs/>
      <w:smallCaps/>
      <w:color w:val="4F81BD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0C43F7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17B3B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93B7D"/>
    <w:pPr>
      <w:tabs>
        <w:tab w:val="right" w:leader="dot" w:pos="9019"/>
      </w:tabs>
      <w:spacing w:after="100"/>
    </w:pPr>
    <w:rPr>
      <w:rFonts w:eastAsia="Aptos" w:cs="Noto Sans Display"/>
      <w:b/>
      <w:bCs/>
      <w:color w:val="1F497D" w:themeColor="text2"/>
      <w:kern w:val="2"/>
      <w:szCs w:val="22"/>
      <w:lang w:eastAsia="en-US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3A7A95"/>
    <w:pPr>
      <w:spacing w:after="100"/>
      <w:ind w:left="440"/>
    </w:pPr>
  </w:style>
  <w:style w:type="character" w:styleId="CommentReference">
    <w:name w:val="annotation reference"/>
    <w:basedOn w:val="DefaultParagraphFont"/>
    <w:semiHidden/>
    <w:unhideWhenUsed/>
    <w:rsid w:val="00CB56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B566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B566F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B566F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CB566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yperlink" Target="https://mg.co.za/news/2025-02-24-google-must-pay-sa-media-up-to-r500-million-says-competition-commission/?utm_source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setkab.go.id/inilah-perpres-32-2024-tentang-publisher-rights/?utm_source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oi.org/10.1177/14614448241232296" TargetMode="External"/><Relationship Id="rId25" Type="http://schemas.openxmlformats.org/officeDocument/2006/relationships/hyperlink" Target="https://www.nippon.com/en/news/yjj2025082600776/asahi-nikkei-sue-u-s-ai-biz-perplexity-over-copyright.html?utm_sour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llboard.com/articles/business/8482056/mma-op-ed-open-music-initiative-open-standards" TargetMode="External"/><Relationship Id="rId20" Type="http://schemas.openxmlformats.org/officeDocument/2006/relationships/hyperlink" Target="https://www.asahi.com/ajw/articles/15987899?utm_sour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dentons.com/en/insights/articles/2020/november/30/the-new-eu-copyright-directive-and-the-new-right-for-press-publishers?utm_sour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ittees.parliament.uk/work/646/economics-of-music-streaming/publications/" TargetMode="External"/><Relationship Id="rId23" Type="http://schemas.openxmlformats.org/officeDocument/2006/relationships/hyperlink" Target="https://communia-association.org/2024/02/19/the-post-%20dsm-copyright-report-the-press-publishers-right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doi.org/10.1093/jiplp/jpab10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s://doi.org/10.1111/jcc4.12196" TargetMode="External"/><Relationship Id="rId27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mpo.co/info-tempo/transparansi-pembayaran-royalti-pdlm-milik-djki-harus-terintegrasi-%20dengan-silm--240980" TargetMode="External"/><Relationship Id="rId13" Type="http://schemas.openxmlformats.org/officeDocument/2006/relationships/hyperlink" Target="https://www.cnnindonesia.com/hiburan/20230401070011-227-932161/kronologi-perseteruan-ahmad-dhani-%20larang-once-bawa-lagu-dewa-19" TargetMode="External"/><Relationship Id="rId18" Type="http://schemas.openxmlformats.org/officeDocument/2006/relationships/hyperlink" Target="https://doi.org/10.4337/9781785369346.00018" TargetMode="External"/><Relationship Id="rId26" Type="http://schemas.openxmlformats.org/officeDocument/2006/relationships/hyperlink" Target="https://ec.europa.eu/newsroom/dae/redirection/document/81237" TargetMode="External"/><Relationship Id="rId3" Type="http://schemas.openxmlformats.org/officeDocument/2006/relationships/hyperlink" Target="https://www.cisac.org/sites/main/files/files/2023-11/COM23-0846_CISAC_Global_Collections_Report_2023_for_2022_data_2023-10-26_EN%287%29.pdf" TargetMode="External"/><Relationship Id="rId21" Type="http://schemas.openxmlformats.org/officeDocument/2006/relationships/hyperlink" Target="https://digitalcommons.law.uga.edu/jipl/vol18/iss1/5/" TargetMode="External"/><Relationship Id="rId7" Type="http://schemas.openxmlformats.org/officeDocument/2006/relationships/hyperlink" Target="https://www.antaranews.com/berita/3430227/lmkn-pantau-dan-evaluasi-skema-silm-terkait-royalti-lagu-dan-musik" TargetMode="External"/><Relationship Id="rId12" Type="http://schemas.openxmlformats.org/officeDocument/2006/relationships/hyperlink" Target="https://www.tempo.co/teroka/ari-%20lasso-ajukan-petisi-audit-wami-imbas-kasus-royalti-musik-2058503" TargetMode="External"/><Relationship Id="rId17" Type="http://schemas.openxmlformats.org/officeDocument/2006/relationships/hyperlink" Target="https://www.thembj.org/2023/06/digitization-and-globalization-where-is-the-%20african-music-industry/" TargetMode="External"/><Relationship Id="rId25" Type="http://schemas.openxmlformats.org/officeDocument/2006/relationships/hyperlink" Target="https://www.billboard.com/articles/business/8482056/mma-op-ed-open-music-initiative-open-standards" TargetMode="External"/><Relationship Id="rId2" Type="http://schemas.openxmlformats.org/officeDocument/2006/relationships/hyperlink" Target="https://docs.wto.org/dol2fe/Pages/SS/directdoc.aspx?filename=Q:/IP/C/W721.pdf&amp;Open=True" TargetMode="External"/><Relationship Id="rId16" Type="http://schemas.openxmlformats.org/officeDocument/2006/relationships/hyperlink" Target="https://doi.org/10.1080/08109029508629187" TargetMode="External"/><Relationship Id="rId20" Type="http://schemas.openxmlformats.org/officeDocument/2006/relationships/hyperlink" Target="https://www.europarl.europa.eu/news/en/press-room/20240112IPR16773/music-streaming-sector-eu-must-ensure-just-pay-for-artists-and-fair-algorithms" TargetMode="External"/><Relationship Id="rId29" Type="http://schemas.openxmlformats.org/officeDocument/2006/relationships/hyperlink" Target="https://www.cisac.org/Newsroom/news-releases/wipo-and-cisac-announce-new-repertoire-data-agreement-support-collective" TargetMode="External"/><Relationship Id="rId1" Type="http://schemas.openxmlformats.org/officeDocument/2006/relationships/hyperlink" Target="https://www.wired.com/story/spotify-streaming-playlists-music/" TargetMode="External"/><Relationship Id="rId6" Type="http://schemas.openxmlformats.org/officeDocument/2006/relationships/hyperlink" Target="https://apnews.com/article/spotify-loud-clear-report-8ddab5a6e03f65233b0f9ed80eb99e0c" TargetMode="External"/><Relationship Id="rId11" Type="http://schemas.openxmlformats.org/officeDocument/2006/relationships/hyperlink" Target="https://rri.co.id/hiburan/1765868/tompi-mundur-dari-wami-dan-gratiskan-lagunya" TargetMode="External"/><Relationship Id="rId24" Type="http://schemas.openxmlformats.org/officeDocument/2006/relationships/hyperlink" Target="https://committees.parliament.uk/work/646/economics-of-music-%20streaming/publications/" TargetMode="External"/><Relationship Id="rId32" Type="http://schemas.openxmlformats.org/officeDocument/2006/relationships/hyperlink" Target="https://www.japantimes.co.jp/news/2025/08/26/japan/crime-legal/japan-newspapers-sue-ai-startup/" TargetMode="External"/><Relationship Id="rId5" Type="http://schemas.openxmlformats.org/officeDocument/2006/relationships/hyperlink" Target="https://www.ifpi.org/ifpi-global-music-report-global-recorded-music-revenues-grew-10-%202-in-2023/" TargetMode="External"/><Relationship Id="rId15" Type="http://schemas.openxmlformats.org/officeDocument/2006/relationships/hyperlink" Target="https://doi.org/10.3167/jla.2023.070202" TargetMode="External"/><Relationship Id="rId23" Type="http://schemas.openxmlformats.org/officeDocument/2006/relationships/hyperlink" Target="http://www.ifpi.org/downloads/GMR2017.pdf" TargetMode="External"/><Relationship Id="rId28" Type="http://schemas.openxmlformats.org/officeDocument/2006/relationships/hyperlink" Target="https://www.unevaluation.org/sites/default/files/member_publications/evaluation-report-wipo-%20connect_1730473099.pdf" TargetMode="External"/><Relationship Id="rId10" Type="http://schemas.openxmlformats.org/officeDocument/2006/relationships/hyperlink" Target="https://www.tempo.co/hukum/lmkn-kaji-tarif-royalti-pemutaran-musik-untuk-umkm-2057117" TargetMode="External"/><Relationship Id="rId19" Type="http://schemas.openxmlformats.org/officeDocument/2006/relationships/hyperlink" Target="https://nation.africa/kenya/business/kecobo-deregisters-3-royalty-collection-groups-3523056?utm_source.com" TargetMode="External"/><Relationship Id="rId31" Type="http://schemas.openxmlformats.org/officeDocument/2006/relationships/hyperlink" Target="https://doi.org/10.1093/ccc/tcad024" TargetMode="External"/><Relationship Id="rId4" Type="http://schemas.openxmlformats.org/officeDocument/2006/relationships/hyperlink" Target="https://www.reuters.com/business/media-telecom/streaming-subscriptions-boost-2023-recorded-music-revenues-report-2024-03-21/" TargetMode="External"/><Relationship Id="rId9" Type="http://schemas.openxmlformats.org/officeDocument/2006/relationships/hyperlink" Target="http://prsformusic.com/-/media/files/prs-for-music/licensing/repertoire_to_royalties-dec_2012" TargetMode="External"/><Relationship Id="rId14" Type="http://schemas.openxmlformats.org/officeDocument/2006/relationships/hyperlink" Target="https://www.wipo.int/edocs/pubdocs/ru/wipo-pub-cr-cmotoolkit-2025-ru-wipo-good-practice-toolkit-for-collective-management-organizations-the-toolkit.pdf" TargetMode="External"/><Relationship Id="rId22" Type="http://schemas.openxmlformats.org/officeDocument/2006/relationships/hyperlink" Target="https://www.theregreview.org/2024/05/30/stern-the-inequalities-of-digital-music-streaming/" TargetMode="External"/><Relationship Id="rId27" Type="http://schemas.openxmlformats.org/officeDocument/2006/relationships/hyperlink" Target="https://www.wipo.int/meetings/en/2011/wipo_cr_doc_ge_11/pdf/isherwood_grd.pdf" TargetMode="External"/><Relationship Id="rId30" Type="http://schemas.openxmlformats.org/officeDocument/2006/relationships/hyperlink" Target="https://www.digitalmusicnews.com/2014/07/10/global-repertoire-database-%20declared-global-failur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SCCR_47 (E)</Template>
  <TotalTime>1</TotalTime>
  <Pages>25</Pages>
  <Words>8179</Words>
  <Characters>49240</Characters>
  <Application>Microsoft Office Word</Application>
  <DocSecurity>0</DocSecurity>
  <Lines>911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</vt:lpstr>
    </vt:vector>
  </TitlesOfParts>
  <Company>WIPO</Company>
  <LinksUpToDate>false</LinksUpToDate>
  <CharactersWithSpaces>57173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</dc:title>
  <dc:creator>ROSENBERG Nicole</dc:creator>
  <cp:keywords>FOR OFFICIAL USE ONLY</cp:keywords>
  <cp:lastModifiedBy>HAIZEL Francesca</cp:lastModifiedBy>
  <cp:revision>2</cp:revision>
  <cp:lastPrinted>2011-02-15T11:56:00Z</cp:lastPrinted>
  <dcterms:created xsi:type="dcterms:W3CDTF">2025-11-10T08:49:00Z</dcterms:created>
  <dcterms:modified xsi:type="dcterms:W3CDTF">2025-11-10T08:49:00Z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