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84E9" w14:textId="6A4AF8EA" w:rsidR="008B2CC1" w:rsidRPr="008B2CC1" w:rsidRDefault="006F3E38" w:rsidP="00F11D94">
      <w:pPr>
        <w:spacing w:after="120"/>
        <w:jc w:val="right"/>
      </w:pPr>
      <w:r w:rsidRPr="0042194C">
        <w:rPr>
          <w:noProof/>
          <w:lang w:val="en-US"/>
        </w:rPr>
        <w:drawing>
          <wp:inline distT="0" distB="0" distL="0" distR="0" wp14:anchorId="593C05FE" wp14:editId="6EBECB12">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405FF5E5" wp14:editId="2DB7412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8847C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8A8F1F" w14:textId="6414B781" w:rsidR="008B2CC1" w:rsidRPr="001024FE" w:rsidRDefault="00FA7EAE" w:rsidP="001024FE">
      <w:pPr>
        <w:jc w:val="right"/>
        <w:rPr>
          <w:rFonts w:ascii="Arial Black" w:hAnsi="Arial Black"/>
          <w:caps/>
          <w:sz w:val="15"/>
          <w:szCs w:val="15"/>
        </w:rPr>
      </w:pPr>
      <w:r>
        <w:rPr>
          <w:rFonts w:ascii="Arial Black" w:hAnsi="Arial Black"/>
          <w:caps/>
          <w:sz w:val="15"/>
        </w:rPr>
        <w:t>SCCR/47/</w:t>
      </w:r>
      <w:bookmarkStart w:id="0" w:name="Code"/>
      <w:bookmarkEnd w:id="0"/>
      <w:r>
        <w:rPr>
          <w:rFonts w:ascii="Arial Black" w:hAnsi="Arial Black"/>
          <w:caps/>
          <w:sz w:val="15"/>
        </w:rPr>
        <w:t>4</w:t>
      </w:r>
    </w:p>
    <w:p w14:paraId="47A1861B" w14:textId="09D0C0EF"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AA29EBD" w14:textId="248098AC"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 октября 2025 года</w:t>
      </w:r>
    </w:p>
    <w:bookmarkEnd w:id="2"/>
    <w:p w14:paraId="6BB085D5" w14:textId="77777777" w:rsidR="008B2CC1" w:rsidRPr="003845C1" w:rsidRDefault="003F4808" w:rsidP="0095239B">
      <w:pPr>
        <w:spacing w:after="480"/>
        <w:rPr>
          <w:b/>
          <w:sz w:val="28"/>
          <w:szCs w:val="28"/>
        </w:rPr>
      </w:pPr>
      <w:r>
        <w:rPr>
          <w:b/>
          <w:sz w:val="28"/>
        </w:rPr>
        <w:t>Постоянный комитет по авторскому праву и смежным правам</w:t>
      </w:r>
    </w:p>
    <w:p w14:paraId="6E0B4007" w14:textId="77777777" w:rsidR="008B2CC1" w:rsidRPr="003845C1" w:rsidRDefault="003F4808" w:rsidP="008B2CC1">
      <w:pPr>
        <w:rPr>
          <w:b/>
          <w:sz w:val="24"/>
          <w:szCs w:val="24"/>
        </w:rPr>
      </w:pPr>
      <w:r>
        <w:rPr>
          <w:b/>
          <w:sz w:val="24"/>
        </w:rPr>
        <w:t>Сорок седьмая сессия</w:t>
      </w:r>
    </w:p>
    <w:p w14:paraId="40A42BED" w14:textId="77777777" w:rsidR="008B2CC1" w:rsidRPr="009F3BF9" w:rsidRDefault="003F4808" w:rsidP="00CE65D4">
      <w:pPr>
        <w:spacing w:after="720"/>
      </w:pPr>
      <w:r>
        <w:rPr>
          <w:b/>
          <w:sz w:val="24"/>
        </w:rPr>
        <w:t>Женева, 1–5 декабря 2025 года</w:t>
      </w:r>
    </w:p>
    <w:p w14:paraId="26DE73E0" w14:textId="77777777" w:rsidR="00996F5D" w:rsidRPr="006A55B3" w:rsidRDefault="00996F5D" w:rsidP="00996F5D">
      <w:pPr>
        <w:spacing w:after="360"/>
        <w:rPr>
          <w:caps/>
          <w:sz w:val="24"/>
          <w:szCs w:val="24"/>
        </w:rPr>
      </w:pPr>
      <w:bookmarkStart w:id="3" w:name="TitleOfDoc"/>
      <w:r>
        <w:rPr>
          <w:sz w:val="24"/>
        </w:rPr>
        <w:t>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w:t>
      </w:r>
    </w:p>
    <w:p w14:paraId="3488859A" w14:textId="5E194437" w:rsidR="00996F5D" w:rsidRDefault="00996F5D" w:rsidP="00CE65D4">
      <w:pPr>
        <w:spacing w:after="960"/>
        <w:rPr>
          <w:i/>
        </w:rPr>
      </w:pPr>
      <w:bookmarkStart w:id="4" w:name="Prepared"/>
      <w:bookmarkEnd w:id="3"/>
      <w:r>
        <w:rPr>
          <w:i/>
        </w:rPr>
        <w:t>Документ подготовлен Африканской группой</w:t>
      </w:r>
    </w:p>
    <w:p w14:paraId="0A5AD38A" w14:textId="77777777" w:rsidR="00996F5D" w:rsidRDefault="00996F5D">
      <w:pPr>
        <w:rPr>
          <w:i/>
        </w:rPr>
      </w:pPr>
      <w:r>
        <w:br w:type="page"/>
      </w:r>
    </w:p>
    <w:p w14:paraId="221EA132" w14:textId="4A306EA6" w:rsidR="00996F5D" w:rsidRPr="0090794C" w:rsidRDefault="00996F5D" w:rsidP="00996F5D">
      <w:pPr>
        <w:snapToGrid w:val="0"/>
        <w:spacing w:after="240"/>
        <w:rPr>
          <w:szCs w:val="22"/>
        </w:rPr>
      </w:pPr>
      <w:r>
        <w:lastRenderedPageBreak/>
        <w:t>Африканская группа хотела бы предложить Всемирной организации интеллектуальной собственности (ВОИС) начать работу по повышению осведомленности, заказав исследование о положении исполнителей аудиовизуальных произведений.  В рамках этого исследования следует представить обзор нормативно-правовой базы и экономической структуры, которыми регулируются права исполнителей во всем мире, при этом особое внимание нужно уделить тому, как они влияют на выплаты исполнителями вознаграждения за использование их аудиовизуальных исполнений.  За последнее десятилетие многие страны, особенно в Европе, Латинской Америке и некоторых регионах Африки, провели законодательные реформы, направленные на улучшение экономического положения исполнителей.  Эти реформы часто были сосредоточены на коллективном управлении и других механизмах, призванных обеспечить исполнителям выгоду от все более разнообразных и глобальных способов использования их исполнений аудиовизуальных произведений, в частности на цифровых платформах и платформах для воспроизведения исполнений по запросу.  Системный анализ таких изменений, а также моделей, применяемых в других регионах, позволил бы лучше понять эффектность разных видов практики.</w:t>
      </w:r>
    </w:p>
    <w:p w14:paraId="0C1ABE01" w14:textId="27C708C6" w:rsidR="00996F5D" w:rsidRPr="0090794C" w:rsidRDefault="00996F5D" w:rsidP="00996F5D">
      <w:pPr>
        <w:snapToGrid w:val="0"/>
        <w:spacing w:after="240"/>
        <w:rPr>
          <w:szCs w:val="22"/>
        </w:rPr>
      </w:pPr>
      <w:r>
        <w:t>Исследование также даст возможность оценить степень воздействия Пекинского договора по аудиовизуальным исполнениям.  Сравнение практики применения Договора различными юрисдикциями позволит изучить, как его положения воплотились в конкретные права исполнителей и выплаты им вознаграждений, а также выявить проблемы и наилучший опыт в его применении.  Кроме того, в исследовании можно рассмотреть взаимосвязь между национальным законодательством и договорной практикой, чтобы определить, вклад каждого из этих аспектов в экономическое участие исполнителей.</w:t>
      </w:r>
    </w:p>
    <w:p w14:paraId="78F7E0BC" w14:textId="45134988" w:rsidR="00996F5D" w:rsidRPr="0090794C" w:rsidRDefault="00996F5D" w:rsidP="00996F5D">
      <w:pPr>
        <w:snapToGrid w:val="0"/>
        <w:spacing w:after="240"/>
        <w:rPr>
          <w:szCs w:val="22"/>
        </w:rPr>
      </w:pPr>
      <w:r>
        <w:t>Исполнители, включая актеров, артистов озвучивания, танцоров и музыкантов, исполняющих звуковую дорожку, написанную для аудиовизуального произведения, играют важнейшую роль в создании аудиовизуальных произведений и их восприятии публикой.  Однако их правовое и экономическое положение в разных странах существенно различается. В некоторых странах и территориях исполнители рассматриваются в первую очередь через призму договорных механизмов, в то время как в других они имеют право на установленное законом вознаграждение.  По мере роста объемов аудиовизуальной продукции и с учетом потребности продюсеров в консолидации всех исключительных прав на произведения важно изучить механизмы, обеспечивающие выплату исполнителям справедливого и надлежащего вознаграждения. Таким образом, в рамках исследования следует оценить различные способы, с помощью которых страны обеспечивают экономическое участие исполнителей в использовании их аудиовизуальных исполнений, особенно в цифровой среде.</w:t>
      </w:r>
    </w:p>
    <w:p w14:paraId="58758B39" w14:textId="3D2DC0D7" w:rsidR="00996F5D" w:rsidRPr="0090794C" w:rsidRDefault="00996F5D" w:rsidP="00996F5D">
      <w:pPr>
        <w:snapToGrid w:val="0"/>
        <w:spacing w:after="240"/>
        <w:rPr>
          <w:szCs w:val="22"/>
        </w:rPr>
      </w:pPr>
      <w:r>
        <w:t xml:space="preserve">В исследовании следует рассмотреть также то, как различные правовые системы сочетают исключительные права, установленные законом права на вознаграждение, коллективное управление и коллективные переговоры для обеспечения справедливого вознаграждения исполнителей.  Такие механизмы сильно различаются по своей структуре и действенности. Понимание их функционирования на разных рынках позволит получить ценные сведения о том, как может развиваться </w:t>
      </w:r>
      <w:r w:rsidR="00B168DC">
        <w:t>нормативно-</w:t>
      </w:r>
      <w:r>
        <w:t>правовая база, чтобы обеспечить получение исполнителями экономической выгоды от использования аудиовизуальных произведений на различных платформах.</w:t>
      </w:r>
    </w:p>
    <w:p w14:paraId="306AFE86" w14:textId="77777777" w:rsidR="00996F5D" w:rsidRPr="0090794C" w:rsidRDefault="00996F5D" w:rsidP="00996F5D">
      <w:pPr>
        <w:snapToGrid w:val="0"/>
        <w:spacing w:after="240"/>
        <w:rPr>
          <w:szCs w:val="22"/>
        </w:rPr>
      </w:pPr>
      <w:r>
        <w:t>Сопоставление в рамках исследования правовых режимов и практики выплат вознаграждения, которые затрагивают аудиовизуальных исполнителей во всем мире, позволит национальным директивным органам получить сравнительную информацию, необходимую для укрепления экономического положения исполнителей и обеспечения получения ими надлежащего вознаграждения за их творческий вклад.</w:t>
      </w:r>
    </w:p>
    <w:p w14:paraId="13B314FA" w14:textId="77777777" w:rsidR="00996F5D" w:rsidRDefault="00996F5D" w:rsidP="00996F5D">
      <w:pPr>
        <w:snapToGrid w:val="0"/>
        <w:rPr>
          <w:szCs w:val="22"/>
        </w:rPr>
      </w:pPr>
      <w:r>
        <w:lastRenderedPageBreak/>
        <w:t>Полагаем, что членам и наблюдателям Комитета будет полезен обмен знаниями и опытом по этому вопросу, имеющему огромное значение для мирового сообщества аудиовизуальных исполнителей.</w:t>
      </w:r>
    </w:p>
    <w:p w14:paraId="18F5664B" w14:textId="77777777" w:rsidR="00996F5D" w:rsidRPr="00B168DC" w:rsidRDefault="00996F5D" w:rsidP="00996F5D">
      <w:pPr>
        <w:snapToGrid w:val="0"/>
        <w:rPr>
          <w:szCs w:val="22"/>
        </w:rPr>
      </w:pPr>
    </w:p>
    <w:p w14:paraId="23CBF7F8" w14:textId="77777777" w:rsidR="00996F5D" w:rsidRPr="00B168DC" w:rsidRDefault="00996F5D" w:rsidP="00996F5D">
      <w:pPr>
        <w:snapToGrid w:val="0"/>
        <w:rPr>
          <w:szCs w:val="22"/>
        </w:rPr>
      </w:pPr>
    </w:p>
    <w:p w14:paraId="58387A6F" w14:textId="77777777" w:rsidR="00996F5D" w:rsidRPr="00B168DC" w:rsidRDefault="00996F5D" w:rsidP="00996F5D">
      <w:pPr>
        <w:snapToGrid w:val="0"/>
        <w:rPr>
          <w:szCs w:val="22"/>
        </w:rPr>
      </w:pPr>
    </w:p>
    <w:p w14:paraId="1FD233C8" w14:textId="21BDD781" w:rsidR="008B2CC1" w:rsidRPr="00996F5D" w:rsidRDefault="00996F5D" w:rsidP="00996F5D">
      <w:pPr>
        <w:ind w:left="6030"/>
        <w:rPr>
          <w:iCs/>
        </w:rPr>
      </w:pPr>
      <w:r>
        <w:t>[Конец документа]</w:t>
      </w:r>
    </w:p>
    <w:bookmarkEnd w:id="4"/>
    <w:sectPr w:rsidR="008B2CC1" w:rsidRPr="00996F5D" w:rsidSect="00996F5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EB17" w14:textId="77777777" w:rsidR="00996F5D" w:rsidRDefault="00996F5D">
      <w:r>
        <w:separator/>
      </w:r>
    </w:p>
  </w:endnote>
  <w:endnote w:type="continuationSeparator" w:id="0">
    <w:p w14:paraId="61DEA9C1" w14:textId="77777777" w:rsidR="00996F5D" w:rsidRDefault="00996F5D" w:rsidP="003B38C1">
      <w:r>
        <w:separator/>
      </w:r>
    </w:p>
    <w:p w14:paraId="36232F00" w14:textId="77777777" w:rsidR="00996F5D" w:rsidRPr="00B168DC" w:rsidRDefault="00996F5D" w:rsidP="003B38C1">
      <w:pPr>
        <w:spacing w:after="60"/>
        <w:rPr>
          <w:sz w:val="17"/>
          <w:lang w:val="en-US"/>
        </w:rPr>
      </w:pPr>
      <w:r w:rsidRPr="00B168DC">
        <w:rPr>
          <w:sz w:val="17"/>
          <w:lang w:val="en-US"/>
        </w:rPr>
        <w:t>[Endnote continued from previous page]</w:t>
      </w:r>
    </w:p>
  </w:endnote>
  <w:endnote w:type="continuationNotice" w:id="1">
    <w:p w14:paraId="610DC08C" w14:textId="77777777" w:rsidR="00996F5D" w:rsidRPr="00B168DC" w:rsidRDefault="00996F5D" w:rsidP="003B38C1">
      <w:pPr>
        <w:spacing w:before="60"/>
        <w:jc w:val="right"/>
        <w:rPr>
          <w:sz w:val="17"/>
          <w:szCs w:val="17"/>
          <w:lang w:val="en-US"/>
        </w:rPr>
      </w:pPr>
      <w:r w:rsidRPr="00B168D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23E" w14:textId="77777777" w:rsidR="00996F5D" w:rsidRDefault="00996F5D">
      <w:r>
        <w:separator/>
      </w:r>
    </w:p>
  </w:footnote>
  <w:footnote w:type="continuationSeparator" w:id="0">
    <w:p w14:paraId="75346074" w14:textId="77777777" w:rsidR="00996F5D" w:rsidRDefault="00996F5D" w:rsidP="008B60B2">
      <w:r>
        <w:separator/>
      </w:r>
    </w:p>
    <w:p w14:paraId="7565470F" w14:textId="77777777" w:rsidR="00996F5D" w:rsidRPr="00B168DC" w:rsidRDefault="00996F5D" w:rsidP="008B60B2">
      <w:pPr>
        <w:spacing w:after="60"/>
        <w:rPr>
          <w:sz w:val="17"/>
          <w:szCs w:val="17"/>
          <w:lang w:val="en-US"/>
        </w:rPr>
      </w:pPr>
      <w:r w:rsidRPr="00B168DC">
        <w:rPr>
          <w:sz w:val="17"/>
          <w:szCs w:val="17"/>
          <w:lang w:val="en-US"/>
        </w:rPr>
        <w:t>[Footnote continued from previous page]</w:t>
      </w:r>
    </w:p>
  </w:footnote>
  <w:footnote w:type="continuationNotice" w:id="1">
    <w:p w14:paraId="1F526AE6" w14:textId="77777777" w:rsidR="00996F5D" w:rsidRPr="00B168DC" w:rsidRDefault="00996F5D" w:rsidP="008B60B2">
      <w:pPr>
        <w:spacing w:before="60"/>
        <w:jc w:val="right"/>
        <w:rPr>
          <w:sz w:val="17"/>
          <w:szCs w:val="17"/>
          <w:lang w:val="en-US"/>
        </w:rPr>
      </w:pPr>
      <w:r w:rsidRPr="00B168D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529E" w14:textId="0F3B130B" w:rsidR="00EC4E49" w:rsidRDefault="00996F5D" w:rsidP="00477D6B">
    <w:pPr>
      <w:jc w:val="right"/>
    </w:pPr>
    <w:bookmarkStart w:id="5" w:name="Code2"/>
    <w:bookmarkEnd w:id="5"/>
    <w:r>
      <w:t>SCCR/47/4</w:t>
    </w:r>
  </w:p>
  <w:p w14:paraId="0F0350A4"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0D3963DF" w14:textId="77777777" w:rsidR="00EC4E49" w:rsidRDefault="00EC4E49" w:rsidP="00477D6B">
    <w:pPr>
      <w:jc w:val="right"/>
    </w:pPr>
  </w:p>
  <w:p w14:paraId="6DB90FA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5D"/>
    <w:rsid w:val="00010F79"/>
    <w:rsid w:val="0001647B"/>
    <w:rsid w:val="00017C43"/>
    <w:rsid w:val="00043CAA"/>
    <w:rsid w:val="00075432"/>
    <w:rsid w:val="000968ED"/>
    <w:rsid w:val="00096B1A"/>
    <w:rsid w:val="000F5E56"/>
    <w:rsid w:val="001024FE"/>
    <w:rsid w:val="001362EE"/>
    <w:rsid w:val="00142868"/>
    <w:rsid w:val="00155AAE"/>
    <w:rsid w:val="001832A6"/>
    <w:rsid w:val="001C6808"/>
    <w:rsid w:val="001D1DA3"/>
    <w:rsid w:val="002121FA"/>
    <w:rsid w:val="002634C4"/>
    <w:rsid w:val="002928D3"/>
    <w:rsid w:val="002F1FE6"/>
    <w:rsid w:val="002F4E68"/>
    <w:rsid w:val="00312F7F"/>
    <w:rsid w:val="003228B7"/>
    <w:rsid w:val="003508A3"/>
    <w:rsid w:val="003673CF"/>
    <w:rsid w:val="003845C1"/>
    <w:rsid w:val="00394D57"/>
    <w:rsid w:val="003A6F89"/>
    <w:rsid w:val="003B38C1"/>
    <w:rsid w:val="003D352A"/>
    <w:rsid w:val="003F4808"/>
    <w:rsid w:val="00423E3E"/>
    <w:rsid w:val="00427AF4"/>
    <w:rsid w:val="004400E2"/>
    <w:rsid w:val="00444C62"/>
    <w:rsid w:val="00461632"/>
    <w:rsid w:val="004647DA"/>
    <w:rsid w:val="00474062"/>
    <w:rsid w:val="004762B7"/>
    <w:rsid w:val="00477D6B"/>
    <w:rsid w:val="004D39C4"/>
    <w:rsid w:val="0053057A"/>
    <w:rsid w:val="00560A29"/>
    <w:rsid w:val="00594D27"/>
    <w:rsid w:val="00601760"/>
    <w:rsid w:val="00605827"/>
    <w:rsid w:val="00640D02"/>
    <w:rsid w:val="00646050"/>
    <w:rsid w:val="006713CA"/>
    <w:rsid w:val="00676C5C"/>
    <w:rsid w:val="00695558"/>
    <w:rsid w:val="006D5E0F"/>
    <w:rsid w:val="006F3E38"/>
    <w:rsid w:val="007058FB"/>
    <w:rsid w:val="00724330"/>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96F5D"/>
    <w:rsid w:val="009E2791"/>
    <w:rsid w:val="009E3F6F"/>
    <w:rsid w:val="009F3BF9"/>
    <w:rsid w:val="009F499F"/>
    <w:rsid w:val="00A4003E"/>
    <w:rsid w:val="00A42DAF"/>
    <w:rsid w:val="00A45BD8"/>
    <w:rsid w:val="00A5792C"/>
    <w:rsid w:val="00A778BF"/>
    <w:rsid w:val="00A85B8E"/>
    <w:rsid w:val="00AB3100"/>
    <w:rsid w:val="00AC205C"/>
    <w:rsid w:val="00AD6DCA"/>
    <w:rsid w:val="00AF5C73"/>
    <w:rsid w:val="00B05A69"/>
    <w:rsid w:val="00B168DC"/>
    <w:rsid w:val="00B40598"/>
    <w:rsid w:val="00B50B99"/>
    <w:rsid w:val="00B62CD9"/>
    <w:rsid w:val="00B74666"/>
    <w:rsid w:val="00B9734B"/>
    <w:rsid w:val="00BD4BB6"/>
    <w:rsid w:val="00C00A50"/>
    <w:rsid w:val="00C11BFE"/>
    <w:rsid w:val="00C42181"/>
    <w:rsid w:val="00C94629"/>
    <w:rsid w:val="00CE65D4"/>
    <w:rsid w:val="00D15A56"/>
    <w:rsid w:val="00D16EC4"/>
    <w:rsid w:val="00D45252"/>
    <w:rsid w:val="00D71B4D"/>
    <w:rsid w:val="00D93D55"/>
    <w:rsid w:val="00E161A2"/>
    <w:rsid w:val="00E1703C"/>
    <w:rsid w:val="00E335FE"/>
    <w:rsid w:val="00E459A2"/>
    <w:rsid w:val="00E5021F"/>
    <w:rsid w:val="00E671A6"/>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4DD7A"/>
  <w15:docId w15:val="{EA119618-FD47-4EEF-ADAB-1D53698F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0</TotalTime>
  <Pages>3</Pages>
  <Words>505</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2</cp:revision>
  <cp:lastPrinted>2011-02-15T11:56:00Z</cp:lastPrinted>
  <dcterms:created xsi:type="dcterms:W3CDTF">2025-10-17T14:34:00Z</dcterms:created>
  <dcterms:modified xsi:type="dcterms:W3CDTF">2025-10-17T14:34:00Z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