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9264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1E32FE84" wp14:editId="255ACF71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7D4F273" wp14:editId="2F65FBC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51160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599C4E4" w14:textId="7A534BB8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SCCR/47/</w:t>
      </w:r>
      <w:bookmarkStart w:id="0" w:name="Code"/>
      <w:bookmarkEnd w:id="0"/>
      <w:r>
        <w:rPr>
          <w:rFonts w:ascii="Arial Black" w:hAnsi="Arial Black"/>
          <w:caps/>
          <w:sz w:val="15"/>
        </w:rPr>
        <w:t>11</w:t>
      </w:r>
    </w:p>
    <w:p w14:paraId="0723525F" w14:textId="688CC0E3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11BBD6E" w14:textId="7AD0A5CB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3 ДЕКАБРЯ 2025 ГОДА</w:t>
      </w:r>
    </w:p>
    <w:bookmarkEnd w:id="2"/>
    <w:p w14:paraId="503F2AA2" w14:textId="77777777" w:rsidR="008B2CC1" w:rsidRPr="003845C1" w:rsidRDefault="003F4808" w:rsidP="0095239B">
      <w:pPr>
        <w:spacing w:after="48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2253647E" w14:textId="77777777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7442EEDE" w14:textId="77777777" w:rsidR="008B2CC1" w:rsidRPr="009F3BF9" w:rsidRDefault="003F4808" w:rsidP="00CE65D4">
      <w:pPr>
        <w:spacing w:after="720"/>
      </w:pPr>
      <w:r>
        <w:rPr>
          <w:b/>
          <w:sz w:val="24"/>
        </w:rPr>
        <w:t>Женева, 1–5 декабря 2025 года</w:t>
      </w:r>
    </w:p>
    <w:p w14:paraId="46D2A439" w14:textId="101D32AD" w:rsidR="008B2CC1" w:rsidRPr="009F3BF9" w:rsidRDefault="00CE41A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ПРЕДЛОЖЕНИЕ О ПРОВЕДЕНИИ ИССЛЕДОВАНИЯ В ОТНОШЕНИИ ВЛИЯНИЯ ТВОРЧЕСКИХ ОТРАСЛЕЙ НА ЭКОНОМИЧЕСКИЙ РОСТ ГОСУДАРСТВ-ЧЛЕНОВ</w:t>
      </w:r>
    </w:p>
    <w:p w14:paraId="19F2F600" w14:textId="12D4D0D9" w:rsidR="008B2CC1" w:rsidRPr="004D39C4" w:rsidRDefault="00CE41A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подготовлено делегацией Соединенных Штатов Америки</w:t>
      </w:r>
    </w:p>
    <w:bookmarkEnd w:id="4"/>
    <w:p w14:paraId="18D428EE" w14:textId="095CC983" w:rsidR="00CE41A1" w:rsidRDefault="00CE41A1">
      <w:r>
        <w:br w:type="page"/>
      </w:r>
    </w:p>
    <w:p w14:paraId="6FC7E365" w14:textId="77777777" w:rsidR="00CE41A1" w:rsidRDefault="00CE41A1" w:rsidP="00CE41A1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Соединенные Штаты Америки просят Секретариат провести исследование в отношении влияния творческих отраслей, опирающихся на надежную охрану и эффективную защиту авторского права, на экономический рост государств-членов.</w:t>
      </w:r>
    </w:p>
    <w:p w14:paraId="626B97F2" w14:textId="77777777" w:rsidR="00CE41A1" w:rsidRDefault="00CE41A1" w:rsidP="00CE41A1">
      <w:pPr>
        <w:rPr>
          <w:rFonts w:ascii="Times New Roman" w:eastAsia="Arial" w:hAnsi="Times New Roman" w:cs="Times New Roman"/>
          <w:b/>
          <w:bCs/>
          <w:u w:val="single"/>
        </w:rPr>
      </w:pPr>
    </w:p>
    <w:p w14:paraId="54B0FB4D" w14:textId="77777777" w:rsidR="00CE41A1" w:rsidRPr="002B61C4" w:rsidRDefault="00CE41A1" w:rsidP="00CE41A1">
      <w:pPr>
        <w:rPr>
          <w:rFonts w:ascii="Times New Roman" w:eastAsia="Arial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КОНТЕКСТ</w:t>
      </w:r>
    </w:p>
    <w:p w14:paraId="24A59164" w14:textId="77777777" w:rsidR="00CE41A1" w:rsidRPr="00FE6FE9" w:rsidRDefault="00CE41A1" w:rsidP="00CE41A1">
      <w:pPr>
        <w:ind w:firstLine="720"/>
        <w:rPr>
          <w:rFonts w:ascii="Times New Roman" w:eastAsia="Arial" w:hAnsi="Times New Roman" w:cs="Times New Roman"/>
        </w:rPr>
      </w:pPr>
    </w:p>
    <w:p w14:paraId="7EC769B0" w14:textId="77777777" w:rsidR="00CE41A1" w:rsidRDefault="00CE41A1" w:rsidP="00CE41A1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Результаты экономических исследований и докладов, тематические исследования и иные данные последовательно указывают на то, что творческие отрасли, включая те, что функционируют в цифровой среде, вносят значительный вклад в экономический рост и процветание государств по всему миру. Успешная деятельность этих критически важных отраслей, которые включают широкий спектр различных сред, тематических направлений и авторов, оказывает существенное положительное влияние на валовой внутренний продукт (ВВП) стран, уровень занятости, международную торговлю, а также прямые иностранные инвестиции (ПИИ). Кроме того, творческие отрасли способствуют развитию национальной экономики, стимулируя местные предприятия, малые и средние предприятия (МСП), а также микро-МСП (ММСП) к творческой деятельности. Всемирная организация интеллектуальной собственности (ВОИС) признает экономическую важность творческих отраслей, ранее отметив, что творческие или основывающиеся на авторском праве отрасли «вносят непосредственный и опосредованный вклад в экономику и считаются все более значимыми для достижения важных экономических и социальных целей на национальном уровне»</w:t>
      </w:r>
      <w:r w:rsidRPr="00FE6FE9">
        <w:rPr>
          <w:rStyle w:val="FootnoteReference"/>
          <w:rFonts w:ascii="Times New Roman" w:eastAsia="Arial" w:hAnsi="Times New Roman" w:cs="Times New Roman"/>
        </w:rPr>
        <w:footnoteReference w:id="2"/>
      </w:r>
      <w:r>
        <w:rPr>
          <w:rFonts w:ascii="Times New Roman" w:hAnsi="Times New Roman"/>
        </w:rPr>
        <w:t xml:space="preserve">. </w:t>
      </w:r>
    </w:p>
    <w:p w14:paraId="432E8644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p w14:paraId="6AE1A5F5" w14:textId="77777777" w:rsidR="00CE41A1" w:rsidRPr="00FE6FE9" w:rsidRDefault="00CE41A1" w:rsidP="00CE41A1">
      <w:pPr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 настоящем предложении изложены концептуальные рамки для проведения нового обобщающего исследования о вкладе творческих и основывающихся на авторском праве отраслей в экономический рост посредством влияния на ВВП, число рабочих мест, международную торговлю и ПИИ. </w:t>
      </w:r>
    </w:p>
    <w:p w14:paraId="6DA89E3D" w14:textId="77777777" w:rsidR="00CE41A1" w:rsidRPr="00FE6FE9" w:rsidRDefault="00CE41A1" w:rsidP="00CE41A1">
      <w:pPr>
        <w:rPr>
          <w:rFonts w:ascii="Times New Roman" w:eastAsia="Arial" w:hAnsi="Times New Roman" w:cs="Times New Roman"/>
          <w:color w:val="000000" w:themeColor="text1"/>
        </w:rPr>
      </w:pPr>
    </w:p>
    <w:p w14:paraId="78CB7C46" w14:textId="77777777" w:rsidR="00CE41A1" w:rsidRPr="00C8709F" w:rsidRDefault="00CE41A1" w:rsidP="00CE41A1">
      <w:pPr>
        <w:rPr>
          <w:rFonts w:ascii="Times New Roman" w:eastAsia="Arial" w:hAnsi="Times New Roman" w:cs="Times New Roman"/>
          <w:i/>
          <w:iCs/>
          <w:color w:val="000000" w:themeColor="text1"/>
          <w:u w:val="single"/>
        </w:rPr>
      </w:pPr>
      <w:r>
        <w:rPr>
          <w:rFonts w:ascii="Times New Roman" w:hAnsi="Times New Roman"/>
          <w:i/>
          <w:color w:val="000000" w:themeColor="text1"/>
          <w:u w:val="single"/>
        </w:rPr>
        <w:t>Вклад творческих отраслей в ВВП, рост числа рабочих мест и ПИИ</w:t>
      </w:r>
    </w:p>
    <w:p w14:paraId="316B7BD9" w14:textId="77777777" w:rsidR="00CE41A1" w:rsidRDefault="00CE41A1" w:rsidP="00CE41A1">
      <w:pPr>
        <w:rPr>
          <w:rFonts w:ascii="Times New Roman" w:eastAsia="Arial" w:hAnsi="Times New Roman" w:cs="Times New Roman"/>
          <w:color w:val="000000" w:themeColor="text1"/>
        </w:rPr>
      </w:pPr>
    </w:p>
    <w:p w14:paraId="037AF566" w14:textId="77777777" w:rsidR="00CE41A1" w:rsidRDefault="00CE41A1" w:rsidP="00CE41A1">
      <w:pPr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Творческие или основывающиеся на авторском праве отрасли вносят значительный вклад в рост ВВП разных стран по всему миру. Согласно данным ВОИС, финансовая выгода от функционирования творческих отраслей последовательно стимулирует творческое производство, что способствует укреплению национальной экономики</w:t>
      </w:r>
      <w:r w:rsidRPr="00FE6FE9">
        <w:rPr>
          <w:rStyle w:val="FootnoteReference"/>
          <w:rFonts w:ascii="Times New Roman" w:eastAsia="Arial" w:hAnsi="Times New Roman" w:cs="Times New Roman"/>
          <w:color w:val="000000" w:themeColor="text1"/>
        </w:rPr>
        <w:footnoteReference w:id="3"/>
      </w:r>
      <w:r>
        <w:rPr>
          <w:rFonts w:ascii="Times New Roman" w:hAnsi="Times New Roman"/>
          <w:color w:val="000000" w:themeColor="text1"/>
        </w:rPr>
        <w:t>. Кроме того, творческие отрасли являются фактором создания широкого спектра рабочих мест, причем многие такие рабочие места различных категорий направлены на оптимизацию роста творческой деятельности. Каждый сектор в рамках творческих отраслей требует наличия сложной системы для создания, производства и распространения защищенных авторским правом материалов среди глобальной аудитории. Творческие отрасли играют критически важную роль в активном развитии международной торговли и экспорта. По мере того как новейшие технологии меняют облик мировой творческой экономики, многие страны совершенствуют свою цифровую инфраструктуру и внедряют стратегические меры политики для максимизации выгоды от экспорта творческой продукции. Наконец, надежная нормативно-правовая база в области авторского права, выступающая опорой для творческих отраслей, также связана с ПИИ, что влечет за собой реализацию специализированных творческих проектов и трансграничное сотрудничество. Доказано, что факторами привлечения ПИИ в страну являются понятная и предсказуемая нормативно-правовая база, необходимая для охраны творческих проектов, а также эффективная правоприменительная система, обеспечивающая противодействие созданию пиратских копий произведений</w:t>
      </w:r>
      <w:r w:rsidRPr="00FE6FE9">
        <w:rPr>
          <w:rStyle w:val="FootnoteReference"/>
          <w:rFonts w:ascii="Times New Roman" w:eastAsia="Arial" w:hAnsi="Times New Roman" w:cs="Times New Roman"/>
          <w:color w:val="000000" w:themeColor="text1"/>
        </w:rPr>
        <w:footnoteReference w:id="4"/>
      </w:r>
      <w:r>
        <w:rPr>
          <w:rFonts w:ascii="Times New Roman" w:hAnsi="Times New Roman"/>
          <w:color w:val="000000" w:themeColor="text1"/>
        </w:rPr>
        <w:t xml:space="preserve">. </w:t>
      </w:r>
    </w:p>
    <w:p w14:paraId="1F24FB0F" w14:textId="77777777" w:rsidR="00CE41A1" w:rsidRPr="00E443CC" w:rsidRDefault="00CE41A1" w:rsidP="00CE41A1">
      <w:pPr>
        <w:rPr>
          <w:rFonts w:ascii="Times New Roman" w:eastAsia="Arial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>ПРЕДЛОЖЕНИЕ</w:t>
      </w:r>
    </w:p>
    <w:p w14:paraId="68C04058" w14:textId="77777777" w:rsidR="00CE41A1" w:rsidRDefault="00CE41A1" w:rsidP="00CE41A1">
      <w:pPr>
        <w:rPr>
          <w:rFonts w:ascii="Times New Roman" w:eastAsia="Arial" w:hAnsi="Times New Roman" w:cs="Times New Roman"/>
          <w:b/>
          <w:bCs/>
        </w:rPr>
      </w:pPr>
    </w:p>
    <w:p w14:paraId="32715E44" w14:textId="77777777" w:rsidR="00CE41A1" w:rsidRPr="00FE6FE9" w:rsidRDefault="00CE41A1" w:rsidP="00CE41A1">
      <w:pPr>
        <w:rPr>
          <w:rFonts w:ascii="Times New Roman" w:eastAsia="Arial" w:hAnsi="Times New Roman" w:cs="Times New Roman"/>
          <w:b/>
          <w:bCs/>
        </w:rPr>
      </w:pPr>
      <w:r>
        <w:rPr>
          <w:rFonts w:ascii="Times New Roman" w:hAnsi="Times New Roman"/>
          <w:b/>
        </w:rPr>
        <w:lastRenderedPageBreak/>
        <w:t xml:space="preserve">ОБОБЩАЮЩЕЕ ИССЛЕДОВАНИЕ В ОТНОШЕНИИ ТВОРЧЕСКИХ ОТРАСЛЕЙ И ЭКОНОМИЧЕСКОГО РОСТА </w:t>
      </w:r>
    </w:p>
    <w:p w14:paraId="423A1891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p w14:paraId="49CD3F8D" w14:textId="77777777" w:rsidR="00CE41A1" w:rsidRDefault="00CE41A1" w:rsidP="00CE41A1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 xml:space="preserve">ВОИС изучает влияние основанных на авторском праве отраслей и творческих отраслей на экономику государств — членов ВОИС уже более двух десятилетий. В 2003 году ВОИС опубликовала «Справочник по исследованию экономической роли творческих отраслей» с целью предложить общую структуру для оценки размера основанных на авторском праве отраслей, которая могла бы позволить проводить значимое сравнение этих отраслей для информирования директивных органов, экономистов и специалистов по обработке данных. ВОИС обновила это руководство и сопутствующую методологию в 2015 году, отметив, что «[в] применение методологии внесли свой вклад свыше 200 исследователей: это позволило получить ценные результаты, применить инновационные подходы и обозначить области, нуждающиеся в дальнейшем усовершенствовании». Эта методология применяется более чем в 50 странах и регионах, причем многие страны использовали ее для проведения многочисленных исследований в течение последних двух десятилетий. Кроме того, в 2015 и 2021 годах ВОИС опубликовала сравнительные резюме некоторых результатов отдельных экономических исследований ВОИС. Эти краткие обзоры продемонстрировали сравнительную долю вклада творческих отраслей в национальный ВВП и уровень занятости, а также соответствующий показатель производительности труда, который свидетельствовал о потенциальной неэффективности труда в творческих отраслях в некоторых странах. </w:t>
      </w:r>
    </w:p>
    <w:p w14:paraId="620BEBFF" w14:textId="77777777" w:rsidR="00CE41A1" w:rsidRDefault="00CE41A1" w:rsidP="00CE41A1">
      <w:pPr>
        <w:tabs>
          <w:tab w:val="center" w:pos="4680"/>
        </w:tabs>
        <w:rPr>
          <w:rFonts w:ascii="Times New Roman" w:eastAsia="Arial" w:hAnsi="Times New Roman" w:cs="Times New Roman"/>
        </w:rPr>
      </w:pPr>
    </w:p>
    <w:p w14:paraId="7E69856D" w14:textId="77777777" w:rsidR="00CE41A1" w:rsidRDefault="00CE41A1" w:rsidP="00CE41A1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 xml:space="preserve">Учитывая продолжающийся рост творческих отраслей по всему миру и преобразующую роль цифровой среды в создании, производстве и распространении результатов творческой деятельности, в настоящее время представляется целесообразным провести повторный анализ и оценку влияния творческих отраслей на экономику государств — членов ВОИС. Многие из существующих экономических исследований ВОИС были проведены более десяти лет назад и не учитывают последние изменения в функционировании творческих отраслей или в том, как государства-члены собирают данные о цифровом коммерческом пространстве. </w:t>
      </w:r>
    </w:p>
    <w:p w14:paraId="3130A71A" w14:textId="77777777" w:rsidR="00CE41A1" w:rsidRDefault="00CE41A1" w:rsidP="00CE41A1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 xml:space="preserve">Учитывая взрывной рост искусственного интеллекта в последние три года, особенно важно зафиксировать и оценить экономическое состояние творческих отраслей на текущий момент времени. Собранные данные послужат основой для будущих сравнений, а также для разработки передовых методов сохранения роста в творческих отраслях. </w:t>
      </w:r>
    </w:p>
    <w:p w14:paraId="328757B4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p w14:paraId="0D3C6445" w14:textId="77777777" w:rsidR="00CE41A1" w:rsidRDefault="00CE41A1" w:rsidP="00CE41A1">
      <w:pPr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В связи с этим предлагается провести новое обобщающее исследование под названием «Творческие отрасли и экономический рост (исследование)», которое будет подготовлено Сектором экосистем ИС и инноваций ВОИС в консультации с Сектором авторского права и творческих отраслей, с целью пересмотра предыдущей методологии, включения новых показателей влияния цифрового рынка и отражения текущего экономического воздействия творческих отраслей в государствах — членах ВОИС. Для того чтобы исследование отвечало современным экономическим изменениям и тенденциям, влияющим на авторов и творческие отрасли во всем мире, и могло служить объективным и понятным для пользователей инструментом сравнения, оно будет иметь следующие параметры:</w:t>
      </w:r>
    </w:p>
    <w:p w14:paraId="60DF504E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3"/>
        <w:gridCol w:w="5752"/>
      </w:tblGrid>
      <w:tr w:rsidR="00CE41A1" w14:paraId="3A5425DD" w14:textId="77777777" w:rsidTr="0081214B">
        <w:tc>
          <w:tcPr>
            <w:tcW w:w="3595" w:type="dxa"/>
          </w:tcPr>
          <w:p w14:paraId="7218A4BD" w14:textId="77777777" w:rsidR="00CE41A1" w:rsidRPr="00472E53" w:rsidRDefault="00CE41A1" w:rsidP="0081214B">
            <w:pPr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755" w:type="dxa"/>
          </w:tcPr>
          <w:p w14:paraId="3674CFC9" w14:textId="77777777" w:rsidR="00CE41A1" w:rsidRPr="00472E53" w:rsidRDefault="00CE41A1" w:rsidP="0081214B">
            <w:pPr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Описание</w:t>
            </w:r>
          </w:p>
        </w:tc>
      </w:tr>
      <w:tr w:rsidR="00CE41A1" w14:paraId="2A90E6AD" w14:textId="77777777" w:rsidTr="0081214B">
        <w:tc>
          <w:tcPr>
            <w:tcW w:w="3595" w:type="dxa"/>
          </w:tcPr>
          <w:p w14:paraId="493D72F1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Методология</w:t>
            </w:r>
          </w:p>
        </w:tc>
        <w:tc>
          <w:tcPr>
            <w:tcW w:w="5755" w:type="dxa"/>
          </w:tcPr>
          <w:p w14:paraId="556F515B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В исследовании будут применяться все определения и расчеты, приведенные в «Справочнике по исследованию экономической роли творческих отраслей» ВОИС 2015 года.</w:t>
            </w:r>
          </w:p>
        </w:tc>
      </w:tr>
      <w:tr w:rsidR="00CE41A1" w14:paraId="647E045F" w14:textId="77777777" w:rsidTr="0081214B">
        <w:tc>
          <w:tcPr>
            <w:tcW w:w="3595" w:type="dxa"/>
          </w:tcPr>
          <w:p w14:paraId="13EE53CA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Наборы данных</w:t>
            </w:r>
          </w:p>
        </w:tc>
        <w:tc>
          <w:tcPr>
            <w:tcW w:w="5755" w:type="dxa"/>
          </w:tcPr>
          <w:p w14:paraId="39113729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Данные, используемые государствами-членами для расчета результатов в рамках исследования, должны быть получены из последних доступных национальных экономических массивов данных на момент утверждения настоящего исследования.</w:t>
            </w:r>
          </w:p>
        </w:tc>
      </w:tr>
      <w:tr w:rsidR="00CE41A1" w14:paraId="22D12330" w14:textId="77777777" w:rsidTr="0081214B">
        <w:tc>
          <w:tcPr>
            <w:tcW w:w="3595" w:type="dxa"/>
          </w:tcPr>
          <w:p w14:paraId="517AA09B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Измеряемые результаты</w:t>
            </w:r>
          </w:p>
        </w:tc>
        <w:tc>
          <w:tcPr>
            <w:tcW w:w="5755" w:type="dxa"/>
          </w:tcPr>
          <w:p w14:paraId="687029F5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Каждое участвующее в проведении исследования государство-член должно, по возможности, предоставить следующую информацию за указанный выше трехлетний период:</w:t>
            </w:r>
          </w:p>
          <w:p w14:paraId="32067911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вклад отраслей авторского права в ВВП (в процентах);</w:t>
            </w:r>
          </w:p>
          <w:p w14:paraId="3D5F4B94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вклад отраслей авторского права в занятость в стране (в процентах);</w:t>
            </w:r>
          </w:p>
          <w:p w14:paraId="0BE354C5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вклад отраслей авторского права в экспорт (в процентах);</w:t>
            </w:r>
          </w:p>
          <w:p w14:paraId="2B37C18A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размер вознаграждения, выплачиваемого работникам отраслей авторского права (в процентах по сравнению с работниками отраслей, не связанных с авторским правом);</w:t>
            </w:r>
          </w:p>
          <w:p w14:paraId="150898E9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членство в договорах ВОИС и их исполнение с указанием конкретного перечня.</w:t>
            </w:r>
          </w:p>
          <w:p w14:paraId="05DEEAF4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</w:p>
          <w:p w14:paraId="53E850FB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На основе данных, предоставленных государствами-членами, в рамках исследования также будут рассчитаны следующие показатели за указанный выше трехлетний период:</w:t>
            </w:r>
          </w:p>
          <w:p w14:paraId="12778BD2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темпы роста вклада отраслей авторского права в ВВП; </w:t>
            </w:r>
          </w:p>
          <w:p w14:paraId="0F3BBA94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темпы роста вклада отраслей авторского права в уровень занятости в стране; </w:t>
            </w:r>
          </w:p>
          <w:p w14:paraId="01717797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темпы роста вклада отраслей авторского права в экспорт; </w:t>
            </w:r>
          </w:p>
          <w:p w14:paraId="79059BB1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темпы роста вознаграждения, выплачиваемого работникам отраслей авторского права. </w:t>
            </w:r>
          </w:p>
          <w:p w14:paraId="6732CC36" w14:textId="77777777" w:rsidR="00CE41A1" w:rsidRDefault="00CE41A1" w:rsidP="00CE41A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CE41A1" w14:paraId="26A7C1B0" w14:textId="77777777" w:rsidTr="0081214B">
        <w:tc>
          <w:tcPr>
            <w:tcW w:w="3595" w:type="dxa"/>
          </w:tcPr>
          <w:p w14:paraId="4C3FADAC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5755" w:type="dxa"/>
          </w:tcPr>
          <w:p w14:paraId="41F67308" w14:textId="77777777" w:rsidR="00CE41A1" w:rsidRDefault="00CE41A1" w:rsidP="0081214B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/>
              </w:rPr>
              <w:t>Открыто для всех государств-членов.</w:t>
            </w:r>
          </w:p>
        </w:tc>
      </w:tr>
    </w:tbl>
    <w:p w14:paraId="0CBE573B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p w14:paraId="161F8599" w14:textId="77777777" w:rsidR="00CE41A1" w:rsidRDefault="00CE41A1" w:rsidP="00CE41A1">
      <w:pPr>
        <w:rPr>
          <w:rFonts w:ascii="Times New Roman" w:eastAsia="Arial" w:hAnsi="Times New Roman" w:cs="Times New Roman"/>
        </w:rPr>
      </w:pPr>
    </w:p>
    <w:p w14:paraId="243248F2" w14:textId="77777777" w:rsidR="00CE41A1" w:rsidRPr="00FE6FE9" w:rsidRDefault="00CE41A1" w:rsidP="00CE41A1">
      <w:pPr>
        <w:rPr>
          <w:rFonts w:ascii="Times New Roman" w:eastAsia="Arial" w:hAnsi="Times New Roman" w:cs="Times New Roman"/>
        </w:rPr>
      </w:pPr>
    </w:p>
    <w:p w14:paraId="7D25212F" w14:textId="77777777" w:rsidR="00CE41A1" w:rsidRPr="00FE6FE9" w:rsidRDefault="00CE41A1" w:rsidP="00CE41A1">
      <w:pPr>
        <w:ind w:left="6237" w:firstLine="567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[Конец документа]</w:t>
      </w:r>
    </w:p>
    <w:p w14:paraId="47AB4E4D" w14:textId="77777777" w:rsidR="002928D3" w:rsidRDefault="002928D3" w:rsidP="003D352A">
      <w:pPr>
        <w:spacing w:after="220"/>
      </w:pPr>
    </w:p>
    <w:sectPr w:rsidR="002928D3" w:rsidSect="00CE41A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B90A" w14:textId="77777777" w:rsidR="00CE41A1" w:rsidRDefault="00CE41A1">
      <w:r>
        <w:separator/>
      </w:r>
    </w:p>
  </w:endnote>
  <w:endnote w:type="continuationSeparator" w:id="0">
    <w:p w14:paraId="48366263" w14:textId="77777777" w:rsidR="00CE41A1" w:rsidRDefault="00CE41A1" w:rsidP="003B38C1">
      <w:r>
        <w:separator/>
      </w:r>
    </w:p>
    <w:p w14:paraId="696941B6" w14:textId="77777777" w:rsidR="00CE41A1" w:rsidRPr="003B38C1" w:rsidRDefault="00CE41A1" w:rsidP="003B38C1">
      <w:pPr>
        <w:spacing w:after="60"/>
        <w:rPr>
          <w:sz w:val="17"/>
        </w:rPr>
      </w:pPr>
      <w:r>
        <w:rPr>
          <w:sz w:val="17"/>
        </w:rPr>
        <w:t xml:space="preserve">[Endnote </w:t>
      </w:r>
      <w:r>
        <w:rPr>
          <w:sz w:val="17"/>
        </w:rPr>
        <w:t>continued from previous page]</w:t>
      </w:r>
    </w:p>
  </w:endnote>
  <w:endnote w:type="continuationNotice" w:id="1">
    <w:p w14:paraId="65F9E96C" w14:textId="77777777" w:rsidR="00CE41A1" w:rsidRPr="003B38C1" w:rsidRDefault="00CE41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CD82" w14:textId="77777777" w:rsidR="00CE41A1" w:rsidRDefault="00CE41A1">
      <w:r>
        <w:separator/>
      </w:r>
    </w:p>
  </w:footnote>
  <w:footnote w:type="continuationSeparator" w:id="0">
    <w:p w14:paraId="1D2D689D" w14:textId="77777777" w:rsidR="00CE41A1" w:rsidRDefault="00CE41A1" w:rsidP="008B60B2">
      <w:r>
        <w:separator/>
      </w:r>
    </w:p>
    <w:p w14:paraId="721321D4" w14:textId="77777777" w:rsidR="00CE41A1" w:rsidRPr="00ED77FB" w:rsidRDefault="00CE41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522306" w14:textId="77777777" w:rsidR="00CE41A1" w:rsidRPr="00ED77FB" w:rsidRDefault="00CE41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14771578" w14:textId="77777777" w:rsidR="00CE41A1" w:rsidRPr="00C1607D" w:rsidRDefault="00CE41A1" w:rsidP="00CE41A1">
      <w:pPr>
        <w:pStyle w:val="FootnoteText"/>
        <w:rPr>
          <w:rFonts w:ascii="Times New Roman" w:hAnsi="Times New Roman" w:cs="Times New Roman"/>
          <w:szCs w:val="18"/>
        </w:rPr>
      </w:pPr>
      <w:r>
        <w:rPr>
          <w:rStyle w:val="FootnoteReference"/>
          <w:rFonts w:ascii="Times New Roman" w:hAnsi="Times New Roman" w:cs="Times New Roman"/>
          <w:szCs w:val="18"/>
        </w:rPr>
        <w:footnoteRef/>
      </w:r>
      <w:r>
        <w:rPr>
          <w:rFonts w:ascii="Times New Roman" w:hAnsi="Times New Roman"/>
        </w:rPr>
        <w:t xml:space="preserve"> </w:t>
      </w:r>
      <w:hyperlink r:id="rId1" w:history="1">
        <w:r>
          <w:rPr>
            <w:rStyle w:val="Hyperlink"/>
            <w:rFonts w:ascii="Times New Roman" w:hAnsi="Times New Roman"/>
          </w:rPr>
          <w:t>https://www.wipo.int/en/web/copyright/economic-performance</w:t>
        </w:r>
      </w:hyperlink>
      <w:r>
        <w:rPr>
          <w:rFonts w:ascii="Times New Roman" w:hAnsi="Times New Roman"/>
        </w:rPr>
        <w:t>.</w:t>
      </w:r>
    </w:p>
  </w:footnote>
  <w:footnote w:id="3">
    <w:p w14:paraId="377F46C7" w14:textId="77777777" w:rsidR="00CE41A1" w:rsidRPr="00C1607D" w:rsidRDefault="00CE41A1" w:rsidP="00CE41A1">
      <w:pPr>
        <w:pStyle w:val="FootnoteText"/>
        <w:rPr>
          <w:rFonts w:ascii="Times New Roman" w:eastAsia="Arial" w:hAnsi="Times New Roman" w:cs="Times New Roman"/>
          <w:szCs w:val="18"/>
        </w:rPr>
      </w:pPr>
      <w:r>
        <w:rPr>
          <w:rStyle w:val="FootnoteReference"/>
          <w:rFonts w:ascii="Times New Roman" w:eastAsia="Arial" w:hAnsi="Times New Roman" w:cs="Times New Roman"/>
          <w:szCs w:val="18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</w:rPr>
        <w:t>Watt, Richard,</w:t>
      </w:r>
      <w:r>
        <w:rPr>
          <w:rFonts w:ascii="Times New Roman" w:hAnsi="Times New Roman"/>
          <w:i/>
          <w:color w:val="000000" w:themeColor="text1"/>
        </w:rPr>
        <w:t xml:space="preserve"> An Empirical Analysis on the Benefits of Copyright</w:t>
      </w:r>
      <w:r>
        <w:rPr>
          <w:rFonts w:ascii="Times New Roman" w:hAnsi="Times New Roman"/>
          <w:color w:val="000000" w:themeColor="text1"/>
        </w:rPr>
        <w:t xml:space="preserve">, WORLD INTELLECTUAL PROPERTY ORGANIZATION 2009, available at </w:t>
      </w:r>
      <w:hyperlink r:id="rId2" w:history="1">
        <w:r>
          <w:rPr>
            <w:rStyle w:val="Hyperlink"/>
            <w:rFonts w:ascii="Times New Roman" w:hAnsi="Times New Roman"/>
          </w:rPr>
          <w:t>https://www.wipo.int/edocs/pubdocs/en/wipo_pub_1012-chapter3.pdf</w:t>
        </w:r>
      </w:hyperlink>
      <w:r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</w:rPr>
        <w:t xml:space="preserve"> </w:t>
      </w:r>
    </w:p>
  </w:footnote>
  <w:footnote w:id="4">
    <w:p w14:paraId="28CB2440" w14:textId="77777777" w:rsidR="00CE41A1" w:rsidRPr="00C1607D" w:rsidRDefault="00CE41A1" w:rsidP="00CE41A1">
      <w:pPr>
        <w:pStyle w:val="FootnoteText"/>
        <w:shd w:val="clear" w:color="auto" w:fill="FFFFFF" w:themeFill="background1"/>
        <w:rPr>
          <w:rFonts w:ascii="Times New Roman" w:eastAsia="Arial" w:hAnsi="Times New Roman" w:cs="Times New Roman"/>
          <w:szCs w:val="18"/>
        </w:rPr>
      </w:pPr>
      <w:r>
        <w:rPr>
          <w:rStyle w:val="FootnoteReference"/>
          <w:rFonts w:ascii="Times New Roman" w:eastAsia="Arial" w:hAnsi="Times New Roman" w:cs="Times New Roman"/>
          <w:szCs w:val="18"/>
          <w:lang w:val="fr-FR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Jérémie </w:t>
      </w:r>
      <w:r>
        <w:rPr>
          <w:rFonts w:ascii="Times New Roman" w:hAnsi="Times New Roman"/>
        </w:rPr>
        <w:t xml:space="preserve">Bertrand, Joseph Lemoine, Dan Negrea, &amp; Caroline Perrin, </w:t>
      </w:r>
      <w:r>
        <w:rPr>
          <w:rFonts w:ascii="Times New Roman" w:hAnsi="Times New Roman"/>
          <w:i/>
        </w:rPr>
        <w:t>Attracting Foreign Direct Investments,</w:t>
      </w:r>
      <w:r>
        <w:rPr>
          <w:rFonts w:ascii="Times New Roman" w:hAnsi="Times New Roman"/>
        </w:rPr>
        <w:t xml:space="preserve"> ATLANTIC COUNCIL (15 Mar. 2024), available at </w:t>
      </w:r>
      <w:hyperlink r:id="rId3" w:history="1">
        <w:r>
          <w:rPr>
            <w:rStyle w:val="Hyperlink"/>
            <w:rFonts w:ascii="Times New Roman" w:hAnsi="Times New Roman"/>
          </w:rPr>
          <w:t>https://www.atlanticcouncil.org/in-depth-research-reports/report/attracting-foreign-direct-investments/</w:t>
        </w:r>
      </w:hyperlink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8CAF" w14:textId="240C5725" w:rsidR="00EC4E49" w:rsidRDefault="00CE41A1" w:rsidP="00477D6B">
    <w:pPr>
      <w:jc w:val="right"/>
    </w:pPr>
    <w:bookmarkStart w:id="5" w:name="Code2"/>
    <w:bookmarkEnd w:id="5"/>
    <w:r>
      <w:t>SCCR/47/11</w:t>
    </w:r>
  </w:p>
  <w:p w14:paraId="37BCD99C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62F50CD0" w14:textId="77777777" w:rsidR="00EC4E49" w:rsidRDefault="00EC4E49" w:rsidP="00477D6B">
    <w:pPr>
      <w:jc w:val="right"/>
    </w:pPr>
  </w:p>
  <w:p w14:paraId="6DF96AEA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F2637"/>
    <w:multiLevelType w:val="hybridMultilevel"/>
    <w:tmpl w:val="3670CCA8"/>
    <w:lvl w:ilvl="0" w:tplc="993C1CE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  <w:num w:numId="7" w16cid:durableId="1281495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A1"/>
    <w:rsid w:val="00010F79"/>
    <w:rsid w:val="0001647B"/>
    <w:rsid w:val="00017C43"/>
    <w:rsid w:val="00043CAA"/>
    <w:rsid w:val="00075432"/>
    <w:rsid w:val="000968ED"/>
    <w:rsid w:val="00096B1A"/>
    <w:rsid w:val="000F5E56"/>
    <w:rsid w:val="001024FE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60A29"/>
    <w:rsid w:val="00593322"/>
    <w:rsid w:val="00594D27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82CAC"/>
    <w:rsid w:val="007A198B"/>
    <w:rsid w:val="007B6A58"/>
    <w:rsid w:val="007D1613"/>
    <w:rsid w:val="008332E8"/>
    <w:rsid w:val="00873EE5"/>
    <w:rsid w:val="008B2CC1"/>
    <w:rsid w:val="008B4B5E"/>
    <w:rsid w:val="008B60B2"/>
    <w:rsid w:val="0090731E"/>
    <w:rsid w:val="00916EE2"/>
    <w:rsid w:val="00924FAA"/>
    <w:rsid w:val="009466D4"/>
    <w:rsid w:val="0095239B"/>
    <w:rsid w:val="009537E4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792C"/>
    <w:rsid w:val="00A778BF"/>
    <w:rsid w:val="00A85B8E"/>
    <w:rsid w:val="00AB3100"/>
    <w:rsid w:val="00AC205C"/>
    <w:rsid w:val="00AF5C73"/>
    <w:rsid w:val="00B05A69"/>
    <w:rsid w:val="00B40598"/>
    <w:rsid w:val="00B50B99"/>
    <w:rsid w:val="00B62CD9"/>
    <w:rsid w:val="00B74666"/>
    <w:rsid w:val="00B9734B"/>
    <w:rsid w:val="00BD4BB6"/>
    <w:rsid w:val="00C00A50"/>
    <w:rsid w:val="00C11BFE"/>
    <w:rsid w:val="00C42181"/>
    <w:rsid w:val="00C94629"/>
    <w:rsid w:val="00CE41A1"/>
    <w:rsid w:val="00CE65D4"/>
    <w:rsid w:val="00D16EC4"/>
    <w:rsid w:val="00D45252"/>
    <w:rsid w:val="00D71B4D"/>
    <w:rsid w:val="00D93D55"/>
    <w:rsid w:val="00E161A2"/>
    <w:rsid w:val="00E1703C"/>
    <w:rsid w:val="00E335FE"/>
    <w:rsid w:val="00E5021F"/>
    <w:rsid w:val="00E671A6"/>
    <w:rsid w:val="00EA5B11"/>
    <w:rsid w:val="00EC4E49"/>
    <w:rsid w:val="00ED77FB"/>
    <w:rsid w:val="00F021A6"/>
    <w:rsid w:val="00F11D94"/>
    <w:rsid w:val="00F51DEC"/>
    <w:rsid w:val="00F66152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993FE"/>
  <w15:docId w15:val="{097ECFF5-946C-4CD3-8B53-5659B20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CE41A1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CE41A1"/>
    <w:rPr>
      <w:color w:val="467886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1A1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CE41A1"/>
    <w:rPr>
      <w:vertAlign w:val="superscript"/>
    </w:rPr>
  </w:style>
  <w:style w:type="table" w:styleId="TableGrid">
    <w:name w:val="Table Grid"/>
    <w:basedOn w:val="TableNormal"/>
    <w:uiPriority w:val="59"/>
    <w:rsid w:val="00CE41A1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tlanticcouncil.org/in-depth-research-reports/report/attracting-foreign-direct-investments/" TargetMode="External"/><Relationship Id="rId2" Type="http://schemas.openxmlformats.org/officeDocument/2006/relationships/hyperlink" Target="https://www.wipo.int/edocs/pubdocs/en/wipo_pub_1012-chapter3.pdf" TargetMode="External"/><Relationship Id="rId1" Type="http://schemas.openxmlformats.org/officeDocument/2006/relationships/hyperlink" Target="https://www.wipo.int/en/web/copyright/economic-perform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1</TotalTime>
  <Pages>4</Pages>
  <Words>1015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2025-12-09T16:29:00Z</dcterms:created>
  <dcterms:modified xsi:type="dcterms:W3CDTF">2025-12-09T16:29:00Z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