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A" w:rsidRDefault="00677CE0">
      <w:pPr>
        <w:widowControl w:val="0"/>
      </w:pPr>
      <w:bookmarkStart w:id="0" w:name="_GoBack"/>
      <w:bookmarkEnd w:id="0"/>
      <w:r>
        <w:t xml:space="preserve"> </w:t>
      </w:r>
    </w:p>
    <w:tbl>
      <w:tblPr>
        <w:tblStyle w:val="a"/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13"/>
        <w:gridCol w:w="4337"/>
        <w:gridCol w:w="510"/>
      </w:tblGrid>
      <w:tr w:rsidR="00953D5A">
        <w:tc>
          <w:tcPr>
            <w:tcW w:w="4513" w:type="dxa"/>
            <w:tcBorders>
              <w:bottom w:val="single" w:sz="4" w:space="0" w:color="000000"/>
            </w:tcBorders>
            <w:tcMar>
              <w:bottom w:w="170" w:type="dxa"/>
            </w:tcMar>
          </w:tcPr>
          <w:p w:rsidR="00953D5A" w:rsidRDefault="00953D5A">
            <w:pPr>
              <w:widowControl w:val="0"/>
            </w:pPr>
          </w:p>
        </w:tc>
        <w:tc>
          <w:tcPr>
            <w:tcW w:w="4337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53D5A" w:rsidRDefault="0022751E">
            <w:pPr>
              <w:widowControl w:val="0"/>
            </w:pPr>
            <w:r w:rsidRPr="0033463F">
              <w:rPr>
                <w:noProof/>
                <w:lang w:eastAsia="en-US"/>
              </w:rPr>
              <w:drawing>
                <wp:inline distT="0" distB="0" distL="0" distR="0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953D5A" w:rsidRDefault="0022751E">
            <w:pPr>
              <w:widowControl w:val="0"/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53D5A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00000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53D5A" w:rsidRPr="007807F3" w:rsidRDefault="00CD1487" w:rsidP="00C96684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</w:rPr>
            </w:pPr>
            <w:r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SCCR/3</w:t>
            </w:r>
            <w:r w:rsidR="002F1DB0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8</w:t>
            </w:r>
            <w:r w:rsidR="00C96684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/3</w:t>
            </w:r>
          </w:p>
        </w:tc>
      </w:tr>
      <w:tr w:rsidR="00953D5A">
        <w:trPr>
          <w:trHeight w:val="160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953D5A" w:rsidRPr="007807F3" w:rsidRDefault="0022751E" w:rsidP="0022751E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</w:rPr>
            </w:pPr>
            <w:r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>ОРИГИНАЛ</w:t>
            </w:r>
            <w:r w:rsidR="00CD1487"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 xml:space="preserve">: </w:t>
            </w:r>
            <w:bookmarkStart w:id="1" w:name="kix.ol82kc1hyx0w" w:colFirst="0" w:colLast="0"/>
            <w:bookmarkEnd w:id="1"/>
            <w:r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 xml:space="preserve"> АНГЛИЙСКИЙ </w:t>
            </w:r>
          </w:p>
        </w:tc>
      </w:tr>
      <w:tr w:rsidR="00953D5A">
        <w:trPr>
          <w:trHeight w:val="180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953D5A" w:rsidRPr="007807F3" w:rsidRDefault="0022751E" w:rsidP="0022751E">
            <w:pPr>
              <w:widowControl w:val="0"/>
              <w:jc w:val="right"/>
              <w:rPr>
                <w:rFonts w:ascii="Arial Black" w:eastAsia="Arial Black" w:hAnsi="Arial Black" w:cs="Arial Black"/>
                <w:smallCaps/>
                <w:sz w:val="15"/>
                <w:szCs w:val="15"/>
              </w:rPr>
            </w:pPr>
            <w:r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>ДАТА</w:t>
            </w:r>
            <w:r w:rsidR="00CD1487"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>:</w:t>
            </w:r>
            <w:r w:rsidR="00C62CE0"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 xml:space="preserve"> </w:t>
            </w:r>
            <w:r w:rsidR="00CA79F8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 xml:space="preserve"> </w:t>
            </w:r>
            <w:r>
              <w:rPr>
                <w:rFonts w:ascii="Arial Black" w:eastAsia="Arial Black" w:hAnsi="Arial Black" w:cs="Arial Black"/>
                <w:smallCaps/>
                <w:sz w:val="15"/>
                <w:szCs w:val="15"/>
                <w:lang w:val="ru-RU"/>
              </w:rPr>
              <w:t>18 МАРТА 2019 Г.</w:t>
            </w:r>
            <w:r w:rsidR="00CD1487" w:rsidRPr="007807F3">
              <w:rPr>
                <w:rFonts w:ascii="Arial Black" w:eastAsia="Arial Black" w:hAnsi="Arial Black" w:cs="Arial Black"/>
                <w:smallCaps/>
                <w:sz w:val="15"/>
                <w:szCs w:val="15"/>
              </w:rPr>
              <w:t xml:space="preserve">  </w:t>
            </w:r>
            <w:bookmarkStart w:id="2" w:name="kix.5ohx5oop467x" w:colFirst="0" w:colLast="0"/>
            <w:bookmarkEnd w:id="2"/>
          </w:p>
        </w:tc>
      </w:tr>
    </w:tbl>
    <w:p w:rsidR="00953D5A" w:rsidRDefault="00953D5A">
      <w:pPr>
        <w:widowControl w:val="0"/>
      </w:pPr>
    </w:p>
    <w:p w:rsidR="00953D5A" w:rsidRDefault="00953D5A">
      <w:pPr>
        <w:widowControl w:val="0"/>
      </w:pPr>
    </w:p>
    <w:p w:rsidR="00953D5A" w:rsidRDefault="00953D5A">
      <w:pPr>
        <w:widowControl w:val="0"/>
      </w:pPr>
    </w:p>
    <w:p w:rsidR="00953D5A" w:rsidRDefault="00953D5A">
      <w:pPr>
        <w:widowControl w:val="0"/>
      </w:pPr>
    </w:p>
    <w:p w:rsidR="00953D5A" w:rsidRDefault="00953D5A">
      <w:pPr>
        <w:widowControl w:val="0"/>
      </w:pPr>
    </w:p>
    <w:p w:rsidR="00953D5A" w:rsidRPr="00BF092E" w:rsidRDefault="00BF092E">
      <w:pPr>
        <w:widowControl w:val="0"/>
        <w:rPr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953D5A" w:rsidRDefault="00953D5A">
      <w:pPr>
        <w:widowControl w:val="0"/>
        <w:rPr>
          <w:lang w:val="ru-RU"/>
        </w:rPr>
      </w:pPr>
    </w:p>
    <w:p w:rsidR="00BF092E" w:rsidRPr="00BF092E" w:rsidRDefault="00BF092E">
      <w:pPr>
        <w:widowControl w:val="0"/>
        <w:rPr>
          <w:lang w:val="ru-RU"/>
        </w:rPr>
      </w:pPr>
    </w:p>
    <w:p w:rsidR="00953D5A" w:rsidRPr="00CD7952" w:rsidRDefault="00BF092E">
      <w:pPr>
        <w:widowContro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</w:t>
      </w:r>
      <w:r w:rsidRPr="00CD795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Pr="00CD795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Pr="00CD7952">
        <w:rPr>
          <w:b/>
          <w:sz w:val="24"/>
          <w:szCs w:val="24"/>
          <w:lang w:val="ru-RU"/>
        </w:rPr>
        <w:t xml:space="preserve"> </w:t>
      </w:r>
    </w:p>
    <w:p w:rsidR="00CA79F8" w:rsidRPr="00CD7952" w:rsidRDefault="00BF092E" w:rsidP="00CA79F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D7952">
        <w:rPr>
          <w:b/>
          <w:sz w:val="24"/>
          <w:szCs w:val="24"/>
          <w:lang w:val="ru-RU"/>
        </w:rPr>
        <w:t>, 1 – 5</w:t>
      </w:r>
      <w:r w:rsidR="00A20260" w:rsidRPr="00CD7952">
        <w:rPr>
          <w:b/>
          <w:sz w:val="24"/>
          <w:szCs w:val="24"/>
          <w:lang w:val="ru-RU"/>
        </w:rPr>
        <w:t xml:space="preserve"> </w:t>
      </w:r>
      <w:r w:rsidR="00A20260">
        <w:rPr>
          <w:b/>
          <w:sz w:val="24"/>
          <w:szCs w:val="24"/>
          <w:lang w:val="ru-RU"/>
        </w:rPr>
        <w:t>апреля</w:t>
      </w:r>
      <w:r w:rsidR="00CA79F8" w:rsidRPr="00CD7952">
        <w:rPr>
          <w:b/>
          <w:sz w:val="24"/>
          <w:szCs w:val="24"/>
          <w:lang w:val="ru-RU"/>
        </w:rPr>
        <w:t xml:space="preserve"> 2019</w:t>
      </w:r>
      <w:r w:rsidR="00A20260" w:rsidRPr="00A20260">
        <w:rPr>
          <w:b/>
          <w:sz w:val="24"/>
          <w:szCs w:val="24"/>
        </w:rPr>
        <w:t> </w:t>
      </w:r>
      <w:r w:rsidR="00A20260">
        <w:rPr>
          <w:b/>
          <w:sz w:val="24"/>
          <w:szCs w:val="24"/>
          <w:lang w:val="ru-RU"/>
        </w:rPr>
        <w:t>г</w:t>
      </w:r>
      <w:r w:rsidR="00A20260" w:rsidRPr="00CD7952">
        <w:rPr>
          <w:b/>
          <w:sz w:val="24"/>
          <w:szCs w:val="24"/>
          <w:lang w:val="ru-RU"/>
        </w:rPr>
        <w:t xml:space="preserve">. </w:t>
      </w:r>
    </w:p>
    <w:p w:rsidR="00953D5A" w:rsidRPr="00CD7952" w:rsidRDefault="00953D5A">
      <w:pPr>
        <w:widowControl w:val="0"/>
        <w:rPr>
          <w:lang w:val="ru-RU"/>
        </w:rPr>
      </w:pPr>
    </w:p>
    <w:p w:rsidR="00953D5A" w:rsidRPr="00CD7952" w:rsidRDefault="00953D5A">
      <w:pPr>
        <w:widowControl w:val="0"/>
        <w:rPr>
          <w:lang w:val="ru-RU"/>
        </w:rPr>
      </w:pPr>
    </w:p>
    <w:p w:rsidR="00953D5A" w:rsidRPr="00CD7952" w:rsidRDefault="00953D5A">
      <w:pPr>
        <w:widowControl w:val="0"/>
        <w:rPr>
          <w:lang w:val="ru-RU"/>
        </w:rPr>
      </w:pPr>
    </w:p>
    <w:p w:rsidR="00953D5A" w:rsidRPr="00A20260" w:rsidRDefault="00A20260">
      <w:pPr>
        <w:widowControl w:val="0"/>
        <w:rPr>
          <w:lang w:val="ru-RU"/>
        </w:rPr>
      </w:pPr>
      <w:bookmarkStart w:id="3" w:name="kix.kae5xrpnz9am" w:colFirst="0" w:colLast="0"/>
      <w:bookmarkEnd w:id="3"/>
      <w:r>
        <w:rPr>
          <w:lang w:val="ru-RU"/>
        </w:rPr>
        <w:t>РЕЗЮМЕ</w:t>
      </w:r>
      <w:r w:rsidRPr="00A20260">
        <w:rPr>
          <w:lang w:val="ru-RU"/>
        </w:rPr>
        <w:t xml:space="preserve"> </w:t>
      </w:r>
      <w:r>
        <w:rPr>
          <w:lang w:val="ru-RU"/>
        </w:rPr>
        <w:t>ДОКЛАДА</w:t>
      </w:r>
      <w:r w:rsidRPr="00A20260">
        <w:rPr>
          <w:lang w:val="ru-RU"/>
        </w:rPr>
        <w:t xml:space="preserve"> </w:t>
      </w:r>
      <w:r w:rsidR="007807F3" w:rsidRPr="00A20260">
        <w:rPr>
          <w:lang w:val="ru-RU"/>
        </w:rPr>
        <w:t xml:space="preserve">– </w:t>
      </w:r>
      <w:r w:rsidRPr="00A20260">
        <w:rPr>
          <w:lang w:val="ru-RU"/>
        </w:rPr>
        <w:t>ОБЗОРНОЕ ИССЛЕДОВАНИЕ ПО ВОПРОСУ О ДОСТУПЕ ЛИЦ С ОГРАНИЧЕННЫМИ ВОЗМОЖНОСТЯМИ К ПРОИЗВЕДЕНИЯМ, ОХРАНЯЕМЫМ АВТОРСКИМ ПРАВОМ</w:t>
      </w:r>
    </w:p>
    <w:p w:rsidR="007807F3" w:rsidRPr="00A20260" w:rsidRDefault="007807F3">
      <w:pPr>
        <w:widowControl w:val="0"/>
        <w:rPr>
          <w:lang w:val="ru-RU"/>
        </w:rPr>
      </w:pPr>
    </w:p>
    <w:p w:rsidR="007807F3" w:rsidRPr="00A20260" w:rsidRDefault="00A20260">
      <w:pPr>
        <w:widowControl w:val="0"/>
        <w:rPr>
          <w:i/>
          <w:lang w:val="ru-RU"/>
        </w:rPr>
      </w:pPr>
      <w:r w:rsidRPr="00A20260">
        <w:rPr>
          <w:i/>
          <w:lang w:val="ru-RU"/>
        </w:rPr>
        <w:t>подготовлено г-ном Блейком Ридом и г-жой Каролайн Нкубе</w:t>
      </w:r>
      <w:r w:rsidR="007807F3" w:rsidRPr="00A20260">
        <w:rPr>
          <w:i/>
          <w:lang w:val="ru-RU"/>
        </w:rPr>
        <w:t xml:space="preserve"> </w:t>
      </w:r>
    </w:p>
    <w:p w:rsidR="00953D5A" w:rsidRPr="00A20260" w:rsidRDefault="00953D5A">
      <w:pPr>
        <w:widowControl w:val="0"/>
        <w:rPr>
          <w:lang w:val="ru-RU"/>
        </w:rPr>
      </w:pPr>
    </w:p>
    <w:p w:rsidR="007807F3" w:rsidRPr="00A20260" w:rsidRDefault="007807F3">
      <w:pPr>
        <w:keepNext/>
        <w:keepLines/>
        <w:widowControl w:val="0"/>
        <w:spacing w:before="160" w:after="80" w:line="300" w:lineRule="auto"/>
        <w:rPr>
          <w:lang w:val="ru-RU"/>
        </w:rPr>
        <w:sectPr w:rsidR="007807F3" w:rsidRPr="00A20260" w:rsidSect="007862C0">
          <w:headerReference w:type="default" r:id="rId9"/>
          <w:pgSz w:w="11909" w:h="16834"/>
          <w:pgMar w:top="816" w:right="1440" w:bottom="1440" w:left="1440" w:header="510" w:footer="1020" w:gutter="0"/>
          <w:pgNumType w:start="1"/>
          <w:cols w:space="720"/>
          <w:titlePg/>
          <w:docGrid w:linePitch="299"/>
        </w:sectPr>
      </w:pPr>
    </w:p>
    <w:p w:rsidR="00C4000D" w:rsidRPr="00CD7952" w:rsidRDefault="00A20260" w:rsidP="00C4000D">
      <w:pPr>
        <w:pStyle w:val="Heading1"/>
        <w:rPr>
          <w:rFonts w:eastAsia="Arial"/>
          <w:lang w:val="ru-RU" w:eastAsia="en-ZA"/>
        </w:rPr>
      </w:pPr>
      <w:bookmarkStart w:id="4" w:name="_j81i0iqrfm4d" w:colFirst="0" w:colLast="0"/>
      <w:bookmarkStart w:id="5" w:name="_Toc3361667"/>
      <w:bookmarkStart w:id="6" w:name="_Toc2872882"/>
      <w:bookmarkStart w:id="7" w:name="_Toc2872234"/>
      <w:bookmarkStart w:id="8" w:name="_Toc3361669"/>
      <w:bookmarkStart w:id="9" w:name="_Toc2872884"/>
      <w:bookmarkStart w:id="10" w:name="_Toc2872236"/>
      <w:bookmarkEnd w:id="4"/>
      <w:r>
        <w:rPr>
          <w:rFonts w:eastAsia="Arial"/>
          <w:szCs w:val="22"/>
          <w:lang w:val="ru-RU"/>
        </w:rPr>
        <w:lastRenderedPageBreak/>
        <w:t>резюме</w:t>
      </w:r>
      <w:r w:rsidRPr="00CD7952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доклада</w:t>
      </w:r>
      <w:r w:rsidRPr="00CD7952">
        <w:rPr>
          <w:rFonts w:eastAsia="Arial"/>
          <w:szCs w:val="22"/>
          <w:lang w:val="ru-RU"/>
        </w:rPr>
        <w:t xml:space="preserve"> </w:t>
      </w:r>
      <w:bookmarkEnd w:id="5"/>
      <w:bookmarkEnd w:id="6"/>
      <w:bookmarkEnd w:id="7"/>
    </w:p>
    <w:p w:rsidR="00AD13DF" w:rsidRDefault="00AD13DF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Многие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произведения</w:t>
      </w:r>
      <w:r w:rsidRPr="00AD13DF">
        <w:rPr>
          <w:sz w:val="22"/>
          <w:lang w:val="ru-RU"/>
        </w:rPr>
        <w:t xml:space="preserve">, </w:t>
      </w:r>
      <w:r>
        <w:rPr>
          <w:sz w:val="22"/>
          <w:lang w:val="ru-RU"/>
        </w:rPr>
        <w:t>охраняемые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>авторским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правом</w:t>
      </w:r>
      <w:r w:rsidRPr="00AD13DF">
        <w:rPr>
          <w:sz w:val="22"/>
          <w:lang w:val="ru-RU"/>
        </w:rPr>
        <w:t xml:space="preserve">, </w:t>
      </w:r>
      <w:r w:rsidR="00322752">
        <w:rPr>
          <w:sz w:val="22"/>
          <w:lang w:val="ru-RU"/>
        </w:rPr>
        <w:t>не существуют</w:t>
      </w:r>
      <w:r w:rsidR="00322752" w:rsidRPr="00322752">
        <w:rPr>
          <w:sz w:val="22"/>
          <w:lang w:val="ru-RU"/>
        </w:rPr>
        <w:t xml:space="preserve"> </w:t>
      </w:r>
      <w:r>
        <w:rPr>
          <w:sz w:val="22"/>
          <w:lang w:val="ru-RU"/>
        </w:rPr>
        <w:t>в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>форматах</w:t>
      </w:r>
      <w:r w:rsidRPr="00AD13DF">
        <w:rPr>
          <w:sz w:val="22"/>
          <w:lang w:val="ru-RU"/>
        </w:rPr>
        <w:t xml:space="preserve">, </w:t>
      </w:r>
      <w:r>
        <w:rPr>
          <w:sz w:val="22"/>
          <w:lang w:val="ru-RU"/>
        </w:rPr>
        <w:t>доступных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>для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>лиц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>с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>ограниченными</w:t>
      </w:r>
      <w:r w:rsidRPr="00AD13DF">
        <w:rPr>
          <w:sz w:val="22"/>
          <w:lang w:val="ru-RU"/>
        </w:rPr>
        <w:t xml:space="preserve"> </w:t>
      </w:r>
      <w:r>
        <w:rPr>
          <w:sz w:val="22"/>
          <w:lang w:val="ru-RU"/>
        </w:rPr>
        <w:t xml:space="preserve">возможностями. Так как во многих странах принимаются законы, предусматривающие для лиц с ограниченными возможностями равные права на участие в жизни общества, </w:t>
      </w:r>
      <w:r w:rsidR="00952202">
        <w:rPr>
          <w:sz w:val="22"/>
          <w:lang w:val="ru-RU"/>
        </w:rPr>
        <w:t xml:space="preserve">такое </w:t>
      </w:r>
      <w:r>
        <w:rPr>
          <w:sz w:val="22"/>
          <w:lang w:val="ru-RU"/>
        </w:rPr>
        <w:t xml:space="preserve">отсутствие доступа </w:t>
      </w:r>
      <w:r w:rsidR="00952202">
        <w:rPr>
          <w:sz w:val="22"/>
          <w:lang w:val="ru-RU"/>
        </w:rPr>
        <w:t xml:space="preserve">вызывает определенные проблемы. Доступ лиц с ограниченными возможностями к контенту, охраняемому авторским правом, как правило, обеспечивается за счет применения определенных вспомогательных технологий, которые </w:t>
      </w:r>
      <w:r w:rsidR="00926B00">
        <w:rPr>
          <w:sz w:val="22"/>
          <w:lang w:val="ru-RU"/>
        </w:rPr>
        <w:t xml:space="preserve">помогают трансформировать и </w:t>
      </w:r>
      <w:r w:rsidR="00952202">
        <w:rPr>
          <w:sz w:val="22"/>
          <w:lang w:val="ru-RU"/>
        </w:rPr>
        <w:t>перенос</w:t>
      </w:r>
      <w:r w:rsidR="00926B00">
        <w:rPr>
          <w:sz w:val="22"/>
          <w:lang w:val="ru-RU"/>
        </w:rPr>
        <w:t>ить</w:t>
      </w:r>
      <w:r w:rsidR="00952202">
        <w:rPr>
          <w:sz w:val="22"/>
          <w:lang w:val="ru-RU"/>
        </w:rPr>
        <w:t xml:space="preserve"> весь контент произведения или его часть </w:t>
      </w:r>
      <w:r w:rsidR="00926B00">
        <w:rPr>
          <w:sz w:val="22"/>
          <w:lang w:val="ru-RU"/>
        </w:rPr>
        <w:t>с одного носителя на другой. Однако такие трансформации могут затрагивать исключительные права</w:t>
      </w:r>
      <w:r w:rsidR="00322752">
        <w:rPr>
          <w:sz w:val="22"/>
          <w:lang w:val="ru-RU"/>
        </w:rPr>
        <w:t xml:space="preserve">, закрепленные за </w:t>
      </w:r>
      <w:r w:rsidR="00926B00">
        <w:rPr>
          <w:sz w:val="22"/>
          <w:lang w:val="ru-RU"/>
        </w:rPr>
        <w:t>обладател</w:t>
      </w:r>
      <w:r w:rsidR="00322752">
        <w:rPr>
          <w:sz w:val="22"/>
          <w:lang w:val="ru-RU"/>
        </w:rPr>
        <w:t xml:space="preserve">ями </w:t>
      </w:r>
      <w:r w:rsidR="00926B00">
        <w:rPr>
          <w:sz w:val="22"/>
          <w:lang w:val="ru-RU"/>
        </w:rPr>
        <w:t xml:space="preserve">авторских и смежных прав.  </w:t>
      </w:r>
    </w:p>
    <w:p w:rsidR="00926B00" w:rsidRPr="00AD13DF" w:rsidRDefault="00926B00" w:rsidP="00C4000D">
      <w:pPr>
        <w:pStyle w:val="WIPOBodyStyle"/>
        <w:rPr>
          <w:sz w:val="22"/>
          <w:lang w:val="ru-RU"/>
        </w:rPr>
      </w:pPr>
    </w:p>
    <w:p w:rsidR="00AD13DF" w:rsidRDefault="00266F50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 xml:space="preserve">Исследование этого вопроса </w:t>
      </w:r>
      <w:r w:rsidRPr="00DD6A87">
        <w:rPr>
          <w:sz w:val="22"/>
          <w:lang w:val="ru-RU"/>
        </w:rPr>
        <w:t>было</w:t>
      </w:r>
      <w:r>
        <w:rPr>
          <w:sz w:val="22"/>
          <w:lang w:val="ru-RU"/>
        </w:rPr>
        <w:t xml:space="preserve"> проведено у</w:t>
      </w:r>
      <w:r w:rsidR="00926B00">
        <w:rPr>
          <w:sz w:val="22"/>
          <w:lang w:val="ru-RU"/>
        </w:rPr>
        <w:t>чены</w:t>
      </w:r>
      <w:r>
        <w:rPr>
          <w:sz w:val="22"/>
          <w:lang w:val="ru-RU"/>
        </w:rPr>
        <w:t>ми</w:t>
      </w:r>
      <w:r w:rsidR="00926B00">
        <w:rPr>
          <w:sz w:val="22"/>
          <w:lang w:val="ru-RU"/>
        </w:rPr>
        <w:t xml:space="preserve"> из Университета Кейптауна, Южная Африка, и </w:t>
      </w:r>
      <w:r w:rsidR="00335A69">
        <w:rPr>
          <w:sz w:val="22"/>
          <w:lang w:val="ru-RU"/>
        </w:rPr>
        <w:t xml:space="preserve">Юридической клиники </w:t>
      </w:r>
      <w:r w:rsidR="007C54E5" w:rsidRPr="007C54E5">
        <w:rPr>
          <w:sz w:val="22"/>
          <w:lang w:val="ru-RU"/>
        </w:rPr>
        <w:t>в области технологии и политики Самуэльсона-Глушко</w:t>
      </w:r>
      <w:r w:rsidR="00FC5153">
        <w:rPr>
          <w:sz w:val="22"/>
          <w:lang w:val="ru-RU"/>
        </w:rPr>
        <w:t xml:space="preserve"> </w:t>
      </w:r>
      <w:r w:rsidR="00335A69">
        <w:rPr>
          <w:sz w:val="22"/>
          <w:lang w:val="ru-RU"/>
        </w:rPr>
        <w:t>при факультете</w:t>
      </w:r>
      <w:r w:rsidR="00FC5153">
        <w:rPr>
          <w:sz w:val="22"/>
          <w:lang w:val="ru-RU"/>
        </w:rPr>
        <w:t xml:space="preserve"> </w:t>
      </w:r>
      <w:r w:rsidR="00335A69">
        <w:rPr>
          <w:sz w:val="22"/>
          <w:lang w:val="ru-RU"/>
        </w:rPr>
        <w:t xml:space="preserve">права </w:t>
      </w:r>
      <w:r w:rsidR="00FC5153">
        <w:rPr>
          <w:sz w:val="22"/>
          <w:lang w:val="ru-RU"/>
        </w:rPr>
        <w:t xml:space="preserve">Университета Колорадо.  </w:t>
      </w:r>
      <w:r>
        <w:rPr>
          <w:sz w:val="22"/>
          <w:lang w:val="ru-RU"/>
        </w:rPr>
        <w:t xml:space="preserve">Исследователи дополнили </w:t>
      </w:r>
      <w:r w:rsidR="00FC5153">
        <w:rPr>
          <w:sz w:val="22"/>
          <w:lang w:val="ru-RU"/>
        </w:rPr>
        <w:t>предыдуще</w:t>
      </w:r>
      <w:r>
        <w:rPr>
          <w:sz w:val="22"/>
          <w:lang w:val="ru-RU"/>
        </w:rPr>
        <w:t>е</w:t>
      </w:r>
      <w:r w:rsidR="00FC5153">
        <w:rPr>
          <w:sz w:val="22"/>
          <w:lang w:val="ru-RU"/>
        </w:rPr>
        <w:t xml:space="preserve"> обзорно</w:t>
      </w:r>
      <w:r>
        <w:rPr>
          <w:sz w:val="22"/>
          <w:lang w:val="ru-RU"/>
        </w:rPr>
        <w:t>е</w:t>
      </w:r>
      <w:r w:rsidR="00FC5153">
        <w:rPr>
          <w:sz w:val="22"/>
          <w:lang w:val="ru-RU"/>
        </w:rPr>
        <w:t xml:space="preserve"> исследовани</w:t>
      </w:r>
      <w:r>
        <w:rPr>
          <w:sz w:val="22"/>
          <w:lang w:val="ru-RU"/>
        </w:rPr>
        <w:t>е</w:t>
      </w:r>
      <w:r w:rsidR="00FC5153">
        <w:rPr>
          <w:sz w:val="22"/>
          <w:lang w:val="ru-RU"/>
        </w:rPr>
        <w:t>, в рамках которого государств</w:t>
      </w:r>
      <w:r w:rsidR="00886612">
        <w:rPr>
          <w:sz w:val="22"/>
          <w:lang w:val="ru-RU"/>
        </w:rPr>
        <w:t>а</w:t>
      </w:r>
      <w:r w:rsidR="00DF713A">
        <w:rPr>
          <w:sz w:val="22"/>
          <w:lang w:val="ru-RU"/>
        </w:rPr>
        <w:t>м</w:t>
      </w:r>
      <w:r w:rsidR="00FC5153">
        <w:rPr>
          <w:sz w:val="22"/>
          <w:lang w:val="ru-RU"/>
        </w:rPr>
        <w:t>-член</w:t>
      </w:r>
      <w:r w:rsidR="00DF713A">
        <w:rPr>
          <w:sz w:val="22"/>
          <w:lang w:val="ru-RU"/>
        </w:rPr>
        <w:t>ам</w:t>
      </w:r>
      <w:r w:rsidR="00FC5153">
        <w:rPr>
          <w:sz w:val="22"/>
          <w:lang w:val="ru-RU"/>
        </w:rPr>
        <w:t xml:space="preserve"> </w:t>
      </w:r>
      <w:r w:rsidR="00DF713A">
        <w:rPr>
          <w:sz w:val="22"/>
          <w:lang w:val="ru-RU"/>
        </w:rPr>
        <w:t xml:space="preserve">было предложено предоставить </w:t>
      </w:r>
      <w:r w:rsidR="00FC5153">
        <w:rPr>
          <w:sz w:val="22"/>
          <w:lang w:val="ru-RU"/>
        </w:rPr>
        <w:t xml:space="preserve">ответы </w:t>
      </w:r>
      <w:r w:rsidR="0020666C">
        <w:rPr>
          <w:sz w:val="22"/>
          <w:lang w:val="ru-RU"/>
        </w:rPr>
        <w:t xml:space="preserve">на </w:t>
      </w:r>
      <w:r w:rsidR="009477E9">
        <w:rPr>
          <w:sz w:val="22"/>
          <w:lang w:val="ru-RU"/>
        </w:rPr>
        <w:t xml:space="preserve">соответствующие </w:t>
      </w:r>
      <w:r w:rsidR="0020666C">
        <w:rPr>
          <w:sz w:val="22"/>
          <w:lang w:val="ru-RU"/>
        </w:rPr>
        <w:t xml:space="preserve">вопросники, </w:t>
      </w:r>
      <w:r w:rsidR="00DF713A">
        <w:rPr>
          <w:sz w:val="22"/>
          <w:lang w:val="ru-RU"/>
        </w:rPr>
        <w:t xml:space="preserve">независимым анализом, включавшим изучение и анализ режимов </w:t>
      </w:r>
      <w:r w:rsidR="009477E9">
        <w:rPr>
          <w:sz w:val="22"/>
          <w:lang w:val="ru-RU"/>
        </w:rPr>
        <w:t xml:space="preserve">авторского права государств-членов </w:t>
      </w:r>
      <w:r w:rsidR="00886612">
        <w:rPr>
          <w:sz w:val="22"/>
          <w:lang w:val="ru-RU"/>
        </w:rPr>
        <w:t>и их положени</w:t>
      </w:r>
      <w:r w:rsidR="00DF713A">
        <w:rPr>
          <w:sz w:val="22"/>
          <w:lang w:val="ru-RU"/>
        </w:rPr>
        <w:t>й</w:t>
      </w:r>
      <w:r w:rsidR="00886612">
        <w:rPr>
          <w:sz w:val="22"/>
          <w:lang w:val="ru-RU"/>
        </w:rPr>
        <w:t>, касающи</w:t>
      </w:r>
      <w:r w:rsidR="00DF713A">
        <w:rPr>
          <w:sz w:val="22"/>
          <w:lang w:val="ru-RU"/>
        </w:rPr>
        <w:t>х</w:t>
      </w:r>
      <w:r w:rsidR="00886612">
        <w:rPr>
          <w:sz w:val="22"/>
          <w:lang w:val="ru-RU"/>
        </w:rPr>
        <w:t xml:space="preserve">ся лиц с ограниченными возможностями. </w:t>
      </w:r>
    </w:p>
    <w:p w:rsidR="00FC5153" w:rsidRPr="00926B00" w:rsidRDefault="00FC5153" w:rsidP="00C4000D">
      <w:pPr>
        <w:pStyle w:val="WIPOBodyStyle"/>
        <w:rPr>
          <w:sz w:val="22"/>
          <w:lang w:val="ru-RU"/>
        </w:rPr>
      </w:pPr>
    </w:p>
    <w:p w:rsidR="00567B18" w:rsidRDefault="00567B18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 xml:space="preserve">Один из выводов, сделанных в результате исследования, состоит в том, что в законодательстве об авторском праве </w:t>
      </w:r>
      <w:r w:rsidR="000E7E0B">
        <w:rPr>
          <w:sz w:val="22"/>
          <w:lang w:val="ru-RU"/>
        </w:rPr>
        <w:t xml:space="preserve">в </w:t>
      </w:r>
      <w:r>
        <w:rPr>
          <w:sz w:val="22"/>
          <w:lang w:val="ru-RU"/>
        </w:rPr>
        <w:t xml:space="preserve">более </w:t>
      </w:r>
      <w:r w:rsidR="00DF713A">
        <w:rPr>
          <w:sz w:val="22"/>
          <w:lang w:val="ru-RU"/>
        </w:rPr>
        <w:t xml:space="preserve">чем </w:t>
      </w:r>
      <w:r>
        <w:rPr>
          <w:sz w:val="22"/>
          <w:lang w:val="ru-RU"/>
        </w:rPr>
        <w:t>половин</w:t>
      </w:r>
      <w:r w:rsidR="000E7E0B">
        <w:rPr>
          <w:sz w:val="22"/>
          <w:lang w:val="ru-RU"/>
        </w:rPr>
        <w:t>е</w:t>
      </w:r>
      <w:r>
        <w:rPr>
          <w:sz w:val="22"/>
          <w:lang w:val="ru-RU"/>
        </w:rPr>
        <w:t xml:space="preserve"> всех государств-членов </w:t>
      </w:r>
      <w:r w:rsidR="008C12D6">
        <w:rPr>
          <w:sz w:val="22"/>
          <w:lang w:val="ru-RU"/>
        </w:rPr>
        <w:t xml:space="preserve">предусмотрены исключения для лиц с ограниченными возможностями, </w:t>
      </w:r>
      <w:r w:rsidR="00DF713A">
        <w:rPr>
          <w:sz w:val="22"/>
          <w:lang w:val="ru-RU"/>
        </w:rPr>
        <w:t>а</w:t>
      </w:r>
      <w:r w:rsidR="008C12D6">
        <w:rPr>
          <w:sz w:val="22"/>
          <w:lang w:val="ru-RU"/>
        </w:rPr>
        <w:t xml:space="preserve"> </w:t>
      </w:r>
      <w:r w:rsidR="00677F04">
        <w:rPr>
          <w:sz w:val="22"/>
          <w:lang w:val="ru-RU"/>
        </w:rPr>
        <w:t xml:space="preserve">треть из этих государств </w:t>
      </w:r>
      <w:r w:rsidR="00DF713A">
        <w:rPr>
          <w:sz w:val="22"/>
          <w:lang w:val="ru-RU"/>
        </w:rPr>
        <w:t xml:space="preserve">распространяет </w:t>
      </w:r>
      <w:r w:rsidR="00677F04">
        <w:rPr>
          <w:sz w:val="22"/>
          <w:lang w:val="ru-RU"/>
        </w:rPr>
        <w:t xml:space="preserve">такие исключения </w:t>
      </w:r>
      <w:r w:rsidR="00DF713A">
        <w:rPr>
          <w:sz w:val="22"/>
          <w:lang w:val="ru-RU"/>
        </w:rPr>
        <w:t xml:space="preserve">на </w:t>
      </w:r>
      <w:r w:rsidR="000E7E0B">
        <w:rPr>
          <w:sz w:val="22"/>
          <w:lang w:val="ru-RU"/>
        </w:rPr>
        <w:t xml:space="preserve">всех </w:t>
      </w:r>
      <w:r w:rsidR="00677F04">
        <w:rPr>
          <w:sz w:val="22"/>
          <w:lang w:val="ru-RU"/>
        </w:rPr>
        <w:t xml:space="preserve">лиц с ограниченными возможностями. </w:t>
      </w:r>
    </w:p>
    <w:p w:rsidR="00DF713A" w:rsidRPr="00677F04" w:rsidRDefault="00DF713A" w:rsidP="00C4000D">
      <w:pPr>
        <w:pStyle w:val="WIPOBodyStyle"/>
        <w:rPr>
          <w:sz w:val="22"/>
          <w:lang w:val="ru-RU"/>
        </w:rPr>
      </w:pPr>
    </w:p>
    <w:p w:rsidR="00C4000D" w:rsidRPr="00DF713A" w:rsidRDefault="00677F04" w:rsidP="00C4000D">
      <w:pPr>
        <w:pStyle w:val="Heading1"/>
        <w:rPr>
          <w:rFonts w:eastAsia="Arial"/>
          <w:szCs w:val="22"/>
          <w:lang w:val="ru-RU"/>
        </w:rPr>
      </w:pPr>
      <w:bookmarkStart w:id="11" w:name="_Toc3361668"/>
      <w:bookmarkStart w:id="12" w:name="_Toc2872883"/>
      <w:bookmarkStart w:id="13" w:name="_Toc2872235"/>
      <w:r>
        <w:rPr>
          <w:rFonts w:eastAsia="Arial"/>
          <w:szCs w:val="22"/>
          <w:lang w:val="ru-RU"/>
        </w:rPr>
        <w:t>ВВЕДЕНИЕ</w:t>
      </w:r>
      <w:r w:rsidRPr="00DF713A">
        <w:rPr>
          <w:rFonts w:eastAsia="Arial"/>
          <w:szCs w:val="22"/>
          <w:lang w:val="ru-RU"/>
        </w:rPr>
        <w:t xml:space="preserve"> </w:t>
      </w:r>
      <w:bookmarkEnd w:id="11"/>
      <w:bookmarkEnd w:id="12"/>
      <w:bookmarkEnd w:id="13"/>
    </w:p>
    <w:p w:rsidR="00111559" w:rsidRDefault="00677F04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Почти</w:t>
      </w:r>
      <w:r w:rsidRPr="000A03A5">
        <w:rPr>
          <w:sz w:val="22"/>
          <w:lang w:val="ru-RU"/>
        </w:rPr>
        <w:t xml:space="preserve"> </w:t>
      </w:r>
      <w:r w:rsidR="00DF713A">
        <w:rPr>
          <w:sz w:val="22"/>
          <w:lang w:val="ru-RU"/>
        </w:rPr>
        <w:t xml:space="preserve">во </w:t>
      </w:r>
      <w:r>
        <w:rPr>
          <w:sz w:val="22"/>
          <w:lang w:val="ru-RU"/>
        </w:rPr>
        <w:t>все</w:t>
      </w:r>
      <w:r w:rsidR="00DF713A">
        <w:rPr>
          <w:sz w:val="22"/>
          <w:lang w:val="ru-RU"/>
        </w:rPr>
        <w:t>х</w:t>
      </w:r>
      <w:r w:rsidRPr="000A03A5">
        <w:rPr>
          <w:sz w:val="22"/>
          <w:lang w:val="ru-RU"/>
        </w:rPr>
        <w:t xml:space="preserve"> </w:t>
      </w:r>
      <w:r>
        <w:rPr>
          <w:sz w:val="22"/>
          <w:lang w:val="ru-RU"/>
        </w:rPr>
        <w:t>государства</w:t>
      </w:r>
      <w:r w:rsidR="00DF713A">
        <w:rPr>
          <w:sz w:val="22"/>
          <w:lang w:val="ru-RU"/>
        </w:rPr>
        <w:t>х</w:t>
      </w:r>
      <w:r w:rsidRPr="000A03A5">
        <w:rPr>
          <w:sz w:val="22"/>
          <w:lang w:val="ru-RU"/>
        </w:rPr>
        <w:t>-</w:t>
      </w:r>
      <w:r>
        <w:rPr>
          <w:sz w:val="22"/>
          <w:lang w:val="ru-RU"/>
        </w:rPr>
        <w:t>член</w:t>
      </w:r>
      <w:r w:rsidR="00DF713A">
        <w:rPr>
          <w:sz w:val="22"/>
          <w:lang w:val="ru-RU"/>
        </w:rPr>
        <w:t xml:space="preserve">ах </w:t>
      </w:r>
      <w:r>
        <w:rPr>
          <w:sz w:val="22"/>
          <w:lang w:val="ru-RU"/>
        </w:rPr>
        <w:t>ВОИС</w:t>
      </w:r>
      <w:r w:rsidRPr="000A03A5">
        <w:rPr>
          <w:sz w:val="22"/>
          <w:lang w:val="ru-RU"/>
        </w:rPr>
        <w:t xml:space="preserve"> </w:t>
      </w:r>
      <w:r w:rsidR="00DF713A">
        <w:rPr>
          <w:sz w:val="22"/>
          <w:lang w:val="ru-RU"/>
        </w:rPr>
        <w:t xml:space="preserve">приняты </w:t>
      </w:r>
      <w:r w:rsidR="000A03A5">
        <w:rPr>
          <w:sz w:val="22"/>
          <w:lang w:val="ru-RU"/>
        </w:rPr>
        <w:t>режим</w:t>
      </w:r>
      <w:r w:rsidR="00DF713A">
        <w:rPr>
          <w:sz w:val="22"/>
          <w:lang w:val="ru-RU"/>
        </w:rPr>
        <w:t>ы</w:t>
      </w:r>
      <w:r w:rsidR="000A03A5" w:rsidRPr="000A03A5">
        <w:rPr>
          <w:sz w:val="22"/>
          <w:lang w:val="ru-RU"/>
        </w:rPr>
        <w:t xml:space="preserve"> </w:t>
      </w:r>
      <w:r w:rsidR="00DF713A">
        <w:rPr>
          <w:sz w:val="22"/>
          <w:lang w:val="ru-RU"/>
        </w:rPr>
        <w:t xml:space="preserve">охраны </w:t>
      </w:r>
      <w:r w:rsidR="000A03A5">
        <w:rPr>
          <w:sz w:val="22"/>
          <w:lang w:val="ru-RU"/>
        </w:rPr>
        <w:t>авторского права, которы</w:t>
      </w:r>
      <w:r w:rsidR="00DF713A">
        <w:rPr>
          <w:sz w:val="22"/>
          <w:lang w:val="ru-RU"/>
        </w:rPr>
        <w:t>е</w:t>
      </w:r>
      <w:r w:rsidR="000A03A5">
        <w:rPr>
          <w:sz w:val="22"/>
          <w:lang w:val="ru-RU"/>
        </w:rPr>
        <w:t xml:space="preserve"> наделя</w:t>
      </w:r>
      <w:r w:rsidR="00DF713A">
        <w:rPr>
          <w:sz w:val="22"/>
          <w:lang w:val="ru-RU"/>
        </w:rPr>
        <w:t>ю</w:t>
      </w:r>
      <w:r w:rsidR="000A03A5">
        <w:rPr>
          <w:sz w:val="22"/>
          <w:lang w:val="ru-RU"/>
        </w:rPr>
        <w:t xml:space="preserve">т авторов творческих произведений исключительными правами.  </w:t>
      </w:r>
      <w:r w:rsidR="004F3090">
        <w:rPr>
          <w:sz w:val="22"/>
          <w:lang w:val="ru-RU"/>
        </w:rPr>
        <w:t xml:space="preserve">Несмотря на то, что такая охрана </w:t>
      </w:r>
      <w:r w:rsidR="0003514B">
        <w:rPr>
          <w:sz w:val="22"/>
          <w:lang w:val="ru-RU"/>
        </w:rPr>
        <w:t xml:space="preserve">уже давно закреплена в </w:t>
      </w:r>
      <w:r w:rsidR="000A03A5" w:rsidRPr="000A03A5">
        <w:rPr>
          <w:sz w:val="22"/>
          <w:lang w:val="ru-RU"/>
        </w:rPr>
        <w:t>правовой теории во всем мире</w:t>
      </w:r>
      <w:r w:rsidR="0003514B">
        <w:rPr>
          <w:sz w:val="22"/>
          <w:lang w:val="ru-RU"/>
        </w:rPr>
        <w:t xml:space="preserve">, она </w:t>
      </w:r>
      <w:r w:rsidR="00C83098">
        <w:rPr>
          <w:sz w:val="22"/>
          <w:lang w:val="ru-RU"/>
        </w:rPr>
        <w:t>затрагивает</w:t>
      </w:r>
      <w:r w:rsidR="00C83098" w:rsidRPr="000A03A5">
        <w:rPr>
          <w:sz w:val="22"/>
          <w:lang w:val="ru-RU"/>
        </w:rPr>
        <w:t xml:space="preserve"> </w:t>
      </w:r>
      <w:r w:rsidR="00C83098">
        <w:rPr>
          <w:sz w:val="22"/>
          <w:lang w:val="ru-RU"/>
        </w:rPr>
        <w:t>права</w:t>
      </w:r>
      <w:r w:rsidR="00C83098" w:rsidRPr="000A03A5">
        <w:rPr>
          <w:sz w:val="22"/>
          <w:lang w:val="ru-RU"/>
        </w:rPr>
        <w:t xml:space="preserve"> </w:t>
      </w:r>
      <w:r w:rsidR="00C83098">
        <w:rPr>
          <w:sz w:val="22"/>
          <w:lang w:val="ru-RU"/>
        </w:rPr>
        <w:t>лиц с ограниченными возможностями</w:t>
      </w:r>
      <w:r w:rsidR="00C83098" w:rsidRPr="000A03A5">
        <w:rPr>
          <w:sz w:val="22"/>
          <w:lang w:val="ru-RU"/>
        </w:rPr>
        <w:t xml:space="preserve"> </w:t>
      </w:r>
      <w:r w:rsidR="00C83098">
        <w:rPr>
          <w:sz w:val="22"/>
          <w:lang w:val="ru-RU"/>
        </w:rPr>
        <w:t xml:space="preserve">на доступ </w:t>
      </w:r>
      <w:r w:rsidR="000E0091" w:rsidRPr="000A03A5">
        <w:rPr>
          <w:sz w:val="22"/>
          <w:lang w:val="ru-RU"/>
        </w:rPr>
        <w:t xml:space="preserve">к </w:t>
      </w:r>
      <w:r w:rsidR="00DF713A">
        <w:rPr>
          <w:sz w:val="22"/>
          <w:lang w:val="ru-RU"/>
        </w:rPr>
        <w:t>произведениям</w:t>
      </w:r>
      <w:r w:rsidR="000E0091">
        <w:rPr>
          <w:sz w:val="22"/>
          <w:lang w:val="ru-RU"/>
        </w:rPr>
        <w:t xml:space="preserve">, </w:t>
      </w:r>
      <w:r w:rsidR="004F3090">
        <w:rPr>
          <w:sz w:val="22"/>
          <w:lang w:val="ru-RU"/>
        </w:rPr>
        <w:t>охраняемы</w:t>
      </w:r>
      <w:r w:rsidR="00DF713A">
        <w:rPr>
          <w:sz w:val="22"/>
          <w:lang w:val="ru-RU"/>
        </w:rPr>
        <w:t>м</w:t>
      </w:r>
      <w:r w:rsidR="000E0091" w:rsidRPr="000A03A5">
        <w:rPr>
          <w:sz w:val="22"/>
          <w:lang w:val="ru-RU"/>
        </w:rPr>
        <w:t xml:space="preserve"> авторским правом</w:t>
      </w:r>
      <w:r w:rsidR="000E0091">
        <w:rPr>
          <w:sz w:val="22"/>
          <w:lang w:val="ru-RU"/>
        </w:rPr>
        <w:t>,</w:t>
      </w:r>
      <w:r w:rsidR="000E0091" w:rsidRPr="000A03A5">
        <w:rPr>
          <w:sz w:val="22"/>
          <w:lang w:val="ru-RU"/>
        </w:rPr>
        <w:t xml:space="preserve"> </w:t>
      </w:r>
      <w:r w:rsidR="0003514B">
        <w:rPr>
          <w:sz w:val="22"/>
          <w:lang w:val="ru-RU"/>
        </w:rPr>
        <w:t xml:space="preserve">таким образом, </w:t>
      </w:r>
      <w:r w:rsidR="00C83098">
        <w:rPr>
          <w:sz w:val="22"/>
          <w:lang w:val="ru-RU"/>
        </w:rPr>
        <w:t>что может вызывать трудности с обеспечением такого доступа.</w:t>
      </w:r>
      <w:r w:rsidR="0003514B">
        <w:rPr>
          <w:sz w:val="22"/>
          <w:lang w:val="ru-RU"/>
        </w:rPr>
        <w:t xml:space="preserve">  </w:t>
      </w:r>
      <w:r w:rsidR="00DF5F88">
        <w:rPr>
          <w:sz w:val="22"/>
          <w:lang w:val="ru-RU"/>
        </w:rPr>
        <w:t>Создание и распространение произведени</w:t>
      </w:r>
      <w:r w:rsidR="00DF713A">
        <w:rPr>
          <w:sz w:val="22"/>
          <w:lang w:val="ru-RU"/>
        </w:rPr>
        <w:t>й</w:t>
      </w:r>
      <w:r w:rsidR="00DF5F88">
        <w:rPr>
          <w:sz w:val="22"/>
          <w:lang w:val="ru-RU"/>
        </w:rPr>
        <w:t>, охраняем</w:t>
      </w:r>
      <w:r w:rsidR="00DF713A">
        <w:rPr>
          <w:sz w:val="22"/>
          <w:lang w:val="ru-RU"/>
        </w:rPr>
        <w:t>ых</w:t>
      </w:r>
      <w:r w:rsidR="00DF5F88">
        <w:rPr>
          <w:sz w:val="22"/>
          <w:lang w:val="ru-RU"/>
        </w:rPr>
        <w:t xml:space="preserve"> авторским правом, в доступных форматах, например, в виде телепередач с субтитрами или аудио верси</w:t>
      </w:r>
      <w:r w:rsidR="00DF713A">
        <w:rPr>
          <w:sz w:val="22"/>
          <w:lang w:val="ru-RU"/>
        </w:rPr>
        <w:t>й</w:t>
      </w:r>
      <w:r w:rsidR="00DF5F88">
        <w:rPr>
          <w:sz w:val="22"/>
          <w:lang w:val="ru-RU"/>
        </w:rPr>
        <w:t xml:space="preserve"> книг, может </w:t>
      </w:r>
      <w:r w:rsidR="00DF713A">
        <w:rPr>
          <w:sz w:val="22"/>
          <w:lang w:val="ru-RU"/>
        </w:rPr>
        <w:t>быть проблематичным , так как затрагивает</w:t>
      </w:r>
      <w:r w:rsidR="00DF5F88">
        <w:rPr>
          <w:sz w:val="22"/>
          <w:lang w:val="ru-RU"/>
        </w:rPr>
        <w:t xml:space="preserve"> исключительные права, охраняемые режимами авторского права в государствах-членах ВОИС, такие как прав</w:t>
      </w:r>
      <w:r w:rsidR="007E19A1">
        <w:rPr>
          <w:sz w:val="22"/>
          <w:lang w:val="ru-RU"/>
        </w:rPr>
        <w:t>а на воспроизведение и распространение</w:t>
      </w:r>
      <w:r w:rsidR="007E19A1" w:rsidRPr="007E19A1">
        <w:rPr>
          <w:rStyle w:val="FootnoteReference"/>
          <w:sz w:val="22"/>
        </w:rPr>
        <w:footnoteReference w:id="1"/>
      </w:r>
      <w:r w:rsidR="007E19A1">
        <w:rPr>
          <w:sz w:val="22"/>
          <w:lang w:val="ru-RU"/>
        </w:rPr>
        <w:t xml:space="preserve">. Создание вариантов охраняемых произведений в доступном формате необходимо для </w:t>
      </w:r>
      <w:r w:rsidR="00111559">
        <w:rPr>
          <w:sz w:val="22"/>
          <w:lang w:val="ru-RU"/>
        </w:rPr>
        <w:t xml:space="preserve">того, чтобы лица с ограниченными возможностями могли </w:t>
      </w:r>
      <w:r w:rsidR="0019032D">
        <w:rPr>
          <w:sz w:val="22"/>
          <w:lang w:val="ru-RU"/>
        </w:rPr>
        <w:t xml:space="preserve">полноценно </w:t>
      </w:r>
      <w:r w:rsidR="00111559">
        <w:rPr>
          <w:sz w:val="22"/>
          <w:lang w:val="ru-RU"/>
        </w:rPr>
        <w:t xml:space="preserve">участвовать </w:t>
      </w:r>
      <w:r w:rsidR="0019032D">
        <w:rPr>
          <w:sz w:val="22"/>
          <w:lang w:val="ru-RU"/>
        </w:rPr>
        <w:t xml:space="preserve">в жизни общества </w:t>
      </w:r>
      <w:r w:rsidR="00111559">
        <w:rPr>
          <w:sz w:val="22"/>
          <w:lang w:val="ru-RU"/>
        </w:rPr>
        <w:t xml:space="preserve">и вносить свой вклад в </w:t>
      </w:r>
      <w:r w:rsidR="0019032D">
        <w:rPr>
          <w:sz w:val="22"/>
          <w:lang w:val="ru-RU"/>
        </w:rPr>
        <w:t xml:space="preserve">его </w:t>
      </w:r>
      <w:r w:rsidR="00111559">
        <w:rPr>
          <w:sz w:val="22"/>
          <w:lang w:val="ru-RU"/>
        </w:rPr>
        <w:t xml:space="preserve">развитие. </w:t>
      </w:r>
    </w:p>
    <w:p w:rsidR="00FD5087" w:rsidRPr="009D1F2A" w:rsidRDefault="00FD5087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lastRenderedPageBreak/>
        <w:t>С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>появлением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>новых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>технологий</w:t>
      </w:r>
      <w:r w:rsidR="00F044E7">
        <w:rPr>
          <w:sz w:val="22"/>
          <w:lang w:val="ru-RU"/>
        </w:rPr>
        <w:t>,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>таких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>как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>технология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>автоматического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>распознавания</w:t>
      </w:r>
      <w:r w:rsidRPr="00FD5087">
        <w:rPr>
          <w:sz w:val="22"/>
          <w:lang w:val="ru-RU"/>
        </w:rPr>
        <w:t xml:space="preserve"> </w:t>
      </w:r>
      <w:r>
        <w:rPr>
          <w:sz w:val="22"/>
          <w:lang w:val="ru-RU"/>
        </w:rPr>
        <w:t xml:space="preserve">речи, </w:t>
      </w:r>
      <w:r w:rsidR="00F044E7">
        <w:rPr>
          <w:sz w:val="22"/>
          <w:lang w:val="ru-RU"/>
        </w:rPr>
        <w:t xml:space="preserve">расширяются </w:t>
      </w:r>
      <w:r>
        <w:rPr>
          <w:sz w:val="22"/>
          <w:lang w:val="ru-RU"/>
        </w:rPr>
        <w:t>возможности доступа к материалам, охраняемым авторским правом и смежными правами (</w:t>
      </w:r>
      <w:r w:rsidR="00F044E7">
        <w:rPr>
          <w:sz w:val="22"/>
          <w:lang w:val="ru-RU"/>
        </w:rPr>
        <w:t xml:space="preserve">к </w:t>
      </w:r>
      <w:r>
        <w:rPr>
          <w:sz w:val="22"/>
          <w:lang w:val="ru-RU"/>
        </w:rPr>
        <w:t>«охраняемы</w:t>
      </w:r>
      <w:r w:rsidR="00F044E7">
        <w:rPr>
          <w:sz w:val="22"/>
          <w:lang w:val="ru-RU"/>
        </w:rPr>
        <w:t>м</w:t>
      </w:r>
      <w:r>
        <w:rPr>
          <w:sz w:val="22"/>
          <w:lang w:val="ru-RU"/>
        </w:rPr>
        <w:t xml:space="preserve"> произведения</w:t>
      </w:r>
      <w:r w:rsidR="00F044E7">
        <w:rPr>
          <w:sz w:val="22"/>
          <w:lang w:val="ru-RU"/>
        </w:rPr>
        <w:t>м</w:t>
      </w:r>
      <w:r>
        <w:rPr>
          <w:sz w:val="22"/>
          <w:lang w:val="ru-RU"/>
        </w:rPr>
        <w:t>»)</w:t>
      </w:r>
      <w:r w:rsidR="008E2F85">
        <w:rPr>
          <w:sz w:val="22"/>
          <w:lang w:val="ru-RU"/>
        </w:rPr>
        <w:t>,</w:t>
      </w:r>
      <w:r w:rsidR="009D1F2A">
        <w:rPr>
          <w:sz w:val="22"/>
          <w:lang w:val="ru-RU"/>
        </w:rPr>
        <w:t xml:space="preserve"> </w:t>
      </w:r>
      <w:r w:rsidR="00F100A9">
        <w:rPr>
          <w:sz w:val="22"/>
          <w:lang w:val="ru-RU"/>
        </w:rPr>
        <w:t xml:space="preserve">за </w:t>
      </w:r>
      <w:r w:rsidR="008E2F85">
        <w:rPr>
          <w:sz w:val="22"/>
          <w:lang w:val="ru-RU"/>
        </w:rPr>
        <w:t xml:space="preserve">счет </w:t>
      </w:r>
      <w:r w:rsidR="00F044E7">
        <w:rPr>
          <w:sz w:val="22"/>
          <w:lang w:val="ru-RU"/>
        </w:rPr>
        <w:t xml:space="preserve">повышения </w:t>
      </w:r>
      <w:r w:rsidR="009D1F2A">
        <w:rPr>
          <w:sz w:val="22"/>
          <w:lang w:val="ru-RU"/>
        </w:rPr>
        <w:t xml:space="preserve">масштабов </w:t>
      </w:r>
      <w:r w:rsidR="00F100A9">
        <w:rPr>
          <w:sz w:val="22"/>
          <w:lang w:val="ru-RU"/>
        </w:rPr>
        <w:t xml:space="preserve">такого </w:t>
      </w:r>
      <w:r w:rsidR="009D1F2A">
        <w:rPr>
          <w:sz w:val="22"/>
          <w:lang w:val="ru-RU"/>
        </w:rPr>
        <w:t>доступ</w:t>
      </w:r>
      <w:r w:rsidR="00F100A9">
        <w:rPr>
          <w:sz w:val="22"/>
          <w:lang w:val="ru-RU"/>
        </w:rPr>
        <w:t>а</w:t>
      </w:r>
      <w:r>
        <w:rPr>
          <w:sz w:val="22"/>
          <w:lang w:val="ru-RU"/>
        </w:rPr>
        <w:t xml:space="preserve">. </w:t>
      </w:r>
      <w:r w:rsidR="00F100A9">
        <w:rPr>
          <w:sz w:val="22"/>
          <w:lang w:val="ru-RU"/>
        </w:rPr>
        <w:t xml:space="preserve">Вместе с тем </w:t>
      </w:r>
      <w:r w:rsidR="00F044E7">
        <w:rPr>
          <w:sz w:val="22"/>
          <w:lang w:val="ru-RU"/>
        </w:rPr>
        <w:t xml:space="preserve">необходимо на перспективу проанализировать то, каким образом </w:t>
      </w:r>
      <w:r w:rsidR="008E7317">
        <w:rPr>
          <w:sz w:val="22"/>
          <w:lang w:val="ru-RU"/>
        </w:rPr>
        <w:t>законы</w:t>
      </w:r>
      <w:r w:rsidR="00F100A9">
        <w:rPr>
          <w:sz w:val="22"/>
          <w:lang w:val="ru-RU"/>
        </w:rPr>
        <w:t xml:space="preserve"> по авторскому праву и смежным правам мо</w:t>
      </w:r>
      <w:r w:rsidR="008E7317">
        <w:rPr>
          <w:sz w:val="22"/>
          <w:lang w:val="ru-RU"/>
        </w:rPr>
        <w:t>гут</w:t>
      </w:r>
      <w:r w:rsidR="00F100A9">
        <w:rPr>
          <w:sz w:val="22"/>
          <w:lang w:val="ru-RU"/>
        </w:rPr>
        <w:t xml:space="preserve"> гибко использова</w:t>
      </w:r>
      <w:r w:rsidR="008E7317">
        <w:rPr>
          <w:sz w:val="22"/>
          <w:lang w:val="ru-RU"/>
        </w:rPr>
        <w:t>ться</w:t>
      </w:r>
      <w:r w:rsidR="00F100A9">
        <w:rPr>
          <w:sz w:val="22"/>
          <w:lang w:val="ru-RU"/>
        </w:rPr>
        <w:t xml:space="preserve"> </w:t>
      </w:r>
      <w:r w:rsidR="0019032D">
        <w:rPr>
          <w:sz w:val="22"/>
          <w:lang w:val="ru-RU"/>
        </w:rPr>
        <w:t xml:space="preserve">в целях </w:t>
      </w:r>
      <w:r w:rsidR="00F100A9">
        <w:rPr>
          <w:sz w:val="22"/>
          <w:lang w:val="ru-RU"/>
        </w:rPr>
        <w:t>облегчения доступа лиц</w:t>
      </w:r>
      <w:r w:rsidR="0019032D">
        <w:rPr>
          <w:sz w:val="22"/>
          <w:lang w:val="ru-RU"/>
        </w:rPr>
        <w:t>ам</w:t>
      </w:r>
      <w:r w:rsidR="00F100A9">
        <w:rPr>
          <w:sz w:val="22"/>
          <w:lang w:val="ru-RU"/>
        </w:rPr>
        <w:t xml:space="preserve"> с ограниченными возможностями.  </w:t>
      </w:r>
    </w:p>
    <w:p w:rsidR="008E7317" w:rsidRPr="00CD7952" w:rsidRDefault="008E7317" w:rsidP="00C4000D">
      <w:pPr>
        <w:pStyle w:val="WIPOBodyStyle"/>
        <w:rPr>
          <w:sz w:val="22"/>
          <w:lang w:val="ru-RU"/>
        </w:rPr>
      </w:pPr>
      <w:bookmarkStart w:id="14" w:name="_3znysh7"/>
      <w:bookmarkEnd w:id="14"/>
    </w:p>
    <w:p w:rsidR="00EA04B2" w:rsidRDefault="00E56D8E" w:rsidP="00C4000D">
      <w:pPr>
        <w:pStyle w:val="WIPOBodyStyle"/>
        <w:rPr>
          <w:sz w:val="22"/>
          <w:lang w:val="ru-RU"/>
        </w:rPr>
      </w:pPr>
      <w:r w:rsidRPr="00104107">
        <w:rPr>
          <w:sz w:val="22"/>
          <w:lang w:val="ru-RU"/>
        </w:rPr>
        <w:t xml:space="preserve">В ходе ряда предыдущих сессий </w:t>
      </w:r>
      <w:r w:rsidR="00245789" w:rsidRPr="00104107">
        <w:rPr>
          <w:sz w:val="22"/>
          <w:lang w:val="ru-RU"/>
        </w:rPr>
        <w:t>Постоянного комитета по авторскому праву и смежным правам (ПКАП) государства</w:t>
      </w:r>
      <w:r w:rsidR="00245789" w:rsidRPr="00EA04B2">
        <w:rPr>
          <w:sz w:val="22"/>
          <w:lang w:val="ru-RU"/>
        </w:rPr>
        <w:t>-</w:t>
      </w:r>
      <w:r w:rsidR="00245789">
        <w:rPr>
          <w:sz w:val="22"/>
          <w:lang w:val="ru-RU"/>
        </w:rPr>
        <w:t>члены</w:t>
      </w:r>
      <w:r w:rsidR="00245789" w:rsidRPr="00EA04B2">
        <w:rPr>
          <w:sz w:val="22"/>
          <w:lang w:val="ru-RU"/>
        </w:rPr>
        <w:t xml:space="preserve"> </w:t>
      </w:r>
      <w:r w:rsidR="00245789">
        <w:rPr>
          <w:sz w:val="22"/>
          <w:lang w:val="ru-RU"/>
        </w:rPr>
        <w:t>ПКАП</w:t>
      </w:r>
      <w:r w:rsidR="00245789" w:rsidRPr="00EA04B2">
        <w:rPr>
          <w:sz w:val="22"/>
          <w:lang w:val="ru-RU"/>
        </w:rPr>
        <w:t xml:space="preserve"> </w:t>
      </w:r>
      <w:r w:rsidR="00104107">
        <w:rPr>
          <w:sz w:val="22"/>
          <w:lang w:val="ru-RU"/>
        </w:rPr>
        <w:t xml:space="preserve">просили </w:t>
      </w:r>
      <w:r w:rsidR="00EA04B2">
        <w:rPr>
          <w:sz w:val="22"/>
          <w:lang w:val="ru-RU"/>
        </w:rPr>
        <w:t>Секретариат</w:t>
      </w:r>
      <w:r w:rsidR="00104107">
        <w:rPr>
          <w:sz w:val="22"/>
          <w:lang w:val="ru-RU"/>
        </w:rPr>
        <w:t xml:space="preserve"> </w:t>
      </w:r>
      <w:r w:rsidR="00EA04B2">
        <w:rPr>
          <w:sz w:val="22"/>
          <w:lang w:val="ru-RU"/>
        </w:rPr>
        <w:t>ВОИС</w:t>
      </w:r>
      <w:r w:rsidR="00EA04B2" w:rsidRPr="00EA04B2">
        <w:rPr>
          <w:sz w:val="22"/>
          <w:lang w:val="ru-RU"/>
        </w:rPr>
        <w:t xml:space="preserve"> </w:t>
      </w:r>
      <w:r w:rsidR="00EA04B2">
        <w:rPr>
          <w:sz w:val="22"/>
          <w:lang w:val="ru-RU"/>
        </w:rPr>
        <w:t>заказать</w:t>
      </w:r>
      <w:r w:rsidR="00EA04B2" w:rsidRPr="00EA04B2">
        <w:rPr>
          <w:sz w:val="22"/>
          <w:lang w:val="ru-RU"/>
        </w:rPr>
        <w:t xml:space="preserve"> </w:t>
      </w:r>
      <w:r w:rsidR="00335A69">
        <w:rPr>
          <w:sz w:val="22"/>
          <w:lang w:val="ru-RU"/>
        </w:rPr>
        <w:t xml:space="preserve">подготовку </w:t>
      </w:r>
      <w:r w:rsidR="00EA04B2">
        <w:rPr>
          <w:sz w:val="22"/>
          <w:lang w:val="ru-RU"/>
        </w:rPr>
        <w:t>обзорного</w:t>
      </w:r>
      <w:r w:rsidR="00EA04B2" w:rsidRPr="00EA04B2">
        <w:rPr>
          <w:sz w:val="22"/>
          <w:lang w:val="ru-RU"/>
        </w:rPr>
        <w:t xml:space="preserve"> </w:t>
      </w:r>
      <w:r w:rsidR="00104107">
        <w:rPr>
          <w:sz w:val="22"/>
          <w:lang w:val="ru-RU"/>
        </w:rPr>
        <w:t xml:space="preserve">исследования </w:t>
      </w:r>
      <w:r w:rsidR="00335A69">
        <w:rPr>
          <w:sz w:val="22"/>
          <w:lang w:val="ru-RU"/>
        </w:rPr>
        <w:t xml:space="preserve">по вопросу </w:t>
      </w:r>
      <w:r w:rsidR="00EA04B2">
        <w:rPr>
          <w:sz w:val="22"/>
          <w:lang w:val="ru-RU"/>
        </w:rPr>
        <w:t xml:space="preserve">об ограничениях и исключениях для лиц с </w:t>
      </w:r>
      <w:r w:rsidR="00335A69">
        <w:rPr>
          <w:sz w:val="22"/>
          <w:lang w:val="ru-RU"/>
        </w:rPr>
        <w:t xml:space="preserve">другими </w:t>
      </w:r>
      <w:r w:rsidR="00EA04B2">
        <w:rPr>
          <w:sz w:val="22"/>
          <w:lang w:val="ru-RU"/>
        </w:rPr>
        <w:t xml:space="preserve">ограниченными возможностями, </w:t>
      </w:r>
      <w:r w:rsidR="00335A69">
        <w:rPr>
          <w:sz w:val="22"/>
          <w:lang w:val="ru-RU"/>
        </w:rPr>
        <w:t xml:space="preserve">которые не </w:t>
      </w:r>
      <w:r w:rsidR="00EA04B2">
        <w:rPr>
          <w:sz w:val="22"/>
          <w:lang w:val="ru-RU"/>
        </w:rPr>
        <w:t>охва</w:t>
      </w:r>
      <w:r w:rsidR="00335A69">
        <w:rPr>
          <w:sz w:val="22"/>
          <w:lang w:val="ru-RU"/>
        </w:rPr>
        <w:t xml:space="preserve">тываются </w:t>
      </w:r>
      <w:r w:rsidR="00EA04B2">
        <w:rPr>
          <w:sz w:val="22"/>
          <w:lang w:val="ru-RU"/>
        </w:rPr>
        <w:t xml:space="preserve">Марракешским договором об облегчении доступа слепых и лиц с нарушениями зрения </w:t>
      </w:r>
      <w:r w:rsidR="00893645">
        <w:rPr>
          <w:sz w:val="22"/>
          <w:lang w:val="ru-RU"/>
        </w:rPr>
        <w:t>или иными ограниченными способностями воспринимать печатную информацию к опубликованным произведениям</w:t>
      </w:r>
      <w:r w:rsidR="00893645" w:rsidRPr="00893645">
        <w:rPr>
          <w:vertAlign w:val="superscript"/>
        </w:rPr>
        <w:footnoteReference w:id="2"/>
      </w:r>
      <w:r w:rsidR="00893645">
        <w:rPr>
          <w:sz w:val="22"/>
          <w:lang w:val="ru-RU"/>
        </w:rPr>
        <w:t>.</w:t>
      </w:r>
    </w:p>
    <w:p w:rsidR="00C4000D" w:rsidRPr="00CD7952" w:rsidRDefault="00C4000D" w:rsidP="00C4000D">
      <w:pPr>
        <w:pStyle w:val="WIPOBodyStyle"/>
        <w:rPr>
          <w:sz w:val="22"/>
          <w:lang w:val="ru-RU"/>
        </w:rPr>
      </w:pPr>
    </w:p>
    <w:p w:rsidR="00893645" w:rsidRPr="00893645" w:rsidRDefault="00F044E7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 xml:space="preserve">Данное </w:t>
      </w:r>
      <w:r w:rsidR="00893645">
        <w:rPr>
          <w:sz w:val="22"/>
          <w:lang w:val="ru-RU"/>
        </w:rPr>
        <w:t>исследование подготовлено на основе ранее заказанного исследования, впервые представленного в ноябре 2017 г.</w:t>
      </w:r>
      <w:r w:rsidR="00893645">
        <w:rPr>
          <w:rStyle w:val="FootnoteReference"/>
          <w:sz w:val="22"/>
        </w:rPr>
        <w:footnoteReference w:id="3"/>
      </w:r>
      <w:r w:rsidR="00DA3272">
        <w:rPr>
          <w:sz w:val="22"/>
          <w:lang w:val="ru-RU"/>
        </w:rPr>
        <w:t>.</w:t>
      </w:r>
      <w:r w:rsidR="00893645">
        <w:rPr>
          <w:sz w:val="22"/>
          <w:lang w:val="ru-RU"/>
        </w:rPr>
        <w:t xml:space="preserve">  Однако его метод</w:t>
      </w:r>
      <w:r w:rsidR="00DA3272">
        <w:rPr>
          <w:sz w:val="22"/>
          <w:lang w:val="ru-RU"/>
        </w:rPr>
        <w:t>ика</w:t>
      </w:r>
      <w:r w:rsidR="00893645">
        <w:rPr>
          <w:sz w:val="22"/>
          <w:lang w:val="ru-RU"/>
        </w:rPr>
        <w:t xml:space="preserve"> имеет значительные отличия.  Вместо </w:t>
      </w:r>
      <w:r w:rsidR="00DA3272">
        <w:rPr>
          <w:sz w:val="22"/>
          <w:lang w:val="ru-RU"/>
        </w:rPr>
        <w:t xml:space="preserve">того, чтобы собирать </w:t>
      </w:r>
      <w:r w:rsidR="00893645">
        <w:rPr>
          <w:sz w:val="22"/>
          <w:lang w:val="ru-RU"/>
        </w:rPr>
        <w:t>данны</w:t>
      </w:r>
      <w:r w:rsidR="00DA3272">
        <w:rPr>
          <w:sz w:val="22"/>
          <w:lang w:val="ru-RU"/>
        </w:rPr>
        <w:t>е</w:t>
      </w:r>
      <w:r w:rsidR="00893645">
        <w:rPr>
          <w:sz w:val="22"/>
          <w:lang w:val="ru-RU"/>
        </w:rPr>
        <w:t xml:space="preserve"> с помощью адаптированного вопросника, направляемого непосредственно государствам-членам ВОИС, авторы исследования изучили законодательство </w:t>
      </w:r>
      <w:r w:rsidR="0049367C">
        <w:rPr>
          <w:sz w:val="22"/>
          <w:lang w:val="ru-RU"/>
        </w:rPr>
        <w:t>каждого государства-члена ВОИС в области авторского права</w:t>
      </w:r>
      <w:r w:rsidR="00DA3272">
        <w:rPr>
          <w:sz w:val="22"/>
          <w:lang w:val="ru-RU"/>
        </w:rPr>
        <w:t xml:space="preserve"> самостоятельно</w:t>
      </w:r>
      <w:r w:rsidR="0049367C">
        <w:rPr>
          <w:sz w:val="22"/>
          <w:lang w:val="ru-RU"/>
        </w:rPr>
        <w:t xml:space="preserve">. В исследовании </w:t>
      </w:r>
      <w:r w:rsidR="00DA3272">
        <w:rPr>
          <w:sz w:val="22"/>
          <w:lang w:val="ru-RU"/>
        </w:rPr>
        <w:t xml:space="preserve">содержится более углубленный </w:t>
      </w:r>
      <w:r w:rsidR="0049367C">
        <w:rPr>
          <w:sz w:val="22"/>
          <w:lang w:val="ru-RU"/>
        </w:rPr>
        <w:t xml:space="preserve">анализ </w:t>
      </w:r>
      <w:r w:rsidR="00DA3272">
        <w:rPr>
          <w:sz w:val="22"/>
          <w:lang w:val="ru-RU"/>
        </w:rPr>
        <w:t>того</w:t>
      </w:r>
      <w:r w:rsidR="0049367C">
        <w:rPr>
          <w:sz w:val="22"/>
          <w:lang w:val="ru-RU"/>
        </w:rPr>
        <w:t xml:space="preserve">, </w:t>
      </w:r>
      <w:r w:rsidR="00BB2522">
        <w:rPr>
          <w:sz w:val="22"/>
          <w:lang w:val="ru-RU"/>
        </w:rPr>
        <w:t xml:space="preserve">смогли ли государства-члены </w:t>
      </w:r>
      <w:r w:rsidR="00DA3272">
        <w:rPr>
          <w:sz w:val="22"/>
          <w:lang w:val="ru-RU"/>
        </w:rPr>
        <w:t xml:space="preserve">выработать и </w:t>
      </w:r>
      <w:r w:rsidR="00BB2522">
        <w:rPr>
          <w:sz w:val="22"/>
          <w:lang w:val="ru-RU"/>
        </w:rPr>
        <w:t>принять меры</w:t>
      </w:r>
      <w:r w:rsidR="002B1208">
        <w:rPr>
          <w:sz w:val="22"/>
          <w:lang w:val="ru-RU"/>
        </w:rPr>
        <w:t xml:space="preserve"> </w:t>
      </w:r>
      <w:r w:rsidR="00DA3272">
        <w:rPr>
          <w:sz w:val="22"/>
          <w:lang w:val="ru-RU"/>
        </w:rPr>
        <w:t xml:space="preserve">во исполнение </w:t>
      </w:r>
      <w:r w:rsidR="002B1208">
        <w:rPr>
          <w:sz w:val="22"/>
          <w:lang w:val="ru-RU"/>
        </w:rPr>
        <w:t>Марракешского договора</w:t>
      </w:r>
      <w:r w:rsidR="00DA3272">
        <w:rPr>
          <w:sz w:val="22"/>
          <w:lang w:val="ru-RU"/>
        </w:rPr>
        <w:t xml:space="preserve"> и в какой степени</w:t>
      </w:r>
      <w:r w:rsidR="002B1208">
        <w:rPr>
          <w:sz w:val="22"/>
          <w:lang w:val="ru-RU"/>
        </w:rPr>
        <w:t xml:space="preserve">.  </w:t>
      </w:r>
      <w:r w:rsidR="00BB2522">
        <w:rPr>
          <w:sz w:val="22"/>
          <w:lang w:val="ru-RU"/>
        </w:rPr>
        <w:t xml:space="preserve"> </w:t>
      </w:r>
    </w:p>
    <w:p w:rsidR="00C4000D" w:rsidRPr="00CD7952" w:rsidRDefault="00C4000D" w:rsidP="00C4000D">
      <w:pPr>
        <w:pStyle w:val="WIPOBodyStyle"/>
        <w:rPr>
          <w:sz w:val="22"/>
          <w:lang w:val="ru-RU"/>
        </w:rPr>
      </w:pPr>
    </w:p>
    <w:p w:rsidR="00C4000D" w:rsidRPr="0093693B" w:rsidRDefault="0093693B" w:rsidP="00C4000D">
      <w:pPr>
        <w:pStyle w:val="Heading1"/>
        <w:rPr>
          <w:rFonts w:eastAsia="Arial"/>
          <w:szCs w:val="22"/>
          <w:lang w:val="ru-RU"/>
        </w:rPr>
      </w:pPr>
      <w:bookmarkStart w:id="15" w:name="_3r1peabwkk67"/>
      <w:bookmarkEnd w:id="15"/>
      <w:r>
        <w:rPr>
          <w:rFonts w:eastAsia="Arial"/>
          <w:szCs w:val="22"/>
          <w:lang w:val="ru-RU"/>
        </w:rPr>
        <w:t>ИСТОРИЯ</w:t>
      </w:r>
      <w:r w:rsidRPr="0093693B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ВОПРОСА</w:t>
      </w:r>
      <w:r w:rsidRPr="0093693B">
        <w:rPr>
          <w:rFonts w:eastAsia="Arial"/>
          <w:szCs w:val="22"/>
          <w:lang w:val="ru-RU"/>
        </w:rPr>
        <w:t xml:space="preserve"> </w:t>
      </w:r>
      <w:bookmarkEnd w:id="8"/>
      <w:bookmarkEnd w:id="9"/>
      <w:bookmarkEnd w:id="10"/>
    </w:p>
    <w:p w:rsidR="0093693B" w:rsidRPr="00CD7952" w:rsidRDefault="0093693B" w:rsidP="003B6029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По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оценке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Всемирной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организации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здравоохранения</w:t>
      </w:r>
      <w:r w:rsidR="008E4F35" w:rsidRPr="008E4F35">
        <w:rPr>
          <w:sz w:val="22"/>
          <w:lang w:val="ru-RU"/>
        </w:rPr>
        <w:t>,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лица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с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ограниченными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возможностями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составляют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приблизительно</w:t>
      </w:r>
      <w:r w:rsidRPr="0093693B">
        <w:rPr>
          <w:sz w:val="22"/>
          <w:lang w:val="ru-RU"/>
        </w:rPr>
        <w:t xml:space="preserve"> 15% </w:t>
      </w:r>
      <w:r>
        <w:rPr>
          <w:sz w:val="22"/>
          <w:lang w:val="ru-RU"/>
        </w:rPr>
        <w:t>всего</w:t>
      </w:r>
      <w:r w:rsidRPr="0093693B">
        <w:rPr>
          <w:sz w:val="22"/>
          <w:lang w:val="ru-RU"/>
        </w:rPr>
        <w:t xml:space="preserve"> </w:t>
      </w:r>
      <w:r>
        <w:rPr>
          <w:sz w:val="22"/>
          <w:lang w:val="ru-RU"/>
        </w:rPr>
        <w:t>населения</w:t>
      </w:r>
      <w:r w:rsidRPr="0093693B">
        <w:rPr>
          <w:rStyle w:val="FootnoteReference"/>
          <w:sz w:val="22"/>
        </w:rPr>
        <w:footnoteReference w:id="4"/>
      </w:r>
      <w:r w:rsidRPr="0093693B">
        <w:rPr>
          <w:sz w:val="22"/>
          <w:lang w:val="ru-RU"/>
        </w:rPr>
        <w:t>.</w:t>
      </w:r>
      <w:r>
        <w:rPr>
          <w:sz w:val="22"/>
          <w:lang w:val="ru-RU"/>
        </w:rPr>
        <w:t xml:space="preserve">  В развивающихся странах этот показатель </w:t>
      </w:r>
      <w:r w:rsidR="00F044E7">
        <w:rPr>
          <w:sz w:val="22"/>
          <w:lang w:val="ru-RU"/>
        </w:rPr>
        <w:t xml:space="preserve">наиболее </w:t>
      </w:r>
      <w:r>
        <w:rPr>
          <w:sz w:val="22"/>
          <w:lang w:val="ru-RU"/>
        </w:rPr>
        <w:t>высокий</w:t>
      </w:r>
      <w:r w:rsidR="00335A69" w:rsidRPr="00335A69">
        <w:rPr>
          <w:rStyle w:val="FootnoteReference"/>
          <w:sz w:val="22"/>
        </w:rPr>
        <w:footnoteReference w:id="5"/>
      </w:r>
      <w:r>
        <w:rPr>
          <w:sz w:val="22"/>
          <w:lang w:val="ru-RU"/>
        </w:rPr>
        <w:t xml:space="preserve">. Кроме того, </w:t>
      </w:r>
      <w:r w:rsidR="008E4F35">
        <w:rPr>
          <w:sz w:val="22"/>
          <w:lang w:val="ru-RU"/>
        </w:rPr>
        <w:t xml:space="preserve">по мнению </w:t>
      </w:r>
      <w:r>
        <w:rPr>
          <w:sz w:val="22"/>
          <w:lang w:val="ru-RU"/>
        </w:rPr>
        <w:t xml:space="preserve">ВОЗ, </w:t>
      </w:r>
      <w:r w:rsidR="00335A69">
        <w:rPr>
          <w:sz w:val="22"/>
          <w:lang w:val="ru-RU"/>
        </w:rPr>
        <w:t>доля лиц с ограниченными возможностями продолжает расти</w:t>
      </w:r>
      <w:r w:rsidR="00335A69" w:rsidRPr="00335A69">
        <w:rPr>
          <w:rStyle w:val="FootnoteReference"/>
          <w:sz w:val="22"/>
        </w:rPr>
        <w:footnoteReference w:id="6"/>
      </w:r>
      <w:r w:rsidR="00335A69">
        <w:rPr>
          <w:sz w:val="22"/>
          <w:lang w:val="ru-RU"/>
        </w:rPr>
        <w:t xml:space="preserve">. </w:t>
      </w:r>
      <w:r w:rsidR="003B6029">
        <w:rPr>
          <w:sz w:val="22"/>
          <w:lang w:val="ru-RU"/>
        </w:rPr>
        <w:t>В</w:t>
      </w:r>
      <w:r w:rsidR="003B6029" w:rsidRPr="00CD7952">
        <w:rPr>
          <w:sz w:val="22"/>
          <w:lang w:val="ru-RU"/>
        </w:rPr>
        <w:t xml:space="preserve"> </w:t>
      </w:r>
      <w:r w:rsidR="003B6029">
        <w:rPr>
          <w:sz w:val="22"/>
          <w:lang w:val="ru-RU"/>
        </w:rPr>
        <w:t>преамбуле</w:t>
      </w:r>
      <w:r w:rsidR="003B6029" w:rsidRPr="00CD7952">
        <w:rPr>
          <w:sz w:val="22"/>
          <w:lang w:val="ru-RU"/>
        </w:rPr>
        <w:t xml:space="preserve"> </w:t>
      </w:r>
      <w:r w:rsidR="003B6029">
        <w:rPr>
          <w:sz w:val="22"/>
          <w:lang w:val="ru-RU"/>
        </w:rPr>
        <w:t>к</w:t>
      </w:r>
      <w:r w:rsidR="003B6029" w:rsidRPr="00CD7952">
        <w:rPr>
          <w:sz w:val="22"/>
          <w:lang w:val="ru-RU"/>
        </w:rPr>
        <w:t xml:space="preserve"> </w:t>
      </w:r>
      <w:r w:rsidR="003B6029">
        <w:rPr>
          <w:sz w:val="22"/>
          <w:lang w:val="ru-RU"/>
        </w:rPr>
        <w:t>КПИ</w:t>
      </w:r>
      <w:r w:rsidR="003B6029" w:rsidRPr="00CD7952">
        <w:rPr>
          <w:sz w:val="22"/>
          <w:lang w:val="ru-RU"/>
        </w:rPr>
        <w:t xml:space="preserve"> </w:t>
      </w:r>
      <w:r w:rsidR="003B6029">
        <w:rPr>
          <w:sz w:val="22"/>
          <w:lang w:val="ru-RU"/>
        </w:rPr>
        <w:t>дается</w:t>
      </w:r>
      <w:r w:rsidR="003B6029" w:rsidRPr="00CD7952">
        <w:rPr>
          <w:sz w:val="22"/>
          <w:lang w:val="ru-RU"/>
        </w:rPr>
        <w:t xml:space="preserve"> </w:t>
      </w:r>
      <w:r w:rsidR="008E4F35">
        <w:rPr>
          <w:sz w:val="22"/>
          <w:lang w:val="ru-RU"/>
        </w:rPr>
        <w:t xml:space="preserve">следующее </w:t>
      </w:r>
      <w:r w:rsidR="003B6029">
        <w:rPr>
          <w:sz w:val="22"/>
          <w:lang w:val="ru-RU"/>
        </w:rPr>
        <w:t>широкое</w:t>
      </w:r>
      <w:r w:rsidR="003B6029" w:rsidRPr="00CD7952">
        <w:rPr>
          <w:sz w:val="22"/>
          <w:lang w:val="ru-RU"/>
        </w:rPr>
        <w:t xml:space="preserve"> </w:t>
      </w:r>
      <w:r w:rsidR="003B6029">
        <w:rPr>
          <w:sz w:val="22"/>
          <w:lang w:val="ru-RU"/>
        </w:rPr>
        <w:t>определение</w:t>
      </w:r>
      <w:r w:rsidR="003B6029" w:rsidRPr="00CD7952">
        <w:rPr>
          <w:sz w:val="22"/>
          <w:lang w:val="ru-RU"/>
        </w:rPr>
        <w:t xml:space="preserve"> </w:t>
      </w:r>
      <w:r w:rsidR="003B6029">
        <w:rPr>
          <w:sz w:val="22"/>
          <w:lang w:val="ru-RU"/>
        </w:rPr>
        <w:t>инвалидности</w:t>
      </w:r>
      <w:r w:rsidR="003B6029" w:rsidRPr="00CD7952">
        <w:rPr>
          <w:sz w:val="22"/>
          <w:lang w:val="ru-RU"/>
        </w:rPr>
        <w:t>:</w:t>
      </w:r>
    </w:p>
    <w:p w:rsidR="00C4000D" w:rsidRDefault="003B6029" w:rsidP="00C4000D">
      <w:pPr>
        <w:pStyle w:val="WIPOBodyStyle"/>
        <w:ind w:left="720" w:right="720"/>
        <w:rPr>
          <w:sz w:val="22"/>
          <w:lang w:val="ru-RU"/>
        </w:rPr>
      </w:pPr>
      <w:r>
        <w:rPr>
          <w:sz w:val="22"/>
          <w:lang w:val="ru-RU"/>
        </w:rPr>
        <w:t>И</w:t>
      </w:r>
      <w:r w:rsidR="00104107">
        <w:rPr>
          <w:sz w:val="22"/>
          <w:lang w:val="ru-RU"/>
        </w:rPr>
        <w:t xml:space="preserve">нвалидность </w:t>
      </w:r>
      <w:r w:rsidRPr="003B6029">
        <w:rPr>
          <w:sz w:val="22"/>
          <w:lang w:val="ru-RU"/>
        </w:rPr>
        <w:t>является результатом взаимодействия,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</w:t>
      </w:r>
      <w:r w:rsidR="00C4000D">
        <w:rPr>
          <w:rStyle w:val="FootnoteReference"/>
          <w:sz w:val="22"/>
        </w:rPr>
        <w:footnoteReference w:id="7"/>
      </w:r>
      <w:r w:rsidR="00104107">
        <w:rPr>
          <w:sz w:val="22"/>
          <w:lang w:val="ru-RU"/>
        </w:rPr>
        <w:t>.</w:t>
      </w:r>
      <w:r w:rsidR="00C4000D" w:rsidRPr="003B6029">
        <w:rPr>
          <w:sz w:val="22"/>
          <w:lang w:val="ru-RU"/>
        </w:rPr>
        <w:t xml:space="preserve"> </w:t>
      </w:r>
    </w:p>
    <w:p w:rsidR="0066285C" w:rsidRPr="00164846" w:rsidRDefault="008E4F35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Данное о</w:t>
      </w:r>
      <w:r w:rsidR="00322752">
        <w:rPr>
          <w:sz w:val="22"/>
          <w:lang w:val="ru-RU"/>
        </w:rPr>
        <w:t xml:space="preserve">снованное на принципах прав человека </w:t>
      </w:r>
      <w:r w:rsidR="00164846">
        <w:rPr>
          <w:sz w:val="22"/>
          <w:lang w:val="ru-RU"/>
        </w:rPr>
        <w:t xml:space="preserve">понятие инвалидности </w:t>
      </w:r>
      <w:r>
        <w:rPr>
          <w:sz w:val="22"/>
          <w:lang w:val="ru-RU"/>
        </w:rPr>
        <w:t xml:space="preserve">является </w:t>
      </w:r>
      <w:r w:rsidR="00266F50">
        <w:rPr>
          <w:sz w:val="22"/>
          <w:lang w:val="ru-RU"/>
        </w:rPr>
        <w:t>отход</w:t>
      </w:r>
      <w:r>
        <w:rPr>
          <w:sz w:val="22"/>
          <w:lang w:val="ru-RU"/>
        </w:rPr>
        <w:t xml:space="preserve">ом </w:t>
      </w:r>
      <w:r w:rsidR="00266F50">
        <w:rPr>
          <w:sz w:val="22"/>
          <w:lang w:val="ru-RU"/>
        </w:rPr>
        <w:t>от медицинских норм</w:t>
      </w:r>
      <w:r w:rsidR="00164846" w:rsidRPr="00164846">
        <w:rPr>
          <w:sz w:val="22"/>
          <w:lang w:val="ru-RU"/>
        </w:rPr>
        <w:t xml:space="preserve"> </w:t>
      </w:r>
      <w:r w:rsidR="00D35861">
        <w:rPr>
          <w:sz w:val="22"/>
          <w:lang w:val="ru-RU"/>
        </w:rPr>
        <w:t xml:space="preserve">и </w:t>
      </w:r>
      <w:r w:rsidR="00266F50">
        <w:rPr>
          <w:sz w:val="22"/>
          <w:lang w:val="ru-RU"/>
        </w:rPr>
        <w:t xml:space="preserve">представляет собой ограничение прав человека </w:t>
      </w:r>
      <w:r>
        <w:rPr>
          <w:sz w:val="22"/>
          <w:lang w:val="ru-RU"/>
        </w:rPr>
        <w:t xml:space="preserve">в </w:t>
      </w:r>
      <w:r>
        <w:rPr>
          <w:sz w:val="22"/>
          <w:lang w:val="ru-RU"/>
        </w:rPr>
        <w:lastRenderedPageBreak/>
        <w:t xml:space="preserve">случае </w:t>
      </w:r>
      <w:r w:rsidR="00266F50">
        <w:rPr>
          <w:sz w:val="22"/>
          <w:lang w:val="ru-RU"/>
        </w:rPr>
        <w:t xml:space="preserve">лиц с ограниченными возможностями, препятствующими их полноценному участию </w:t>
      </w:r>
      <w:r w:rsidR="00164846" w:rsidRPr="00164846">
        <w:rPr>
          <w:sz w:val="22"/>
          <w:lang w:val="ru-RU"/>
        </w:rPr>
        <w:t>в жизни общества</w:t>
      </w:r>
      <w:r w:rsidR="001556E0">
        <w:rPr>
          <w:rStyle w:val="FootnoteReference"/>
          <w:sz w:val="22"/>
          <w:lang w:val="ru-RU"/>
        </w:rPr>
        <w:footnoteReference w:id="8"/>
      </w:r>
      <w:r w:rsidR="00164846" w:rsidRPr="00164846">
        <w:rPr>
          <w:sz w:val="22"/>
          <w:lang w:val="ru-RU"/>
        </w:rPr>
        <w:t xml:space="preserve">. Как упоминалось в предыдущем исследовании, каждый инвалид сталкивается с </w:t>
      </w:r>
      <w:r w:rsidR="00DC3D80">
        <w:rPr>
          <w:sz w:val="22"/>
          <w:lang w:val="ru-RU"/>
        </w:rPr>
        <w:t xml:space="preserve">индивидуальными </w:t>
      </w:r>
      <w:r w:rsidR="00164846" w:rsidRPr="00164846">
        <w:rPr>
          <w:sz w:val="22"/>
          <w:lang w:val="ru-RU"/>
        </w:rPr>
        <w:t xml:space="preserve">проблемами, </w:t>
      </w:r>
      <w:r w:rsidR="00DC3D80">
        <w:rPr>
          <w:sz w:val="22"/>
          <w:lang w:val="ru-RU"/>
        </w:rPr>
        <w:t xml:space="preserve">однако для выявления общих потребностей этой группы населения </w:t>
      </w:r>
      <w:r w:rsidR="00D35861">
        <w:rPr>
          <w:sz w:val="22"/>
          <w:lang w:val="ru-RU"/>
        </w:rPr>
        <w:t xml:space="preserve">целесообразно </w:t>
      </w:r>
      <w:r w:rsidR="00DC3D80">
        <w:rPr>
          <w:sz w:val="22"/>
          <w:lang w:val="ru-RU"/>
        </w:rPr>
        <w:t xml:space="preserve">определить </w:t>
      </w:r>
      <w:r w:rsidR="00164846" w:rsidRPr="00164846">
        <w:rPr>
          <w:sz w:val="22"/>
          <w:lang w:val="ru-RU"/>
        </w:rPr>
        <w:t xml:space="preserve">несколько </w:t>
      </w:r>
      <w:r w:rsidR="002D0D39">
        <w:rPr>
          <w:sz w:val="22"/>
          <w:lang w:val="ru-RU"/>
        </w:rPr>
        <w:t xml:space="preserve">общих </w:t>
      </w:r>
      <w:r w:rsidR="00F91F1D">
        <w:rPr>
          <w:sz w:val="22"/>
          <w:lang w:val="ru-RU"/>
        </w:rPr>
        <w:t>категорий инвалидности</w:t>
      </w:r>
      <w:r w:rsidR="001556E0">
        <w:rPr>
          <w:rStyle w:val="FootnoteReference"/>
          <w:sz w:val="22"/>
          <w:lang w:val="ru-RU"/>
        </w:rPr>
        <w:footnoteReference w:id="9"/>
      </w:r>
      <w:r w:rsidR="00F91F1D">
        <w:rPr>
          <w:sz w:val="22"/>
          <w:lang w:val="ru-RU"/>
        </w:rPr>
        <w:t xml:space="preserve">. </w:t>
      </w:r>
      <w:r w:rsidR="002D0D39">
        <w:rPr>
          <w:sz w:val="22"/>
          <w:lang w:val="ru-RU"/>
        </w:rPr>
        <w:t xml:space="preserve">В </w:t>
      </w:r>
      <w:r w:rsidR="00164846" w:rsidRPr="00164846">
        <w:rPr>
          <w:sz w:val="22"/>
          <w:lang w:val="ru-RU"/>
        </w:rPr>
        <w:t>исследовани</w:t>
      </w:r>
      <w:r w:rsidR="00DC3D80">
        <w:rPr>
          <w:sz w:val="22"/>
          <w:lang w:val="ru-RU"/>
        </w:rPr>
        <w:t>и</w:t>
      </w:r>
      <w:r w:rsidR="00164846" w:rsidRPr="00164846">
        <w:rPr>
          <w:sz w:val="22"/>
          <w:lang w:val="ru-RU"/>
        </w:rPr>
        <w:t xml:space="preserve"> </w:t>
      </w:r>
      <w:r w:rsidR="00F91F1D">
        <w:rPr>
          <w:sz w:val="22"/>
          <w:lang w:val="ru-RU"/>
        </w:rPr>
        <w:t xml:space="preserve">был </w:t>
      </w:r>
      <w:r w:rsidR="004A248A">
        <w:rPr>
          <w:sz w:val="22"/>
          <w:lang w:val="ru-RU"/>
        </w:rPr>
        <w:t xml:space="preserve">рассмотрен целый ряд </w:t>
      </w:r>
      <w:r w:rsidR="00164846" w:rsidRPr="00164846">
        <w:rPr>
          <w:sz w:val="22"/>
          <w:lang w:val="ru-RU"/>
        </w:rPr>
        <w:t xml:space="preserve">категорий </w:t>
      </w:r>
      <w:r w:rsidR="00DC3D80">
        <w:rPr>
          <w:sz w:val="22"/>
          <w:lang w:val="ru-RU"/>
        </w:rPr>
        <w:t>инвалидов</w:t>
      </w:r>
      <w:r w:rsidR="00412EE3">
        <w:rPr>
          <w:sz w:val="22"/>
          <w:lang w:val="ru-RU"/>
        </w:rPr>
        <w:t xml:space="preserve">, </w:t>
      </w:r>
      <w:r w:rsidR="004A248A">
        <w:rPr>
          <w:sz w:val="22"/>
          <w:lang w:val="ru-RU"/>
        </w:rPr>
        <w:t xml:space="preserve">которых касается </w:t>
      </w:r>
      <w:r w:rsidR="00412EE3">
        <w:rPr>
          <w:sz w:val="22"/>
          <w:lang w:val="ru-RU"/>
        </w:rPr>
        <w:t xml:space="preserve">право доступа к материалам, охраняемым авторским правом, </w:t>
      </w:r>
      <w:r w:rsidR="004A248A">
        <w:rPr>
          <w:sz w:val="22"/>
          <w:lang w:val="ru-RU"/>
        </w:rPr>
        <w:t xml:space="preserve">и </w:t>
      </w:r>
      <w:r w:rsidR="00412EE3">
        <w:rPr>
          <w:sz w:val="22"/>
          <w:lang w:val="ru-RU"/>
        </w:rPr>
        <w:t xml:space="preserve">которые </w:t>
      </w:r>
      <w:r w:rsidR="00DC3D80">
        <w:rPr>
          <w:sz w:val="22"/>
          <w:lang w:val="ru-RU"/>
        </w:rPr>
        <w:t xml:space="preserve">не совпадают или </w:t>
      </w:r>
      <w:r w:rsidR="00164846" w:rsidRPr="00164846">
        <w:rPr>
          <w:sz w:val="22"/>
          <w:lang w:val="ru-RU"/>
        </w:rPr>
        <w:t xml:space="preserve">частично </w:t>
      </w:r>
      <w:r w:rsidR="00412EE3">
        <w:rPr>
          <w:sz w:val="22"/>
          <w:lang w:val="ru-RU"/>
        </w:rPr>
        <w:t xml:space="preserve">совпадают с </w:t>
      </w:r>
      <w:r w:rsidR="005F295F">
        <w:rPr>
          <w:sz w:val="22"/>
          <w:lang w:val="ru-RU"/>
        </w:rPr>
        <w:t>категориям</w:t>
      </w:r>
      <w:r w:rsidR="00412EE3">
        <w:rPr>
          <w:sz w:val="22"/>
          <w:lang w:val="ru-RU"/>
        </w:rPr>
        <w:t>и лиц</w:t>
      </w:r>
      <w:r w:rsidR="005F295F">
        <w:rPr>
          <w:sz w:val="22"/>
          <w:lang w:val="ru-RU"/>
        </w:rPr>
        <w:t xml:space="preserve"> с ограниченными способностями воспринимать </w:t>
      </w:r>
      <w:r w:rsidR="00164846" w:rsidRPr="00164846">
        <w:rPr>
          <w:sz w:val="22"/>
          <w:lang w:val="ru-RU"/>
        </w:rPr>
        <w:t>печат</w:t>
      </w:r>
      <w:r w:rsidR="005F295F">
        <w:rPr>
          <w:sz w:val="22"/>
          <w:lang w:val="ru-RU"/>
        </w:rPr>
        <w:t xml:space="preserve">ную информацию </w:t>
      </w:r>
      <w:r w:rsidR="00412EE3">
        <w:rPr>
          <w:sz w:val="22"/>
          <w:lang w:val="ru-RU"/>
        </w:rPr>
        <w:t xml:space="preserve">в соответствии с </w:t>
      </w:r>
      <w:r w:rsidR="00164846" w:rsidRPr="00164846">
        <w:rPr>
          <w:sz w:val="22"/>
          <w:lang w:val="ru-RU"/>
        </w:rPr>
        <w:t>Марракешским договором.</w:t>
      </w:r>
    </w:p>
    <w:p w:rsidR="00C4000D" w:rsidRPr="00CD7952" w:rsidRDefault="00C4000D" w:rsidP="00C4000D">
      <w:pPr>
        <w:pStyle w:val="WIPOBodyStyle"/>
        <w:rPr>
          <w:sz w:val="22"/>
          <w:lang w:val="ru-RU"/>
        </w:rPr>
      </w:pPr>
    </w:p>
    <w:p w:rsidR="00C4000D" w:rsidRPr="002B1CEC" w:rsidRDefault="00F044E7" w:rsidP="00C4000D">
      <w:pPr>
        <w:widowControl w:val="0"/>
        <w:numPr>
          <w:ilvl w:val="0"/>
          <w:numId w:val="8"/>
        </w:numPr>
        <w:spacing w:after="80" w:line="300" w:lineRule="auto"/>
        <w:rPr>
          <w:rFonts w:ascii="Cambria" w:eastAsia="Cambria" w:hAnsi="Cambria" w:cs="Cambria"/>
          <w:lang w:val="ru-RU"/>
        </w:rPr>
      </w:pPr>
      <w:bookmarkStart w:id="16" w:name="_Hlk2068821"/>
      <w:r w:rsidRPr="00F044E7">
        <w:rPr>
          <w:i/>
          <w:lang w:val="ru-RU"/>
        </w:rPr>
        <w:t>Лица с н</w:t>
      </w:r>
      <w:r w:rsidR="001C0E5C" w:rsidRPr="00F044E7">
        <w:rPr>
          <w:i/>
          <w:lang w:val="ru-RU"/>
        </w:rPr>
        <w:t>арушения</w:t>
      </w:r>
      <w:r w:rsidRPr="00F044E7">
        <w:rPr>
          <w:i/>
          <w:lang w:val="ru-RU"/>
        </w:rPr>
        <w:t>ми</w:t>
      </w:r>
      <w:r w:rsidR="001C0E5C" w:rsidRPr="00F044E7">
        <w:rPr>
          <w:i/>
          <w:lang w:val="ru-RU"/>
        </w:rPr>
        <w:t xml:space="preserve"> слуха</w:t>
      </w:r>
      <w:r w:rsidR="00C4000D" w:rsidRPr="00F044E7">
        <w:rPr>
          <w:i/>
          <w:lang w:val="ru-RU"/>
        </w:rPr>
        <w:t>:</w:t>
      </w:r>
      <w:r w:rsidR="00C4000D" w:rsidRPr="00F044E7">
        <w:rPr>
          <w:lang w:val="ru-RU"/>
        </w:rPr>
        <w:t xml:space="preserve"> </w:t>
      </w:r>
      <w:r w:rsidR="00E17204">
        <w:rPr>
          <w:lang w:val="ru-RU"/>
        </w:rPr>
        <w:t xml:space="preserve">глухие и лица с нарушениями </w:t>
      </w:r>
      <w:r w:rsidR="00902165">
        <w:rPr>
          <w:lang w:val="ru-RU"/>
        </w:rPr>
        <w:t>слуха испытывают</w:t>
      </w:r>
      <w:r w:rsidR="0041737F" w:rsidRPr="00F044E7">
        <w:rPr>
          <w:lang w:val="ru-RU"/>
        </w:rPr>
        <w:t xml:space="preserve"> трудности </w:t>
      </w:r>
      <w:r w:rsidR="00E17204">
        <w:rPr>
          <w:lang w:val="ru-RU"/>
        </w:rPr>
        <w:t xml:space="preserve">при </w:t>
      </w:r>
      <w:r w:rsidR="0041737F" w:rsidRPr="00F044E7">
        <w:rPr>
          <w:lang w:val="ru-RU"/>
        </w:rPr>
        <w:t>доступ</w:t>
      </w:r>
      <w:r w:rsidR="0061233A" w:rsidRPr="00F044E7">
        <w:rPr>
          <w:lang w:val="ru-RU"/>
        </w:rPr>
        <w:t>е</w:t>
      </w:r>
      <w:r w:rsidR="0041737F" w:rsidRPr="00F044E7">
        <w:rPr>
          <w:lang w:val="ru-RU"/>
        </w:rPr>
        <w:t xml:space="preserve"> к аудио</w:t>
      </w:r>
      <w:r w:rsidR="00F91F1D">
        <w:rPr>
          <w:lang w:val="ru-RU"/>
        </w:rPr>
        <w:t>-</w:t>
      </w:r>
      <w:r w:rsidR="0041737F" w:rsidRPr="00F044E7">
        <w:rPr>
          <w:lang w:val="ru-RU"/>
        </w:rPr>
        <w:t xml:space="preserve"> и аудиовизуальным материалам</w:t>
      </w:r>
      <w:r w:rsidR="002B1CEC">
        <w:rPr>
          <w:lang w:val="ru-RU"/>
        </w:rPr>
        <w:t>.</w:t>
      </w:r>
      <w:r w:rsidR="00C4000D" w:rsidRPr="002B1CEC">
        <w:rPr>
          <w:lang w:val="ru-RU"/>
        </w:rPr>
        <w:t xml:space="preserve"> </w:t>
      </w:r>
    </w:p>
    <w:p w:rsidR="00C4000D" w:rsidRPr="002B1CEC" w:rsidRDefault="00902165" w:rsidP="0061233A">
      <w:pPr>
        <w:widowControl w:val="0"/>
        <w:numPr>
          <w:ilvl w:val="0"/>
          <w:numId w:val="8"/>
        </w:numPr>
        <w:spacing w:after="80" w:line="300" w:lineRule="auto"/>
        <w:rPr>
          <w:rFonts w:ascii="Cambria" w:eastAsia="Cambria" w:hAnsi="Cambria" w:cs="Cambria"/>
          <w:lang w:val="ru-RU"/>
        </w:rPr>
      </w:pPr>
      <w:r>
        <w:rPr>
          <w:i/>
          <w:lang w:val="ru-RU"/>
        </w:rPr>
        <w:t>Лица</w:t>
      </w:r>
      <w:r w:rsidRPr="002B1CEC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2B1CEC">
        <w:rPr>
          <w:i/>
          <w:lang w:val="ru-RU"/>
        </w:rPr>
        <w:t xml:space="preserve"> </w:t>
      </w:r>
      <w:r>
        <w:rPr>
          <w:i/>
          <w:lang w:val="ru-RU"/>
        </w:rPr>
        <w:t>н</w:t>
      </w:r>
      <w:r w:rsidR="0041737F" w:rsidRPr="00F044E7">
        <w:rPr>
          <w:i/>
          <w:lang w:val="ru-RU"/>
        </w:rPr>
        <w:t>арушения</w:t>
      </w:r>
      <w:r>
        <w:rPr>
          <w:i/>
          <w:lang w:val="ru-RU"/>
        </w:rPr>
        <w:t>ми</w:t>
      </w:r>
      <w:r w:rsidR="0041737F" w:rsidRPr="002B1CEC">
        <w:rPr>
          <w:i/>
          <w:lang w:val="ru-RU"/>
        </w:rPr>
        <w:t xml:space="preserve"> </w:t>
      </w:r>
      <w:r w:rsidR="0041737F" w:rsidRPr="00F044E7">
        <w:rPr>
          <w:i/>
          <w:lang w:val="ru-RU"/>
        </w:rPr>
        <w:t>зрения</w:t>
      </w:r>
      <w:r w:rsidR="0041737F" w:rsidRPr="002B1CEC">
        <w:rPr>
          <w:i/>
          <w:lang w:val="ru-RU"/>
        </w:rPr>
        <w:t>:</w:t>
      </w:r>
      <w:r w:rsidR="00C4000D" w:rsidRPr="002B1CEC">
        <w:rPr>
          <w:lang w:val="ru-RU"/>
        </w:rPr>
        <w:t xml:space="preserve"> </w:t>
      </w:r>
      <w:r w:rsidR="00E17204">
        <w:rPr>
          <w:lang w:val="ru-RU"/>
        </w:rPr>
        <w:t>слепоглухие</w:t>
      </w:r>
      <w:r w:rsidR="00E17204" w:rsidRPr="002B1CEC">
        <w:rPr>
          <w:lang w:val="ru-RU"/>
        </w:rPr>
        <w:t xml:space="preserve">, </w:t>
      </w:r>
      <w:r w:rsidR="00E17204">
        <w:rPr>
          <w:lang w:val="ru-RU"/>
        </w:rPr>
        <w:t>слепые</w:t>
      </w:r>
      <w:r w:rsidR="00E17204" w:rsidRPr="002B1CEC">
        <w:rPr>
          <w:lang w:val="ru-RU"/>
        </w:rPr>
        <w:t xml:space="preserve"> </w:t>
      </w:r>
      <w:r w:rsidR="00E17204">
        <w:rPr>
          <w:lang w:val="ru-RU"/>
        </w:rPr>
        <w:t>с</w:t>
      </w:r>
      <w:r w:rsidR="00E17204" w:rsidRPr="002B1CEC">
        <w:rPr>
          <w:lang w:val="ru-RU"/>
        </w:rPr>
        <w:t xml:space="preserve"> </w:t>
      </w:r>
      <w:r w:rsidR="00E17204">
        <w:rPr>
          <w:lang w:val="ru-RU"/>
        </w:rPr>
        <w:t>нарушениями</w:t>
      </w:r>
      <w:r w:rsidR="00E17204" w:rsidRPr="002B1CEC">
        <w:rPr>
          <w:lang w:val="ru-RU"/>
        </w:rPr>
        <w:t xml:space="preserve"> </w:t>
      </w:r>
      <w:r w:rsidR="00E17204">
        <w:rPr>
          <w:lang w:val="ru-RU"/>
        </w:rPr>
        <w:t>слуха</w:t>
      </w:r>
      <w:r w:rsidR="00E17204" w:rsidRPr="002B1CEC">
        <w:rPr>
          <w:lang w:val="ru-RU"/>
        </w:rPr>
        <w:t xml:space="preserve"> </w:t>
      </w:r>
      <w:r w:rsidR="00E17204">
        <w:rPr>
          <w:lang w:val="ru-RU"/>
        </w:rPr>
        <w:t>или</w:t>
      </w:r>
      <w:r w:rsidR="00E17204" w:rsidRPr="002B1CEC">
        <w:rPr>
          <w:lang w:val="ru-RU"/>
        </w:rPr>
        <w:t xml:space="preserve"> </w:t>
      </w:r>
      <w:r w:rsidR="00E17204">
        <w:rPr>
          <w:lang w:val="ru-RU"/>
        </w:rPr>
        <w:t>глухие</w:t>
      </w:r>
      <w:r w:rsidR="00E17204" w:rsidRPr="002B1CEC">
        <w:rPr>
          <w:lang w:val="ru-RU"/>
        </w:rPr>
        <w:t xml:space="preserve"> </w:t>
      </w:r>
      <w:r w:rsidR="00E17204">
        <w:rPr>
          <w:lang w:val="ru-RU"/>
        </w:rPr>
        <w:t>с</w:t>
      </w:r>
      <w:r w:rsidR="00E17204" w:rsidRPr="002B1CEC">
        <w:rPr>
          <w:lang w:val="ru-RU"/>
        </w:rPr>
        <w:t xml:space="preserve"> </w:t>
      </w:r>
      <w:r w:rsidR="00E17204">
        <w:rPr>
          <w:lang w:val="ru-RU"/>
        </w:rPr>
        <w:t>нарушениями</w:t>
      </w:r>
      <w:r w:rsidR="00E17204" w:rsidRPr="002B1CEC">
        <w:rPr>
          <w:lang w:val="ru-RU"/>
        </w:rPr>
        <w:t xml:space="preserve"> </w:t>
      </w:r>
      <w:r w:rsidR="00E17204">
        <w:rPr>
          <w:lang w:val="ru-RU"/>
        </w:rPr>
        <w:t>зрения</w:t>
      </w:r>
      <w:r w:rsidR="00E17204" w:rsidRPr="002B1CEC">
        <w:rPr>
          <w:lang w:val="ru-RU"/>
        </w:rPr>
        <w:t xml:space="preserve"> </w:t>
      </w:r>
      <w:r w:rsidR="0041737F" w:rsidRPr="00F044E7">
        <w:rPr>
          <w:lang w:val="ru-RU"/>
        </w:rPr>
        <w:t>испытываю</w:t>
      </w:r>
      <w:r w:rsidR="00E17204">
        <w:rPr>
          <w:lang w:val="ru-RU"/>
        </w:rPr>
        <w:t>т</w:t>
      </w:r>
      <w:r w:rsidR="0041737F" w:rsidRPr="002B1CEC">
        <w:rPr>
          <w:lang w:val="ru-RU"/>
        </w:rPr>
        <w:t xml:space="preserve"> </w:t>
      </w:r>
      <w:r w:rsidR="0041737F" w:rsidRPr="00F044E7">
        <w:rPr>
          <w:lang w:val="ru-RU"/>
        </w:rPr>
        <w:t>трудности</w:t>
      </w:r>
      <w:r w:rsidR="0041737F" w:rsidRPr="002B1CEC">
        <w:rPr>
          <w:lang w:val="ru-RU"/>
        </w:rPr>
        <w:t xml:space="preserve"> </w:t>
      </w:r>
      <w:r w:rsidR="0061233A" w:rsidRPr="00F044E7">
        <w:rPr>
          <w:lang w:val="ru-RU"/>
        </w:rPr>
        <w:t>при</w:t>
      </w:r>
      <w:r w:rsidR="0061233A" w:rsidRPr="002B1CEC">
        <w:rPr>
          <w:lang w:val="ru-RU"/>
        </w:rPr>
        <w:t xml:space="preserve"> </w:t>
      </w:r>
      <w:r w:rsidR="0061233A" w:rsidRPr="00F044E7">
        <w:rPr>
          <w:lang w:val="ru-RU"/>
        </w:rPr>
        <w:t>доступе</w:t>
      </w:r>
      <w:r w:rsidR="0061233A" w:rsidRPr="002B1CEC">
        <w:rPr>
          <w:lang w:val="ru-RU"/>
        </w:rPr>
        <w:t xml:space="preserve"> </w:t>
      </w:r>
      <w:r w:rsidR="0061233A" w:rsidRPr="00F044E7">
        <w:rPr>
          <w:lang w:val="ru-RU"/>
        </w:rPr>
        <w:t>к</w:t>
      </w:r>
      <w:r w:rsidR="0061233A" w:rsidRPr="002B1CEC">
        <w:rPr>
          <w:lang w:val="ru-RU"/>
        </w:rPr>
        <w:t xml:space="preserve"> </w:t>
      </w:r>
      <w:r w:rsidR="0061233A" w:rsidRPr="00F044E7">
        <w:rPr>
          <w:lang w:val="ru-RU"/>
        </w:rPr>
        <w:t>визуальным</w:t>
      </w:r>
      <w:r w:rsidR="0061233A" w:rsidRPr="002B1CEC">
        <w:rPr>
          <w:lang w:val="ru-RU"/>
        </w:rPr>
        <w:t xml:space="preserve">, </w:t>
      </w:r>
      <w:r w:rsidR="0061233A" w:rsidRPr="00F044E7">
        <w:rPr>
          <w:lang w:val="ru-RU"/>
        </w:rPr>
        <w:t>аудио</w:t>
      </w:r>
      <w:r w:rsidR="002B1CEC" w:rsidRPr="002B1CEC">
        <w:rPr>
          <w:lang w:val="ru-RU"/>
        </w:rPr>
        <w:t xml:space="preserve">- </w:t>
      </w:r>
      <w:r w:rsidR="0061233A" w:rsidRPr="00F044E7">
        <w:rPr>
          <w:lang w:val="ru-RU"/>
        </w:rPr>
        <w:t>и</w:t>
      </w:r>
      <w:r w:rsidR="0061233A" w:rsidRPr="002B1CEC">
        <w:rPr>
          <w:lang w:val="ru-RU"/>
        </w:rPr>
        <w:t xml:space="preserve"> </w:t>
      </w:r>
      <w:r w:rsidR="0061233A" w:rsidRPr="00F044E7">
        <w:rPr>
          <w:lang w:val="ru-RU"/>
        </w:rPr>
        <w:t>аудиовизуальным</w:t>
      </w:r>
      <w:r w:rsidR="0061233A" w:rsidRPr="002B1CEC">
        <w:rPr>
          <w:lang w:val="ru-RU"/>
        </w:rPr>
        <w:t xml:space="preserve"> </w:t>
      </w:r>
      <w:r w:rsidR="0061233A" w:rsidRPr="00F044E7">
        <w:rPr>
          <w:lang w:val="ru-RU"/>
        </w:rPr>
        <w:t>произведениям</w:t>
      </w:r>
      <w:r w:rsidR="00C4000D" w:rsidRPr="002B1CEC">
        <w:rPr>
          <w:lang w:val="ru-RU"/>
        </w:rPr>
        <w:t>.</w:t>
      </w:r>
    </w:p>
    <w:p w:rsidR="00C4000D" w:rsidRPr="002B1CEC" w:rsidRDefault="00902165" w:rsidP="0061233A">
      <w:pPr>
        <w:widowControl w:val="0"/>
        <w:numPr>
          <w:ilvl w:val="0"/>
          <w:numId w:val="8"/>
        </w:numPr>
        <w:spacing w:after="80" w:line="300" w:lineRule="auto"/>
        <w:jc w:val="both"/>
        <w:rPr>
          <w:rFonts w:ascii="Cambria" w:eastAsia="Cambria" w:hAnsi="Cambria" w:cs="Cambria"/>
          <w:lang w:val="ru-RU"/>
        </w:rPr>
      </w:pPr>
      <w:r>
        <w:rPr>
          <w:i/>
          <w:lang w:val="ru-RU"/>
        </w:rPr>
        <w:t>Лица</w:t>
      </w:r>
      <w:r w:rsidRPr="002B1CEC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2B1CE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="0061233A">
        <w:rPr>
          <w:i/>
          <w:lang w:val="ru-RU"/>
        </w:rPr>
        <w:t>огнитивны</w:t>
      </w:r>
      <w:r>
        <w:rPr>
          <w:i/>
          <w:lang w:val="ru-RU"/>
        </w:rPr>
        <w:t>ми</w:t>
      </w:r>
      <w:r w:rsidR="0061233A" w:rsidRPr="002B1CEC">
        <w:rPr>
          <w:i/>
          <w:lang w:val="ru-RU"/>
        </w:rPr>
        <w:t xml:space="preserve"> </w:t>
      </w:r>
      <w:r w:rsidR="0061233A">
        <w:rPr>
          <w:i/>
          <w:lang w:val="ru-RU"/>
        </w:rPr>
        <w:t>нарушения</w:t>
      </w:r>
      <w:r>
        <w:rPr>
          <w:i/>
          <w:lang w:val="ru-RU"/>
        </w:rPr>
        <w:t>ми</w:t>
      </w:r>
      <w:r w:rsidR="0061233A" w:rsidRPr="002B1CEC">
        <w:rPr>
          <w:i/>
          <w:lang w:val="ru-RU"/>
        </w:rPr>
        <w:t>:</w:t>
      </w:r>
      <w:r w:rsidR="0061233A" w:rsidRPr="002B1CEC">
        <w:rPr>
          <w:lang w:val="ru-RU"/>
        </w:rPr>
        <w:t xml:space="preserve"> </w:t>
      </w:r>
      <w:r w:rsidR="002B1CEC">
        <w:rPr>
          <w:lang w:val="ru-RU"/>
        </w:rPr>
        <w:t>л</w:t>
      </w:r>
      <w:r w:rsidR="0061233A" w:rsidRPr="0061233A">
        <w:rPr>
          <w:lang w:val="ru-RU"/>
        </w:rPr>
        <w:t>ица</w:t>
      </w:r>
      <w:r w:rsidR="0061233A" w:rsidRPr="002B1CEC">
        <w:rPr>
          <w:lang w:val="ru-RU"/>
        </w:rPr>
        <w:t xml:space="preserve"> </w:t>
      </w:r>
      <w:r w:rsidR="0061233A" w:rsidRPr="0061233A">
        <w:rPr>
          <w:lang w:val="ru-RU"/>
        </w:rPr>
        <w:t>с</w:t>
      </w:r>
      <w:r w:rsidR="0061233A" w:rsidRPr="002B1CEC">
        <w:rPr>
          <w:lang w:val="ru-RU"/>
        </w:rPr>
        <w:t xml:space="preserve"> </w:t>
      </w:r>
      <w:r w:rsidR="0061233A" w:rsidRPr="0061233A">
        <w:rPr>
          <w:lang w:val="ru-RU"/>
        </w:rPr>
        <w:t>когнитивными</w:t>
      </w:r>
      <w:r w:rsidR="0061233A" w:rsidRPr="002B1CEC">
        <w:rPr>
          <w:lang w:val="ru-RU"/>
        </w:rPr>
        <w:t xml:space="preserve"> </w:t>
      </w:r>
      <w:r w:rsidR="0061233A" w:rsidRPr="0061233A">
        <w:rPr>
          <w:lang w:val="ru-RU"/>
        </w:rPr>
        <w:t>и</w:t>
      </w:r>
      <w:r w:rsidR="0061233A" w:rsidRPr="002B1CEC">
        <w:rPr>
          <w:lang w:val="ru-RU"/>
        </w:rPr>
        <w:t xml:space="preserve"> </w:t>
      </w:r>
      <w:r w:rsidR="0061233A" w:rsidRPr="0061233A">
        <w:rPr>
          <w:lang w:val="ru-RU"/>
        </w:rPr>
        <w:t>умственными</w:t>
      </w:r>
      <w:r w:rsidR="0061233A" w:rsidRPr="002B1CEC">
        <w:rPr>
          <w:lang w:val="ru-RU"/>
        </w:rPr>
        <w:t xml:space="preserve"> </w:t>
      </w:r>
      <w:r w:rsidR="0061233A" w:rsidRPr="0061233A">
        <w:rPr>
          <w:lang w:val="ru-RU"/>
        </w:rPr>
        <w:t>нарушениями</w:t>
      </w:r>
      <w:r w:rsidR="0061233A" w:rsidRPr="002B1CEC">
        <w:rPr>
          <w:lang w:val="ru-RU"/>
        </w:rPr>
        <w:t xml:space="preserve"> </w:t>
      </w:r>
      <w:r w:rsidR="0061233A">
        <w:rPr>
          <w:lang w:val="ru-RU"/>
        </w:rPr>
        <w:t>сталкиваются</w:t>
      </w:r>
      <w:r w:rsidR="0061233A" w:rsidRPr="002B1CEC">
        <w:rPr>
          <w:lang w:val="ru-RU"/>
        </w:rPr>
        <w:t xml:space="preserve"> </w:t>
      </w:r>
      <w:r w:rsidR="0061233A">
        <w:rPr>
          <w:lang w:val="ru-RU"/>
        </w:rPr>
        <w:t>с</w:t>
      </w:r>
      <w:r w:rsidR="0061233A" w:rsidRPr="002B1CEC">
        <w:rPr>
          <w:lang w:val="ru-RU"/>
        </w:rPr>
        <w:t xml:space="preserve"> </w:t>
      </w:r>
      <w:r w:rsidR="0061233A">
        <w:rPr>
          <w:lang w:val="ru-RU"/>
        </w:rPr>
        <w:t>целым</w:t>
      </w:r>
      <w:r w:rsidR="0061233A" w:rsidRPr="002B1CEC">
        <w:rPr>
          <w:lang w:val="ru-RU"/>
        </w:rPr>
        <w:t xml:space="preserve"> </w:t>
      </w:r>
      <w:r w:rsidR="0061233A">
        <w:rPr>
          <w:lang w:val="ru-RU"/>
        </w:rPr>
        <w:t>рядом</w:t>
      </w:r>
      <w:r w:rsidR="0061233A" w:rsidRPr="002B1CEC">
        <w:rPr>
          <w:lang w:val="ru-RU"/>
        </w:rPr>
        <w:t xml:space="preserve"> </w:t>
      </w:r>
      <w:r w:rsidR="0061233A">
        <w:rPr>
          <w:lang w:val="ru-RU"/>
        </w:rPr>
        <w:t>трудностей</w:t>
      </w:r>
      <w:r w:rsidR="0061233A" w:rsidRPr="002B1CEC">
        <w:rPr>
          <w:lang w:val="ru-RU"/>
        </w:rPr>
        <w:t xml:space="preserve"> </w:t>
      </w:r>
      <w:r w:rsidR="00DE61FF">
        <w:rPr>
          <w:lang w:val="ru-RU"/>
        </w:rPr>
        <w:t>при</w:t>
      </w:r>
      <w:r w:rsidR="00DE61FF" w:rsidRPr="002B1CEC">
        <w:rPr>
          <w:lang w:val="ru-RU"/>
        </w:rPr>
        <w:t xml:space="preserve"> </w:t>
      </w:r>
      <w:r w:rsidR="00DE61FF">
        <w:rPr>
          <w:lang w:val="ru-RU"/>
        </w:rPr>
        <w:t>доступе</w:t>
      </w:r>
      <w:r w:rsidR="00DE61FF" w:rsidRPr="002B1CEC">
        <w:rPr>
          <w:lang w:val="ru-RU"/>
        </w:rPr>
        <w:t xml:space="preserve"> </w:t>
      </w:r>
      <w:r w:rsidR="00DE61FF">
        <w:rPr>
          <w:lang w:val="ru-RU"/>
        </w:rPr>
        <w:t>к</w:t>
      </w:r>
      <w:r w:rsidR="00DE61FF" w:rsidRPr="002B1CEC">
        <w:rPr>
          <w:lang w:val="ru-RU"/>
        </w:rPr>
        <w:t xml:space="preserve"> </w:t>
      </w:r>
      <w:r w:rsidR="00DE61FF">
        <w:rPr>
          <w:lang w:val="ru-RU"/>
        </w:rPr>
        <w:t>произведени</w:t>
      </w:r>
      <w:r w:rsidR="002B1CEC">
        <w:rPr>
          <w:lang w:val="ru-RU"/>
        </w:rPr>
        <w:t>ям на различных защищенных носителях</w:t>
      </w:r>
      <w:r w:rsidR="00DE61FF" w:rsidRPr="002B1CEC">
        <w:rPr>
          <w:lang w:val="ru-RU"/>
        </w:rPr>
        <w:t xml:space="preserve">, </w:t>
      </w:r>
      <w:r w:rsidR="00DE61FF">
        <w:rPr>
          <w:lang w:val="ru-RU"/>
        </w:rPr>
        <w:t>включая</w:t>
      </w:r>
      <w:r w:rsidR="00DE61FF" w:rsidRPr="002B1CEC">
        <w:rPr>
          <w:lang w:val="ru-RU"/>
        </w:rPr>
        <w:t xml:space="preserve"> </w:t>
      </w:r>
      <w:r w:rsidR="002B1CEC" w:rsidRPr="00F044E7">
        <w:rPr>
          <w:lang w:val="ru-RU"/>
        </w:rPr>
        <w:t>визуальны</w:t>
      </w:r>
      <w:r w:rsidR="002B1CEC">
        <w:rPr>
          <w:lang w:val="ru-RU"/>
        </w:rPr>
        <w:t>е</w:t>
      </w:r>
      <w:r w:rsidR="002B1CEC" w:rsidRPr="002B1CEC">
        <w:rPr>
          <w:lang w:val="ru-RU"/>
        </w:rPr>
        <w:t xml:space="preserve">, </w:t>
      </w:r>
      <w:r w:rsidR="002B1CEC" w:rsidRPr="00F044E7">
        <w:rPr>
          <w:lang w:val="ru-RU"/>
        </w:rPr>
        <w:t>аудио</w:t>
      </w:r>
      <w:r w:rsidR="002B1CEC" w:rsidRPr="002B1CEC">
        <w:rPr>
          <w:lang w:val="ru-RU"/>
        </w:rPr>
        <w:t xml:space="preserve">- </w:t>
      </w:r>
      <w:r w:rsidR="002B1CEC" w:rsidRPr="00F044E7">
        <w:rPr>
          <w:lang w:val="ru-RU"/>
        </w:rPr>
        <w:t>и</w:t>
      </w:r>
      <w:r w:rsidR="002B1CEC" w:rsidRPr="002B1CEC">
        <w:rPr>
          <w:lang w:val="ru-RU"/>
        </w:rPr>
        <w:t xml:space="preserve"> </w:t>
      </w:r>
      <w:r w:rsidR="002B1CEC" w:rsidRPr="00F044E7">
        <w:rPr>
          <w:lang w:val="ru-RU"/>
        </w:rPr>
        <w:t>аудиовизуальны</w:t>
      </w:r>
      <w:r w:rsidR="002B1CEC">
        <w:rPr>
          <w:lang w:val="ru-RU"/>
        </w:rPr>
        <w:t>е</w:t>
      </w:r>
      <w:r w:rsidR="002B1CEC" w:rsidRPr="002B1CEC">
        <w:rPr>
          <w:lang w:val="ru-RU"/>
        </w:rPr>
        <w:t xml:space="preserve"> </w:t>
      </w:r>
      <w:r w:rsidR="002B1CEC" w:rsidRPr="00F044E7">
        <w:rPr>
          <w:lang w:val="ru-RU"/>
        </w:rPr>
        <w:t>произведения</w:t>
      </w:r>
      <w:r w:rsidR="00F91F1D">
        <w:rPr>
          <w:lang w:val="ru-RU"/>
        </w:rPr>
        <w:t>.</w:t>
      </w:r>
    </w:p>
    <w:p w:rsidR="00A77F64" w:rsidRPr="002B1CEC" w:rsidRDefault="00902165" w:rsidP="00A77F64">
      <w:pPr>
        <w:widowControl w:val="0"/>
        <w:numPr>
          <w:ilvl w:val="0"/>
          <w:numId w:val="8"/>
        </w:numPr>
        <w:spacing w:after="80" w:line="300" w:lineRule="auto"/>
        <w:jc w:val="both"/>
        <w:rPr>
          <w:rFonts w:ascii="Cambria" w:eastAsia="Cambria" w:hAnsi="Cambria" w:cs="Cambria"/>
          <w:lang w:val="ru-RU"/>
        </w:rPr>
      </w:pPr>
      <w:r>
        <w:rPr>
          <w:i/>
          <w:lang w:val="ru-RU"/>
        </w:rPr>
        <w:t>Лица</w:t>
      </w:r>
      <w:r w:rsidRPr="00A77F64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A77F64">
        <w:rPr>
          <w:i/>
          <w:lang w:val="ru-RU"/>
        </w:rPr>
        <w:t xml:space="preserve"> </w:t>
      </w:r>
      <w:r>
        <w:rPr>
          <w:i/>
          <w:lang w:val="ru-RU"/>
        </w:rPr>
        <w:t>физическими</w:t>
      </w:r>
      <w:r w:rsidRPr="00A77F64">
        <w:rPr>
          <w:i/>
          <w:lang w:val="ru-RU"/>
        </w:rPr>
        <w:t xml:space="preserve"> </w:t>
      </w:r>
      <w:r>
        <w:rPr>
          <w:i/>
          <w:lang w:val="ru-RU"/>
        </w:rPr>
        <w:t>недостатками</w:t>
      </w:r>
      <w:r w:rsidR="00C4000D" w:rsidRPr="00A77F64">
        <w:rPr>
          <w:i/>
          <w:lang w:val="ru-RU"/>
        </w:rPr>
        <w:t>:</w:t>
      </w:r>
      <w:r w:rsidR="00C4000D" w:rsidRPr="00A77F64">
        <w:rPr>
          <w:lang w:val="ru-RU"/>
        </w:rPr>
        <w:t xml:space="preserve"> </w:t>
      </w:r>
      <w:r w:rsidR="002B1CEC">
        <w:rPr>
          <w:lang w:val="ru-RU"/>
        </w:rPr>
        <w:t>лица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с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нарушениями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опорно</w:t>
      </w:r>
      <w:r w:rsidR="002B1CEC" w:rsidRPr="00A77F64">
        <w:rPr>
          <w:lang w:val="ru-RU"/>
        </w:rPr>
        <w:t>-</w:t>
      </w:r>
      <w:r w:rsidR="002B1CEC">
        <w:rPr>
          <w:lang w:val="ru-RU"/>
        </w:rPr>
        <w:t>двигательного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аппарата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не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имеют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физической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возможности</w:t>
      </w:r>
      <w:r w:rsidR="002B1CEC" w:rsidRPr="00A77F64">
        <w:rPr>
          <w:lang w:val="ru-RU"/>
        </w:rPr>
        <w:t xml:space="preserve"> </w:t>
      </w:r>
      <w:r w:rsidR="002B1CEC">
        <w:rPr>
          <w:lang w:val="ru-RU"/>
        </w:rPr>
        <w:t>пользоваться</w:t>
      </w:r>
      <w:r w:rsidR="002B1CEC" w:rsidRPr="00A77F64">
        <w:rPr>
          <w:lang w:val="ru-RU"/>
        </w:rPr>
        <w:t xml:space="preserve"> </w:t>
      </w:r>
      <w:r w:rsidR="00A77F64">
        <w:rPr>
          <w:lang w:val="ru-RU"/>
        </w:rPr>
        <w:t xml:space="preserve">охраняемыми авторским правом материалами, вследствие чего не имеют доступа к их контенту, в том числе к </w:t>
      </w:r>
      <w:r w:rsidR="00A77F64" w:rsidRPr="00F044E7">
        <w:rPr>
          <w:lang w:val="ru-RU"/>
        </w:rPr>
        <w:t>визуальны</w:t>
      </w:r>
      <w:r w:rsidR="00A77F64">
        <w:rPr>
          <w:lang w:val="ru-RU"/>
        </w:rPr>
        <w:t>м</w:t>
      </w:r>
      <w:r w:rsidR="00A77F64" w:rsidRPr="002B1CEC">
        <w:rPr>
          <w:lang w:val="ru-RU"/>
        </w:rPr>
        <w:t xml:space="preserve">, </w:t>
      </w:r>
      <w:r w:rsidR="00A77F64" w:rsidRPr="00F044E7">
        <w:rPr>
          <w:lang w:val="ru-RU"/>
        </w:rPr>
        <w:t>аудио</w:t>
      </w:r>
      <w:r w:rsidR="00A77F64" w:rsidRPr="002B1CEC">
        <w:rPr>
          <w:lang w:val="ru-RU"/>
        </w:rPr>
        <w:t xml:space="preserve">- </w:t>
      </w:r>
      <w:r w:rsidR="00A77F64" w:rsidRPr="00F044E7">
        <w:rPr>
          <w:lang w:val="ru-RU"/>
        </w:rPr>
        <w:t>и</w:t>
      </w:r>
      <w:r w:rsidR="00A77F64" w:rsidRPr="002B1CEC">
        <w:rPr>
          <w:lang w:val="ru-RU"/>
        </w:rPr>
        <w:t xml:space="preserve"> </w:t>
      </w:r>
      <w:r w:rsidR="00A77F64" w:rsidRPr="00F044E7">
        <w:rPr>
          <w:lang w:val="ru-RU"/>
        </w:rPr>
        <w:t>аудиовизуальны</w:t>
      </w:r>
      <w:r w:rsidR="00A77F64">
        <w:rPr>
          <w:lang w:val="ru-RU"/>
        </w:rPr>
        <w:t>м</w:t>
      </w:r>
      <w:r w:rsidR="00A77F64" w:rsidRPr="002B1CEC">
        <w:rPr>
          <w:lang w:val="ru-RU"/>
        </w:rPr>
        <w:t xml:space="preserve"> </w:t>
      </w:r>
      <w:r w:rsidR="00A77F64" w:rsidRPr="00F044E7">
        <w:rPr>
          <w:lang w:val="ru-RU"/>
        </w:rPr>
        <w:t>произведения</w:t>
      </w:r>
      <w:r w:rsidR="00A77F64">
        <w:rPr>
          <w:lang w:val="ru-RU"/>
        </w:rPr>
        <w:t>м</w:t>
      </w:r>
      <w:r w:rsidR="00F91F1D">
        <w:rPr>
          <w:lang w:val="ru-RU"/>
        </w:rPr>
        <w:t>.</w:t>
      </w:r>
    </w:p>
    <w:p w:rsidR="00C4000D" w:rsidRPr="00F91F1D" w:rsidRDefault="00902165" w:rsidP="00C4000D">
      <w:pPr>
        <w:widowControl w:val="0"/>
        <w:numPr>
          <w:ilvl w:val="0"/>
          <w:numId w:val="8"/>
        </w:numPr>
        <w:spacing w:after="80" w:line="300" w:lineRule="auto"/>
        <w:rPr>
          <w:rFonts w:ascii="Cambria" w:eastAsia="Cambria" w:hAnsi="Cambria" w:cs="Cambria"/>
          <w:lang w:val="ru-RU"/>
        </w:rPr>
      </w:pPr>
      <w:r>
        <w:rPr>
          <w:i/>
          <w:lang w:val="ru-RU"/>
        </w:rPr>
        <w:t>Лица</w:t>
      </w:r>
      <w:r w:rsidRPr="00902165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902165">
        <w:rPr>
          <w:i/>
          <w:lang w:val="ru-RU"/>
        </w:rPr>
        <w:t xml:space="preserve"> </w:t>
      </w:r>
      <w:r>
        <w:rPr>
          <w:i/>
          <w:lang w:val="ru-RU"/>
        </w:rPr>
        <w:t>множественными</w:t>
      </w:r>
      <w:r w:rsidRPr="00902165">
        <w:rPr>
          <w:i/>
          <w:lang w:val="ru-RU"/>
        </w:rPr>
        <w:t xml:space="preserve"> </w:t>
      </w:r>
      <w:r>
        <w:rPr>
          <w:i/>
          <w:lang w:val="ru-RU"/>
        </w:rPr>
        <w:t>ограниченными</w:t>
      </w:r>
      <w:r w:rsidRPr="00902165">
        <w:rPr>
          <w:i/>
          <w:lang w:val="ru-RU"/>
        </w:rPr>
        <w:t xml:space="preserve"> </w:t>
      </w:r>
      <w:r>
        <w:rPr>
          <w:i/>
          <w:lang w:val="ru-RU"/>
        </w:rPr>
        <w:t>возможностями</w:t>
      </w:r>
      <w:r w:rsidR="00C4000D" w:rsidRPr="00902165">
        <w:rPr>
          <w:i/>
          <w:lang w:val="ru-RU"/>
        </w:rPr>
        <w:t>:</w:t>
      </w:r>
      <w:r w:rsidR="00C4000D" w:rsidRPr="00902165">
        <w:rPr>
          <w:lang w:val="ru-RU"/>
        </w:rPr>
        <w:t xml:space="preserve"> </w:t>
      </w:r>
      <w:bookmarkEnd w:id="16"/>
      <w:r w:rsidR="00F91F1D">
        <w:rPr>
          <w:lang w:val="ru-RU"/>
        </w:rPr>
        <w:t>лица</w:t>
      </w:r>
      <w:r w:rsidR="00F91F1D" w:rsidRPr="00902165">
        <w:rPr>
          <w:lang w:val="ru-RU"/>
        </w:rPr>
        <w:t xml:space="preserve"> </w:t>
      </w:r>
      <w:r>
        <w:rPr>
          <w:lang w:val="ru-RU"/>
        </w:rPr>
        <w:t>с</w:t>
      </w:r>
      <w:r w:rsidRPr="00902165">
        <w:rPr>
          <w:lang w:val="ru-RU"/>
        </w:rPr>
        <w:t xml:space="preserve"> </w:t>
      </w:r>
      <w:r>
        <w:rPr>
          <w:lang w:val="ru-RU"/>
        </w:rPr>
        <w:t>множественными</w:t>
      </w:r>
      <w:r w:rsidRPr="00902165">
        <w:rPr>
          <w:lang w:val="ru-RU"/>
        </w:rPr>
        <w:t xml:space="preserve"> </w:t>
      </w:r>
      <w:r>
        <w:rPr>
          <w:lang w:val="ru-RU"/>
        </w:rPr>
        <w:t>ограниченными</w:t>
      </w:r>
      <w:r w:rsidRPr="00902165">
        <w:rPr>
          <w:lang w:val="ru-RU"/>
        </w:rPr>
        <w:t xml:space="preserve"> </w:t>
      </w:r>
      <w:r>
        <w:rPr>
          <w:lang w:val="ru-RU"/>
        </w:rPr>
        <w:t>возможностями</w:t>
      </w:r>
      <w:r w:rsidRPr="00902165">
        <w:rPr>
          <w:lang w:val="ru-RU"/>
        </w:rPr>
        <w:t xml:space="preserve"> </w:t>
      </w:r>
      <w:r>
        <w:rPr>
          <w:lang w:val="ru-RU"/>
        </w:rPr>
        <w:t>сталкиваются</w:t>
      </w:r>
      <w:r w:rsidRPr="00902165">
        <w:rPr>
          <w:lang w:val="ru-RU"/>
        </w:rPr>
        <w:t xml:space="preserve"> </w:t>
      </w:r>
      <w:r>
        <w:rPr>
          <w:lang w:val="ru-RU"/>
        </w:rPr>
        <w:t>с</w:t>
      </w:r>
      <w:r w:rsidRPr="00902165">
        <w:rPr>
          <w:lang w:val="ru-RU"/>
        </w:rPr>
        <w:t xml:space="preserve"> </w:t>
      </w:r>
      <w:r>
        <w:rPr>
          <w:lang w:val="ru-RU"/>
        </w:rPr>
        <w:t>исключительными</w:t>
      </w:r>
      <w:r w:rsidRPr="00902165">
        <w:rPr>
          <w:lang w:val="ru-RU"/>
        </w:rPr>
        <w:t xml:space="preserve"> </w:t>
      </w:r>
      <w:r>
        <w:rPr>
          <w:lang w:val="ru-RU"/>
        </w:rPr>
        <w:t>трудностями</w:t>
      </w:r>
      <w:r w:rsidRPr="00902165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902165">
        <w:rPr>
          <w:lang w:val="ru-RU"/>
        </w:rPr>
        <w:t xml:space="preserve"> </w:t>
      </w:r>
      <w:r w:rsidR="00B67D0F">
        <w:rPr>
          <w:lang w:val="ru-RU"/>
        </w:rPr>
        <w:t xml:space="preserve">для </w:t>
      </w:r>
      <w:r>
        <w:rPr>
          <w:lang w:val="ru-RU"/>
        </w:rPr>
        <w:t>доступ</w:t>
      </w:r>
      <w:r w:rsidR="00B67D0F">
        <w:rPr>
          <w:lang w:val="ru-RU"/>
        </w:rPr>
        <w:t>а</w:t>
      </w:r>
      <w:r>
        <w:rPr>
          <w:lang w:val="ru-RU"/>
        </w:rPr>
        <w:t xml:space="preserve"> к контенту </w:t>
      </w:r>
      <w:r w:rsidR="00B67D0F">
        <w:rPr>
          <w:lang w:val="ru-RU"/>
        </w:rPr>
        <w:t>требу</w:t>
      </w:r>
      <w:r w:rsidR="00F91F1D">
        <w:rPr>
          <w:lang w:val="ru-RU"/>
        </w:rPr>
        <w:t>е</w:t>
      </w:r>
      <w:r w:rsidR="00B67D0F">
        <w:rPr>
          <w:lang w:val="ru-RU"/>
        </w:rPr>
        <w:t xml:space="preserve">тся его </w:t>
      </w:r>
      <w:r>
        <w:rPr>
          <w:lang w:val="ru-RU"/>
        </w:rPr>
        <w:t>много</w:t>
      </w:r>
      <w:r w:rsidR="00A77F64">
        <w:rPr>
          <w:lang w:val="ru-RU"/>
        </w:rPr>
        <w:t>кратн</w:t>
      </w:r>
      <w:r w:rsidR="00F91F1D">
        <w:rPr>
          <w:lang w:val="ru-RU"/>
        </w:rPr>
        <w:t xml:space="preserve">ая </w:t>
      </w:r>
      <w:r>
        <w:rPr>
          <w:lang w:val="ru-RU"/>
        </w:rPr>
        <w:t>трансформаци</w:t>
      </w:r>
      <w:r w:rsidR="00F91F1D">
        <w:rPr>
          <w:lang w:val="ru-RU"/>
        </w:rPr>
        <w:t>я</w:t>
      </w:r>
      <w:r w:rsidR="00B67D0F">
        <w:rPr>
          <w:lang w:val="ru-RU"/>
        </w:rPr>
        <w:t>.</w:t>
      </w:r>
      <w:r w:rsidR="00F91F1D">
        <w:rPr>
          <w:lang w:val="ru-RU"/>
        </w:rPr>
        <w:t xml:space="preserve"> </w:t>
      </w:r>
    </w:p>
    <w:p w:rsidR="00CE28F1" w:rsidRDefault="00CE28F1">
      <w:pPr>
        <w:rPr>
          <w:rFonts w:eastAsia="Arial"/>
          <w:szCs w:val="22"/>
          <w:lang w:val="ru-RU" w:eastAsia="en-ZA"/>
        </w:rPr>
      </w:pPr>
    </w:p>
    <w:p w:rsidR="00B67D0F" w:rsidRPr="00A51896" w:rsidRDefault="00CE28F1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Охватываемые Марракешским договором л</w:t>
      </w:r>
      <w:r w:rsidR="00B67D0F">
        <w:rPr>
          <w:sz w:val="22"/>
          <w:lang w:val="ru-RU"/>
        </w:rPr>
        <w:t xml:space="preserve">ица с ограниченными способностями воспринимать печатную информацию </w:t>
      </w:r>
      <w:r w:rsidR="007F7339">
        <w:rPr>
          <w:sz w:val="22"/>
          <w:lang w:val="ru-RU"/>
        </w:rPr>
        <w:t>рассматривались</w:t>
      </w:r>
      <w:r w:rsidR="009A7F78">
        <w:rPr>
          <w:sz w:val="22"/>
          <w:lang w:val="ru-RU"/>
        </w:rPr>
        <w:t xml:space="preserve"> </w:t>
      </w:r>
      <w:r w:rsidR="00114353">
        <w:rPr>
          <w:sz w:val="22"/>
          <w:lang w:val="ru-RU"/>
        </w:rPr>
        <w:t xml:space="preserve">в рамках исследования </w:t>
      </w:r>
      <w:r w:rsidR="009A7F78">
        <w:rPr>
          <w:sz w:val="22"/>
          <w:lang w:val="ru-RU"/>
        </w:rPr>
        <w:t xml:space="preserve">в </w:t>
      </w:r>
      <w:r w:rsidR="00114353">
        <w:rPr>
          <w:sz w:val="22"/>
          <w:lang w:val="ru-RU"/>
        </w:rPr>
        <w:t xml:space="preserve">связи </w:t>
      </w:r>
      <w:r w:rsidR="009A7F78">
        <w:rPr>
          <w:sz w:val="22"/>
          <w:lang w:val="ru-RU"/>
        </w:rPr>
        <w:t xml:space="preserve">с произведениями, не </w:t>
      </w:r>
      <w:r w:rsidR="00114353">
        <w:rPr>
          <w:sz w:val="22"/>
          <w:lang w:val="ru-RU"/>
        </w:rPr>
        <w:t>подпадающими под действие договора. Те лица, которы</w:t>
      </w:r>
      <w:r w:rsidR="003A673F">
        <w:rPr>
          <w:sz w:val="22"/>
          <w:lang w:val="ru-RU"/>
        </w:rPr>
        <w:t>е</w:t>
      </w:r>
      <w:r w:rsidR="00114353">
        <w:rPr>
          <w:sz w:val="22"/>
          <w:lang w:val="ru-RU"/>
        </w:rPr>
        <w:t xml:space="preserve"> </w:t>
      </w:r>
      <w:r w:rsidR="003A673F">
        <w:rPr>
          <w:sz w:val="22"/>
          <w:lang w:val="ru-RU"/>
        </w:rPr>
        <w:t xml:space="preserve">подпадают под определение инвалидов </w:t>
      </w:r>
      <w:r w:rsidR="00114353">
        <w:rPr>
          <w:sz w:val="22"/>
          <w:lang w:val="ru-RU"/>
        </w:rPr>
        <w:t>в соответствии с Марракешским договором, могут пользоваться доступом к непечатным охраняемым материалам. Печатные произведения являются лишь частью материалов культурного характ</w:t>
      </w:r>
      <w:r w:rsidR="00A51896">
        <w:rPr>
          <w:sz w:val="22"/>
          <w:lang w:val="ru-RU"/>
        </w:rPr>
        <w:t>е</w:t>
      </w:r>
      <w:r w:rsidR="00114353">
        <w:rPr>
          <w:sz w:val="22"/>
          <w:lang w:val="ru-RU"/>
        </w:rPr>
        <w:t>ра</w:t>
      </w:r>
      <w:r w:rsidR="00A51896">
        <w:rPr>
          <w:sz w:val="22"/>
          <w:lang w:val="ru-RU"/>
        </w:rPr>
        <w:t xml:space="preserve">, к которым инвалиды получают доступ в целях равного участия в жизни </w:t>
      </w:r>
      <w:r w:rsidR="007F7339">
        <w:rPr>
          <w:sz w:val="22"/>
          <w:lang w:val="ru-RU"/>
        </w:rPr>
        <w:t xml:space="preserve">своей </w:t>
      </w:r>
      <w:r w:rsidR="00A51896">
        <w:rPr>
          <w:sz w:val="22"/>
          <w:lang w:val="ru-RU"/>
        </w:rPr>
        <w:t>общин</w:t>
      </w:r>
      <w:r w:rsidR="007F7339">
        <w:rPr>
          <w:sz w:val="22"/>
          <w:lang w:val="ru-RU"/>
        </w:rPr>
        <w:t>ы</w:t>
      </w:r>
      <w:r w:rsidR="00A51896">
        <w:rPr>
          <w:sz w:val="22"/>
          <w:lang w:val="ru-RU"/>
        </w:rPr>
        <w:t xml:space="preserve">. </w:t>
      </w:r>
      <w:r w:rsidR="007F7339">
        <w:rPr>
          <w:sz w:val="22"/>
          <w:lang w:val="ru-RU"/>
        </w:rPr>
        <w:t>Однако инвалиды</w:t>
      </w:r>
      <w:r w:rsidR="00A51896">
        <w:rPr>
          <w:sz w:val="22"/>
          <w:lang w:val="ru-RU"/>
        </w:rPr>
        <w:t xml:space="preserve">, являющиеся бенефициарами в соответствии с Марракешским договором, в силу своих ограниченных способностей могут </w:t>
      </w:r>
      <w:r w:rsidR="007F7339">
        <w:rPr>
          <w:sz w:val="22"/>
          <w:lang w:val="ru-RU"/>
        </w:rPr>
        <w:t xml:space="preserve">и </w:t>
      </w:r>
      <w:r w:rsidR="00A51896">
        <w:rPr>
          <w:sz w:val="22"/>
          <w:lang w:val="ru-RU"/>
        </w:rPr>
        <w:t>не иметь доступа к другим охраняемым материалам. В то же время произведения в текстово</w:t>
      </w:r>
      <w:r w:rsidR="00C3741C">
        <w:rPr>
          <w:sz w:val="22"/>
          <w:lang w:val="ru-RU"/>
        </w:rPr>
        <w:t>м</w:t>
      </w:r>
      <w:r w:rsidR="00A51896">
        <w:rPr>
          <w:sz w:val="22"/>
          <w:lang w:val="ru-RU"/>
        </w:rPr>
        <w:t xml:space="preserve"> форм</w:t>
      </w:r>
      <w:r w:rsidR="00C3741C">
        <w:rPr>
          <w:sz w:val="22"/>
          <w:lang w:val="ru-RU"/>
        </w:rPr>
        <w:t>ате</w:t>
      </w:r>
      <w:r w:rsidR="00A51896">
        <w:rPr>
          <w:sz w:val="22"/>
          <w:lang w:val="ru-RU"/>
        </w:rPr>
        <w:t xml:space="preserve"> </w:t>
      </w:r>
      <w:r w:rsidR="003A673F">
        <w:rPr>
          <w:sz w:val="22"/>
          <w:lang w:val="ru-RU"/>
        </w:rPr>
        <w:t>предназначаются также для инвалидов, которые не подпадают под определение этих лиц</w:t>
      </w:r>
      <w:r w:rsidR="00C3741C">
        <w:rPr>
          <w:sz w:val="22"/>
          <w:lang w:val="ru-RU"/>
        </w:rPr>
        <w:t xml:space="preserve"> в соответствии с</w:t>
      </w:r>
      <w:r w:rsidR="003A673F">
        <w:rPr>
          <w:sz w:val="22"/>
          <w:lang w:val="ru-RU"/>
        </w:rPr>
        <w:t xml:space="preserve"> Марракешск</w:t>
      </w:r>
      <w:r w:rsidR="00C3741C">
        <w:rPr>
          <w:sz w:val="22"/>
          <w:lang w:val="ru-RU"/>
        </w:rPr>
        <w:t>и</w:t>
      </w:r>
      <w:r w:rsidR="003A673F">
        <w:rPr>
          <w:sz w:val="22"/>
          <w:lang w:val="ru-RU"/>
        </w:rPr>
        <w:t>м договор</w:t>
      </w:r>
      <w:r w:rsidR="00C3741C">
        <w:rPr>
          <w:sz w:val="22"/>
          <w:lang w:val="ru-RU"/>
        </w:rPr>
        <w:t>ом</w:t>
      </w:r>
      <w:r w:rsidR="003A673F">
        <w:rPr>
          <w:sz w:val="22"/>
          <w:lang w:val="ru-RU"/>
        </w:rPr>
        <w:t xml:space="preserve">. </w:t>
      </w:r>
    </w:p>
    <w:p w:rsidR="00C4000D" w:rsidRPr="003A673F" w:rsidRDefault="003A673F" w:rsidP="00C4000D">
      <w:pPr>
        <w:pStyle w:val="Heading3"/>
        <w:rPr>
          <w:rFonts w:eastAsia="Arial"/>
          <w:szCs w:val="22"/>
          <w:lang w:val="ru-RU"/>
        </w:rPr>
      </w:pPr>
      <w:bookmarkStart w:id="17" w:name="_3dy6vkm"/>
      <w:bookmarkStart w:id="18" w:name="_Toc2872238"/>
      <w:bookmarkStart w:id="19" w:name="_Toc2872886"/>
      <w:bookmarkStart w:id="20" w:name="_Toc3361671"/>
      <w:bookmarkEnd w:id="17"/>
      <w:r>
        <w:rPr>
          <w:rFonts w:eastAsia="Arial"/>
          <w:szCs w:val="22"/>
          <w:lang w:val="ru-RU"/>
        </w:rPr>
        <w:lastRenderedPageBreak/>
        <w:t>Категории</w:t>
      </w:r>
      <w:r w:rsidRPr="003A673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охраняемых</w:t>
      </w:r>
      <w:r w:rsidRPr="003A673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произведений</w:t>
      </w:r>
      <w:r w:rsidRPr="003A673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и</w:t>
      </w:r>
      <w:r w:rsidRPr="003A673F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 xml:space="preserve">ограниченных возможностей </w:t>
      </w:r>
      <w:bookmarkEnd w:id="18"/>
      <w:bookmarkEnd w:id="19"/>
      <w:bookmarkEnd w:id="20"/>
    </w:p>
    <w:p w:rsidR="003A673F" w:rsidRDefault="003A673F" w:rsidP="00C4000D">
      <w:pPr>
        <w:pStyle w:val="WIPOBodyStyle"/>
        <w:rPr>
          <w:sz w:val="22"/>
          <w:lang w:val="ru-RU"/>
        </w:rPr>
      </w:pPr>
      <w:bookmarkStart w:id="21" w:name="_1t3h5sf"/>
      <w:bookmarkEnd w:id="21"/>
      <w:r>
        <w:rPr>
          <w:sz w:val="22"/>
          <w:lang w:val="ru-RU"/>
        </w:rPr>
        <w:t>Охрана</w:t>
      </w:r>
      <w:r w:rsidRPr="003A673F">
        <w:rPr>
          <w:sz w:val="22"/>
          <w:lang w:val="ru-RU"/>
        </w:rPr>
        <w:t xml:space="preserve"> </w:t>
      </w:r>
      <w:r>
        <w:rPr>
          <w:sz w:val="22"/>
          <w:lang w:val="ru-RU"/>
        </w:rPr>
        <w:t>авторского</w:t>
      </w:r>
      <w:r w:rsidRPr="003A673F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права</w:t>
      </w:r>
      <w:r w:rsidRPr="003A673F">
        <w:rPr>
          <w:sz w:val="22"/>
          <w:lang w:val="ru-RU"/>
        </w:rPr>
        <w:t xml:space="preserve"> </w:t>
      </w:r>
      <w:r>
        <w:rPr>
          <w:sz w:val="22"/>
          <w:lang w:val="ru-RU"/>
        </w:rPr>
        <w:t>и</w:t>
      </w:r>
      <w:r w:rsidRPr="003A673F">
        <w:rPr>
          <w:sz w:val="22"/>
          <w:lang w:val="ru-RU"/>
        </w:rPr>
        <w:t xml:space="preserve"> </w:t>
      </w:r>
      <w:r>
        <w:rPr>
          <w:sz w:val="22"/>
          <w:lang w:val="ru-RU"/>
        </w:rPr>
        <w:t>смежных</w:t>
      </w:r>
      <w:r w:rsidRPr="003A673F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прав</w:t>
      </w:r>
      <w:r w:rsidRPr="003A673F">
        <w:rPr>
          <w:sz w:val="22"/>
          <w:lang w:val="ru-RU"/>
        </w:rPr>
        <w:t xml:space="preserve"> </w:t>
      </w:r>
      <w:r>
        <w:rPr>
          <w:sz w:val="22"/>
          <w:lang w:val="ru-RU"/>
        </w:rPr>
        <w:t>в</w:t>
      </w:r>
      <w:r w:rsidRPr="003A673F">
        <w:rPr>
          <w:sz w:val="22"/>
          <w:lang w:val="ru-RU"/>
        </w:rPr>
        <w:t xml:space="preserve"> </w:t>
      </w:r>
      <w:r>
        <w:rPr>
          <w:sz w:val="22"/>
          <w:lang w:val="ru-RU"/>
        </w:rPr>
        <w:t>государств</w:t>
      </w:r>
      <w:r w:rsidR="008B2107">
        <w:rPr>
          <w:sz w:val="22"/>
          <w:lang w:val="ru-RU"/>
        </w:rPr>
        <w:t>ах</w:t>
      </w:r>
      <w:r w:rsidRPr="003A673F">
        <w:rPr>
          <w:sz w:val="22"/>
          <w:lang w:val="ru-RU"/>
        </w:rPr>
        <w:t>-</w:t>
      </w:r>
      <w:r>
        <w:rPr>
          <w:sz w:val="22"/>
          <w:lang w:val="ru-RU"/>
        </w:rPr>
        <w:t>член</w:t>
      </w:r>
      <w:r w:rsidR="008B2107">
        <w:rPr>
          <w:sz w:val="22"/>
          <w:lang w:val="ru-RU"/>
        </w:rPr>
        <w:t>ах</w:t>
      </w:r>
      <w:r w:rsidRPr="003A673F">
        <w:rPr>
          <w:sz w:val="22"/>
          <w:lang w:val="ru-RU"/>
        </w:rPr>
        <w:t xml:space="preserve">, </w:t>
      </w:r>
      <w:r>
        <w:rPr>
          <w:sz w:val="22"/>
          <w:lang w:val="ru-RU"/>
        </w:rPr>
        <w:t>как</w:t>
      </w:r>
      <w:r w:rsidRPr="003A673F">
        <w:rPr>
          <w:sz w:val="22"/>
          <w:lang w:val="ru-RU"/>
        </w:rPr>
        <w:t xml:space="preserve"> </w:t>
      </w:r>
      <w:r>
        <w:rPr>
          <w:sz w:val="22"/>
          <w:lang w:val="ru-RU"/>
        </w:rPr>
        <w:t xml:space="preserve">правило, </w:t>
      </w:r>
      <w:r w:rsidR="007F7339">
        <w:rPr>
          <w:sz w:val="22"/>
          <w:lang w:val="ru-RU"/>
        </w:rPr>
        <w:t xml:space="preserve">закреплена в </w:t>
      </w:r>
      <w:r>
        <w:rPr>
          <w:sz w:val="22"/>
          <w:lang w:val="ru-RU"/>
        </w:rPr>
        <w:t>национальн</w:t>
      </w:r>
      <w:r w:rsidR="007F7339">
        <w:rPr>
          <w:sz w:val="22"/>
          <w:lang w:val="ru-RU"/>
        </w:rPr>
        <w:t xml:space="preserve">ом </w:t>
      </w:r>
      <w:r>
        <w:rPr>
          <w:sz w:val="22"/>
          <w:lang w:val="ru-RU"/>
        </w:rPr>
        <w:t>законодательств</w:t>
      </w:r>
      <w:r w:rsidR="007F7339">
        <w:rPr>
          <w:sz w:val="22"/>
          <w:lang w:val="ru-RU"/>
        </w:rPr>
        <w:t>е</w:t>
      </w:r>
      <w:r>
        <w:rPr>
          <w:sz w:val="22"/>
          <w:lang w:val="ru-RU"/>
        </w:rPr>
        <w:t xml:space="preserve">. Вместе с тем, </w:t>
      </w:r>
      <w:r w:rsidR="008B2107">
        <w:rPr>
          <w:sz w:val="22"/>
          <w:lang w:val="ru-RU"/>
        </w:rPr>
        <w:t xml:space="preserve">национальное законодательство </w:t>
      </w:r>
      <w:r w:rsidR="00F67718">
        <w:rPr>
          <w:sz w:val="22"/>
          <w:lang w:val="ru-RU"/>
        </w:rPr>
        <w:t xml:space="preserve">разрабатывается с учетом </w:t>
      </w:r>
      <w:r w:rsidR="008B2107">
        <w:rPr>
          <w:sz w:val="22"/>
          <w:lang w:val="ru-RU"/>
        </w:rPr>
        <w:t>обязательств страны в отношении обеспечения минимальных уровней охраны, согласованных в рамках международных договоров, имеющих обязательную силу</w:t>
      </w:r>
      <w:r w:rsidR="00F67718" w:rsidRPr="00F67718">
        <w:rPr>
          <w:sz w:val="22"/>
          <w:vertAlign w:val="superscript"/>
        </w:rPr>
        <w:footnoteReference w:id="10"/>
      </w:r>
      <w:r w:rsidR="008B2107">
        <w:rPr>
          <w:sz w:val="22"/>
          <w:lang w:val="ru-RU"/>
        </w:rPr>
        <w:t xml:space="preserve">. </w:t>
      </w:r>
      <w:r w:rsidR="00F67718">
        <w:rPr>
          <w:sz w:val="22"/>
          <w:lang w:val="ru-RU"/>
        </w:rPr>
        <w:t xml:space="preserve">Национальное законодательство по авторскому праву охраняет </w:t>
      </w:r>
      <w:r w:rsidR="007F7339">
        <w:rPr>
          <w:sz w:val="22"/>
          <w:lang w:val="ru-RU"/>
        </w:rPr>
        <w:t xml:space="preserve">определенные </w:t>
      </w:r>
      <w:r w:rsidR="00F67718">
        <w:rPr>
          <w:sz w:val="22"/>
          <w:lang w:val="ru-RU"/>
        </w:rPr>
        <w:t>категории оригинальных произведений, которые воспрои</w:t>
      </w:r>
      <w:r w:rsidR="007F7339">
        <w:rPr>
          <w:sz w:val="22"/>
          <w:lang w:val="ru-RU"/>
        </w:rPr>
        <w:t xml:space="preserve">зводятся в материальной форме, такие как: </w:t>
      </w:r>
    </w:p>
    <w:p w:rsidR="00C4000D" w:rsidRDefault="007D3706" w:rsidP="00C4000D">
      <w:pPr>
        <w:widowControl w:val="0"/>
        <w:numPr>
          <w:ilvl w:val="0"/>
          <w:numId w:val="9"/>
        </w:numPr>
        <w:spacing w:line="300" w:lineRule="auto"/>
        <w:rPr>
          <w:rFonts w:ascii="Cambria" w:eastAsia="Cambria" w:hAnsi="Cambria" w:cs="Cambria"/>
        </w:rPr>
      </w:pPr>
      <w:r>
        <w:rPr>
          <w:lang w:val="ru-RU"/>
        </w:rPr>
        <w:t>л</w:t>
      </w:r>
      <w:r w:rsidR="00F67718">
        <w:rPr>
          <w:lang w:val="ru-RU"/>
        </w:rPr>
        <w:t>итературные произведения</w:t>
      </w:r>
      <w:r w:rsidR="007F7339">
        <w:rPr>
          <w:lang w:val="ru-RU"/>
        </w:rPr>
        <w:t>;</w:t>
      </w:r>
      <w:r w:rsidR="00C4000D">
        <w:t xml:space="preserve"> </w:t>
      </w:r>
    </w:p>
    <w:p w:rsidR="00C4000D" w:rsidRDefault="007D3706" w:rsidP="00C4000D">
      <w:pPr>
        <w:widowControl w:val="0"/>
        <w:numPr>
          <w:ilvl w:val="0"/>
          <w:numId w:val="9"/>
        </w:numPr>
        <w:spacing w:line="300" w:lineRule="auto"/>
        <w:rPr>
          <w:rFonts w:ascii="Cambria" w:eastAsia="Cambria" w:hAnsi="Cambria" w:cs="Cambria"/>
        </w:rPr>
      </w:pPr>
      <w:r>
        <w:rPr>
          <w:lang w:val="ru-RU"/>
        </w:rPr>
        <w:t>м</w:t>
      </w:r>
      <w:r w:rsidR="00F67718">
        <w:rPr>
          <w:lang w:val="ru-RU"/>
        </w:rPr>
        <w:t>узыкальные произведения</w:t>
      </w:r>
      <w:r w:rsidR="007F7339">
        <w:rPr>
          <w:lang w:val="ru-RU"/>
        </w:rPr>
        <w:t>;</w:t>
      </w:r>
      <w:r w:rsidR="00C4000D">
        <w:t xml:space="preserve"> </w:t>
      </w:r>
    </w:p>
    <w:p w:rsidR="00C4000D" w:rsidRDefault="007D3706" w:rsidP="00C4000D">
      <w:pPr>
        <w:widowControl w:val="0"/>
        <w:numPr>
          <w:ilvl w:val="0"/>
          <w:numId w:val="9"/>
        </w:numPr>
        <w:spacing w:line="300" w:lineRule="auto"/>
        <w:rPr>
          <w:rFonts w:ascii="Cambria" w:eastAsia="Cambria" w:hAnsi="Cambria" w:cs="Cambria"/>
        </w:rPr>
      </w:pPr>
      <w:r>
        <w:rPr>
          <w:lang w:val="ru-RU"/>
        </w:rPr>
        <w:t>произведения</w:t>
      </w:r>
      <w:r w:rsidR="008C2F64">
        <w:rPr>
          <w:lang w:val="ru-RU"/>
        </w:rPr>
        <w:t xml:space="preserve"> изобразительного искусства</w:t>
      </w:r>
      <w:r w:rsidR="00C4000D">
        <w:t>;</w:t>
      </w:r>
    </w:p>
    <w:p w:rsidR="00C4000D" w:rsidRDefault="007D3706" w:rsidP="00C4000D">
      <w:pPr>
        <w:widowControl w:val="0"/>
        <w:numPr>
          <w:ilvl w:val="0"/>
          <w:numId w:val="9"/>
        </w:numPr>
        <w:spacing w:line="300" w:lineRule="auto"/>
        <w:rPr>
          <w:rFonts w:ascii="Cambria" w:eastAsia="Cambria" w:hAnsi="Cambria" w:cs="Cambria"/>
        </w:rPr>
      </w:pPr>
      <w:r>
        <w:rPr>
          <w:lang w:val="ru-RU"/>
        </w:rPr>
        <w:t>драматические произведения</w:t>
      </w:r>
      <w:r w:rsidR="00C4000D">
        <w:t>;</w:t>
      </w:r>
    </w:p>
    <w:p w:rsidR="00C4000D" w:rsidRDefault="007D3706" w:rsidP="00C4000D">
      <w:pPr>
        <w:widowControl w:val="0"/>
        <w:numPr>
          <w:ilvl w:val="0"/>
          <w:numId w:val="9"/>
        </w:numPr>
        <w:spacing w:line="300" w:lineRule="auto"/>
        <w:rPr>
          <w:rFonts w:ascii="Cambria" w:eastAsia="Cambria" w:hAnsi="Cambria" w:cs="Cambria"/>
        </w:rPr>
      </w:pPr>
      <w:r>
        <w:rPr>
          <w:lang w:val="ru-RU"/>
        </w:rPr>
        <w:t>кинематографические произведения</w:t>
      </w:r>
      <w:r w:rsidR="00C4000D">
        <w:t xml:space="preserve">; </w:t>
      </w:r>
    </w:p>
    <w:p w:rsidR="00C4000D" w:rsidRDefault="007D3706" w:rsidP="00C4000D">
      <w:pPr>
        <w:widowControl w:val="0"/>
        <w:numPr>
          <w:ilvl w:val="0"/>
          <w:numId w:val="9"/>
        </w:numPr>
        <w:spacing w:line="300" w:lineRule="auto"/>
        <w:rPr>
          <w:rFonts w:ascii="Cambria" w:eastAsia="Cambria" w:hAnsi="Cambria" w:cs="Cambria"/>
        </w:rPr>
      </w:pPr>
      <w:r>
        <w:rPr>
          <w:lang w:val="ru-RU"/>
        </w:rPr>
        <w:t>звуковые</w:t>
      </w:r>
      <w:r w:rsidRPr="007D3706">
        <w:t xml:space="preserve"> </w:t>
      </w:r>
      <w:r>
        <w:rPr>
          <w:lang w:val="ru-RU"/>
        </w:rPr>
        <w:t>записи</w:t>
      </w:r>
      <w:r w:rsidR="007F7339">
        <w:t xml:space="preserve">; </w:t>
      </w:r>
      <w:r>
        <w:rPr>
          <w:lang w:val="ru-RU"/>
        </w:rPr>
        <w:t>и</w:t>
      </w:r>
      <w:r w:rsidRPr="007D3706">
        <w:t xml:space="preserve"> </w:t>
      </w:r>
    </w:p>
    <w:p w:rsidR="00C4000D" w:rsidRPr="007F7339" w:rsidRDefault="00C3741C" w:rsidP="00C4000D">
      <w:pPr>
        <w:widowControl w:val="0"/>
        <w:numPr>
          <w:ilvl w:val="0"/>
          <w:numId w:val="9"/>
        </w:numPr>
        <w:spacing w:line="300" w:lineRule="auto"/>
        <w:rPr>
          <w:rFonts w:ascii="Cambria" w:eastAsia="Cambria" w:hAnsi="Cambria" w:cs="Cambria"/>
          <w:lang w:val="ru-RU"/>
        </w:rPr>
      </w:pPr>
      <w:r>
        <w:rPr>
          <w:lang w:val="ru-RU"/>
        </w:rPr>
        <w:t>трансляции</w:t>
      </w:r>
      <w:r w:rsidRPr="007F7339">
        <w:rPr>
          <w:lang w:val="ru-RU"/>
        </w:rPr>
        <w:t xml:space="preserve"> </w:t>
      </w:r>
      <w:r w:rsidR="00C4000D" w:rsidRPr="007F7339">
        <w:rPr>
          <w:lang w:val="ru-RU"/>
        </w:rPr>
        <w:t>(</w:t>
      </w:r>
      <w:r>
        <w:rPr>
          <w:lang w:val="ru-RU"/>
        </w:rPr>
        <w:t>обычно</w:t>
      </w:r>
      <w:r w:rsidRPr="007F7339">
        <w:rPr>
          <w:lang w:val="ru-RU"/>
        </w:rPr>
        <w:t xml:space="preserve"> </w:t>
      </w:r>
      <w:r>
        <w:rPr>
          <w:lang w:val="ru-RU"/>
        </w:rPr>
        <w:t>охраняемые</w:t>
      </w:r>
      <w:r w:rsidRPr="007F7339">
        <w:rPr>
          <w:lang w:val="ru-RU"/>
        </w:rPr>
        <w:t xml:space="preserve"> </w:t>
      </w:r>
      <w:r>
        <w:rPr>
          <w:lang w:val="ru-RU"/>
        </w:rPr>
        <w:t>смежными</w:t>
      </w:r>
      <w:r w:rsidRPr="007F7339">
        <w:rPr>
          <w:lang w:val="ru-RU"/>
        </w:rPr>
        <w:t xml:space="preserve"> </w:t>
      </w:r>
      <w:r>
        <w:rPr>
          <w:lang w:val="ru-RU"/>
        </w:rPr>
        <w:t>правами</w:t>
      </w:r>
      <w:r w:rsidR="00C4000D" w:rsidRPr="007F7339">
        <w:rPr>
          <w:lang w:val="ru-RU"/>
        </w:rPr>
        <w:t>).</w:t>
      </w:r>
    </w:p>
    <w:p w:rsidR="00C4000D" w:rsidRPr="00932D78" w:rsidRDefault="00BE4A85" w:rsidP="00C4000D">
      <w:pPr>
        <w:spacing w:after="80" w:line="300" w:lineRule="auto"/>
        <w:rPr>
          <w:rFonts w:eastAsia="Arial"/>
          <w:lang w:val="ru-RU"/>
        </w:rPr>
      </w:pPr>
      <w:r>
        <w:rPr>
          <w:lang w:val="ru-RU"/>
        </w:rPr>
        <w:t>Исключительные права,</w:t>
      </w:r>
      <w:r w:rsidR="00C3741C" w:rsidRPr="00932D78">
        <w:rPr>
          <w:lang w:val="ru-RU"/>
        </w:rPr>
        <w:t xml:space="preserve"> принадлежа</w:t>
      </w:r>
      <w:r>
        <w:rPr>
          <w:lang w:val="ru-RU"/>
        </w:rPr>
        <w:t>щие</w:t>
      </w:r>
      <w:r w:rsidR="00C3741C" w:rsidRPr="00932D78">
        <w:rPr>
          <w:lang w:val="ru-RU"/>
        </w:rPr>
        <w:t xml:space="preserve"> обладателям </w:t>
      </w:r>
      <w:r>
        <w:rPr>
          <w:lang w:val="ru-RU"/>
        </w:rPr>
        <w:t xml:space="preserve">прав на </w:t>
      </w:r>
      <w:r w:rsidR="00C3741C" w:rsidRPr="00932D78">
        <w:rPr>
          <w:lang w:val="ru-RU"/>
        </w:rPr>
        <w:t>эти произведени</w:t>
      </w:r>
      <w:r>
        <w:rPr>
          <w:lang w:val="ru-RU"/>
        </w:rPr>
        <w:t>я</w:t>
      </w:r>
      <w:r w:rsidR="00C3741C" w:rsidRPr="00932D78">
        <w:rPr>
          <w:lang w:val="ru-RU"/>
        </w:rPr>
        <w:t>, распространяются на</w:t>
      </w:r>
      <w:r w:rsidR="007F7339" w:rsidRPr="00932D78">
        <w:rPr>
          <w:lang w:val="ru-RU"/>
        </w:rPr>
        <w:t xml:space="preserve">: </w:t>
      </w:r>
    </w:p>
    <w:p w:rsidR="00C4000D" w:rsidRPr="00932D78" w:rsidRDefault="00C3741C" w:rsidP="00C4000D">
      <w:pPr>
        <w:pStyle w:val="WIPOBodyStyle"/>
        <w:numPr>
          <w:ilvl w:val="0"/>
          <w:numId w:val="10"/>
        </w:numPr>
        <w:rPr>
          <w:rFonts w:ascii="Cambria" w:eastAsia="Cambria" w:hAnsi="Cambria" w:cs="Cambria"/>
          <w:sz w:val="22"/>
        </w:rPr>
      </w:pPr>
      <w:r w:rsidRPr="00932D78">
        <w:rPr>
          <w:sz w:val="22"/>
          <w:lang w:val="ru-RU"/>
        </w:rPr>
        <w:t>воспроизведение</w:t>
      </w:r>
      <w:r w:rsidR="00C4000D" w:rsidRPr="00932D78">
        <w:rPr>
          <w:sz w:val="22"/>
        </w:rPr>
        <w:t>;</w:t>
      </w:r>
    </w:p>
    <w:p w:rsidR="00C4000D" w:rsidRPr="00932D78" w:rsidRDefault="00C3741C" w:rsidP="00C4000D">
      <w:pPr>
        <w:pStyle w:val="WIPOBodyStyle"/>
        <w:numPr>
          <w:ilvl w:val="0"/>
          <w:numId w:val="10"/>
        </w:numPr>
        <w:rPr>
          <w:rFonts w:ascii="Cambria" w:eastAsia="Cambria" w:hAnsi="Cambria" w:cs="Cambria"/>
          <w:sz w:val="22"/>
        </w:rPr>
      </w:pPr>
      <w:r w:rsidRPr="00932D78">
        <w:rPr>
          <w:sz w:val="22"/>
          <w:lang w:val="ru-RU"/>
        </w:rPr>
        <w:t>адаптаци</w:t>
      </w:r>
      <w:r w:rsidR="000904B6" w:rsidRPr="00932D78">
        <w:rPr>
          <w:sz w:val="22"/>
          <w:lang w:val="ru-RU"/>
        </w:rPr>
        <w:t>ю</w:t>
      </w:r>
      <w:r w:rsidRPr="00932D78">
        <w:rPr>
          <w:sz w:val="22"/>
          <w:lang w:val="ru-RU"/>
        </w:rPr>
        <w:t xml:space="preserve">; </w:t>
      </w:r>
    </w:p>
    <w:p w:rsidR="00C4000D" w:rsidRPr="00932D78" w:rsidRDefault="00C3741C" w:rsidP="00C4000D">
      <w:pPr>
        <w:pStyle w:val="WIPOBodyStyle"/>
        <w:numPr>
          <w:ilvl w:val="0"/>
          <w:numId w:val="10"/>
        </w:numPr>
        <w:rPr>
          <w:rFonts w:ascii="Cambria" w:eastAsia="Cambria" w:hAnsi="Cambria" w:cs="Cambria"/>
          <w:sz w:val="22"/>
          <w:lang w:val="ru-RU"/>
        </w:rPr>
      </w:pPr>
      <w:r w:rsidRPr="00932D78">
        <w:rPr>
          <w:sz w:val="22"/>
          <w:lang w:val="ru-RU"/>
        </w:rPr>
        <w:t xml:space="preserve">распространение </w:t>
      </w:r>
      <w:r w:rsidR="00C4000D" w:rsidRPr="00932D78">
        <w:rPr>
          <w:sz w:val="22"/>
          <w:lang w:val="ru-RU"/>
        </w:rPr>
        <w:t>(</w:t>
      </w:r>
      <w:r w:rsidR="003617B3" w:rsidRPr="00932D78">
        <w:rPr>
          <w:sz w:val="22"/>
          <w:lang w:val="ru-RU"/>
        </w:rPr>
        <w:t>включая прокат и предоставление во временное пользование</w:t>
      </w:r>
      <w:r w:rsidR="00C4000D" w:rsidRPr="00932D78">
        <w:rPr>
          <w:sz w:val="22"/>
          <w:lang w:val="ru-RU"/>
        </w:rPr>
        <w:t>)</w:t>
      </w:r>
      <w:r w:rsidR="008C2F64">
        <w:rPr>
          <w:sz w:val="22"/>
          <w:lang w:val="ru-RU"/>
        </w:rPr>
        <w:t>;</w:t>
      </w:r>
    </w:p>
    <w:p w:rsidR="00C4000D" w:rsidRPr="00932D78" w:rsidRDefault="003617B3" w:rsidP="00C4000D">
      <w:pPr>
        <w:pStyle w:val="WIPOBodyStyle"/>
        <w:numPr>
          <w:ilvl w:val="0"/>
          <w:numId w:val="10"/>
        </w:numPr>
        <w:rPr>
          <w:rFonts w:ascii="Cambria" w:eastAsia="Cambria" w:hAnsi="Cambria" w:cs="Cambria"/>
          <w:sz w:val="22"/>
        </w:rPr>
      </w:pPr>
      <w:r w:rsidRPr="00932D78">
        <w:rPr>
          <w:sz w:val="22"/>
          <w:lang w:val="ru-RU"/>
        </w:rPr>
        <w:t>беспроводное</w:t>
      </w:r>
      <w:r w:rsidRPr="00932D78">
        <w:rPr>
          <w:sz w:val="22"/>
        </w:rPr>
        <w:t xml:space="preserve"> </w:t>
      </w:r>
      <w:r w:rsidRPr="00932D78">
        <w:rPr>
          <w:sz w:val="22"/>
          <w:lang w:val="ru-RU"/>
        </w:rPr>
        <w:t>вещание</w:t>
      </w:r>
      <w:r w:rsidR="00C4000D" w:rsidRPr="00932D78">
        <w:rPr>
          <w:sz w:val="22"/>
        </w:rPr>
        <w:t>;</w:t>
      </w:r>
    </w:p>
    <w:p w:rsidR="00C4000D" w:rsidRPr="00932D78" w:rsidRDefault="000904B6" w:rsidP="00C4000D">
      <w:pPr>
        <w:pStyle w:val="WIPOBodyStyle"/>
        <w:numPr>
          <w:ilvl w:val="0"/>
          <w:numId w:val="10"/>
        </w:numPr>
        <w:rPr>
          <w:rFonts w:ascii="Cambria" w:hAnsi="Cambria"/>
          <w:sz w:val="22"/>
          <w:lang w:val="ru-RU"/>
        </w:rPr>
      </w:pPr>
      <w:r w:rsidRPr="00932D78">
        <w:rPr>
          <w:sz w:val="22"/>
          <w:lang w:val="ru-RU"/>
        </w:rPr>
        <w:t xml:space="preserve">другие </w:t>
      </w:r>
      <w:r w:rsidR="00932D78" w:rsidRPr="00932D78">
        <w:rPr>
          <w:sz w:val="22"/>
          <w:lang w:val="ru-RU"/>
        </w:rPr>
        <w:t xml:space="preserve">формы доведения </w:t>
      </w:r>
      <w:r w:rsidRPr="00932D78">
        <w:rPr>
          <w:sz w:val="22"/>
          <w:lang w:val="ru-RU"/>
        </w:rPr>
        <w:t>до всеобщего сведения с помощью электронн</w:t>
      </w:r>
      <w:r w:rsidR="00932D78" w:rsidRPr="00932D78">
        <w:rPr>
          <w:sz w:val="22"/>
          <w:lang w:val="ru-RU"/>
        </w:rPr>
        <w:t xml:space="preserve">ой передачи </w:t>
      </w:r>
      <w:r w:rsidRPr="00932D78">
        <w:rPr>
          <w:sz w:val="22"/>
          <w:lang w:val="ru-RU"/>
        </w:rPr>
        <w:t>и публичных представлений</w:t>
      </w:r>
      <w:r w:rsidR="00C4000D" w:rsidRPr="00932D78">
        <w:rPr>
          <w:sz w:val="22"/>
          <w:lang w:val="ru-RU"/>
        </w:rPr>
        <w:t>;</w:t>
      </w:r>
      <w:r w:rsidR="00C4000D" w:rsidRPr="00932D78">
        <w:rPr>
          <w:rFonts w:ascii="Cambria" w:eastAsia="Cambria" w:hAnsi="Cambria" w:cs="Cambria"/>
          <w:sz w:val="22"/>
          <w:vertAlign w:val="superscript"/>
          <w:lang w:val="ru-RU"/>
        </w:rPr>
        <w:t xml:space="preserve"> </w:t>
      </w:r>
    </w:p>
    <w:p w:rsidR="00C4000D" w:rsidRPr="00932D78" w:rsidRDefault="000904B6" w:rsidP="00C4000D">
      <w:pPr>
        <w:pStyle w:val="WIPOBodyStyle"/>
        <w:numPr>
          <w:ilvl w:val="0"/>
          <w:numId w:val="10"/>
        </w:numPr>
        <w:rPr>
          <w:rFonts w:ascii="Cambria" w:eastAsia="Cambria" w:hAnsi="Cambria" w:cs="Cambria"/>
          <w:sz w:val="22"/>
          <w:lang w:val="ru-RU"/>
        </w:rPr>
      </w:pPr>
      <w:r w:rsidRPr="00932D78">
        <w:rPr>
          <w:sz w:val="22"/>
          <w:lang w:val="ru-RU"/>
        </w:rPr>
        <w:t>возможност</w:t>
      </w:r>
      <w:r w:rsidR="00C53AD5" w:rsidRPr="00932D78">
        <w:rPr>
          <w:sz w:val="22"/>
          <w:lang w:val="ru-RU"/>
        </w:rPr>
        <w:t>ь</w:t>
      </w:r>
      <w:r w:rsidRPr="00932D78">
        <w:rPr>
          <w:sz w:val="22"/>
          <w:lang w:val="ru-RU"/>
        </w:rPr>
        <w:t xml:space="preserve"> </w:t>
      </w:r>
      <w:r w:rsidR="00932D78" w:rsidRPr="00932D78">
        <w:rPr>
          <w:sz w:val="22"/>
          <w:lang w:val="ru-RU"/>
        </w:rPr>
        <w:t xml:space="preserve">применения </w:t>
      </w:r>
      <w:r w:rsidRPr="00932D78">
        <w:rPr>
          <w:sz w:val="22"/>
          <w:lang w:val="ru-RU"/>
        </w:rPr>
        <w:t>и</w:t>
      </w:r>
      <w:r w:rsidR="00C53AD5" w:rsidRPr="00932D78">
        <w:rPr>
          <w:sz w:val="22"/>
          <w:lang w:val="ru-RU"/>
        </w:rPr>
        <w:t>мпортных/экспортных ограничений</w:t>
      </w:r>
      <w:r w:rsidR="00932D78" w:rsidRPr="00932D78">
        <w:rPr>
          <w:sz w:val="22"/>
          <w:lang w:val="ru-RU"/>
        </w:rPr>
        <w:t>;</w:t>
      </w:r>
      <w:r w:rsidR="00C53AD5" w:rsidRPr="00932D78">
        <w:rPr>
          <w:sz w:val="22"/>
          <w:lang w:val="ru-RU"/>
        </w:rPr>
        <w:t xml:space="preserve"> и </w:t>
      </w:r>
    </w:p>
    <w:p w:rsidR="00C4000D" w:rsidRPr="00932D78" w:rsidRDefault="00C53AD5" w:rsidP="00C4000D">
      <w:pPr>
        <w:pStyle w:val="WIPOBodyStyle"/>
        <w:numPr>
          <w:ilvl w:val="0"/>
          <w:numId w:val="11"/>
        </w:numPr>
        <w:rPr>
          <w:sz w:val="22"/>
          <w:lang w:val="ru-RU"/>
        </w:rPr>
      </w:pPr>
      <w:r w:rsidRPr="00932D78">
        <w:rPr>
          <w:sz w:val="22"/>
          <w:lang w:val="ru-RU"/>
        </w:rPr>
        <w:t>пр</w:t>
      </w:r>
      <w:r w:rsidR="00932D78" w:rsidRPr="00932D78">
        <w:rPr>
          <w:sz w:val="22"/>
          <w:lang w:val="ru-RU"/>
        </w:rPr>
        <w:t>есечение уклонения от соблюдения требований</w:t>
      </w:r>
      <w:r w:rsidR="00C4000D" w:rsidRPr="00932D78">
        <w:rPr>
          <w:sz w:val="22"/>
          <w:vertAlign w:val="superscript"/>
        </w:rPr>
        <w:footnoteReference w:id="11"/>
      </w:r>
      <w:r w:rsidR="00932D78" w:rsidRPr="00932D78">
        <w:rPr>
          <w:sz w:val="22"/>
          <w:lang w:val="ru-RU"/>
        </w:rPr>
        <w:t xml:space="preserve">. </w:t>
      </w:r>
    </w:p>
    <w:p w:rsidR="00C4000D" w:rsidRPr="00C53AD5" w:rsidRDefault="00C53AD5" w:rsidP="00932D78">
      <w:pPr>
        <w:pStyle w:val="Heading2"/>
        <w:rPr>
          <w:rFonts w:eastAsia="Arial"/>
          <w:szCs w:val="22"/>
          <w:lang w:val="ru-RU"/>
        </w:rPr>
      </w:pPr>
      <w:bookmarkStart w:id="22" w:name="_Toc2872892"/>
      <w:bookmarkStart w:id="23" w:name="_Toc2872244"/>
      <w:bookmarkStart w:id="24" w:name="_Toc3361677"/>
      <w:r>
        <w:rPr>
          <w:rFonts w:eastAsia="Arial"/>
          <w:lang w:val="ru-RU"/>
        </w:rPr>
        <w:t xml:space="preserve">ТЕХНОЛОГИИ ОБЕСПЕЧЕНИЯ ДОСТУПНОСТИ И ИСКУССТВЕННЫЙ </w:t>
      </w:r>
      <w:r w:rsidRPr="002A08A1">
        <w:rPr>
          <w:rFonts w:eastAsia="Arial"/>
          <w:lang w:val="ru-RU"/>
        </w:rPr>
        <w:t>ИНТЕЛЛЕКТ</w:t>
      </w:r>
      <w:r w:rsidRPr="00C53AD5">
        <w:rPr>
          <w:rFonts w:eastAsia="Arial"/>
          <w:highlight w:val="yellow"/>
          <w:lang w:val="ru-RU"/>
        </w:rPr>
        <w:t xml:space="preserve"> </w:t>
      </w:r>
      <w:bookmarkEnd w:id="22"/>
      <w:bookmarkEnd w:id="23"/>
      <w:bookmarkEnd w:id="24"/>
    </w:p>
    <w:p w:rsidR="002A08A1" w:rsidRPr="00CD7952" w:rsidRDefault="002A08A1" w:rsidP="00932D78">
      <w:pPr>
        <w:pStyle w:val="WIPOBodyStyle"/>
        <w:keepNext/>
        <w:rPr>
          <w:sz w:val="22"/>
          <w:lang w:val="ru-RU"/>
        </w:rPr>
      </w:pPr>
    </w:p>
    <w:p w:rsidR="00D91BDA" w:rsidRDefault="002A08A1" w:rsidP="00932D78">
      <w:pPr>
        <w:pStyle w:val="WIPOBodyStyle"/>
        <w:keepNext/>
        <w:rPr>
          <w:sz w:val="22"/>
          <w:lang w:val="ru-RU"/>
        </w:rPr>
      </w:pPr>
      <w:r>
        <w:rPr>
          <w:sz w:val="22"/>
          <w:lang w:val="ru-RU"/>
        </w:rPr>
        <w:t>Субтитры</w:t>
      </w:r>
      <w:r w:rsidRPr="002A08A1">
        <w:rPr>
          <w:sz w:val="22"/>
          <w:lang w:val="ru-RU"/>
        </w:rPr>
        <w:t xml:space="preserve"> </w:t>
      </w:r>
      <w:r>
        <w:rPr>
          <w:sz w:val="22"/>
          <w:lang w:val="ru-RU"/>
        </w:rPr>
        <w:t>и</w:t>
      </w:r>
      <w:r w:rsidRPr="002A08A1">
        <w:rPr>
          <w:sz w:val="22"/>
          <w:lang w:val="ru-RU"/>
        </w:rPr>
        <w:t xml:space="preserve"> </w:t>
      </w:r>
      <w:r>
        <w:rPr>
          <w:sz w:val="22"/>
          <w:lang w:val="ru-RU"/>
        </w:rPr>
        <w:t>звуковые</w:t>
      </w:r>
      <w:r w:rsidRPr="002A08A1">
        <w:rPr>
          <w:sz w:val="22"/>
          <w:lang w:val="ru-RU"/>
        </w:rPr>
        <w:t xml:space="preserve"> </w:t>
      </w:r>
      <w:r>
        <w:rPr>
          <w:sz w:val="22"/>
          <w:lang w:val="ru-RU"/>
        </w:rPr>
        <w:t>описания</w:t>
      </w:r>
      <w:r w:rsidRPr="002A08A1">
        <w:rPr>
          <w:sz w:val="22"/>
          <w:lang w:val="ru-RU"/>
        </w:rPr>
        <w:t xml:space="preserve"> </w:t>
      </w:r>
      <w:r>
        <w:rPr>
          <w:sz w:val="22"/>
          <w:lang w:val="ru-RU"/>
        </w:rPr>
        <w:t xml:space="preserve">являются примерами технологий, позволяющих лицам с ограниченными возможностями получать доступ к охраняемым авторским правом произведениям </w:t>
      </w:r>
      <w:r w:rsidR="006B6B04">
        <w:rPr>
          <w:sz w:val="22"/>
          <w:lang w:val="ru-RU"/>
        </w:rPr>
        <w:t xml:space="preserve">в образовательных, развлекательных и </w:t>
      </w:r>
      <w:r w:rsidR="00791755">
        <w:rPr>
          <w:sz w:val="22"/>
          <w:lang w:val="ru-RU"/>
        </w:rPr>
        <w:t xml:space="preserve">других </w:t>
      </w:r>
      <w:r w:rsidR="00932D78">
        <w:rPr>
          <w:sz w:val="22"/>
          <w:lang w:val="ru-RU"/>
        </w:rPr>
        <w:t xml:space="preserve">многочисленных </w:t>
      </w:r>
      <w:r w:rsidR="006B6B04">
        <w:rPr>
          <w:sz w:val="22"/>
          <w:lang w:val="ru-RU"/>
        </w:rPr>
        <w:t xml:space="preserve">целях. </w:t>
      </w:r>
      <w:r w:rsidR="00465FB8">
        <w:rPr>
          <w:sz w:val="22"/>
          <w:lang w:val="ru-RU"/>
        </w:rPr>
        <w:t>Эти технологии</w:t>
      </w:r>
      <w:r w:rsidR="00465FB8" w:rsidRPr="00465FB8">
        <w:rPr>
          <w:sz w:val="22"/>
          <w:lang w:val="ru-RU"/>
        </w:rPr>
        <w:t xml:space="preserve"> </w:t>
      </w:r>
      <w:r w:rsidR="00465FB8">
        <w:rPr>
          <w:sz w:val="22"/>
          <w:lang w:val="ru-RU"/>
        </w:rPr>
        <w:t>лежат в основе создания произведений, доступных для лиц с ограниченными возможностями, однако для их применения с целью обеспечения доступа к охраняемым авторским правом произведени</w:t>
      </w:r>
      <w:r w:rsidR="00BE4A85">
        <w:rPr>
          <w:sz w:val="22"/>
          <w:lang w:val="ru-RU"/>
        </w:rPr>
        <w:t>ям</w:t>
      </w:r>
      <w:r w:rsidR="00465FB8">
        <w:rPr>
          <w:sz w:val="22"/>
          <w:lang w:val="ru-RU"/>
        </w:rPr>
        <w:t xml:space="preserve"> требуется решение сложных экономических вопросов. </w:t>
      </w:r>
      <w:r w:rsidR="00DE112A">
        <w:rPr>
          <w:sz w:val="22"/>
          <w:lang w:val="ru-RU"/>
        </w:rPr>
        <w:t>Переформатирование</w:t>
      </w:r>
      <w:r w:rsidR="00DE112A" w:rsidRPr="00DE112A">
        <w:rPr>
          <w:sz w:val="22"/>
          <w:lang w:val="ru-RU"/>
        </w:rPr>
        <w:t xml:space="preserve"> </w:t>
      </w:r>
      <w:r w:rsidR="00D91BDA">
        <w:rPr>
          <w:sz w:val="22"/>
          <w:lang w:val="ru-RU"/>
        </w:rPr>
        <w:t xml:space="preserve">некоторых </w:t>
      </w:r>
      <w:r w:rsidR="00DE112A">
        <w:rPr>
          <w:sz w:val="22"/>
          <w:lang w:val="ru-RU"/>
        </w:rPr>
        <w:t>видов</w:t>
      </w:r>
      <w:r w:rsidR="00DE112A" w:rsidRPr="00DE112A">
        <w:rPr>
          <w:sz w:val="22"/>
          <w:lang w:val="ru-RU"/>
        </w:rPr>
        <w:t xml:space="preserve"> </w:t>
      </w:r>
      <w:r w:rsidR="00DE112A">
        <w:rPr>
          <w:sz w:val="22"/>
          <w:lang w:val="ru-RU"/>
        </w:rPr>
        <w:t>охраняемых</w:t>
      </w:r>
      <w:r w:rsidR="00DE112A" w:rsidRPr="00DE112A">
        <w:rPr>
          <w:sz w:val="22"/>
          <w:lang w:val="ru-RU"/>
        </w:rPr>
        <w:t xml:space="preserve"> </w:t>
      </w:r>
      <w:r w:rsidR="00DE112A">
        <w:rPr>
          <w:sz w:val="22"/>
          <w:lang w:val="ru-RU"/>
        </w:rPr>
        <w:t>авторским</w:t>
      </w:r>
      <w:r w:rsidR="00DE112A" w:rsidRPr="00DE112A">
        <w:rPr>
          <w:sz w:val="22"/>
          <w:lang w:val="ru-RU"/>
        </w:rPr>
        <w:t xml:space="preserve"> </w:t>
      </w:r>
      <w:r w:rsidR="00DE112A">
        <w:rPr>
          <w:sz w:val="22"/>
          <w:lang w:val="ru-RU"/>
        </w:rPr>
        <w:t>правом</w:t>
      </w:r>
      <w:r w:rsidR="00D91BDA" w:rsidRPr="00D91BDA">
        <w:rPr>
          <w:sz w:val="22"/>
          <w:lang w:val="ru-RU"/>
        </w:rPr>
        <w:t xml:space="preserve"> </w:t>
      </w:r>
      <w:r w:rsidR="00D91BDA">
        <w:rPr>
          <w:sz w:val="22"/>
          <w:lang w:val="ru-RU"/>
        </w:rPr>
        <w:t>произведений</w:t>
      </w:r>
      <w:r w:rsidR="00DE112A">
        <w:rPr>
          <w:sz w:val="22"/>
          <w:lang w:val="ru-RU"/>
        </w:rPr>
        <w:t xml:space="preserve"> в доступные формы част</w:t>
      </w:r>
      <w:r w:rsidR="00D91BDA">
        <w:rPr>
          <w:sz w:val="22"/>
          <w:lang w:val="ru-RU"/>
        </w:rPr>
        <w:t xml:space="preserve">о является </w:t>
      </w:r>
      <w:r w:rsidR="00DE112A">
        <w:rPr>
          <w:sz w:val="22"/>
          <w:lang w:val="ru-RU"/>
        </w:rPr>
        <w:t>трудоемки</w:t>
      </w:r>
      <w:r w:rsidR="00D91BDA">
        <w:rPr>
          <w:sz w:val="22"/>
          <w:lang w:val="ru-RU"/>
        </w:rPr>
        <w:t>м</w:t>
      </w:r>
      <w:r w:rsidR="00DE112A">
        <w:rPr>
          <w:sz w:val="22"/>
          <w:lang w:val="ru-RU"/>
        </w:rPr>
        <w:t xml:space="preserve"> процесс</w:t>
      </w:r>
      <w:r w:rsidR="00D91BDA">
        <w:rPr>
          <w:sz w:val="22"/>
          <w:lang w:val="ru-RU"/>
        </w:rPr>
        <w:t>ом</w:t>
      </w:r>
      <w:r w:rsidR="00DE112A">
        <w:rPr>
          <w:sz w:val="22"/>
          <w:lang w:val="ru-RU"/>
        </w:rPr>
        <w:t xml:space="preserve">, а стоимость существующих технологий переформатирования может быть весьма высока. </w:t>
      </w:r>
      <w:r w:rsidR="00D91BDA">
        <w:rPr>
          <w:sz w:val="22"/>
          <w:lang w:val="ru-RU"/>
        </w:rPr>
        <w:t xml:space="preserve">В силу широкого разнообразия видео- и текстовых форматов, а также нарушений слуха и зрения или когнитивных нарушений переформатирование в ограниченных масштабах для удовлетворения индивидуальных потребностей не </w:t>
      </w:r>
      <w:r w:rsidR="00D91BDA">
        <w:rPr>
          <w:sz w:val="22"/>
          <w:lang w:val="ru-RU"/>
        </w:rPr>
        <w:lastRenderedPageBreak/>
        <w:t xml:space="preserve">является надежным способом достижения цели обеспечения широкого доступа к произведениям, охраняемым авторским правом. </w:t>
      </w:r>
    </w:p>
    <w:p w:rsidR="00C4000D" w:rsidRPr="00724F9A" w:rsidRDefault="00493D47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 xml:space="preserve">В этой связи важным фактором развития технологий обеспечения доступности является внедрение искусственного интеллекта (ИИ) и машинного обучения. </w:t>
      </w:r>
      <w:r w:rsidR="00C37160">
        <w:rPr>
          <w:sz w:val="22"/>
          <w:lang w:val="ru-RU"/>
        </w:rPr>
        <w:t xml:space="preserve">Например, машинное обучение открывает возможности для создания технологий, которые могли бы помочь упростить текст для его понимания лицами с когнитивными нарушениями за счет автоматического представления текста в более доступном для понимания </w:t>
      </w:r>
      <w:r w:rsidR="005C551E">
        <w:rPr>
          <w:sz w:val="22"/>
          <w:lang w:val="ru-RU"/>
        </w:rPr>
        <w:t xml:space="preserve">формате без привлечения к этому редакторов. </w:t>
      </w:r>
      <w:r w:rsidR="00FD6F88">
        <w:rPr>
          <w:sz w:val="22"/>
          <w:lang w:val="ru-RU"/>
        </w:rPr>
        <w:t xml:space="preserve">Научные сотрудники </w:t>
      </w:r>
      <w:r w:rsidR="00FD6F88" w:rsidRPr="00FD6F88">
        <w:rPr>
          <w:sz w:val="22"/>
        </w:rPr>
        <w:t>IBM</w:t>
      </w:r>
      <w:r w:rsidR="00FD6F88">
        <w:rPr>
          <w:sz w:val="22"/>
          <w:lang w:val="ru-RU"/>
        </w:rPr>
        <w:t xml:space="preserve"> работают над созданием технологии языковой обработки, которая будет заменять такие сложные обороты, как «разверзлись хляби небесные», на такие более простые, как «шел сильный дождь», или </w:t>
      </w:r>
      <w:r w:rsidR="00FD6F88" w:rsidRPr="00724F9A">
        <w:rPr>
          <w:sz w:val="22"/>
          <w:lang w:val="ru-RU"/>
        </w:rPr>
        <w:t xml:space="preserve">упрощать </w:t>
      </w:r>
      <w:r w:rsidR="00724F9A" w:rsidRPr="00724F9A">
        <w:rPr>
          <w:sz w:val="22"/>
          <w:lang w:val="ru-RU"/>
        </w:rPr>
        <w:t>длинные предложения с множеством причастных оборотов или косвенной речью</w:t>
      </w:r>
      <w:r w:rsidR="00C4000D" w:rsidRPr="00724F9A">
        <w:rPr>
          <w:rStyle w:val="FootnoteReference"/>
          <w:sz w:val="22"/>
        </w:rPr>
        <w:footnoteReference w:id="12"/>
      </w:r>
      <w:r w:rsidR="00724F9A" w:rsidRPr="00724F9A">
        <w:rPr>
          <w:sz w:val="22"/>
          <w:lang w:val="ru-RU"/>
        </w:rPr>
        <w:t>.</w:t>
      </w:r>
      <w:r w:rsidR="00C4000D" w:rsidRPr="00724F9A">
        <w:rPr>
          <w:sz w:val="22"/>
          <w:lang w:val="ru-RU"/>
        </w:rPr>
        <w:t xml:space="preserve"> </w:t>
      </w:r>
      <w:r w:rsidR="00724F9A" w:rsidRPr="00724F9A">
        <w:rPr>
          <w:sz w:val="22"/>
          <w:lang w:val="ru-RU"/>
        </w:rPr>
        <w:t xml:space="preserve">Компания </w:t>
      </w:r>
      <w:r w:rsidR="00724F9A" w:rsidRPr="00724F9A">
        <w:rPr>
          <w:sz w:val="22"/>
        </w:rPr>
        <w:t>Google</w:t>
      </w:r>
      <w:r w:rsidR="00BE4A85">
        <w:rPr>
          <w:sz w:val="22"/>
          <w:lang w:val="ru-RU"/>
        </w:rPr>
        <w:t xml:space="preserve"> использовала</w:t>
      </w:r>
      <w:r w:rsidR="00724F9A" w:rsidRPr="00724F9A">
        <w:rPr>
          <w:sz w:val="22"/>
          <w:lang w:val="ru-RU"/>
        </w:rPr>
        <w:t xml:space="preserve"> машинное обучение при разработке облачного приложения </w:t>
      </w:r>
      <w:r w:rsidR="00724F9A" w:rsidRPr="00724F9A">
        <w:rPr>
          <w:sz w:val="22"/>
        </w:rPr>
        <w:t>Cloud</w:t>
      </w:r>
      <w:r w:rsidR="00724F9A" w:rsidRPr="00724F9A">
        <w:rPr>
          <w:sz w:val="22"/>
          <w:lang w:val="ru-RU"/>
        </w:rPr>
        <w:t xml:space="preserve"> </w:t>
      </w:r>
      <w:r w:rsidR="00724F9A" w:rsidRPr="00724F9A">
        <w:rPr>
          <w:sz w:val="22"/>
        </w:rPr>
        <w:t>Vision</w:t>
      </w:r>
      <w:r w:rsidR="00724F9A" w:rsidRPr="00724F9A">
        <w:rPr>
          <w:sz w:val="22"/>
          <w:lang w:val="ru-RU"/>
        </w:rPr>
        <w:t xml:space="preserve"> </w:t>
      </w:r>
      <w:r w:rsidR="00724F9A" w:rsidRPr="00724F9A">
        <w:rPr>
          <w:sz w:val="22"/>
        </w:rPr>
        <w:t>API</w:t>
      </w:r>
      <w:r w:rsidR="00724F9A" w:rsidRPr="00724F9A">
        <w:rPr>
          <w:sz w:val="22"/>
          <w:lang w:val="ru-RU"/>
        </w:rPr>
        <w:t>, в котором нейронная сеть классифицирует изображения и вычленяет текстовую информацию для удобства пользования людей с нарушениями зрения</w:t>
      </w:r>
      <w:r w:rsidR="00C4000D" w:rsidRPr="00724F9A">
        <w:rPr>
          <w:rStyle w:val="FootnoteReference"/>
          <w:sz w:val="22"/>
        </w:rPr>
        <w:footnoteReference w:id="13"/>
      </w:r>
      <w:r w:rsidR="00724F9A" w:rsidRPr="00724F9A">
        <w:rPr>
          <w:sz w:val="22"/>
          <w:lang w:val="ru-RU"/>
        </w:rPr>
        <w:t>.</w:t>
      </w:r>
      <w:r w:rsidR="00C4000D" w:rsidRPr="00724F9A">
        <w:rPr>
          <w:sz w:val="22"/>
          <w:lang w:val="ru-RU"/>
        </w:rPr>
        <w:t xml:space="preserve"> </w:t>
      </w:r>
    </w:p>
    <w:p w:rsidR="005D7E6E" w:rsidRPr="00BE4A85" w:rsidRDefault="005D7E6E" w:rsidP="00C4000D">
      <w:pPr>
        <w:pStyle w:val="WIPOBodyStyle"/>
        <w:rPr>
          <w:color w:val="000000"/>
          <w:sz w:val="22"/>
          <w:shd w:val="clear" w:color="auto" w:fill="FFFFFF"/>
          <w:lang w:val="ru-RU"/>
        </w:rPr>
      </w:pPr>
      <w:r w:rsidRPr="005D7E6E">
        <w:rPr>
          <w:color w:val="000000"/>
          <w:sz w:val="22"/>
          <w:shd w:val="clear" w:color="auto" w:fill="FFFFFF"/>
          <w:lang w:val="ru-RU"/>
        </w:rPr>
        <w:t xml:space="preserve">Уже используемые технологии машинного обучения, такие как </w:t>
      </w:r>
      <w:r>
        <w:rPr>
          <w:color w:val="000000"/>
          <w:sz w:val="22"/>
          <w:shd w:val="clear" w:color="auto" w:fill="FFFFFF"/>
        </w:rPr>
        <w:t>AmazonAlexa</w:t>
      </w:r>
      <w:r w:rsidRPr="005D7E6E">
        <w:rPr>
          <w:color w:val="000000"/>
          <w:sz w:val="22"/>
          <w:shd w:val="clear" w:color="auto" w:fill="FFFFFF"/>
          <w:lang w:val="ru-RU"/>
        </w:rPr>
        <w:t xml:space="preserve"> и</w:t>
      </w:r>
      <w:r w:rsidR="00BE4A85" w:rsidRPr="00BE4A85">
        <w:rPr>
          <w:color w:val="000000"/>
          <w:sz w:val="22"/>
          <w:shd w:val="clear" w:color="auto" w:fill="FFFFFF"/>
          <w:lang w:val="ru-RU"/>
        </w:rPr>
        <w:t xml:space="preserve"> </w:t>
      </w:r>
      <w:r w:rsidR="00BE4A85">
        <w:rPr>
          <w:color w:val="000000"/>
          <w:sz w:val="22"/>
          <w:shd w:val="clear" w:color="auto" w:fill="FFFFFF"/>
        </w:rPr>
        <w:t>Google</w:t>
      </w:r>
      <w:r w:rsidR="00BE4A85" w:rsidRPr="00BE4A85">
        <w:rPr>
          <w:color w:val="000000"/>
          <w:sz w:val="22"/>
          <w:shd w:val="clear" w:color="auto" w:fill="FFFFFF"/>
          <w:lang w:val="ru-RU"/>
        </w:rPr>
        <w:t xml:space="preserve"> </w:t>
      </w:r>
      <w:r>
        <w:rPr>
          <w:color w:val="000000"/>
          <w:sz w:val="22"/>
          <w:shd w:val="clear" w:color="auto" w:fill="FFFFFF"/>
        </w:rPr>
        <w:t>Home</w:t>
      </w:r>
      <w:r w:rsidRPr="005D7E6E">
        <w:rPr>
          <w:color w:val="000000"/>
          <w:sz w:val="22"/>
          <w:shd w:val="clear" w:color="auto" w:fill="FFFFFF"/>
          <w:lang w:val="ru-RU"/>
        </w:rPr>
        <w:t>, потенциально могут быть использованы для оказания помощи лицам с нарушениями речи</w:t>
      </w:r>
      <w:r>
        <w:rPr>
          <w:rStyle w:val="FootnoteReference"/>
          <w:sz w:val="22"/>
        </w:rPr>
        <w:footnoteReference w:id="14"/>
      </w:r>
      <w:r w:rsidRPr="005D7E6E">
        <w:rPr>
          <w:color w:val="000000"/>
          <w:sz w:val="22"/>
          <w:shd w:val="clear" w:color="auto" w:fill="FFFFFF"/>
          <w:lang w:val="ru-RU"/>
        </w:rPr>
        <w:t>.</w:t>
      </w:r>
      <w:r w:rsidR="00BE4A85" w:rsidRPr="00BE4A85">
        <w:rPr>
          <w:color w:val="000000"/>
          <w:sz w:val="22"/>
          <w:shd w:val="clear" w:color="auto" w:fill="FFFFFF"/>
          <w:lang w:val="ru-RU"/>
        </w:rPr>
        <w:t xml:space="preserve"> </w:t>
      </w:r>
      <w:r w:rsidRPr="005D7E6E">
        <w:rPr>
          <w:color w:val="000000"/>
          <w:sz w:val="22"/>
          <w:shd w:val="clear" w:color="auto" w:fill="FFFFFF"/>
          <w:lang w:val="ru-RU"/>
        </w:rPr>
        <w:t>Эти технологии, именуемые искусственными когнитивными стимуляторами, однажды могут стать частью сервиса «дистанционной сиделки», который будет способен вызвать врача или медсестру к больному в критическом состоянии</w:t>
      </w:r>
      <w:r>
        <w:rPr>
          <w:rStyle w:val="FootnoteReference"/>
          <w:sz w:val="22"/>
        </w:rPr>
        <w:footnoteReference w:id="15"/>
      </w:r>
      <w:r w:rsidRPr="005D7E6E">
        <w:rPr>
          <w:color w:val="000000"/>
          <w:sz w:val="22"/>
          <w:shd w:val="clear" w:color="auto" w:fill="FFFFFF"/>
          <w:lang w:val="ru-RU"/>
        </w:rPr>
        <w:t>.</w:t>
      </w:r>
    </w:p>
    <w:p w:rsidR="005A70C7" w:rsidRDefault="005A70C7" w:rsidP="005A70C7">
      <w:pPr>
        <w:pStyle w:val="m2682651216425847310gmail-wipobodystyle"/>
        <w:shd w:val="clear" w:color="auto" w:fill="FFFFFF"/>
        <w:spacing w:before="0" w:beforeAutospacing="0" w:after="80" w:afterAutospacing="0" w:line="280" w:lineRule="atLeast"/>
        <w:rPr>
          <w:rFonts w:ascii="Arial" w:hAnsi="Arial" w:cs="Arial"/>
          <w:color w:val="000000"/>
          <w:sz w:val="27"/>
          <w:szCs w:val="27"/>
        </w:rPr>
      </w:pPr>
      <w:r w:rsidRPr="005A70C7">
        <w:rPr>
          <w:rFonts w:ascii="Arial" w:hAnsi="Arial" w:cs="Arial"/>
          <w:color w:val="000000"/>
          <w:sz w:val="22"/>
          <w:szCs w:val="22"/>
        </w:rPr>
        <w:t xml:space="preserve">Технологии обеспечения доступности, </w:t>
      </w:r>
      <w:r w:rsidR="001556E0">
        <w:rPr>
          <w:rFonts w:ascii="Arial" w:hAnsi="Arial" w:cs="Arial"/>
          <w:color w:val="000000"/>
          <w:sz w:val="22"/>
          <w:szCs w:val="22"/>
        </w:rPr>
        <w:t xml:space="preserve">основанные на </w:t>
      </w:r>
      <w:r w:rsidRPr="005A70C7">
        <w:rPr>
          <w:rFonts w:ascii="Arial" w:hAnsi="Arial" w:cs="Arial"/>
          <w:color w:val="000000"/>
          <w:sz w:val="22"/>
          <w:szCs w:val="22"/>
        </w:rPr>
        <w:t>машинно</w:t>
      </w:r>
      <w:r w:rsidR="001556E0">
        <w:rPr>
          <w:rFonts w:ascii="Arial" w:hAnsi="Arial" w:cs="Arial"/>
          <w:color w:val="000000"/>
          <w:sz w:val="22"/>
          <w:szCs w:val="22"/>
        </w:rPr>
        <w:t>м обучении</w:t>
      </w:r>
      <w:r w:rsidRPr="005A70C7">
        <w:rPr>
          <w:rFonts w:ascii="Arial" w:hAnsi="Arial" w:cs="Arial"/>
          <w:color w:val="000000"/>
          <w:sz w:val="22"/>
          <w:szCs w:val="22"/>
        </w:rPr>
        <w:t>, могут помочь в решении проблемы неэ</w:t>
      </w:r>
      <w:r w:rsidR="001556E0">
        <w:rPr>
          <w:rFonts w:ascii="Arial" w:hAnsi="Arial" w:cs="Arial"/>
          <w:color w:val="000000"/>
          <w:sz w:val="22"/>
          <w:szCs w:val="22"/>
        </w:rPr>
        <w:t xml:space="preserve">ффективности переформатирования, ориентированного на </w:t>
      </w:r>
      <w:r w:rsidRPr="005A70C7">
        <w:rPr>
          <w:rFonts w:ascii="Arial" w:hAnsi="Arial" w:cs="Arial"/>
          <w:color w:val="000000"/>
          <w:sz w:val="22"/>
          <w:szCs w:val="22"/>
        </w:rPr>
        <w:t>индивидуальн</w:t>
      </w:r>
      <w:r w:rsidR="001556E0">
        <w:rPr>
          <w:rFonts w:ascii="Arial" w:hAnsi="Arial" w:cs="Arial"/>
          <w:color w:val="000000"/>
          <w:sz w:val="22"/>
          <w:szCs w:val="22"/>
        </w:rPr>
        <w:t xml:space="preserve">ые нужды, </w:t>
      </w:r>
      <w:r w:rsidRPr="005A70C7">
        <w:rPr>
          <w:rFonts w:ascii="Arial" w:hAnsi="Arial" w:cs="Arial"/>
          <w:color w:val="000000"/>
          <w:sz w:val="22"/>
          <w:szCs w:val="22"/>
        </w:rPr>
        <w:t>посредством автоматизации дорогостоящего процесса обеспечения доступности и переформатирования произведений в требуемом объеме.</w:t>
      </w:r>
      <w:r w:rsidR="001556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A70C7">
        <w:rPr>
          <w:rFonts w:ascii="Arial" w:hAnsi="Arial" w:cs="Arial"/>
          <w:color w:val="000000"/>
          <w:sz w:val="22"/>
          <w:szCs w:val="22"/>
        </w:rPr>
        <w:t>Таким образом</w:t>
      </w:r>
      <w:r w:rsidR="001556E0">
        <w:rPr>
          <w:rFonts w:ascii="Arial" w:hAnsi="Arial" w:cs="Arial"/>
          <w:color w:val="000000"/>
          <w:sz w:val="22"/>
          <w:szCs w:val="22"/>
        </w:rPr>
        <w:t>,</w:t>
      </w:r>
      <w:r w:rsidRPr="005A70C7">
        <w:rPr>
          <w:rFonts w:ascii="Arial" w:hAnsi="Arial" w:cs="Arial"/>
          <w:color w:val="000000"/>
          <w:sz w:val="22"/>
          <w:szCs w:val="22"/>
        </w:rPr>
        <w:t xml:space="preserve"> машинное обучение имеет важное значение как один из методов достижения цели обеспечения более широкого доступа к информации для лиц с ограниченными возможностями.</w:t>
      </w:r>
      <w:r w:rsidR="001556E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4000D" w:rsidRPr="00BB03A1" w:rsidRDefault="005A70C7" w:rsidP="00C4000D">
      <w:pPr>
        <w:pStyle w:val="Heading1"/>
        <w:rPr>
          <w:rFonts w:eastAsia="Arial"/>
          <w:szCs w:val="22"/>
          <w:lang w:val="ru-RU"/>
        </w:rPr>
      </w:pPr>
      <w:bookmarkStart w:id="25" w:name="_Toc3361678"/>
      <w:bookmarkStart w:id="26" w:name="_Toc2872893"/>
      <w:bookmarkStart w:id="27" w:name="_Toc2872245"/>
      <w:r w:rsidRPr="00BB03A1">
        <w:rPr>
          <w:rFonts w:eastAsia="Arial"/>
          <w:szCs w:val="22"/>
          <w:lang w:val="ru-RU"/>
        </w:rPr>
        <w:t xml:space="preserve">МЕТОДОЛОГИЯ </w:t>
      </w:r>
      <w:bookmarkEnd w:id="25"/>
      <w:bookmarkEnd w:id="26"/>
      <w:bookmarkEnd w:id="27"/>
    </w:p>
    <w:p w:rsidR="00C4000D" w:rsidRPr="00BB03A1" w:rsidRDefault="005A70C7" w:rsidP="00BE6729">
      <w:pPr>
        <w:pStyle w:val="WIPOBodyStyle"/>
        <w:rPr>
          <w:sz w:val="22"/>
          <w:lang w:val="ru-RU"/>
        </w:rPr>
      </w:pPr>
      <w:r w:rsidRPr="00BB03A1">
        <w:rPr>
          <w:sz w:val="22"/>
          <w:lang w:val="ru-RU"/>
        </w:rPr>
        <w:t xml:space="preserve">В </w:t>
      </w:r>
      <w:r w:rsidR="001556E0" w:rsidRPr="00BB03A1">
        <w:rPr>
          <w:sz w:val="22"/>
          <w:lang w:val="ru-RU"/>
        </w:rPr>
        <w:t xml:space="preserve">отличие от исследования </w:t>
      </w:r>
      <w:r w:rsidR="00265A9F" w:rsidRPr="00BB03A1">
        <w:rPr>
          <w:sz w:val="22"/>
          <w:lang w:val="ru-RU"/>
        </w:rPr>
        <w:t>ВОИС 2017 г</w:t>
      </w:r>
      <w:r w:rsidR="001556E0" w:rsidRPr="00BB03A1">
        <w:rPr>
          <w:sz w:val="22"/>
          <w:lang w:val="ru-RU"/>
        </w:rPr>
        <w:t xml:space="preserve">., в котором </w:t>
      </w:r>
      <w:r w:rsidR="00265A9F" w:rsidRPr="00BB03A1">
        <w:rPr>
          <w:sz w:val="22"/>
          <w:lang w:val="ru-RU"/>
        </w:rPr>
        <w:t xml:space="preserve">использовались вопросники, </w:t>
      </w:r>
      <w:r w:rsidR="00BE4A85">
        <w:rPr>
          <w:sz w:val="22"/>
          <w:lang w:val="ru-RU"/>
        </w:rPr>
        <w:t>рассыл</w:t>
      </w:r>
      <w:r w:rsidR="001556E0" w:rsidRPr="00BB03A1">
        <w:rPr>
          <w:sz w:val="22"/>
          <w:lang w:val="ru-RU"/>
        </w:rPr>
        <w:t xml:space="preserve">авшиеся для </w:t>
      </w:r>
      <w:r w:rsidR="00A30C71" w:rsidRPr="00BB03A1">
        <w:rPr>
          <w:sz w:val="22"/>
          <w:lang w:val="ru-RU"/>
        </w:rPr>
        <w:t>заполнения государствам</w:t>
      </w:r>
      <w:r w:rsidR="001556E0" w:rsidRPr="00BB03A1">
        <w:rPr>
          <w:sz w:val="22"/>
          <w:lang w:val="ru-RU"/>
        </w:rPr>
        <w:t>и</w:t>
      </w:r>
      <w:r w:rsidR="00A30C71" w:rsidRPr="00BB03A1">
        <w:rPr>
          <w:sz w:val="22"/>
          <w:lang w:val="ru-RU"/>
        </w:rPr>
        <w:t>-членам</w:t>
      </w:r>
      <w:r w:rsidR="001556E0" w:rsidRPr="00BB03A1">
        <w:rPr>
          <w:sz w:val="22"/>
          <w:lang w:val="ru-RU"/>
        </w:rPr>
        <w:t>и</w:t>
      </w:r>
      <w:r w:rsidR="00A30C71" w:rsidRPr="00BB03A1">
        <w:rPr>
          <w:sz w:val="22"/>
          <w:lang w:val="ru-RU"/>
        </w:rPr>
        <w:t xml:space="preserve">, авторы </w:t>
      </w:r>
      <w:r w:rsidR="001556E0" w:rsidRPr="00BB03A1">
        <w:rPr>
          <w:sz w:val="22"/>
          <w:lang w:val="ru-RU"/>
        </w:rPr>
        <w:t xml:space="preserve">данного исследования </w:t>
      </w:r>
      <w:r w:rsidR="00A30C71" w:rsidRPr="00BB03A1">
        <w:rPr>
          <w:sz w:val="22"/>
          <w:lang w:val="ru-RU"/>
        </w:rPr>
        <w:t>провели независим</w:t>
      </w:r>
      <w:r w:rsidR="001556E0" w:rsidRPr="00BB03A1">
        <w:rPr>
          <w:sz w:val="22"/>
          <w:lang w:val="ru-RU"/>
        </w:rPr>
        <w:t xml:space="preserve">ый анализ </w:t>
      </w:r>
      <w:r w:rsidR="00A30C71" w:rsidRPr="00BB03A1">
        <w:rPr>
          <w:sz w:val="22"/>
          <w:lang w:val="ru-RU"/>
        </w:rPr>
        <w:t>режимов авторског</w:t>
      </w:r>
      <w:r w:rsidR="001556E0" w:rsidRPr="00BB03A1">
        <w:rPr>
          <w:sz w:val="22"/>
          <w:lang w:val="ru-RU"/>
        </w:rPr>
        <w:t>о права государств-членов ВОИС, дополнив ранее полученные результаты изучением конкретных вопросов, касавшихся положений о доступе инвалидов в рамках режимов охраны авторского права</w:t>
      </w:r>
      <w:r w:rsidR="00BE4A85">
        <w:rPr>
          <w:sz w:val="22"/>
          <w:lang w:val="ru-RU"/>
        </w:rPr>
        <w:t>.</w:t>
      </w:r>
    </w:p>
    <w:p w:rsidR="00C4000D" w:rsidRPr="00BB03A1" w:rsidRDefault="00BE6729" w:rsidP="00C4000D">
      <w:pPr>
        <w:pStyle w:val="WIPOBodyStyle"/>
        <w:rPr>
          <w:sz w:val="22"/>
          <w:lang w:val="ru-RU"/>
        </w:rPr>
      </w:pPr>
      <w:r w:rsidRPr="00BB03A1">
        <w:rPr>
          <w:sz w:val="22"/>
          <w:lang w:val="ru-RU"/>
        </w:rPr>
        <w:t xml:space="preserve">В исследовании были использованы как данные, полученные путем рассылки вопросников в 2017 г., так и результаты независимого анализа, проведенного аспирантами Университета Кейптауна и студентами-практикантами Юридической клиники Самуэльсона-Глушко </w:t>
      </w:r>
      <w:r w:rsidR="000C025F" w:rsidRPr="00BB03A1">
        <w:rPr>
          <w:sz w:val="22"/>
          <w:lang w:val="ru-RU"/>
        </w:rPr>
        <w:t xml:space="preserve">в области технологии и политики </w:t>
      </w:r>
      <w:r w:rsidRPr="00BB03A1">
        <w:rPr>
          <w:sz w:val="22"/>
          <w:lang w:val="ru-RU"/>
        </w:rPr>
        <w:t xml:space="preserve">при Университете </w:t>
      </w:r>
      <w:r w:rsidRPr="00BB03A1">
        <w:rPr>
          <w:sz w:val="22"/>
          <w:lang w:val="ru-RU"/>
        </w:rPr>
        <w:lastRenderedPageBreak/>
        <w:t xml:space="preserve">Колорадо. </w:t>
      </w:r>
      <w:r w:rsidR="000C025F" w:rsidRPr="00BB03A1">
        <w:rPr>
          <w:sz w:val="22"/>
          <w:lang w:val="ru-RU"/>
        </w:rPr>
        <w:t>В совокупности авторы исследования проанализировали законы в области авторского права всех государств-членов ВОИС и положения этих законов о предоставлении лицам с ограниченными возможностями доступа к произведениям, охраняемым авторским правом</w:t>
      </w:r>
      <w:r w:rsidR="00C4000D" w:rsidRPr="00BB03A1">
        <w:rPr>
          <w:sz w:val="22"/>
          <w:lang w:val="ru-RU"/>
        </w:rPr>
        <w:t>.</w:t>
      </w:r>
    </w:p>
    <w:p w:rsidR="00C4000D" w:rsidRPr="00BB03A1" w:rsidRDefault="000C025F" w:rsidP="00C4000D">
      <w:pPr>
        <w:pStyle w:val="Heading1"/>
        <w:rPr>
          <w:rFonts w:eastAsia="Arial"/>
          <w:szCs w:val="22"/>
          <w:lang w:val="ru-RU"/>
        </w:rPr>
      </w:pPr>
      <w:bookmarkStart w:id="28" w:name="_sg8c27ed2ot5"/>
      <w:bookmarkEnd w:id="28"/>
      <w:r w:rsidRPr="00BB03A1">
        <w:rPr>
          <w:rFonts w:eastAsia="Arial"/>
          <w:szCs w:val="22"/>
          <w:lang w:val="ru-RU"/>
        </w:rPr>
        <w:t>АНАЛИЗ</w:t>
      </w:r>
    </w:p>
    <w:p w:rsidR="00C4000D" w:rsidRPr="00BB03A1" w:rsidRDefault="000C025F" w:rsidP="00704C9D">
      <w:pPr>
        <w:pStyle w:val="WIPOBodyStyle"/>
        <w:rPr>
          <w:sz w:val="22"/>
          <w:lang w:val="ru-RU"/>
        </w:rPr>
      </w:pPr>
      <w:r w:rsidRPr="00BB03A1">
        <w:rPr>
          <w:sz w:val="22"/>
          <w:lang w:val="ru-RU"/>
        </w:rPr>
        <w:t>Исследование выходит за рамки Марракешского договора в том плане, что в нем рассматриваются иные ограниченные возможности, кроме ограниченных способностей воспринимать печатную информацию, а также иные виды произведений, кроме литературных произведений и произведений изобразительного искусства, имеющих форму текста или иллюстраций. При этом было важно сразу отметить, что содержащееся в Марракешско</w:t>
      </w:r>
      <w:r w:rsidR="00704C9D" w:rsidRPr="00BB03A1">
        <w:rPr>
          <w:sz w:val="22"/>
          <w:lang w:val="ru-RU"/>
        </w:rPr>
        <w:t>м</w:t>
      </w:r>
      <w:r w:rsidRPr="00BB03A1">
        <w:rPr>
          <w:sz w:val="22"/>
          <w:lang w:val="ru-RU"/>
        </w:rPr>
        <w:t xml:space="preserve"> договор</w:t>
      </w:r>
      <w:r w:rsidR="00704C9D" w:rsidRPr="00BB03A1">
        <w:rPr>
          <w:sz w:val="22"/>
          <w:lang w:val="ru-RU"/>
        </w:rPr>
        <w:t>е о ЛНЗ определение ограниченных способностей воспринимать печатную информацию включает ограничения зрения, а также в определенной степени охватывает ограниченные когнитивные/ интеллектуальные способности и нарушения опорно-двигательного аппарата</w:t>
      </w:r>
      <w:r w:rsidR="00C4000D" w:rsidRPr="00BB03A1">
        <w:rPr>
          <w:sz w:val="22"/>
          <w:lang w:val="ru-RU"/>
        </w:rPr>
        <w:t>.</w:t>
      </w:r>
    </w:p>
    <w:p w:rsidR="00C4000D" w:rsidRPr="00BB03A1" w:rsidRDefault="00704C9D" w:rsidP="00C4000D">
      <w:pPr>
        <w:pStyle w:val="Heading2"/>
        <w:rPr>
          <w:rFonts w:eastAsia="Arial"/>
          <w:szCs w:val="22"/>
          <w:lang w:val="ru-RU"/>
        </w:rPr>
      </w:pPr>
      <w:bookmarkStart w:id="29" w:name="_3sgt2jfyu1sj"/>
      <w:bookmarkEnd w:id="29"/>
      <w:r w:rsidRPr="00BB03A1">
        <w:rPr>
          <w:rFonts w:eastAsia="Arial"/>
          <w:szCs w:val="22"/>
          <w:lang w:val="ru-RU"/>
        </w:rPr>
        <w:t>РЕЗУЛЬТАТЫ</w:t>
      </w:r>
    </w:p>
    <w:p w:rsidR="00C4000D" w:rsidRPr="00BB03A1" w:rsidRDefault="00704C9D" w:rsidP="008F4F6C">
      <w:pPr>
        <w:pStyle w:val="WIPOBodyStyle"/>
        <w:rPr>
          <w:sz w:val="22"/>
          <w:lang w:val="ru-RU"/>
        </w:rPr>
      </w:pPr>
      <w:r w:rsidRPr="00BB03A1">
        <w:rPr>
          <w:sz w:val="22"/>
          <w:lang w:val="ru-RU"/>
        </w:rPr>
        <w:t>В исследовании делается вывод о том, что существует две основны</w:t>
      </w:r>
      <w:r w:rsidR="008F4F6C" w:rsidRPr="00BB03A1">
        <w:rPr>
          <w:sz w:val="22"/>
          <w:lang w:val="ru-RU"/>
        </w:rPr>
        <w:t>е</w:t>
      </w:r>
      <w:r w:rsidRPr="00BB03A1">
        <w:rPr>
          <w:sz w:val="22"/>
          <w:lang w:val="ru-RU"/>
        </w:rPr>
        <w:t xml:space="preserve"> категории применимых исключений и ограничений, а именно адресные и общие положения. Эти положения могут использоваться </w:t>
      </w:r>
      <w:r w:rsidR="008F4F6C" w:rsidRPr="00BB03A1">
        <w:rPr>
          <w:sz w:val="22"/>
          <w:lang w:val="ru-RU"/>
        </w:rPr>
        <w:t xml:space="preserve">в рамках </w:t>
      </w:r>
      <w:r w:rsidR="00552AF1" w:rsidRPr="00BB03A1">
        <w:rPr>
          <w:sz w:val="22"/>
          <w:lang w:val="ru-RU"/>
        </w:rPr>
        <w:t xml:space="preserve">единого или </w:t>
      </w:r>
      <w:r w:rsidR="008F4F6C" w:rsidRPr="00BB03A1">
        <w:rPr>
          <w:sz w:val="22"/>
          <w:lang w:val="ru-RU"/>
        </w:rPr>
        <w:t xml:space="preserve">смешанного </w:t>
      </w:r>
      <w:r w:rsidRPr="00BB03A1">
        <w:rPr>
          <w:sz w:val="22"/>
          <w:lang w:val="ru-RU"/>
        </w:rPr>
        <w:t>по</w:t>
      </w:r>
      <w:r w:rsidR="008F4F6C" w:rsidRPr="00BB03A1">
        <w:rPr>
          <w:sz w:val="22"/>
          <w:lang w:val="ru-RU"/>
        </w:rPr>
        <w:t xml:space="preserve">дхода. При </w:t>
      </w:r>
      <w:r w:rsidR="00552AF1" w:rsidRPr="00BB03A1">
        <w:rPr>
          <w:sz w:val="22"/>
          <w:lang w:val="ru-RU"/>
        </w:rPr>
        <w:t>едином</w:t>
      </w:r>
      <w:r w:rsidR="008F4F6C" w:rsidRPr="00BB03A1">
        <w:rPr>
          <w:sz w:val="22"/>
          <w:lang w:val="ru-RU"/>
        </w:rPr>
        <w:t xml:space="preserve"> подходе используются только о</w:t>
      </w:r>
      <w:r w:rsidRPr="00BB03A1">
        <w:rPr>
          <w:sz w:val="22"/>
          <w:lang w:val="ru-RU"/>
        </w:rPr>
        <w:t>бщие</w:t>
      </w:r>
      <w:r w:rsidR="008F4F6C" w:rsidRPr="00BB03A1">
        <w:rPr>
          <w:sz w:val="22"/>
          <w:lang w:val="ru-RU"/>
        </w:rPr>
        <w:t xml:space="preserve"> или </w:t>
      </w:r>
      <w:r w:rsidRPr="00BB03A1">
        <w:rPr>
          <w:sz w:val="22"/>
          <w:lang w:val="ru-RU"/>
        </w:rPr>
        <w:t>адресные положения</w:t>
      </w:r>
      <w:r w:rsidR="008F4F6C" w:rsidRPr="00BB03A1">
        <w:rPr>
          <w:sz w:val="22"/>
          <w:lang w:val="ru-RU"/>
        </w:rPr>
        <w:t>. При смешанном подходе законодательство по авторскому праву содержит оба вида положений</w:t>
      </w:r>
      <w:r w:rsidR="00C4000D" w:rsidRPr="00BB03A1">
        <w:rPr>
          <w:sz w:val="22"/>
          <w:lang w:val="ru-RU"/>
        </w:rPr>
        <w:t xml:space="preserve">. </w:t>
      </w:r>
    </w:p>
    <w:p w:rsidR="00C4000D" w:rsidRPr="00BB03A1" w:rsidRDefault="008F4F6C" w:rsidP="00D3565F">
      <w:pPr>
        <w:pStyle w:val="WIPOBodyStyle"/>
        <w:rPr>
          <w:sz w:val="22"/>
          <w:lang w:val="ru-RU"/>
        </w:rPr>
      </w:pPr>
      <w:r w:rsidRPr="00BB03A1">
        <w:rPr>
          <w:sz w:val="22"/>
          <w:lang w:val="ru-RU"/>
        </w:rPr>
        <w:t xml:space="preserve">В законодательстве государств-членов с адресными положениями прописаны соответствующие виды ограниченных возможностей (нарушения слуха и зрения, когнитивные и физические недостатки). Затем в этих законодательных актах определяется, кто может изготавливать экземпляры произведений в доступных форматах, какого рода произведения и права подпадают под исключения и какие условия при этом должны быть выполнены. Некоторые страны также </w:t>
      </w:r>
      <w:r w:rsidR="00B9369D" w:rsidRPr="00BB03A1">
        <w:rPr>
          <w:sz w:val="22"/>
          <w:lang w:val="ru-RU"/>
        </w:rPr>
        <w:t xml:space="preserve">имеют </w:t>
      </w:r>
      <w:r w:rsidRPr="00BB03A1">
        <w:rPr>
          <w:sz w:val="22"/>
          <w:lang w:val="ru-RU"/>
        </w:rPr>
        <w:t>положения, касающиеся импорта/экспорта</w:t>
      </w:r>
      <w:r w:rsidR="00B9369D" w:rsidRPr="00BB03A1">
        <w:rPr>
          <w:sz w:val="22"/>
          <w:lang w:val="ru-RU"/>
        </w:rPr>
        <w:t xml:space="preserve"> или </w:t>
      </w:r>
      <w:r w:rsidR="00D3565F" w:rsidRPr="00BB03A1">
        <w:rPr>
          <w:sz w:val="22"/>
          <w:lang w:val="ru-RU"/>
        </w:rPr>
        <w:t>действий в обход закона</w:t>
      </w:r>
      <w:r w:rsidR="00B9369D" w:rsidRPr="00BB03A1">
        <w:rPr>
          <w:sz w:val="22"/>
          <w:lang w:val="ru-RU"/>
        </w:rPr>
        <w:t>, которые</w:t>
      </w:r>
      <w:r w:rsidR="00D3565F" w:rsidRPr="00BB03A1">
        <w:rPr>
          <w:sz w:val="22"/>
          <w:lang w:val="ru-RU"/>
        </w:rPr>
        <w:t>, в свою очередь,</w:t>
      </w:r>
      <w:r w:rsidR="00B9369D" w:rsidRPr="00BB03A1">
        <w:rPr>
          <w:sz w:val="22"/>
          <w:lang w:val="ru-RU"/>
        </w:rPr>
        <w:t xml:space="preserve"> позволяют юристам отстаивать </w:t>
      </w:r>
      <w:r w:rsidR="00D3565F" w:rsidRPr="00BB03A1">
        <w:rPr>
          <w:sz w:val="22"/>
          <w:lang w:val="ru-RU"/>
        </w:rPr>
        <w:t xml:space="preserve">ту </w:t>
      </w:r>
      <w:r w:rsidR="00B9369D" w:rsidRPr="00BB03A1">
        <w:rPr>
          <w:sz w:val="22"/>
          <w:lang w:val="ru-RU"/>
        </w:rPr>
        <w:t xml:space="preserve">позицию, что </w:t>
      </w:r>
      <w:r w:rsidR="00D3565F" w:rsidRPr="00BB03A1">
        <w:rPr>
          <w:sz w:val="22"/>
          <w:lang w:val="ru-RU"/>
        </w:rPr>
        <w:t xml:space="preserve">действия в обход закона </w:t>
      </w:r>
      <w:r w:rsidR="00B9369D" w:rsidRPr="00BB03A1">
        <w:rPr>
          <w:sz w:val="22"/>
          <w:lang w:val="ru-RU"/>
        </w:rPr>
        <w:t>был</w:t>
      </w:r>
      <w:r w:rsidR="00D3565F" w:rsidRPr="00BB03A1">
        <w:rPr>
          <w:sz w:val="22"/>
          <w:lang w:val="ru-RU"/>
        </w:rPr>
        <w:t>и</w:t>
      </w:r>
      <w:r w:rsidR="00B9369D" w:rsidRPr="00BB03A1">
        <w:rPr>
          <w:sz w:val="22"/>
          <w:lang w:val="ru-RU"/>
        </w:rPr>
        <w:t xml:space="preserve"> совершен</w:t>
      </w:r>
      <w:r w:rsidR="00D3565F" w:rsidRPr="00BB03A1">
        <w:rPr>
          <w:sz w:val="22"/>
          <w:lang w:val="ru-RU"/>
        </w:rPr>
        <w:t xml:space="preserve">ы </w:t>
      </w:r>
      <w:r w:rsidR="00B9369D" w:rsidRPr="00BB03A1">
        <w:rPr>
          <w:sz w:val="22"/>
          <w:lang w:val="ru-RU"/>
        </w:rPr>
        <w:t xml:space="preserve">с целью облегчения изготовления экземпляров в доступных форматах в соответствии с исключениями, предусмотренными в законодательстве об авторском праве (исключениями для лиц с ограниченными возможностями). </w:t>
      </w:r>
      <w:r w:rsidR="00D3565F" w:rsidRPr="00BB03A1">
        <w:rPr>
          <w:sz w:val="22"/>
          <w:lang w:val="ru-RU"/>
        </w:rPr>
        <w:t>Однако, е</w:t>
      </w:r>
      <w:r w:rsidR="00B9369D" w:rsidRPr="00BB03A1">
        <w:rPr>
          <w:sz w:val="22"/>
          <w:lang w:val="ru-RU"/>
        </w:rPr>
        <w:t xml:space="preserve">сли </w:t>
      </w:r>
      <w:r w:rsidR="00D3565F" w:rsidRPr="00BB03A1">
        <w:rPr>
          <w:sz w:val="22"/>
          <w:lang w:val="ru-RU"/>
        </w:rPr>
        <w:t>они не предусмотрены законодательством</w:t>
      </w:r>
      <w:r w:rsidR="00B9369D" w:rsidRPr="00BB03A1">
        <w:rPr>
          <w:sz w:val="22"/>
          <w:lang w:val="ru-RU"/>
        </w:rPr>
        <w:t xml:space="preserve">, </w:t>
      </w:r>
      <w:r w:rsidR="00D3565F" w:rsidRPr="00BB03A1">
        <w:rPr>
          <w:sz w:val="22"/>
          <w:lang w:val="ru-RU"/>
        </w:rPr>
        <w:t>положения, призванные воспрепятствовать действиям в обход закона, могут затруднять изготовление экземпляров в доступных форматах. Общие положения напрямую не затрагивают вопроса об ограниченных возможностях, но в них используются столь общие формулировки, что они также охватывают производство и распространение экземпляров в доступных форматах на благо лиц с ограниченными возможностями</w:t>
      </w:r>
      <w:r w:rsidR="00C4000D" w:rsidRPr="00BB03A1">
        <w:rPr>
          <w:sz w:val="22"/>
          <w:lang w:val="ru-RU"/>
        </w:rPr>
        <w:t>.</w:t>
      </w:r>
    </w:p>
    <w:p w:rsidR="00C4000D" w:rsidRPr="00BB03A1" w:rsidRDefault="00552AF1" w:rsidP="00C4000D">
      <w:pPr>
        <w:pStyle w:val="Heading3"/>
        <w:rPr>
          <w:rFonts w:eastAsia="Arial"/>
          <w:szCs w:val="22"/>
          <w:lang w:val="ru-RU"/>
        </w:rPr>
      </w:pPr>
      <w:bookmarkStart w:id="30" w:name="_Toc3361683"/>
      <w:bookmarkStart w:id="31" w:name="_Toc2872898"/>
      <w:bookmarkStart w:id="32" w:name="_Toc2872250"/>
      <w:r w:rsidRPr="00BB03A1">
        <w:rPr>
          <w:rFonts w:eastAsia="Arial"/>
          <w:szCs w:val="22"/>
          <w:lang w:val="ru-RU"/>
        </w:rPr>
        <w:t>Единый</w:t>
      </w:r>
      <w:r w:rsidR="00D3565F" w:rsidRPr="00BB03A1">
        <w:rPr>
          <w:rFonts w:eastAsia="Arial"/>
          <w:szCs w:val="22"/>
          <w:lang w:val="ru-RU"/>
        </w:rPr>
        <w:t xml:space="preserve"> или смешанный подход </w:t>
      </w:r>
      <w:bookmarkEnd w:id="30"/>
      <w:bookmarkEnd w:id="31"/>
      <w:bookmarkEnd w:id="32"/>
    </w:p>
    <w:p w:rsidR="00C4000D" w:rsidRPr="00BB03A1" w:rsidRDefault="00D3565F" w:rsidP="00BC220B">
      <w:pPr>
        <w:pStyle w:val="WIPOBodyStyle"/>
        <w:rPr>
          <w:sz w:val="22"/>
          <w:lang w:val="ru-RU"/>
        </w:rPr>
      </w:pPr>
      <w:r w:rsidRPr="00BB03A1">
        <w:rPr>
          <w:sz w:val="22"/>
          <w:lang w:val="ru-RU"/>
        </w:rPr>
        <w:t xml:space="preserve">В некоторых странах ВОИС применяется только какой-либо один подход, а законодательство по авторскому праву содержит </w:t>
      </w:r>
      <w:r w:rsidR="00552AF1" w:rsidRPr="00BB03A1">
        <w:rPr>
          <w:sz w:val="22"/>
          <w:lang w:val="ru-RU"/>
        </w:rPr>
        <w:t>только общее или адресное положение. Примерами стран, принявшими единый подход, служат Австралия и Армения. В законе Австралии об авторском праве</w:t>
      </w:r>
      <w:r w:rsidR="00552AF1" w:rsidRPr="00BB03A1">
        <w:rPr>
          <w:rStyle w:val="FootnoteReference"/>
          <w:sz w:val="22"/>
          <w:lang w:val="ru-RU"/>
        </w:rPr>
        <w:footnoteReference w:id="16"/>
      </w:r>
      <w:r w:rsidR="00552AF1" w:rsidRPr="00BB03A1">
        <w:rPr>
          <w:sz w:val="22"/>
          <w:lang w:val="ru-RU"/>
        </w:rPr>
        <w:t xml:space="preserve"> s113E обеспечение доступа лицам </w:t>
      </w:r>
      <w:r w:rsidR="00552AF1" w:rsidRPr="00BB03A1">
        <w:rPr>
          <w:sz w:val="22"/>
          <w:lang w:val="ru-RU"/>
        </w:rPr>
        <w:lastRenderedPageBreak/>
        <w:t>с ограниченными возможностями признается честной делов</w:t>
      </w:r>
      <w:r w:rsidR="008C2F64">
        <w:rPr>
          <w:sz w:val="22"/>
          <w:lang w:val="ru-RU"/>
        </w:rPr>
        <w:t>ой практикой, а статья 22 закона</w:t>
      </w:r>
      <w:r w:rsidR="00552AF1" w:rsidRPr="00BB03A1">
        <w:rPr>
          <w:sz w:val="22"/>
          <w:lang w:val="ru-RU"/>
        </w:rPr>
        <w:t xml:space="preserve"> об авторском праве Армении</w:t>
      </w:r>
      <w:r w:rsidR="00552AF1" w:rsidRPr="00BB03A1">
        <w:rPr>
          <w:rStyle w:val="FootnoteReference"/>
          <w:sz w:val="22"/>
          <w:lang w:val="ru-RU"/>
        </w:rPr>
        <w:footnoteReference w:id="17"/>
      </w:r>
      <w:r w:rsidR="00552AF1" w:rsidRPr="00BB03A1">
        <w:rPr>
          <w:sz w:val="22"/>
          <w:lang w:val="ru-RU"/>
        </w:rPr>
        <w:t xml:space="preserve"> допускает некоммерческое изготовление произведений в системе Брайля </w:t>
      </w:r>
      <w:r w:rsidR="00BC220B" w:rsidRPr="00BB03A1">
        <w:rPr>
          <w:sz w:val="22"/>
          <w:lang w:val="ru-RU"/>
        </w:rPr>
        <w:t>или печать другими шрифтами для слепых</w:t>
      </w:r>
      <w:r w:rsidR="00C4000D" w:rsidRPr="00BB03A1">
        <w:rPr>
          <w:sz w:val="22"/>
          <w:lang w:val="ru-RU"/>
        </w:rPr>
        <w:t>.</w:t>
      </w:r>
      <w:r w:rsidR="00BC220B" w:rsidRPr="00BB03A1">
        <w:rPr>
          <w:sz w:val="22"/>
          <w:lang w:val="ru-RU"/>
        </w:rPr>
        <w:t xml:space="preserve"> </w:t>
      </w:r>
    </w:p>
    <w:p w:rsidR="00C4000D" w:rsidRPr="00BB03A1" w:rsidRDefault="00BF1F17" w:rsidP="007C3364">
      <w:pPr>
        <w:pStyle w:val="WIPOBodyStyle"/>
        <w:rPr>
          <w:sz w:val="22"/>
          <w:lang w:val="ru-RU"/>
        </w:rPr>
      </w:pPr>
      <w:r w:rsidRPr="00BB03A1">
        <w:rPr>
          <w:sz w:val="22"/>
          <w:lang w:val="ru-RU"/>
        </w:rPr>
        <w:t>Другими государствами-членами ВОИС принят смешанный подход, в рамках которого используются как адресные, так и общие положения. Ярким примером могут служить США: принятая в законе об авторском праве доктрина добросовестного использования</w:t>
      </w:r>
      <w:r w:rsidR="007C3364" w:rsidRPr="00BB03A1">
        <w:rPr>
          <w:rStyle w:val="FootnoteReference"/>
          <w:sz w:val="22"/>
          <w:lang w:val="ru-RU"/>
        </w:rPr>
        <w:footnoteReference w:id="18"/>
      </w:r>
      <w:r w:rsidR="007C3364" w:rsidRPr="00BB03A1">
        <w:rPr>
          <w:sz w:val="22"/>
          <w:lang w:val="ru-RU"/>
        </w:rPr>
        <w:t xml:space="preserve"> - порождение первой поправки к конституции Соединенных Штатов</w:t>
      </w:r>
      <w:r w:rsidR="007C3364" w:rsidRPr="00BB03A1">
        <w:rPr>
          <w:rStyle w:val="FootnoteReference"/>
          <w:sz w:val="22"/>
          <w:lang w:val="ru-RU"/>
        </w:rPr>
        <w:footnoteReference w:id="19"/>
      </w:r>
      <w:r w:rsidR="007C3364" w:rsidRPr="00BB03A1">
        <w:rPr>
          <w:sz w:val="22"/>
          <w:lang w:val="ru-RU"/>
        </w:rPr>
        <w:t xml:space="preserve"> - является настолько широкой, что допускает изготовление экземпляров в доступных форматах</w:t>
      </w:r>
      <w:r w:rsidR="007C3364" w:rsidRPr="00BB03A1">
        <w:rPr>
          <w:rStyle w:val="FootnoteReference"/>
          <w:sz w:val="22"/>
          <w:lang w:val="ru-RU"/>
        </w:rPr>
        <w:footnoteReference w:id="20"/>
      </w:r>
      <w:r w:rsidR="007C3364" w:rsidRPr="00BB03A1">
        <w:rPr>
          <w:sz w:val="22"/>
          <w:lang w:val="ru-RU"/>
        </w:rPr>
        <w:t>, а разделы 121 и 121A закона об авторском праве</w:t>
      </w:r>
      <w:r w:rsidR="007C3364" w:rsidRPr="00BB03A1">
        <w:rPr>
          <w:rStyle w:val="FootnoteReference"/>
          <w:sz w:val="22"/>
          <w:lang w:val="ru-RU"/>
        </w:rPr>
        <w:footnoteReference w:id="21"/>
      </w:r>
      <w:r w:rsidR="007C3364" w:rsidRPr="00BB03A1">
        <w:rPr>
          <w:sz w:val="22"/>
          <w:lang w:val="ru-RU"/>
        </w:rPr>
        <w:t>, введенные поправкой Чафи</w:t>
      </w:r>
      <w:r w:rsidR="007C3364" w:rsidRPr="00BB03A1">
        <w:rPr>
          <w:rStyle w:val="FootnoteReference"/>
          <w:sz w:val="22"/>
          <w:lang w:val="ru-RU"/>
        </w:rPr>
        <w:footnoteReference w:id="22"/>
      </w:r>
      <w:r w:rsidR="007C3364" w:rsidRPr="00BB03A1">
        <w:rPr>
          <w:sz w:val="22"/>
          <w:lang w:val="ru-RU"/>
        </w:rPr>
        <w:t xml:space="preserve"> и актуализированные после принятия Марракешского договора</w:t>
      </w:r>
      <w:r w:rsidR="007C3364" w:rsidRPr="00BB03A1">
        <w:rPr>
          <w:rStyle w:val="FootnoteReference"/>
          <w:sz w:val="22"/>
          <w:lang w:val="ru-RU"/>
        </w:rPr>
        <w:footnoteReference w:id="23"/>
      </w:r>
      <w:r w:rsidR="007C3364" w:rsidRPr="00BB03A1">
        <w:rPr>
          <w:sz w:val="22"/>
          <w:lang w:val="ru-RU"/>
        </w:rPr>
        <w:t xml:space="preserve">, содержат исключение для воспроизведения на благо слепых и </w:t>
      </w:r>
      <w:r w:rsidR="00BB03A1" w:rsidRPr="00BB03A1">
        <w:rPr>
          <w:sz w:val="22"/>
          <w:lang w:val="ru-RU"/>
        </w:rPr>
        <w:t>лиц</w:t>
      </w:r>
      <w:r w:rsidR="007C3364" w:rsidRPr="00BB03A1">
        <w:rPr>
          <w:sz w:val="22"/>
          <w:lang w:val="ru-RU"/>
        </w:rPr>
        <w:t xml:space="preserve"> с </w:t>
      </w:r>
      <w:r w:rsidR="00BB03A1" w:rsidRPr="00BB03A1">
        <w:rPr>
          <w:sz w:val="22"/>
          <w:lang w:val="ru-RU"/>
        </w:rPr>
        <w:t>другими</w:t>
      </w:r>
      <w:r w:rsidR="007C3364" w:rsidRPr="00BB03A1">
        <w:rPr>
          <w:sz w:val="22"/>
          <w:lang w:val="ru-RU"/>
        </w:rPr>
        <w:t xml:space="preserve"> ограниченными возможностями. Примером еще одной страны, в которой принят смешанный подход, служит Израиль</w:t>
      </w:r>
      <w:r w:rsidR="007C3364" w:rsidRPr="00BB03A1">
        <w:rPr>
          <w:rStyle w:val="FootnoteReference"/>
          <w:sz w:val="22"/>
          <w:lang w:val="ru-RU"/>
        </w:rPr>
        <w:footnoteReference w:id="24"/>
      </w:r>
      <w:r w:rsidR="007C3364" w:rsidRPr="00BB03A1">
        <w:rPr>
          <w:sz w:val="22"/>
          <w:lang w:val="ru-RU"/>
        </w:rPr>
        <w:t>. Раздел 19 закона об авторском праве содержит положение о добросовестном использовании, а разделы 28A-28E представляют собой адресные положения, которые рассматриваются в следующем разделе</w:t>
      </w:r>
      <w:r w:rsidR="00C4000D" w:rsidRPr="00BB03A1">
        <w:rPr>
          <w:sz w:val="22"/>
          <w:lang w:val="ru-RU"/>
        </w:rPr>
        <w:t xml:space="preserve">. </w:t>
      </w:r>
    </w:p>
    <w:p w:rsidR="008C2F64" w:rsidRDefault="008C2F64" w:rsidP="008C2F64">
      <w:pPr>
        <w:pStyle w:val="Heading3"/>
        <w:rPr>
          <w:rFonts w:eastAsia="Arial"/>
          <w:szCs w:val="22"/>
          <w:lang w:val="ru-RU"/>
        </w:rPr>
      </w:pPr>
      <w:r>
        <w:rPr>
          <w:rFonts w:eastAsia="Arial"/>
          <w:szCs w:val="22"/>
          <w:lang w:val="ru-RU"/>
        </w:rPr>
        <w:t xml:space="preserve">Адресные положения </w:t>
      </w:r>
    </w:p>
    <w:p w:rsidR="008C2F64" w:rsidRDefault="008C2F64" w:rsidP="008C2F64">
      <w:pPr>
        <w:pStyle w:val="WIPOBodyStyle"/>
        <w:rPr>
          <w:sz w:val="22"/>
          <w:lang w:val="ru-RU"/>
        </w:rPr>
      </w:pPr>
    </w:p>
    <w:p w:rsidR="008C2F64" w:rsidRDefault="008C2F64" w:rsidP="008C2F64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 xml:space="preserve">Существует две категории адресных положений. Положения первой категории предусматривают исключения для изготовления </w:t>
      </w:r>
      <w:r w:rsidRPr="00BB03A1">
        <w:rPr>
          <w:sz w:val="22"/>
          <w:lang w:val="ru-RU"/>
        </w:rPr>
        <w:t xml:space="preserve">экземпляров </w:t>
      </w:r>
      <w:r>
        <w:rPr>
          <w:sz w:val="22"/>
          <w:lang w:val="ru-RU"/>
        </w:rPr>
        <w:t xml:space="preserve">произведений </w:t>
      </w:r>
      <w:r w:rsidRPr="00BB03A1">
        <w:rPr>
          <w:sz w:val="22"/>
          <w:lang w:val="ru-RU"/>
        </w:rPr>
        <w:t xml:space="preserve">в доступных </w:t>
      </w:r>
      <w:r>
        <w:rPr>
          <w:sz w:val="22"/>
          <w:lang w:val="ru-RU"/>
        </w:rPr>
        <w:t xml:space="preserve">для лиц с ограниченными возможностями </w:t>
      </w:r>
      <w:r w:rsidRPr="00BB03A1">
        <w:rPr>
          <w:sz w:val="22"/>
          <w:lang w:val="ru-RU"/>
        </w:rPr>
        <w:t>форматах</w:t>
      </w:r>
      <w:r>
        <w:rPr>
          <w:sz w:val="22"/>
          <w:lang w:val="ru-RU"/>
        </w:rPr>
        <w:t>. Примерами таких положений являются положения разделов 121 и 121А вышеупомянутого закона Соединенных Штатов Америки. Другими примерами служат положения законов об авторском праве Аргентины</w:t>
      </w:r>
      <w:r>
        <w:rPr>
          <w:rStyle w:val="FootnoteReference"/>
          <w:sz w:val="22"/>
        </w:rPr>
        <w:footnoteReference w:id="25"/>
      </w:r>
      <w:r>
        <w:rPr>
          <w:sz w:val="22"/>
          <w:lang w:val="ru-RU"/>
        </w:rPr>
        <w:t>, Армении</w:t>
      </w:r>
      <w:r>
        <w:rPr>
          <w:rStyle w:val="FootnoteReference"/>
          <w:sz w:val="22"/>
        </w:rPr>
        <w:footnoteReference w:id="26"/>
      </w:r>
      <w:r>
        <w:rPr>
          <w:sz w:val="22"/>
          <w:lang w:val="ru-RU"/>
        </w:rPr>
        <w:t>, Индии</w:t>
      </w:r>
      <w:r>
        <w:rPr>
          <w:rStyle w:val="FootnoteReference"/>
          <w:sz w:val="22"/>
        </w:rPr>
        <w:footnoteReference w:id="27"/>
      </w:r>
      <w:r>
        <w:rPr>
          <w:sz w:val="22"/>
          <w:lang w:val="ru-RU"/>
        </w:rPr>
        <w:t xml:space="preserve"> и Израиля</w:t>
      </w:r>
      <w:r>
        <w:rPr>
          <w:rStyle w:val="FootnoteReference"/>
          <w:sz w:val="22"/>
        </w:rPr>
        <w:footnoteReference w:id="28"/>
      </w:r>
      <w:r>
        <w:rPr>
          <w:sz w:val="22"/>
          <w:lang w:val="ru-RU"/>
        </w:rPr>
        <w:t>.</w:t>
      </w:r>
    </w:p>
    <w:p w:rsidR="008C2F64" w:rsidRPr="008C2F64" w:rsidRDefault="008C2F64" w:rsidP="008C2F64">
      <w:pPr>
        <w:pStyle w:val="WIPOBodyStyle"/>
        <w:rPr>
          <w:sz w:val="22"/>
          <w:lang w:val="ru-RU"/>
        </w:rPr>
      </w:pPr>
      <w:r w:rsidRPr="008C2F64">
        <w:rPr>
          <w:sz w:val="22"/>
          <w:lang w:val="ru-RU"/>
        </w:rPr>
        <w:lastRenderedPageBreak/>
        <w:t>Втор</w:t>
      </w:r>
      <w:r w:rsidR="004507B2">
        <w:rPr>
          <w:sz w:val="22"/>
          <w:lang w:val="ru-RU"/>
        </w:rPr>
        <w:t>ая</w:t>
      </w:r>
      <w:r w:rsidRPr="008C2F64">
        <w:rPr>
          <w:sz w:val="22"/>
          <w:lang w:val="ru-RU"/>
        </w:rPr>
        <w:t xml:space="preserve"> </w:t>
      </w:r>
      <w:r w:rsidR="004507B2">
        <w:rPr>
          <w:sz w:val="22"/>
          <w:lang w:val="ru-RU"/>
        </w:rPr>
        <w:t>категория – это положения</w:t>
      </w:r>
      <w:r w:rsidRPr="008C2F64">
        <w:rPr>
          <w:sz w:val="22"/>
          <w:lang w:val="ru-RU"/>
        </w:rPr>
        <w:t xml:space="preserve"> о честной деловой практике, в котор</w:t>
      </w:r>
      <w:r w:rsidR="004507B2">
        <w:rPr>
          <w:sz w:val="22"/>
          <w:lang w:val="ru-RU"/>
        </w:rPr>
        <w:t xml:space="preserve">ых изготовление </w:t>
      </w:r>
      <w:r w:rsidRPr="008C2F64">
        <w:rPr>
          <w:sz w:val="22"/>
          <w:lang w:val="ru-RU"/>
        </w:rPr>
        <w:t>экземпляров произведений в доступн</w:t>
      </w:r>
      <w:r w:rsidR="004507B2">
        <w:rPr>
          <w:sz w:val="22"/>
          <w:lang w:val="ru-RU"/>
        </w:rPr>
        <w:t xml:space="preserve">ых </w:t>
      </w:r>
      <w:r w:rsidRPr="008C2F64">
        <w:rPr>
          <w:sz w:val="22"/>
          <w:lang w:val="ru-RU"/>
        </w:rPr>
        <w:t>формат</w:t>
      </w:r>
      <w:r w:rsidR="004507B2">
        <w:rPr>
          <w:sz w:val="22"/>
          <w:lang w:val="ru-RU"/>
        </w:rPr>
        <w:t>ах</w:t>
      </w:r>
      <w:r w:rsidRPr="008C2F64">
        <w:rPr>
          <w:sz w:val="22"/>
          <w:lang w:val="ru-RU"/>
        </w:rPr>
        <w:t xml:space="preserve"> указывается в качестве одного из разрешенных видов использования. </w:t>
      </w:r>
      <w:r>
        <w:rPr>
          <w:sz w:val="22"/>
          <w:lang w:val="ru-RU"/>
        </w:rPr>
        <w:t xml:space="preserve"> </w:t>
      </w:r>
      <w:r w:rsidRPr="008C2F64">
        <w:rPr>
          <w:sz w:val="22"/>
          <w:lang w:val="ru-RU"/>
        </w:rPr>
        <w:t>Одним из примеров является Закон об авторском праве Австралии 1968 г. (с изменениями и дополнениями по состоянию на 1 января 2019 г.).</w:t>
      </w:r>
    </w:p>
    <w:p w:rsidR="008C2F64" w:rsidRPr="004507B2" w:rsidRDefault="008C2F64" w:rsidP="00C4000D">
      <w:pPr>
        <w:rPr>
          <w:lang w:val="ru-RU"/>
        </w:rPr>
      </w:pPr>
      <w:r>
        <w:rPr>
          <w:lang w:val="ru-RU"/>
        </w:rPr>
        <w:t>Между адресными положениями</w:t>
      </w:r>
      <w:r w:rsidR="004507B2">
        <w:rPr>
          <w:lang w:val="ru-RU"/>
        </w:rPr>
        <w:t xml:space="preserve"> о </w:t>
      </w:r>
      <w:r>
        <w:rPr>
          <w:lang w:val="ru-RU"/>
        </w:rPr>
        <w:t>честной деловой практик</w:t>
      </w:r>
      <w:r w:rsidR="004507B2">
        <w:rPr>
          <w:lang w:val="ru-RU"/>
        </w:rPr>
        <w:t>е</w:t>
      </w:r>
      <w:r>
        <w:rPr>
          <w:lang w:val="ru-RU"/>
        </w:rPr>
        <w:t xml:space="preserve"> в о</w:t>
      </w:r>
      <w:r w:rsidR="004507B2">
        <w:rPr>
          <w:lang w:val="ru-RU"/>
        </w:rPr>
        <w:t xml:space="preserve">тношении </w:t>
      </w:r>
      <w:r>
        <w:rPr>
          <w:lang w:val="ru-RU"/>
        </w:rPr>
        <w:t xml:space="preserve">предоставления доступа лицам с ограниченными возможностями, и общими положениями о </w:t>
      </w:r>
      <w:r w:rsidR="004507B2">
        <w:rPr>
          <w:lang w:val="ru-RU"/>
        </w:rPr>
        <w:t xml:space="preserve">добросовестном </w:t>
      </w:r>
      <w:r>
        <w:rPr>
          <w:lang w:val="ru-RU"/>
        </w:rPr>
        <w:t>использовании имеется существенное различие. Оба эти положения можно охарактеризовать как «общие», поскольку они применяются в многочисленных цел</w:t>
      </w:r>
      <w:r w:rsidR="004507B2">
        <w:rPr>
          <w:lang w:val="ru-RU"/>
        </w:rPr>
        <w:t>ях</w:t>
      </w:r>
      <w:r>
        <w:rPr>
          <w:lang w:val="ru-RU"/>
        </w:rPr>
        <w:t xml:space="preserve">, например, в целях </w:t>
      </w:r>
      <w:r w:rsidR="004507B2">
        <w:rPr>
          <w:lang w:val="ru-RU"/>
        </w:rPr>
        <w:t xml:space="preserve">проведения исследований </w:t>
      </w:r>
      <w:r>
        <w:rPr>
          <w:lang w:val="ru-RU"/>
        </w:rPr>
        <w:t>и критического анализа, основанного на принципе соблюдения баланса общих интересов. Однако</w:t>
      </w:r>
      <w:r w:rsidRPr="004507B2">
        <w:rPr>
          <w:lang w:val="ru-RU"/>
        </w:rPr>
        <w:t xml:space="preserve"> </w:t>
      </w:r>
      <w:r>
        <w:rPr>
          <w:lang w:val="ru-RU"/>
        </w:rPr>
        <w:t>они</w:t>
      </w:r>
      <w:r w:rsidRPr="004507B2">
        <w:rPr>
          <w:lang w:val="ru-RU"/>
        </w:rPr>
        <w:t xml:space="preserve"> </w:t>
      </w:r>
      <w:r>
        <w:rPr>
          <w:lang w:val="ru-RU"/>
        </w:rPr>
        <w:t>различаются</w:t>
      </w:r>
      <w:r w:rsidRPr="004507B2">
        <w:rPr>
          <w:lang w:val="ru-RU"/>
        </w:rPr>
        <w:t xml:space="preserve"> </w:t>
      </w:r>
      <w:r>
        <w:rPr>
          <w:lang w:val="ru-RU"/>
        </w:rPr>
        <w:t>по</w:t>
      </w:r>
      <w:r w:rsidRPr="004507B2">
        <w:rPr>
          <w:lang w:val="ru-RU"/>
        </w:rPr>
        <w:t xml:space="preserve"> </w:t>
      </w:r>
      <w:r>
        <w:rPr>
          <w:lang w:val="ru-RU"/>
        </w:rPr>
        <w:t>сфере</w:t>
      </w:r>
      <w:r w:rsidRPr="004507B2">
        <w:rPr>
          <w:lang w:val="ru-RU"/>
        </w:rPr>
        <w:t xml:space="preserve"> </w:t>
      </w:r>
      <w:r>
        <w:rPr>
          <w:lang w:val="ru-RU"/>
        </w:rPr>
        <w:t>своего</w:t>
      </w:r>
      <w:r w:rsidRPr="004507B2">
        <w:rPr>
          <w:lang w:val="ru-RU"/>
        </w:rPr>
        <w:t xml:space="preserve"> </w:t>
      </w:r>
      <w:r>
        <w:rPr>
          <w:lang w:val="ru-RU"/>
        </w:rPr>
        <w:t>охвата</w:t>
      </w:r>
      <w:r w:rsidRPr="004507B2">
        <w:rPr>
          <w:lang w:val="ru-RU"/>
        </w:rPr>
        <w:t>.</w:t>
      </w:r>
    </w:p>
    <w:p w:rsidR="008C2F64" w:rsidRDefault="008C2F64" w:rsidP="008C2F64">
      <w:pPr>
        <w:rPr>
          <w:lang w:val="ru-RU"/>
        </w:rPr>
      </w:pPr>
      <w:r>
        <w:rPr>
          <w:lang w:val="ru-RU"/>
        </w:rPr>
        <w:t xml:space="preserve">Основой для </w:t>
      </w:r>
      <w:r w:rsidR="004507B2">
        <w:rPr>
          <w:lang w:val="ru-RU"/>
        </w:rPr>
        <w:t xml:space="preserve">добросовестного </w:t>
      </w:r>
      <w:r>
        <w:rPr>
          <w:lang w:val="ru-RU"/>
        </w:rPr>
        <w:t xml:space="preserve">использования является ограниченный перечень разрешенных целей, соответствующих нормам справедливости, которые представляют собой один из факторов, требующих внимания. Напротив, в отдельных случаях адресные положения о честной деловой практике являются </w:t>
      </w:r>
      <w:r w:rsidR="004507B2">
        <w:rPr>
          <w:lang w:val="ru-RU"/>
        </w:rPr>
        <w:t xml:space="preserve">законодательно предусмотренными </w:t>
      </w:r>
      <w:r>
        <w:rPr>
          <w:lang w:val="ru-RU"/>
        </w:rPr>
        <w:t xml:space="preserve">механизмами, используемыми для облегчения безвозмездного и несанкционированного использования произведений, охраняемых авторским правом. </w:t>
      </w:r>
    </w:p>
    <w:p w:rsidR="008C2F64" w:rsidRDefault="008C2F64" w:rsidP="008C2F64">
      <w:pPr>
        <w:rPr>
          <w:lang w:val="ru-RU"/>
        </w:rPr>
      </w:pPr>
      <w:r>
        <w:rPr>
          <w:lang w:val="ru-RU"/>
        </w:rPr>
        <w:t>В этих положениях содержится исчерпывающий перечен</w:t>
      </w:r>
      <w:r w:rsidR="004507B2">
        <w:rPr>
          <w:lang w:val="ru-RU"/>
        </w:rPr>
        <w:t>ь разрешенных целей и отсутствую</w:t>
      </w:r>
      <w:r>
        <w:rPr>
          <w:lang w:val="ru-RU"/>
        </w:rPr>
        <w:t>т фактор</w:t>
      </w:r>
      <w:r w:rsidR="004507B2">
        <w:rPr>
          <w:lang w:val="ru-RU"/>
        </w:rPr>
        <w:t>ы</w:t>
      </w:r>
      <w:r>
        <w:rPr>
          <w:lang w:val="ru-RU"/>
        </w:rPr>
        <w:t xml:space="preserve">, которые следует учитывать при определении </w:t>
      </w:r>
      <w:r w:rsidR="004507B2">
        <w:rPr>
          <w:lang w:val="ru-RU"/>
        </w:rPr>
        <w:t xml:space="preserve">добросовестного </w:t>
      </w:r>
      <w:r>
        <w:rPr>
          <w:lang w:val="ru-RU"/>
        </w:rPr>
        <w:t xml:space="preserve">использования. Они дополняются рядом </w:t>
      </w:r>
      <w:r w:rsidR="004507B2">
        <w:rPr>
          <w:lang w:val="ru-RU"/>
        </w:rPr>
        <w:t xml:space="preserve">других </w:t>
      </w:r>
      <w:r>
        <w:rPr>
          <w:lang w:val="ru-RU"/>
        </w:rPr>
        <w:t xml:space="preserve">исключений, которые </w:t>
      </w:r>
      <w:r w:rsidR="004507B2">
        <w:rPr>
          <w:lang w:val="ru-RU"/>
        </w:rPr>
        <w:t xml:space="preserve">допускают </w:t>
      </w:r>
      <w:r>
        <w:rPr>
          <w:lang w:val="ru-RU"/>
        </w:rPr>
        <w:t>использовани</w:t>
      </w:r>
      <w:r w:rsidR="004507B2">
        <w:rPr>
          <w:lang w:val="ru-RU"/>
        </w:rPr>
        <w:t>е в иных целях</w:t>
      </w:r>
      <w:r>
        <w:rPr>
          <w:lang w:val="ru-RU"/>
        </w:rPr>
        <w:t xml:space="preserve">, </w:t>
      </w:r>
      <w:r w:rsidR="004507B2">
        <w:rPr>
          <w:lang w:val="ru-RU"/>
        </w:rPr>
        <w:t xml:space="preserve">например, в отношении использования </w:t>
      </w:r>
      <w:r>
        <w:rPr>
          <w:lang w:val="ru-RU"/>
        </w:rPr>
        <w:t>иллюстративны</w:t>
      </w:r>
      <w:r w:rsidR="004507B2">
        <w:rPr>
          <w:lang w:val="ru-RU"/>
        </w:rPr>
        <w:t>х</w:t>
      </w:r>
      <w:r>
        <w:rPr>
          <w:lang w:val="ru-RU"/>
        </w:rPr>
        <w:t xml:space="preserve"> материал</w:t>
      </w:r>
      <w:r w:rsidR="004507B2">
        <w:rPr>
          <w:lang w:val="ru-RU"/>
        </w:rPr>
        <w:t xml:space="preserve">ов </w:t>
      </w:r>
      <w:r>
        <w:rPr>
          <w:lang w:val="ru-RU"/>
        </w:rPr>
        <w:t>в целях обучения и отчет</w:t>
      </w:r>
      <w:r w:rsidR="004507B2">
        <w:rPr>
          <w:lang w:val="ru-RU"/>
        </w:rPr>
        <w:t xml:space="preserve">ов </w:t>
      </w:r>
      <w:r>
        <w:rPr>
          <w:lang w:val="ru-RU"/>
        </w:rPr>
        <w:t xml:space="preserve">судебных органов. Суды некоторых юрисдикций подтверждают, </w:t>
      </w:r>
      <w:r w:rsidR="004507B2">
        <w:rPr>
          <w:lang w:val="ru-RU"/>
        </w:rPr>
        <w:t xml:space="preserve">что виды </w:t>
      </w:r>
      <w:r>
        <w:rPr>
          <w:lang w:val="ru-RU"/>
        </w:rPr>
        <w:t>использования</w:t>
      </w:r>
      <w:r w:rsidR="004507B2">
        <w:rPr>
          <w:lang w:val="ru-RU"/>
        </w:rPr>
        <w:t xml:space="preserve">, разрешенные </w:t>
      </w:r>
      <w:r>
        <w:rPr>
          <w:lang w:val="ru-RU"/>
        </w:rPr>
        <w:t>в соответствии с положениями о честной деловой практике</w:t>
      </w:r>
      <w:r w:rsidR="004507B2">
        <w:rPr>
          <w:lang w:val="ru-RU"/>
        </w:rPr>
        <w:t>,</w:t>
      </w:r>
      <w:r>
        <w:rPr>
          <w:lang w:val="ru-RU"/>
        </w:rPr>
        <w:t xml:space="preserve"> являются исчерпывающими, в то время как в других юрисдикциях этот вопрос еще предстоит рассмотреть. </w:t>
      </w:r>
    </w:p>
    <w:p w:rsidR="00C4000D" w:rsidRPr="004507B2" w:rsidRDefault="008C2F64" w:rsidP="00C4000D">
      <w:pPr>
        <w:pStyle w:val="WIPOBodyStyle"/>
        <w:rPr>
          <w:rFonts w:eastAsia="SimSun"/>
          <w:sz w:val="22"/>
          <w:szCs w:val="20"/>
          <w:lang w:val="ru-RU" w:eastAsia="zh-CN"/>
        </w:rPr>
      </w:pPr>
      <w:r w:rsidRPr="004507B2">
        <w:rPr>
          <w:rFonts w:eastAsia="SimSun"/>
          <w:sz w:val="22"/>
          <w:szCs w:val="20"/>
          <w:lang w:val="ru-RU" w:eastAsia="zh-CN"/>
        </w:rPr>
        <w:t>Положения о честной деловой практике</w:t>
      </w:r>
      <w:r w:rsidR="004507B2">
        <w:rPr>
          <w:rFonts w:eastAsia="SimSun"/>
          <w:sz w:val="22"/>
          <w:szCs w:val="20"/>
          <w:lang w:val="ru-RU" w:eastAsia="zh-CN"/>
        </w:rPr>
        <w:t xml:space="preserve">, как правило, в качестве одного из условий </w:t>
      </w:r>
      <w:r w:rsidRPr="004507B2">
        <w:rPr>
          <w:rFonts w:eastAsia="SimSun"/>
          <w:sz w:val="22"/>
          <w:szCs w:val="20"/>
          <w:lang w:val="ru-RU" w:eastAsia="zh-CN"/>
        </w:rPr>
        <w:t>использования произведений</w:t>
      </w:r>
      <w:r w:rsidR="004507B2">
        <w:rPr>
          <w:rFonts w:eastAsia="SimSun"/>
          <w:sz w:val="22"/>
          <w:szCs w:val="20"/>
          <w:lang w:val="ru-RU" w:eastAsia="zh-CN"/>
        </w:rPr>
        <w:t xml:space="preserve"> предусматривают </w:t>
      </w:r>
      <w:r w:rsidRPr="004507B2">
        <w:rPr>
          <w:rFonts w:eastAsia="SimSun"/>
          <w:sz w:val="22"/>
          <w:szCs w:val="20"/>
          <w:lang w:val="ru-RU" w:eastAsia="zh-CN"/>
        </w:rPr>
        <w:t>указание автора и источника</w:t>
      </w:r>
      <w:r w:rsidR="004507B2">
        <w:rPr>
          <w:rFonts w:eastAsia="SimSun"/>
          <w:sz w:val="22"/>
          <w:szCs w:val="20"/>
          <w:lang w:val="ru-RU" w:eastAsia="zh-CN"/>
        </w:rPr>
        <w:t xml:space="preserve"> произведения</w:t>
      </w:r>
      <w:r w:rsidRPr="004507B2">
        <w:rPr>
          <w:rFonts w:eastAsia="SimSun"/>
          <w:sz w:val="22"/>
          <w:szCs w:val="20"/>
          <w:lang w:val="ru-RU" w:eastAsia="zh-CN"/>
        </w:rPr>
        <w:t xml:space="preserve">. В некоторых случаях </w:t>
      </w:r>
      <w:r w:rsidR="004507B2">
        <w:rPr>
          <w:rFonts w:eastAsia="SimSun"/>
          <w:sz w:val="22"/>
          <w:szCs w:val="20"/>
          <w:lang w:val="ru-RU" w:eastAsia="zh-CN"/>
        </w:rPr>
        <w:t xml:space="preserve">в </w:t>
      </w:r>
      <w:r w:rsidRPr="004507B2">
        <w:rPr>
          <w:rFonts w:eastAsia="SimSun"/>
          <w:sz w:val="22"/>
          <w:szCs w:val="20"/>
          <w:lang w:val="ru-RU" w:eastAsia="zh-CN"/>
        </w:rPr>
        <w:t>национально</w:t>
      </w:r>
      <w:r w:rsidR="004507B2">
        <w:rPr>
          <w:rFonts w:eastAsia="SimSun"/>
          <w:sz w:val="22"/>
          <w:szCs w:val="20"/>
          <w:lang w:val="ru-RU" w:eastAsia="zh-CN"/>
        </w:rPr>
        <w:t>м</w:t>
      </w:r>
      <w:r w:rsidRPr="004507B2">
        <w:rPr>
          <w:rFonts w:eastAsia="SimSun"/>
          <w:sz w:val="22"/>
          <w:szCs w:val="20"/>
          <w:lang w:val="ru-RU" w:eastAsia="zh-CN"/>
        </w:rPr>
        <w:t xml:space="preserve"> законодательств</w:t>
      </w:r>
      <w:r w:rsidR="004507B2">
        <w:rPr>
          <w:rFonts w:eastAsia="SimSun"/>
          <w:sz w:val="22"/>
          <w:szCs w:val="20"/>
          <w:lang w:val="ru-RU" w:eastAsia="zh-CN"/>
        </w:rPr>
        <w:t>е</w:t>
      </w:r>
      <w:r w:rsidRPr="004507B2">
        <w:rPr>
          <w:rFonts w:eastAsia="SimSun"/>
          <w:sz w:val="22"/>
          <w:szCs w:val="20"/>
          <w:lang w:val="ru-RU" w:eastAsia="zh-CN"/>
        </w:rPr>
        <w:t>, например, законодательств</w:t>
      </w:r>
      <w:r w:rsidR="004507B2">
        <w:rPr>
          <w:rFonts w:eastAsia="SimSun"/>
          <w:sz w:val="22"/>
          <w:szCs w:val="20"/>
          <w:lang w:val="ru-RU" w:eastAsia="zh-CN"/>
        </w:rPr>
        <w:t>е</w:t>
      </w:r>
      <w:r w:rsidRPr="004507B2">
        <w:rPr>
          <w:rFonts w:eastAsia="SimSun"/>
          <w:sz w:val="22"/>
          <w:szCs w:val="20"/>
          <w:lang w:val="ru-RU" w:eastAsia="zh-CN"/>
        </w:rPr>
        <w:t xml:space="preserve"> об охране авторского права Австралии и Канады</w:t>
      </w:r>
      <w:r w:rsidR="004507B2">
        <w:rPr>
          <w:rFonts w:eastAsia="SimSun"/>
          <w:sz w:val="22"/>
          <w:szCs w:val="20"/>
          <w:lang w:val="ru-RU" w:eastAsia="zh-CN"/>
        </w:rPr>
        <w:t>,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 w:rsidR="004507B2">
        <w:rPr>
          <w:rFonts w:eastAsia="SimSun"/>
          <w:sz w:val="22"/>
          <w:szCs w:val="20"/>
          <w:lang w:val="ru-RU" w:eastAsia="zh-CN"/>
        </w:rPr>
        <w:t xml:space="preserve">приводится </w:t>
      </w:r>
      <w:r w:rsidRPr="004507B2">
        <w:rPr>
          <w:rFonts w:eastAsia="SimSun"/>
          <w:sz w:val="22"/>
          <w:szCs w:val="20"/>
          <w:lang w:val="ru-RU" w:eastAsia="zh-CN"/>
        </w:rPr>
        <w:t>перечень факторов</w:t>
      </w:r>
      <w:r w:rsidR="004507B2">
        <w:rPr>
          <w:rFonts w:eastAsia="SimSun"/>
          <w:sz w:val="22"/>
          <w:szCs w:val="20"/>
          <w:lang w:val="ru-RU" w:eastAsia="zh-CN"/>
        </w:rPr>
        <w:t xml:space="preserve">, учитываемых </w:t>
      </w:r>
      <w:r w:rsidRPr="004507B2">
        <w:rPr>
          <w:rFonts w:eastAsia="SimSun"/>
          <w:sz w:val="22"/>
          <w:szCs w:val="20"/>
          <w:lang w:val="ru-RU" w:eastAsia="zh-CN"/>
        </w:rPr>
        <w:t>при определении доброс</w:t>
      </w:r>
      <w:r w:rsidR="004507B2">
        <w:rPr>
          <w:rFonts w:eastAsia="SimSun"/>
          <w:sz w:val="22"/>
          <w:szCs w:val="20"/>
          <w:lang w:val="ru-RU" w:eastAsia="zh-CN"/>
        </w:rPr>
        <w:t>овестности использования. В</w:t>
      </w:r>
      <w:r w:rsidRPr="004507B2">
        <w:rPr>
          <w:rFonts w:eastAsia="SimSun"/>
          <w:sz w:val="22"/>
          <w:szCs w:val="20"/>
          <w:lang w:val="ru-RU" w:eastAsia="zh-CN"/>
        </w:rPr>
        <w:t>ажн</w:t>
      </w:r>
      <w:r w:rsidR="004507B2">
        <w:rPr>
          <w:rFonts w:eastAsia="SimSun"/>
          <w:sz w:val="22"/>
          <w:szCs w:val="20"/>
          <w:lang w:val="ru-RU" w:eastAsia="zh-CN"/>
        </w:rPr>
        <w:t>ейшей</w:t>
      </w:r>
      <w:r w:rsidRPr="004507B2">
        <w:rPr>
          <w:rFonts w:eastAsia="SimSun"/>
          <w:sz w:val="22"/>
          <w:szCs w:val="20"/>
          <w:lang w:val="ru-RU" w:eastAsia="zh-CN"/>
        </w:rPr>
        <w:t xml:space="preserve"> отличительной особенностью положений о честной деловой практике является то, что они должны включ</w:t>
      </w:r>
      <w:r w:rsidR="004507B2">
        <w:rPr>
          <w:rFonts w:eastAsia="SimSun"/>
          <w:sz w:val="22"/>
          <w:szCs w:val="20"/>
          <w:lang w:val="ru-RU" w:eastAsia="zh-CN"/>
        </w:rPr>
        <w:t xml:space="preserve">ать изготовление </w:t>
      </w:r>
      <w:r w:rsidRPr="004507B2">
        <w:rPr>
          <w:rFonts w:eastAsia="SimSun"/>
          <w:sz w:val="22"/>
          <w:szCs w:val="20"/>
          <w:lang w:val="ru-RU" w:eastAsia="zh-CN"/>
        </w:rPr>
        <w:t xml:space="preserve">доступных форматов в исчерпывающий перечень разрешенных видов использования.  Если это условие не выполняется, то </w:t>
      </w:r>
      <w:r w:rsidR="004507B2">
        <w:rPr>
          <w:rFonts w:eastAsia="SimSun"/>
          <w:sz w:val="22"/>
          <w:szCs w:val="20"/>
          <w:lang w:val="ru-RU" w:eastAsia="zh-CN"/>
        </w:rPr>
        <w:t xml:space="preserve">ссылка на </w:t>
      </w:r>
      <w:r w:rsidRPr="004507B2">
        <w:rPr>
          <w:rFonts w:eastAsia="SimSun"/>
          <w:sz w:val="22"/>
          <w:szCs w:val="20"/>
          <w:lang w:val="ru-RU" w:eastAsia="zh-CN"/>
        </w:rPr>
        <w:t>положение о честной деловой практике не</w:t>
      </w:r>
      <w:r w:rsidR="004507B2">
        <w:rPr>
          <w:rFonts w:eastAsia="SimSun"/>
          <w:sz w:val="22"/>
          <w:szCs w:val="20"/>
          <w:lang w:val="ru-RU" w:eastAsia="zh-CN"/>
        </w:rPr>
        <w:t xml:space="preserve"> имеет под собой никаких оснований</w:t>
      </w:r>
      <w:r w:rsidRPr="004507B2">
        <w:rPr>
          <w:rFonts w:eastAsia="SimSun"/>
          <w:sz w:val="22"/>
          <w:szCs w:val="20"/>
          <w:lang w:val="ru-RU" w:eastAsia="zh-CN"/>
        </w:rPr>
        <w:t xml:space="preserve">. Напротив, в положениях о добросовестном использовании отсутствуют исчерпывающие перечни разрешенных видов использования, то есть они содержат ограниченные или примерные перечни. Именно </w:t>
      </w:r>
      <w:r w:rsidR="004507B2">
        <w:rPr>
          <w:rFonts w:eastAsia="SimSun"/>
          <w:sz w:val="22"/>
          <w:szCs w:val="20"/>
          <w:lang w:val="ru-RU" w:eastAsia="zh-CN"/>
        </w:rPr>
        <w:t xml:space="preserve">такой открытый подход упрощает </w:t>
      </w:r>
      <w:r w:rsidRPr="004507B2">
        <w:rPr>
          <w:rFonts w:eastAsia="SimSun"/>
          <w:sz w:val="22"/>
          <w:szCs w:val="20"/>
          <w:lang w:val="ru-RU" w:eastAsia="zh-CN"/>
        </w:rPr>
        <w:t xml:space="preserve">изготовление произведений в доступных </w:t>
      </w:r>
      <w:r w:rsidR="004507B2">
        <w:rPr>
          <w:rFonts w:eastAsia="SimSun"/>
          <w:sz w:val="22"/>
          <w:szCs w:val="20"/>
          <w:lang w:val="ru-RU" w:eastAsia="zh-CN"/>
        </w:rPr>
        <w:t xml:space="preserve">для лиц с ограниченными возможностями </w:t>
      </w:r>
      <w:r w:rsidRPr="004507B2">
        <w:rPr>
          <w:rFonts w:eastAsia="SimSun"/>
          <w:sz w:val="22"/>
          <w:szCs w:val="20"/>
          <w:lang w:val="ru-RU" w:eastAsia="zh-CN"/>
        </w:rPr>
        <w:t>форматах</w:t>
      </w:r>
      <w:r w:rsidR="004507B2">
        <w:rPr>
          <w:rFonts w:eastAsia="SimSun"/>
          <w:sz w:val="22"/>
          <w:szCs w:val="20"/>
          <w:lang w:val="ru-RU" w:eastAsia="zh-CN"/>
        </w:rPr>
        <w:t>.</w:t>
      </w:r>
    </w:p>
    <w:p w:rsidR="00C4000D" w:rsidRPr="004507B2" w:rsidRDefault="004507B2" w:rsidP="00C4000D">
      <w:pPr>
        <w:pStyle w:val="WIPOBodyStyle"/>
        <w:rPr>
          <w:rFonts w:eastAsia="SimSun"/>
          <w:sz w:val="22"/>
          <w:szCs w:val="20"/>
          <w:lang w:val="ru-RU" w:eastAsia="zh-CN"/>
        </w:rPr>
      </w:pPr>
      <w:r>
        <w:rPr>
          <w:rFonts w:eastAsia="SimSun"/>
          <w:sz w:val="22"/>
          <w:szCs w:val="20"/>
          <w:lang w:val="ru-RU" w:eastAsia="zh-CN"/>
        </w:rPr>
        <w:t>Иногда положения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о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честной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деловой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практике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формулируются таким образом, что их применение допускается в любых целях.  В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таком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случае</w:t>
      </w:r>
      <w:r w:rsidR="00C4000D"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это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указывается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в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таблице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с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кратким перечнем результатов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и</w:t>
      </w:r>
      <w:r w:rsidRPr="004507B2">
        <w:rPr>
          <w:rFonts w:eastAsia="SimSun"/>
          <w:sz w:val="22"/>
          <w:szCs w:val="20"/>
          <w:lang w:val="ru-RU" w:eastAsia="zh-CN"/>
        </w:rPr>
        <w:t xml:space="preserve"> </w:t>
      </w:r>
      <w:r>
        <w:rPr>
          <w:rFonts w:eastAsia="SimSun"/>
          <w:sz w:val="22"/>
          <w:szCs w:val="20"/>
          <w:lang w:val="ru-RU" w:eastAsia="zh-CN"/>
        </w:rPr>
        <w:t>таблице государств-членов ВОИС с разбивкой по странам</w:t>
      </w:r>
      <w:r w:rsidR="00C4000D" w:rsidRPr="004507B2">
        <w:rPr>
          <w:rFonts w:eastAsia="SimSun"/>
          <w:sz w:val="22"/>
          <w:szCs w:val="20"/>
          <w:lang w:val="ru-RU" w:eastAsia="zh-CN"/>
        </w:rPr>
        <w:t>.</w:t>
      </w:r>
    </w:p>
    <w:p w:rsidR="00C4000D" w:rsidRPr="00DD6A87" w:rsidRDefault="004507B2" w:rsidP="00C4000D">
      <w:pPr>
        <w:pStyle w:val="Heading3"/>
        <w:rPr>
          <w:rFonts w:eastAsia="Arial"/>
          <w:szCs w:val="22"/>
          <w:lang w:val="ru-RU"/>
        </w:rPr>
      </w:pPr>
      <w:bookmarkStart w:id="33" w:name="_Toc3361685"/>
      <w:bookmarkStart w:id="34" w:name="_Toc2872900"/>
      <w:bookmarkStart w:id="35" w:name="_Toc2872252"/>
      <w:r>
        <w:rPr>
          <w:rFonts w:eastAsia="Arial"/>
          <w:szCs w:val="22"/>
          <w:lang w:val="ru-RU"/>
        </w:rPr>
        <w:lastRenderedPageBreak/>
        <w:t>Общие</w:t>
      </w:r>
      <w:r w:rsidRPr="00DD6A87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положения</w:t>
      </w:r>
      <w:r w:rsidRPr="00DD6A87">
        <w:rPr>
          <w:rFonts w:eastAsia="Arial"/>
          <w:szCs w:val="22"/>
          <w:lang w:val="ru-RU"/>
        </w:rPr>
        <w:t xml:space="preserve"> </w:t>
      </w:r>
      <w:bookmarkEnd w:id="33"/>
      <w:bookmarkEnd w:id="34"/>
      <w:bookmarkEnd w:id="35"/>
    </w:p>
    <w:p w:rsidR="00C4000D" w:rsidRPr="004507B2" w:rsidRDefault="004507B2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Общие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положения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также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актуальны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в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той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мере</w:t>
      </w:r>
      <w:r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>в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какой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они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облегчают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изготовление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доступных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форматов</w:t>
      </w:r>
      <w:r w:rsidR="00C4000D" w:rsidRPr="004507B2">
        <w:rPr>
          <w:sz w:val="22"/>
          <w:lang w:val="ru-RU"/>
        </w:rPr>
        <w:t xml:space="preserve">. </w:t>
      </w:r>
      <w:r>
        <w:rPr>
          <w:sz w:val="22"/>
          <w:lang w:val="ru-RU"/>
        </w:rPr>
        <w:t>Например</w:t>
      </w:r>
      <w:r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>решения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судов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США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подтверждают</w:t>
      </w:r>
      <w:r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>что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положение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добросовестном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использовании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разрешает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изготовление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экземпляров произведений в доступных форматах для лиц с нарушениями зрения</w:t>
      </w:r>
      <w:r w:rsidR="00C4000D">
        <w:rPr>
          <w:sz w:val="22"/>
          <w:vertAlign w:val="superscript"/>
        </w:rPr>
        <w:footnoteReference w:id="29"/>
      </w:r>
      <w:r>
        <w:rPr>
          <w:sz w:val="22"/>
          <w:lang w:val="ru-RU"/>
        </w:rPr>
        <w:t>.</w:t>
      </w:r>
      <w:r w:rsidR="00C4000D"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этом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отсутствует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подтверждение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исключений в отношении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лиц с другими ограниченными возможностями</w:t>
      </w:r>
      <w:r w:rsidR="00C4000D" w:rsidRPr="004507B2">
        <w:rPr>
          <w:sz w:val="22"/>
          <w:lang w:val="ru-RU"/>
        </w:rPr>
        <w:t>.</w:t>
      </w:r>
    </w:p>
    <w:p w:rsidR="00C4000D" w:rsidRPr="004507B2" w:rsidRDefault="004507B2" w:rsidP="00C4000D">
      <w:pPr>
        <w:pStyle w:val="WIPOBodyStyle"/>
        <w:rPr>
          <w:sz w:val="22"/>
          <w:highlight w:val="yellow"/>
          <w:lang w:val="ru-RU"/>
        </w:rPr>
      </w:pPr>
      <w:r>
        <w:rPr>
          <w:sz w:val="22"/>
          <w:lang w:val="ru-RU"/>
        </w:rPr>
        <w:t>По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делу</w:t>
      </w:r>
      <w:r w:rsidRPr="004507B2">
        <w:rPr>
          <w:sz w:val="22"/>
          <w:lang w:val="ru-RU"/>
        </w:rPr>
        <w:t xml:space="preserve"> </w:t>
      </w:r>
      <w:r w:rsidR="00C4000D">
        <w:rPr>
          <w:i/>
          <w:sz w:val="22"/>
        </w:rPr>
        <w:t>Authors</w:t>
      </w:r>
      <w:r w:rsidR="00C4000D" w:rsidRPr="004507B2">
        <w:rPr>
          <w:i/>
          <w:sz w:val="22"/>
          <w:lang w:val="ru-RU"/>
        </w:rPr>
        <w:t xml:space="preserve"> </w:t>
      </w:r>
      <w:r w:rsidR="00C4000D">
        <w:rPr>
          <w:i/>
          <w:sz w:val="22"/>
        </w:rPr>
        <w:t>Guild</w:t>
      </w:r>
      <w:r w:rsidR="00C4000D" w:rsidRPr="004507B2">
        <w:rPr>
          <w:i/>
          <w:sz w:val="22"/>
          <w:lang w:val="ru-RU"/>
        </w:rPr>
        <w:t xml:space="preserve"> </w:t>
      </w:r>
      <w:r w:rsidR="00C4000D">
        <w:rPr>
          <w:i/>
          <w:sz w:val="22"/>
        </w:rPr>
        <w:t>v</w:t>
      </w:r>
      <w:r w:rsidR="00C4000D" w:rsidRPr="004507B2">
        <w:rPr>
          <w:i/>
          <w:sz w:val="22"/>
          <w:lang w:val="ru-RU"/>
        </w:rPr>
        <w:t xml:space="preserve">. </w:t>
      </w:r>
      <w:r w:rsidR="00C4000D">
        <w:rPr>
          <w:i/>
          <w:sz w:val="22"/>
        </w:rPr>
        <w:t>HathiTrust</w:t>
      </w:r>
      <w:r w:rsidR="00C4000D" w:rsidRPr="004507B2">
        <w:rPr>
          <w:sz w:val="22"/>
          <w:lang w:val="ru-RU"/>
        </w:rPr>
        <w:t>,</w:t>
      </w:r>
      <w:r w:rsidR="00C4000D" w:rsidRPr="004507B2">
        <w:rPr>
          <w:i/>
          <w:sz w:val="22"/>
          <w:lang w:val="ru-RU"/>
        </w:rPr>
        <w:t xml:space="preserve"> </w:t>
      </w:r>
      <w:r>
        <w:rPr>
          <w:sz w:val="22"/>
          <w:lang w:val="ru-RU"/>
        </w:rPr>
        <w:t>суд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постановил</w:t>
      </w:r>
      <w:r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>что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предоставление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доступа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к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цифровым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копиям книг из университетских библиотек для лиц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ограниченными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способностями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воспринимать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печатную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 xml:space="preserve">информацию является разрешенным видом использования в соответствии </w:t>
      </w:r>
      <w:r w:rsidR="00DA76F1">
        <w:rPr>
          <w:sz w:val="22"/>
          <w:lang w:val="ru-RU"/>
        </w:rPr>
        <w:t xml:space="preserve">доктриной </w:t>
      </w:r>
      <w:r>
        <w:rPr>
          <w:sz w:val="22"/>
          <w:lang w:val="ru-RU"/>
        </w:rPr>
        <w:t>добросовестного использования</w:t>
      </w:r>
      <w:r w:rsidR="00C4000D">
        <w:rPr>
          <w:rStyle w:val="FootnoteReference"/>
          <w:sz w:val="22"/>
        </w:rPr>
        <w:footnoteReference w:id="30"/>
      </w:r>
      <w:r>
        <w:rPr>
          <w:sz w:val="22"/>
          <w:lang w:val="ru-RU"/>
        </w:rPr>
        <w:t xml:space="preserve">. </w:t>
      </w:r>
    </w:p>
    <w:p w:rsidR="00C4000D" w:rsidRPr="004507B2" w:rsidRDefault="004507B2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Другим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примером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является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положение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добросовестном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использовании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в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разделах</w:t>
      </w:r>
      <w:r w:rsidRPr="004507B2">
        <w:rPr>
          <w:sz w:val="22"/>
          <w:lang w:val="ru-RU"/>
        </w:rPr>
        <w:t xml:space="preserve"> </w:t>
      </w:r>
      <w:r w:rsidR="00C4000D" w:rsidRPr="004507B2">
        <w:rPr>
          <w:sz w:val="22"/>
          <w:lang w:val="ru-RU"/>
        </w:rPr>
        <w:t xml:space="preserve">11(1) – (2) </w:t>
      </w:r>
      <w:r>
        <w:rPr>
          <w:sz w:val="22"/>
          <w:lang w:val="ru-RU"/>
        </w:rPr>
        <w:t>закона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об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интеллектуальной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собственности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Шри</w:t>
      </w:r>
      <w:r w:rsidRPr="004507B2">
        <w:rPr>
          <w:sz w:val="22"/>
          <w:lang w:val="ru-RU"/>
        </w:rPr>
        <w:t>-</w:t>
      </w:r>
      <w:r>
        <w:rPr>
          <w:sz w:val="22"/>
        </w:rPr>
        <w:t> </w:t>
      </w:r>
      <w:r>
        <w:rPr>
          <w:sz w:val="22"/>
          <w:lang w:val="ru-RU"/>
        </w:rPr>
        <w:t>Ланки</w:t>
      </w:r>
      <w:r w:rsidR="00C4000D" w:rsidRPr="004507B2">
        <w:rPr>
          <w:sz w:val="22"/>
          <w:lang w:val="ru-RU"/>
        </w:rPr>
        <w:t xml:space="preserve"> </w:t>
      </w:r>
      <w:r w:rsidR="00C4000D">
        <w:rPr>
          <w:sz w:val="22"/>
        </w:rPr>
        <w:t>No</w:t>
      </w:r>
      <w:r w:rsidR="00C4000D" w:rsidRPr="004507B2">
        <w:rPr>
          <w:sz w:val="22"/>
          <w:lang w:val="ru-RU"/>
        </w:rPr>
        <w:t xml:space="preserve">. 36 </w:t>
      </w:r>
      <w:r>
        <w:rPr>
          <w:sz w:val="22"/>
          <w:lang w:val="ru-RU"/>
        </w:rPr>
        <w:t>от</w:t>
      </w:r>
      <w:r w:rsidRPr="004507B2">
        <w:rPr>
          <w:sz w:val="22"/>
          <w:lang w:val="ru-RU"/>
        </w:rPr>
        <w:t xml:space="preserve"> </w:t>
      </w:r>
      <w:r w:rsidR="00C4000D" w:rsidRPr="004507B2">
        <w:rPr>
          <w:sz w:val="22"/>
          <w:lang w:val="ru-RU"/>
        </w:rPr>
        <w:t>2003</w:t>
      </w:r>
      <w:r w:rsidRPr="004507B2">
        <w:rPr>
          <w:sz w:val="22"/>
        </w:rPr>
        <w:t> </w:t>
      </w:r>
      <w:r>
        <w:rPr>
          <w:sz w:val="22"/>
          <w:lang w:val="ru-RU"/>
        </w:rPr>
        <w:t>г</w:t>
      </w:r>
      <w:r w:rsidRPr="004507B2">
        <w:rPr>
          <w:sz w:val="22"/>
          <w:lang w:val="ru-RU"/>
        </w:rPr>
        <w:t xml:space="preserve">., </w:t>
      </w:r>
      <w:r>
        <w:rPr>
          <w:sz w:val="22"/>
          <w:lang w:val="ru-RU"/>
        </w:rPr>
        <w:t>которое содержит общие формулировки и не включает исчерпывающий перечень разрешенных видов использования, и таким образом допускает изготовление экземпляров произведений в доступных форматах на благо лиц с ограниченными возможностями</w:t>
      </w:r>
      <w:r w:rsidR="00C4000D" w:rsidRPr="004507B2">
        <w:rPr>
          <w:sz w:val="22"/>
          <w:lang w:val="ru-RU"/>
        </w:rPr>
        <w:t xml:space="preserve">. </w:t>
      </w:r>
    </w:p>
    <w:p w:rsidR="00C4000D" w:rsidRPr="004507B2" w:rsidRDefault="004507B2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Раздел</w:t>
      </w:r>
      <w:r w:rsidRPr="004507B2">
        <w:rPr>
          <w:sz w:val="22"/>
          <w:lang w:val="ru-RU"/>
        </w:rPr>
        <w:t xml:space="preserve"> </w:t>
      </w:r>
      <w:r w:rsidR="00C4000D" w:rsidRPr="004507B2">
        <w:rPr>
          <w:sz w:val="22"/>
          <w:lang w:val="ru-RU"/>
        </w:rPr>
        <w:t xml:space="preserve">19 </w:t>
      </w:r>
      <w:r>
        <w:rPr>
          <w:sz w:val="22"/>
          <w:lang w:val="ru-RU"/>
        </w:rPr>
        <w:t>закона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об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авторском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праве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Израиля</w:t>
      </w:r>
      <w:r w:rsidR="00C4000D" w:rsidRPr="004507B2">
        <w:rPr>
          <w:sz w:val="22"/>
          <w:lang w:val="ru-RU"/>
        </w:rPr>
        <w:t xml:space="preserve"> 2007</w:t>
      </w:r>
      <w:r w:rsidRPr="004507B2">
        <w:rPr>
          <w:sz w:val="22"/>
        </w:rPr>
        <w:t> </w:t>
      </w:r>
      <w:r>
        <w:rPr>
          <w:sz w:val="22"/>
          <w:lang w:val="ru-RU"/>
        </w:rPr>
        <w:t>г</w:t>
      </w:r>
      <w:r w:rsidRPr="004507B2">
        <w:rPr>
          <w:sz w:val="22"/>
          <w:lang w:val="ru-RU"/>
        </w:rPr>
        <w:t xml:space="preserve">. </w:t>
      </w:r>
      <w:r w:rsidR="00C4000D" w:rsidRPr="004507B2">
        <w:rPr>
          <w:sz w:val="22"/>
          <w:lang w:val="ru-RU"/>
        </w:rPr>
        <w:t>(</w:t>
      </w:r>
      <w:r>
        <w:rPr>
          <w:sz w:val="22"/>
          <w:lang w:val="ru-RU"/>
        </w:rPr>
        <w:t>с изменениями</w:t>
      </w:r>
      <w:r w:rsidR="00C4000D" w:rsidRPr="004507B2">
        <w:rPr>
          <w:sz w:val="22"/>
          <w:lang w:val="ru-RU"/>
        </w:rPr>
        <w:t>)</w:t>
      </w:r>
      <w:r w:rsidR="00C4000D">
        <w:rPr>
          <w:rStyle w:val="FootnoteReference"/>
          <w:sz w:val="22"/>
        </w:rPr>
        <w:footnoteReference w:id="31"/>
      </w:r>
      <w:r w:rsidR="00C4000D"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также содержит положение о добросовестном использовании</w:t>
      </w:r>
      <w:r w:rsidR="00C4000D" w:rsidRPr="004507B2">
        <w:rPr>
          <w:sz w:val="22"/>
          <w:lang w:val="ru-RU"/>
        </w:rPr>
        <w:t>.</w:t>
      </w:r>
    </w:p>
    <w:p w:rsidR="00C4000D" w:rsidRPr="004507B2" w:rsidRDefault="004507B2" w:rsidP="00C4000D">
      <w:pPr>
        <w:pStyle w:val="WIPOBodyStyle"/>
        <w:rPr>
          <w:sz w:val="22"/>
          <w:lang w:val="ru-RU"/>
        </w:rPr>
      </w:pPr>
      <w:r>
        <w:rPr>
          <w:sz w:val="22"/>
          <w:lang w:val="ru-RU"/>
        </w:rPr>
        <w:t>Данное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положение</w:t>
      </w:r>
      <w:r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>как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 в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случае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США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Шри</w:t>
      </w:r>
      <w:r w:rsidRPr="004507B2">
        <w:rPr>
          <w:sz w:val="22"/>
          <w:lang w:val="ru-RU"/>
        </w:rPr>
        <w:t>-</w:t>
      </w:r>
      <w:r>
        <w:rPr>
          <w:sz w:val="22"/>
          <w:lang w:val="ru-RU"/>
        </w:rPr>
        <w:t>Ланки</w:t>
      </w:r>
      <w:r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>разрешает предоставление экземпляров произведений в доступных форматах</w:t>
      </w:r>
      <w:r w:rsidR="00C4000D" w:rsidRPr="004507B2">
        <w:rPr>
          <w:sz w:val="22"/>
          <w:lang w:val="ru-RU"/>
        </w:rPr>
        <w:t xml:space="preserve">. </w:t>
      </w:r>
      <w:r>
        <w:rPr>
          <w:sz w:val="22"/>
          <w:lang w:val="ru-RU"/>
        </w:rPr>
        <w:t>Кроме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того,</w:t>
      </w:r>
      <w:r w:rsidR="00C4000D"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в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разделе</w:t>
      </w:r>
      <w:r w:rsidRPr="004507B2">
        <w:rPr>
          <w:sz w:val="22"/>
          <w:lang w:val="ru-RU"/>
        </w:rPr>
        <w:t xml:space="preserve"> </w:t>
      </w:r>
      <w:r w:rsidR="00C4000D" w:rsidRPr="004507B2">
        <w:rPr>
          <w:sz w:val="22"/>
          <w:lang w:val="ru-RU"/>
        </w:rPr>
        <w:t>28</w:t>
      </w:r>
      <w:r w:rsidR="00C4000D">
        <w:rPr>
          <w:sz w:val="22"/>
        </w:rPr>
        <w:t>A</w:t>
      </w:r>
      <w:r w:rsidR="00C4000D" w:rsidRPr="004507B2">
        <w:rPr>
          <w:sz w:val="22"/>
          <w:lang w:val="ru-RU"/>
        </w:rPr>
        <w:t>-</w:t>
      </w:r>
      <w:r w:rsidR="00C4000D">
        <w:rPr>
          <w:sz w:val="22"/>
        </w:rPr>
        <w:t>E</w:t>
      </w:r>
      <w:r w:rsidR="00C4000D"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закона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содержится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адресное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положение, о котором говорилось выше</w:t>
      </w:r>
      <w:r w:rsidR="00C4000D" w:rsidRPr="004507B2">
        <w:rPr>
          <w:sz w:val="22"/>
          <w:lang w:val="ru-RU"/>
        </w:rPr>
        <w:t xml:space="preserve">. </w:t>
      </w:r>
      <w:r>
        <w:rPr>
          <w:sz w:val="22"/>
          <w:lang w:val="ru-RU"/>
        </w:rPr>
        <w:t>Таким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образом</w:t>
      </w:r>
      <w:r w:rsidR="00C4000D"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>Израиль</w:t>
      </w:r>
      <w:r w:rsidR="00C4000D"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>как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и</w:t>
      </w:r>
      <w:r w:rsidRPr="004507B2">
        <w:rPr>
          <w:sz w:val="22"/>
          <w:lang w:val="ru-RU"/>
        </w:rPr>
        <w:t xml:space="preserve"> </w:t>
      </w:r>
      <w:r>
        <w:rPr>
          <w:sz w:val="22"/>
          <w:lang w:val="ru-RU"/>
        </w:rPr>
        <w:t>США</w:t>
      </w:r>
      <w:r w:rsidR="00C4000D" w:rsidRPr="004507B2">
        <w:rPr>
          <w:sz w:val="22"/>
          <w:lang w:val="ru-RU"/>
        </w:rPr>
        <w:t xml:space="preserve">, </w:t>
      </w:r>
      <w:r>
        <w:rPr>
          <w:sz w:val="22"/>
          <w:lang w:val="ru-RU"/>
        </w:rPr>
        <w:t xml:space="preserve">применяет смешанный подход, </w:t>
      </w:r>
      <w:r w:rsidRPr="00BB03A1">
        <w:rPr>
          <w:sz w:val="22"/>
          <w:lang w:val="ru-RU"/>
        </w:rPr>
        <w:t>в рамках которого используются как адресные</w:t>
      </w:r>
      <w:r>
        <w:rPr>
          <w:sz w:val="22"/>
          <w:lang w:val="ru-RU"/>
        </w:rPr>
        <w:t xml:space="preserve"> положения</w:t>
      </w:r>
      <w:r w:rsidRPr="00BB03A1">
        <w:rPr>
          <w:sz w:val="22"/>
          <w:lang w:val="ru-RU"/>
        </w:rPr>
        <w:t xml:space="preserve">, так и </w:t>
      </w:r>
      <w:r>
        <w:rPr>
          <w:sz w:val="22"/>
          <w:lang w:val="ru-RU"/>
        </w:rPr>
        <w:t>положение о добросовестном использовании</w:t>
      </w:r>
      <w:r w:rsidR="00C4000D" w:rsidRPr="004507B2">
        <w:rPr>
          <w:sz w:val="22"/>
          <w:lang w:val="ru-RU"/>
        </w:rPr>
        <w:t xml:space="preserve">. </w:t>
      </w:r>
    </w:p>
    <w:p w:rsidR="00C4000D" w:rsidRPr="004507B2" w:rsidRDefault="00C4000D" w:rsidP="00C4000D">
      <w:pPr>
        <w:rPr>
          <w:lang w:val="ru-RU"/>
        </w:rPr>
      </w:pPr>
      <w:bookmarkStart w:id="42" w:name="_Hlk2077172"/>
    </w:p>
    <w:p w:rsidR="00C4000D" w:rsidRPr="004507B2" w:rsidRDefault="00C4000D" w:rsidP="00C4000D">
      <w:pPr>
        <w:rPr>
          <w:lang w:val="ru-RU"/>
        </w:rPr>
        <w:sectPr w:rsidR="00C4000D" w:rsidRPr="004507B2" w:rsidSect="00A96DB5">
          <w:pgSz w:w="11906" w:h="16838" w:code="9"/>
          <w:pgMar w:top="1440" w:right="1440" w:bottom="1440" w:left="1440" w:header="720" w:footer="720" w:gutter="0"/>
          <w:cols w:space="720"/>
          <w:docGrid w:linePitch="299"/>
        </w:sectPr>
      </w:pPr>
    </w:p>
    <w:p w:rsidR="00C4000D" w:rsidRPr="00DA76F1" w:rsidRDefault="00DA76F1" w:rsidP="00C4000D">
      <w:pPr>
        <w:pStyle w:val="Heading3"/>
        <w:rPr>
          <w:rFonts w:eastAsia="Arial"/>
          <w:szCs w:val="22"/>
          <w:lang w:val="ru-RU"/>
        </w:rPr>
      </w:pPr>
      <w:bookmarkStart w:id="43" w:name="_Toc3361686"/>
      <w:bookmarkStart w:id="44" w:name="_Toc2872901"/>
      <w:bookmarkStart w:id="45" w:name="_Toc2872253"/>
      <w:bookmarkEnd w:id="42"/>
      <w:r>
        <w:rPr>
          <w:rFonts w:eastAsia="Arial"/>
          <w:szCs w:val="22"/>
          <w:lang w:val="ru-RU"/>
        </w:rPr>
        <w:lastRenderedPageBreak/>
        <w:t>Краткий</w:t>
      </w:r>
      <w:r w:rsidRPr="00DA76F1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перечень</w:t>
      </w:r>
      <w:r w:rsidRPr="00DA76F1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>результатов</w:t>
      </w:r>
      <w:r w:rsidRPr="00DA76F1">
        <w:rPr>
          <w:rFonts w:eastAsia="Arial"/>
          <w:szCs w:val="22"/>
          <w:lang w:val="ru-RU"/>
        </w:rPr>
        <w:t xml:space="preserve"> </w:t>
      </w:r>
      <w:r>
        <w:rPr>
          <w:rFonts w:eastAsia="Arial"/>
          <w:szCs w:val="22"/>
          <w:lang w:val="ru-RU"/>
        </w:rPr>
        <w:t xml:space="preserve">исследования адресных и общих положений </w:t>
      </w:r>
      <w:bookmarkEnd w:id="43"/>
      <w:bookmarkEnd w:id="44"/>
      <w:bookmarkEnd w:id="45"/>
    </w:p>
    <w:p w:rsidR="00C4000D" w:rsidRPr="00DA76F1" w:rsidRDefault="00DA76F1" w:rsidP="00C4000D">
      <w:pPr>
        <w:pStyle w:val="WIPOBodyStyle"/>
        <w:rPr>
          <w:b/>
          <w:sz w:val="22"/>
          <w:lang w:val="ru-RU"/>
        </w:rPr>
      </w:pPr>
      <w:r>
        <w:rPr>
          <w:sz w:val="22"/>
          <w:lang w:val="ru-RU"/>
        </w:rPr>
        <w:t>В</w:t>
      </w:r>
      <w:r w:rsidRPr="00DA76F1">
        <w:rPr>
          <w:sz w:val="22"/>
          <w:lang w:val="ru-RU"/>
        </w:rPr>
        <w:t xml:space="preserve"> </w:t>
      </w:r>
      <w:r>
        <w:rPr>
          <w:sz w:val="22"/>
          <w:lang w:val="ru-RU"/>
        </w:rPr>
        <w:t>таблице</w:t>
      </w:r>
      <w:r w:rsidRPr="00DA76F1">
        <w:rPr>
          <w:sz w:val="22"/>
          <w:lang w:val="ru-RU"/>
        </w:rPr>
        <w:t xml:space="preserve"> </w:t>
      </w:r>
      <w:r>
        <w:rPr>
          <w:sz w:val="22"/>
          <w:lang w:val="ru-RU"/>
        </w:rPr>
        <w:t>ниже</w:t>
      </w:r>
      <w:r w:rsidRPr="00DA76F1">
        <w:rPr>
          <w:sz w:val="22"/>
          <w:lang w:val="ru-RU"/>
        </w:rPr>
        <w:t xml:space="preserve"> </w:t>
      </w:r>
      <w:r>
        <w:rPr>
          <w:sz w:val="22"/>
          <w:lang w:val="ru-RU"/>
        </w:rPr>
        <w:t>приводятся</w:t>
      </w:r>
      <w:r w:rsidRPr="00DA76F1">
        <w:rPr>
          <w:sz w:val="22"/>
          <w:lang w:val="ru-RU"/>
        </w:rPr>
        <w:t xml:space="preserve"> </w:t>
      </w:r>
      <w:r>
        <w:rPr>
          <w:sz w:val="22"/>
          <w:lang w:val="ru-RU"/>
        </w:rPr>
        <w:t>краткие</w:t>
      </w:r>
      <w:r w:rsidRPr="00DA76F1">
        <w:rPr>
          <w:sz w:val="22"/>
          <w:lang w:val="ru-RU"/>
        </w:rPr>
        <w:t xml:space="preserve"> </w:t>
      </w:r>
      <w:r w:rsidR="00AA4B31">
        <w:rPr>
          <w:sz w:val="22"/>
          <w:lang w:val="ru-RU"/>
        </w:rPr>
        <w:t xml:space="preserve">статистические </w:t>
      </w:r>
      <w:r>
        <w:rPr>
          <w:sz w:val="22"/>
          <w:lang w:val="ru-RU"/>
        </w:rPr>
        <w:t>сведения</w:t>
      </w:r>
      <w:r w:rsidRPr="00DA76F1">
        <w:rPr>
          <w:sz w:val="22"/>
          <w:lang w:val="ru-RU"/>
        </w:rPr>
        <w:t xml:space="preserve"> </w:t>
      </w:r>
      <w:r>
        <w:rPr>
          <w:sz w:val="22"/>
          <w:lang w:val="ru-RU"/>
        </w:rPr>
        <w:t>о</w:t>
      </w:r>
      <w:r w:rsidRPr="00DA76F1">
        <w:rPr>
          <w:sz w:val="22"/>
          <w:lang w:val="ru-RU"/>
        </w:rPr>
        <w:t xml:space="preserve"> </w:t>
      </w:r>
      <w:r w:rsidR="00AA4B31">
        <w:rPr>
          <w:sz w:val="22"/>
          <w:lang w:val="ru-RU"/>
        </w:rPr>
        <w:t xml:space="preserve">наличии </w:t>
      </w:r>
      <w:r>
        <w:rPr>
          <w:sz w:val="22"/>
          <w:lang w:val="ru-RU"/>
        </w:rPr>
        <w:t>этих</w:t>
      </w:r>
      <w:r w:rsidRPr="00DA76F1">
        <w:rPr>
          <w:sz w:val="22"/>
          <w:lang w:val="ru-RU"/>
        </w:rPr>
        <w:t xml:space="preserve"> </w:t>
      </w:r>
      <w:r>
        <w:rPr>
          <w:sz w:val="22"/>
          <w:lang w:val="ru-RU"/>
        </w:rPr>
        <w:t>положений</w:t>
      </w:r>
      <w:r w:rsidRPr="00DA76F1">
        <w:rPr>
          <w:sz w:val="22"/>
          <w:lang w:val="ru-RU"/>
        </w:rPr>
        <w:t xml:space="preserve"> </w:t>
      </w:r>
      <w:r>
        <w:rPr>
          <w:sz w:val="22"/>
          <w:lang w:val="ru-RU"/>
        </w:rPr>
        <w:t>в</w:t>
      </w:r>
      <w:r w:rsidRPr="00DA76F1">
        <w:rPr>
          <w:sz w:val="22"/>
          <w:lang w:val="ru-RU"/>
        </w:rPr>
        <w:t xml:space="preserve"> </w:t>
      </w:r>
      <w:r w:rsidR="00AA4B31">
        <w:rPr>
          <w:sz w:val="22"/>
          <w:lang w:val="ru-RU"/>
        </w:rPr>
        <w:t xml:space="preserve">законодательстве </w:t>
      </w:r>
      <w:r>
        <w:rPr>
          <w:sz w:val="22"/>
          <w:lang w:val="ru-RU"/>
        </w:rPr>
        <w:t>государств</w:t>
      </w:r>
      <w:r w:rsidRPr="00DA76F1">
        <w:rPr>
          <w:sz w:val="22"/>
          <w:lang w:val="ru-RU"/>
        </w:rPr>
        <w:t>-</w:t>
      </w:r>
      <w:r>
        <w:rPr>
          <w:sz w:val="22"/>
          <w:lang w:val="ru-RU"/>
        </w:rPr>
        <w:t>член</w:t>
      </w:r>
      <w:r w:rsidR="00AA4B31">
        <w:rPr>
          <w:sz w:val="22"/>
          <w:lang w:val="ru-RU"/>
        </w:rPr>
        <w:t>ов</w:t>
      </w:r>
      <w:r w:rsidR="00C4000D" w:rsidRPr="00DA76F1">
        <w:rPr>
          <w:b/>
          <w:sz w:val="22"/>
          <w:lang w:val="ru-RU"/>
        </w:rPr>
        <w:t xml:space="preserve">. </w:t>
      </w:r>
    </w:p>
    <w:p w:rsidR="00C4000D" w:rsidRDefault="00DA76F1" w:rsidP="00C4000D">
      <w:pPr>
        <w:pStyle w:val="Caption"/>
        <w:rPr>
          <w:sz w:val="22"/>
          <w:szCs w:val="22"/>
        </w:rPr>
      </w:pPr>
      <w:bookmarkStart w:id="46" w:name="_3fduioxdlns6"/>
      <w:bookmarkEnd w:id="46"/>
      <w:r>
        <w:rPr>
          <w:sz w:val="22"/>
          <w:szCs w:val="22"/>
          <w:lang w:val="ru-RU"/>
        </w:rPr>
        <w:t>Таблица</w:t>
      </w:r>
      <w:r w:rsidR="00C4000D">
        <w:rPr>
          <w:sz w:val="22"/>
          <w:szCs w:val="22"/>
        </w:rPr>
        <w:t xml:space="preserve"> </w:t>
      </w:r>
      <w:r w:rsidR="0094402E">
        <w:rPr>
          <w:noProof/>
          <w:sz w:val="22"/>
          <w:szCs w:val="22"/>
        </w:rPr>
        <w:fldChar w:fldCharType="begin"/>
      </w:r>
      <w:r w:rsidR="00C4000D">
        <w:rPr>
          <w:noProof/>
          <w:sz w:val="22"/>
          <w:szCs w:val="22"/>
        </w:rPr>
        <w:instrText xml:space="preserve"> SEQ Table \* ARABIC </w:instrText>
      </w:r>
      <w:r w:rsidR="0094402E">
        <w:rPr>
          <w:noProof/>
          <w:sz w:val="22"/>
          <w:szCs w:val="22"/>
        </w:rPr>
        <w:fldChar w:fldCharType="separate"/>
      </w:r>
      <w:r w:rsidR="00E86AC8">
        <w:rPr>
          <w:noProof/>
          <w:sz w:val="22"/>
          <w:szCs w:val="22"/>
        </w:rPr>
        <w:t>1</w:t>
      </w:r>
      <w:r w:rsidR="0094402E">
        <w:rPr>
          <w:noProof/>
          <w:sz w:val="22"/>
          <w:szCs w:val="22"/>
        </w:rPr>
        <w:fldChar w:fldCharType="end"/>
      </w:r>
      <w:r w:rsidR="00C4000D">
        <w:rPr>
          <w:sz w:val="22"/>
          <w:szCs w:val="22"/>
        </w:rPr>
        <w:t xml:space="preserve">: </w:t>
      </w:r>
      <w:r>
        <w:rPr>
          <w:sz w:val="22"/>
          <w:szCs w:val="22"/>
          <w:lang w:val="ru-RU"/>
        </w:rPr>
        <w:t xml:space="preserve">Краткий перечень результатов </w:t>
      </w:r>
    </w:p>
    <w:tbl>
      <w:tblPr>
        <w:tblW w:w="0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0"/>
        <w:gridCol w:w="1301"/>
        <w:gridCol w:w="5985"/>
      </w:tblGrid>
      <w:tr w:rsidR="00C4000D" w:rsidTr="00C4000D">
        <w:trPr>
          <w:trHeight w:val="480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DA76F1" w:rsidP="00DA76F1">
            <w:pPr>
              <w:widowControl w:val="0"/>
              <w:rPr>
                <w:rFonts w:eastAsia="Times New Roman"/>
                <w:b/>
                <w:color w:val="000000" w:themeColor="text1"/>
                <w:szCs w:val="22"/>
              </w:rPr>
            </w:pPr>
            <w:r>
              <w:rPr>
                <w:rFonts w:eastAsia="Times New Roman"/>
                <w:b/>
                <w:color w:val="000000" w:themeColor="text1"/>
                <w:lang w:val="ru-RU"/>
              </w:rPr>
              <w:t xml:space="preserve">Исключения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DA76F1" w:rsidP="00DA76F1">
            <w:pPr>
              <w:widowControl w:val="0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  <w:lang w:val="ru-RU"/>
              </w:rPr>
              <w:t xml:space="preserve">Число стран 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DA76F1" w:rsidP="00DA76F1">
            <w:pPr>
              <w:widowControl w:val="0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  <w:lang w:val="ru-RU"/>
              </w:rPr>
              <w:t xml:space="preserve">Страны </w:t>
            </w:r>
          </w:p>
        </w:tc>
      </w:tr>
      <w:tr w:rsidR="00C4000D" w:rsidRPr="00DD6A87" w:rsidTr="00C4000D">
        <w:trPr>
          <w:trHeight w:val="2689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DA76F1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 xml:space="preserve">Отсутствуют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91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AA4B31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 w:rsidRPr="00E86AC8">
              <w:rPr>
                <w:rFonts w:eastAsia="Times New Roman"/>
                <w:color w:val="000000" w:themeColor="text1"/>
                <w:lang w:val="ru-RU"/>
              </w:rPr>
              <w:t>Афганистан, Алжир, Андорра, Ангола, Антигуа и Барбуда, Бахрейн, Бангладеш, Барбадос, Бенин, Бутан, Боливия, Ботсвана, Бруней-Даруссалам, Буркина-Фасо, Бурунди, Камбоджа, Коморские острова, Конго, Коста-Рика, Куба, Кипр, Демократическая Республика Конго,</w:t>
            </w:r>
            <w:r w:rsidRPr="00E86AC8">
              <w:rPr>
                <w:lang w:val="ru-RU"/>
              </w:rPr>
              <w:t xml:space="preserve">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Джибути, Египет, </w:t>
            </w:r>
            <w:r>
              <w:rPr>
                <w:rFonts w:eastAsia="Times New Roman"/>
                <w:color w:val="000000" w:themeColor="text1"/>
                <w:lang w:val="ru-RU"/>
              </w:rPr>
              <w:t>Экваториальная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Гвинея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Эритрея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Эсватини, Эфиопия,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Гамбия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Гана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Гватемала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Гвинея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Гвинея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-</w:t>
            </w:r>
            <w:r>
              <w:rPr>
                <w:rFonts w:eastAsia="Times New Roman"/>
                <w:color w:val="000000" w:themeColor="text1"/>
                <w:lang w:val="ru-RU"/>
              </w:rPr>
              <w:t>Бисау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Гайана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Гаити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Гондурас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Иран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Ирак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Иордания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Кения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Кирибати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Ливан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Лесото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Ливия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Мадагаскар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Мальдивские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Острова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Мали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Маршалловы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Острова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Мавритания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Монако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Марокко, Мозамбик, Мьянма, Намибия, Нигер, Оман, Пакистан, Палау, Папуа-Новая Гвинея, Катар, Сент-Китс и Невис, Сент-Люсия, Самоа, Сан-Марино, Саудовская Аравия, Сенегал, Сьерра-Леоне, Соломоновы острова, Сомали, Южная Африка, Судан, Суринам, Сирийская Арабская Республика, Таджикистан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Тимор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-</w:t>
            </w:r>
            <w:r>
              <w:rPr>
                <w:rFonts w:eastAsia="Times New Roman"/>
                <w:color w:val="000000" w:themeColor="text1"/>
                <w:lang w:val="ru-RU"/>
              </w:rPr>
              <w:t>Лешти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Того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,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Тонга, Тринидад и Тобаго, Тунис, Туркменистан, Тувалу, Объединенные Арабские Эмираты, Объединенная Республика Танзания, Узбекистан, Вануату, Венесуэла,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Йемен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Замбия, Зимбабве</w:t>
            </w:r>
          </w:p>
        </w:tc>
      </w:tr>
      <w:tr w:rsidR="00C4000D" w:rsidRPr="00DD6A87" w:rsidTr="00C4000D">
        <w:trPr>
          <w:trHeight w:val="2176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76F1" w:rsidRDefault="00DA76F1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 xml:space="preserve">Исключение для всех лиц с ограниченными возможностями </w:t>
            </w:r>
            <w:r w:rsidR="00C4000D" w:rsidRPr="00DA76F1">
              <w:rPr>
                <w:rFonts w:eastAsia="Times New Roman"/>
                <w:color w:val="000000" w:themeColor="text1"/>
                <w:lang w:val="ru-RU"/>
              </w:rPr>
              <w:t>(*</w:t>
            </w:r>
            <w:r>
              <w:rPr>
                <w:rFonts w:eastAsia="Times New Roman"/>
                <w:color w:val="000000" w:themeColor="text1"/>
                <w:lang w:val="ru-RU"/>
              </w:rPr>
              <w:t>без указания</w:t>
            </w:r>
            <w:r w:rsidR="00E86AC8">
              <w:rPr>
                <w:rFonts w:eastAsia="Times New Roman"/>
                <w:color w:val="000000" w:themeColor="text1"/>
                <w:lang w:val="ru-RU"/>
              </w:rPr>
              <w:t xml:space="preserve"> вида ограниченных возможностей</w:t>
            </w:r>
            <w:r w:rsidR="00C4000D" w:rsidRPr="00DA76F1">
              <w:rPr>
                <w:rFonts w:eastAsia="Times New Roman"/>
                <w:color w:val="000000" w:themeColor="text1"/>
                <w:lang w:val="ru-RU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28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Австрия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Бельгия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Босния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и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Герцеговина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Хорватия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Чешская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Республика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Эквадор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Эстония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Габон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Германия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Венгрия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Индия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Израиль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Италия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Лихтенштейн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Мальта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Мексика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Черногория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Нидерланды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Польша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Республика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Молдова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Румыния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Сан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-</w:t>
            </w:r>
            <w:r>
              <w:rPr>
                <w:rFonts w:eastAsia="Times New Roman"/>
                <w:color w:val="000000" w:themeColor="text1"/>
                <w:lang w:val="ru-RU"/>
              </w:rPr>
              <w:t>Томе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и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Принсипи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Сербия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Словакия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Словения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Швейцария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Северная Македония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Турция </w:t>
            </w:r>
          </w:p>
        </w:tc>
      </w:tr>
      <w:tr w:rsidR="00C4000D" w:rsidRPr="00DD6A87" w:rsidTr="00C4000D">
        <w:trPr>
          <w:trHeight w:val="1514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76F1" w:rsidRDefault="00DA76F1" w:rsidP="00DA76F1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Исключение для лис с нарушениями зрения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25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Австралия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Багамские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Острова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Белиз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Кабо-Верде, Чили, Кот-д'Ивуар, Дания, Фиджи, Греция, Ирландия, Ямайка, Япония, Либерия, Литва, Люксембург, Малайзия, Монголия, Новая Зеландия, Ниуэ, Норвегия, Сент-Винсент и Гренадины, Таиланд, Уганда, Соединенное Королевство, Соединенные Штаты Америки</w:t>
            </w:r>
          </w:p>
        </w:tc>
      </w:tr>
      <w:tr w:rsidR="00C4000D" w:rsidRPr="00DD6A87" w:rsidTr="00DD6A87">
        <w:trPr>
          <w:trHeight w:val="1600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76F1" w:rsidRDefault="00DA76F1" w:rsidP="00DA76F1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 xml:space="preserve">Исключение для лиц с когнитивными </w:t>
            </w:r>
            <w:r w:rsidR="00C4000D" w:rsidRPr="00DA76F1">
              <w:rPr>
                <w:rFonts w:eastAsia="Times New Roman"/>
                <w:color w:val="000000" w:themeColor="text1"/>
                <w:lang w:val="ru-RU"/>
              </w:rPr>
              <w:t>/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умственными нарушениями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22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Албания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Аргентина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Австралия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Белиз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Кабо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-</w:t>
            </w:r>
            <w:r>
              <w:rPr>
                <w:rFonts w:eastAsia="Times New Roman"/>
                <w:color w:val="000000" w:themeColor="text1"/>
                <w:lang w:val="ru-RU"/>
              </w:rPr>
              <w:t>Верде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Канада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Фиджи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Франция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Ирландия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Япония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Латвия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Литва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Малайзия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Новая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Зеландия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Ниуэ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Филиппины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Сент-Винсент и Гренадины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Сингапур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Испания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Таиланд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Соединенное Королевство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Уругвай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C4000D" w:rsidRPr="00DD6A87" w:rsidTr="00DD6A87">
        <w:trPr>
          <w:trHeight w:val="1355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76F1" w:rsidRDefault="00DA76F1" w:rsidP="00DA76F1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lastRenderedPageBreak/>
              <w:t>Исключение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для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лиц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с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физическими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недостатками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19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Аргентина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Австралия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Белиз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Кот-д'Ивуар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Дания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Доминиканская Республика, </w:t>
            </w:r>
            <w:r>
              <w:rPr>
                <w:rFonts w:eastAsia="Times New Roman"/>
                <w:color w:val="000000" w:themeColor="text1"/>
                <w:lang w:val="ru-RU"/>
              </w:rPr>
              <w:t>Фиджи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Франция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Ирландия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Латвия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Литва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Малайзия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Новая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Зеландия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Ниуэ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Сент-Винсент и Гренадины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Испания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Таиланд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Соединенное Королевство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Уругвай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C4000D" w:rsidRPr="00DD6A87" w:rsidTr="00C4000D">
        <w:trPr>
          <w:trHeight w:val="1997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76F1" w:rsidRDefault="00DA76F1" w:rsidP="00DA3F77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Исключение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для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лиц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с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нарушениями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зрения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только ограниченными способностями воспринимать печатную информацию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 xml:space="preserve">/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тексты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24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Аргентина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,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Армения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Азербайджан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Беларусь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Бразилия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Болгария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Камерун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Китай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Корейская Народно-Демократическая Республика, Грузия, Гренада, Индонезия, Казахстан, Лаосская Народно-Демократическая Республика, Маврикий, Никарагуа, Панама, Парагвай, Перу, Филиппины, Руанда, Украина, Уругвай, Вьетнам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C4000D" w:rsidRPr="00DD6A87" w:rsidTr="00C4000D">
        <w:trPr>
          <w:trHeight w:val="3423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76F1" w:rsidRDefault="00DA76F1" w:rsidP="00DA76F1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Исключение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для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лиц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с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нарушениями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зрения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помимо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ограниченных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способностей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воспринимать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печатную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информацию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>/</w:t>
            </w:r>
            <w:r>
              <w:rPr>
                <w:rFonts w:eastAsia="Times New Roman"/>
                <w:color w:val="000000" w:themeColor="text1"/>
                <w:lang w:val="ru-RU"/>
              </w:rPr>
              <w:t>тексты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>/</w:t>
            </w:r>
            <w:r>
              <w:rPr>
                <w:rFonts w:eastAsia="Times New Roman"/>
                <w:color w:val="000000" w:themeColor="text1"/>
                <w:lang w:val="ru-RU"/>
              </w:rPr>
              <w:t>неуказанные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произведения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72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 w:rsidRPr="00E86AC8">
              <w:rPr>
                <w:rFonts w:eastAsia="Times New Roman"/>
                <w:color w:val="000000" w:themeColor="text1"/>
                <w:lang w:val="ru-RU"/>
              </w:rPr>
              <w:t>Албания, Австралия, Австрия, Багамские Острова, Белиз, Босния и Герцеговина, Кабо-Верде, Канада, Чили, Колумбия, Острова Кука, Кот-д'Ивуар, Хорватия, Чешская Республика, Дания, Эквадор, Сальвадор, Эстония, Фиджи, Финляндия, Франция, Габон, Германия, Греция, Венгрия, Исландия, Израиль, Индия, Ирландия, Италия, Ямайка,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Япония,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Кувейт, Кыргызстан, Латвия, Либерия, Лихтенштейн, Литва, Люксембург, Малави, Малайзия, Мальта, Мексика, Монголия, Черногория, Нидерланды, Новая Зеландия, Нигерия, Ниуэ, Норвегия, Польша, Португалия, Республика Корея, Республика Молдова, Румыния, Сент-Винсент и Гренадины, Сан-Томе и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 Принсипи, Сербия, Сейшельские О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строва, Сингапур, Словакия, Испания, Швеция, Швейцария, Таиланд,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Северная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Македония, Турция, Уганда, Соединенное Королевство, Соединенные Штаты Америки </w:t>
            </w:r>
          </w:p>
        </w:tc>
      </w:tr>
      <w:tr w:rsidR="00C4000D" w:rsidRPr="00DD6A87" w:rsidTr="00C4000D">
        <w:trPr>
          <w:trHeight w:val="2057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76F1" w:rsidRDefault="00DA76F1" w:rsidP="00DA3F77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Общие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положения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C4000D" w:rsidRPr="00DA76F1">
              <w:rPr>
                <w:rFonts w:eastAsia="Times New Roman"/>
                <w:color w:val="000000" w:themeColor="text1"/>
                <w:lang w:val="ru-RU"/>
              </w:rPr>
              <w:t>(</w:t>
            </w:r>
            <w:r>
              <w:rPr>
                <w:rFonts w:eastAsia="Times New Roman"/>
                <w:color w:val="000000" w:themeColor="text1"/>
                <w:lang w:val="ru-RU"/>
              </w:rPr>
              <w:t>добросовестное</w:t>
            </w:r>
            <w:r w:rsidRPr="00DA76F1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использование</w:t>
            </w:r>
            <w:r w:rsidR="00C4000D" w:rsidRPr="00DA76F1">
              <w:rPr>
                <w:rFonts w:eastAsia="Times New Roman"/>
                <w:color w:val="000000" w:themeColor="text1"/>
                <w:lang w:val="ru-RU"/>
              </w:rPr>
              <w:t xml:space="preserve">)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которые разрешают изготовление экземпляров произведений в доступном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 xml:space="preserve">формате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Доминика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Израиль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Кыргызстан, Микронезия, Шри-Ланка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Соединенные Штаты Америки</w:t>
            </w:r>
          </w:p>
        </w:tc>
      </w:tr>
      <w:tr w:rsidR="00C4000D" w:rsidRPr="00DD6A87" w:rsidTr="00DD6A87">
        <w:trPr>
          <w:trHeight w:val="1176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3F77" w:rsidRDefault="00DA3F77" w:rsidP="00DA3F77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 xml:space="preserve">Положения, касающиеся импорта/ экспорта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Канада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(</w:t>
            </w:r>
            <w:r>
              <w:rPr>
                <w:rFonts w:eastAsia="Times New Roman"/>
                <w:color w:val="000000" w:themeColor="text1"/>
                <w:lang w:val="ru-RU"/>
              </w:rPr>
              <w:t>импорт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и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>Острова Кука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 и 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Индонезия 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 и 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>Япония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 и 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>Либерия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Маврикий 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 и 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>Норвегия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 и 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Руанда 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Сейшельские Острова 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>Сингапур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 и 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Словакия 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 и 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Швейцария 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(</w:t>
            </w:r>
            <w:r>
              <w:rPr>
                <w:rFonts w:eastAsia="Times New Roman"/>
                <w:color w:val="000000" w:themeColor="text1"/>
                <w:lang w:val="ru-RU"/>
              </w:rPr>
              <w:t>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),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Соединенные Штаты Америки 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(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>импорт и экспорт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>)</w:t>
            </w:r>
          </w:p>
        </w:tc>
      </w:tr>
      <w:tr w:rsidR="00C4000D" w:rsidRPr="00DD6A87" w:rsidTr="00DD6A87">
        <w:trPr>
          <w:trHeight w:val="1740"/>
        </w:trPr>
        <w:tc>
          <w:tcPr>
            <w:tcW w:w="1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E86AC8" w:rsidRDefault="00E86AC8" w:rsidP="00E86AC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lastRenderedPageBreak/>
              <w:t>Исключение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для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лиц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с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ограниченными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возможностями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из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положений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касающихся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действий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в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обход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технических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средств</w:t>
            </w:r>
            <w:r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lang w:val="ru-RU"/>
              </w:rPr>
              <w:t>охраны</w:t>
            </w:r>
            <w:r w:rsidR="00C4000D" w:rsidRPr="00E86AC8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23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AA4B31" w:rsidRDefault="00AA4B31" w:rsidP="00AA4B31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Аргентина, Австралия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Беларусь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Острова Кука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Хорватия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Дания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Эквадор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Франция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Германия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Греция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Индонезия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Ямайка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Япония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Либерия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Литва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Малави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Нидерланды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Португалия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Румыния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Сингапур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Словакия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>Швеция</w:t>
            </w:r>
            <w:r w:rsidR="00C4000D" w:rsidRPr="00AA4B31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Соединенные Штаты Америки </w:t>
            </w:r>
          </w:p>
        </w:tc>
      </w:tr>
      <w:tr w:rsidR="00C4000D" w:rsidTr="00C4000D">
        <w:trPr>
          <w:trHeight w:val="1740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DA3F77" w:rsidRDefault="00666678" w:rsidP="0066667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>Исключение прямо н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е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каса</w:t>
            </w:r>
            <w:r w:rsidR="00AA4B31">
              <w:rPr>
                <w:rFonts w:eastAsia="Times New Roman"/>
                <w:color w:val="000000" w:themeColor="text1"/>
                <w:lang w:val="ru-RU"/>
              </w:rPr>
              <w:t>ет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ся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лиц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с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ограниченными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возможностями</w:t>
            </w:r>
            <w:r w:rsidR="00C4000D" w:rsidRPr="00DA3F77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но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в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целом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AA4B31">
              <w:rPr>
                <w:rFonts w:eastAsia="Times New Roman"/>
                <w:color w:val="000000" w:themeColor="text1"/>
                <w:lang w:val="ru-RU"/>
              </w:rPr>
              <w:t>допускае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т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изменение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перевод</w:t>
            </w:r>
            <w:r w:rsidR="00DA3F77" w:rsidRPr="00DA3F77">
              <w:rPr>
                <w:rFonts w:eastAsia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/>
                <w:color w:val="000000" w:themeColor="text1"/>
                <w:lang w:val="ru-RU"/>
              </w:rPr>
              <w:t xml:space="preserve">преобразование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 xml:space="preserve">или </w:t>
            </w:r>
            <w:r w:rsidR="009941C8">
              <w:rPr>
                <w:rFonts w:eastAsia="Times New Roman"/>
                <w:color w:val="000000" w:themeColor="text1"/>
                <w:lang w:val="ru-RU"/>
              </w:rPr>
              <w:t xml:space="preserve">создание нового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>произведени</w:t>
            </w:r>
            <w:r w:rsidR="009941C8">
              <w:rPr>
                <w:rFonts w:eastAsia="Times New Roman"/>
                <w:color w:val="000000" w:themeColor="text1"/>
                <w:lang w:val="ru-RU"/>
              </w:rPr>
              <w:t>я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AA4B31" w:rsidP="00AA4B31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 xml:space="preserve">Кувейт </w:t>
            </w:r>
          </w:p>
        </w:tc>
      </w:tr>
      <w:tr w:rsidR="00C4000D" w:rsidRPr="00DD6A87" w:rsidTr="00C4000D">
        <w:trPr>
          <w:trHeight w:val="1280"/>
        </w:trPr>
        <w:tc>
          <w:tcPr>
            <w:tcW w:w="1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AA4B31" w:rsidRDefault="00666678" w:rsidP="00666678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>
              <w:rPr>
                <w:rFonts w:eastAsia="Times New Roman"/>
                <w:color w:val="000000" w:themeColor="text1"/>
                <w:lang w:val="ru-RU"/>
              </w:rPr>
              <w:t xml:space="preserve">Не может быть уточнено ввиду </w:t>
            </w:r>
            <w:r w:rsidR="00DA3F77">
              <w:rPr>
                <w:rFonts w:eastAsia="Times New Roman"/>
                <w:color w:val="000000" w:themeColor="text1"/>
                <w:lang w:val="ru-RU"/>
              </w:rPr>
              <w:t xml:space="preserve">языкового барьера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Default="00C4000D">
            <w:pPr>
              <w:widowControl w:val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000D" w:rsidRPr="00AA4B31" w:rsidRDefault="00AA4B31">
            <w:pPr>
              <w:widowControl w:val="0"/>
              <w:rPr>
                <w:rFonts w:eastAsia="Times New Roman"/>
                <w:color w:val="000000" w:themeColor="text1"/>
                <w:lang w:val="ru-RU"/>
              </w:rPr>
            </w:pPr>
            <w:r w:rsidRPr="00AA4B31">
              <w:rPr>
                <w:rFonts w:eastAsia="Times New Roman"/>
                <w:color w:val="000000" w:themeColor="text1"/>
                <w:lang w:val="ru-RU"/>
              </w:rPr>
              <w:t>Центральноа</w:t>
            </w:r>
            <w:r w:rsidR="00666678">
              <w:rPr>
                <w:rFonts w:eastAsia="Times New Roman"/>
                <w:color w:val="000000" w:themeColor="text1"/>
                <w:lang w:val="ru-RU"/>
              </w:rPr>
              <w:t>фриканская Республика, Святой</w:t>
            </w:r>
            <w:r w:rsidRPr="00AA4B31">
              <w:rPr>
                <w:rFonts w:eastAsia="Times New Roman"/>
                <w:color w:val="000000" w:themeColor="text1"/>
                <w:lang w:val="ru-RU"/>
              </w:rPr>
              <w:t xml:space="preserve"> Престол, Российская Федерация</w:t>
            </w:r>
          </w:p>
        </w:tc>
      </w:tr>
    </w:tbl>
    <w:p w:rsidR="00C4000D" w:rsidRPr="00AA4B31" w:rsidRDefault="00C4000D" w:rsidP="00CA79F8">
      <w:pPr>
        <w:rPr>
          <w:rFonts w:eastAsia="Arial"/>
          <w:bCs/>
          <w:i/>
          <w:szCs w:val="22"/>
          <w:lang w:val="ru-RU" w:eastAsia="en-US"/>
        </w:rPr>
      </w:pPr>
      <w:bookmarkStart w:id="47" w:name="_Toc536636754"/>
    </w:p>
    <w:p w:rsidR="00C4000D" w:rsidRPr="00AA4B31" w:rsidRDefault="00C4000D" w:rsidP="00CA79F8">
      <w:pPr>
        <w:rPr>
          <w:bCs/>
          <w:i/>
          <w:lang w:val="ru-RU" w:eastAsia="en-US"/>
        </w:rPr>
      </w:pPr>
    </w:p>
    <w:p w:rsidR="00C4000D" w:rsidRPr="00DA3F77" w:rsidRDefault="00DA3F77" w:rsidP="00CA79F8">
      <w:pPr>
        <w:rPr>
          <w:b/>
          <w:bCs/>
          <w:color w:val="4472C4" w:themeColor="accent1"/>
          <w:lang w:val="ru-RU" w:eastAsia="en-US"/>
        </w:rPr>
      </w:pPr>
      <w:r>
        <w:rPr>
          <w:bCs/>
          <w:i/>
          <w:lang w:val="ru-RU" w:eastAsia="en-US"/>
        </w:rPr>
        <w:t>Примечание</w:t>
      </w:r>
      <w:r w:rsidR="00C4000D" w:rsidRPr="00DA3F77">
        <w:rPr>
          <w:bCs/>
          <w:i/>
          <w:lang w:val="ru-RU" w:eastAsia="en-US"/>
        </w:rPr>
        <w:t xml:space="preserve">:  </w:t>
      </w:r>
      <w:r>
        <w:rPr>
          <w:bCs/>
          <w:i/>
          <w:lang w:val="ru-RU" w:eastAsia="en-US"/>
        </w:rPr>
        <w:t>Таблица</w:t>
      </w:r>
      <w:r w:rsidRPr="00DA3F77">
        <w:rPr>
          <w:bCs/>
          <w:i/>
          <w:lang w:val="ru-RU" w:eastAsia="en-US"/>
        </w:rPr>
        <w:t xml:space="preserve"> </w:t>
      </w:r>
      <w:r>
        <w:rPr>
          <w:bCs/>
          <w:i/>
          <w:lang w:val="ru-RU" w:eastAsia="en-US"/>
        </w:rPr>
        <w:t>государств</w:t>
      </w:r>
      <w:r w:rsidRPr="00DA3F77">
        <w:rPr>
          <w:bCs/>
          <w:i/>
          <w:lang w:val="ru-RU" w:eastAsia="en-US"/>
        </w:rPr>
        <w:t>-</w:t>
      </w:r>
      <w:r>
        <w:rPr>
          <w:bCs/>
          <w:i/>
          <w:lang w:val="ru-RU" w:eastAsia="en-US"/>
        </w:rPr>
        <w:t>членов</w:t>
      </w:r>
      <w:r w:rsidRPr="00DA3F77">
        <w:rPr>
          <w:bCs/>
          <w:i/>
          <w:lang w:val="ru-RU" w:eastAsia="en-US"/>
        </w:rPr>
        <w:t xml:space="preserve"> </w:t>
      </w:r>
      <w:r>
        <w:rPr>
          <w:bCs/>
          <w:i/>
          <w:lang w:val="ru-RU" w:eastAsia="en-US"/>
        </w:rPr>
        <w:t>ВОИС</w:t>
      </w:r>
      <w:r w:rsidRPr="00DA3F77">
        <w:rPr>
          <w:bCs/>
          <w:i/>
          <w:lang w:val="ru-RU" w:eastAsia="en-US"/>
        </w:rPr>
        <w:t xml:space="preserve"> </w:t>
      </w:r>
      <w:r>
        <w:rPr>
          <w:bCs/>
          <w:i/>
          <w:lang w:val="ru-RU" w:eastAsia="en-US"/>
        </w:rPr>
        <w:t>доступна</w:t>
      </w:r>
      <w:r w:rsidRPr="00DA3F77">
        <w:rPr>
          <w:bCs/>
          <w:i/>
          <w:lang w:val="ru-RU" w:eastAsia="en-US"/>
        </w:rPr>
        <w:t xml:space="preserve"> </w:t>
      </w:r>
      <w:r>
        <w:rPr>
          <w:bCs/>
          <w:i/>
          <w:lang w:val="ru-RU" w:eastAsia="en-US"/>
        </w:rPr>
        <w:t>на</w:t>
      </w:r>
      <w:r w:rsidRPr="00DA3F77">
        <w:rPr>
          <w:bCs/>
          <w:i/>
          <w:lang w:val="ru-RU" w:eastAsia="en-US"/>
        </w:rPr>
        <w:t xml:space="preserve"> </w:t>
      </w:r>
      <w:r>
        <w:rPr>
          <w:bCs/>
          <w:i/>
          <w:lang w:val="ru-RU" w:eastAsia="en-US"/>
        </w:rPr>
        <w:t>английском</w:t>
      </w:r>
      <w:r w:rsidRPr="00DA3F77">
        <w:rPr>
          <w:bCs/>
          <w:i/>
          <w:lang w:val="ru-RU" w:eastAsia="en-US"/>
        </w:rPr>
        <w:t xml:space="preserve"> </w:t>
      </w:r>
      <w:r>
        <w:rPr>
          <w:bCs/>
          <w:i/>
          <w:lang w:val="ru-RU" w:eastAsia="en-US"/>
        </w:rPr>
        <w:t>языке</w:t>
      </w:r>
      <w:r w:rsidR="00C4000D" w:rsidRPr="00DA3F77">
        <w:rPr>
          <w:bCs/>
          <w:i/>
          <w:lang w:val="ru-RU" w:eastAsia="en-US"/>
        </w:rPr>
        <w:t>.</w:t>
      </w:r>
    </w:p>
    <w:bookmarkEnd w:id="47"/>
    <w:p w:rsidR="007862C0" w:rsidRPr="00DA3F77" w:rsidRDefault="007862C0" w:rsidP="00CA79F8">
      <w:pPr>
        <w:widowControl w:val="0"/>
        <w:rPr>
          <w:lang w:val="ru-RU"/>
        </w:rPr>
      </w:pPr>
    </w:p>
    <w:p w:rsidR="007862C0" w:rsidRPr="00DA3F77" w:rsidRDefault="007862C0" w:rsidP="00CA79F8">
      <w:pPr>
        <w:widowControl w:val="0"/>
        <w:rPr>
          <w:lang w:val="ru-RU"/>
        </w:rPr>
      </w:pPr>
    </w:p>
    <w:p w:rsidR="00CA79F8" w:rsidRPr="00DA3F77" w:rsidRDefault="00CA79F8" w:rsidP="00CA79F8">
      <w:pPr>
        <w:widowControl w:val="0"/>
        <w:rPr>
          <w:lang w:val="ru-RU"/>
        </w:rPr>
      </w:pPr>
    </w:p>
    <w:p w:rsidR="007862C0" w:rsidRDefault="007862C0" w:rsidP="00CA79F8">
      <w:pPr>
        <w:widowControl w:val="0"/>
        <w:spacing w:line="300" w:lineRule="auto"/>
        <w:ind w:left="5387"/>
      </w:pPr>
      <w:r>
        <w:t>[</w:t>
      </w:r>
      <w:r w:rsidR="00DA3F77">
        <w:rPr>
          <w:lang w:val="ru-RU"/>
        </w:rPr>
        <w:t>Конец документа</w:t>
      </w:r>
      <w:r>
        <w:t>]</w:t>
      </w:r>
    </w:p>
    <w:sectPr w:rsidR="007862C0" w:rsidSect="00A96DB5">
      <w:headerReference w:type="first" r:id="rId10"/>
      <w:pgSz w:w="11909" w:h="16834"/>
      <w:pgMar w:top="816" w:right="1440" w:bottom="1440" w:left="1440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DA" w:rsidRDefault="003223DA" w:rsidP="00972CE9">
      <w:r>
        <w:separator/>
      </w:r>
    </w:p>
  </w:endnote>
  <w:endnote w:type="continuationSeparator" w:id="0">
    <w:p w:rsidR="003223DA" w:rsidRDefault="003223DA" w:rsidP="0097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DA" w:rsidRDefault="003223DA" w:rsidP="00972CE9">
      <w:r>
        <w:separator/>
      </w:r>
    </w:p>
  </w:footnote>
  <w:footnote w:type="continuationSeparator" w:id="0">
    <w:p w:rsidR="003223DA" w:rsidRDefault="003223DA" w:rsidP="00972CE9">
      <w:r>
        <w:continuationSeparator/>
      </w:r>
    </w:p>
  </w:footnote>
  <w:footnote w:id="1">
    <w:p w:rsidR="001B7D00" w:rsidRPr="00CD7952" w:rsidRDefault="001B7D00" w:rsidP="007E19A1">
      <w:pPr>
        <w:pStyle w:val="FootnoteText"/>
        <w:rPr>
          <w:lang w:val="ru-RU" w:eastAsia="en-ZA"/>
        </w:rPr>
      </w:pPr>
      <w:r>
        <w:rPr>
          <w:rStyle w:val="FootnoteReference"/>
        </w:rPr>
        <w:footnoteRef/>
      </w:r>
      <w:r w:rsidRPr="008E7317">
        <w:rPr>
          <w:lang w:val="ru-RU"/>
        </w:rPr>
        <w:t xml:space="preserve"> </w:t>
      </w:r>
      <w:r>
        <w:rPr>
          <w:lang w:val="ru-RU"/>
        </w:rPr>
        <w:t>Создание</w:t>
      </w:r>
      <w:r w:rsidRPr="008E7317">
        <w:rPr>
          <w:lang w:val="ru-RU"/>
        </w:rPr>
        <w:t xml:space="preserve"> </w:t>
      </w:r>
      <w:r>
        <w:rPr>
          <w:lang w:val="ru-RU"/>
        </w:rPr>
        <w:t>доступных</w:t>
      </w:r>
      <w:r w:rsidRPr="008E7317">
        <w:rPr>
          <w:lang w:val="ru-RU"/>
        </w:rPr>
        <w:t xml:space="preserve"> </w:t>
      </w:r>
      <w:r>
        <w:rPr>
          <w:lang w:val="ru-RU"/>
        </w:rPr>
        <w:t>форматов</w:t>
      </w:r>
      <w:r w:rsidRPr="008E7317">
        <w:rPr>
          <w:lang w:val="ru-RU"/>
        </w:rPr>
        <w:t xml:space="preserve"> </w:t>
      </w:r>
      <w:r>
        <w:rPr>
          <w:lang w:val="ru-RU"/>
        </w:rPr>
        <w:t>может</w:t>
      </w:r>
      <w:r w:rsidRPr="008E7317">
        <w:rPr>
          <w:lang w:val="ru-RU"/>
        </w:rPr>
        <w:t xml:space="preserve"> </w:t>
      </w:r>
      <w:r>
        <w:rPr>
          <w:lang w:val="ru-RU"/>
        </w:rPr>
        <w:t>затрагивать как</w:t>
      </w:r>
      <w:r w:rsidRPr="008E7317">
        <w:rPr>
          <w:lang w:val="ru-RU"/>
        </w:rPr>
        <w:t xml:space="preserve"> </w:t>
      </w:r>
      <w:r>
        <w:rPr>
          <w:lang w:val="ru-RU"/>
        </w:rPr>
        <w:t>права</w:t>
      </w:r>
      <w:r w:rsidRPr="008E7317">
        <w:rPr>
          <w:lang w:val="ru-RU"/>
        </w:rPr>
        <w:t xml:space="preserve"> </w:t>
      </w:r>
      <w:r>
        <w:rPr>
          <w:lang w:val="ru-RU"/>
        </w:rPr>
        <w:t>на</w:t>
      </w:r>
      <w:r w:rsidRPr="008E7317">
        <w:rPr>
          <w:lang w:val="ru-RU"/>
        </w:rPr>
        <w:t xml:space="preserve"> </w:t>
      </w:r>
      <w:r>
        <w:rPr>
          <w:lang w:val="ru-RU"/>
        </w:rPr>
        <w:t>воспроизведение, так и права на распространение. Во</w:t>
      </w:r>
      <w:r w:rsidRPr="008E7317">
        <w:rPr>
          <w:lang w:val="ru-RU"/>
        </w:rPr>
        <w:t>-</w:t>
      </w:r>
      <w:r>
        <w:rPr>
          <w:lang w:val="ru-RU"/>
        </w:rPr>
        <w:t>первых</w:t>
      </w:r>
      <w:r w:rsidRPr="008E7317">
        <w:rPr>
          <w:lang w:val="ru-RU"/>
        </w:rPr>
        <w:t xml:space="preserve">, </w:t>
      </w:r>
      <w:r>
        <w:rPr>
          <w:lang w:val="ru-RU"/>
        </w:rPr>
        <w:t>изменение</w:t>
      </w:r>
      <w:r w:rsidRPr="008E7317">
        <w:rPr>
          <w:lang w:val="ru-RU"/>
        </w:rPr>
        <w:t xml:space="preserve"> </w:t>
      </w:r>
      <w:r>
        <w:rPr>
          <w:lang w:val="ru-RU"/>
        </w:rPr>
        <w:t>контента</w:t>
      </w:r>
      <w:r w:rsidRPr="008E7317">
        <w:rPr>
          <w:lang w:val="ru-RU"/>
        </w:rPr>
        <w:t xml:space="preserve"> </w:t>
      </w:r>
      <w:r>
        <w:rPr>
          <w:lang w:val="ru-RU"/>
        </w:rPr>
        <w:t>оригинальных произведений, охраняемых авторским правом, часто является нарушением исключительных прав на воспроизведение. Во</w:t>
      </w:r>
      <w:r w:rsidRPr="00490B00">
        <w:rPr>
          <w:lang w:val="ru-RU"/>
        </w:rPr>
        <w:t>-</w:t>
      </w:r>
      <w:r>
        <w:rPr>
          <w:lang w:val="ru-RU"/>
        </w:rPr>
        <w:t>вторых</w:t>
      </w:r>
      <w:r w:rsidRPr="00490B00">
        <w:rPr>
          <w:lang w:val="ru-RU"/>
        </w:rPr>
        <w:t xml:space="preserve">, </w:t>
      </w:r>
      <w:r>
        <w:rPr>
          <w:lang w:val="ru-RU"/>
        </w:rPr>
        <w:t>произведения в доступных форматах должны создаваться только для лиц с ограниченными</w:t>
      </w:r>
      <w:r w:rsidRPr="001D6736">
        <w:rPr>
          <w:lang w:val="ru-RU"/>
        </w:rPr>
        <w:t xml:space="preserve"> </w:t>
      </w:r>
      <w:r>
        <w:rPr>
          <w:lang w:val="ru-RU"/>
        </w:rPr>
        <w:t>возможностями и распространяться среди них. Это означает, что создание доступных форматов может также затрагивать исключительные права</w:t>
      </w:r>
      <w:r w:rsidRPr="008E7317">
        <w:rPr>
          <w:lang w:val="ru-RU"/>
        </w:rPr>
        <w:t xml:space="preserve"> </w:t>
      </w:r>
      <w:r>
        <w:rPr>
          <w:lang w:val="ru-RU"/>
        </w:rPr>
        <w:t xml:space="preserve">на распространение. </w:t>
      </w:r>
    </w:p>
  </w:footnote>
  <w:footnote w:id="2">
    <w:p w:rsidR="001B7D00" w:rsidRPr="00902165" w:rsidRDefault="001B7D00" w:rsidP="00893645">
      <w:pPr>
        <w:pStyle w:val="FootnoteText"/>
        <w:rPr>
          <w:lang w:val="ru-RU"/>
        </w:rPr>
      </w:pPr>
      <w:r>
        <w:rPr>
          <w:vertAlign w:val="superscript"/>
        </w:rPr>
        <w:footnoteRef/>
      </w:r>
      <w:r w:rsidRPr="0066285C">
        <w:rPr>
          <w:lang w:val="ru-RU"/>
        </w:rPr>
        <w:t xml:space="preserve"> </w:t>
      </w:r>
      <w:r w:rsidRPr="00104107">
        <w:rPr>
          <w:lang w:val="ru-RU"/>
        </w:rPr>
        <w:t>См., например,</w:t>
      </w:r>
      <w:r w:rsidRPr="0066285C">
        <w:rPr>
          <w:lang w:val="ru-RU"/>
        </w:rPr>
        <w:t xml:space="preserve"> </w:t>
      </w:r>
      <w:r w:rsidRPr="003B6029">
        <w:rPr>
          <w:lang w:val="ru-RU"/>
        </w:rPr>
        <w:t>проект</w:t>
      </w:r>
      <w:r>
        <w:rPr>
          <w:lang w:val="ru-RU"/>
        </w:rPr>
        <w:t>а</w:t>
      </w:r>
      <w:r w:rsidRPr="0066285C">
        <w:rPr>
          <w:lang w:val="ru-RU"/>
        </w:rPr>
        <w:t xml:space="preserve"> </w:t>
      </w:r>
      <w:r w:rsidRPr="003B6029">
        <w:rPr>
          <w:lang w:val="ru-RU"/>
        </w:rPr>
        <w:t>отчета</w:t>
      </w:r>
      <w:r w:rsidRPr="0066285C">
        <w:rPr>
          <w:lang w:val="ru-RU"/>
        </w:rPr>
        <w:t xml:space="preserve"> </w:t>
      </w:r>
      <w:r w:rsidRPr="003B6029">
        <w:rPr>
          <w:lang w:val="ru-RU"/>
        </w:rPr>
        <w:t>Секретариата</w:t>
      </w:r>
      <w:r w:rsidRPr="0066285C">
        <w:rPr>
          <w:lang w:val="ru-RU"/>
        </w:rPr>
        <w:t xml:space="preserve"> </w:t>
      </w:r>
      <w:r>
        <w:rPr>
          <w:lang w:val="ru-RU"/>
        </w:rPr>
        <w:t>о</w:t>
      </w:r>
      <w:r w:rsidRPr="0066285C">
        <w:rPr>
          <w:lang w:val="ru-RU"/>
        </w:rPr>
        <w:t xml:space="preserve"> 30-</w:t>
      </w:r>
      <w:r w:rsidRPr="003B6029">
        <w:rPr>
          <w:lang w:val="ru-RU"/>
        </w:rPr>
        <w:t>й</w:t>
      </w:r>
      <w:r w:rsidRPr="0066285C">
        <w:rPr>
          <w:lang w:val="ru-RU"/>
        </w:rPr>
        <w:t xml:space="preserve"> </w:t>
      </w:r>
      <w:r>
        <w:rPr>
          <w:lang w:val="ru-RU"/>
        </w:rPr>
        <w:t>сессии</w:t>
      </w:r>
      <w:r w:rsidRPr="0066285C">
        <w:rPr>
          <w:lang w:val="ru-RU"/>
        </w:rPr>
        <w:t xml:space="preserve"> Постоянного комитета государств – членов ВОИС по авторскому праву и смежным правам, 99 (14 </w:t>
      </w:r>
      <w:r>
        <w:rPr>
          <w:lang w:val="ru-RU"/>
        </w:rPr>
        <w:t>сентября</w:t>
      </w:r>
      <w:r w:rsidRPr="0066285C">
        <w:rPr>
          <w:lang w:val="ru-RU"/>
        </w:rPr>
        <w:t xml:space="preserve"> 2015</w:t>
      </w:r>
      <w:r w:rsidRPr="0066285C">
        <w:t> </w:t>
      </w:r>
      <w:r>
        <w:rPr>
          <w:lang w:val="ru-RU"/>
        </w:rPr>
        <w:t>г</w:t>
      </w:r>
      <w:r w:rsidRPr="0066285C">
        <w:rPr>
          <w:lang w:val="ru-RU"/>
        </w:rPr>
        <w:t>.</w:t>
      </w:r>
      <w:r>
        <w:rPr>
          <w:lang w:val="ru-RU"/>
        </w:rPr>
        <w:t>).</w:t>
      </w:r>
    </w:p>
  </w:footnote>
  <w:footnote w:id="3">
    <w:p w:rsidR="001B7D00" w:rsidRPr="00902165" w:rsidRDefault="001B7D00" w:rsidP="0089364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A3E42">
        <w:rPr>
          <w:lang w:val="ru-RU"/>
        </w:rPr>
        <w:t xml:space="preserve"> Постоянн</w:t>
      </w:r>
      <w:r>
        <w:rPr>
          <w:lang w:val="ru-RU"/>
        </w:rPr>
        <w:t>ый</w:t>
      </w:r>
      <w:r w:rsidRPr="007A3E42">
        <w:rPr>
          <w:lang w:val="ru-RU"/>
        </w:rPr>
        <w:t xml:space="preserve"> комитет государств – членов ВОИС по авторскому праву и смежным правам, </w:t>
      </w:r>
      <w:r>
        <w:rPr>
          <w:lang w:val="ru-RU"/>
        </w:rPr>
        <w:t>обзорное</w:t>
      </w:r>
      <w:r w:rsidRPr="007A3E42">
        <w:rPr>
          <w:lang w:val="ru-RU"/>
        </w:rPr>
        <w:t xml:space="preserve"> </w:t>
      </w:r>
      <w:r>
        <w:rPr>
          <w:lang w:val="ru-RU"/>
        </w:rPr>
        <w:t>исследование</w:t>
      </w:r>
      <w:r w:rsidRPr="007A3E42">
        <w:rPr>
          <w:lang w:val="ru-RU"/>
        </w:rPr>
        <w:t xml:space="preserve"> по вопросу о доступе лиц с ограниченными возможностями к произведениям, охраняемым авторским правом (13 – 17 </w:t>
      </w:r>
      <w:r>
        <w:rPr>
          <w:lang w:val="ru-RU"/>
        </w:rPr>
        <w:t>ноября</w:t>
      </w:r>
      <w:r w:rsidRPr="007A3E42">
        <w:rPr>
          <w:lang w:val="ru-RU"/>
        </w:rPr>
        <w:t xml:space="preserve"> 2017</w:t>
      </w:r>
      <w:r w:rsidRPr="007A3E42">
        <w:t> </w:t>
      </w:r>
      <w:r>
        <w:rPr>
          <w:lang w:val="ru-RU"/>
        </w:rPr>
        <w:t>г</w:t>
      </w:r>
      <w:r w:rsidRPr="007A3E42">
        <w:rPr>
          <w:lang w:val="ru-RU"/>
        </w:rPr>
        <w:t>.</w:t>
      </w:r>
      <w:r>
        <w:rPr>
          <w:lang w:val="ru-RU"/>
        </w:rPr>
        <w:t>)</w:t>
      </w:r>
      <w:r w:rsidRPr="00902165">
        <w:rPr>
          <w:lang w:val="ru-RU"/>
        </w:rPr>
        <w:t>.</w:t>
      </w:r>
    </w:p>
  </w:footnote>
  <w:footnote w:id="4">
    <w:p w:rsidR="001B7D00" w:rsidRPr="00CD7952" w:rsidRDefault="001B7D00" w:rsidP="0093693B">
      <w:pPr>
        <w:rPr>
          <w:lang w:val="ru-RU"/>
        </w:rPr>
      </w:pPr>
      <w:r>
        <w:rPr>
          <w:rStyle w:val="FootnoteReference"/>
          <w:sz w:val="20"/>
        </w:rPr>
        <w:footnoteRef/>
      </w:r>
      <w:r w:rsidRPr="0066285C">
        <w:rPr>
          <w:sz w:val="20"/>
          <w:lang w:val="ru-RU"/>
        </w:rPr>
        <w:t xml:space="preserve"> </w:t>
      </w:r>
      <w:r>
        <w:rPr>
          <w:sz w:val="20"/>
          <w:lang w:val="ru-RU"/>
        </w:rPr>
        <w:t>Всемирная</w:t>
      </w:r>
      <w:r w:rsidRPr="0066285C">
        <w:rPr>
          <w:sz w:val="20"/>
          <w:lang w:val="ru-RU"/>
        </w:rPr>
        <w:t xml:space="preserve"> </w:t>
      </w:r>
      <w:r>
        <w:rPr>
          <w:sz w:val="20"/>
          <w:lang w:val="ru-RU"/>
        </w:rPr>
        <w:t>организация</w:t>
      </w:r>
      <w:r w:rsidRPr="0066285C">
        <w:rPr>
          <w:sz w:val="20"/>
          <w:lang w:val="ru-RU"/>
        </w:rPr>
        <w:t xml:space="preserve"> </w:t>
      </w:r>
      <w:r>
        <w:rPr>
          <w:sz w:val="20"/>
          <w:lang w:val="ru-RU"/>
        </w:rPr>
        <w:t>здравоохранения</w:t>
      </w:r>
      <w:r w:rsidRPr="0066285C">
        <w:rPr>
          <w:sz w:val="20"/>
          <w:lang w:val="ru-RU"/>
        </w:rPr>
        <w:t xml:space="preserve">, </w:t>
      </w:r>
      <w:r>
        <w:rPr>
          <w:sz w:val="20"/>
          <w:lang w:val="ru-RU"/>
        </w:rPr>
        <w:t xml:space="preserve">информационный бюллетень «Инвалидность и здоровье» (ноябрь 2016 г.) </w:t>
      </w:r>
      <w:hyperlink r:id="rId1" w:history="1">
        <w:r>
          <w:rPr>
            <w:rStyle w:val="Hyperlink"/>
            <w:sz w:val="20"/>
          </w:rPr>
          <w:t>http</w:t>
        </w:r>
        <w:r w:rsidRPr="00CD7952">
          <w:rPr>
            <w:rStyle w:val="Hyperlink"/>
            <w:sz w:val="20"/>
            <w:lang w:val="ru-RU"/>
          </w:rPr>
          <w:t>://</w:t>
        </w:r>
        <w:r>
          <w:rPr>
            <w:rStyle w:val="Hyperlink"/>
            <w:sz w:val="20"/>
          </w:rPr>
          <w:t>www</w:t>
        </w:r>
        <w:r w:rsidRPr="00CD7952">
          <w:rPr>
            <w:rStyle w:val="Hyperlink"/>
            <w:sz w:val="20"/>
            <w:lang w:val="ru-RU"/>
          </w:rPr>
          <w:t>.</w:t>
        </w:r>
        <w:r>
          <w:rPr>
            <w:rStyle w:val="Hyperlink"/>
            <w:sz w:val="20"/>
          </w:rPr>
          <w:t>who</w:t>
        </w:r>
        <w:r w:rsidRPr="00CD7952">
          <w:rPr>
            <w:rStyle w:val="Hyperlink"/>
            <w:sz w:val="20"/>
            <w:lang w:val="ru-RU"/>
          </w:rPr>
          <w:t>.</w:t>
        </w:r>
        <w:r>
          <w:rPr>
            <w:rStyle w:val="Hyperlink"/>
            <w:sz w:val="20"/>
          </w:rPr>
          <w:t>int</w:t>
        </w:r>
        <w:r w:rsidRPr="00CD7952">
          <w:rPr>
            <w:rStyle w:val="Hyperlink"/>
            <w:sz w:val="20"/>
            <w:lang w:val="ru-RU"/>
          </w:rPr>
          <w:t>/</w:t>
        </w:r>
        <w:r>
          <w:rPr>
            <w:rStyle w:val="Hyperlink"/>
            <w:sz w:val="20"/>
          </w:rPr>
          <w:t>mediacentre</w:t>
        </w:r>
        <w:r w:rsidRPr="00CD7952">
          <w:rPr>
            <w:rStyle w:val="Hyperlink"/>
            <w:sz w:val="20"/>
            <w:lang w:val="ru-RU"/>
          </w:rPr>
          <w:t>/</w:t>
        </w:r>
        <w:r>
          <w:rPr>
            <w:rStyle w:val="Hyperlink"/>
            <w:sz w:val="20"/>
          </w:rPr>
          <w:t>factsheets</w:t>
        </w:r>
        <w:r w:rsidRPr="00CD7952">
          <w:rPr>
            <w:rStyle w:val="Hyperlink"/>
            <w:sz w:val="20"/>
            <w:lang w:val="ru-RU"/>
          </w:rPr>
          <w:t>/</w:t>
        </w:r>
        <w:r>
          <w:rPr>
            <w:rStyle w:val="Hyperlink"/>
            <w:sz w:val="20"/>
          </w:rPr>
          <w:t>fs</w:t>
        </w:r>
        <w:r w:rsidRPr="00CD7952">
          <w:rPr>
            <w:rStyle w:val="Hyperlink"/>
            <w:sz w:val="20"/>
            <w:lang w:val="ru-RU"/>
          </w:rPr>
          <w:t>352/</w:t>
        </w:r>
        <w:r>
          <w:rPr>
            <w:rStyle w:val="Hyperlink"/>
            <w:sz w:val="20"/>
          </w:rPr>
          <w:t>en</w:t>
        </w:r>
        <w:r w:rsidRPr="00CD7952">
          <w:rPr>
            <w:rStyle w:val="Hyperlink"/>
            <w:sz w:val="20"/>
            <w:lang w:val="ru-RU"/>
          </w:rPr>
          <w:t>/</w:t>
        </w:r>
      </w:hyperlink>
      <w:r w:rsidRPr="00CD7952">
        <w:rPr>
          <w:sz w:val="20"/>
          <w:lang w:val="ru-RU"/>
        </w:rPr>
        <w:t>.</w:t>
      </w:r>
    </w:p>
  </w:footnote>
  <w:footnote w:id="5">
    <w:p w:rsidR="001B7D00" w:rsidRPr="00104107" w:rsidRDefault="001B7D00" w:rsidP="00335A6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57AC1">
        <w:rPr>
          <w:lang w:val="ru-RU"/>
        </w:rPr>
        <w:t xml:space="preserve"> </w:t>
      </w:r>
      <w:r>
        <w:rPr>
          <w:lang w:val="ru-RU"/>
        </w:rPr>
        <w:t xml:space="preserve">Там же. </w:t>
      </w:r>
    </w:p>
  </w:footnote>
  <w:footnote w:id="6">
    <w:p w:rsidR="001B7D00" w:rsidRPr="00104107" w:rsidRDefault="001B7D00" w:rsidP="00335A69">
      <w:pPr>
        <w:pStyle w:val="FootnoteText"/>
        <w:rPr>
          <w:lang w:val="ru-RU"/>
        </w:rPr>
      </w:pPr>
      <w:r w:rsidRPr="00104107">
        <w:rPr>
          <w:rStyle w:val="FootnoteReference"/>
        </w:rPr>
        <w:footnoteRef/>
      </w:r>
      <w:r w:rsidRPr="00104107">
        <w:rPr>
          <w:lang w:val="ru-RU"/>
        </w:rPr>
        <w:t xml:space="preserve"> Там же</w:t>
      </w:r>
      <w:r>
        <w:rPr>
          <w:lang w:val="ru-RU"/>
        </w:rPr>
        <w:t xml:space="preserve">. </w:t>
      </w:r>
    </w:p>
  </w:footnote>
  <w:footnote w:id="7">
    <w:p w:rsidR="001B7D00" w:rsidRPr="00E472DB" w:rsidRDefault="001B7D00" w:rsidP="00C4000D">
      <w:pPr>
        <w:rPr>
          <w:lang w:val="ru-RU"/>
        </w:rPr>
      </w:pPr>
      <w:r>
        <w:rPr>
          <w:rStyle w:val="FootnoteReference"/>
        </w:rPr>
        <w:footnoteRef/>
      </w:r>
      <w:r w:rsidRPr="00E472DB">
        <w:rPr>
          <w:lang w:val="ru-RU"/>
        </w:rPr>
        <w:t xml:space="preserve"> </w:t>
      </w:r>
      <w:r>
        <w:rPr>
          <w:lang w:val="ru-RU"/>
        </w:rPr>
        <w:t>КПИ</w:t>
      </w:r>
      <w:r w:rsidRPr="00E472DB">
        <w:rPr>
          <w:sz w:val="20"/>
          <w:lang w:val="ru-RU"/>
        </w:rPr>
        <w:t xml:space="preserve">, </w:t>
      </w:r>
      <w:r>
        <w:rPr>
          <w:sz w:val="20"/>
          <w:lang w:val="ru-RU"/>
        </w:rPr>
        <w:t>выше</w:t>
      </w:r>
      <w:r w:rsidRPr="00E472DB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примечание</w:t>
      </w:r>
      <w:r w:rsidRPr="00E472DB">
        <w:rPr>
          <w:sz w:val="20"/>
          <w:lang w:val="ru-RU"/>
        </w:rPr>
        <w:t xml:space="preserve"> 1, </w:t>
      </w:r>
      <w:r>
        <w:rPr>
          <w:sz w:val="20"/>
          <w:lang w:val="ru-RU"/>
        </w:rPr>
        <w:t>преамбула</w:t>
      </w:r>
      <w:r w:rsidRPr="00E472DB">
        <w:rPr>
          <w:sz w:val="20"/>
          <w:lang w:val="ru-RU"/>
        </w:rPr>
        <w:t xml:space="preserve"> </w:t>
      </w:r>
    </w:p>
  </w:footnote>
  <w:footnote w:id="8">
    <w:p w:rsidR="001B7D00" w:rsidRPr="002E5DC9" w:rsidRDefault="001B7D00">
      <w:pPr>
        <w:pStyle w:val="FootnoteText"/>
      </w:pPr>
      <w:r>
        <w:rPr>
          <w:rStyle w:val="FootnoteReference"/>
        </w:rPr>
        <w:footnoteRef/>
      </w:r>
      <w:r w:rsidRPr="002E5DC9">
        <w:t xml:space="preserve"> </w:t>
      </w:r>
      <w:r w:rsidR="002E5DC9">
        <w:rPr>
          <w:lang w:val="ru-RU"/>
        </w:rPr>
        <w:t>См</w:t>
      </w:r>
      <w:r w:rsidR="002E5DC9" w:rsidRPr="002E5DC9">
        <w:t xml:space="preserve">. </w:t>
      </w:r>
      <w:r w:rsidR="002E5DC9">
        <w:t>Marit Rasmussen and Oliver Lewis, Introductory Note to the United Nations Convention on the Rights of Persons with Disabilities, 46 I.L.M. 441 (2007).</w:t>
      </w:r>
    </w:p>
  </w:footnote>
  <w:footnote w:id="9">
    <w:p w:rsidR="001B7D00" w:rsidRPr="002E5DC9" w:rsidRDefault="001B7D00">
      <w:pPr>
        <w:pStyle w:val="FootnoteText"/>
      </w:pPr>
      <w:r>
        <w:rPr>
          <w:rStyle w:val="FootnoteReference"/>
        </w:rPr>
        <w:footnoteRef/>
      </w:r>
      <w:r w:rsidRPr="002E5DC9">
        <w:t xml:space="preserve"> </w:t>
      </w:r>
      <w:r w:rsidR="002E5DC9">
        <w:t>https://www.wipo.int/edocs/mdocs/copyright/en/sccr_35/sccr_35_3_rev.pdf</w:t>
      </w:r>
    </w:p>
  </w:footnote>
  <w:footnote w:id="10">
    <w:p w:rsidR="001B7D00" w:rsidRPr="00E472DB" w:rsidRDefault="001B7D00" w:rsidP="00F67718">
      <w:pPr>
        <w:pStyle w:val="FootnoteText"/>
      </w:pPr>
      <w:r>
        <w:rPr>
          <w:vertAlign w:val="superscript"/>
        </w:rPr>
        <w:footnoteRef/>
      </w:r>
      <w:r w:rsidRPr="00932D78">
        <w:rPr>
          <w:lang w:val="ru-RU"/>
        </w:rPr>
        <w:t xml:space="preserve"> </w:t>
      </w:r>
      <w:r>
        <w:rPr>
          <w:lang w:val="ru-RU"/>
        </w:rPr>
        <w:t>Некоторые страны могут считать, что для обеспечения исполнения договоров не требуется принятие усилий. См</w:t>
      </w:r>
      <w:r w:rsidRPr="00E472DB">
        <w:t xml:space="preserve">. </w:t>
      </w:r>
      <w:r>
        <w:rPr>
          <w:lang w:val="ru-RU"/>
        </w:rPr>
        <w:t>ответы</w:t>
      </w:r>
      <w:r w:rsidRPr="00E472DB">
        <w:t xml:space="preserve"> </w:t>
      </w:r>
      <w:r>
        <w:rPr>
          <w:lang w:val="ru-RU"/>
        </w:rPr>
        <w:t>государств</w:t>
      </w:r>
      <w:r w:rsidRPr="00E472DB">
        <w:t>-</w:t>
      </w:r>
      <w:r>
        <w:rPr>
          <w:lang w:val="ru-RU"/>
        </w:rPr>
        <w:t>членов</w:t>
      </w:r>
      <w:r w:rsidRPr="00E472DB">
        <w:t xml:space="preserve"> </w:t>
      </w:r>
      <w:r>
        <w:rPr>
          <w:lang w:val="ru-RU"/>
        </w:rPr>
        <w:t>в</w:t>
      </w:r>
      <w:r w:rsidRPr="00E472DB">
        <w:t xml:space="preserve"> </w:t>
      </w:r>
      <w:r>
        <w:rPr>
          <w:lang w:val="ru-RU"/>
        </w:rPr>
        <w:t>таблице</w:t>
      </w:r>
      <w:r w:rsidRPr="00E472DB">
        <w:t xml:space="preserve"> 6 </w:t>
      </w:r>
      <w:r>
        <w:rPr>
          <w:lang w:val="ru-RU"/>
        </w:rPr>
        <w:t>приложения</w:t>
      </w:r>
      <w:r w:rsidRPr="00E472DB">
        <w:t xml:space="preserve">. </w:t>
      </w:r>
    </w:p>
  </w:footnote>
  <w:footnote w:id="11">
    <w:p w:rsidR="001B7D00" w:rsidRDefault="001B7D00" w:rsidP="00C4000D">
      <w:pPr>
        <w:pStyle w:val="FootnoteText"/>
      </w:pPr>
      <w:r>
        <w:rPr>
          <w:vertAlign w:val="superscript"/>
        </w:rPr>
        <w:footnoteRef/>
      </w:r>
      <w:r>
        <w:t xml:space="preserve"> Judith Sullivan, </w:t>
      </w:r>
      <w:r>
        <w:rPr>
          <w:i/>
        </w:rPr>
        <w:t>Study on Copyright Limitations and Exceptions for the Visually Impaired</w:t>
      </w:r>
      <w:r>
        <w:t>, 16 (2006).</w:t>
      </w:r>
    </w:p>
  </w:footnote>
  <w:footnote w:id="12">
    <w:p w:rsidR="001B7D00" w:rsidRDefault="001B7D00" w:rsidP="00C4000D">
      <w:pPr>
        <w:pStyle w:val="FootnoteText"/>
      </w:pPr>
      <w:r>
        <w:rPr>
          <w:rStyle w:val="FootnoteReference"/>
        </w:rPr>
        <w:footnoteRef/>
      </w:r>
      <w:r>
        <w:t xml:space="preserve"> Tom Smionite, </w:t>
      </w:r>
      <w:r>
        <w:rPr>
          <w:i/>
        </w:rPr>
        <w:t>Machine Learning opens Up New Ways to Help People with Disabilities</w:t>
      </w:r>
      <w:r>
        <w:t>, MIT Technology Review (Mar. 23, 2017), ), https://www.technologyreview.com/s/603899/machine-learning-opens-up-new-ways-to-help-disabled-people/</w:t>
      </w:r>
    </w:p>
  </w:footnote>
  <w:footnote w:id="13">
    <w:p w:rsidR="001B7D00" w:rsidRDefault="001B7D00" w:rsidP="00C4000D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Joe Chidzik, </w:t>
      </w:r>
      <w:r>
        <w:rPr>
          <w:i/>
        </w:rPr>
        <w:t xml:space="preserve">5 Ways AI Could Transform Digital Accessibility, https://www.abilitynet.org.uk/news-blogs/5-ways-ai-could-transform-digital-accessibility </w:t>
      </w:r>
    </w:p>
  </w:footnote>
  <w:footnote w:id="14">
    <w:p w:rsidR="001B7D00" w:rsidRDefault="001B7D00" w:rsidP="005D7E6E">
      <w:pPr>
        <w:pStyle w:val="FootnoteText"/>
      </w:pPr>
      <w:r>
        <w:rPr>
          <w:rStyle w:val="FootnoteReference"/>
        </w:rPr>
        <w:footnoteRef/>
      </w:r>
      <w:r>
        <w:t xml:space="preserve"> Clayton Lewis, </w:t>
      </w:r>
      <w:r>
        <w:rPr>
          <w:i/>
          <w:lang w:eastAsia="en-US"/>
        </w:rPr>
        <w:t>Implications of Developments in Machine Learning for People with Cognitive Disabilities</w:t>
      </w:r>
      <w:r>
        <w:rPr>
          <w:lang w:eastAsia="en-US"/>
        </w:rPr>
        <w:t xml:space="preserve">, Coleman Institute for Cognitive Disabilities (Nov. 2, 2018), </w:t>
      </w:r>
      <w:hyperlink r:id="rId2" w:history="1">
        <w:r>
          <w:rPr>
            <w:rStyle w:val="Hyperlink"/>
            <w:lang w:eastAsia="en-US"/>
          </w:rPr>
          <w:t>https://www.colemaninstitute.org/wp-content/uploads/2018/12/white-paper-coleman-version-1.pdf</w:t>
        </w:r>
      </w:hyperlink>
      <w:r>
        <w:rPr>
          <w:lang w:eastAsia="en-US"/>
        </w:rPr>
        <w:t>.</w:t>
      </w:r>
      <w:r>
        <w:rPr>
          <w:rFonts w:ascii="Times New Roman" w:hAnsi="Times New Roman" w:cs="Times New Roman"/>
          <w:szCs w:val="24"/>
          <w:lang w:eastAsia="en-US"/>
        </w:rPr>
        <w:t xml:space="preserve"> </w:t>
      </w:r>
    </w:p>
  </w:footnote>
  <w:footnote w:id="15">
    <w:p w:rsidR="001B7D00" w:rsidRPr="008E2F85" w:rsidRDefault="001B7D00" w:rsidP="005D7E6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E2F85">
        <w:rPr>
          <w:lang w:val="ru-RU"/>
        </w:rPr>
        <w:t xml:space="preserve"> </w:t>
      </w:r>
      <w:r>
        <w:t>Id</w:t>
      </w:r>
      <w:r w:rsidRPr="008E2F85">
        <w:rPr>
          <w:lang w:val="ru-RU"/>
        </w:rPr>
        <w:t xml:space="preserve">. </w:t>
      </w:r>
    </w:p>
  </w:footnote>
  <w:footnote w:id="16">
    <w:p w:rsidR="001B7D00" w:rsidRPr="00514CA6" w:rsidRDefault="001B7D00" w:rsidP="00552AF1">
      <w:pPr>
        <w:pStyle w:val="FootnoteText"/>
        <w:rPr>
          <w:lang w:val="ru-RU"/>
        </w:rPr>
      </w:pPr>
      <w:r w:rsidRPr="00514CA6">
        <w:rPr>
          <w:rStyle w:val="FootnoteReference"/>
        </w:rPr>
        <w:footnoteRef/>
      </w:r>
      <w:r w:rsidRPr="00514CA6">
        <w:rPr>
          <w:lang w:val="ru-RU"/>
        </w:rPr>
        <w:t xml:space="preserve"> Закон об авторском праве 1968</w:t>
      </w:r>
      <w:r w:rsidRPr="00514CA6">
        <w:t> </w:t>
      </w:r>
      <w:r w:rsidRPr="00514CA6">
        <w:rPr>
          <w:lang w:val="ru-RU"/>
        </w:rPr>
        <w:t>г. (с изменениями по состоянию на 1 января 2019 г.)</w:t>
      </w:r>
      <w:r>
        <w:rPr>
          <w:lang w:val="ru-RU"/>
        </w:rPr>
        <w:t xml:space="preserve">, опубликованный по адресу </w:t>
      </w:r>
      <w:r w:rsidRPr="00514CA6">
        <w:t>https</w:t>
      </w:r>
      <w:r w:rsidRPr="00514CA6">
        <w:rPr>
          <w:lang w:val="ru-RU"/>
        </w:rPr>
        <w:t>://</w:t>
      </w:r>
      <w:r w:rsidRPr="00514CA6">
        <w:t>wipolex</w:t>
      </w:r>
      <w:r w:rsidRPr="00514CA6">
        <w:rPr>
          <w:lang w:val="ru-RU"/>
        </w:rPr>
        <w:t>.</w:t>
      </w:r>
      <w:r w:rsidRPr="00514CA6">
        <w:t>wipo</w:t>
      </w:r>
      <w:r w:rsidRPr="00514CA6">
        <w:rPr>
          <w:lang w:val="ru-RU"/>
        </w:rPr>
        <w:t>.</w:t>
      </w:r>
      <w:r w:rsidRPr="00514CA6">
        <w:t>int</w:t>
      </w:r>
      <w:r w:rsidRPr="00514CA6">
        <w:rPr>
          <w:lang w:val="ru-RU"/>
        </w:rPr>
        <w:t>/</w:t>
      </w:r>
      <w:r w:rsidRPr="00514CA6">
        <w:t>en</w:t>
      </w:r>
      <w:r w:rsidRPr="00514CA6">
        <w:rPr>
          <w:lang w:val="ru-RU"/>
        </w:rPr>
        <w:t>/</w:t>
      </w:r>
      <w:r w:rsidRPr="00514CA6">
        <w:t>text</w:t>
      </w:r>
      <w:r w:rsidRPr="00514CA6">
        <w:rPr>
          <w:lang w:val="ru-RU"/>
        </w:rPr>
        <w:t>/501166</w:t>
      </w:r>
    </w:p>
  </w:footnote>
  <w:footnote w:id="17">
    <w:p w:rsidR="001B7D00" w:rsidRPr="00514CA6" w:rsidRDefault="001B7D00" w:rsidP="00552AF1">
      <w:pPr>
        <w:pStyle w:val="FootnoteText"/>
        <w:rPr>
          <w:lang w:val="ru-RU"/>
        </w:rPr>
      </w:pPr>
      <w:r w:rsidRPr="00514CA6">
        <w:rPr>
          <w:rStyle w:val="FootnoteReference"/>
        </w:rPr>
        <w:footnoteRef/>
      </w:r>
      <w:r w:rsidRPr="00514CA6">
        <w:rPr>
          <w:lang w:val="ru-RU"/>
        </w:rPr>
        <w:t xml:space="preserve"> Закон </w:t>
      </w:r>
      <w:r>
        <w:rPr>
          <w:lang w:val="ru-RU"/>
        </w:rPr>
        <w:t>Республики</w:t>
      </w:r>
      <w:r w:rsidRPr="00514CA6">
        <w:rPr>
          <w:lang w:val="ru-RU"/>
        </w:rPr>
        <w:t xml:space="preserve"> </w:t>
      </w:r>
      <w:r>
        <w:rPr>
          <w:lang w:val="ru-RU"/>
        </w:rPr>
        <w:t>Армения</w:t>
      </w:r>
      <w:r w:rsidRPr="00514CA6">
        <w:rPr>
          <w:lang w:val="ru-RU"/>
        </w:rPr>
        <w:t xml:space="preserve"> об авторском праве </w:t>
      </w:r>
      <w:r>
        <w:rPr>
          <w:lang w:val="ru-RU"/>
        </w:rPr>
        <w:t>и</w:t>
      </w:r>
      <w:r w:rsidRPr="00514CA6">
        <w:rPr>
          <w:lang w:val="ru-RU"/>
        </w:rPr>
        <w:t xml:space="preserve"> </w:t>
      </w:r>
      <w:r>
        <w:rPr>
          <w:lang w:val="ru-RU"/>
        </w:rPr>
        <w:t>смежных</w:t>
      </w:r>
      <w:r w:rsidRPr="00514CA6">
        <w:rPr>
          <w:lang w:val="ru-RU"/>
        </w:rPr>
        <w:t xml:space="preserve"> </w:t>
      </w:r>
      <w:r>
        <w:rPr>
          <w:lang w:val="ru-RU"/>
        </w:rPr>
        <w:t>правах</w:t>
      </w:r>
      <w:r w:rsidRPr="00514CA6">
        <w:rPr>
          <w:lang w:val="ru-RU"/>
        </w:rPr>
        <w:t xml:space="preserve"> </w:t>
      </w:r>
      <w:r>
        <w:rPr>
          <w:lang w:val="ru-RU"/>
        </w:rPr>
        <w:t>от</w:t>
      </w:r>
      <w:r w:rsidRPr="00514CA6">
        <w:rPr>
          <w:lang w:val="ru-RU"/>
        </w:rPr>
        <w:t xml:space="preserve"> 15</w:t>
      </w:r>
      <w:r w:rsidRPr="00514CA6">
        <w:t> </w:t>
      </w:r>
      <w:r>
        <w:rPr>
          <w:lang w:val="ru-RU"/>
        </w:rPr>
        <w:t>июня</w:t>
      </w:r>
      <w:r w:rsidRPr="00514CA6">
        <w:rPr>
          <w:lang w:val="ru-RU"/>
        </w:rPr>
        <w:t xml:space="preserve"> 2006</w:t>
      </w:r>
      <w:r w:rsidRPr="00514CA6">
        <w:t> </w:t>
      </w:r>
      <w:r>
        <w:rPr>
          <w:lang w:val="ru-RU"/>
        </w:rPr>
        <w:t>г</w:t>
      </w:r>
      <w:r w:rsidRPr="00514CA6">
        <w:rPr>
          <w:lang w:val="ru-RU"/>
        </w:rPr>
        <w:t>. (</w:t>
      </w:r>
      <w:r>
        <w:rPr>
          <w:lang w:val="ru-RU"/>
        </w:rPr>
        <w:t xml:space="preserve">с изменениями </w:t>
      </w:r>
      <w:r w:rsidR="003B48AD">
        <w:rPr>
          <w:lang w:val="ru-RU"/>
        </w:rPr>
        <w:t xml:space="preserve">от </w:t>
      </w:r>
      <w:r w:rsidRPr="00514CA6">
        <w:rPr>
          <w:lang w:val="ru-RU"/>
        </w:rPr>
        <w:t>30</w:t>
      </w:r>
      <w:r>
        <w:rPr>
          <w:lang w:val="ru-RU"/>
        </w:rPr>
        <w:t xml:space="preserve"> сентября </w:t>
      </w:r>
      <w:r w:rsidRPr="00514CA6">
        <w:rPr>
          <w:lang w:val="ru-RU"/>
        </w:rPr>
        <w:t>2013</w:t>
      </w:r>
      <w:r>
        <w:rPr>
          <w:lang w:val="ru-RU"/>
        </w:rPr>
        <w:t> г.</w:t>
      </w:r>
      <w:r w:rsidRPr="00514CA6">
        <w:rPr>
          <w:lang w:val="ru-RU"/>
        </w:rPr>
        <w:t xml:space="preserve">), </w:t>
      </w:r>
      <w:r>
        <w:rPr>
          <w:lang w:val="ru-RU"/>
        </w:rPr>
        <w:t xml:space="preserve">опубликованный по адресу </w:t>
      </w:r>
      <w:r>
        <w:t>http</w:t>
      </w:r>
      <w:r w:rsidRPr="00514CA6">
        <w:rPr>
          <w:lang w:val="ru-RU"/>
        </w:rPr>
        <w:t>://</w:t>
      </w:r>
      <w:r>
        <w:t>www</w:t>
      </w:r>
      <w:r w:rsidRPr="00514CA6">
        <w:rPr>
          <w:lang w:val="ru-RU"/>
        </w:rPr>
        <w:t>.</w:t>
      </w:r>
      <w:r>
        <w:t>wipo</w:t>
      </w:r>
      <w:r w:rsidRPr="00514CA6">
        <w:rPr>
          <w:lang w:val="ru-RU"/>
        </w:rPr>
        <w:t>.</w:t>
      </w:r>
      <w:r>
        <w:t>int</w:t>
      </w:r>
      <w:r w:rsidRPr="00514CA6">
        <w:rPr>
          <w:lang w:val="ru-RU"/>
        </w:rPr>
        <w:t>/</w:t>
      </w:r>
      <w:r>
        <w:t>wipolex</w:t>
      </w:r>
      <w:r w:rsidRPr="00514CA6">
        <w:rPr>
          <w:lang w:val="ru-RU"/>
        </w:rPr>
        <w:t>/</w:t>
      </w:r>
      <w:r>
        <w:t>en</w:t>
      </w:r>
      <w:r w:rsidRPr="00514CA6">
        <w:rPr>
          <w:lang w:val="ru-RU"/>
        </w:rPr>
        <w:t>/</w:t>
      </w:r>
      <w:r>
        <w:t>text</w:t>
      </w:r>
      <w:r w:rsidRPr="00514CA6">
        <w:rPr>
          <w:lang w:val="ru-RU"/>
        </w:rPr>
        <w:t>.</w:t>
      </w:r>
      <w:r>
        <w:t>jsp</w:t>
      </w:r>
      <w:r w:rsidRPr="00514CA6">
        <w:rPr>
          <w:lang w:val="ru-RU"/>
        </w:rPr>
        <w:t>?</w:t>
      </w:r>
      <w:r>
        <w:t>file</w:t>
      </w:r>
      <w:r w:rsidRPr="00514CA6">
        <w:rPr>
          <w:lang w:val="ru-RU"/>
        </w:rPr>
        <w:t>_</w:t>
      </w:r>
      <w:r>
        <w:t>id</w:t>
      </w:r>
      <w:r w:rsidRPr="00514CA6">
        <w:rPr>
          <w:lang w:val="ru-RU"/>
        </w:rPr>
        <w:t>=490086</w:t>
      </w:r>
    </w:p>
  </w:footnote>
  <w:footnote w:id="18">
    <w:p w:rsidR="001B7D00" w:rsidRDefault="001B7D00" w:rsidP="007C3364">
      <w:pPr>
        <w:pStyle w:val="FootnoteText"/>
      </w:pPr>
      <w:r>
        <w:rPr>
          <w:rStyle w:val="FootnoteReference"/>
        </w:rPr>
        <w:footnoteRef/>
      </w:r>
      <w:r>
        <w:t xml:space="preserve"> 17 U.S.C. § 107.</w:t>
      </w:r>
    </w:p>
  </w:footnote>
  <w:footnote w:id="19">
    <w:p w:rsidR="001B7D00" w:rsidRDefault="001B7D00" w:rsidP="007C33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Golan v. Holder</w:t>
      </w:r>
      <w:r>
        <w:t xml:space="preserve">, 565 U.S. 302, 328 (2012) (citing </w:t>
      </w:r>
      <w:r>
        <w:rPr>
          <w:i/>
        </w:rPr>
        <w:t>Eldred v. Ashcroft</w:t>
      </w:r>
      <w:r>
        <w:t>, 537 U.S. 186, 219 (2003)).</w:t>
      </w:r>
    </w:p>
  </w:footnote>
  <w:footnote w:id="20">
    <w:p w:rsidR="001B7D00" w:rsidRDefault="001B7D00" w:rsidP="007C3364">
      <w:pPr>
        <w:pStyle w:val="FootnoteText"/>
        <w:rPr>
          <w:highlight w:val="yellow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HathiTrust</w:t>
      </w:r>
      <w:r>
        <w:t>, 755 F.3d at 101-03.</w:t>
      </w:r>
    </w:p>
  </w:footnote>
  <w:footnote w:id="21">
    <w:p w:rsidR="001B7D00" w:rsidRDefault="001B7D00" w:rsidP="007C3364">
      <w:pPr>
        <w:pStyle w:val="FootnoteText"/>
      </w:pPr>
      <w:r>
        <w:rPr>
          <w:rStyle w:val="FootnoteReference"/>
        </w:rPr>
        <w:footnoteRef/>
      </w:r>
      <w:r>
        <w:t xml:space="preserve"> 17 U.S.C. §§ 121, 121A.</w:t>
      </w:r>
    </w:p>
  </w:footnote>
  <w:footnote w:id="22">
    <w:p w:rsidR="001B7D00" w:rsidRPr="008E2F85" w:rsidRDefault="001B7D00" w:rsidP="007C336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E2F85">
        <w:rPr>
          <w:lang w:val="ru-RU"/>
        </w:rPr>
        <w:t xml:space="preserve"> </w:t>
      </w:r>
      <w:r>
        <w:t>P</w:t>
      </w:r>
      <w:r w:rsidRPr="008E2F85">
        <w:rPr>
          <w:lang w:val="ru-RU"/>
        </w:rPr>
        <w:t>.</w:t>
      </w:r>
      <w:r>
        <w:t>L</w:t>
      </w:r>
      <w:r w:rsidRPr="008E2F85">
        <w:rPr>
          <w:lang w:val="ru-RU"/>
        </w:rPr>
        <w:t xml:space="preserve">. 104–197, 110 </w:t>
      </w:r>
      <w:r>
        <w:t>Stat</w:t>
      </w:r>
      <w:r w:rsidRPr="008E2F85">
        <w:rPr>
          <w:lang w:val="ru-RU"/>
        </w:rPr>
        <w:t>. 2394 (</w:t>
      </w:r>
      <w:r>
        <w:t>Sept</w:t>
      </w:r>
      <w:r w:rsidRPr="008E2F85">
        <w:rPr>
          <w:lang w:val="ru-RU"/>
        </w:rPr>
        <w:t>. 16, 1996).</w:t>
      </w:r>
    </w:p>
  </w:footnote>
  <w:footnote w:id="23">
    <w:p w:rsidR="001B7D00" w:rsidRPr="001B7D00" w:rsidRDefault="001B7D00" w:rsidP="007C336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B7D00">
        <w:rPr>
          <w:lang w:val="ru-RU"/>
        </w:rPr>
        <w:t xml:space="preserve"> </w:t>
      </w:r>
      <w:r>
        <w:rPr>
          <w:lang w:val="ru-RU"/>
        </w:rPr>
        <w:t>Закон</w:t>
      </w:r>
      <w:r w:rsidRPr="001B7D00">
        <w:rPr>
          <w:lang w:val="ru-RU"/>
        </w:rPr>
        <w:t xml:space="preserve"> </w:t>
      </w:r>
      <w:r>
        <w:rPr>
          <w:lang w:val="ru-RU"/>
        </w:rPr>
        <w:t>о</w:t>
      </w:r>
      <w:r w:rsidRPr="001B7D00">
        <w:rPr>
          <w:lang w:val="ru-RU"/>
        </w:rPr>
        <w:t xml:space="preserve"> </w:t>
      </w:r>
      <w:r>
        <w:rPr>
          <w:lang w:val="ru-RU"/>
        </w:rPr>
        <w:t>введении</w:t>
      </w:r>
      <w:r w:rsidRPr="001B7D00">
        <w:rPr>
          <w:lang w:val="ru-RU"/>
        </w:rPr>
        <w:t xml:space="preserve"> </w:t>
      </w:r>
      <w:r>
        <w:rPr>
          <w:lang w:val="ru-RU"/>
        </w:rPr>
        <w:t>в</w:t>
      </w:r>
      <w:r w:rsidRPr="001B7D00">
        <w:rPr>
          <w:lang w:val="ru-RU"/>
        </w:rPr>
        <w:t xml:space="preserve"> действие Марракешского договора, </w:t>
      </w:r>
      <w:r w:rsidRPr="001B7D00">
        <w:t>P</w:t>
      </w:r>
      <w:r w:rsidRPr="001B7D00">
        <w:rPr>
          <w:lang w:val="ru-RU"/>
        </w:rPr>
        <w:t>.</w:t>
      </w:r>
      <w:r w:rsidRPr="001B7D00">
        <w:t>L</w:t>
      </w:r>
      <w:r w:rsidRPr="001B7D00">
        <w:rPr>
          <w:lang w:val="ru-RU"/>
        </w:rPr>
        <w:t xml:space="preserve">. 115-261, 132 </w:t>
      </w:r>
      <w:r w:rsidRPr="001B7D00">
        <w:t>Stat</w:t>
      </w:r>
      <w:r w:rsidRPr="001B7D00">
        <w:rPr>
          <w:lang w:val="ru-RU"/>
        </w:rPr>
        <w:t>. 3667 (9</w:t>
      </w:r>
      <w:r>
        <w:rPr>
          <w:lang w:val="ru-RU"/>
        </w:rPr>
        <w:t xml:space="preserve"> октября </w:t>
      </w:r>
      <w:r w:rsidRPr="001B7D00">
        <w:rPr>
          <w:lang w:val="ru-RU"/>
        </w:rPr>
        <w:t>2018</w:t>
      </w:r>
      <w:r>
        <w:rPr>
          <w:lang w:val="ru-RU"/>
        </w:rPr>
        <w:t> г.</w:t>
      </w:r>
      <w:r w:rsidRPr="001B7D00">
        <w:rPr>
          <w:lang w:val="ru-RU"/>
        </w:rPr>
        <w:t>).</w:t>
      </w:r>
    </w:p>
  </w:footnote>
  <w:footnote w:id="24">
    <w:p w:rsidR="001B7D00" w:rsidRPr="003B48AD" w:rsidRDefault="001B7D00" w:rsidP="007C336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B48AD">
        <w:rPr>
          <w:lang w:val="ru-RU"/>
        </w:rPr>
        <w:t xml:space="preserve"> </w:t>
      </w:r>
      <w:r w:rsidR="003B48AD" w:rsidRPr="00514CA6">
        <w:rPr>
          <w:lang w:val="ru-RU"/>
        </w:rPr>
        <w:t>Закон</w:t>
      </w:r>
      <w:r w:rsidR="003B48AD" w:rsidRPr="003B48AD">
        <w:rPr>
          <w:lang w:val="ru-RU"/>
        </w:rPr>
        <w:t xml:space="preserve"> </w:t>
      </w:r>
      <w:r w:rsidR="003B48AD" w:rsidRPr="00514CA6">
        <w:rPr>
          <w:lang w:val="ru-RU"/>
        </w:rPr>
        <w:t>об</w:t>
      </w:r>
      <w:r w:rsidR="003B48AD" w:rsidRPr="003B48AD">
        <w:rPr>
          <w:lang w:val="ru-RU"/>
        </w:rPr>
        <w:t xml:space="preserve"> </w:t>
      </w:r>
      <w:r w:rsidR="003B48AD" w:rsidRPr="00514CA6">
        <w:rPr>
          <w:lang w:val="ru-RU"/>
        </w:rPr>
        <w:t>авторском</w:t>
      </w:r>
      <w:r w:rsidR="003B48AD" w:rsidRPr="003B48AD">
        <w:rPr>
          <w:lang w:val="ru-RU"/>
        </w:rPr>
        <w:t xml:space="preserve"> </w:t>
      </w:r>
      <w:r w:rsidR="003B48AD" w:rsidRPr="00514CA6">
        <w:rPr>
          <w:lang w:val="ru-RU"/>
        </w:rPr>
        <w:t>праве</w:t>
      </w:r>
      <w:r w:rsidR="003B48AD" w:rsidRPr="003B48AD">
        <w:rPr>
          <w:lang w:val="ru-RU"/>
        </w:rPr>
        <w:t xml:space="preserve"> 2007</w:t>
      </w:r>
      <w:r w:rsidR="003B48AD" w:rsidRPr="003B48AD">
        <w:t> </w:t>
      </w:r>
      <w:r w:rsidR="003B48AD">
        <w:rPr>
          <w:lang w:val="ru-RU"/>
        </w:rPr>
        <w:t>г</w:t>
      </w:r>
      <w:r w:rsidR="003B48AD" w:rsidRPr="003B48AD">
        <w:rPr>
          <w:lang w:val="ru-RU"/>
        </w:rPr>
        <w:t xml:space="preserve">. </w:t>
      </w:r>
      <w:r w:rsidRPr="003B48AD">
        <w:rPr>
          <w:lang w:val="ru-RU"/>
        </w:rPr>
        <w:t>(</w:t>
      </w:r>
      <w:r w:rsidR="003B48AD" w:rsidRPr="00514CA6">
        <w:rPr>
          <w:lang w:val="ru-RU"/>
        </w:rPr>
        <w:t>с</w:t>
      </w:r>
      <w:r w:rsidR="003B48AD" w:rsidRPr="003B48AD">
        <w:rPr>
          <w:lang w:val="ru-RU"/>
        </w:rPr>
        <w:t xml:space="preserve"> </w:t>
      </w:r>
      <w:r w:rsidR="003B48AD" w:rsidRPr="00514CA6">
        <w:rPr>
          <w:lang w:val="ru-RU"/>
        </w:rPr>
        <w:t>изменениями</w:t>
      </w:r>
      <w:r w:rsidR="003B48AD" w:rsidRPr="003B48AD">
        <w:rPr>
          <w:lang w:val="ru-RU"/>
        </w:rPr>
        <w:t xml:space="preserve"> </w:t>
      </w:r>
      <w:r w:rsidR="003B48AD">
        <w:rPr>
          <w:lang w:val="ru-RU"/>
        </w:rPr>
        <w:t>от</w:t>
      </w:r>
      <w:r w:rsidR="003B48AD" w:rsidRPr="003B48AD">
        <w:rPr>
          <w:lang w:val="ru-RU"/>
        </w:rPr>
        <w:t xml:space="preserve"> </w:t>
      </w:r>
      <w:r w:rsidRPr="003B48AD">
        <w:rPr>
          <w:lang w:val="ru-RU"/>
        </w:rPr>
        <w:t>28</w:t>
      </w:r>
      <w:r w:rsidR="003B48AD" w:rsidRPr="003B48AD">
        <w:t> </w:t>
      </w:r>
      <w:r w:rsidR="003B48AD">
        <w:rPr>
          <w:lang w:val="ru-RU"/>
        </w:rPr>
        <w:t>июля</w:t>
      </w:r>
      <w:r w:rsidR="003B48AD" w:rsidRPr="003B48AD">
        <w:rPr>
          <w:lang w:val="ru-RU"/>
        </w:rPr>
        <w:t xml:space="preserve"> </w:t>
      </w:r>
      <w:r w:rsidRPr="003B48AD">
        <w:rPr>
          <w:lang w:val="ru-RU"/>
        </w:rPr>
        <w:t>2011</w:t>
      </w:r>
      <w:r w:rsidR="003B48AD" w:rsidRPr="003B48AD">
        <w:t> </w:t>
      </w:r>
      <w:r w:rsidR="003B48AD">
        <w:rPr>
          <w:lang w:val="ru-RU"/>
        </w:rPr>
        <w:t>г</w:t>
      </w:r>
      <w:r w:rsidR="003B48AD" w:rsidRPr="003B48AD">
        <w:rPr>
          <w:lang w:val="ru-RU"/>
        </w:rPr>
        <w:t>.</w:t>
      </w:r>
      <w:r w:rsidRPr="003B48AD">
        <w:rPr>
          <w:lang w:val="ru-RU"/>
        </w:rPr>
        <w:t>)</w:t>
      </w:r>
      <w:r w:rsidR="003B48AD" w:rsidRPr="003B48AD">
        <w:rPr>
          <w:lang w:val="ru-RU"/>
        </w:rPr>
        <w:t>,</w:t>
      </w:r>
      <w:r w:rsidRPr="003B48AD">
        <w:rPr>
          <w:lang w:val="ru-RU"/>
        </w:rPr>
        <w:t xml:space="preserve"> </w:t>
      </w:r>
      <w:r w:rsidR="003B48AD">
        <w:rPr>
          <w:lang w:val="ru-RU"/>
        </w:rPr>
        <w:t>опубликованный</w:t>
      </w:r>
      <w:r w:rsidR="003B48AD" w:rsidRPr="003B48AD">
        <w:rPr>
          <w:lang w:val="ru-RU"/>
        </w:rPr>
        <w:t xml:space="preserve"> </w:t>
      </w:r>
      <w:r w:rsidR="003B48AD">
        <w:rPr>
          <w:lang w:val="ru-RU"/>
        </w:rPr>
        <w:t>по</w:t>
      </w:r>
      <w:r w:rsidR="003B48AD" w:rsidRPr="003B48AD">
        <w:rPr>
          <w:lang w:val="ru-RU"/>
        </w:rPr>
        <w:t xml:space="preserve"> </w:t>
      </w:r>
      <w:r w:rsidR="003B48AD">
        <w:rPr>
          <w:lang w:val="ru-RU"/>
        </w:rPr>
        <w:t>адресу</w:t>
      </w:r>
      <w:r w:rsidR="003B48AD" w:rsidRPr="003B48AD">
        <w:rPr>
          <w:lang w:val="ru-RU"/>
        </w:rPr>
        <w:t xml:space="preserve"> </w:t>
      </w:r>
      <w:r>
        <w:t>https</w:t>
      </w:r>
      <w:r w:rsidRPr="003B48AD">
        <w:rPr>
          <w:lang w:val="ru-RU"/>
        </w:rPr>
        <w:t>://</w:t>
      </w:r>
      <w:r>
        <w:t>wipolex</w:t>
      </w:r>
      <w:r w:rsidRPr="003B48AD">
        <w:rPr>
          <w:lang w:val="ru-RU"/>
        </w:rPr>
        <w:t>.</w:t>
      </w:r>
      <w:r>
        <w:t>wipo</w:t>
      </w:r>
      <w:r w:rsidRPr="003B48AD">
        <w:rPr>
          <w:lang w:val="ru-RU"/>
        </w:rPr>
        <w:t>.</w:t>
      </w:r>
      <w:r>
        <w:t>int</w:t>
      </w:r>
      <w:r w:rsidRPr="003B48AD">
        <w:rPr>
          <w:lang w:val="ru-RU"/>
        </w:rPr>
        <w:t>/</w:t>
      </w:r>
      <w:r>
        <w:t>en</w:t>
      </w:r>
      <w:r w:rsidRPr="003B48AD">
        <w:rPr>
          <w:lang w:val="ru-RU"/>
        </w:rPr>
        <w:t>/</w:t>
      </w:r>
      <w:r>
        <w:t>text</w:t>
      </w:r>
      <w:r w:rsidRPr="003B48AD">
        <w:rPr>
          <w:lang w:val="ru-RU"/>
        </w:rPr>
        <w:t>/495410</w:t>
      </w:r>
      <w:r w:rsidR="003B48AD" w:rsidRPr="003B48AD">
        <w:rPr>
          <w:lang w:val="ru-RU"/>
        </w:rPr>
        <w:t>,</w:t>
      </w:r>
      <w:r w:rsidRPr="003B48AD">
        <w:rPr>
          <w:lang w:val="ru-RU"/>
        </w:rPr>
        <w:t xml:space="preserve"> </w:t>
      </w:r>
      <w:r w:rsidR="003B48AD">
        <w:rPr>
          <w:lang w:val="ru-RU"/>
        </w:rPr>
        <w:t xml:space="preserve">с поправками, внесенными в соответствии с законом об обеспечении доступа лиц с ограниченными возможностями к произведениям, исполнениям и передачам эфирного вещания 2014 г. </w:t>
      </w:r>
      <w:r w:rsidRPr="003B48AD">
        <w:rPr>
          <w:lang w:val="ru-RU"/>
        </w:rPr>
        <w:t>(</w:t>
      </w:r>
      <w:r w:rsidR="003B48AD">
        <w:rPr>
          <w:lang w:val="ru-RU"/>
        </w:rPr>
        <w:t>закон об изменениях и дополнениях</w:t>
      </w:r>
      <w:r w:rsidRPr="003B48AD">
        <w:rPr>
          <w:lang w:val="ru-RU"/>
        </w:rPr>
        <w:t xml:space="preserve">), </w:t>
      </w:r>
      <w:r w:rsidR="003B48AD">
        <w:rPr>
          <w:lang w:val="ru-RU"/>
        </w:rPr>
        <w:t xml:space="preserve">опубликованный по адресу </w:t>
      </w:r>
      <w:r>
        <w:t>http</w:t>
      </w:r>
      <w:r w:rsidRPr="003B48AD">
        <w:rPr>
          <w:lang w:val="ru-RU"/>
        </w:rPr>
        <w:t>://</w:t>
      </w:r>
      <w:r>
        <w:t>www</w:t>
      </w:r>
      <w:r w:rsidRPr="003B48AD">
        <w:rPr>
          <w:lang w:val="ru-RU"/>
        </w:rPr>
        <w:t>.</w:t>
      </w:r>
      <w:r>
        <w:t>wipo</w:t>
      </w:r>
      <w:r w:rsidRPr="003B48AD">
        <w:rPr>
          <w:lang w:val="ru-RU"/>
        </w:rPr>
        <w:t>.</w:t>
      </w:r>
      <w:r>
        <w:t>int</w:t>
      </w:r>
      <w:r w:rsidRPr="003B48AD">
        <w:rPr>
          <w:lang w:val="ru-RU"/>
        </w:rPr>
        <w:t>/</w:t>
      </w:r>
      <w:r>
        <w:t>edocs</w:t>
      </w:r>
      <w:r w:rsidRPr="003B48AD">
        <w:rPr>
          <w:lang w:val="ru-RU"/>
        </w:rPr>
        <w:t>/</w:t>
      </w:r>
      <w:r>
        <w:t>lexdocs</w:t>
      </w:r>
      <w:r w:rsidRPr="003B48AD">
        <w:rPr>
          <w:lang w:val="ru-RU"/>
        </w:rPr>
        <w:t>/</w:t>
      </w:r>
      <w:r>
        <w:t>laws</w:t>
      </w:r>
      <w:r w:rsidRPr="003B48AD">
        <w:rPr>
          <w:lang w:val="ru-RU"/>
        </w:rPr>
        <w:t>/</w:t>
      </w:r>
      <w:r>
        <w:t>en</w:t>
      </w:r>
      <w:r w:rsidRPr="003B48AD">
        <w:rPr>
          <w:lang w:val="ru-RU"/>
        </w:rPr>
        <w:t>/</w:t>
      </w:r>
      <w:r>
        <w:t>il</w:t>
      </w:r>
      <w:r w:rsidRPr="003B48AD">
        <w:rPr>
          <w:lang w:val="ru-RU"/>
        </w:rPr>
        <w:t>/</w:t>
      </w:r>
      <w:r>
        <w:t>il</w:t>
      </w:r>
      <w:r w:rsidRPr="003B48AD">
        <w:rPr>
          <w:lang w:val="ru-RU"/>
        </w:rPr>
        <w:t>035</w:t>
      </w:r>
      <w:r>
        <w:t>en</w:t>
      </w:r>
      <w:r w:rsidRPr="003B48AD">
        <w:rPr>
          <w:lang w:val="ru-RU"/>
        </w:rPr>
        <w:t>.</w:t>
      </w:r>
      <w:r>
        <w:t>pdf</w:t>
      </w:r>
      <w:r w:rsidR="003B48AD">
        <w:rPr>
          <w:lang w:val="ru-RU"/>
        </w:rPr>
        <w:t>.</w:t>
      </w:r>
      <w:r w:rsidRPr="003B48AD">
        <w:rPr>
          <w:highlight w:val="yellow"/>
          <w:lang w:val="ru-RU"/>
        </w:rPr>
        <w:t xml:space="preserve"> </w:t>
      </w:r>
    </w:p>
  </w:footnote>
  <w:footnote w:id="25">
    <w:p w:rsidR="008C2F64" w:rsidRPr="008C2F64" w:rsidRDefault="008C2F64" w:rsidP="008C2F6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F64">
        <w:rPr>
          <w:lang w:val="ru-RU"/>
        </w:rPr>
        <w:t xml:space="preserve"> </w:t>
      </w:r>
      <w:r>
        <w:rPr>
          <w:lang w:val="ru-RU"/>
        </w:rPr>
        <w:t>Статья</w:t>
      </w:r>
      <w:r w:rsidRPr="008C2F64">
        <w:rPr>
          <w:lang w:val="ru-RU"/>
        </w:rPr>
        <w:t xml:space="preserve"> 36 </w:t>
      </w:r>
      <w:r>
        <w:rPr>
          <w:lang w:val="ru-RU"/>
        </w:rPr>
        <w:t>закона</w:t>
      </w:r>
      <w:r w:rsidRPr="008C2F64">
        <w:rPr>
          <w:lang w:val="ru-RU"/>
        </w:rPr>
        <w:t xml:space="preserve"> </w:t>
      </w:r>
      <w:r>
        <w:rPr>
          <w:lang w:val="ru-RU"/>
        </w:rPr>
        <w:t>Аргентины</w:t>
      </w:r>
      <w:r w:rsidRPr="008C2F64">
        <w:rPr>
          <w:lang w:val="ru-RU"/>
        </w:rPr>
        <w:t xml:space="preserve"> </w:t>
      </w:r>
      <w:r>
        <w:t>No</w:t>
      </w:r>
      <w:r w:rsidRPr="008C2F64">
        <w:rPr>
          <w:lang w:val="ru-RU"/>
        </w:rPr>
        <w:t xml:space="preserve">. 11.723 </w:t>
      </w:r>
      <w:r>
        <w:rPr>
          <w:lang w:val="ru-RU"/>
        </w:rPr>
        <w:t>от</w:t>
      </w:r>
      <w:r w:rsidRPr="008C2F64">
        <w:rPr>
          <w:lang w:val="ru-RU"/>
        </w:rPr>
        <w:t xml:space="preserve"> 28 </w:t>
      </w:r>
      <w:r>
        <w:rPr>
          <w:lang w:val="ru-RU"/>
        </w:rPr>
        <w:t>сентября</w:t>
      </w:r>
      <w:r w:rsidRPr="008C2F64">
        <w:rPr>
          <w:lang w:val="ru-RU"/>
        </w:rPr>
        <w:t>, 1933</w:t>
      </w:r>
      <w:r w:rsidRPr="008C2F64">
        <w:t> </w:t>
      </w:r>
      <w:r>
        <w:rPr>
          <w:lang w:val="ru-RU"/>
        </w:rPr>
        <w:t>г</w:t>
      </w:r>
      <w:r w:rsidRPr="008C2F64">
        <w:rPr>
          <w:lang w:val="ru-RU"/>
        </w:rPr>
        <w:t xml:space="preserve">., </w:t>
      </w:r>
      <w:r>
        <w:rPr>
          <w:lang w:val="ru-RU"/>
        </w:rPr>
        <w:t>о</w:t>
      </w:r>
      <w:r w:rsidRPr="008C2F64">
        <w:rPr>
          <w:lang w:val="ru-RU"/>
        </w:rPr>
        <w:t xml:space="preserve"> </w:t>
      </w:r>
      <w:r>
        <w:rPr>
          <w:lang w:val="ru-RU"/>
        </w:rPr>
        <w:t>правовом</w:t>
      </w:r>
      <w:r w:rsidRPr="008C2F64">
        <w:rPr>
          <w:lang w:val="ru-RU"/>
        </w:rPr>
        <w:t xml:space="preserve"> </w:t>
      </w:r>
      <w:r>
        <w:rPr>
          <w:lang w:val="ru-RU"/>
        </w:rPr>
        <w:t>режиме</w:t>
      </w:r>
      <w:r w:rsidRPr="008C2F64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8C2F64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8C2F64">
        <w:rPr>
          <w:lang w:val="ru-RU"/>
        </w:rPr>
        <w:t xml:space="preserve"> (</w:t>
      </w:r>
      <w:r>
        <w:rPr>
          <w:lang w:val="ru-RU"/>
        </w:rPr>
        <w:t xml:space="preserve">закон об авторском праве с изменениями к закону </w:t>
      </w:r>
      <w:r>
        <w:t>No</w:t>
      </w:r>
      <w:r w:rsidRPr="008C2F64">
        <w:rPr>
          <w:lang w:val="ru-RU"/>
        </w:rPr>
        <w:t xml:space="preserve">. 26.570 </w:t>
      </w:r>
      <w:r>
        <w:rPr>
          <w:lang w:val="ru-RU"/>
        </w:rPr>
        <w:t>от 25 ноября</w:t>
      </w:r>
      <w:r w:rsidRPr="008C2F64">
        <w:rPr>
          <w:lang w:val="ru-RU"/>
        </w:rPr>
        <w:t xml:space="preserve"> 2009</w:t>
      </w:r>
      <w:r>
        <w:rPr>
          <w:lang w:val="ru-RU"/>
        </w:rPr>
        <w:t> г.</w:t>
      </w:r>
      <w:r w:rsidRPr="008C2F64">
        <w:rPr>
          <w:lang w:val="ru-RU"/>
        </w:rPr>
        <w:t>)</w:t>
      </w:r>
    </w:p>
  </w:footnote>
  <w:footnote w:id="26">
    <w:p w:rsidR="008C2F64" w:rsidRPr="00DD6A87" w:rsidRDefault="008C2F64" w:rsidP="008C2F6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F64">
        <w:rPr>
          <w:lang w:val="ru-RU"/>
        </w:rPr>
        <w:t xml:space="preserve"> </w:t>
      </w:r>
      <w:r>
        <w:rPr>
          <w:lang w:val="ru-RU"/>
        </w:rPr>
        <w:t>Статья</w:t>
      </w:r>
      <w:r w:rsidRPr="008C2F64">
        <w:rPr>
          <w:lang w:val="ru-RU"/>
        </w:rPr>
        <w:t xml:space="preserve"> 22 </w:t>
      </w:r>
      <w:r>
        <w:rPr>
          <w:lang w:val="ru-RU"/>
        </w:rPr>
        <w:t>закона</w:t>
      </w:r>
      <w:r w:rsidRPr="008C2F64">
        <w:rPr>
          <w:lang w:val="ru-RU"/>
        </w:rPr>
        <w:t xml:space="preserve"> </w:t>
      </w:r>
      <w:r>
        <w:rPr>
          <w:lang w:val="ru-RU"/>
        </w:rPr>
        <w:t>Армении</w:t>
      </w:r>
      <w:r w:rsidRPr="008C2F64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514CA6">
        <w:rPr>
          <w:lang w:val="ru-RU"/>
        </w:rPr>
        <w:t xml:space="preserve"> </w:t>
      </w:r>
      <w:r>
        <w:rPr>
          <w:lang w:val="ru-RU"/>
        </w:rPr>
        <w:t>Армения</w:t>
      </w:r>
      <w:r w:rsidRPr="00514CA6">
        <w:rPr>
          <w:lang w:val="ru-RU"/>
        </w:rPr>
        <w:t xml:space="preserve"> об авторском праве </w:t>
      </w:r>
      <w:r>
        <w:rPr>
          <w:lang w:val="ru-RU"/>
        </w:rPr>
        <w:t>и</w:t>
      </w:r>
      <w:r w:rsidRPr="00514CA6">
        <w:rPr>
          <w:lang w:val="ru-RU"/>
        </w:rPr>
        <w:t xml:space="preserve"> </w:t>
      </w:r>
      <w:r>
        <w:rPr>
          <w:lang w:val="ru-RU"/>
        </w:rPr>
        <w:t>смежных</w:t>
      </w:r>
      <w:r w:rsidRPr="00514CA6">
        <w:rPr>
          <w:lang w:val="ru-RU"/>
        </w:rPr>
        <w:t xml:space="preserve"> </w:t>
      </w:r>
      <w:r>
        <w:rPr>
          <w:lang w:val="ru-RU"/>
        </w:rPr>
        <w:t>правах</w:t>
      </w:r>
      <w:r w:rsidRPr="00514CA6">
        <w:rPr>
          <w:lang w:val="ru-RU"/>
        </w:rPr>
        <w:t xml:space="preserve"> </w:t>
      </w:r>
      <w:r>
        <w:rPr>
          <w:lang w:val="ru-RU"/>
        </w:rPr>
        <w:t>от</w:t>
      </w:r>
      <w:r w:rsidRPr="00514CA6">
        <w:rPr>
          <w:lang w:val="ru-RU"/>
        </w:rPr>
        <w:t xml:space="preserve"> 15</w:t>
      </w:r>
      <w:r w:rsidRPr="00514CA6">
        <w:t> </w:t>
      </w:r>
      <w:r>
        <w:rPr>
          <w:lang w:val="ru-RU"/>
        </w:rPr>
        <w:t>июня</w:t>
      </w:r>
      <w:r w:rsidRPr="00514CA6">
        <w:rPr>
          <w:lang w:val="ru-RU"/>
        </w:rPr>
        <w:t xml:space="preserve"> 2006</w:t>
      </w:r>
      <w:r w:rsidRPr="00514CA6">
        <w:t> </w:t>
      </w:r>
      <w:r>
        <w:rPr>
          <w:lang w:val="ru-RU"/>
        </w:rPr>
        <w:t>г</w:t>
      </w:r>
      <w:r w:rsidRPr="00514CA6">
        <w:rPr>
          <w:lang w:val="ru-RU"/>
        </w:rPr>
        <w:t>. (</w:t>
      </w:r>
      <w:r>
        <w:rPr>
          <w:lang w:val="ru-RU"/>
        </w:rPr>
        <w:t xml:space="preserve">с изменениями от </w:t>
      </w:r>
      <w:r w:rsidRPr="00514CA6">
        <w:rPr>
          <w:lang w:val="ru-RU"/>
        </w:rPr>
        <w:t>30</w:t>
      </w:r>
      <w:r>
        <w:rPr>
          <w:lang w:val="ru-RU"/>
        </w:rPr>
        <w:t xml:space="preserve"> сентября </w:t>
      </w:r>
      <w:r w:rsidRPr="00514CA6">
        <w:rPr>
          <w:lang w:val="ru-RU"/>
        </w:rPr>
        <w:t>2013</w:t>
      </w:r>
      <w:r>
        <w:rPr>
          <w:lang w:val="ru-RU"/>
        </w:rPr>
        <w:t> г.</w:t>
      </w:r>
      <w:r w:rsidRPr="00514CA6">
        <w:rPr>
          <w:lang w:val="ru-RU"/>
        </w:rPr>
        <w:t xml:space="preserve">), </w:t>
      </w:r>
      <w:r>
        <w:rPr>
          <w:lang w:val="ru-RU"/>
        </w:rPr>
        <w:t xml:space="preserve">опубликованный по адресу </w:t>
      </w:r>
      <w:r>
        <w:t>http</w:t>
      </w:r>
      <w:r w:rsidRPr="00514CA6">
        <w:rPr>
          <w:lang w:val="ru-RU"/>
        </w:rPr>
        <w:t>://</w:t>
      </w:r>
      <w:r>
        <w:t>www</w:t>
      </w:r>
      <w:r w:rsidRPr="00514CA6">
        <w:rPr>
          <w:lang w:val="ru-RU"/>
        </w:rPr>
        <w:t>.</w:t>
      </w:r>
      <w:r>
        <w:t>wipo</w:t>
      </w:r>
      <w:r w:rsidRPr="00514CA6">
        <w:rPr>
          <w:lang w:val="ru-RU"/>
        </w:rPr>
        <w:t>.</w:t>
      </w:r>
      <w:r>
        <w:t>int</w:t>
      </w:r>
      <w:r w:rsidRPr="00514CA6">
        <w:rPr>
          <w:lang w:val="ru-RU"/>
        </w:rPr>
        <w:t>/</w:t>
      </w:r>
      <w:r>
        <w:t>wipolex</w:t>
      </w:r>
      <w:r w:rsidRPr="00514CA6">
        <w:rPr>
          <w:lang w:val="ru-RU"/>
        </w:rPr>
        <w:t>/</w:t>
      </w:r>
      <w:r>
        <w:t>en</w:t>
      </w:r>
      <w:r w:rsidRPr="00514CA6">
        <w:rPr>
          <w:lang w:val="ru-RU"/>
        </w:rPr>
        <w:t>/</w:t>
      </w:r>
      <w:r>
        <w:t>text</w:t>
      </w:r>
      <w:r w:rsidRPr="00514CA6">
        <w:rPr>
          <w:lang w:val="ru-RU"/>
        </w:rPr>
        <w:t>.</w:t>
      </w:r>
      <w:r>
        <w:t>jsp</w:t>
      </w:r>
      <w:r w:rsidRPr="00514CA6">
        <w:rPr>
          <w:lang w:val="ru-RU"/>
        </w:rPr>
        <w:t>?</w:t>
      </w:r>
      <w:r>
        <w:t>file</w:t>
      </w:r>
      <w:r w:rsidRPr="00514CA6">
        <w:rPr>
          <w:lang w:val="ru-RU"/>
        </w:rPr>
        <w:t>_</w:t>
      </w:r>
      <w:r>
        <w:t>id</w:t>
      </w:r>
      <w:r w:rsidRPr="00514CA6">
        <w:rPr>
          <w:lang w:val="ru-RU"/>
        </w:rPr>
        <w:t>=490086</w:t>
      </w:r>
      <w:r w:rsidRPr="008C2F64">
        <w:rPr>
          <w:lang w:val="ru-RU"/>
        </w:rPr>
        <w:t xml:space="preserve">. </w:t>
      </w:r>
      <w:r>
        <w:rPr>
          <w:lang w:val="ru-RU"/>
        </w:rPr>
        <w:t>Этот</w:t>
      </w:r>
      <w:r w:rsidRPr="00DD6A87">
        <w:rPr>
          <w:lang w:val="ru-RU"/>
        </w:rPr>
        <w:t xml:space="preserve"> </w:t>
      </w:r>
      <w:r>
        <w:rPr>
          <w:lang w:val="ru-RU"/>
        </w:rPr>
        <w:t>раздел</w:t>
      </w:r>
      <w:r w:rsidRPr="00DD6A87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DD6A87">
        <w:rPr>
          <w:lang w:val="ru-RU"/>
        </w:rPr>
        <w:t xml:space="preserve"> </w:t>
      </w:r>
      <w:r>
        <w:rPr>
          <w:lang w:val="ru-RU"/>
        </w:rPr>
        <w:t>бесплатное</w:t>
      </w:r>
      <w:r w:rsidRPr="00DD6A87">
        <w:rPr>
          <w:lang w:val="ru-RU"/>
        </w:rPr>
        <w:t xml:space="preserve"> </w:t>
      </w:r>
      <w:r>
        <w:rPr>
          <w:lang w:val="ru-RU"/>
        </w:rPr>
        <w:t>пользование</w:t>
      </w:r>
      <w:r w:rsidRPr="00DD6A87">
        <w:rPr>
          <w:lang w:val="ru-RU"/>
        </w:rPr>
        <w:t xml:space="preserve"> </w:t>
      </w:r>
      <w:r>
        <w:rPr>
          <w:lang w:val="ru-RU"/>
        </w:rPr>
        <w:t>материалами</w:t>
      </w:r>
      <w:r w:rsidRPr="00DD6A87">
        <w:rPr>
          <w:lang w:val="ru-RU"/>
        </w:rPr>
        <w:t xml:space="preserve"> </w:t>
      </w:r>
      <w:r>
        <w:rPr>
          <w:lang w:val="ru-RU"/>
        </w:rPr>
        <w:t>для</w:t>
      </w:r>
      <w:r w:rsidRPr="00DD6A87">
        <w:rPr>
          <w:lang w:val="ru-RU"/>
        </w:rPr>
        <w:t xml:space="preserve"> </w:t>
      </w:r>
      <w:r>
        <w:rPr>
          <w:lang w:val="ru-RU"/>
        </w:rPr>
        <w:t>слепых</w:t>
      </w:r>
      <w:r w:rsidRPr="00DD6A87">
        <w:rPr>
          <w:lang w:val="ru-RU"/>
        </w:rPr>
        <w:t>.</w:t>
      </w:r>
    </w:p>
  </w:footnote>
  <w:footnote w:id="27">
    <w:p w:rsidR="008C2F64" w:rsidRPr="008C2F64" w:rsidRDefault="008C2F64" w:rsidP="008C2F6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F64">
        <w:rPr>
          <w:lang w:val="ru-RU"/>
        </w:rPr>
        <w:t xml:space="preserve"> </w:t>
      </w:r>
      <w:r>
        <w:rPr>
          <w:lang w:val="ru-RU"/>
        </w:rPr>
        <w:t>Раздел</w:t>
      </w:r>
      <w:r w:rsidRPr="008C2F64">
        <w:rPr>
          <w:lang w:val="ru-RU"/>
        </w:rPr>
        <w:t xml:space="preserve"> 52 (1) (</w:t>
      </w:r>
      <w:r>
        <w:t>zb</w:t>
      </w:r>
      <w:r w:rsidRPr="008C2F64">
        <w:rPr>
          <w:lang w:val="ru-RU"/>
        </w:rPr>
        <w:t>) (</w:t>
      </w:r>
      <w:r>
        <w:rPr>
          <w:lang w:val="ru-RU"/>
        </w:rPr>
        <w:t>предусматривает</w:t>
      </w:r>
      <w:r w:rsidRPr="008C2F64">
        <w:rPr>
          <w:lang w:val="ru-RU"/>
        </w:rPr>
        <w:t xml:space="preserve"> </w:t>
      </w:r>
      <w:r>
        <w:rPr>
          <w:lang w:val="ru-RU"/>
        </w:rPr>
        <w:t>предоставление</w:t>
      </w:r>
      <w:r w:rsidRPr="008C2F64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8C2F64">
        <w:rPr>
          <w:lang w:val="ru-RU"/>
        </w:rPr>
        <w:t xml:space="preserve"> </w:t>
      </w:r>
      <w:r>
        <w:rPr>
          <w:lang w:val="ru-RU"/>
        </w:rPr>
        <w:t>в</w:t>
      </w:r>
      <w:r w:rsidRPr="008C2F64">
        <w:rPr>
          <w:lang w:val="ru-RU"/>
        </w:rPr>
        <w:t xml:space="preserve"> </w:t>
      </w:r>
      <w:r>
        <w:rPr>
          <w:lang w:val="ru-RU"/>
        </w:rPr>
        <w:t>доступных</w:t>
      </w:r>
      <w:r w:rsidRPr="008C2F64">
        <w:rPr>
          <w:lang w:val="ru-RU"/>
        </w:rPr>
        <w:t xml:space="preserve"> </w:t>
      </w:r>
      <w:r>
        <w:rPr>
          <w:lang w:val="ru-RU"/>
        </w:rPr>
        <w:t>форматах</w:t>
      </w:r>
      <w:r w:rsidRPr="008C2F64">
        <w:rPr>
          <w:lang w:val="ru-RU"/>
        </w:rPr>
        <w:t xml:space="preserve"> </w:t>
      </w:r>
      <w:r>
        <w:rPr>
          <w:lang w:val="ru-RU"/>
        </w:rPr>
        <w:t>на</w:t>
      </w:r>
      <w:r w:rsidRPr="008C2F64">
        <w:rPr>
          <w:lang w:val="ru-RU"/>
        </w:rPr>
        <w:t xml:space="preserve"> </w:t>
      </w:r>
      <w:r>
        <w:rPr>
          <w:lang w:val="ru-RU"/>
        </w:rPr>
        <w:t>благо</w:t>
      </w:r>
      <w:r w:rsidRPr="008C2F64">
        <w:rPr>
          <w:lang w:val="ru-RU"/>
        </w:rPr>
        <w:t xml:space="preserve"> </w:t>
      </w:r>
      <w:r>
        <w:rPr>
          <w:lang w:val="ru-RU"/>
        </w:rPr>
        <w:t>лиц</w:t>
      </w:r>
      <w:r w:rsidRPr="008C2F64">
        <w:rPr>
          <w:lang w:val="ru-RU"/>
        </w:rPr>
        <w:t xml:space="preserve"> </w:t>
      </w:r>
      <w:r>
        <w:rPr>
          <w:lang w:val="ru-RU"/>
        </w:rPr>
        <w:t>с</w:t>
      </w:r>
      <w:r w:rsidRPr="008C2F64">
        <w:rPr>
          <w:lang w:val="ru-RU"/>
        </w:rPr>
        <w:t xml:space="preserve"> </w:t>
      </w:r>
      <w:r>
        <w:rPr>
          <w:lang w:val="ru-RU"/>
        </w:rPr>
        <w:t>любыми</w:t>
      </w:r>
      <w:r w:rsidRPr="008C2F64">
        <w:rPr>
          <w:lang w:val="ru-RU"/>
        </w:rPr>
        <w:t xml:space="preserve"> </w:t>
      </w:r>
      <w:r>
        <w:rPr>
          <w:lang w:val="ru-RU"/>
        </w:rPr>
        <w:t>ограниченными</w:t>
      </w:r>
      <w:r w:rsidRPr="008C2F64">
        <w:rPr>
          <w:lang w:val="ru-RU"/>
        </w:rPr>
        <w:t xml:space="preserve"> </w:t>
      </w:r>
      <w:r>
        <w:rPr>
          <w:lang w:val="ru-RU"/>
        </w:rPr>
        <w:t>возможностями</w:t>
      </w:r>
      <w:r w:rsidRPr="008C2F64">
        <w:rPr>
          <w:lang w:val="ru-RU"/>
        </w:rPr>
        <w:t xml:space="preserve"> </w:t>
      </w:r>
      <w:r>
        <w:rPr>
          <w:lang w:val="ru-RU"/>
        </w:rPr>
        <w:t>для</w:t>
      </w:r>
      <w:r w:rsidRPr="008C2F64">
        <w:rPr>
          <w:lang w:val="ru-RU"/>
        </w:rPr>
        <w:t xml:space="preserve"> </w:t>
      </w:r>
      <w:r>
        <w:rPr>
          <w:lang w:val="ru-RU"/>
        </w:rPr>
        <w:t>частного</w:t>
      </w:r>
      <w:r w:rsidRPr="008C2F64">
        <w:rPr>
          <w:lang w:val="ru-RU"/>
        </w:rPr>
        <w:t xml:space="preserve"> </w:t>
      </w:r>
      <w:r>
        <w:rPr>
          <w:lang w:val="ru-RU"/>
        </w:rPr>
        <w:t>и</w:t>
      </w:r>
      <w:r w:rsidRPr="008C2F64">
        <w:rPr>
          <w:lang w:val="ru-RU"/>
        </w:rPr>
        <w:t xml:space="preserve"> </w:t>
      </w:r>
      <w:r>
        <w:rPr>
          <w:lang w:val="ru-RU"/>
        </w:rPr>
        <w:t>личного</w:t>
      </w:r>
      <w:r w:rsidRPr="008C2F64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8C2F64">
        <w:rPr>
          <w:lang w:val="ru-RU"/>
        </w:rPr>
        <w:t xml:space="preserve">, </w:t>
      </w:r>
      <w:r>
        <w:rPr>
          <w:lang w:val="ru-RU"/>
        </w:rPr>
        <w:t>а</w:t>
      </w:r>
      <w:r w:rsidRPr="008C2F64">
        <w:rPr>
          <w:lang w:val="ru-RU"/>
        </w:rPr>
        <w:t xml:space="preserve"> </w:t>
      </w:r>
      <w:r>
        <w:rPr>
          <w:lang w:val="ru-RU"/>
        </w:rPr>
        <w:t>также</w:t>
      </w:r>
      <w:r w:rsidRPr="008C2F64">
        <w:rPr>
          <w:lang w:val="ru-RU"/>
        </w:rPr>
        <w:t xml:space="preserve"> </w:t>
      </w:r>
      <w:r>
        <w:rPr>
          <w:lang w:val="ru-RU"/>
        </w:rPr>
        <w:t>в</w:t>
      </w:r>
      <w:r w:rsidRPr="008C2F64">
        <w:rPr>
          <w:lang w:val="ru-RU"/>
        </w:rPr>
        <w:t xml:space="preserve"> </w:t>
      </w:r>
      <w:r>
        <w:rPr>
          <w:lang w:val="ru-RU"/>
        </w:rPr>
        <w:t>образовательных</w:t>
      </w:r>
      <w:r w:rsidRPr="008C2F64">
        <w:rPr>
          <w:lang w:val="ru-RU"/>
        </w:rPr>
        <w:t xml:space="preserve"> </w:t>
      </w:r>
      <w:r>
        <w:rPr>
          <w:lang w:val="ru-RU"/>
        </w:rPr>
        <w:t>и</w:t>
      </w:r>
      <w:r w:rsidRPr="008C2F64">
        <w:rPr>
          <w:lang w:val="ru-RU"/>
        </w:rPr>
        <w:t xml:space="preserve"> </w:t>
      </w:r>
      <w:r>
        <w:rPr>
          <w:lang w:val="ru-RU"/>
        </w:rPr>
        <w:t>исследовательских</w:t>
      </w:r>
      <w:r w:rsidRPr="008C2F64">
        <w:rPr>
          <w:lang w:val="ru-RU"/>
        </w:rPr>
        <w:t xml:space="preserve"> </w:t>
      </w:r>
      <w:r>
        <w:rPr>
          <w:lang w:val="ru-RU"/>
        </w:rPr>
        <w:t>целях</w:t>
      </w:r>
      <w:r w:rsidRPr="008C2F64">
        <w:rPr>
          <w:lang w:val="ru-RU"/>
        </w:rPr>
        <w:t xml:space="preserve">) </w:t>
      </w:r>
      <w:r>
        <w:rPr>
          <w:lang w:val="ru-RU"/>
        </w:rPr>
        <w:t>и</w:t>
      </w:r>
      <w:r w:rsidRPr="008C2F64">
        <w:rPr>
          <w:lang w:val="ru-RU"/>
        </w:rPr>
        <w:t xml:space="preserve"> </w:t>
      </w:r>
      <w:r>
        <w:rPr>
          <w:lang w:val="ru-RU"/>
        </w:rPr>
        <w:t xml:space="preserve">раздел </w:t>
      </w:r>
      <w:r>
        <w:t>s</w:t>
      </w:r>
      <w:r w:rsidRPr="008C2F64">
        <w:rPr>
          <w:lang w:val="ru-RU"/>
        </w:rPr>
        <w:t>31</w:t>
      </w:r>
      <w:r>
        <w:t>B</w:t>
      </w:r>
      <w:r w:rsidRPr="008C2F64">
        <w:rPr>
          <w:lang w:val="ru-RU"/>
        </w:rPr>
        <w:t xml:space="preserve"> (</w:t>
      </w:r>
      <w:r>
        <w:rPr>
          <w:lang w:val="ru-RU"/>
        </w:rPr>
        <w:t>предусматривает обязательные лицензии на изготовление и распространение произведений в доступных форматах для использования в любых других целях на коммерческой основе</w:t>
      </w:r>
      <w:r w:rsidRPr="008C2F64">
        <w:rPr>
          <w:lang w:val="ru-RU"/>
        </w:rPr>
        <w:t>).</w:t>
      </w:r>
    </w:p>
  </w:footnote>
  <w:footnote w:id="28">
    <w:p w:rsidR="008C2F64" w:rsidRPr="008C2F64" w:rsidRDefault="008C2F64" w:rsidP="008C2F6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F64">
        <w:rPr>
          <w:lang w:val="ru-RU"/>
        </w:rPr>
        <w:t xml:space="preserve">  </w:t>
      </w:r>
      <w:r>
        <w:rPr>
          <w:lang w:val="ru-RU"/>
        </w:rPr>
        <w:t>Раздел</w:t>
      </w:r>
      <w:r w:rsidRPr="008C2F64">
        <w:rPr>
          <w:lang w:val="ru-RU"/>
        </w:rPr>
        <w:t xml:space="preserve"> </w:t>
      </w:r>
      <w:r>
        <w:t>s</w:t>
      </w:r>
      <w:r w:rsidRPr="008C2F64">
        <w:rPr>
          <w:lang w:val="ru-RU"/>
        </w:rPr>
        <w:t>28</w:t>
      </w:r>
      <w:r>
        <w:t>A</w:t>
      </w:r>
      <w:r w:rsidRPr="008C2F64">
        <w:rPr>
          <w:lang w:val="ru-RU"/>
        </w:rPr>
        <w:t>-</w:t>
      </w:r>
      <w:r>
        <w:t>E</w:t>
      </w:r>
      <w:r w:rsidRPr="008C2F64">
        <w:rPr>
          <w:lang w:val="ru-RU"/>
        </w:rPr>
        <w:t xml:space="preserve"> </w:t>
      </w:r>
      <w:r>
        <w:rPr>
          <w:lang w:val="ru-RU"/>
        </w:rPr>
        <w:t>закона</w:t>
      </w:r>
      <w:r w:rsidRPr="008C2F64">
        <w:rPr>
          <w:lang w:val="ru-RU"/>
        </w:rPr>
        <w:t xml:space="preserve"> </w:t>
      </w:r>
      <w:r>
        <w:rPr>
          <w:lang w:val="ru-RU"/>
        </w:rPr>
        <w:t>об</w:t>
      </w:r>
      <w:r w:rsidRPr="008C2F64">
        <w:rPr>
          <w:lang w:val="ru-RU"/>
        </w:rPr>
        <w:t xml:space="preserve"> </w:t>
      </w:r>
      <w:r>
        <w:rPr>
          <w:lang w:val="ru-RU"/>
        </w:rPr>
        <w:t>авторском</w:t>
      </w:r>
      <w:r w:rsidRPr="008C2F64">
        <w:rPr>
          <w:lang w:val="ru-RU"/>
        </w:rPr>
        <w:t xml:space="preserve"> </w:t>
      </w:r>
      <w:r>
        <w:rPr>
          <w:lang w:val="ru-RU"/>
        </w:rPr>
        <w:t>праве</w:t>
      </w:r>
      <w:r w:rsidRPr="008C2F64">
        <w:rPr>
          <w:lang w:val="ru-RU"/>
        </w:rPr>
        <w:t xml:space="preserve"> </w:t>
      </w:r>
      <w:r>
        <w:rPr>
          <w:lang w:val="ru-RU"/>
        </w:rPr>
        <w:t>Израиля</w:t>
      </w:r>
      <w:r w:rsidRPr="008C2F64">
        <w:rPr>
          <w:lang w:val="ru-RU"/>
        </w:rPr>
        <w:t xml:space="preserve"> 2007</w:t>
      </w:r>
      <w:r w:rsidRPr="008C2F64">
        <w:t> </w:t>
      </w:r>
      <w:r>
        <w:rPr>
          <w:lang w:val="ru-RU"/>
        </w:rPr>
        <w:t>г</w:t>
      </w:r>
      <w:r w:rsidRPr="008C2F64">
        <w:rPr>
          <w:lang w:val="ru-RU"/>
        </w:rPr>
        <w:t xml:space="preserve">., </w:t>
      </w:r>
      <w:r>
        <w:rPr>
          <w:lang w:val="ru-RU"/>
        </w:rPr>
        <w:t>опубликованный</w:t>
      </w:r>
      <w:r w:rsidRPr="008C2F64">
        <w:rPr>
          <w:lang w:val="ru-RU"/>
        </w:rPr>
        <w:t xml:space="preserve"> </w:t>
      </w:r>
      <w:r>
        <w:rPr>
          <w:lang w:val="ru-RU"/>
        </w:rPr>
        <w:t>с</w:t>
      </w:r>
      <w:r w:rsidRPr="008C2F64">
        <w:rPr>
          <w:lang w:val="ru-RU"/>
        </w:rPr>
        <w:t xml:space="preserve"> </w:t>
      </w:r>
      <w:r>
        <w:rPr>
          <w:lang w:val="ru-RU"/>
        </w:rPr>
        <w:t>поправками</w:t>
      </w:r>
      <w:r w:rsidRPr="008C2F64">
        <w:rPr>
          <w:lang w:val="ru-RU"/>
        </w:rPr>
        <w:t xml:space="preserve"> </w:t>
      </w:r>
      <w:r>
        <w:rPr>
          <w:lang w:val="ru-RU"/>
        </w:rPr>
        <w:t>в</w:t>
      </w:r>
      <w:r w:rsidRPr="008C2F64">
        <w:rPr>
          <w:lang w:val="ru-RU"/>
        </w:rPr>
        <w:t xml:space="preserve"> 2014</w:t>
      </w:r>
      <w:r w:rsidRPr="008C2F64">
        <w:t> </w:t>
      </w:r>
      <w:r>
        <w:rPr>
          <w:lang w:val="ru-RU"/>
        </w:rPr>
        <w:t>г</w:t>
      </w:r>
      <w:r w:rsidRPr="008C2F64">
        <w:rPr>
          <w:lang w:val="ru-RU"/>
        </w:rPr>
        <w:t>. (</w:t>
      </w:r>
      <w:r>
        <w:rPr>
          <w:lang w:val="ru-RU"/>
        </w:rPr>
        <w:t xml:space="preserve">закон об обеспечении доступа лиц с ограниченными возможностями к произведениям, исполнениям и передачам эфирного вещания 2014 г. </w:t>
      </w:r>
      <w:r w:rsidRPr="003B48AD">
        <w:rPr>
          <w:lang w:val="ru-RU"/>
        </w:rPr>
        <w:t>(</w:t>
      </w:r>
      <w:r>
        <w:rPr>
          <w:lang w:val="ru-RU"/>
        </w:rPr>
        <w:t>закон об изменениях и дополнениях</w:t>
      </w:r>
      <w:r w:rsidRPr="003B48AD">
        <w:rPr>
          <w:lang w:val="ru-RU"/>
        </w:rPr>
        <w:t xml:space="preserve">), </w:t>
      </w:r>
      <w:r>
        <w:rPr>
          <w:lang w:val="ru-RU"/>
        </w:rPr>
        <w:t xml:space="preserve">Марракешский договор о ЛНЗ, решение Верховного суда Израиля </w:t>
      </w:r>
      <w:r>
        <w:rPr>
          <w:rFonts w:eastAsia="Times New Roman"/>
          <w:szCs w:val="24"/>
          <w:lang w:eastAsia="en-US"/>
        </w:rPr>
        <w:t>HCJ</w:t>
      </w:r>
      <w:r w:rsidRPr="008C2F64">
        <w:rPr>
          <w:rFonts w:eastAsia="Times New Roman"/>
          <w:szCs w:val="24"/>
          <w:lang w:val="ru-RU" w:eastAsia="en-US"/>
        </w:rPr>
        <w:t xml:space="preserve"> 8536/11 </w:t>
      </w:r>
      <w:r>
        <w:rPr>
          <w:lang w:val="ru-RU"/>
        </w:rPr>
        <w:t xml:space="preserve">по делу </w:t>
      </w:r>
      <w:r w:rsidR="004507B2">
        <w:rPr>
          <w:rFonts w:eastAsia="Times New Roman"/>
          <w:i/>
          <w:szCs w:val="24"/>
          <w:lang w:eastAsia="en-US"/>
        </w:rPr>
        <w:t>Bizchut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– </w:t>
      </w:r>
      <w:r w:rsidR="004507B2">
        <w:rPr>
          <w:rFonts w:eastAsia="Times New Roman"/>
          <w:i/>
          <w:szCs w:val="24"/>
          <w:lang w:eastAsia="en-US"/>
        </w:rPr>
        <w:t>The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</w:t>
      </w:r>
      <w:r w:rsidR="004507B2">
        <w:rPr>
          <w:rFonts w:eastAsia="Times New Roman"/>
          <w:i/>
          <w:szCs w:val="24"/>
          <w:lang w:eastAsia="en-US"/>
        </w:rPr>
        <w:t>Israel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</w:t>
      </w:r>
      <w:r w:rsidR="004507B2">
        <w:rPr>
          <w:rFonts w:eastAsia="Times New Roman"/>
          <w:i/>
          <w:szCs w:val="24"/>
          <w:lang w:eastAsia="en-US"/>
        </w:rPr>
        <w:t>Human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</w:t>
      </w:r>
      <w:r w:rsidR="004507B2">
        <w:rPr>
          <w:rFonts w:eastAsia="Times New Roman"/>
          <w:i/>
          <w:szCs w:val="24"/>
          <w:lang w:eastAsia="en-US"/>
        </w:rPr>
        <w:t>Rights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</w:t>
      </w:r>
      <w:r w:rsidR="004507B2">
        <w:rPr>
          <w:rFonts w:eastAsia="Times New Roman"/>
          <w:i/>
          <w:szCs w:val="24"/>
          <w:lang w:eastAsia="en-US"/>
        </w:rPr>
        <w:t>Centre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</w:t>
      </w:r>
      <w:r w:rsidR="004507B2">
        <w:rPr>
          <w:rFonts w:eastAsia="Times New Roman"/>
          <w:i/>
          <w:szCs w:val="24"/>
          <w:lang w:eastAsia="en-US"/>
        </w:rPr>
        <w:t>v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</w:t>
      </w:r>
      <w:r w:rsidR="004507B2">
        <w:rPr>
          <w:rFonts w:eastAsia="Times New Roman"/>
          <w:i/>
          <w:szCs w:val="24"/>
          <w:lang w:eastAsia="en-US"/>
        </w:rPr>
        <w:t>Ministry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</w:t>
      </w:r>
      <w:r w:rsidR="004507B2">
        <w:rPr>
          <w:rFonts w:eastAsia="Times New Roman"/>
          <w:i/>
          <w:szCs w:val="24"/>
          <w:lang w:eastAsia="en-US"/>
        </w:rPr>
        <w:t>of</w:t>
      </w:r>
      <w:r w:rsidR="004507B2" w:rsidRPr="004507B2">
        <w:rPr>
          <w:rFonts w:eastAsia="Times New Roman"/>
          <w:i/>
          <w:szCs w:val="24"/>
          <w:lang w:val="ru-RU" w:eastAsia="en-US"/>
        </w:rPr>
        <w:t xml:space="preserve"> </w:t>
      </w:r>
      <w:r w:rsidR="004507B2">
        <w:rPr>
          <w:rFonts w:eastAsia="Times New Roman"/>
          <w:i/>
          <w:szCs w:val="24"/>
          <w:lang w:eastAsia="en-US"/>
        </w:rPr>
        <w:t>Education</w:t>
      </w:r>
      <w:r>
        <w:rPr>
          <w:rFonts w:eastAsia="Times New Roman"/>
          <w:i/>
          <w:szCs w:val="24"/>
          <w:lang w:val="ru-RU" w:eastAsia="en-US"/>
        </w:rPr>
        <w:t xml:space="preserve"> </w:t>
      </w:r>
      <w:r w:rsidRPr="008C2F64">
        <w:rPr>
          <w:rFonts w:eastAsia="Times New Roman"/>
          <w:szCs w:val="24"/>
          <w:lang w:val="ru-RU" w:eastAsia="en-US"/>
        </w:rPr>
        <w:t>(</w:t>
      </w:r>
      <w:r>
        <w:rPr>
          <w:rFonts w:eastAsia="Times New Roman"/>
          <w:szCs w:val="24"/>
          <w:lang w:val="ru-RU" w:eastAsia="en-US"/>
        </w:rPr>
        <w:t>19 декабря</w:t>
      </w:r>
      <w:r w:rsidRPr="008C2F64">
        <w:rPr>
          <w:rFonts w:eastAsia="Times New Roman"/>
          <w:szCs w:val="24"/>
          <w:lang w:val="ru-RU" w:eastAsia="en-US"/>
        </w:rPr>
        <w:t xml:space="preserve"> 2013</w:t>
      </w:r>
      <w:r>
        <w:rPr>
          <w:rFonts w:eastAsia="Times New Roman"/>
          <w:szCs w:val="24"/>
          <w:lang w:val="ru-RU" w:eastAsia="en-US"/>
        </w:rPr>
        <w:t> г.</w:t>
      </w:r>
      <w:r w:rsidRPr="008C2F64">
        <w:rPr>
          <w:rFonts w:eastAsia="Times New Roman"/>
          <w:szCs w:val="24"/>
          <w:lang w:val="ru-RU" w:eastAsia="en-US"/>
        </w:rPr>
        <w:t xml:space="preserve">) </w:t>
      </w:r>
      <w:r>
        <w:rPr>
          <w:rFonts w:eastAsia="Times New Roman"/>
          <w:szCs w:val="24"/>
          <w:lang w:val="ru-RU" w:eastAsia="en-US"/>
        </w:rPr>
        <w:t>и закон о равных правах для лиц с ограниченными возможностями</w:t>
      </w:r>
      <w:r w:rsidRPr="008C2F64">
        <w:rPr>
          <w:rFonts w:eastAsia="Times New Roman"/>
          <w:szCs w:val="24"/>
          <w:lang w:val="ru-RU" w:eastAsia="en-US"/>
        </w:rPr>
        <w:t xml:space="preserve"> 1998</w:t>
      </w:r>
      <w:r>
        <w:rPr>
          <w:rFonts w:eastAsia="Times New Roman"/>
          <w:szCs w:val="24"/>
          <w:lang w:val="ru-RU" w:eastAsia="en-US"/>
        </w:rPr>
        <w:t> г</w:t>
      </w:r>
      <w:r w:rsidRPr="008C2F64">
        <w:rPr>
          <w:rFonts w:eastAsia="Times New Roman"/>
          <w:szCs w:val="24"/>
          <w:lang w:val="ru-RU" w:eastAsia="en-US"/>
        </w:rPr>
        <w:t>.</w:t>
      </w:r>
    </w:p>
  </w:footnote>
  <w:footnote w:id="29">
    <w:p w:rsidR="001B7D00" w:rsidRDefault="001B7D00" w:rsidP="00C4000D">
      <w:pPr>
        <w:pStyle w:val="FootnoteText"/>
      </w:pPr>
      <w:r>
        <w:rPr>
          <w:vertAlign w:val="superscript"/>
        </w:rPr>
        <w:footnoteRef/>
      </w:r>
      <w:r>
        <w:t xml:space="preserve"> </w:t>
      </w:r>
      <w:r>
        <w:rPr>
          <w:i/>
        </w:rPr>
        <w:t>Sony v. Universal City Studios</w:t>
      </w:r>
      <w:r>
        <w:t xml:space="preserve">, </w:t>
      </w:r>
      <w:bookmarkStart w:id="36" w:name="OLE_LINK8"/>
      <w:bookmarkStart w:id="37" w:name="OLE_LINK7"/>
      <w:r>
        <w:t>464 U.S. 417</w:t>
      </w:r>
      <w:bookmarkEnd w:id="36"/>
      <w:bookmarkEnd w:id="37"/>
      <w:r>
        <w:t xml:space="preserve"> (1984). </w:t>
      </w:r>
    </w:p>
  </w:footnote>
  <w:footnote w:id="30">
    <w:p w:rsidR="001B7D00" w:rsidRPr="00DD6A87" w:rsidRDefault="001B7D00" w:rsidP="00C4000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D6A87">
        <w:rPr>
          <w:lang w:val="ru-RU"/>
        </w:rPr>
        <w:t xml:space="preserve"> </w:t>
      </w:r>
      <w:r>
        <w:rPr>
          <w:i/>
        </w:rPr>
        <w:t>HathiTrust</w:t>
      </w:r>
      <w:r w:rsidRPr="00DD6A87">
        <w:rPr>
          <w:lang w:val="ru-RU"/>
        </w:rPr>
        <w:t xml:space="preserve">, </w:t>
      </w:r>
      <w:bookmarkStart w:id="38" w:name="OLE_LINK2"/>
      <w:bookmarkStart w:id="39" w:name="OLE_LINK1"/>
      <w:bookmarkStart w:id="40" w:name="OLE_LINK12"/>
      <w:bookmarkStart w:id="41" w:name="OLE_LINK11"/>
      <w:r w:rsidRPr="00DD6A87">
        <w:rPr>
          <w:lang w:val="ru-RU"/>
        </w:rPr>
        <w:t xml:space="preserve">755 </w:t>
      </w:r>
      <w:r>
        <w:t>F</w:t>
      </w:r>
      <w:r w:rsidRPr="00DD6A87">
        <w:rPr>
          <w:lang w:val="ru-RU"/>
        </w:rPr>
        <w:t>.3</w:t>
      </w:r>
      <w:r>
        <w:t>d</w:t>
      </w:r>
      <w:r w:rsidRPr="00DD6A87">
        <w:rPr>
          <w:lang w:val="ru-RU"/>
        </w:rPr>
        <w:t xml:space="preserve"> </w:t>
      </w:r>
      <w:bookmarkEnd w:id="38"/>
      <w:bookmarkEnd w:id="39"/>
      <w:r>
        <w:t>at</w:t>
      </w:r>
      <w:r w:rsidRPr="00DD6A87">
        <w:rPr>
          <w:lang w:val="ru-RU"/>
        </w:rPr>
        <w:t xml:space="preserve"> 101-03</w:t>
      </w:r>
      <w:bookmarkEnd w:id="40"/>
      <w:bookmarkEnd w:id="41"/>
      <w:r w:rsidRPr="00DD6A87">
        <w:rPr>
          <w:lang w:val="ru-RU"/>
        </w:rPr>
        <w:t>.</w:t>
      </w:r>
    </w:p>
  </w:footnote>
  <w:footnote w:id="31">
    <w:p w:rsidR="001B7D00" w:rsidRPr="004507B2" w:rsidRDefault="001B7D00" w:rsidP="00C4000D">
      <w:pPr>
        <w:pStyle w:val="FootnoteText"/>
        <w:rPr>
          <w:rStyle w:val="Hyperlink"/>
          <w:noProof/>
          <w:lang w:val="ru-RU"/>
        </w:rPr>
      </w:pPr>
      <w:r>
        <w:rPr>
          <w:rStyle w:val="FootnoteReference"/>
        </w:rPr>
        <w:footnoteRef/>
      </w:r>
      <w:r w:rsidRPr="004507B2">
        <w:rPr>
          <w:lang w:val="ru-RU"/>
        </w:rPr>
        <w:t xml:space="preserve"> </w:t>
      </w:r>
      <w:r w:rsidR="004507B2" w:rsidRPr="00514CA6">
        <w:rPr>
          <w:lang w:val="ru-RU"/>
        </w:rPr>
        <w:t>Закон</w:t>
      </w:r>
      <w:r w:rsidR="004507B2" w:rsidRPr="004507B2">
        <w:rPr>
          <w:lang w:val="ru-RU"/>
        </w:rPr>
        <w:t xml:space="preserve"> </w:t>
      </w:r>
      <w:r w:rsidR="004507B2" w:rsidRPr="00514CA6">
        <w:rPr>
          <w:lang w:val="ru-RU"/>
        </w:rPr>
        <w:t>об</w:t>
      </w:r>
      <w:r w:rsidR="004507B2" w:rsidRPr="004507B2">
        <w:rPr>
          <w:lang w:val="ru-RU"/>
        </w:rPr>
        <w:t xml:space="preserve"> </w:t>
      </w:r>
      <w:r w:rsidR="004507B2" w:rsidRPr="00514CA6">
        <w:rPr>
          <w:lang w:val="ru-RU"/>
        </w:rPr>
        <w:t>авторском</w:t>
      </w:r>
      <w:r w:rsidR="004507B2" w:rsidRPr="004507B2">
        <w:rPr>
          <w:lang w:val="ru-RU"/>
        </w:rPr>
        <w:t xml:space="preserve"> </w:t>
      </w:r>
      <w:r w:rsidR="004507B2" w:rsidRPr="00514CA6">
        <w:rPr>
          <w:lang w:val="ru-RU"/>
        </w:rPr>
        <w:t>праве</w:t>
      </w:r>
      <w:r w:rsidR="004507B2" w:rsidRPr="004507B2">
        <w:rPr>
          <w:lang w:val="ru-RU"/>
        </w:rPr>
        <w:t xml:space="preserve"> 2007</w:t>
      </w:r>
      <w:r w:rsidR="004507B2" w:rsidRPr="003B48AD">
        <w:t> </w:t>
      </w:r>
      <w:r w:rsidR="004507B2">
        <w:rPr>
          <w:lang w:val="ru-RU"/>
        </w:rPr>
        <w:t>г</w:t>
      </w:r>
      <w:r w:rsidR="004507B2" w:rsidRPr="004507B2">
        <w:rPr>
          <w:lang w:val="ru-RU"/>
        </w:rPr>
        <w:t>. (</w:t>
      </w:r>
      <w:r w:rsidR="004507B2" w:rsidRPr="00514CA6">
        <w:rPr>
          <w:lang w:val="ru-RU"/>
        </w:rPr>
        <w:t>с</w:t>
      </w:r>
      <w:r w:rsidR="004507B2" w:rsidRPr="004507B2">
        <w:rPr>
          <w:lang w:val="ru-RU"/>
        </w:rPr>
        <w:t xml:space="preserve"> </w:t>
      </w:r>
      <w:r w:rsidR="004507B2" w:rsidRPr="00514CA6">
        <w:rPr>
          <w:lang w:val="ru-RU"/>
        </w:rPr>
        <w:t>изменениями</w:t>
      </w:r>
      <w:r w:rsidR="004507B2" w:rsidRPr="004507B2">
        <w:rPr>
          <w:lang w:val="ru-RU"/>
        </w:rPr>
        <w:t xml:space="preserve"> </w:t>
      </w:r>
      <w:r w:rsidR="004507B2">
        <w:rPr>
          <w:lang w:val="ru-RU"/>
        </w:rPr>
        <w:t>от</w:t>
      </w:r>
      <w:r w:rsidR="004507B2" w:rsidRPr="004507B2">
        <w:rPr>
          <w:lang w:val="ru-RU"/>
        </w:rPr>
        <w:t xml:space="preserve"> 28</w:t>
      </w:r>
      <w:r w:rsidR="004507B2" w:rsidRPr="003B48AD">
        <w:t> </w:t>
      </w:r>
      <w:r w:rsidR="004507B2">
        <w:rPr>
          <w:lang w:val="ru-RU"/>
        </w:rPr>
        <w:t>июля</w:t>
      </w:r>
      <w:r w:rsidR="004507B2" w:rsidRPr="004507B2">
        <w:rPr>
          <w:lang w:val="ru-RU"/>
        </w:rPr>
        <w:t xml:space="preserve"> 2011</w:t>
      </w:r>
      <w:r w:rsidR="004507B2" w:rsidRPr="003B48AD">
        <w:t> </w:t>
      </w:r>
      <w:r w:rsidR="004507B2">
        <w:rPr>
          <w:lang w:val="ru-RU"/>
        </w:rPr>
        <w:t>г</w:t>
      </w:r>
      <w:r w:rsidR="004507B2" w:rsidRPr="004507B2">
        <w:rPr>
          <w:lang w:val="ru-RU"/>
        </w:rPr>
        <w:t xml:space="preserve">.), </w:t>
      </w:r>
      <w:r w:rsidR="004507B2">
        <w:rPr>
          <w:lang w:val="ru-RU"/>
        </w:rPr>
        <w:t>опубликованный</w:t>
      </w:r>
      <w:r w:rsidR="004507B2" w:rsidRPr="004507B2">
        <w:rPr>
          <w:lang w:val="ru-RU"/>
        </w:rPr>
        <w:t xml:space="preserve"> </w:t>
      </w:r>
      <w:r w:rsidR="004507B2">
        <w:rPr>
          <w:lang w:val="ru-RU"/>
        </w:rPr>
        <w:t>по</w:t>
      </w:r>
      <w:r w:rsidR="004507B2" w:rsidRPr="004507B2">
        <w:rPr>
          <w:lang w:val="ru-RU"/>
        </w:rPr>
        <w:t xml:space="preserve"> </w:t>
      </w:r>
      <w:r w:rsidR="004507B2">
        <w:rPr>
          <w:lang w:val="ru-RU"/>
        </w:rPr>
        <w:t>адресу</w:t>
      </w:r>
      <w:r w:rsidR="004507B2" w:rsidRPr="004507B2">
        <w:rPr>
          <w:noProof/>
          <w:color w:val="000000" w:themeColor="text1"/>
          <w:lang w:val="ru-RU"/>
        </w:rPr>
        <w:t xml:space="preserve"> </w:t>
      </w:r>
      <w:hyperlink r:id="rId3" w:history="1">
        <w:r>
          <w:rPr>
            <w:rStyle w:val="Hyperlink"/>
            <w:noProof/>
          </w:rPr>
          <w:t>https</w:t>
        </w:r>
        <w:r w:rsidRPr="004507B2">
          <w:rPr>
            <w:rStyle w:val="Hyperlink"/>
            <w:noProof/>
            <w:lang w:val="ru-RU"/>
          </w:rPr>
          <w:t>://</w:t>
        </w:r>
        <w:r>
          <w:rPr>
            <w:rStyle w:val="Hyperlink"/>
            <w:noProof/>
          </w:rPr>
          <w:t>wipolex</w:t>
        </w:r>
        <w:r w:rsidRPr="004507B2">
          <w:rPr>
            <w:rStyle w:val="Hyperlink"/>
            <w:noProof/>
            <w:lang w:val="ru-RU"/>
          </w:rPr>
          <w:t>.</w:t>
        </w:r>
        <w:r>
          <w:rPr>
            <w:rStyle w:val="Hyperlink"/>
            <w:noProof/>
          </w:rPr>
          <w:t>wipo</w:t>
        </w:r>
        <w:r w:rsidRPr="004507B2">
          <w:rPr>
            <w:rStyle w:val="Hyperlink"/>
            <w:noProof/>
            <w:lang w:val="ru-RU"/>
          </w:rPr>
          <w:t>.</w:t>
        </w:r>
        <w:r>
          <w:rPr>
            <w:rStyle w:val="Hyperlink"/>
            <w:noProof/>
          </w:rPr>
          <w:t>int</w:t>
        </w:r>
        <w:r w:rsidRPr="004507B2">
          <w:rPr>
            <w:rStyle w:val="Hyperlink"/>
            <w:noProof/>
            <w:lang w:val="ru-RU"/>
          </w:rPr>
          <w:t>/</w:t>
        </w:r>
        <w:r>
          <w:rPr>
            <w:rStyle w:val="Hyperlink"/>
            <w:noProof/>
          </w:rPr>
          <w:t>en</w:t>
        </w:r>
        <w:r w:rsidRPr="004507B2">
          <w:rPr>
            <w:rStyle w:val="Hyperlink"/>
            <w:noProof/>
            <w:lang w:val="ru-RU"/>
          </w:rPr>
          <w:t>/</w:t>
        </w:r>
        <w:r>
          <w:rPr>
            <w:rStyle w:val="Hyperlink"/>
            <w:noProof/>
          </w:rPr>
          <w:t>text</w:t>
        </w:r>
        <w:r w:rsidRPr="004507B2">
          <w:rPr>
            <w:rStyle w:val="Hyperlink"/>
            <w:noProof/>
            <w:lang w:val="ru-RU"/>
          </w:rPr>
          <w:t>/495410</w:t>
        </w:r>
      </w:hyperlink>
      <w:r w:rsidR="004507B2" w:rsidRPr="004507B2">
        <w:rPr>
          <w:rStyle w:val="Hyperlink"/>
          <w:noProof/>
          <w:u w:val="none"/>
          <w:lang w:val="ru-RU"/>
        </w:rPr>
        <w:t xml:space="preserve">, </w:t>
      </w:r>
      <w:r w:rsidR="004507B2">
        <w:rPr>
          <w:lang w:val="ru-RU"/>
        </w:rPr>
        <w:t xml:space="preserve">с поправками, внесенными в соответствии с законом об обеспечении доступа лиц с ограниченными возможностями к произведениям, исполнениям и передачам эфирного вещания 2014 г. </w:t>
      </w:r>
      <w:r w:rsidR="004507B2" w:rsidRPr="003B48AD">
        <w:rPr>
          <w:lang w:val="ru-RU"/>
        </w:rPr>
        <w:t>(</w:t>
      </w:r>
      <w:r w:rsidR="004507B2">
        <w:rPr>
          <w:lang w:val="ru-RU"/>
        </w:rPr>
        <w:t>закон об изменениях и дополнениях</w:t>
      </w:r>
      <w:r w:rsidR="004507B2" w:rsidRPr="003B48AD">
        <w:rPr>
          <w:lang w:val="ru-RU"/>
        </w:rPr>
        <w:t xml:space="preserve">), </w:t>
      </w:r>
      <w:r w:rsidR="004507B2">
        <w:rPr>
          <w:lang w:val="ru-RU"/>
        </w:rPr>
        <w:t xml:space="preserve">опубликованный по адресу </w:t>
      </w:r>
      <w:hyperlink r:id="rId4" w:history="1">
        <w:r>
          <w:rPr>
            <w:rStyle w:val="Hyperlink"/>
            <w:noProof/>
          </w:rPr>
          <w:t>http</w:t>
        </w:r>
        <w:r w:rsidRPr="004507B2">
          <w:rPr>
            <w:rStyle w:val="Hyperlink"/>
            <w:noProof/>
            <w:lang w:val="ru-RU"/>
          </w:rPr>
          <w:t>://</w:t>
        </w:r>
        <w:r>
          <w:rPr>
            <w:rStyle w:val="Hyperlink"/>
            <w:noProof/>
          </w:rPr>
          <w:t>www</w:t>
        </w:r>
        <w:r w:rsidRPr="004507B2">
          <w:rPr>
            <w:rStyle w:val="Hyperlink"/>
            <w:noProof/>
            <w:lang w:val="ru-RU"/>
          </w:rPr>
          <w:t>.</w:t>
        </w:r>
        <w:r>
          <w:rPr>
            <w:rStyle w:val="Hyperlink"/>
            <w:noProof/>
          </w:rPr>
          <w:t>wipo</w:t>
        </w:r>
        <w:r w:rsidRPr="004507B2">
          <w:rPr>
            <w:rStyle w:val="Hyperlink"/>
            <w:noProof/>
            <w:lang w:val="ru-RU"/>
          </w:rPr>
          <w:t>.</w:t>
        </w:r>
        <w:r>
          <w:rPr>
            <w:rStyle w:val="Hyperlink"/>
            <w:noProof/>
          </w:rPr>
          <w:t>int</w:t>
        </w:r>
        <w:r w:rsidRPr="004507B2">
          <w:rPr>
            <w:rStyle w:val="Hyperlink"/>
            <w:noProof/>
            <w:lang w:val="ru-RU"/>
          </w:rPr>
          <w:t>/</w:t>
        </w:r>
        <w:r>
          <w:rPr>
            <w:rStyle w:val="Hyperlink"/>
            <w:noProof/>
          </w:rPr>
          <w:t>edocs</w:t>
        </w:r>
        <w:r w:rsidRPr="004507B2">
          <w:rPr>
            <w:rStyle w:val="Hyperlink"/>
            <w:noProof/>
            <w:lang w:val="ru-RU"/>
          </w:rPr>
          <w:t>/</w:t>
        </w:r>
        <w:r>
          <w:rPr>
            <w:rStyle w:val="Hyperlink"/>
            <w:noProof/>
          </w:rPr>
          <w:t>lexdocs</w:t>
        </w:r>
        <w:r w:rsidRPr="004507B2">
          <w:rPr>
            <w:rStyle w:val="Hyperlink"/>
            <w:noProof/>
            <w:lang w:val="ru-RU"/>
          </w:rPr>
          <w:t>/</w:t>
        </w:r>
        <w:r>
          <w:rPr>
            <w:rStyle w:val="Hyperlink"/>
            <w:noProof/>
          </w:rPr>
          <w:t>laws</w:t>
        </w:r>
        <w:r w:rsidRPr="004507B2">
          <w:rPr>
            <w:rStyle w:val="Hyperlink"/>
            <w:noProof/>
            <w:lang w:val="ru-RU"/>
          </w:rPr>
          <w:t>/</w:t>
        </w:r>
        <w:r>
          <w:rPr>
            <w:rStyle w:val="Hyperlink"/>
            <w:noProof/>
          </w:rPr>
          <w:t>en</w:t>
        </w:r>
        <w:r w:rsidRPr="004507B2">
          <w:rPr>
            <w:rStyle w:val="Hyperlink"/>
            <w:noProof/>
            <w:lang w:val="ru-RU"/>
          </w:rPr>
          <w:t>/</w:t>
        </w:r>
        <w:r>
          <w:rPr>
            <w:rStyle w:val="Hyperlink"/>
            <w:noProof/>
          </w:rPr>
          <w:t>il</w:t>
        </w:r>
        <w:r w:rsidRPr="004507B2">
          <w:rPr>
            <w:rStyle w:val="Hyperlink"/>
            <w:noProof/>
            <w:lang w:val="ru-RU"/>
          </w:rPr>
          <w:t>/</w:t>
        </w:r>
        <w:r>
          <w:rPr>
            <w:rStyle w:val="Hyperlink"/>
            <w:noProof/>
          </w:rPr>
          <w:t>il</w:t>
        </w:r>
        <w:r w:rsidRPr="004507B2">
          <w:rPr>
            <w:rStyle w:val="Hyperlink"/>
            <w:noProof/>
            <w:lang w:val="ru-RU"/>
          </w:rPr>
          <w:t>035</w:t>
        </w:r>
        <w:r>
          <w:rPr>
            <w:rStyle w:val="Hyperlink"/>
            <w:noProof/>
          </w:rPr>
          <w:t>en</w:t>
        </w:r>
        <w:r w:rsidRPr="004507B2">
          <w:rPr>
            <w:rStyle w:val="Hyperlink"/>
            <w:noProof/>
            <w:lang w:val="ru-RU"/>
          </w:rPr>
          <w:t>.</w:t>
        </w:r>
        <w:r>
          <w:rPr>
            <w:rStyle w:val="Hyperlink"/>
            <w:noProof/>
          </w:rPr>
          <w:t>pdf</w:t>
        </w:r>
      </w:hyperlink>
      <w:r w:rsidRPr="004507B2">
        <w:rPr>
          <w:rStyle w:val="Hyperlink"/>
          <w:noProof/>
          <w:lang w:val="ru-RU"/>
        </w:rPr>
        <w:t>.</w:t>
      </w:r>
      <w:r w:rsidR="004507B2" w:rsidRPr="004507B2">
        <w:rPr>
          <w:rStyle w:val="Hyperlink"/>
          <w:noProof/>
          <w:lang w:val="ru-RU"/>
        </w:rPr>
        <w:t xml:space="preserve"> </w:t>
      </w:r>
    </w:p>
    <w:p w:rsidR="004507B2" w:rsidRPr="004507B2" w:rsidRDefault="004507B2" w:rsidP="00C4000D">
      <w:pPr>
        <w:pStyle w:val="FootnoteText"/>
        <w:rPr>
          <w:noProof/>
          <w:color w:val="000000" w:themeColor="text1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00" w:rsidRDefault="001B7D00" w:rsidP="00083BC4">
    <w:pPr>
      <w:pStyle w:val="Header"/>
      <w:jc w:val="right"/>
    </w:pPr>
    <w:r>
      <w:t>SCCR/38/3</w:t>
    </w:r>
  </w:p>
  <w:p w:rsidR="001B7D00" w:rsidRDefault="001B7D00" w:rsidP="00083BC4">
    <w:pPr>
      <w:pStyle w:val="Header"/>
      <w:jc w:val="right"/>
    </w:pPr>
    <w:r>
      <w:rPr>
        <w:lang w:val="ru-RU"/>
      </w:rPr>
      <w:t>стр.</w:t>
    </w:r>
    <w:r>
      <w:t xml:space="preserve"> </w:t>
    </w:r>
    <w:r w:rsidR="003223DA">
      <w:rPr>
        <w:noProof/>
      </w:rPr>
      <w:fldChar w:fldCharType="begin"/>
    </w:r>
    <w:r w:rsidR="003223DA">
      <w:rPr>
        <w:noProof/>
      </w:rPr>
      <w:instrText xml:space="preserve"> PAGE   \* MERGEFORMAT </w:instrText>
    </w:r>
    <w:r w:rsidR="003223DA">
      <w:rPr>
        <w:noProof/>
      </w:rPr>
      <w:fldChar w:fldCharType="separate"/>
    </w:r>
    <w:r w:rsidR="00EB760D">
      <w:rPr>
        <w:noProof/>
      </w:rPr>
      <w:t>13</w:t>
    </w:r>
    <w:r w:rsidR="003223DA">
      <w:rPr>
        <w:noProof/>
      </w:rPr>
      <w:fldChar w:fldCharType="end"/>
    </w:r>
  </w:p>
  <w:p w:rsidR="001B7D00" w:rsidRDefault="001B7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00" w:rsidRDefault="001B7D00" w:rsidP="00C642F2">
    <w:pPr>
      <w:pStyle w:val="Header"/>
      <w:jc w:val="right"/>
    </w:pPr>
    <w:r>
      <w:t>SCCR/35/3</w:t>
    </w:r>
  </w:p>
  <w:p w:rsidR="001B7D00" w:rsidRDefault="001B7D00" w:rsidP="00C642F2">
    <w:pPr>
      <w:pStyle w:val="Header"/>
      <w:jc w:val="right"/>
    </w:pPr>
    <w:r>
      <w:t xml:space="preserve">page </w:t>
    </w:r>
    <w:r w:rsidR="003223DA">
      <w:rPr>
        <w:noProof/>
      </w:rPr>
      <w:fldChar w:fldCharType="begin"/>
    </w:r>
    <w:r w:rsidR="003223DA">
      <w:rPr>
        <w:noProof/>
      </w:rPr>
      <w:instrText xml:space="preserve"> PAGE   \* MERGEFORMAT </w:instrText>
    </w:r>
    <w:r w:rsidR="003223DA">
      <w:rPr>
        <w:noProof/>
      </w:rPr>
      <w:fldChar w:fldCharType="separate"/>
    </w:r>
    <w:r w:rsidR="00EB760D">
      <w:rPr>
        <w:noProof/>
      </w:rPr>
      <w:t>11</w:t>
    </w:r>
    <w:r w:rsidR="003223D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1CEF"/>
    <w:multiLevelType w:val="multilevel"/>
    <w:tmpl w:val="2AFEC3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2177A5"/>
    <w:multiLevelType w:val="hybridMultilevel"/>
    <w:tmpl w:val="FAD44806"/>
    <w:lvl w:ilvl="0" w:tplc="A656C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6D3D"/>
    <w:multiLevelType w:val="multilevel"/>
    <w:tmpl w:val="98A686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D627CF"/>
    <w:multiLevelType w:val="multilevel"/>
    <w:tmpl w:val="71A068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6427AB"/>
    <w:multiLevelType w:val="multilevel"/>
    <w:tmpl w:val="911C45E6"/>
    <w:lvl w:ilvl="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Arial" w:eastAsia="Arial" w:hAnsi="Arial" w:cs="Arial"/>
      </w:rPr>
    </w:lvl>
  </w:abstractNum>
  <w:abstractNum w:abstractNumId="5" w15:restartNumberingAfterBreak="0">
    <w:nsid w:val="39E5521F"/>
    <w:multiLevelType w:val="hybridMultilevel"/>
    <w:tmpl w:val="6AD87E0E"/>
    <w:lvl w:ilvl="0" w:tplc="5748E5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71ABB"/>
    <w:multiLevelType w:val="multilevel"/>
    <w:tmpl w:val="5C244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100F20"/>
    <w:multiLevelType w:val="multilevel"/>
    <w:tmpl w:val="6C02E24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9E662A"/>
    <w:multiLevelType w:val="multilevel"/>
    <w:tmpl w:val="3BB29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91F0C64"/>
    <w:multiLevelType w:val="multilevel"/>
    <w:tmpl w:val="3878DD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B52F7E"/>
    <w:multiLevelType w:val="multilevel"/>
    <w:tmpl w:val="D24A12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5A"/>
    <w:rsid w:val="00024032"/>
    <w:rsid w:val="0003514B"/>
    <w:rsid w:val="00055157"/>
    <w:rsid w:val="00083BC4"/>
    <w:rsid w:val="000904B6"/>
    <w:rsid w:val="000A03A5"/>
    <w:rsid w:val="000C025F"/>
    <w:rsid w:val="000C3678"/>
    <w:rsid w:val="000C6FB7"/>
    <w:rsid w:val="000E0091"/>
    <w:rsid w:val="000E7E0B"/>
    <w:rsid w:val="00104107"/>
    <w:rsid w:val="00111559"/>
    <w:rsid w:val="00114353"/>
    <w:rsid w:val="00114697"/>
    <w:rsid w:val="00117728"/>
    <w:rsid w:val="00147C7A"/>
    <w:rsid w:val="001556E0"/>
    <w:rsid w:val="00164846"/>
    <w:rsid w:val="0019032D"/>
    <w:rsid w:val="001B7D00"/>
    <w:rsid w:val="001C0E5C"/>
    <w:rsid w:val="001D6736"/>
    <w:rsid w:val="001F6BC8"/>
    <w:rsid w:val="0020666C"/>
    <w:rsid w:val="002267BB"/>
    <w:rsid w:val="0022751E"/>
    <w:rsid w:val="00233B7A"/>
    <w:rsid w:val="002422C6"/>
    <w:rsid w:val="00245789"/>
    <w:rsid w:val="00265A9F"/>
    <w:rsid w:val="00266F50"/>
    <w:rsid w:val="00286038"/>
    <w:rsid w:val="002A08A1"/>
    <w:rsid w:val="002B1208"/>
    <w:rsid w:val="002B1CEC"/>
    <w:rsid w:val="002D0D39"/>
    <w:rsid w:val="002E5DC9"/>
    <w:rsid w:val="002F1DB0"/>
    <w:rsid w:val="002F3CEE"/>
    <w:rsid w:val="002F44B6"/>
    <w:rsid w:val="00317E6B"/>
    <w:rsid w:val="003223DA"/>
    <w:rsid w:val="00322752"/>
    <w:rsid w:val="00335A69"/>
    <w:rsid w:val="003617B3"/>
    <w:rsid w:val="003A673F"/>
    <w:rsid w:val="003B48AD"/>
    <w:rsid w:val="003B6029"/>
    <w:rsid w:val="003C3941"/>
    <w:rsid w:val="003E070C"/>
    <w:rsid w:val="004109CE"/>
    <w:rsid w:val="00412EE3"/>
    <w:rsid w:val="0041737F"/>
    <w:rsid w:val="004507B2"/>
    <w:rsid w:val="00465FB8"/>
    <w:rsid w:val="00490B00"/>
    <w:rsid w:val="0049367C"/>
    <w:rsid w:val="00493D47"/>
    <w:rsid w:val="00493D9B"/>
    <w:rsid w:val="004A248A"/>
    <w:rsid w:val="004A6917"/>
    <w:rsid w:val="004B4A4A"/>
    <w:rsid w:val="004D7118"/>
    <w:rsid w:val="004F3090"/>
    <w:rsid w:val="00514CA6"/>
    <w:rsid w:val="005440B6"/>
    <w:rsid w:val="005521DF"/>
    <w:rsid w:val="00552AF1"/>
    <w:rsid w:val="00567B18"/>
    <w:rsid w:val="005A70C7"/>
    <w:rsid w:val="005C0966"/>
    <w:rsid w:val="005C551E"/>
    <w:rsid w:val="005D7E6E"/>
    <w:rsid w:val="005F295F"/>
    <w:rsid w:val="0061233A"/>
    <w:rsid w:val="00656FAE"/>
    <w:rsid w:val="0066285C"/>
    <w:rsid w:val="00666678"/>
    <w:rsid w:val="00677CE0"/>
    <w:rsid w:val="00677F04"/>
    <w:rsid w:val="006B6B04"/>
    <w:rsid w:val="006C4F47"/>
    <w:rsid w:val="006D473C"/>
    <w:rsid w:val="006F6BCD"/>
    <w:rsid w:val="00704C9D"/>
    <w:rsid w:val="00723E61"/>
    <w:rsid w:val="00724F9A"/>
    <w:rsid w:val="00751E9B"/>
    <w:rsid w:val="00757AC1"/>
    <w:rsid w:val="00774F75"/>
    <w:rsid w:val="007807F3"/>
    <w:rsid w:val="007862C0"/>
    <w:rsid w:val="00791755"/>
    <w:rsid w:val="007A3E42"/>
    <w:rsid w:val="007B4424"/>
    <w:rsid w:val="007C3364"/>
    <w:rsid w:val="007C54E5"/>
    <w:rsid w:val="007D3706"/>
    <w:rsid w:val="007E19A1"/>
    <w:rsid w:val="007F7339"/>
    <w:rsid w:val="00886612"/>
    <w:rsid w:val="00893645"/>
    <w:rsid w:val="008B0B7B"/>
    <w:rsid w:val="008B2107"/>
    <w:rsid w:val="008C12D6"/>
    <w:rsid w:val="008C2F64"/>
    <w:rsid w:val="008D76EA"/>
    <w:rsid w:val="008E2F85"/>
    <w:rsid w:val="008E4F35"/>
    <w:rsid w:val="008E7317"/>
    <w:rsid w:val="008F4F6C"/>
    <w:rsid w:val="00902165"/>
    <w:rsid w:val="00903187"/>
    <w:rsid w:val="00921ECA"/>
    <w:rsid w:val="00926B00"/>
    <w:rsid w:val="00932D78"/>
    <w:rsid w:val="0093693B"/>
    <w:rsid w:val="0094402E"/>
    <w:rsid w:val="009477E9"/>
    <w:rsid w:val="00952202"/>
    <w:rsid w:val="00953D5A"/>
    <w:rsid w:val="00972CE9"/>
    <w:rsid w:val="009745A6"/>
    <w:rsid w:val="009900B7"/>
    <w:rsid w:val="009936E0"/>
    <w:rsid w:val="009941C8"/>
    <w:rsid w:val="009A7F78"/>
    <w:rsid w:val="009D1F2A"/>
    <w:rsid w:val="009F2822"/>
    <w:rsid w:val="00A20260"/>
    <w:rsid w:val="00A30C71"/>
    <w:rsid w:val="00A351F5"/>
    <w:rsid w:val="00A51896"/>
    <w:rsid w:val="00A77F64"/>
    <w:rsid w:val="00A96DB5"/>
    <w:rsid w:val="00AA0D84"/>
    <w:rsid w:val="00AA4B31"/>
    <w:rsid w:val="00AB1294"/>
    <w:rsid w:val="00AD13DF"/>
    <w:rsid w:val="00AF4715"/>
    <w:rsid w:val="00AF7884"/>
    <w:rsid w:val="00B1038D"/>
    <w:rsid w:val="00B22DD6"/>
    <w:rsid w:val="00B305C0"/>
    <w:rsid w:val="00B42077"/>
    <w:rsid w:val="00B6402F"/>
    <w:rsid w:val="00B67D0F"/>
    <w:rsid w:val="00B73F2B"/>
    <w:rsid w:val="00B75D87"/>
    <w:rsid w:val="00B9369D"/>
    <w:rsid w:val="00BB03A1"/>
    <w:rsid w:val="00BB2522"/>
    <w:rsid w:val="00BC220B"/>
    <w:rsid w:val="00BE4A85"/>
    <w:rsid w:val="00BE6729"/>
    <w:rsid w:val="00BF092E"/>
    <w:rsid w:val="00BF1F17"/>
    <w:rsid w:val="00C02069"/>
    <w:rsid w:val="00C30939"/>
    <w:rsid w:val="00C37160"/>
    <w:rsid w:val="00C3741C"/>
    <w:rsid w:val="00C4000D"/>
    <w:rsid w:val="00C4247B"/>
    <w:rsid w:val="00C53AD5"/>
    <w:rsid w:val="00C54D98"/>
    <w:rsid w:val="00C62CE0"/>
    <w:rsid w:val="00C64283"/>
    <w:rsid w:val="00C642F2"/>
    <w:rsid w:val="00C83098"/>
    <w:rsid w:val="00C94DEF"/>
    <w:rsid w:val="00C96684"/>
    <w:rsid w:val="00CA79F8"/>
    <w:rsid w:val="00CB15E3"/>
    <w:rsid w:val="00CC5400"/>
    <w:rsid w:val="00CD1487"/>
    <w:rsid w:val="00CD2012"/>
    <w:rsid w:val="00CD4639"/>
    <w:rsid w:val="00CD7952"/>
    <w:rsid w:val="00CE28F1"/>
    <w:rsid w:val="00CF4D61"/>
    <w:rsid w:val="00D07E02"/>
    <w:rsid w:val="00D25CC8"/>
    <w:rsid w:val="00D3565F"/>
    <w:rsid w:val="00D35861"/>
    <w:rsid w:val="00D747A4"/>
    <w:rsid w:val="00D912B8"/>
    <w:rsid w:val="00D91BDA"/>
    <w:rsid w:val="00DA3272"/>
    <w:rsid w:val="00DA3F77"/>
    <w:rsid w:val="00DA76F1"/>
    <w:rsid w:val="00DB286C"/>
    <w:rsid w:val="00DC3D80"/>
    <w:rsid w:val="00DC726D"/>
    <w:rsid w:val="00DD1DF5"/>
    <w:rsid w:val="00DD6A87"/>
    <w:rsid w:val="00DE112A"/>
    <w:rsid w:val="00DE61FF"/>
    <w:rsid w:val="00DE64DA"/>
    <w:rsid w:val="00DF37C0"/>
    <w:rsid w:val="00DF5F88"/>
    <w:rsid w:val="00DF713A"/>
    <w:rsid w:val="00E17204"/>
    <w:rsid w:val="00E17EB7"/>
    <w:rsid w:val="00E46906"/>
    <w:rsid w:val="00E472DB"/>
    <w:rsid w:val="00E56D8E"/>
    <w:rsid w:val="00E86AC8"/>
    <w:rsid w:val="00EA04B2"/>
    <w:rsid w:val="00EB760D"/>
    <w:rsid w:val="00ED601E"/>
    <w:rsid w:val="00F044E7"/>
    <w:rsid w:val="00F100A9"/>
    <w:rsid w:val="00F23606"/>
    <w:rsid w:val="00F30CA7"/>
    <w:rsid w:val="00F463D1"/>
    <w:rsid w:val="00F476B7"/>
    <w:rsid w:val="00F67718"/>
    <w:rsid w:val="00F91F1D"/>
    <w:rsid w:val="00F92B20"/>
    <w:rsid w:val="00FC5153"/>
    <w:rsid w:val="00FD5087"/>
    <w:rsid w:val="00FD550D"/>
    <w:rsid w:val="00FD6F88"/>
    <w:rsid w:val="00FF59B9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FC05B2D-BA7D-4231-B0B4-D0BCE916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7F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807F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807F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807F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807F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unhideWhenUsed/>
    <w:qFormat/>
    <w:rsid w:val="00493D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rsid w:val="00493D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493D9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qFormat/>
    <w:rsid w:val="00493D9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a">
    <w:basedOn w:val="TableNormal"/>
    <w:rsid w:val="00493D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493D9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D9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3D9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C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E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E9"/>
  </w:style>
  <w:style w:type="paragraph" w:styleId="Footer">
    <w:name w:val="footer"/>
    <w:basedOn w:val="Normal"/>
    <w:link w:val="FooterChar"/>
    <w:uiPriority w:val="99"/>
    <w:unhideWhenUsed/>
    <w:rsid w:val="00972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E9"/>
  </w:style>
  <w:style w:type="paragraph" w:styleId="FootnoteText">
    <w:name w:val="footnote text"/>
    <w:basedOn w:val="Normal"/>
    <w:link w:val="FootnoteTextChar"/>
    <w:uiPriority w:val="99"/>
    <w:unhideWhenUsed/>
    <w:rsid w:val="00DB28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28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B286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5A6"/>
  </w:style>
  <w:style w:type="paragraph" w:styleId="Caption">
    <w:name w:val="caption"/>
    <w:basedOn w:val="Normal"/>
    <w:next w:val="Normal"/>
    <w:uiPriority w:val="35"/>
    <w:qFormat/>
    <w:rsid w:val="007807F3"/>
    <w:rPr>
      <w:b/>
      <w:bCs/>
      <w:sz w:val="18"/>
    </w:rPr>
  </w:style>
  <w:style w:type="paragraph" w:styleId="ListParagraph">
    <w:name w:val="List Paragraph"/>
    <w:basedOn w:val="Normal"/>
    <w:uiPriority w:val="34"/>
    <w:qFormat/>
    <w:rsid w:val="007807F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C4000D"/>
    <w:rPr>
      <w:color w:val="000000" w:themeColor="text1"/>
      <w:u w:val="single"/>
    </w:rPr>
  </w:style>
  <w:style w:type="paragraph" w:customStyle="1" w:styleId="WIPOBodyStyle">
    <w:name w:val="WIPO Body Style"/>
    <w:basedOn w:val="Normal"/>
    <w:rsid w:val="00C4000D"/>
    <w:pPr>
      <w:spacing w:after="80" w:line="280" w:lineRule="exact"/>
    </w:pPr>
    <w:rPr>
      <w:rFonts w:eastAsia="Arial"/>
      <w:sz w:val="24"/>
      <w:szCs w:val="22"/>
      <w:lang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66285C"/>
    <w:rPr>
      <w:color w:val="954F72" w:themeColor="followedHyperlink"/>
      <w:u w:val="single"/>
    </w:rPr>
  </w:style>
  <w:style w:type="paragraph" w:customStyle="1" w:styleId="m2682651216425847310gmail-wipobodystyle">
    <w:name w:val="m_2682651216425847310gmail-wipobodystyle"/>
    <w:basedOn w:val="Normal"/>
    <w:rsid w:val="005A70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C2F64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ipolex.wipo.int/en/text/495410" TargetMode="External"/><Relationship Id="rId2" Type="http://schemas.openxmlformats.org/officeDocument/2006/relationships/hyperlink" Target="https://www.colemaninstitute.org/wp-content/uploads/2018/12/white-paper-coleman-version-1.pdf" TargetMode="External"/><Relationship Id="rId1" Type="http://schemas.openxmlformats.org/officeDocument/2006/relationships/hyperlink" Target="http://www.who.int/mediacentre/factsheets/fs352/en/" TargetMode="External"/><Relationship Id="rId4" Type="http://schemas.openxmlformats.org/officeDocument/2006/relationships/hyperlink" Target="http://www.wipo.int/edocs/lexdocs/laws/en/il/il035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3697E-9D52-43E7-9661-5CF15CEB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4070</Words>
  <Characters>23204</Characters>
  <Application>Microsoft Office Word</Application>
  <DocSecurity>4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FERRAZ VAZQUEZ Rafael</dc:creator>
  <cp:lastModifiedBy>HAIZEL Francesca</cp:lastModifiedBy>
  <cp:revision>2</cp:revision>
  <cp:lastPrinted>2019-03-25T11:35:00Z</cp:lastPrinted>
  <dcterms:created xsi:type="dcterms:W3CDTF">2019-03-28T09:19:00Z</dcterms:created>
  <dcterms:modified xsi:type="dcterms:W3CDTF">2019-03-28T09:19:00Z</dcterms:modified>
</cp:coreProperties>
</file>