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ED" w:rsidRPr="00E91AB1" w:rsidRDefault="00F810ED" w:rsidP="00F810ED">
      <w:bookmarkStart w:id="0" w:name="_GoBack"/>
      <w:bookmarkEnd w:id="0"/>
      <w:r w:rsidRPr="00E91AB1">
        <w:t xml:space="preserve">РЕЗЮМЕ </w:t>
      </w:r>
    </w:p>
    <w:p w:rsidR="00F810ED" w:rsidRPr="00E91AB1" w:rsidRDefault="00F810ED" w:rsidP="00F810ED">
      <w:r w:rsidRPr="00E91AB1">
        <w:t>ИССЛЕДОВАНИЕ ОГРАНИЧЕНИЙ И ИСКЛЮЧЕНИЙ ИЗ АВТОРСКОГО ПРАВА ДЛЯ МУЗЕЕВ (SCCR/30/2)</w:t>
      </w:r>
    </w:p>
    <w:p w:rsidR="00F810ED" w:rsidRPr="00E91AB1" w:rsidRDefault="00F810ED" w:rsidP="00F810ED"/>
    <w:p w:rsidR="00F810ED" w:rsidRPr="00E91AB1" w:rsidRDefault="00F810ED" w:rsidP="00F810ED">
      <w:pPr>
        <w:rPr>
          <w:i/>
        </w:rPr>
      </w:pPr>
      <w:r w:rsidRPr="00E91AB1">
        <w:rPr>
          <w:i/>
        </w:rPr>
        <w:t>Подготовлено Жаном-Франсуа Канатом и Люси Гибо совместно с Элизабет Логе</w:t>
      </w:r>
    </w:p>
    <w:p w:rsidR="00F810ED" w:rsidRPr="00E91AB1" w:rsidRDefault="00F810ED" w:rsidP="00F810ED"/>
    <w:p w:rsidR="00F810ED" w:rsidRPr="00E91AB1" w:rsidRDefault="00892345" w:rsidP="00F810ED">
      <w:r>
        <w:t>Настоящее</w:t>
      </w:r>
      <w:r w:rsidR="00F810ED" w:rsidRPr="00E91AB1">
        <w:t xml:space="preserve"> исследование посвящено вопросу ограничений и исключений из авторского права для музеев</w:t>
      </w:r>
      <w:r>
        <w:t xml:space="preserve"> и имеет</w:t>
      </w:r>
      <w:r w:rsidR="00F810ED" w:rsidRPr="00E91AB1">
        <w:t xml:space="preserve"> целью улучшить понимание на международном уровне потребности в адекватных ограничениях, изучить существующие и предлагаемые модели </w:t>
      </w:r>
      <w:r>
        <w:t>охраны</w:t>
      </w:r>
      <w:r w:rsidR="00F810ED" w:rsidRPr="00E91AB1">
        <w:t xml:space="preserve"> и прийти постепенно к согласию по поводу конкре</w:t>
      </w:r>
      <w:r>
        <w:t>тных исключений и ограничений.</w:t>
      </w:r>
    </w:p>
    <w:p w:rsidR="00F810ED" w:rsidRPr="00E91AB1" w:rsidRDefault="00F810ED" w:rsidP="00F810ED"/>
    <w:p w:rsidR="00F810ED" w:rsidRPr="00133304" w:rsidRDefault="00F810ED" w:rsidP="00F810ED">
      <w:r w:rsidRPr="00E91AB1">
        <w:t>На протяжении веков музеи существовали по всему миру в их сегодняшнем виде.  Музеи р</w:t>
      </w:r>
      <w:r w:rsidR="00892345">
        <w:t xml:space="preserve">азного типа и разных размеров </w:t>
      </w:r>
      <w:r w:rsidRPr="00E91AB1">
        <w:t>объединили в своих фондах все богатство знаний и культуры, которое используют для блага посетителей.  Именно музеи заботятся о культурном наследии народов.  Собранные в музеях предметы столь же разнообразны, сколь и цели их использования: предметы искусства и технические достижения, тексты, рисунки, живописные полотна, фотографии, карты, фильмы и звукозаписи.  Все это собирается и систематизируется для целей искусства, антропологии, археологии, науки и т.п.  Для достижения указанных целей музеи ведут разные виды деятельности, относящиеся к находящимся в их распоряжении предметам, в основном к их приобретению и курированию, а также к их популяризации среди населения и содействию их использованию для образо</w:t>
      </w:r>
      <w:r w:rsidR="00817D42">
        <w:t xml:space="preserve">вания и научных исследований.  </w:t>
      </w:r>
      <w:r w:rsidRPr="00E91AB1">
        <w:t>Учитывая существенные технические и социальные изменения, связанные с применением информационных технологий, музеи, если они хотят оставаться соц</w:t>
      </w:r>
      <w:r w:rsidR="00817D42">
        <w:t xml:space="preserve">иально и культурно значимыми в </w:t>
      </w:r>
      <w:r w:rsidR="00817D42">
        <w:rPr>
          <w:lang w:val="en-US"/>
        </w:rPr>
        <w:t>XXI </w:t>
      </w:r>
      <w:r w:rsidRPr="00E91AB1">
        <w:t>веке, вынуждены пересматривать соответствующим образом свои методы работы, думать об оцифровке информации о своих коллекциях и распростр</w:t>
      </w:r>
      <w:r w:rsidR="00C063CD">
        <w:t>анении ее через сеть Интернет.</w:t>
      </w:r>
    </w:p>
    <w:p w:rsidR="00F810ED" w:rsidRPr="00E91AB1" w:rsidRDefault="00F810ED" w:rsidP="00F810ED"/>
    <w:p w:rsidR="00F810ED" w:rsidRPr="00E91AB1" w:rsidRDefault="00F810ED" w:rsidP="00F810ED">
      <w:r w:rsidRPr="00E91AB1">
        <w:t>Выполнение стоящих перед музеями задач часто подразумевает воспроизведение и распространение для всеобщего сведения входящих в коллекции произведений.  Чтобы совершать перечисленные действия, не нарушая норм авторско-правовой охраны соответствующих произведений, музеям, в принципе, необходимы разрешения правообладателей, если только на них не распро</w:t>
      </w:r>
      <w:r w:rsidR="00133304">
        <w:t xml:space="preserve">страняется действие </w:t>
      </w:r>
      <w:r w:rsidRPr="00E91AB1">
        <w:t xml:space="preserve">ограничений </w:t>
      </w:r>
      <w:r w:rsidR="00133304" w:rsidRPr="00E91AB1">
        <w:t>или</w:t>
      </w:r>
      <w:r w:rsidR="00133304">
        <w:t xml:space="preserve"> исключений из </w:t>
      </w:r>
      <w:r w:rsidRPr="00E91AB1">
        <w:t xml:space="preserve">авторского права.  Таким образом, на стыке авторского права и музейной деятельности могут возникнуть те же трудности, что и у большинства потенциальных пользователей произведений, находящихся под авторско-правовой охраной.  </w:t>
      </w:r>
    </w:p>
    <w:p w:rsidR="00F810ED" w:rsidRPr="00E91AB1" w:rsidRDefault="00F810ED" w:rsidP="00F810ED"/>
    <w:p w:rsidR="00F810ED" w:rsidRPr="00E91AB1" w:rsidRDefault="00F810ED" w:rsidP="00F810ED">
      <w:r w:rsidRPr="00E91AB1">
        <w:t xml:space="preserve">Однако не все музеи в одинаковой степени сталкиваются с проблемами, относящимися к законодательству об авторском праве.  Во-первых, не все экспонаты, из которых состоят музейные коллекции, находятся под авторско-правовой охраной: в некоторых случаях предметы хранения не классифицируются как произведения в соответствии с авторским правом (например, велосипед, </w:t>
      </w:r>
      <w:r w:rsidR="00133304">
        <w:t>хранящийся в историческом музее</w:t>
      </w:r>
      <w:r w:rsidRPr="00E91AB1">
        <w:t xml:space="preserve">). Однако в большинстве случаев оказывается, что срок авторско-правовой охраны </w:t>
      </w:r>
      <w:r w:rsidR="00C063CD" w:rsidRPr="00E91AB1">
        <w:t xml:space="preserve">истек </w:t>
      </w:r>
      <w:r w:rsidRPr="00E91AB1">
        <w:t xml:space="preserve">(например, древнеегипетских артефактов или рукописей Шекспира).  В таких случаях, с точки зрения законодательства об авторском праве, соответствующие предметы можно использовать без ограничений.  Во-вторых, музеи пытаются, насколько это возможно, в дополнение к праву материальной собственности на входящие в музейные коллекции произведения, добиться, заключив соответствующие соглашения, уступки авторских прав или хотя бы их передачи по лицензии.  Музеи вряд ли смогут выполнять свои задачи, если не обеспечат наличие у них официальных полномочий совершать необходимые в свете вышеизложенного действия.  Но музеям не всегда удается получить соответствующие права.  Более того, ситуация может оказаться не столь однозначной, когда речь идет о предметах, приобретенных до </w:t>
      </w:r>
      <w:r w:rsidRPr="00E91AB1">
        <w:lastRenderedPageBreak/>
        <w:t xml:space="preserve">начала эпохи цифровых сетей. Кому принадлежат «цифровые права» на такие предметы — первоначальному автору или музею?  Что если автора больше нельзя идентифицировать или обнаружить, ведь в этом случае произведение считается «сиротским», то есть произведением, автор которого неизвестен? </w:t>
      </w:r>
    </w:p>
    <w:p w:rsidR="00F810ED" w:rsidRPr="00E91AB1" w:rsidRDefault="00F810ED" w:rsidP="00F810ED"/>
    <w:p w:rsidR="00F810ED" w:rsidRPr="00E91AB1" w:rsidRDefault="00F810ED" w:rsidP="00F810ED">
      <w:r w:rsidRPr="00E91AB1">
        <w:t xml:space="preserve">Настоящее исследование проводилось с целью ответить на вопрос, предусматривают ли действующие на сегодняшний день </w:t>
      </w:r>
      <w:r w:rsidR="00133304" w:rsidRPr="00E91AB1">
        <w:t xml:space="preserve">ограничения </w:t>
      </w:r>
      <w:r w:rsidR="00133304">
        <w:t xml:space="preserve">и </w:t>
      </w:r>
      <w:r w:rsidRPr="00E91AB1">
        <w:t>исключения и</w:t>
      </w:r>
      <w:r w:rsidR="00133304">
        <w:t>з</w:t>
      </w:r>
      <w:r w:rsidRPr="00E91AB1">
        <w:t xml:space="preserve"> авторского права обеспечение выполнения музеями своих задач, а если нет, то как сделать так, чтобы учитывались интересы всех заинтересованных лиц и не возникали препятствия оказанию музеями услуг в рамках поставленных целей.  Как лучше получать разрешения правообладателей — по закону или на договорной основе? Можно ли изменить положения об исключениях и ограничениях, содержащиеся в закона</w:t>
      </w:r>
      <w:r w:rsidR="00C063CD">
        <w:t>х об авторском праве государств</w:t>
      </w:r>
      <w:r w:rsidR="00C063CD" w:rsidRPr="00133304">
        <w:t xml:space="preserve"> </w:t>
      </w:r>
      <w:r w:rsidR="00C063CD">
        <w:t xml:space="preserve">– </w:t>
      </w:r>
      <w:r w:rsidRPr="00E91AB1">
        <w:t>членов Бернского союза, таким образом, чтобы свести к минимуму проблемы, связанные с правовой неопределенностью?</w:t>
      </w:r>
    </w:p>
    <w:p w:rsidR="00F810ED" w:rsidRPr="00E91AB1" w:rsidRDefault="00F810ED" w:rsidP="00F810ED"/>
    <w:p w:rsidR="00F810ED" w:rsidRPr="00E91AB1" w:rsidRDefault="00F810ED" w:rsidP="00F810ED">
      <w:r w:rsidRPr="00E91AB1">
        <w:t>СТРУКТУРА И МЕТОДИКА</w:t>
      </w:r>
    </w:p>
    <w:p w:rsidR="00F810ED" w:rsidRPr="00E91AB1" w:rsidRDefault="00F810ED" w:rsidP="00F810ED"/>
    <w:p w:rsidR="00F810ED" w:rsidRPr="00E91AB1" w:rsidRDefault="00F810ED" w:rsidP="00F810ED">
      <w:r w:rsidRPr="00E91AB1">
        <w:t>Настоящее исследование преследует двойную</w:t>
      </w:r>
      <w:r w:rsidR="008465FA">
        <w:t xml:space="preserve"> цель. Во-первых, в нем описывае</w:t>
      </w:r>
      <w:r w:rsidRPr="00E91AB1">
        <w:t xml:space="preserve">тся текущее положение дел в законодательстве об авторском праве, а также исключения и ограничения, касающиеся использования </w:t>
      </w:r>
      <w:r w:rsidR="00417FDC" w:rsidRPr="00E91AB1">
        <w:t xml:space="preserve">музеями и их посетителями </w:t>
      </w:r>
      <w:r w:rsidRPr="00E91AB1">
        <w:t>произведений</w:t>
      </w:r>
      <w:r w:rsidR="00417FDC">
        <w:t xml:space="preserve">, </w:t>
      </w:r>
      <w:r w:rsidR="00417FDC" w:rsidRPr="00E91AB1">
        <w:t>охраняемых авторским правом</w:t>
      </w:r>
      <w:r w:rsidRPr="00E91AB1">
        <w:t xml:space="preserve">. </w:t>
      </w:r>
      <w:r w:rsidR="008465FA">
        <w:t xml:space="preserve"> </w:t>
      </w:r>
      <w:r w:rsidRPr="00E91AB1">
        <w:t xml:space="preserve">Во-вторых, на основе фактов, установленных в первой части, авторы исследования с точки зрения нормативного регулирования </w:t>
      </w:r>
      <w:r w:rsidR="00366260" w:rsidRPr="00E91AB1">
        <w:t xml:space="preserve">рассматривают </w:t>
      </w:r>
      <w:r w:rsidRPr="00E91AB1">
        <w:t>возможные способы содействия музеям в оказании услуг с соблюдением норм авторского права.</w:t>
      </w:r>
    </w:p>
    <w:p w:rsidR="00F810ED" w:rsidRPr="00E91AB1" w:rsidRDefault="00F810ED" w:rsidP="00F810ED"/>
    <w:p w:rsidR="00F810ED" w:rsidRPr="00E91AB1" w:rsidRDefault="00F810ED" w:rsidP="00F810ED">
      <w:r w:rsidRPr="00E91AB1">
        <w:t>Прежде чем перейти в главе</w:t>
      </w:r>
      <w:r w:rsidR="008465FA">
        <w:t> </w:t>
      </w:r>
      <w:r w:rsidRPr="00E91AB1">
        <w:t xml:space="preserve">3 к описанию предусмотренных законом исключений и ограничений, но после настоящего вступления, содержащегося в </w:t>
      </w:r>
      <w:r w:rsidR="008465FA">
        <w:rPr>
          <w:b/>
        </w:rPr>
        <w:t>главе </w:t>
      </w:r>
      <w:r w:rsidRPr="00E91AB1">
        <w:rPr>
          <w:b/>
        </w:rPr>
        <w:t>1</w:t>
      </w:r>
      <w:r w:rsidRPr="00E91AB1">
        <w:t xml:space="preserve">, в </w:t>
      </w:r>
      <w:r w:rsidRPr="00E91AB1">
        <w:rPr>
          <w:b/>
        </w:rPr>
        <w:t>главе</w:t>
      </w:r>
      <w:r w:rsidR="008465FA">
        <w:rPr>
          <w:b/>
        </w:rPr>
        <w:t> </w:t>
      </w:r>
      <w:r w:rsidRPr="00E91AB1">
        <w:rPr>
          <w:b/>
        </w:rPr>
        <w:t>2</w:t>
      </w:r>
      <w:r w:rsidRPr="00E91AB1">
        <w:t xml:space="preserve"> авторы рассматривают музеи в мировом теоретическом и правовом контексте.  В этой главе сначала даются краткий обзор развития музеев на протяжен</w:t>
      </w:r>
      <w:r w:rsidR="008465FA">
        <w:t>ии истории человечества (раздел </w:t>
      </w:r>
      <w:r w:rsidRPr="00E91AB1">
        <w:t>2.1) и определение понятия «музей» в значении этого термина, в котором он будет использоваться в остальной части отчета.  Затем во второй главе дано описани</w:t>
      </w:r>
      <w:r w:rsidR="008465FA">
        <w:t>е основных задач музеев (раздел </w:t>
      </w:r>
      <w:r w:rsidRPr="00E91AB1">
        <w:t>2.2), охватывающих приобретение и охрану культурного наследия, его распространение и демонстрацию, а также поддержку образования, научной и исследовате</w:t>
      </w:r>
      <w:r w:rsidR="008465FA">
        <w:t>льской деятельности.  В разделе </w:t>
      </w:r>
      <w:r w:rsidRPr="00E91AB1">
        <w:t>2.3 кратко описаны ключевые аспекты обоснования включения в законы исключений и ограничений авторского права, действующих в пользу музеев и их посетителей.  Наиболее важные основания — право граждан на самосовершенствование, участие в культурной жизни, образование и исследовательскую деятельность, а также реализация государственной политики в области культурн</w:t>
      </w:r>
      <w:r w:rsidR="008465FA">
        <w:t xml:space="preserve">ого наследия.  </w:t>
      </w:r>
      <w:r w:rsidRPr="00E91AB1">
        <w:t>В разделе</w:t>
      </w:r>
      <w:r w:rsidR="008465FA">
        <w:t> </w:t>
      </w:r>
      <w:r w:rsidR="00DA5B12" w:rsidRPr="00DA5B12">
        <w:t>2.3</w:t>
      </w:r>
      <w:r w:rsidRPr="00E91AB1">
        <w:t xml:space="preserve"> также содержится обсуждение музеев и достижения их целей в контексте правовой системы международной охраны авторского права, рассматриваются договоры, </w:t>
      </w:r>
      <w:r w:rsidR="008465FA">
        <w:t>административные функции в отношении которых выполняет Всемирная</w:t>
      </w:r>
      <w:r w:rsidRPr="00E91AB1">
        <w:t xml:space="preserve"> организаци</w:t>
      </w:r>
      <w:r w:rsidR="008465FA">
        <w:t>я</w:t>
      </w:r>
      <w:r w:rsidRPr="00E91AB1">
        <w:t xml:space="preserve"> интеллектуальной</w:t>
      </w:r>
      <w:r w:rsidR="008465FA">
        <w:t xml:space="preserve"> собственности (ВОИС), а именно</w:t>
      </w:r>
      <w:r w:rsidRPr="00E91AB1">
        <w:t xml:space="preserve"> Бернская конвенция и Договор ВОИС по авторскому праву, а также Соглашение по торговым аспектам прав интеллектуальной собственности (ТРИПС), </w:t>
      </w:r>
      <w:r w:rsidR="008465FA">
        <w:t>администрируемое</w:t>
      </w:r>
      <w:r w:rsidRPr="00E91AB1">
        <w:t xml:space="preserve"> Всемирной торговой организацией (ВТО), конвенции ЮНЕСКО «Об охране нематериального </w:t>
      </w:r>
      <w:r w:rsidR="008465FA">
        <w:t>культурного наследия» (2003 г.</w:t>
      </w:r>
      <w:r w:rsidRPr="00E91AB1">
        <w:t>) и «Об охране и поощрении разнообразия форм культурного самовыражения» (2005</w:t>
      </w:r>
      <w:r w:rsidR="008465FA">
        <w:t> </w:t>
      </w:r>
      <w:r w:rsidRPr="00E91AB1">
        <w:t>г.) и соответствующие региональные конвенции о правах интеллектуальной собственности и сохранении культурного наследия.</w:t>
      </w:r>
    </w:p>
    <w:p w:rsidR="00F810ED" w:rsidRPr="00E91AB1" w:rsidRDefault="00F810ED" w:rsidP="00F810ED"/>
    <w:p w:rsidR="00F810ED" w:rsidRPr="00E91AB1" w:rsidRDefault="00175B7C" w:rsidP="00F810ED">
      <w:r>
        <w:rPr>
          <w:b/>
        </w:rPr>
        <w:t>Глава </w:t>
      </w:r>
      <w:r w:rsidR="00F810ED" w:rsidRPr="00E91AB1">
        <w:rPr>
          <w:b/>
        </w:rPr>
        <w:t>3</w:t>
      </w:r>
      <w:r w:rsidR="00F810ED" w:rsidRPr="00E91AB1">
        <w:t xml:space="preserve"> начинается с краткого обзора охраны личных неимущественных прав и ее возможного влияния на деятельность музеев.  Далее, в разделах</w:t>
      </w:r>
      <w:r>
        <w:t> </w:t>
      </w:r>
      <w:r w:rsidR="00F810ED" w:rsidRPr="00E91AB1">
        <w:t>3.2 и 3.3, дан анализ исключений и ограничений, имеющих значение для выполнения музеями своих задач, например, специфических и общих исключений и ограничений и права на долю от перепродажи</w:t>
      </w:r>
      <w:r>
        <w:t>, а также</w:t>
      </w:r>
      <w:r w:rsidR="00F810ED" w:rsidRPr="00E91AB1">
        <w:t xml:space="preserve"> методов применения этого права к музейной деятельности.  К </w:t>
      </w:r>
      <w:r w:rsidR="00F810ED" w:rsidRPr="00E91AB1">
        <w:lastRenderedPageBreak/>
        <w:t xml:space="preserve">специфическим исключениям относятся предоставление музеям возможности </w:t>
      </w:r>
      <w:r w:rsidR="00133304">
        <w:t>делать репродукции</w:t>
      </w:r>
      <w:r w:rsidR="00F810ED" w:rsidRPr="00E91AB1">
        <w:t xml:space="preserve"> в целях сохранения, использования произведений в выставочных каталогах, демонстрации произведений, предоставления их для публичного ознакомления с научными или исследователь</w:t>
      </w:r>
      <w:r w:rsidR="00133304">
        <w:t>скими целями в помещениях музея и</w:t>
      </w:r>
      <w:r w:rsidR="00F810ED" w:rsidRPr="00E91AB1">
        <w:t xml:space="preserve"> использования определенными способами произведений, авторы которых неизве</w:t>
      </w:r>
      <w:r>
        <w:t>стны (раздел </w:t>
      </w:r>
      <w:r w:rsidR="00F810ED" w:rsidRPr="00E91AB1">
        <w:t>3.2).  Общие исключения, относящиеся к ведению музейной деятельности, включают право на воспроизведение в личных целях, право репрографического воспроизведения</w:t>
      </w:r>
      <w:r w:rsidR="00133304">
        <w:t xml:space="preserve"> и</w:t>
      </w:r>
      <w:r w:rsidR="00F810ED" w:rsidRPr="00E91AB1">
        <w:t xml:space="preserve"> право на использование произведений в образовательных целях и для научных исследов</w:t>
      </w:r>
      <w:r>
        <w:t>аний (раздел </w:t>
      </w:r>
      <w:r w:rsidR="00F810ED" w:rsidRPr="00E91AB1">
        <w:t>3.3).  В разделе</w:t>
      </w:r>
      <w:r>
        <w:t> </w:t>
      </w:r>
      <w:r w:rsidR="00F810ED" w:rsidRPr="00E91AB1">
        <w:t>3.4 описано, как может затронуть музейную деятельность введенный в ряде регион</w:t>
      </w:r>
      <w:r>
        <w:t>ов</w:t>
      </w:r>
      <w:r w:rsidR="00F810ED" w:rsidRPr="00E91AB1">
        <w:t xml:space="preserve"> режим права на долю от перепродажи.</w:t>
      </w:r>
    </w:p>
    <w:p w:rsidR="00F810ED" w:rsidRPr="00E91AB1" w:rsidRDefault="00F810ED" w:rsidP="00F810ED"/>
    <w:p w:rsidR="00F810ED" w:rsidRPr="00E91AB1" w:rsidRDefault="00F810ED" w:rsidP="00F810ED">
      <w:r w:rsidRPr="00E91AB1">
        <w:t>Из-за ограниченности ресурсов, доступных для анализа в ходе настоящего исследования, обзор содержащихся в законо</w:t>
      </w:r>
      <w:r w:rsidR="00175B7C">
        <w:t>дательстве различных государств – </w:t>
      </w:r>
      <w:r w:rsidRPr="00E91AB1">
        <w:t xml:space="preserve">членов Бернского союза исключений и ограничений для музеев во многом основан на проведенном ВОИС </w:t>
      </w:r>
      <w:r w:rsidR="00FB2B32">
        <w:t xml:space="preserve">в 2008 г. </w:t>
      </w:r>
      <w:r w:rsidRPr="00E91AB1">
        <w:t>исследовании исключений и ограничений для библиотек и архивов, данные которого были обновлены Кен</w:t>
      </w:r>
      <w:r w:rsidR="00FB2B32">
        <w:t>нетом Крузом (глава 3) в 2014 </w:t>
      </w:r>
      <w:r w:rsidRPr="00E91AB1">
        <w:t>г.</w:t>
      </w:r>
      <w:r w:rsidRPr="00E91AB1">
        <w:rPr>
          <w:vertAlign w:val="superscript"/>
        </w:rPr>
        <w:footnoteReference w:id="1"/>
      </w:r>
      <w:r w:rsidRPr="00E91AB1">
        <w:t xml:space="preserve">  Эти два исследования ситуации с библиотеками и архивами стали отправной точкой при выявлении стран, где в законах об авторском праве в явной форме </w:t>
      </w:r>
      <w:r w:rsidR="00FB2B32" w:rsidRPr="00E91AB1">
        <w:t xml:space="preserve">упоминаются </w:t>
      </w:r>
      <w:r w:rsidRPr="00E91AB1">
        <w:t xml:space="preserve">музеи как выгодоприобретатели в случае применения исключений и ограничений. </w:t>
      </w:r>
      <w:r w:rsidR="00FB2B32">
        <w:t xml:space="preserve"> </w:t>
      </w:r>
      <w:r w:rsidRPr="00E91AB1">
        <w:t>Авторы исходили при этом из допущения, что в странах, где посчитали целесообразным регулирование использования произведений библиотеками, могли также внедрить регулирование использования произведений, охраняемых авторским правом, музеями.  Данное исследование было дополнено результатами поиска по</w:t>
      </w:r>
      <w:r w:rsidR="00FB2B32">
        <w:t xml:space="preserve"> ключевым словам в базе данных </w:t>
      </w:r>
      <w:r w:rsidRPr="00E91AB1">
        <w:t>WIPOLex по законодательству в области интеллектуальной собственности.  Затем информацию о предыдущих исследованиях ВОИС дополнили прямыми ссылками на положения законодательств</w:t>
      </w:r>
      <w:r w:rsidR="00FB2B32">
        <w:t>а</w:t>
      </w:r>
      <w:r w:rsidRPr="00E91AB1">
        <w:t xml:space="preserve"> различных стран.  Получившийся в результате перечень, </w:t>
      </w:r>
      <w:r w:rsidR="00FB2B32">
        <w:t>таким образом</w:t>
      </w:r>
      <w:r w:rsidRPr="00E91AB1">
        <w:t>, включал только те страны, в законах которых в явной форме упоминается слово «музей(и)».  В редких случаях в перечень добавлялись страны, в отношении которых имелись разумные основания предполагать, что законы, применимые к «</w:t>
      </w:r>
      <w:r w:rsidRPr="00E91AB1">
        <w:rPr>
          <w:i/>
        </w:rPr>
        <w:t>государственным коллекциям</w:t>
      </w:r>
      <w:r w:rsidRPr="00E91AB1">
        <w:t>», распространяются также на музейные коллекции. Так было, например, с Австрией.  С другой стороны, авторы воздерживались от включения в перечень стран, где законодательство в явной форме распространялось только на библиотеки и архивы и вообще не упоминались музеи, таких как, например, Соединенные Штаты Америки и Швеция.  Тем не менее, могло случиться и так, что от внимания авторов ускользнуло законодательство какой-либо страны, все же распространяющееся на музейную деятельность.  Также важно отметить, что анализ результатов не является сравнительным правовым анализом в традиционном представлении.  Для такого рода анализа необходимо более глубокое понимание правовых традиций, законодательства, прецедентного права и комментариев к законам каждо</w:t>
      </w:r>
      <w:r w:rsidR="00FB2B32">
        <w:t>й страны.  Содержащийся в главе </w:t>
      </w:r>
      <w:r w:rsidRPr="00E91AB1">
        <w:t>3 анализ дает лишь общий обзор соответствующих положений законодательных актов каждой рассмотренной страны и их дово</w:t>
      </w:r>
      <w:r w:rsidR="00FB2B32">
        <w:t>льно поверхностное сравнение.</w:t>
      </w:r>
    </w:p>
    <w:p w:rsidR="00F810ED" w:rsidRPr="00E91AB1" w:rsidRDefault="00F810ED" w:rsidP="00F810ED"/>
    <w:p w:rsidR="00F810ED" w:rsidRPr="00E91AB1" w:rsidRDefault="00F810ED" w:rsidP="00F810ED">
      <w:r w:rsidRPr="00E91AB1">
        <w:t xml:space="preserve">Конкретные положения, санкционирующие использование музеями в определенных случаях входящих в их коллекции произведений без предварительного разрешения правообладателей, существуют в законодательстве только сорока пяти из ста восьмидесяти восьми стран мира, являющихся членами ВОИС.  С информацией по странам можно ознакомиться в </w:t>
      </w:r>
      <w:r w:rsidR="00133304">
        <w:rPr>
          <w:b/>
        </w:rPr>
        <w:t>п</w:t>
      </w:r>
      <w:r w:rsidRPr="00E91AB1">
        <w:rPr>
          <w:b/>
        </w:rPr>
        <w:t>риложении II</w:t>
      </w:r>
      <w:r w:rsidRPr="00E91AB1">
        <w:rPr>
          <w:vertAlign w:val="superscript"/>
        </w:rPr>
        <w:footnoteReference w:id="2"/>
      </w:r>
      <w:r w:rsidR="00140A79" w:rsidRPr="00140A79">
        <w:t>.</w:t>
      </w:r>
    </w:p>
    <w:p w:rsidR="00F810ED" w:rsidRPr="00E91AB1" w:rsidRDefault="00F810ED" w:rsidP="00F810ED"/>
    <w:p w:rsidR="00F810ED" w:rsidRPr="00133304" w:rsidRDefault="00F810ED" w:rsidP="00F810ED">
      <w:r w:rsidRPr="00E91AB1">
        <w:t>Среди членов  Международного совета музеев (</w:t>
      </w:r>
      <w:r w:rsidR="00963E08">
        <w:t>МСМ</w:t>
      </w:r>
      <w:r w:rsidRPr="00E91AB1">
        <w:t xml:space="preserve">) </w:t>
      </w:r>
      <w:r w:rsidRPr="00E91AB1">
        <w:rPr>
          <w:vertAlign w:val="superscript"/>
        </w:rPr>
        <w:footnoteReference w:id="3"/>
      </w:r>
      <w:r w:rsidRPr="00E91AB1">
        <w:t xml:space="preserve"> был проведен опрос с целью получить информацию о характере стоящих перед музеями задач и составе музейных коллекций, а главное, о типах деятельности в отношении входящих в коллекции произведений.  Анкета опроса приведена в </w:t>
      </w:r>
      <w:r w:rsidR="00133304">
        <w:t>п</w:t>
      </w:r>
      <w:r w:rsidRPr="00E91AB1">
        <w:rPr>
          <w:b/>
        </w:rPr>
        <w:t>риложении I</w:t>
      </w:r>
      <w:r w:rsidRPr="00E91AB1">
        <w:t xml:space="preserve">.  Респондентов попросили ответить, осуществляют ли они воспроизведение предметов хранения, их сообщение для всеобщего сведения или предоставление для публичного ознакомления в аналоговой или цифровой форме.  Представителей музеев также попросили высказать свое мнение об адекватности нормативов по авторскому праву в их странах с точки зрения разрешений, позволяющих музеям выполнять свои функции.  Результатом этого опроса стали анализ, приведенный в </w:t>
      </w:r>
      <w:r w:rsidR="00140A79">
        <w:rPr>
          <w:b/>
        </w:rPr>
        <w:t>главе</w:t>
      </w:r>
      <w:r w:rsidR="00140A79">
        <w:rPr>
          <w:b/>
          <w:lang w:val="en-US"/>
        </w:rPr>
        <w:t> </w:t>
      </w:r>
      <w:r w:rsidRPr="00E91AB1">
        <w:rPr>
          <w:b/>
        </w:rPr>
        <w:t>4</w:t>
      </w:r>
      <w:r w:rsidRPr="00E91AB1">
        <w:t>, и описанные там же примеры из практики</w:t>
      </w:r>
      <w:r w:rsidRPr="00E91AB1">
        <w:rPr>
          <w:vertAlign w:val="superscript"/>
        </w:rPr>
        <w:footnoteReference w:id="4"/>
      </w:r>
      <w:r w:rsidR="00140A79">
        <w:t>.</w:t>
      </w:r>
    </w:p>
    <w:p w:rsidR="00F810ED" w:rsidRPr="00E91AB1" w:rsidRDefault="00F810ED" w:rsidP="00F810ED"/>
    <w:p w:rsidR="00F810ED" w:rsidRPr="00E91AB1" w:rsidRDefault="00F810ED" w:rsidP="00F810ED">
      <w:r w:rsidRPr="00E91AB1">
        <w:t xml:space="preserve">Завершает исследование </w:t>
      </w:r>
      <w:r w:rsidRPr="00E91AB1">
        <w:rPr>
          <w:b/>
        </w:rPr>
        <w:t>глава 5</w:t>
      </w:r>
      <w:r w:rsidRPr="00E91AB1">
        <w:t xml:space="preserve">, где собраны основные установленные </w:t>
      </w:r>
      <w:r w:rsidR="00105375">
        <w:t xml:space="preserve">в ходе исследования </w:t>
      </w:r>
      <w:r w:rsidRPr="00E91AB1">
        <w:t>факты и дан анализ альтернативных способов решения выявленных проблем авторского права.</w:t>
      </w:r>
    </w:p>
    <w:p w:rsidR="00F810ED" w:rsidRPr="00E91AB1" w:rsidRDefault="00F810ED" w:rsidP="00F810ED"/>
    <w:p w:rsidR="00F810ED" w:rsidRPr="00E91AB1" w:rsidRDefault="00F810ED" w:rsidP="00F810ED">
      <w:r w:rsidRPr="00E91AB1">
        <w:t>В заключение следует отметить, что в связи с ограниченной сферой охвата исследования некоторые проблемы не изучались подробно.  К ним относятся, например, конкретные положения законов разных стран, устанавливающие задачи музеев, положения местных законодательств об охране культурного или национального наследия, об ус</w:t>
      </w:r>
      <w:r w:rsidR="00105375">
        <w:t>лугах музеев для лиц с нарушениями</w:t>
      </w:r>
      <w:r w:rsidRPr="00E91AB1">
        <w:t xml:space="preserve"> зрения</w:t>
      </w:r>
      <w:r w:rsidR="00105375">
        <w:t>,</w:t>
      </w:r>
      <w:r w:rsidRPr="00E91AB1">
        <w:t xml:space="preserve"> смежны</w:t>
      </w:r>
      <w:r w:rsidR="00105375">
        <w:t>е</w:t>
      </w:r>
      <w:r w:rsidRPr="00E91AB1">
        <w:t xml:space="preserve"> права, законодательство о доступе к данным общего пользования, законы, препятствующие обходу мер техн</w:t>
      </w:r>
      <w:r w:rsidR="00105375">
        <w:t>ической</w:t>
      </w:r>
      <w:r w:rsidRPr="00E91AB1">
        <w:t xml:space="preserve"> защиты, </w:t>
      </w:r>
      <w:r w:rsidR="00105375">
        <w:t>и</w:t>
      </w:r>
      <w:r w:rsidRPr="00E91AB1">
        <w:t xml:space="preserve"> определение общественного достояния.</w:t>
      </w:r>
    </w:p>
    <w:p w:rsidR="00F810ED" w:rsidRPr="00E91AB1" w:rsidRDefault="00F810ED" w:rsidP="00F810ED"/>
    <w:p w:rsidR="00F810ED" w:rsidRPr="00E91AB1" w:rsidRDefault="00F810ED" w:rsidP="00F810ED"/>
    <w:p w:rsidR="00F810ED" w:rsidRPr="00E91AB1" w:rsidRDefault="00F810ED" w:rsidP="00F810ED">
      <w:r w:rsidRPr="00E91AB1">
        <w:t>РЕКОМЕНДАЦИИ</w:t>
      </w:r>
    </w:p>
    <w:p w:rsidR="00F810ED" w:rsidRPr="00E91AB1" w:rsidRDefault="00F810ED" w:rsidP="00F810ED"/>
    <w:p w:rsidR="00F810ED" w:rsidRPr="00133304" w:rsidRDefault="00F810ED" w:rsidP="00F810ED">
      <w:r w:rsidRPr="00E91AB1">
        <w:t>В основе деятельности лежит стремление к правовой определенности, следовательно, музеям необходимо четкое понимание правил, которые применяются и должны применяться для выполнения их задач, рассматриваемых в целях настоящего исследования как некоммерческие в соо</w:t>
      </w:r>
      <w:r w:rsidR="00060727">
        <w:t xml:space="preserve">тветствии с определением </w:t>
      </w:r>
      <w:r w:rsidR="00963E08">
        <w:t>МСМ</w:t>
      </w:r>
      <w:r w:rsidR="00060727">
        <w:t>.</w:t>
      </w:r>
    </w:p>
    <w:p w:rsidR="00F810ED" w:rsidRPr="00E91AB1" w:rsidRDefault="00F810ED" w:rsidP="00F810ED"/>
    <w:p w:rsidR="00F810ED" w:rsidRPr="00E91AB1" w:rsidRDefault="00F810ED" w:rsidP="00F810ED">
      <w:pPr>
        <w:rPr>
          <w:i/>
        </w:rPr>
      </w:pPr>
      <w:r w:rsidRPr="00E91AB1">
        <w:rPr>
          <w:i/>
        </w:rPr>
        <w:t>Рекомендации законодательным органам</w:t>
      </w:r>
    </w:p>
    <w:p w:rsidR="00F810ED" w:rsidRPr="00E91AB1" w:rsidRDefault="00F810ED" w:rsidP="00F810ED"/>
    <w:p w:rsidR="00F810ED" w:rsidRPr="00133304" w:rsidRDefault="00F810ED" w:rsidP="00F810ED">
      <w:r w:rsidRPr="00E91AB1">
        <w:t>1.</w:t>
      </w:r>
      <w:r w:rsidRPr="00E91AB1">
        <w:tab/>
        <w:t xml:space="preserve">Оцифровка коллекций представляется неизбежным шагом на пути к выполнению </w:t>
      </w:r>
      <w:r w:rsidR="00105375" w:rsidRPr="00E91AB1">
        <w:t>музе</w:t>
      </w:r>
      <w:r w:rsidR="00105375">
        <w:t>ями</w:t>
      </w:r>
      <w:r w:rsidR="00105375" w:rsidRPr="00E91AB1">
        <w:t xml:space="preserve"> </w:t>
      </w:r>
      <w:r w:rsidRPr="00E91AB1">
        <w:t>основных задач — сохранению наследия и сообщению для всеобщего сведения информации о ресурсах, которые можно посетить, чтобы ознакомиться с насле</w:t>
      </w:r>
      <w:r w:rsidR="00F41E2E">
        <w:t xml:space="preserve">дием. </w:t>
      </w:r>
    </w:p>
    <w:p w:rsidR="00F810ED" w:rsidRPr="00E91AB1" w:rsidRDefault="00F810ED" w:rsidP="00F810ED"/>
    <w:p w:rsidR="00F810ED" w:rsidRPr="00E91AB1" w:rsidRDefault="00F810ED" w:rsidP="00F810ED">
      <w:r w:rsidRPr="00E91AB1">
        <w:t>В связи с этим</w:t>
      </w:r>
      <w:r w:rsidR="00060727" w:rsidRPr="00133304">
        <w:t xml:space="preserve"> </w:t>
      </w:r>
      <w:r w:rsidR="00060727">
        <w:t>имеет смысл</w:t>
      </w:r>
      <w:r w:rsidRPr="00E91AB1">
        <w:t xml:space="preserve"> разъяснить и гармонизировать, представив в виде исключений и ограничений, правила оцифровки художественных произведений, входящих в постоянные коллекции музеев, независимо от того, известен ли их автор.  При оцифровке неопубликованных произведений можно было бы следовать тем же правилам, что и при оцифровке «произведений-сирот», то есть проводить предварительно комплексную экспертизу с целью установить правообладателей и получить их разрешение и раскрывать соответствующую информацию только в предусмотренных законом целях, связанных с интересами общества.  Ознакомление на веб-сайтах музеев (с ограниченной возможностью скачивания) с постоянными коллекциями, каталогами и архивами также могло бы расцениваться как ограничение, предполагающее согласие правообладателя</w:t>
      </w:r>
      <w:r w:rsidR="00060727">
        <w:t xml:space="preserve"> и стандартное вознаграждение.</w:t>
      </w:r>
    </w:p>
    <w:p w:rsidR="00F810ED" w:rsidRPr="00E91AB1" w:rsidRDefault="00F810ED" w:rsidP="00F810ED"/>
    <w:p w:rsidR="00F810ED" w:rsidRPr="00E91AB1" w:rsidRDefault="00F810ED" w:rsidP="00F810ED">
      <w:r w:rsidRPr="00E91AB1">
        <w:t>2.</w:t>
      </w:r>
      <w:r w:rsidRPr="00E91AB1">
        <w:tab/>
        <w:t xml:space="preserve">Территориальный характер прав и трудности, связанные с прояснением прав на различных территориях, предопределили давно сложившиеся условия, хорошо знакомые организациям коллективного управления авторским правом.  Такие организации заключают с аналогичными организациями из других стран взаимные соглашения об упрощении условий передачи авторского права по лицензии.  И все же до сих пор единой системы лицензирования для международных выставок </w:t>
      </w:r>
      <w:r w:rsidR="00060727">
        <w:t>не существует, а</w:t>
      </w:r>
      <w:r w:rsidRPr="00E91AB1">
        <w:t xml:space="preserve"> перечень разрешений, необходимых для передачи цифровых сигналов</w:t>
      </w:r>
      <w:r w:rsidR="00060727">
        <w:t>,</w:t>
      </w:r>
      <w:r w:rsidR="00060727" w:rsidRPr="00060727">
        <w:t xml:space="preserve"> </w:t>
      </w:r>
      <w:r w:rsidR="00060727" w:rsidRPr="00E91AB1">
        <w:t>не определен</w:t>
      </w:r>
      <w:r w:rsidRPr="00E91AB1">
        <w:t xml:space="preserve">: не так просто разграничить действия, относящиеся к воспроизведению и к сообщению информации для всеобщего сведения.  Кроме того, термин «сообщать для всеобщего сведения/предоставлять для публичного ознакомления» не имеет четкого определения с точки зрения </w:t>
      </w:r>
      <w:r w:rsidR="00105375">
        <w:t>контента</w:t>
      </w:r>
      <w:r w:rsidRPr="00E91AB1">
        <w:t>, места применения и результата, особенно в свете побочного воздействия на службы поиска изображений, которые являются в каком-то смысле банками изображений, и возможных последствий создания гиперссылок на произведения,</w:t>
      </w:r>
      <w:r w:rsidR="00060727">
        <w:t xml:space="preserve"> охраняемые авторским правом.</w:t>
      </w:r>
    </w:p>
    <w:p w:rsidR="00F810ED" w:rsidRPr="00E91AB1" w:rsidRDefault="00F810ED" w:rsidP="00F810ED"/>
    <w:p w:rsidR="00F810ED" w:rsidRPr="00E91AB1" w:rsidRDefault="00F810ED" w:rsidP="00F810ED">
      <w:r w:rsidRPr="00E91AB1">
        <w:t>3.</w:t>
      </w:r>
      <w:r w:rsidRPr="00E91AB1">
        <w:tab/>
        <w:t xml:space="preserve">Образование, научная и исследовательская деятельность часто ведутся в тесном сотрудничестве специалистами разного профиля, на стыке разных </w:t>
      </w:r>
      <w:r w:rsidR="00060727">
        <w:t xml:space="preserve">областей. </w:t>
      </w:r>
      <w:r w:rsidRPr="00E91AB1">
        <w:t xml:space="preserve"> Для таких случаев существуют лицензии Creative Common, которые </w:t>
      </w:r>
      <w:r w:rsidR="00060727" w:rsidRPr="00E91AB1">
        <w:t xml:space="preserve">музеи </w:t>
      </w:r>
      <w:r w:rsidRPr="00E91AB1">
        <w:t>могут использовать для распространения своих произведений, охраняемых авторским правом.  И все же музеям следовало бы разработать собственную политику, регулирующую</w:t>
      </w:r>
      <w:r w:rsidR="00105375">
        <w:t>, например,</w:t>
      </w:r>
      <w:r w:rsidRPr="00E91AB1">
        <w:t xml:space="preserve"> условия предоставления их коллекций для научной и исследовательской деятельности в соответствии с выбранной стратегией, включающую требование использования в некоммерческих целях и предусматривающую развитие интеллектуального анализа</w:t>
      </w:r>
      <w:r w:rsidR="00060727">
        <w:t xml:space="preserve"> массивов</w:t>
      </w:r>
      <w:r w:rsidRPr="00E91AB1">
        <w:t xml:space="preserve"> текстов и данных.  Минимальный набор принципов мог бы быть изложен в формулировке </w:t>
      </w:r>
      <w:r w:rsidR="00963E08">
        <w:t>МСМ</w:t>
      </w:r>
      <w:r w:rsidRPr="00E91AB1">
        <w:t xml:space="preserve"> или группы музеев, готовых работать над рассматриваемой проблемой.</w:t>
      </w:r>
    </w:p>
    <w:p w:rsidR="00F810ED" w:rsidRPr="00E91AB1" w:rsidRDefault="00F810ED" w:rsidP="00F810ED"/>
    <w:p w:rsidR="00F810ED" w:rsidRPr="00E91AB1" w:rsidRDefault="00F810ED" w:rsidP="00F810ED">
      <w:pPr>
        <w:rPr>
          <w:i/>
        </w:rPr>
      </w:pPr>
    </w:p>
    <w:p w:rsidR="00F810ED" w:rsidRPr="00E91AB1" w:rsidRDefault="00F810ED" w:rsidP="00F810ED">
      <w:pPr>
        <w:rPr>
          <w:i/>
        </w:rPr>
      </w:pPr>
      <w:r w:rsidRPr="00E91AB1">
        <w:rPr>
          <w:i/>
        </w:rPr>
        <w:t>Рекомендации музейному сообществу</w:t>
      </w:r>
    </w:p>
    <w:p w:rsidR="00F810ED" w:rsidRPr="00E91AB1" w:rsidRDefault="00F810ED" w:rsidP="00F810ED"/>
    <w:p w:rsidR="00F810ED" w:rsidRPr="00E91AB1" w:rsidRDefault="00F810ED" w:rsidP="00F810ED">
      <w:r w:rsidRPr="00E91AB1">
        <w:t xml:space="preserve">Музеям и правообладателям следует объединить усилия, чтобы </w:t>
      </w:r>
      <w:r w:rsidR="00060727">
        <w:t>получать достойное вознаграждение за использование</w:t>
      </w:r>
      <w:r w:rsidRPr="00E91AB1">
        <w:t xml:space="preserve"> худ</w:t>
      </w:r>
      <w:r w:rsidR="00060727">
        <w:t>ожественных произведений третьими</w:t>
      </w:r>
      <w:r w:rsidRPr="00E91AB1">
        <w:t xml:space="preserve"> лиц</w:t>
      </w:r>
      <w:r w:rsidR="00060727">
        <w:t>ами</w:t>
      </w:r>
      <w:r w:rsidRPr="00E91AB1">
        <w:t>.</w:t>
      </w:r>
    </w:p>
    <w:p w:rsidR="00F810ED" w:rsidRPr="00E91AB1" w:rsidRDefault="00F810ED" w:rsidP="00F810ED"/>
    <w:p w:rsidR="00F810ED" w:rsidRPr="00E91AB1" w:rsidRDefault="00F810ED" w:rsidP="00F810ED">
      <w:r w:rsidRPr="00E91AB1">
        <w:t xml:space="preserve">Музеям также следовало бы вступить в переговоры с различными заинтересованными сторонами, в том числе с представителями </w:t>
      </w:r>
      <w:r w:rsidR="0060118E">
        <w:t>научных</w:t>
      </w:r>
      <w:r w:rsidRPr="00E91AB1">
        <w:t xml:space="preserve"> и художественных кругов и организациями коллективного управления авторским правом, по поводу пересмотра лицензий и тарифов, упрощения получения разрешений и возможных новых способов использования, для которых могут потребоваться разрешения.  Совместные действия музеев способны укрепить их позиции на переговорах и помочь сформулировать предварительный план решения различных вопросов, для которых у законодателей не существует применимых правил и часто отсутствует даже четкое понимание предмета.  Заявления музейного сообщества по поводу миниатюрных изображений могли бы послужить своего рода руководством, но в эпоху цифровых центров гуманитарных наук, трехмерной печати и общественного финансирования наверняка потребуется нечто большее.</w:t>
      </w:r>
    </w:p>
    <w:p w:rsidR="00F810ED" w:rsidRPr="00E91AB1" w:rsidRDefault="00F810ED" w:rsidP="00F810ED"/>
    <w:p w:rsidR="00F810ED" w:rsidRPr="00E91AB1" w:rsidRDefault="00F810ED" w:rsidP="00F810ED">
      <w:r w:rsidRPr="00E91AB1">
        <w:t xml:space="preserve">Следует поощрять сотрудничество между музеями. Более опытные организации могут дать полезные рекомендации </w:t>
      </w:r>
      <w:r w:rsidR="0060118E">
        <w:t xml:space="preserve">менее опытным через систему </w:t>
      </w:r>
      <w:r w:rsidR="00963E08">
        <w:t>МСМ</w:t>
      </w:r>
      <w:r w:rsidRPr="00E91AB1">
        <w:t xml:space="preserve"> и партне</w:t>
      </w:r>
      <w:r w:rsidR="0060118E">
        <w:t>рство в работе над проектами.</w:t>
      </w:r>
    </w:p>
    <w:p w:rsidR="002F4A2B" w:rsidRPr="00E91AB1" w:rsidRDefault="002F4A2B" w:rsidP="00F810ED"/>
    <w:p w:rsidR="002F4A2B" w:rsidRPr="00E91AB1" w:rsidRDefault="002F4A2B" w:rsidP="002F4A2B">
      <w:pPr>
        <w:ind w:left="6480"/>
      </w:pPr>
      <w:r w:rsidRPr="00E91AB1">
        <w:t>[Конец документа]</w:t>
      </w:r>
    </w:p>
    <w:sectPr w:rsidR="002F4A2B" w:rsidRPr="00E91AB1" w:rsidSect="00804DB7">
      <w:headerReference w:type="default" r:id="rId8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D02" w:rsidRDefault="00845D02" w:rsidP="00F810ED">
      <w:r>
        <w:separator/>
      </w:r>
    </w:p>
  </w:endnote>
  <w:endnote w:type="continuationSeparator" w:id="0">
    <w:p w:rsidR="00845D02" w:rsidRDefault="00845D02" w:rsidP="00F8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D02" w:rsidRDefault="00845D02" w:rsidP="00F810ED">
      <w:r>
        <w:separator/>
      </w:r>
    </w:p>
  </w:footnote>
  <w:footnote w:type="continuationSeparator" w:id="0">
    <w:p w:rsidR="00845D02" w:rsidRDefault="00845D02" w:rsidP="00F810ED">
      <w:r>
        <w:continuationSeparator/>
      </w:r>
    </w:p>
  </w:footnote>
  <w:footnote w:id="1">
    <w:p w:rsidR="00F810ED" w:rsidRPr="00F017E6" w:rsidRDefault="00F810ED" w:rsidP="00F810ED">
      <w:pPr>
        <w:pStyle w:val="FootnoteText"/>
        <w:rPr>
          <w:rFonts w:ascii="Times" w:hAnsi="Times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Исследование об ограничениях и исключениях из авторского права для библиотек и архивов, подготовленное доктором юриспруденции, кандидатом наук, адвокатом Кеннетом Крузом, SCCR/29/3, 5 ноября 2014 г.; Исследование об ограничениях и исключениях из авторского права для библиотек и архивов, подготовленное Кеннетом Крузом, директором Центра авторского права Колумбийского университета, SCCR/17/2, 26 августа 2008 г.  </w:t>
      </w:r>
    </w:p>
  </w:footnote>
  <w:footnote w:id="2">
    <w:p w:rsidR="00F810ED" w:rsidRPr="00761E3C" w:rsidRDefault="00F810ED" w:rsidP="00F810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Авторы выражают </w:t>
      </w:r>
      <w:r>
        <w:t xml:space="preserve">особую благодарность Эмили Каннекенс и Светлане Яковлевой, студентам магистратуры Института информационного права Университета Амстердама, за помощь в сборе информации для таблиц </w:t>
      </w:r>
      <w:r w:rsidR="00060727">
        <w:t>в п</w:t>
      </w:r>
      <w:r>
        <w:t>риложени</w:t>
      </w:r>
      <w:r w:rsidR="00060727">
        <w:t>и </w:t>
      </w:r>
      <w:r>
        <w:t>II.</w:t>
      </w:r>
    </w:p>
  </w:footnote>
  <w:footnote w:id="3">
    <w:p w:rsidR="00F810ED" w:rsidRPr="00B55E68" w:rsidRDefault="00F810ED" w:rsidP="00F810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963E08">
        <w:t>МСМ</w:t>
      </w:r>
      <w:r>
        <w:t xml:space="preserve"> — ме</w:t>
      </w:r>
      <w:r w:rsidR="00060727">
        <w:t xml:space="preserve">ждународная организация, существующая с 1946 г. </w:t>
      </w:r>
      <w:r>
        <w:t>и представляющая более 20</w:t>
      </w:r>
      <w:r w:rsidR="00060727">
        <w:t> 000 музеев и около 32 </w:t>
      </w:r>
      <w:r>
        <w:t>000 музейных работ</w:t>
      </w:r>
      <w:r w:rsidR="00060727">
        <w:t xml:space="preserve">ников.  Совет был создан в 1946 г. </w:t>
      </w:r>
      <w:r>
        <w:t>по инициативе ЮН</w:t>
      </w:r>
      <w:r w:rsidR="00060727">
        <w:t xml:space="preserve">ЕСКО вместо учрежденного в 1926 г. </w:t>
      </w:r>
      <w:r>
        <w:t>Лигой нац</w:t>
      </w:r>
      <w:r w:rsidR="00060727">
        <w:t>ий Международного бюро музеев.</w:t>
      </w:r>
    </w:p>
  </w:footnote>
  <w:footnote w:id="4">
    <w:p w:rsidR="00F810ED" w:rsidRPr="00E91AB1" w:rsidRDefault="00F810ED" w:rsidP="00F810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Авторы выражают особую благодарность студентам </w:t>
      </w:r>
      <w:r>
        <w:t xml:space="preserve">факультета права Шарлотте Пуавр и Анне-Лоре Дютуа за помощь в проведении опроса, обобщении и представлении </w:t>
      </w:r>
      <w:r w:rsidR="00060727">
        <w:t>ответов на вопросы анкеты.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ED" w:rsidRDefault="00587F7A" w:rsidP="00F810ED">
    <w:pPr>
      <w:pStyle w:val="Header"/>
      <w:jc w:val="right"/>
    </w:pPr>
    <w:sdt>
      <w:sdtPr>
        <w:id w:val="12937152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215EB">
          <w:t>стр. </w:t>
        </w:r>
        <w:r w:rsidR="009B7602">
          <w:fldChar w:fldCharType="begin"/>
        </w:r>
        <w:r w:rsidR="00F810ED">
          <w:instrText xml:space="preserve"> PAGE   \* MERGEFORMAT </w:instrText>
        </w:r>
        <w:r w:rsidR="009B7602">
          <w:fldChar w:fldCharType="separate"/>
        </w:r>
        <w:r>
          <w:rPr>
            <w:noProof/>
          </w:rPr>
          <w:t>6</w:t>
        </w:r>
        <w:r w:rsidR="009B7602">
          <w:rPr>
            <w:noProof/>
          </w:rPr>
          <w:fldChar w:fldCharType="end"/>
        </w:r>
      </w:sdtContent>
    </w:sdt>
  </w:p>
  <w:p w:rsidR="00F810ED" w:rsidRDefault="00F810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F141760"/>
    <w:multiLevelType w:val="multilevel"/>
    <w:tmpl w:val="BCDA8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7C16BA"/>
    <w:multiLevelType w:val="hybridMultilevel"/>
    <w:tmpl w:val="E60CDB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11922AD"/>
    <w:multiLevelType w:val="hybridMultilevel"/>
    <w:tmpl w:val="91F4CEAC"/>
    <w:lvl w:ilvl="0" w:tplc="50982D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9E469B7"/>
    <w:multiLevelType w:val="multilevel"/>
    <w:tmpl w:val="E93EAEF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position w:val="0"/>
        <w:vertAlign w:val="baseli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ED"/>
    <w:rsid w:val="0005680B"/>
    <w:rsid w:val="00060727"/>
    <w:rsid w:val="000F5E56"/>
    <w:rsid w:val="00105375"/>
    <w:rsid w:val="00133304"/>
    <w:rsid w:val="00140A79"/>
    <w:rsid w:val="00175B7C"/>
    <w:rsid w:val="002F4A2B"/>
    <w:rsid w:val="00366260"/>
    <w:rsid w:val="00417FDC"/>
    <w:rsid w:val="00431118"/>
    <w:rsid w:val="00587F7A"/>
    <w:rsid w:val="0060118E"/>
    <w:rsid w:val="007B240C"/>
    <w:rsid w:val="007D53C7"/>
    <w:rsid w:val="00804DB7"/>
    <w:rsid w:val="00817D42"/>
    <w:rsid w:val="00845D02"/>
    <w:rsid w:val="008465FA"/>
    <w:rsid w:val="00892345"/>
    <w:rsid w:val="00963E08"/>
    <w:rsid w:val="009B7602"/>
    <w:rsid w:val="00A97276"/>
    <w:rsid w:val="00C063CD"/>
    <w:rsid w:val="00C215EB"/>
    <w:rsid w:val="00C554EC"/>
    <w:rsid w:val="00C9372B"/>
    <w:rsid w:val="00DA5B12"/>
    <w:rsid w:val="00E91AB1"/>
    <w:rsid w:val="00F41E2E"/>
    <w:rsid w:val="00F810ED"/>
    <w:rsid w:val="00F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02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760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text,Footnotetext1,ftx,Footnotetext2,ftx1,Footnotetext3,ftx2,Footnotetext4,ftx3,Footnotetext5,ftx4,Footnotetext6,Footnotetext7,Footnotetext8,ftx5,Footnotetext11,Footnotetext21,ftx11,Footnotetext31,ftx21,Footnotetext41,ftx31"/>
    <w:basedOn w:val="Normal"/>
    <w:link w:val="FootnoteTextChar"/>
    <w:qFormat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2Char">
    <w:name w:val="Heading 2 Char"/>
    <w:link w:val="Heading2"/>
    <w:uiPriority w:val="9"/>
    <w:rsid w:val="00F810ED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link w:val="Heading3"/>
    <w:rsid w:val="00F810ED"/>
    <w:rPr>
      <w:rFonts w:ascii="Arial" w:eastAsia="SimSun" w:hAnsi="Arial" w:cs="Arial"/>
      <w:bCs/>
      <w:sz w:val="22"/>
      <w:szCs w:val="26"/>
      <w:u w:val="single"/>
    </w:rPr>
  </w:style>
  <w:style w:type="paragraph" w:customStyle="1" w:styleId="Standard">
    <w:name w:val="Standard"/>
    <w:rsid w:val="00F810ED"/>
    <w:pPr>
      <w:suppressAutoHyphens/>
      <w:autoSpaceDN w:val="0"/>
      <w:textAlignment w:val="baseline"/>
    </w:pPr>
    <w:rPr>
      <w:rFonts w:ascii="Calibri" w:eastAsia="SimSun" w:hAnsi="Calibri" w:cs="Cambria"/>
      <w:kern w:val="3"/>
      <w:sz w:val="22"/>
      <w:szCs w:val="22"/>
    </w:rPr>
  </w:style>
  <w:style w:type="paragraph" w:customStyle="1" w:styleId="Textbody">
    <w:name w:val="Text body"/>
    <w:basedOn w:val="Standard"/>
    <w:rsid w:val="00F810ED"/>
    <w:pPr>
      <w:spacing w:after="120"/>
    </w:pPr>
  </w:style>
  <w:style w:type="character" w:customStyle="1" w:styleId="FootnoteTextChar">
    <w:name w:val="Footnote Text Char"/>
    <w:aliases w:val="Footnotetext Char,Footnotetext1 Char,ftx Char,Footnotetext2 Char,ftx1 Char,Footnotetext3 Char,ftx2 Char,Footnotetext4 Char,ftx3 Char,Footnotetext5 Char,ftx4 Char,Footnotetext6 Char,Footnotetext7 Char,Footnotetext8 Char,ftx5 Char"/>
    <w:link w:val="FootnoteText"/>
    <w:rsid w:val="00F810ED"/>
    <w:rPr>
      <w:rFonts w:ascii="Arial" w:hAnsi="Arial" w:cs="Arial"/>
      <w:sz w:val="18"/>
    </w:rPr>
  </w:style>
  <w:style w:type="character" w:styleId="FootnoteReference">
    <w:name w:val="footnote reference"/>
    <w:aliases w:val="Footnotemark,Footnotemark1,FR,Footnotemark2,FR1,Footnotemark3,FR2,Footnotemark4,FR3,Footnotemark5,FR4,Footnotemark6,Footnotemark7,Footnotemark8,FR5,Footnotemark11,Footnotemark21,FR11,Footnotemark31,FR21,Footnotemark41,FR31,FR41,F"/>
    <w:rsid w:val="00F810ED"/>
    <w:rPr>
      <w:position w:val="0"/>
      <w:vertAlign w:val="superscript"/>
    </w:rPr>
  </w:style>
  <w:style w:type="character" w:customStyle="1" w:styleId="HeaderChar">
    <w:name w:val="Header Char"/>
    <w:link w:val="Header"/>
    <w:uiPriority w:val="99"/>
    <w:rsid w:val="00F810ED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02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760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text,Footnotetext1,ftx,Footnotetext2,ftx1,Footnotetext3,ftx2,Footnotetext4,ftx3,Footnotetext5,ftx4,Footnotetext6,Footnotetext7,Footnotetext8,ftx5,Footnotetext11,Footnotetext21,ftx11,Footnotetext31,ftx21,Footnotetext41,ftx31"/>
    <w:basedOn w:val="Normal"/>
    <w:link w:val="FootnoteTextChar"/>
    <w:qFormat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2Char">
    <w:name w:val="Heading 2 Char"/>
    <w:link w:val="Heading2"/>
    <w:uiPriority w:val="9"/>
    <w:rsid w:val="00F810ED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link w:val="Heading3"/>
    <w:rsid w:val="00F810ED"/>
    <w:rPr>
      <w:rFonts w:ascii="Arial" w:eastAsia="SimSun" w:hAnsi="Arial" w:cs="Arial"/>
      <w:bCs/>
      <w:sz w:val="22"/>
      <w:szCs w:val="26"/>
      <w:u w:val="single"/>
    </w:rPr>
  </w:style>
  <w:style w:type="paragraph" w:customStyle="1" w:styleId="Standard">
    <w:name w:val="Standard"/>
    <w:rsid w:val="00F810ED"/>
    <w:pPr>
      <w:suppressAutoHyphens/>
      <w:autoSpaceDN w:val="0"/>
      <w:textAlignment w:val="baseline"/>
    </w:pPr>
    <w:rPr>
      <w:rFonts w:ascii="Calibri" w:eastAsia="SimSun" w:hAnsi="Calibri" w:cs="Cambria"/>
      <w:kern w:val="3"/>
      <w:sz w:val="22"/>
      <w:szCs w:val="22"/>
    </w:rPr>
  </w:style>
  <w:style w:type="paragraph" w:customStyle="1" w:styleId="Textbody">
    <w:name w:val="Text body"/>
    <w:basedOn w:val="Standard"/>
    <w:rsid w:val="00F810ED"/>
    <w:pPr>
      <w:spacing w:after="120"/>
    </w:pPr>
  </w:style>
  <w:style w:type="character" w:customStyle="1" w:styleId="FootnoteTextChar">
    <w:name w:val="Footnote Text Char"/>
    <w:aliases w:val="Footnotetext Char,Footnotetext1 Char,ftx Char,Footnotetext2 Char,ftx1 Char,Footnotetext3 Char,ftx2 Char,Footnotetext4 Char,ftx3 Char,Footnotetext5 Char,ftx4 Char,Footnotetext6 Char,Footnotetext7 Char,Footnotetext8 Char,ftx5 Char"/>
    <w:link w:val="FootnoteText"/>
    <w:rsid w:val="00F810ED"/>
    <w:rPr>
      <w:rFonts w:ascii="Arial" w:hAnsi="Arial" w:cs="Arial"/>
      <w:sz w:val="18"/>
    </w:rPr>
  </w:style>
  <w:style w:type="character" w:styleId="FootnoteReference">
    <w:name w:val="footnote reference"/>
    <w:aliases w:val="Footnotemark,Footnotemark1,FR,Footnotemark2,FR1,Footnotemark3,FR2,Footnotemark4,FR3,Footnotemark5,FR4,Footnotemark6,Footnotemark7,Footnotemark8,FR5,Footnotemark11,Footnotemark21,FR11,Footnotemark31,FR21,Footnotemark41,FR31,FR41,F"/>
    <w:rsid w:val="00F810ED"/>
    <w:rPr>
      <w:position w:val="0"/>
      <w:vertAlign w:val="superscript"/>
    </w:rPr>
  </w:style>
  <w:style w:type="character" w:customStyle="1" w:styleId="HeaderChar">
    <w:name w:val="Header Char"/>
    <w:link w:val="Header"/>
    <w:uiPriority w:val="99"/>
    <w:rsid w:val="00F810ED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2507</Words>
  <Characters>14293</Characters>
  <Application>Microsoft Office Word</Application>
  <DocSecurity>4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LUNG Geidy</dc:creator>
  <cp:lastModifiedBy>HAIZEL Francesca</cp:lastModifiedBy>
  <cp:revision>2</cp:revision>
  <cp:lastPrinted>2015-05-14T13:29:00Z</cp:lastPrinted>
  <dcterms:created xsi:type="dcterms:W3CDTF">2015-05-20T13:44:00Z</dcterms:created>
  <dcterms:modified xsi:type="dcterms:W3CDTF">2015-05-20T13:44:00Z</dcterms:modified>
</cp:coreProperties>
</file>