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06595" w14:textId="77777777" w:rsidR="008B2CC1" w:rsidRPr="0052434F" w:rsidRDefault="00DB0349" w:rsidP="0052434F">
      <w:pPr>
        <w:spacing w:after="120"/>
        <w:jc w:val="right"/>
        <w:rPr>
          <w:lang w:val="fr-FR"/>
        </w:rPr>
      </w:pPr>
      <w:r w:rsidRPr="0052434F">
        <w:rPr>
          <w:noProof/>
          <w:lang w:val="fr-FR" w:eastAsia="en-US"/>
        </w:rPr>
        <w:drawing>
          <wp:inline distT="0" distB="0" distL="0" distR="0" wp14:anchorId="411D3DBB" wp14:editId="19D5F7D7">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7">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52434F">
        <w:rPr>
          <w:rFonts w:ascii="Arial Black" w:hAnsi="Arial Black"/>
          <w:caps/>
          <w:noProof/>
          <w:sz w:val="15"/>
          <w:szCs w:val="15"/>
          <w:lang w:val="fr-FR" w:eastAsia="en-US"/>
        </w:rPr>
        <mc:AlternateContent>
          <mc:Choice Requires="wps">
            <w:drawing>
              <wp:inline distT="0" distB="0" distL="0" distR="0" wp14:anchorId="4091C2D4" wp14:editId="32EC230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995D3C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455F778" w14:textId="6699F5CB" w:rsidR="008B2CC1" w:rsidRPr="0052434F" w:rsidRDefault="00456117" w:rsidP="0052434F">
      <w:pPr>
        <w:jc w:val="right"/>
        <w:rPr>
          <w:rFonts w:ascii="Arial Black" w:hAnsi="Arial Black"/>
          <w:caps/>
          <w:sz w:val="15"/>
          <w:szCs w:val="15"/>
          <w:lang w:val="fr-FR"/>
        </w:rPr>
      </w:pPr>
      <w:r w:rsidRPr="0052434F">
        <w:rPr>
          <w:rFonts w:ascii="Arial Black" w:hAnsi="Arial Black"/>
          <w:caps/>
          <w:sz w:val="15"/>
          <w:szCs w:val="15"/>
          <w:lang w:val="fr-FR"/>
        </w:rPr>
        <w:t>SCCR/4</w:t>
      </w:r>
      <w:r w:rsidR="00E74FE4" w:rsidRPr="0052434F">
        <w:rPr>
          <w:rFonts w:ascii="Arial Black" w:hAnsi="Arial Black"/>
          <w:caps/>
          <w:sz w:val="15"/>
          <w:szCs w:val="15"/>
          <w:lang w:val="fr-FR"/>
        </w:rPr>
        <w:t>9</w:t>
      </w:r>
      <w:r w:rsidR="00D55C00" w:rsidRPr="0052434F">
        <w:rPr>
          <w:rFonts w:ascii="Arial Black" w:hAnsi="Arial Black"/>
          <w:caps/>
          <w:sz w:val="15"/>
          <w:szCs w:val="15"/>
          <w:lang w:val="fr-FR"/>
        </w:rPr>
        <w:t>/</w:t>
      </w:r>
      <w:bookmarkStart w:id="0" w:name="Code"/>
      <w:bookmarkEnd w:id="0"/>
      <w:r w:rsidR="00AB2DB3" w:rsidRPr="0052434F">
        <w:rPr>
          <w:rFonts w:ascii="Arial Black" w:hAnsi="Arial Black"/>
          <w:caps/>
          <w:sz w:val="15"/>
          <w:szCs w:val="15"/>
          <w:lang w:val="fr-FR"/>
        </w:rPr>
        <w:t>INF/3</w:t>
      </w:r>
    </w:p>
    <w:p w14:paraId="610397A0" w14:textId="1C7E16EF" w:rsidR="008B2CC1" w:rsidRPr="0052434F" w:rsidRDefault="00DB0349" w:rsidP="0052434F">
      <w:pPr>
        <w:jc w:val="right"/>
        <w:rPr>
          <w:rFonts w:ascii="Arial Black" w:hAnsi="Arial Black"/>
          <w:caps/>
          <w:sz w:val="15"/>
          <w:szCs w:val="15"/>
          <w:lang w:val="fr-FR"/>
        </w:rPr>
      </w:pPr>
      <w:r w:rsidRPr="0052434F">
        <w:rPr>
          <w:rFonts w:ascii="Arial Black" w:hAnsi="Arial Black"/>
          <w:caps/>
          <w:sz w:val="15"/>
          <w:szCs w:val="15"/>
          <w:lang w:val="fr-FR"/>
        </w:rPr>
        <w:t>Original</w:t>
      </w:r>
      <w:r w:rsidR="0052434F">
        <w:rPr>
          <w:rFonts w:ascii="Arial Black" w:hAnsi="Arial Black"/>
          <w:caps/>
          <w:sz w:val="15"/>
          <w:szCs w:val="15"/>
          <w:lang w:val="fr-FR"/>
        </w:rPr>
        <w:t> :</w:t>
      </w:r>
      <w:r w:rsidRPr="0052434F">
        <w:rPr>
          <w:rFonts w:ascii="Arial Black" w:hAnsi="Arial Black"/>
          <w:caps/>
          <w:sz w:val="15"/>
          <w:szCs w:val="15"/>
          <w:lang w:val="fr-FR"/>
        </w:rPr>
        <w:t xml:space="preserve"> </w:t>
      </w:r>
      <w:bookmarkStart w:id="1" w:name="Original"/>
      <w:r w:rsidR="00AB2DB3" w:rsidRPr="0052434F">
        <w:rPr>
          <w:rFonts w:ascii="Arial Black" w:hAnsi="Arial Black"/>
          <w:caps/>
          <w:sz w:val="15"/>
          <w:szCs w:val="15"/>
          <w:lang w:val="fr-FR"/>
        </w:rPr>
        <w:t>anglais</w:t>
      </w:r>
    </w:p>
    <w:bookmarkEnd w:id="1"/>
    <w:p w14:paraId="61DCB794" w14:textId="0F766B2C" w:rsidR="008B2CC1" w:rsidRPr="0052434F" w:rsidRDefault="00DB0349" w:rsidP="0052434F">
      <w:pPr>
        <w:spacing w:after="1200"/>
        <w:jc w:val="right"/>
        <w:rPr>
          <w:rFonts w:ascii="Arial Black" w:hAnsi="Arial Black"/>
          <w:caps/>
          <w:sz w:val="15"/>
          <w:szCs w:val="15"/>
          <w:lang w:val="fr-FR"/>
        </w:rPr>
      </w:pPr>
      <w:r w:rsidRPr="0052434F">
        <w:rPr>
          <w:rFonts w:ascii="Arial Black" w:hAnsi="Arial Black"/>
          <w:caps/>
          <w:sz w:val="15"/>
          <w:szCs w:val="15"/>
          <w:lang w:val="fr-FR"/>
        </w:rPr>
        <w:t>date</w:t>
      </w:r>
      <w:r w:rsidR="0052434F">
        <w:rPr>
          <w:rFonts w:ascii="Arial Black" w:hAnsi="Arial Black"/>
          <w:caps/>
          <w:sz w:val="15"/>
          <w:szCs w:val="15"/>
          <w:lang w:val="fr-FR"/>
        </w:rPr>
        <w:t> :</w:t>
      </w:r>
      <w:r w:rsidRPr="0052434F">
        <w:rPr>
          <w:rFonts w:ascii="Arial Black" w:hAnsi="Arial Black"/>
          <w:caps/>
          <w:sz w:val="15"/>
          <w:szCs w:val="15"/>
          <w:lang w:val="fr-FR"/>
        </w:rPr>
        <w:t xml:space="preserve"> </w:t>
      </w:r>
      <w:bookmarkStart w:id="2" w:name="Date"/>
      <w:r w:rsidR="00AB2DB3" w:rsidRPr="0052434F">
        <w:rPr>
          <w:rFonts w:ascii="Arial Black" w:hAnsi="Arial Black"/>
          <w:caps/>
          <w:sz w:val="15"/>
          <w:szCs w:val="15"/>
          <w:lang w:val="fr-FR"/>
        </w:rPr>
        <w:t>16 octobre 2026</w:t>
      </w:r>
    </w:p>
    <w:bookmarkEnd w:id="2"/>
    <w:p w14:paraId="6B7B9C87" w14:textId="4A53674A" w:rsidR="00C40E15" w:rsidRPr="0052434F" w:rsidRDefault="00D55C00" w:rsidP="0052434F">
      <w:pPr>
        <w:spacing w:after="480"/>
        <w:rPr>
          <w:b/>
          <w:sz w:val="28"/>
          <w:szCs w:val="28"/>
          <w:lang w:val="fr-FR"/>
        </w:rPr>
      </w:pPr>
      <w:r w:rsidRPr="0052434F">
        <w:rPr>
          <w:b/>
          <w:sz w:val="28"/>
          <w:szCs w:val="28"/>
          <w:lang w:val="fr-FR"/>
        </w:rPr>
        <w:t>Comité permanent du droit d</w:t>
      </w:r>
      <w:r w:rsidR="0052434F">
        <w:rPr>
          <w:b/>
          <w:sz w:val="28"/>
          <w:szCs w:val="28"/>
          <w:lang w:val="fr-FR"/>
        </w:rPr>
        <w:t>’</w:t>
      </w:r>
      <w:r w:rsidRPr="0052434F">
        <w:rPr>
          <w:b/>
          <w:sz w:val="28"/>
          <w:szCs w:val="28"/>
          <w:lang w:val="fr-FR"/>
        </w:rPr>
        <w:t>auteur et des droits connexes</w:t>
      </w:r>
    </w:p>
    <w:p w14:paraId="0030D93D" w14:textId="00AAE20E" w:rsidR="008B2CC1" w:rsidRPr="0052434F" w:rsidRDefault="00D55C00" w:rsidP="0052434F">
      <w:pPr>
        <w:rPr>
          <w:b/>
          <w:sz w:val="24"/>
          <w:szCs w:val="24"/>
          <w:lang w:val="fr-FR"/>
        </w:rPr>
      </w:pPr>
      <w:r w:rsidRPr="0052434F">
        <w:rPr>
          <w:b/>
          <w:sz w:val="24"/>
          <w:szCs w:val="24"/>
          <w:lang w:val="fr-FR"/>
        </w:rPr>
        <w:t>Quarante</w:t>
      </w:r>
      <w:r w:rsidR="002072FB">
        <w:rPr>
          <w:b/>
          <w:sz w:val="24"/>
          <w:szCs w:val="24"/>
          <w:lang w:val="fr-FR"/>
        </w:rPr>
        <w:noBreakHyphen/>
      </w:r>
      <w:r w:rsidR="00E74FE4" w:rsidRPr="0052434F">
        <w:rPr>
          <w:b/>
          <w:sz w:val="24"/>
          <w:szCs w:val="24"/>
          <w:lang w:val="fr-FR"/>
        </w:rPr>
        <w:t>neuv</w:t>
      </w:r>
      <w:r w:rsidR="0052434F">
        <w:rPr>
          <w:b/>
          <w:sz w:val="24"/>
          <w:szCs w:val="24"/>
          <w:lang w:val="fr-FR"/>
        </w:rPr>
        <w:t>ième session</w:t>
      </w:r>
    </w:p>
    <w:p w14:paraId="6D0AA5BD" w14:textId="77777777" w:rsidR="008B2CC1" w:rsidRPr="0052434F" w:rsidRDefault="00D55C00" w:rsidP="0052434F">
      <w:pPr>
        <w:spacing w:after="720"/>
        <w:rPr>
          <w:b/>
          <w:sz w:val="24"/>
          <w:szCs w:val="24"/>
          <w:lang w:val="fr-FR"/>
        </w:rPr>
      </w:pPr>
      <w:r w:rsidRPr="0052434F">
        <w:rPr>
          <w:b/>
          <w:sz w:val="24"/>
          <w:szCs w:val="24"/>
          <w:lang w:val="fr-FR"/>
        </w:rPr>
        <w:t xml:space="preserve">Genève, </w:t>
      </w:r>
      <w:r w:rsidR="00E74FE4" w:rsidRPr="0052434F">
        <w:rPr>
          <w:b/>
          <w:sz w:val="24"/>
          <w:szCs w:val="24"/>
          <w:lang w:val="fr-FR"/>
        </w:rPr>
        <w:t>30 novembre</w:t>
      </w:r>
      <w:r w:rsidR="00AC2EBA" w:rsidRPr="0052434F">
        <w:rPr>
          <w:b/>
          <w:sz w:val="24"/>
          <w:szCs w:val="24"/>
          <w:lang w:val="fr-FR"/>
        </w:rPr>
        <w:t xml:space="preserve"> </w:t>
      </w:r>
      <w:r w:rsidR="00456117" w:rsidRPr="0052434F">
        <w:rPr>
          <w:b/>
          <w:sz w:val="24"/>
          <w:szCs w:val="24"/>
          <w:lang w:val="fr-FR"/>
        </w:rPr>
        <w:t xml:space="preserve">– </w:t>
      </w:r>
      <w:r w:rsidR="00E74FE4" w:rsidRPr="0052434F">
        <w:rPr>
          <w:b/>
          <w:sz w:val="24"/>
          <w:szCs w:val="24"/>
          <w:lang w:val="fr-FR"/>
        </w:rPr>
        <w:t>4</w:t>
      </w:r>
      <w:r w:rsidR="00DC4A0D" w:rsidRPr="0052434F">
        <w:rPr>
          <w:b/>
          <w:sz w:val="24"/>
          <w:szCs w:val="24"/>
          <w:lang w:val="fr-FR"/>
        </w:rPr>
        <w:t> </w:t>
      </w:r>
      <w:r w:rsidR="00E74FE4" w:rsidRPr="0052434F">
        <w:rPr>
          <w:b/>
          <w:sz w:val="24"/>
          <w:szCs w:val="24"/>
          <w:lang w:val="fr-FR"/>
        </w:rPr>
        <w:t>décembre</w:t>
      </w:r>
      <w:r w:rsidR="00AC2EBA" w:rsidRPr="0052434F">
        <w:rPr>
          <w:b/>
          <w:sz w:val="24"/>
          <w:szCs w:val="24"/>
          <w:lang w:val="fr-FR"/>
        </w:rPr>
        <w:t> </w:t>
      </w:r>
      <w:r w:rsidR="00456117" w:rsidRPr="0052434F">
        <w:rPr>
          <w:b/>
          <w:sz w:val="24"/>
          <w:szCs w:val="24"/>
          <w:lang w:val="fr-FR"/>
        </w:rPr>
        <w:t>202</w:t>
      </w:r>
      <w:r w:rsidR="009252C3" w:rsidRPr="0052434F">
        <w:rPr>
          <w:b/>
          <w:sz w:val="24"/>
          <w:szCs w:val="24"/>
          <w:lang w:val="fr-FR"/>
        </w:rPr>
        <w:t>6</w:t>
      </w:r>
    </w:p>
    <w:p w14:paraId="199FC6C2" w14:textId="561E0AC1" w:rsidR="0052434F" w:rsidRDefault="00AB2DB3" w:rsidP="002072FB">
      <w:pPr>
        <w:spacing w:after="360"/>
        <w:rPr>
          <w:caps/>
          <w:sz w:val="24"/>
          <w:lang w:val="fr-FR"/>
        </w:rPr>
      </w:pPr>
      <w:bookmarkStart w:id="3" w:name="TitleOfDoc"/>
      <w:r w:rsidRPr="0052434F">
        <w:rPr>
          <w:caps/>
          <w:sz w:val="24"/>
          <w:lang w:val="fr-FR"/>
        </w:rPr>
        <w:t>Feuille de route pour la mise en œuvre du droit de suite</w:t>
      </w:r>
      <w:r w:rsidR="002072FB">
        <w:rPr>
          <w:caps/>
          <w:sz w:val="24"/>
          <w:lang w:val="fr-FR"/>
        </w:rPr>
        <w:t xml:space="preserve"> </w:t>
      </w:r>
      <w:r w:rsidRPr="0052434F">
        <w:rPr>
          <w:caps/>
          <w:sz w:val="24"/>
          <w:lang w:val="fr-FR"/>
        </w:rPr>
        <w:t>dans</w:t>
      </w:r>
      <w:r w:rsidR="002072FB">
        <w:rPr>
          <w:caps/>
          <w:sz w:val="24"/>
          <w:lang w:val="fr-FR"/>
        </w:rPr>
        <w:t> </w:t>
      </w:r>
      <w:r w:rsidRPr="0052434F">
        <w:rPr>
          <w:caps/>
          <w:sz w:val="24"/>
          <w:lang w:val="fr-FR"/>
        </w:rPr>
        <w:t>la</w:t>
      </w:r>
      <w:r w:rsidR="002072FB">
        <w:rPr>
          <w:caps/>
          <w:sz w:val="24"/>
          <w:lang w:val="fr-FR"/>
        </w:rPr>
        <w:t> </w:t>
      </w:r>
      <w:r w:rsidRPr="0052434F">
        <w:rPr>
          <w:caps/>
          <w:sz w:val="24"/>
          <w:lang w:val="fr-FR"/>
        </w:rPr>
        <w:t>région Asie</w:t>
      </w:r>
      <w:r w:rsidR="002072FB">
        <w:rPr>
          <w:caps/>
          <w:sz w:val="24"/>
          <w:lang w:val="fr-FR"/>
        </w:rPr>
        <w:noBreakHyphen/>
      </w:r>
      <w:r w:rsidRPr="0052434F">
        <w:rPr>
          <w:caps/>
          <w:sz w:val="24"/>
          <w:lang w:val="fr-FR"/>
        </w:rPr>
        <w:t>Pacifique</w:t>
      </w:r>
    </w:p>
    <w:p w14:paraId="5EB0038B" w14:textId="5F715391" w:rsidR="00AB2DB3" w:rsidRPr="0052434F" w:rsidRDefault="00AB2DB3" w:rsidP="0052434F">
      <w:pPr>
        <w:spacing w:after="960"/>
        <w:rPr>
          <w:i/>
          <w:lang w:val="fr-FR"/>
        </w:rPr>
      </w:pPr>
      <w:bookmarkStart w:id="4" w:name="Prepared"/>
      <w:bookmarkEnd w:id="3"/>
      <w:r w:rsidRPr="0052434F">
        <w:rPr>
          <w:i/>
          <w:lang w:val="fr-FR"/>
        </w:rPr>
        <w:t>Document établi par la délégation des Philippines</w:t>
      </w:r>
    </w:p>
    <w:bookmarkEnd w:id="4"/>
    <w:p w14:paraId="2184E794" w14:textId="77777777" w:rsidR="00AB2DB3" w:rsidRPr="0052434F" w:rsidRDefault="00AB2DB3" w:rsidP="0052434F">
      <w:pPr>
        <w:spacing w:after="220"/>
        <w:rPr>
          <w:lang w:val="fr-FR"/>
        </w:rPr>
      </w:pPr>
      <w:r w:rsidRPr="0052434F">
        <w:rPr>
          <w:lang w:val="fr-FR"/>
        </w:rPr>
        <w:br w:type="page"/>
      </w:r>
    </w:p>
    <w:tbl>
      <w:tblPr>
        <w:tblW w:w="9356" w:type="dxa"/>
        <w:tblLayout w:type="fixed"/>
        <w:tblLook w:val="01E0" w:firstRow="1" w:lastRow="1" w:firstColumn="1" w:lastColumn="1" w:noHBand="0" w:noVBand="0"/>
      </w:tblPr>
      <w:tblGrid>
        <w:gridCol w:w="4517"/>
        <w:gridCol w:w="4839"/>
      </w:tblGrid>
      <w:tr w:rsidR="00AB2DB3" w:rsidRPr="0052434F" w14:paraId="71A1036D" w14:textId="77777777" w:rsidTr="00237793">
        <w:trPr>
          <w:trHeight w:hRule="exact" w:val="680"/>
        </w:trPr>
        <w:tc>
          <w:tcPr>
            <w:tcW w:w="9356" w:type="dxa"/>
            <w:gridSpan w:val="2"/>
            <w:tcMar>
              <w:left w:w="0" w:type="dxa"/>
              <w:right w:w="0" w:type="dxa"/>
            </w:tcMar>
          </w:tcPr>
          <w:p w14:paraId="02B4EAD1" w14:textId="77777777" w:rsidR="00AB2DB3" w:rsidRPr="0052434F" w:rsidRDefault="00AB2DB3" w:rsidP="0052434F">
            <w:pPr>
              <w:jc w:val="right"/>
              <w:rPr>
                <w:b/>
                <w:sz w:val="40"/>
                <w:szCs w:val="40"/>
                <w:lang w:val="fr-FR"/>
              </w:rPr>
            </w:pPr>
            <w:r w:rsidRPr="0052434F">
              <w:rPr>
                <w:b/>
                <w:sz w:val="40"/>
                <w:lang w:val="fr-FR"/>
              </w:rPr>
              <w:lastRenderedPageBreak/>
              <w:t>F</w:t>
            </w:r>
          </w:p>
        </w:tc>
      </w:tr>
      <w:tr w:rsidR="00AB2DB3" w:rsidRPr="0052434F" w14:paraId="564A30AA" w14:textId="77777777" w:rsidTr="00237793">
        <w:tc>
          <w:tcPr>
            <w:tcW w:w="4517" w:type="dxa"/>
            <w:tcMar>
              <w:bottom w:w="170" w:type="dxa"/>
            </w:tcMar>
          </w:tcPr>
          <w:p w14:paraId="490D72F2" w14:textId="77777777" w:rsidR="00AB2DB3" w:rsidRPr="0052434F" w:rsidRDefault="00AB2DB3" w:rsidP="0052434F">
            <w:pPr>
              <w:ind w:left="1134"/>
              <w:rPr>
                <w:lang w:val="fr-FR"/>
              </w:rPr>
            </w:pPr>
          </w:p>
          <w:p w14:paraId="23FF928B" w14:textId="77777777" w:rsidR="00AB2DB3" w:rsidRPr="0052434F" w:rsidRDefault="00AB2DB3" w:rsidP="0052434F">
            <w:pPr>
              <w:ind w:left="1134"/>
              <w:rPr>
                <w:lang w:val="fr-FR"/>
              </w:rPr>
            </w:pPr>
            <w:r w:rsidRPr="0052434F">
              <w:rPr>
                <w:noProof/>
                <w:lang w:val="fr-FR"/>
              </w:rPr>
              <w:drawing>
                <wp:inline distT="0" distB="0" distL="0" distR="0" wp14:anchorId="448FEC63" wp14:editId="606C59F8">
                  <wp:extent cx="1548765" cy="1170305"/>
                  <wp:effectExtent l="0" t="0" r="0" b="0"/>
                  <wp:docPr id="476679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8765" cy="1170305"/>
                          </a:xfrm>
                          <a:prstGeom prst="rect">
                            <a:avLst/>
                          </a:prstGeom>
                          <a:noFill/>
                        </pic:spPr>
                      </pic:pic>
                    </a:graphicData>
                  </a:graphic>
                </wp:inline>
              </w:drawing>
            </w:r>
          </w:p>
        </w:tc>
        <w:tc>
          <w:tcPr>
            <w:tcW w:w="4839" w:type="dxa"/>
            <w:tcMar>
              <w:left w:w="0" w:type="dxa"/>
              <w:right w:w="0" w:type="dxa"/>
            </w:tcMar>
          </w:tcPr>
          <w:p w14:paraId="1EA5B62A" w14:textId="77777777" w:rsidR="00AB2DB3" w:rsidRPr="0052434F" w:rsidRDefault="00AB2DB3" w:rsidP="0052434F">
            <w:pPr>
              <w:rPr>
                <w:lang w:val="fr-FR"/>
              </w:rPr>
            </w:pPr>
            <w:r w:rsidRPr="0052434F">
              <w:rPr>
                <w:noProof/>
                <w:lang w:val="fr-FR"/>
              </w:rPr>
              <w:drawing>
                <wp:inline distT="0" distB="0" distL="0" distR="0" wp14:anchorId="37C46E4A" wp14:editId="02A24409">
                  <wp:extent cx="1937141" cy="1377042"/>
                  <wp:effectExtent l="0" t="0" r="6350" b="0"/>
                  <wp:docPr id="1226960371" name="Picture 122696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60371" name="Picture 122696037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937141" cy="1377042"/>
                          </a:xfrm>
                          <a:prstGeom prst="rect">
                            <a:avLst/>
                          </a:prstGeom>
                          <a:noFill/>
                          <a:ln>
                            <a:noFill/>
                          </a:ln>
                        </pic:spPr>
                      </pic:pic>
                    </a:graphicData>
                  </a:graphic>
                </wp:inline>
              </w:drawing>
            </w:r>
          </w:p>
        </w:tc>
      </w:tr>
    </w:tbl>
    <w:p w14:paraId="7739C791" w14:textId="77777777" w:rsidR="00AB2DB3" w:rsidRPr="0052434F" w:rsidRDefault="00AB2DB3" w:rsidP="0052434F">
      <w:pPr>
        <w:rPr>
          <w:lang w:val="fr-FR"/>
        </w:rPr>
      </w:pPr>
    </w:p>
    <w:p w14:paraId="7EA9EF65" w14:textId="77777777" w:rsidR="00AB2DB3" w:rsidRPr="0052434F" w:rsidRDefault="00AB2DB3" w:rsidP="0052434F">
      <w:pPr>
        <w:rPr>
          <w:lang w:val="fr-FR"/>
        </w:rPr>
      </w:pPr>
    </w:p>
    <w:p w14:paraId="58520148" w14:textId="77777777" w:rsidR="00AB2DB3" w:rsidRPr="0052434F" w:rsidRDefault="00AB2DB3" w:rsidP="0052434F">
      <w:pPr>
        <w:rPr>
          <w:lang w:val="fr-FR"/>
        </w:rPr>
      </w:pPr>
    </w:p>
    <w:p w14:paraId="5D081047" w14:textId="77777777" w:rsidR="00AB2DB3" w:rsidRPr="0052434F" w:rsidRDefault="00AB2DB3" w:rsidP="0052434F">
      <w:pPr>
        <w:rPr>
          <w:lang w:val="fr-FR"/>
        </w:rPr>
      </w:pPr>
    </w:p>
    <w:p w14:paraId="19656DEE" w14:textId="77777777" w:rsidR="00AB2DB3" w:rsidRPr="0052434F" w:rsidRDefault="00AB2DB3" w:rsidP="0052434F">
      <w:pPr>
        <w:rPr>
          <w:lang w:val="fr-FR"/>
        </w:rPr>
      </w:pPr>
    </w:p>
    <w:p w14:paraId="6336F9C8" w14:textId="77777777" w:rsidR="00AB2DB3" w:rsidRPr="0052434F" w:rsidRDefault="00AB2DB3" w:rsidP="0052434F">
      <w:pPr>
        <w:rPr>
          <w:lang w:val="fr-FR"/>
        </w:rPr>
      </w:pPr>
    </w:p>
    <w:p w14:paraId="4F1961F2" w14:textId="77777777" w:rsidR="00AB2DB3" w:rsidRPr="0052434F" w:rsidRDefault="00AB2DB3" w:rsidP="0052434F">
      <w:pPr>
        <w:rPr>
          <w:lang w:val="fr-FR"/>
        </w:rPr>
      </w:pPr>
    </w:p>
    <w:p w14:paraId="1BCF5729" w14:textId="77777777" w:rsidR="00AB2DB3" w:rsidRPr="0052434F" w:rsidRDefault="00AB2DB3" w:rsidP="0052434F">
      <w:pPr>
        <w:rPr>
          <w:lang w:val="fr-FR"/>
        </w:rPr>
      </w:pPr>
    </w:p>
    <w:p w14:paraId="7C4F75FD" w14:textId="77777777" w:rsidR="00AB2DB3" w:rsidRPr="0052434F" w:rsidRDefault="00AB2DB3" w:rsidP="0052434F">
      <w:pPr>
        <w:rPr>
          <w:lang w:val="fr-FR"/>
        </w:rPr>
      </w:pPr>
    </w:p>
    <w:p w14:paraId="0F6E70A9" w14:textId="77777777" w:rsidR="00AB2DB3" w:rsidRPr="0052434F" w:rsidRDefault="00AB2DB3" w:rsidP="0052434F">
      <w:pPr>
        <w:rPr>
          <w:lang w:val="fr-FR"/>
        </w:rPr>
      </w:pPr>
    </w:p>
    <w:p w14:paraId="1AE4BFB7" w14:textId="77777777" w:rsidR="00AB2DB3" w:rsidRPr="0052434F" w:rsidRDefault="00AB2DB3" w:rsidP="0052434F">
      <w:pPr>
        <w:rPr>
          <w:lang w:val="fr-FR"/>
        </w:rPr>
      </w:pPr>
    </w:p>
    <w:p w14:paraId="549B8B6C" w14:textId="77777777" w:rsidR="00AB2DB3" w:rsidRPr="0052434F" w:rsidRDefault="00AB2DB3" w:rsidP="0052434F">
      <w:pPr>
        <w:rPr>
          <w:lang w:val="fr-FR"/>
        </w:rPr>
      </w:pPr>
    </w:p>
    <w:p w14:paraId="6E40940F" w14:textId="77777777" w:rsidR="00AB2DB3" w:rsidRPr="0052434F" w:rsidRDefault="00AB2DB3" w:rsidP="0052434F">
      <w:pPr>
        <w:rPr>
          <w:lang w:val="fr-FR"/>
        </w:rPr>
      </w:pPr>
    </w:p>
    <w:p w14:paraId="3E7CFDE2" w14:textId="77777777" w:rsidR="00AB2DB3" w:rsidRPr="0052434F" w:rsidRDefault="00AB2DB3" w:rsidP="0052434F">
      <w:pPr>
        <w:rPr>
          <w:lang w:val="fr-FR"/>
        </w:rPr>
      </w:pPr>
    </w:p>
    <w:tbl>
      <w:tblPr>
        <w:tblStyle w:val="TableGrid"/>
        <w:tblW w:w="0" w:type="auto"/>
        <w:tblBorders>
          <w:top w:val="double" w:sz="18" w:space="0" w:color="FDE9D9" w:themeColor="accent6" w:themeTint="33"/>
          <w:left w:val="double" w:sz="18" w:space="0" w:color="FDE9D9" w:themeColor="accent6" w:themeTint="33"/>
          <w:bottom w:val="double" w:sz="18" w:space="0" w:color="FDE9D9" w:themeColor="accent6" w:themeTint="33"/>
          <w:right w:val="double" w:sz="18" w:space="0" w:color="FDE9D9" w:themeColor="accent6" w:themeTint="33"/>
          <w:insideH w:val="double" w:sz="18" w:space="0" w:color="FDE9D9" w:themeColor="accent6" w:themeTint="33"/>
          <w:insideV w:val="double" w:sz="18" w:space="0" w:color="FDE9D9" w:themeColor="accent6" w:themeTint="33"/>
        </w:tblBorders>
        <w:tblLook w:val="04A0" w:firstRow="1" w:lastRow="0" w:firstColumn="1" w:lastColumn="0" w:noHBand="0" w:noVBand="1"/>
      </w:tblPr>
      <w:tblGrid>
        <w:gridCol w:w="9219"/>
      </w:tblGrid>
      <w:tr w:rsidR="00AB2DB3" w:rsidRPr="0052434F" w14:paraId="07715B84" w14:textId="77777777" w:rsidTr="00237793">
        <w:tc>
          <w:tcPr>
            <w:tcW w:w="9345" w:type="dxa"/>
          </w:tcPr>
          <w:p w14:paraId="5C249972" w14:textId="77777777" w:rsidR="00AB2DB3" w:rsidRPr="0041042A" w:rsidRDefault="00AB2DB3" w:rsidP="0052434F">
            <w:pPr>
              <w:rPr>
                <w:b/>
                <w:sz w:val="36"/>
                <w:szCs w:val="36"/>
              </w:rPr>
            </w:pPr>
          </w:p>
          <w:p w14:paraId="031F9C29" w14:textId="77777777" w:rsidR="00AB2DB3" w:rsidRPr="0041042A" w:rsidRDefault="00AB2DB3" w:rsidP="0052434F">
            <w:pPr>
              <w:jc w:val="center"/>
              <w:rPr>
                <w:b/>
                <w:sz w:val="32"/>
                <w:szCs w:val="32"/>
              </w:rPr>
            </w:pPr>
            <w:r w:rsidRPr="0041042A">
              <w:rPr>
                <w:b/>
                <w:sz w:val="32"/>
              </w:rPr>
              <w:t>Conférence régionale asiatique sur le droit de suite</w:t>
            </w:r>
          </w:p>
          <w:p w14:paraId="6EB67A07" w14:textId="77777777" w:rsidR="00AB2DB3" w:rsidRPr="0041042A" w:rsidRDefault="00AB2DB3" w:rsidP="0052434F">
            <w:pPr>
              <w:jc w:val="center"/>
            </w:pPr>
          </w:p>
          <w:p w14:paraId="69745408" w14:textId="77777777" w:rsidR="00AB2DB3" w:rsidRPr="0041042A" w:rsidRDefault="00AB2DB3" w:rsidP="0052434F">
            <w:pPr>
              <w:jc w:val="center"/>
              <w:rPr>
                <w:sz w:val="24"/>
                <w:szCs w:val="24"/>
              </w:rPr>
            </w:pPr>
          </w:p>
          <w:p w14:paraId="2EC8A0A2" w14:textId="7FE8996A" w:rsidR="00AB2DB3" w:rsidRPr="0041042A" w:rsidRDefault="00AB2DB3" w:rsidP="0052434F">
            <w:pPr>
              <w:jc w:val="center"/>
              <w:rPr>
                <w:sz w:val="24"/>
                <w:szCs w:val="24"/>
              </w:rPr>
            </w:pPr>
            <w:proofErr w:type="spellStart"/>
            <w:r w:rsidRPr="0041042A">
              <w:rPr>
                <w:sz w:val="24"/>
              </w:rPr>
              <w:t>Bagac</w:t>
            </w:r>
            <w:proofErr w:type="spellEnd"/>
            <w:r w:rsidRPr="0041042A">
              <w:rPr>
                <w:sz w:val="24"/>
              </w:rPr>
              <w:t xml:space="preserve"> (Philippines), 8</w:t>
            </w:r>
            <w:r w:rsidR="0052434F" w:rsidRPr="0041042A">
              <w:rPr>
                <w:sz w:val="24"/>
              </w:rPr>
              <w:t xml:space="preserve"> – </w:t>
            </w:r>
            <w:r w:rsidRPr="0041042A">
              <w:rPr>
                <w:sz w:val="24"/>
              </w:rPr>
              <w:t>10 </w:t>
            </w:r>
            <w:r w:rsidR="0052434F" w:rsidRPr="0041042A">
              <w:rPr>
                <w:sz w:val="24"/>
              </w:rPr>
              <w:t>juin 20</w:t>
            </w:r>
            <w:r w:rsidRPr="0041042A">
              <w:rPr>
                <w:sz w:val="24"/>
              </w:rPr>
              <w:t>26</w:t>
            </w:r>
          </w:p>
          <w:p w14:paraId="61C725A4" w14:textId="77777777" w:rsidR="00AB2DB3" w:rsidRPr="0041042A" w:rsidRDefault="00AB2DB3" w:rsidP="0052434F">
            <w:pPr>
              <w:jc w:val="center"/>
            </w:pPr>
          </w:p>
          <w:p w14:paraId="2FFBE6A9" w14:textId="77777777" w:rsidR="00AB2DB3" w:rsidRPr="0041042A" w:rsidRDefault="00AB2DB3" w:rsidP="0052434F"/>
          <w:p w14:paraId="57C1239B" w14:textId="77777777" w:rsidR="0052434F" w:rsidRPr="0041042A" w:rsidRDefault="00AB2DB3" w:rsidP="0052434F">
            <w:pPr>
              <w:jc w:val="center"/>
              <w:rPr>
                <w:sz w:val="24"/>
              </w:rPr>
            </w:pPr>
            <w:r w:rsidRPr="0041042A">
              <w:rPr>
                <w:sz w:val="24"/>
              </w:rPr>
              <w:t>Feuille de route pour la mise en œuvre du droit de suite</w:t>
            </w:r>
          </w:p>
          <w:p w14:paraId="6CB56192" w14:textId="4E532602" w:rsidR="0052434F" w:rsidRPr="0041042A" w:rsidRDefault="00AB2DB3" w:rsidP="0052434F">
            <w:pPr>
              <w:jc w:val="center"/>
              <w:rPr>
                <w:sz w:val="24"/>
              </w:rPr>
            </w:pPr>
            <w:proofErr w:type="gramStart"/>
            <w:r w:rsidRPr="0041042A">
              <w:rPr>
                <w:sz w:val="24"/>
              </w:rPr>
              <w:t>dans</w:t>
            </w:r>
            <w:proofErr w:type="gramEnd"/>
            <w:r w:rsidRPr="0041042A">
              <w:rPr>
                <w:sz w:val="24"/>
              </w:rPr>
              <w:t xml:space="preserve"> la région Asie</w:t>
            </w:r>
            <w:r w:rsidR="002072FB" w:rsidRPr="0041042A">
              <w:rPr>
                <w:sz w:val="24"/>
              </w:rPr>
              <w:noBreakHyphen/>
            </w:r>
            <w:r w:rsidRPr="0041042A">
              <w:rPr>
                <w:sz w:val="24"/>
              </w:rPr>
              <w:t>Pacifique</w:t>
            </w:r>
          </w:p>
          <w:p w14:paraId="4CD7A212" w14:textId="277FCBAD" w:rsidR="00AB2DB3" w:rsidRPr="0052434F" w:rsidRDefault="00AB2DB3" w:rsidP="0052434F">
            <w:pPr>
              <w:rPr>
                <w:b/>
                <w:sz w:val="24"/>
                <w:szCs w:val="24"/>
              </w:rPr>
            </w:pPr>
          </w:p>
        </w:tc>
      </w:tr>
    </w:tbl>
    <w:p w14:paraId="22D09BAA" w14:textId="77777777" w:rsidR="00AB2DB3" w:rsidRPr="0052434F" w:rsidRDefault="00AB2DB3" w:rsidP="0052434F">
      <w:pPr>
        <w:spacing w:before="240" w:after="240"/>
        <w:rPr>
          <w:lang w:val="fr-FR"/>
        </w:rPr>
      </w:pPr>
    </w:p>
    <w:p w14:paraId="37F091E3" w14:textId="77777777" w:rsidR="00AB2DB3" w:rsidRPr="0052434F" w:rsidRDefault="00AB2DB3" w:rsidP="0052434F">
      <w:pPr>
        <w:rPr>
          <w:lang w:val="fr-FR"/>
        </w:rPr>
      </w:pPr>
      <w:r w:rsidRPr="0052434F">
        <w:rPr>
          <w:lang w:val="fr-FR"/>
        </w:rPr>
        <w:br w:type="page"/>
      </w:r>
    </w:p>
    <w:tbl>
      <w:tblPr>
        <w:tblStyle w:val="TableGrid"/>
        <w:tblW w:w="0" w:type="auto"/>
        <w:tblBorders>
          <w:top w:val="single" w:sz="12" w:space="0" w:color="FBD4B4" w:themeColor="accent6" w:themeTint="66"/>
          <w:left w:val="single" w:sz="12" w:space="0" w:color="FBD4B4" w:themeColor="accent6" w:themeTint="66"/>
          <w:bottom w:val="single" w:sz="12" w:space="0" w:color="FBD4B4" w:themeColor="accent6" w:themeTint="66"/>
          <w:right w:val="single" w:sz="12" w:space="0" w:color="FBD4B4" w:themeColor="accent6" w:themeTint="66"/>
          <w:insideH w:val="none" w:sz="0" w:space="0" w:color="auto"/>
          <w:insideV w:val="none" w:sz="0" w:space="0" w:color="auto"/>
        </w:tblBorders>
        <w:tblLook w:val="04A0" w:firstRow="1" w:lastRow="0" w:firstColumn="1" w:lastColumn="0" w:noHBand="0" w:noVBand="1"/>
      </w:tblPr>
      <w:tblGrid>
        <w:gridCol w:w="9325"/>
      </w:tblGrid>
      <w:tr w:rsidR="00AB2DB3" w:rsidRPr="0052434F" w14:paraId="374191DB" w14:textId="77777777" w:rsidTr="00237793">
        <w:tc>
          <w:tcPr>
            <w:tcW w:w="9355" w:type="dxa"/>
            <w:shd w:val="clear" w:color="auto" w:fill="FDE9D9" w:themeFill="accent6" w:themeFillTint="33"/>
          </w:tcPr>
          <w:p w14:paraId="23199618" w14:textId="77777777" w:rsidR="00AB2DB3" w:rsidRPr="0052434F" w:rsidRDefault="00AB2DB3" w:rsidP="0052434F"/>
          <w:p w14:paraId="41CA14C3" w14:textId="57663A36" w:rsidR="0052434F" w:rsidRDefault="00AB2DB3" w:rsidP="0052434F">
            <w:r w:rsidRPr="0052434F">
              <w:t>La région Asie</w:t>
            </w:r>
            <w:r w:rsidR="002072FB">
              <w:noBreakHyphen/>
            </w:r>
            <w:r w:rsidRPr="0052434F">
              <w:t>Pacifique possède l</w:t>
            </w:r>
            <w:r w:rsidR="0052434F">
              <w:t>’</w:t>
            </w:r>
            <w:r w:rsidRPr="0052434F">
              <w:t>un des marchés de l</w:t>
            </w:r>
            <w:r w:rsidR="0052434F">
              <w:t>’</w:t>
            </w:r>
            <w:r w:rsidRPr="0052434F">
              <w:t>art les plus dynamiques au monde, et celui qui connaît la croissance la plus rapi</w:t>
            </w:r>
            <w:r w:rsidR="002072FB" w:rsidRPr="0052434F">
              <w:t>de</w:t>
            </w:r>
            <w:r w:rsidR="002072FB">
              <w:t xml:space="preserve">.  </w:t>
            </w:r>
            <w:r w:rsidR="002072FB" w:rsidRPr="0052434F">
              <w:t>El</w:t>
            </w:r>
            <w:r w:rsidRPr="0052434F">
              <w:t>le englobe des marchés arrivés à maturité, tels que la Chine, le Japon, Singapour ou l</w:t>
            </w:r>
            <w:r w:rsidR="0052434F">
              <w:t>’</w:t>
            </w:r>
            <w:r w:rsidRPr="0052434F">
              <w:t>Australie, ainsi que des marchés en plein essor en Inde et en Asie du Sud</w:t>
            </w:r>
            <w:r w:rsidR="002072FB">
              <w:noBreakHyphen/>
            </w:r>
            <w:r w:rsidRPr="0052434F">
              <w:t>Est.</w:t>
            </w:r>
          </w:p>
          <w:p w14:paraId="3D89135F" w14:textId="056D00F3" w:rsidR="00AB2DB3" w:rsidRPr="0052434F" w:rsidRDefault="00AB2DB3" w:rsidP="0052434F"/>
          <w:p w14:paraId="7C7AC387" w14:textId="64CA4D4B" w:rsidR="0052434F" w:rsidRDefault="00AB2DB3" w:rsidP="0052434F">
            <w:r w:rsidRPr="0052434F">
              <w:t>De plus en plus d</w:t>
            </w:r>
            <w:r w:rsidR="0052434F">
              <w:t>’</w:t>
            </w:r>
            <w:r w:rsidRPr="0052434F">
              <w:t>artistes de cette région acquièrent une reconnaissance internationale et vendent leurs œuvres non seulement sur les marchés locaux, mais aussi à l</w:t>
            </w:r>
            <w:r w:rsidR="0052434F">
              <w:t>’</w:t>
            </w:r>
            <w:r w:rsidRPr="0052434F">
              <w:t>internation</w:t>
            </w:r>
            <w:r w:rsidR="002072FB" w:rsidRPr="0052434F">
              <w:t>al</w:t>
            </w:r>
            <w:r w:rsidR="002072FB">
              <w:t xml:space="preserve">.  </w:t>
            </w:r>
            <w:r w:rsidR="002072FB" w:rsidRPr="0052434F">
              <w:t>Po</w:t>
            </w:r>
            <w:r w:rsidRPr="0052434F">
              <w:t>urtant, ils ne bénéficient souvent pas des retombées économiques générées par leurs créatio</w:t>
            </w:r>
            <w:r w:rsidR="002072FB" w:rsidRPr="0052434F">
              <w:t>ns</w:t>
            </w:r>
            <w:r w:rsidR="002072FB">
              <w:t xml:space="preserve">.  </w:t>
            </w:r>
            <w:r w:rsidR="002072FB" w:rsidRPr="0052434F">
              <w:t>C</w:t>
            </w:r>
            <w:r w:rsidR="002072FB">
              <w:t>’</w:t>
            </w:r>
            <w:r w:rsidR="002072FB" w:rsidRPr="0052434F">
              <w:t>e</w:t>
            </w:r>
            <w:r w:rsidRPr="0052434F">
              <w:t>st particulièrement le cas lors de la revente d</w:t>
            </w:r>
            <w:r w:rsidR="0052434F">
              <w:t>’</w:t>
            </w:r>
            <w:r w:rsidRPr="0052434F">
              <w:t>œuvres d</w:t>
            </w:r>
            <w:r w:rsidR="0052434F">
              <w:t>’</w:t>
            </w:r>
            <w:r w:rsidRPr="0052434F">
              <w:t>art, dont la valeur peut se multiplier bien au</w:t>
            </w:r>
            <w:r w:rsidR="002072FB">
              <w:noBreakHyphen/>
            </w:r>
            <w:r w:rsidRPr="0052434F">
              <w:t>delà du prix de vente initi</w:t>
            </w:r>
            <w:r w:rsidR="002072FB" w:rsidRPr="0052434F">
              <w:t>al</w:t>
            </w:r>
            <w:r w:rsidR="002072FB">
              <w:t xml:space="preserve">.  </w:t>
            </w:r>
            <w:r w:rsidR="002072FB" w:rsidRPr="0052434F">
              <w:t>En</w:t>
            </w:r>
            <w:r w:rsidRPr="0052434F">
              <w:t xml:space="preserve"> effet, dans la région Asie</w:t>
            </w:r>
            <w:r w:rsidR="002072FB">
              <w:noBreakHyphen/>
            </w:r>
            <w:r w:rsidRPr="0052434F">
              <w:t>Pacifique, seuls deux</w:t>
            </w:r>
            <w:r w:rsidR="00444EA7">
              <w:t> </w:t>
            </w:r>
            <w:r w:rsidRPr="0052434F">
              <w:t>pays, l</w:t>
            </w:r>
            <w:r w:rsidR="0052434F">
              <w:t>’</w:t>
            </w:r>
            <w:r w:rsidRPr="0052434F">
              <w:t>Australie et la Nouvelle</w:t>
            </w:r>
            <w:r w:rsidR="002072FB">
              <w:noBreakHyphen/>
            </w:r>
            <w:r w:rsidRPr="0052434F">
              <w:t>Zélande, ont mis en place un dispositif opérationnel permettant aux artistes de tirer profit de la plus</w:t>
            </w:r>
            <w:r w:rsidR="002072FB">
              <w:noBreakHyphen/>
            </w:r>
            <w:r w:rsidRPr="0052434F">
              <w:t>value de leurs créations</w:t>
            </w:r>
            <w:r w:rsidR="0052434F">
              <w:t> :</w:t>
            </w:r>
            <w:r w:rsidRPr="0052434F">
              <w:t xml:space="preserve"> le droit de suite.</w:t>
            </w:r>
          </w:p>
          <w:p w14:paraId="2A749084" w14:textId="008B564F" w:rsidR="00AB2DB3" w:rsidRPr="0052434F" w:rsidRDefault="00AB2DB3" w:rsidP="0052434F"/>
          <w:p w14:paraId="3D8A5786" w14:textId="4E4B8EAE" w:rsidR="0052434F" w:rsidRDefault="00AB2DB3" w:rsidP="0052434F">
            <w:r w:rsidRPr="0052434F">
              <w:t>Le droit de suite est consacré, en tant que droit facultatif, par la Convention de Berne, et est assorti du principe de réciproci</w:t>
            </w:r>
            <w:r w:rsidR="002072FB" w:rsidRPr="0052434F">
              <w:t>té</w:t>
            </w:r>
            <w:r w:rsidR="002072FB">
              <w:t xml:space="preserve">.  </w:t>
            </w:r>
            <w:r w:rsidR="002072FB" w:rsidRPr="0052434F">
              <w:t>C</w:t>
            </w:r>
            <w:r w:rsidR="002072FB">
              <w:t>’</w:t>
            </w:r>
            <w:r w:rsidR="002072FB" w:rsidRPr="0052434F">
              <w:t>e</w:t>
            </w:r>
            <w:r w:rsidRPr="0052434F">
              <w:t>st pourquoi, outre la reconnaissance juridique, il est si important pour les artistes que ce droit soit pleinement mis en œuvre sur le terrain dans le plus grand nombre de pays possible.</w:t>
            </w:r>
          </w:p>
          <w:p w14:paraId="1DB3191B" w14:textId="0CAC000B" w:rsidR="00AB2DB3" w:rsidRPr="0052434F" w:rsidRDefault="00AB2DB3" w:rsidP="0052434F"/>
          <w:p w14:paraId="36A360B9" w14:textId="7A42871F" w:rsidR="0052434F" w:rsidRDefault="00AB2DB3" w:rsidP="0052434F">
            <w:r w:rsidRPr="0052434F">
              <w:t xml:space="preserve">Mais en quoi consiste ce </w:t>
            </w:r>
            <w:proofErr w:type="gramStart"/>
            <w:r w:rsidRPr="0052434F">
              <w:t>droit?</w:t>
            </w:r>
            <w:proofErr w:type="gramEnd"/>
            <w:r w:rsidRPr="0052434F">
              <w:t xml:space="preserve">  Grâce au droit de suite, l</w:t>
            </w:r>
            <w:r w:rsidR="0052434F">
              <w:t>’</w:t>
            </w:r>
            <w:r w:rsidRPr="0052434F">
              <w:t>artiste peut percevoir une part du produit des ventes ultérieures d</w:t>
            </w:r>
            <w:r w:rsidR="0052434F">
              <w:t>’</w:t>
            </w:r>
            <w:r w:rsidRPr="0052434F">
              <w:t>œuvres originales d</w:t>
            </w:r>
            <w:r w:rsidR="0052434F">
              <w:t>’</w:t>
            </w:r>
            <w:r w:rsidRPr="0052434F">
              <w:t>arts visue</w:t>
            </w:r>
            <w:r w:rsidR="002072FB" w:rsidRPr="0052434F">
              <w:t>ls</w:t>
            </w:r>
            <w:r w:rsidR="002072FB">
              <w:t xml:space="preserve">.  </w:t>
            </w:r>
            <w:r w:rsidR="002072FB" w:rsidRPr="0052434F">
              <w:t>Ce</w:t>
            </w:r>
            <w:r w:rsidRPr="0052434F">
              <w:t xml:space="preserve"> droit lui permet de tirer profit de la réussite commerciale et de la plus</w:t>
            </w:r>
            <w:r w:rsidR="002072FB">
              <w:noBreakHyphen/>
            </w:r>
            <w:r w:rsidRPr="0052434F">
              <w:t>value de son œuvre, ainsi que de sa réputation artistique grandissante.</w:t>
            </w:r>
          </w:p>
          <w:p w14:paraId="2304735E" w14:textId="7F4C8BFD" w:rsidR="00AB2DB3" w:rsidRPr="0052434F" w:rsidRDefault="00AB2DB3" w:rsidP="0052434F"/>
          <w:p w14:paraId="1F9409C3" w14:textId="0266B0DA" w:rsidR="0052434F" w:rsidRDefault="00AB2DB3" w:rsidP="0052434F">
            <w:r w:rsidRPr="0052434F">
              <w:t>Par ailleurs, le droit de suite peut revêtir une grande importance pour les artistes autochtones de la régi</w:t>
            </w:r>
            <w:r w:rsidR="002072FB" w:rsidRPr="0052434F">
              <w:t>on</w:t>
            </w:r>
            <w:r w:rsidR="002072FB">
              <w:t xml:space="preserve">.  </w:t>
            </w:r>
            <w:r w:rsidR="002072FB" w:rsidRPr="0052434F">
              <w:t>Co</w:t>
            </w:r>
            <w:r w:rsidRPr="0052434F">
              <w:t>mme l</w:t>
            </w:r>
            <w:r w:rsidR="0052434F">
              <w:t>’</w:t>
            </w:r>
            <w:r w:rsidRPr="0052434F">
              <w:t>exemple de l</w:t>
            </w:r>
            <w:r w:rsidR="0052434F">
              <w:t>’</w:t>
            </w:r>
            <w:r w:rsidRPr="0052434F">
              <w:t>Australie l</w:t>
            </w:r>
            <w:r w:rsidR="0052434F">
              <w:t>’</w:t>
            </w:r>
            <w:r w:rsidRPr="0052434F">
              <w:t>illustre, le droit de suite peut jouer un rôle central dans la rémunération des peuples autochtones pour leurs créations</w:t>
            </w:r>
            <w:r w:rsidR="0052434F">
              <w:t> :</w:t>
            </w:r>
            <w:r w:rsidRPr="0052434F">
              <w:t xml:space="preserve"> en Australie, plus de 60% des artistes percevant des redevances au titre du régime du droit de suite sont autochtones.</w:t>
            </w:r>
          </w:p>
          <w:p w14:paraId="068D6896" w14:textId="34C25DC4" w:rsidR="00AB2DB3" w:rsidRPr="0052434F" w:rsidRDefault="00AB2DB3" w:rsidP="0052434F"/>
          <w:p w14:paraId="79F20759" w14:textId="63CA1887" w:rsidR="00AB2DB3" w:rsidRPr="0052434F" w:rsidRDefault="00AB2DB3" w:rsidP="0052434F">
            <w:r w:rsidRPr="0052434F">
              <w:t>Le droit de suite nécessite une infrastructure permettant d</w:t>
            </w:r>
            <w:r w:rsidR="0052434F">
              <w:t>’</w:t>
            </w:r>
            <w:r w:rsidRPr="0052434F">
              <w:t>identifier l</w:t>
            </w:r>
            <w:r w:rsidR="0052434F">
              <w:t>’</w:t>
            </w:r>
            <w:r w:rsidRPr="0052434F">
              <w:t>œuvre, l</w:t>
            </w:r>
            <w:r w:rsidR="0052434F">
              <w:t>’</w:t>
            </w:r>
            <w:r w:rsidRPr="0052434F">
              <w:t>artiste, la transaction et les professionnels intervenant dans la reven</w:t>
            </w:r>
            <w:r w:rsidR="002072FB" w:rsidRPr="0052434F">
              <w:t>te</w:t>
            </w:r>
            <w:r w:rsidR="002072FB">
              <w:t xml:space="preserve">.  </w:t>
            </w:r>
            <w:r w:rsidR="002072FB" w:rsidRPr="0052434F">
              <w:t>En</w:t>
            </w:r>
            <w:r w:rsidRPr="0052434F">
              <w:t xml:space="preserve"> conséquence, plusieurs acteurs doivent travailler main dans la main pour assurer le bon fonctionnement du système</w:t>
            </w:r>
            <w:r w:rsidR="0052434F">
              <w:t> :</w:t>
            </w:r>
            <w:r w:rsidRPr="0052434F">
              <w:t xml:space="preserve"> les décideurs et les législateurs qui établissent le cadre juridique; </w:t>
            </w:r>
            <w:r w:rsidR="00444EA7">
              <w:t xml:space="preserve"> </w:t>
            </w:r>
            <w:r w:rsidRPr="0052434F">
              <w:t>les intermédiaires du marché de l</w:t>
            </w:r>
            <w:r w:rsidR="0052434F">
              <w:t>’</w:t>
            </w:r>
            <w:r w:rsidRPr="0052434F">
              <w:t xml:space="preserve">art participant aux reventes, tels que les galeries, les maisons de vente aux enchères et les collectionneurs; </w:t>
            </w:r>
            <w:r w:rsidR="00444EA7">
              <w:t xml:space="preserve"> </w:t>
            </w:r>
            <w:r w:rsidRPr="0052434F">
              <w:t xml:space="preserve">les organisations de gestion collective, qui jouent un rôle crucial dans la perception et la répartition des redevances au titre du droit de suite; </w:t>
            </w:r>
            <w:r w:rsidR="00444EA7">
              <w:t xml:space="preserve"> </w:t>
            </w:r>
            <w:r w:rsidRPr="0052434F">
              <w:t>et enfin, bien sûr, les artistes eux</w:t>
            </w:r>
            <w:r w:rsidR="002072FB">
              <w:noBreakHyphen/>
            </w:r>
            <w:r w:rsidRPr="0052434F">
              <w:t>mêmes.</w:t>
            </w:r>
          </w:p>
          <w:p w14:paraId="5510DEC3" w14:textId="77777777" w:rsidR="00AB2DB3" w:rsidRPr="0052434F" w:rsidRDefault="00AB2DB3" w:rsidP="0052434F"/>
          <w:p w14:paraId="0215E141" w14:textId="57334D61" w:rsidR="0052434F" w:rsidRDefault="00AB2DB3" w:rsidP="0052434F">
            <w:r w:rsidRPr="0052434F">
              <w:t>Dans ce contexte, les Philippines, en collaboration avec l</w:t>
            </w:r>
            <w:r w:rsidR="0052434F">
              <w:t>’</w:t>
            </w:r>
            <w:r w:rsidRPr="0052434F">
              <w:t>OMPI, ont décidé d</w:t>
            </w:r>
            <w:r w:rsidR="0052434F">
              <w:t>’</w:t>
            </w:r>
            <w:r w:rsidRPr="0052434F">
              <w:t xml:space="preserve">organiser la </w:t>
            </w:r>
            <w:r w:rsidRPr="0052434F">
              <w:rPr>
                <w:i/>
              </w:rPr>
              <w:t>Conférence régionale asiatique sur le droit de suite</w:t>
            </w:r>
            <w:r w:rsidRPr="0052434F">
              <w:t>, réunissant des représentants de toutes les principales parties prenantes afin de favoriser l</w:t>
            </w:r>
            <w:r w:rsidR="0052434F">
              <w:t>’</w:t>
            </w:r>
            <w:r w:rsidRPr="0052434F">
              <w:t>échange d</w:t>
            </w:r>
            <w:r w:rsidR="0052434F">
              <w:t>’</w:t>
            </w:r>
            <w:r w:rsidRPr="0052434F">
              <w:t>informations et de bonnes pratiques en vue d</w:t>
            </w:r>
            <w:r w:rsidR="0052434F">
              <w:t>’</w:t>
            </w:r>
            <w:r w:rsidRPr="0052434F">
              <w:t>une mise en œuvre efficace du droit de suite dans la région Asie</w:t>
            </w:r>
            <w:r w:rsidR="002072FB">
              <w:noBreakHyphen/>
            </w:r>
            <w:r w:rsidRPr="0052434F">
              <w:t>Pacifique.</w:t>
            </w:r>
          </w:p>
          <w:p w14:paraId="18A7383B" w14:textId="0D47445A" w:rsidR="00AB2DB3" w:rsidRPr="0052434F" w:rsidRDefault="00AB2DB3" w:rsidP="0052434F"/>
          <w:p w14:paraId="6224E78E" w14:textId="30859779" w:rsidR="00AB2DB3" w:rsidRPr="0052434F" w:rsidRDefault="00AB2DB3" w:rsidP="0052434F">
            <w:r w:rsidRPr="0052434F">
              <w:t>Sur la base des discussions menées au cours de la conférence, les participants ont synthétisé les principales conclusions et résultats lors de la séance de clôture tenue le dernier jour de la réuni</w:t>
            </w:r>
            <w:r w:rsidR="002072FB" w:rsidRPr="0052434F">
              <w:t>on</w:t>
            </w:r>
            <w:r w:rsidR="002072FB">
              <w:t xml:space="preserve">.  </w:t>
            </w:r>
            <w:r w:rsidR="002072FB" w:rsidRPr="0052434F">
              <w:t>Qu</w:t>
            </w:r>
            <w:r w:rsidRPr="0052434F">
              <w:t>atre</w:t>
            </w:r>
            <w:r w:rsidR="00444EA7">
              <w:t> </w:t>
            </w:r>
            <w:r w:rsidRPr="0052434F">
              <w:t>axes d</w:t>
            </w:r>
            <w:r w:rsidR="0052434F">
              <w:t>’</w:t>
            </w:r>
            <w:r w:rsidRPr="0052434F">
              <w:t>action ont été recensés comme essentiels à la mise en œuvre du droit de suite, et ces quatre</w:t>
            </w:r>
            <w:r w:rsidR="00444EA7">
              <w:t> </w:t>
            </w:r>
            <w:r w:rsidRPr="0052434F">
              <w:t>axes ont guidé la discussion finale</w:t>
            </w:r>
            <w:r w:rsidR="0052434F">
              <w:t> :</w:t>
            </w:r>
          </w:p>
          <w:p w14:paraId="3CD4254D" w14:textId="77777777" w:rsidR="00AB2DB3" w:rsidRPr="0052434F" w:rsidRDefault="00AB2DB3" w:rsidP="0052434F"/>
          <w:p w14:paraId="31A7D856" w14:textId="56438A2D" w:rsidR="00AB2DB3" w:rsidRPr="0052434F" w:rsidRDefault="00AB2DB3" w:rsidP="0052434F">
            <w:pPr>
              <w:pStyle w:val="ListParagraph"/>
              <w:numPr>
                <w:ilvl w:val="0"/>
                <w:numId w:val="7"/>
              </w:numPr>
              <w:spacing w:before="0" w:after="0"/>
            </w:pPr>
            <w:proofErr w:type="gramStart"/>
            <w:r w:rsidRPr="0052434F">
              <w:t>la</w:t>
            </w:r>
            <w:proofErr w:type="gramEnd"/>
            <w:r w:rsidRPr="0052434F">
              <w:t xml:space="preserve"> gouvernance du droit de suite</w:t>
            </w:r>
            <w:r w:rsidR="0052434F">
              <w:t> :</w:t>
            </w:r>
            <w:r w:rsidRPr="0052434F">
              <w:t xml:space="preserve"> lois et </w:t>
            </w:r>
            <w:proofErr w:type="gramStart"/>
            <w:r w:rsidRPr="0052434F">
              <w:t>réglementations;</w:t>
            </w:r>
            <w:proofErr w:type="gramEnd"/>
          </w:p>
          <w:p w14:paraId="0F231B29" w14:textId="77777777" w:rsidR="00AB2DB3" w:rsidRPr="0052434F" w:rsidRDefault="00AB2DB3" w:rsidP="0052434F">
            <w:pPr>
              <w:pStyle w:val="ListParagraph"/>
              <w:numPr>
                <w:ilvl w:val="0"/>
                <w:numId w:val="7"/>
              </w:numPr>
              <w:spacing w:before="0" w:after="0"/>
            </w:pPr>
            <w:proofErr w:type="gramStart"/>
            <w:r w:rsidRPr="0052434F">
              <w:t>les</w:t>
            </w:r>
            <w:proofErr w:type="gramEnd"/>
            <w:r w:rsidRPr="0052434F">
              <w:t xml:space="preserve"> artistes </w:t>
            </w:r>
            <w:proofErr w:type="gramStart"/>
            <w:r w:rsidRPr="0052434F">
              <w:t>visuels;</w:t>
            </w:r>
            <w:proofErr w:type="gramEnd"/>
          </w:p>
          <w:p w14:paraId="50D5A50C" w14:textId="205101BB" w:rsidR="00AB2DB3" w:rsidRPr="0052434F" w:rsidRDefault="00AB2DB3" w:rsidP="0052434F">
            <w:pPr>
              <w:pStyle w:val="ListParagraph"/>
              <w:numPr>
                <w:ilvl w:val="0"/>
                <w:numId w:val="7"/>
              </w:numPr>
              <w:spacing w:before="0" w:after="0"/>
            </w:pPr>
            <w:proofErr w:type="gramStart"/>
            <w:r w:rsidRPr="0052434F">
              <w:lastRenderedPageBreak/>
              <w:t>le</w:t>
            </w:r>
            <w:proofErr w:type="gramEnd"/>
            <w:r w:rsidRPr="0052434F">
              <w:t xml:space="preserve"> marché de l</w:t>
            </w:r>
            <w:r w:rsidR="0052434F">
              <w:t>’</w:t>
            </w:r>
            <w:r w:rsidRPr="0052434F">
              <w:t xml:space="preserve">art, </w:t>
            </w:r>
            <w:r w:rsidR="0052434F">
              <w:t>y compris</w:t>
            </w:r>
            <w:r w:rsidRPr="0052434F">
              <w:t xml:space="preserve"> les professionnels du marché de l</w:t>
            </w:r>
            <w:r w:rsidR="0052434F">
              <w:t>’</w:t>
            </w:r>
            <w:r w:rsidRPr="0052434F">
              <w:t xml:space="preserve">art tels que les maisons de vente aux enchères, les galeries ou les collectionneurs </w:t>
            </w:r>
            <w:proofErr w:type="gramStart"/>
            <w:r w:rsidRPr="0052434F">
              <w:t>d</w:t>
            </w:r>
            <w:r w:rsidR="0052434F">
              <w:t>’</w:t>
            </w:r>
            <w:r w:rsidRPr="0052434F">
              <w:t>art;</w:t>
            </w:r>
            <w:proofErr w:type="gramEnd"/>
          </w:p>
          <w:p w14:paraId="2F299D32" w14:textId="77777777" w:rsidR="00AB2DB3" w:rsidRPr="0052434F" w:rsidRDefault="00AB2DB3" w:rsidP="0052434F">
            <w:pPr>
              <w:pStyle w:val="ListParagraph"/>
              <w:numPr>
                <w:ilvl w:val="0"/>
                <w:numId w:val="7"/>
              </w:numPr>
              <w:spacing w:before="0" w:after="0"/>
            </w:pPr>
            <w:proofErr w:type="gramStart"/>
            <w:r w:rsidRPr="0052434F">
              <w:t>les</w:t>
            </w:r>
            <w:proofErr w:type="gramEnd"/>
            <w:r w:rsidRPr="0052434F">
              <w:t xml:space="preserve"> organisations de gestion collective.</w:t>
            </w:r>
          </w:p>
          <w:p w14:paraId="6A8046DA" w14:textId="77777777" w:rsidR="00AB2DB3" w:rsidRPr="0052434F" w:rsidRDefault="00AB2DB3" w:rsidP="0052434F"/>
          <w:p w14:paraId="562B022B" w14:textId="531C6BAA" w:rsidR="00AB2DB3" w:rsidRPr="0052434F" w:rsidRDefault="00AB2DB3" w:rsidP="0052434F">
            <w:r w:rsidRPr="0052434F">
              <w:t>La feuille de route ci</w:t>
            </w:r>
            <w:r w:rsidR="002072FB">
              <w:noBreakHyphen/>
            </w:r>
            <w:r w:rsidRPr="0052434F">
              <w:t>après résume les mesures immédiates qui doivent être prises par chaque groupe de parties prenantes.</w:t>
            </w:r>
          </w:p>
          <w:p w14:paraId="4AFF17D1" w14:textId="77777777" w:rsidR="00AB2DB3" w:rsidRPr="0052434F" w:rsidRDefault="00AB2DB3" w:rsidP="0052434F"/>
        </w:tc>
      </w:tr>
    </w:tbl>
    <w:p w14:paraId="69854BBC" w14:textId="77777777" w:rsidR="00AB2DB3" w:rsidRPr="0052434F" w:rsidRDefault="00AB2DB3" w:rsidP="00EF69A4">
      <w:pPr>
        <w:spacing w:before="240"/>
        <w:rPr>
          <w:sz w:val="24"/>
          <w:szCs w:val="24"/>
          <w:lang w:val="fr-FR"/>
        </w:rPr>
      </w:pPr>
      <w:r w:rsidRPr="0052434F">
        <w:rPr>
          <w:b/>
          <w:sz w:val="24"/>
          <w:lang w:val="fr-FR"/>
        </w:rPr>
        <w:lastRenderedPageBreak/>
        <w:t>Mesures que les décideurs et les organismes de réglementation doivent prendre</w:t>
      </w:r>
    </w:p>
    <w:p w14:paraId="39B74895" w14:textId="77777777" w:rsidR="00AB2DB3" w:rsidRPr="0052434F" w:rsidRDefault="00AB2DB3" w:rsidP="0052434F">
      <w:pPr>
        <w:rPr>
          <w:lang w:val="fr-FR"/>
        </w:rPr>
      </w:pPr>
    </w:p>
    <w:p w14:paraId="47685B70" w14:textId="6B6BA9EA" w:rsidR="00AB2DB3" w:rsidRPr="0052434F" w:rsidRDefault="00AB2DB3" w:rsidP="002B31F3">
      <w:pPr>
        <w:pStyle w:val="ListParagraph"/>
        <w:numPr>
          <w:ilvl w:val="0"/>
          <w:numId w:val="8"/>
        </w:numPr>
        <w:spacing w:before="0" w:after="0"/>
        <w:ind w:left="567" w:hanging="567"/>
      </w:pPr>
      <w:r w:rsidRPr="0052434F">
        <w:t>Veiller à ce que les lois et réglementations abordent de manière adéquate les questions suivantes</w:t>
      </w:r>
      <w:r w:rsidR="0052434F">
        <w:t> :</w:t>
      </w:r>
    </w:p>
    <w:p w14:paraId="0988B354" w14:textId="77777777" w:rsidR="00AB2DB3" w:rsidRPr="00EF69A4" w:rsidRDefault="00AB2DB3" w:rsidP="00EF69A4">
      <w:pPr>
        <w:rPr>
          <w:lang w:val="fr-FR"/>
        </w:rPr>
      </w:pPr>
    </w:p>
    <w:p w14:paraId="5C54569C" w14:textId="4E6C0349" w:rsidR="00AB2DB3" w:rsidRPr="0052434F" w:rsidRDefault="00EF69A4" w:rsidP="00EF69A4">
      <w:pPr>
        <w:pStyle w:val="ListParagraph"/>
        <w:numPr>
          <w:ilvl w:val="1"/>
          <w:numId w:val="9"/>
        </w:numPr>
        <w:spacing w:before="0" w:after="0"/>
        <w:ind w:left="1134" w:hanging="567"/>
      </w:pPr>
      <w:proofErr w:type="gramStart"/>
      <w:r>
        <w:t>é</w:t>
      </w:r>
      <w:r w:rsidR="00AB2DB3" w:rsidRPr="0052434F">
        <w:t>tablir</w:t>
      </w:r>
      <w:proofErr w:type="gramEnd"/>
      <w:r w:rsidR="00AB2DB3" w:rsidRPr="0052434F">
        <w:t xml:space="preserve"> comme principe directeur que le droit de suite doit profiter aux artistes (par exemple, dans le préambule d</w:t>
      </w:r>
      <w:r w:rsidR="0052434F">
        <w:t>’</w:t>
      </w:r>
      <w:r w:rsidR="00AB2DB3" w:rsidRPr="0052434F">
        <w:t>une loi</w:t>
      </w:r>
      <w:proofErr w:type="gramStart"/>
      <w:r w:rsidR="00AB2DB3" w:rsidRPr="0052434F">
        <w:t>)</w:t>
      </w:r>
      <w:r>
        <w:t>;</w:t>
      </w:r>
      <w:proofErr w:type="gramEnd"/>
    </w:p>
    <w:p w14:paraId="2A8B883F" w14:textId="68B64C3E" w:rsidR="00AB2DB3" w:rsidRPr="0052434F" w:rsidRDefault="00EF69A4" w:rsidP="00EF69A4">
      <w:pPr>
        <w:pStyle w:val="ListParagraph"/>
        <w:numPr>
          <w:ilvl w:val="1"/>
          <w:numId w:val="9"/>
        </w:numPr>
        <w:spacing w:before="0" w:after="0"/>
        <w:ind w:left="1134" w:hanging="567"/>
      </w:pPr>
      <w:proofErr w:type="gramStart"/>
      <w:r>
        <w:t>d</w:t>
      </w:r>
      <w:r w:rsidR="00AB2DB3" w:rsidRPr="0052434F">
        <w:t>éfinir</w:t>
      </w:r>
      <w:proofErr w:type="gramEnd"/>
      <w:r w:rsidR="00AB2DB3" w:rsidRPr="0052434F">
        <w:t xml:space="preserve"> clairement, à l</w:t>
      </w:r>
      <w:r w:rsidR="0052434F">
        <w:t>’</w:t>
      </w:r>
      <w:r w:rsidR="00AB2DB3" w:rsidRPr="0052434F">
        <w:t>aide d</w:t>
      </w:r>
      <w:r w:rsidR="0052434F">
        <w:t>’</w:t>
      </w:r>
      <w:r w:rsidR="00AB2DB3" w:rsidRPr="0052434F">
        <w:t>exemples, les œuvres susceptibles d</w:t>
      </w:r>
      <w:r w:rsidR="0052434F">
        <w:t>’</w:t>
      </w:r>
      <w:r w:rsidR="00AB2DB3" w:rsidRPr="0052434F">
        <w:t xml:space="preserve">être couvertes par ce droit et désigner un interlocuteur à même de répondre aux questions relatives à son </w:t>
      </w:r>
      <w:proofErr w:type="gramStart"/>
      <w:r w:rsidR="00AB2DB3" w:rsidRPr="0052434F">
        <w:t>applicabilité;</w:t>
      </w:r>
      <w:proofErr w:type="gramEnd"/>
    </w:p>
    <w:p w14:paraId="45F6B01A" w14:textId="420E0428" w:rsidR="00AB2DB3" w:rsidRPr="0052434F" w:rsidRDefault="00EF69A4" w:rsidP="00EF69A4">
      <w:pPr>
        <w:pStyle w:val="ListParagraph"/>
        <w:numPr>
          <w:ilvl w:val="1"/>
          <w:numId w:val="9"/>
        </w:numPr>
        <w:spacing w:before="0" w:after="0"/>
        <w:ind w:left="1134" w:hanging="567"/>
      </w:pPr>
      <w:proofErr w:type="gramStart"/>
      <w:r>
        <w:t>d</w:t>
      </w:r>
      <w:r w:rsidR="00AB2DB3" w:rsidRPr="0052434F">
        <w:t>éfinir</w:t>
      </w:r>
      <w:proofErr w:type="gramEnd"/>
      <w:r w:rsidR="00AB2DB3" w:rsidRPr="0052434F">
        <w:t xml:space="preserve"> les reventes susceptibles d</w:t>
      </w:r>
      <w:r w:rsidR="0052434F">
        <w:t>’</w:t>
      </w:r>
      <w:r w:rsidR="00AB2DB3" w:rsidRPr="0052434F">
        <w:t>être couvertes</w:t>
      </w:r>
      <w:r w:rsidR="0052434F">
        <w:t> :</w:t>
      </w:r>
      <w:r w:rsidR="00AB2DB3" w:rsidRPr="0052434F">
        <w:t xml:space="preserve"> fixer un seuil de prix de vente pertinent et raisonnable dans le contexte du marché de l</w:t>
      </w:r>
      <w:r w:rsidR="0052434F">
        <w:t>’</w:t>
      </w:r>
      <w:r w:rsidR="00AB2DB3" w:rsidRPr="0052434F">
        <w:t xml:space="preserve">art </w:t>
      </w:r>
      <w:proofErr w:type="gramStart"/>
      <w:r w:rsidR="00AB2DB3" w:rsidRPr="0052434F">
        <w:t>local;</w:t>
      </w:r>
      <w:proofErr w:type="gramEnd"/>
    </w:p>
    <w:p w14:paraId="23CEBFC5" w14:textId="6F602586" w:rsidR="00AB2DB3" w:rsidRPr="0052434F" w:rsidRDefault="00EF69A4" w:rsidP="00EF69A4">
      <w:pPr>
        <w:pStyle w:val="ListParagraph"/>
        <w:numPr>
          <w:ilvl w:val="1"/>
          <w:numId w:val="9"/>
        </w:numPr>
        <w:spacing w:before="0" w:after="0"/>
        <w:ind w:left="1134" w:hanging="567"/>
      </w:pPr>
      <w:proofErr w:type="gramStart"/>
      <w:r>
        <w:t>d</w:t>
      </w:r>
      <w:r w:rsidR="00AB2DB3" w:rsidRPr="0052434F">
        <w:t>éfinir</w:t>
      </w:r>
      <w:proofErr w:type="gramEnd"/>
      <w:r w:rsidR="00AB2DB3" w:rsidRPr="0052434F">
        <w:t xml:space="preserve"> la durée du droit de </w:t>
      </w:r>
      <w:proofErr w:type="gramStart"/>
      <w:r w:rsidR="00AB2DB3" w:rsidRPr="0052434F">
        <w:t>suite;</w:t>
      </w:r>
      <w:proofErr w:type="gramEnd"/>
    </w:p>
    <w:p w14:paraId="4D9FB8BD" w14:textId="68AB38D4" w:rsidR="00AB2DB3" w:rsidRPr="0052434F" w:rsidRDefault="00EF69A4" w:rsidP="00EF69A4">
      <w:pPr>
        <w:pStyle w:val="ListParagraph"/>
        <w:numPr>
          <w:ilvl w:val="1"/>
          <w:numId w:val="9"/>
        </w:numPr>
        <w:spacing w:before="0" w:after="0"/>
        <w:ind w:left="1134" w:hanging="567"/>
      </w:pPr>
      <w:proofErr w:type="gramStart"/>
      <w:r>
        <w:t>é</w:t>
      </w:r>
      <w:r w:rsidR="00AB2DB3" w:rsidRPr="0052434F">
        <w:t>tablir</w:t>
      </w:r>
      <w:proofErr w:type="gramEnd"/>
      <w:r w:rsidR="00AB2DB3" w:rsidRPr="0052434F">
        <w:t xml:space="preserve"> des critères clairs pour l</w:t>
      </w:r>
      <w:r w:rsidR="0052434F">
        <w:t>’</w:t>
      </w:r>
      <w:r w:rsidR="00AB2DB3" w:rsidRPr="0052434F">
        <w:t>organisation, l</w:t>
      </w:r>
      <w:r w:rsidR="0052434F">
        <w:t>’</w:t>
      </w:r>
      <w:r w:rsidR="00AB2DB3" w:rsidRPr="0052434F">
        <w:t>agrément, la gouvernance et la supervision des organisations de gestion collective.</w:t>
      </w:r>
    </w:p>
    <w:p w14:paraId="037F1224" w14:textId="77777777" w:rsidR="00AB2DB3" w:rsidRPr="0052434F" w:rsidRDefault="00AB2DB3" w:rsidP="0052434F">
      <w:pPr>
        <w:rPr>
          <w:lang w:val="fr-FR"/>
        </w:rPr>
      </w:pPr>
    </w:p>
    <w:p w14:paraId="3CE79CA3" w14:textId="222A89C4" w:rsidR="00AB2DB3" w:rsidRPr="0052434F" w:rsidRDefault="00AB2DB3" w:rsidP="002B31F3">
      <w:pPr>
        <w:pStyle w:val="ListParagraph"/>
        <w:numPr>
          <w:ilvl w:val="0"/>
          <w:numId w:val="8"/>
        </w:numPr>
        <w:spacing w:before="0" w:after="0"/>
        <w:ind w:left="567" w:hanging="567"/>
      </w:pPr>
      <w:r w:rsidRPr="0052434F">
        <w:t>Dans les discussions de politique générale, envisager le droit de suite non seulement comme un avantage pour les artistes, mais aussi comme une stratégie contribuant au développement économique d</w:t>
      </w:r>
      <w:r w:rsidR="0052434F">
        <w:t>’</w:t>
      </w:r>
      <w:r w:rsidRPr="0052434F">
        <w:t>un pays.</w:t>
      </w:r>
    </w:p>
    <w:p w14:paraId="1C70DD7A" w14:textId="77777777" w:rsidR="00AB2DB3" w:rsidRPr="0052434F" w:rsidRDefault="00AB2DB3" w:rsidP="00EF69A4">
      <w:pPr>
        <w:rPr>
          <w:lang w:val="fr-FR"/>
        </w:rPr>
      </w:pPr>
    </w:p>
    <w:p w14:paraId="30ED5701" w14:textId="032204E5" w:rsidR="00AB2DB3" w:rsidRPr="0052434F" w:rsidRDefault="00AB2DB3" w:rsidP="002B31F3">
      <w:pPr>
        <w:pStyle w:val="ListParagraph"/>
        <w:numPr>
          <w:ilvl w:val="0"/>
          <w:numId w:val="8"/>
        </w:numPr>
        <w:spacing w:before="0" w:after="0"/>
        <w:ind w:left="567" w:hanging="567"/>
      </w:pPr>
      <w:r w:rsidRPr="0052434F">
        <w:t>Mettre en place des mesures d</w:t>
      </w:r>
      <w:r w:rsidR="0052434F">
        <w:t>’</w:t>
      </w:r>
      <w:r w:rsidRPr="0052434F">
        <w:t>incitation et des moyens de faire respecter les obligations liées au droit de suite pour encourager les professionnels du marché de l</w:t>
      </w:r>
      <w:r w:rsidR="0052434F">
        <w:t>’</w:t>
      </w:r>
      <w:r w:rsidRPr="0052434F">
        <w:t>art à s</w:t>
      </w:r>
      <w:r w:rsidR="0052434F">
        <w:t>’</w:t>
      </w:r>
      <w:r w:rsidRPr="0052434F">
        <w:t>y conformer.</w:t>
      </w:r>
    </w:p>
    <w:p w14:paraId="1C2F985C" w14:textId="77777777" w:rsidR="00AB2DB3" w:rsidRPr="0052434F" w:rsidRDefault="00AB2DB3" w:rsidP="0052434F">
      <w:pPr>
        <w:rPr>
          <w:lang w:val="fr-FR"/>
        </w:rPr>
      </w:pPr>
    </w:p>
    <w:p w14:paraId="68F4B07A" w14:textId="77777777" w:rsidR="00AB2DB3" w:rsidRPr="0052434F" w:rsidRDefault="00AB2DB3" w:rsidP="002B31F3">
      <w:pPr>
        <w:pStyle w:val="ListParagraph"/>
        <w:numPr>
          <w:ilvl w:val="0"/>
          <w:numId w:val="8"/>
        </w:numPr>
        <w:spacing w:before="0" w:after="0"/>
        <w:ind w:left="567" w:hanging="567"/>
      </w:pPr>
      <w:r w:rsidRPr="0052434F">
        <w:t>Établir des règles pour les cas où un artiste ne peut être identifié, afin de garantir que les redevances versées profitent tout de même à la communauté des artistes, par exemple en créant un fonds culturel.</w:t>
      </w:r>
    </w:p>
    <w:p w14:paraId="0E2314DC" w14:textId="77777777" w:rsidR="00AB2DB3" w:rsidRPr="0052434F" w:rsidRDefault="00AB2DB3" w:rsidP="0052434F">
      <w:pPr>
        <w:rPr>
          <w:lang w:val="fr-FR"/>
        </w:rPr>
      </w:pPr>
    </w:p>
    <w:tbl>
      <w:tblPr>
        <w:tblStyle w:val="TableGrid"/>
        <w:tblW w:w="0" w:type="auto"/>
        <w:tblLook w:val="04A0" w:firstRow="1" w:lastRow="0" w:firstColumn="1" w:lastColumn="0" w:noHBand="0" w:noVBand="1"/>
      </w:tblPr>
      <w:tblGrid>
        <w:gridCol w:w="9214"/>
      </w:tblGrid>
      <w:tr w:rsidR="00AB2DB3" w:rsidRPr="0052434F" w14:paraId="5D92E5C6" w14:textId="77777777" w:rsidTr="00237793">
        <w:tc>
          <w:tcPr>
            <w:tcW w:w="9214" w:type="dxa"/>
            <w:tcBorders>
              <w:top w:val="nil"/>
              <w:left w:val="nil"/>
              <w:bottom w:val="nil"/>
              <w:right w:val="nil"/>
            </w:tcBorders>
            <w:shd w:val="clear" w:color="auto" w:fill="FDE9D9" w:themeFill="accent6" w:themeFillTint="33"/>
          </w:tcPr>
          <w:p w14:paraId="72E3FBE8" w14:textId="24277295" w:rsidR="00AB2DB3" w:rsidRPr="0052434F" w:rsidRDefault="00AB2DB3" w:rsidP="0052434F">
            <w:pPr>
              <w:spacing w:before="120" w:after="120"/>
            </w:pPr>
            <w:r w:rsidRPr="0052434F">
              <w:t>Dans le cadre du processus d</w:t>
            </w:r>
            <w:r w:rsidR="0052434F">
              <w:t>’</w:t>
            </w:r>
            <w:r w:rsidRPr="0052434F">
              <w:t>élaboration des politiques et de la législation, l</w:t>
            </w:r>
            <w:r w:rsidR="0052434F">
              <w:t>’</w:t>
            </w:r>
            <w:r w:rsidRPr="0052434F">
              <w:rPr>
                <w:i/>
              </w:rPr>
              <w:t>Instrument de l</w:t>
            </w:r>
            <w:r w:rsidR="0052434F">
              <w:rPr>
                <w:i/>
              </w:rPr>
              <w:t>’</w:t>
            </w:r>
            <w:r w:rsidRPr="0052434F">
              <w:rPr>
                <w:i/>
              </w:rPr>
              <w:t>OMPI relatif au droit de suite</w:t>
            </w:r>
            <w:r w:rsidRPr="0052434F">
              <w:t xml:space="preserve"> </w:t>
            </w:r>
            <w:r w:rsidRPr="0052434F">
              <w:rPr>
                <w:i/>
              </w:rPr>
              <w:t>(parties I et II)</w:t>
            </w:r>
            <w:r w:rsidRPr="0052434F">
              <w:t xml:space="preserve"> peut constituer un outil d</w:t>
            </w:r>
            <w:r w:rsidR="0052434F">
              <w:t>’</w:t>
            </w:r>
            <w:r w:rsidRPr="0052434F">
              <w:t>orientation uti</w:t>
            </w:r>
            <w:r w:rsidR="002072FB" w:rsidRPr="0052434F">
              <w:t>le</w:t>
            </w:r>
            <w:r w:rsidR="002072FB">
              <w:t xml:space="preserve">.  </w:t>
            </w:r>
            <w:r w:rsidR="002072FB" w:rsidRPr="0052434F">
              <w:t>Vo</w:t>
            </w:r>
            <w:r w:rsidRPr="0052434F">
              <w:t>ir l</w:t>
            </w:r>
            <w:r w:rsidR="0052434F">
              <w:t>’</w:t>
            </w:r>
            <w:r w:rsidRPr="0052434F">
              <w:t>annexe.</w:t>
            </w:r>
          </w:p>
          <w:p w14:paraId="2F43F821" w14:textId="2B6BB030" w:rsidR="00AB2DB3" w:rsidRPr="0052434F" w:rsidRDefault="00AB2DB3" w:rsidP="0052434F">
            <w:pPr>
              <w:spacing w:before="120" w:after="120"/>
            </w:pPr>
            <w:r w:rsidRPr="0052434F">
              <w:t>Dans le cadre des débats sur la gestion du droit de suite, plusieurs participants ont souligné les avantages d</w:t>
            </w:r>
            <w:r w:rsidR="0052434F">
              <w:t>’</w:t>
            </w:r>
            <w:r w:rsidRPr="0052434F">
              <w:t xml:space="preserve">un régime de gestion collective obligatoire. </w:t>
            </w:r>
            <w:r w:rsidR="00444EA7">
              <w:t xml:space="preserve"> </w:t>
            </w:r>
          </w:p>
        </w:tc>
      </w:tr>
    </w:tbl>
    <w:p w14:paraId="6785CA53" w14:textId="77777777" w:rsidR="00AB2DB3" w:rsidRPr="0052434F" w:rsidRDefault="00AB2DB3" w:rsidP="0052434F">
      <w:pPr>
        <w:rPr>
          <w:lang w:val="fr-FR"/>
        </w:rPr>
      </w:pPr>
    </w:p>
    <w:p w14:paraId="12AFB37D" w14:textId="77777777" w:rsidR="00AB2DB3" w:rsidRPr="0052434F" w:rsidRDefault="00AB2DB3" w:rsidP="0052434F">
      <w:pPr>
        <w:rPr>
          <w:lang w:val="fr-FR"/>
        </w:rPr>
      </w:pPr>
    </w:p>
    <w:p w14:paraId="79857402" w14:textId="77777777" w:rsidR="00AB2DB3" w:rsidRPr="0052434F" w:rsidRDefault="00AB2DB3" w:rsidP="0052434F">
      <w:pPr>
        <w:rPr>
          <w:lang w:val="fr-FR"/>
        </w:rPr>
      </w:pPr>
    </w:p>
    <w:p w14:paraId="0FC07A60" w14:textId="77777777" w:rsidR="00AB2DB3" w:rsidRPr="0052434F" w:rsidRDefault="00AB2DB3" w:rsidP="0052434F">
      <w:pPr>
        <w:rPr>
          <w:b/>
          <w:bCs/>
          <w:sz w:val="24"/>
          <w:szCs w:val="24"/>
          <w:lang w:val="fr-FR"/>
        </w:rPr>
      </w:pPr>
      <w:r w:rsidRPr="0052434F">
        <w:rPr>
          <w:b/>
          <w:sz w:val="24"/>
          <w:lang w:val="fr-FR"/>
        </w:rPr>
        <w:t>Mesures que les artistes visuels doivent prendre</w:t>
      </w:r>
    </w:p>
    <w:p w14:paraId="66235BE9" w14:textId="77777777" w:rsidR="00AB2DB3" w:rsidRPr="0052434F" w:rsidRDefault="00AB2DB3" w:rsidP="0052434F">
      <w:pPr>
        <w:rPr>
          <w:lang w:val="fr-FR"/>
        </w:rPr>
      </w:pPr>
    </w:p>
    <w:p w14:paraId="7589EBD5" w14:textId="5350A688" w:rsidR="00AB2DB3" w:rsidRPr="0052434F" w:rsidRDefault="00AB2DB3" w:rsidP="002B31F3">
      <w:pPr>
        <w:pStyle w:val="ListParagraph"/>
        <w:numPr>
          <w:ilvl w:val="0"/>
          <w:numId w:val="14"/>
        </w:numPr>
        <w:spacing w:before="0" w:after="0"/>
        <w:ind w:left="567" w:hanging="567"/>
      </w:pPr>
      <w:r w:rsidRPr="0052434F">
        <w:t>Veiller à ce que les œuvres soient signées, numérotées si elles font partie d</w:t>
      </w:r>
      <w:r w:rsidR="0052434F">
        <w:t>’</w:t>
      </w:r>
      <w:r w:rsidRPr="0052434F">
        <w:t>une série, et correctement consignées.</w:t>
      </w:r>
    </w:p>
    <w:p w14:paraId="472943B0" w14:textId="77777777" w:rsidR="00AB2DB3" w:rsidRPr="0052434F" w:rsidRDefault="00AB2DB3" w:rsidP="002B31F3">
      <w:pPr>
        <w:rPr>
          <w:lang w:val="fr-FR"/>
        </w:rPr>
      </w:pPr>
    </w:p>
    <w:p w14:paraId="151693C7" w14:textId="6ED4A446" w:rsidR="00AB2DB3" w:rsidRPr="0052434F" w:rsidRDefault="00AB2DB3" w:rsidP="002B31F3">
      <w:pPr>
        <w:pStyle w:val="ListParagraph"/>
        <w:numPr>
          <w:ilvl w:val="0"/>
          <w:numId w:val="14"/>
        </w:numPr>
        <w:spacing w:before="0" w:after="0"/>
        <w:ind w:left="567" w:hanging="567"/>
      </w:pPr>
      <w:r w:rsidRPr="0052434F">
        <w:t>Mettre en place des méthodes d</w:t>
      </w:r>
      <w:r w:rsidR="0052434F">
        <w:t>’</w:t>
      </w:r>
      <w:r w:rsidRPr="0052434F">
        <w:t>authentification des œuvres d</w:t>
      </w:r>
      <w:r w:rsidR="0052434F">
        <w:t>’</w:t>
      </w:r>
      <w:r w:rsidRPr="0052434F">
        <w:t>art, par exemple des certificats d</w:t>
      </w:r>
      <w:r w:rsidR="0052434F">
        <w:t>’</w:t>
      </w:r>
      <w:r w:rsidRPr="0052434F">
        <w:t>authenticité.</w:t>
      </w:r>
    </w:p>
    <w:p w14:paraId="1E2FEECB" w14:textId="77777777" w:rsidR="00AB2DB3" w:rsidRPr="0052434F" w:rsidRDefault="00AB2DB3" w:rsidP="002B31F3">
      <w:pPr>
        <w:rPr>
          <w:lang w:val="fr-FR"/>
        </w:rPr>
      </w:pPr>
    </w:p>
    <w:p w14:paraId="2FE8AFBF" w14:textId="77777777" w:rsidR="00AB2DB3" w:rsidRPr="0052434F" w:rsidRDefault="00AB2DB3" w:rsidP="002B31F3">
      <w:pPr>
        <w:pStyle w:val="ListParagraph"/>
        <w:numPr>
          <w:ilvl w:val="0"/>
          <w:numId w:val="14"/>
        </w:numPr>
        <w:spacing w:before="0" w:after="0"/>
        <w:ind w:left="567" w:hanging="567"/>
      </w:pPr>
      <w:r w:rsidRPr="0052434F">
        <w:lastRenderedPageBreak/>
        <w:t xml:space="preserve">Participer activement aux fédérations, associations, réseaux ou bases de </w:t>
      </w:r>
      <w:proofErr w:type="gramStart"/>
      <w:r w:rsidRPr="0052434F">
        <w:t>données existants</w:t>
      </w:r>
      <w:proofErr w:type="gramEnd"/>
      <w:r w:rsidRPr="0052434F">
        <w:t xml:space="preserve"> afin de faciliter la prise de contact avec les bénéficiaires potentiels au sein de la communauté des artistes et leur participation.</w:t>
      </w:r>
    </w:p>
    <w:p w14:paraId="0CAB0F9A" w14:textId="77777777" w:rsidR="00AB2DB3" w:rsidRPr="0052434F" w:rsidRDefault="00AB2DB3" w:rsidP="0052434F">
      <w:pPr>
        <w:rPr>
          <w:lang w:val="fr-FR"/>
        </w:rPr>
      </w:pPr>
    </w:p>
    <w:p w14:paraId="7890F8C4" w14:textId="77777777" w:rsidR="0052434F" w:rsidRDefault="00AB2DB3" w:rsidP="002B31F3">
      <w:pPr>
        <w:pStyle w:val="ListParagraph"/>
        <w:numPr>
          <w:ilvl w:val="0"/>
          <w:numId w:val="14"/>
        </w:numPr>
        <w:spacing w:before="0" w:after="0"/>
        <w:ind w:left="567" w:hanging="567"/>
      </w:pPr>
      <w:r w:rsidRPr="0052434F">
        <w:t>Contribuer à la sensibilisation au droit de suite au sein de la communauté des artistes.</w:t>
      </w:r>
    </w:p>
    <w:p w14:paraId="33CE957E" w14:textId="57F54CD2" w:rsidR="00AB2DB3" w:rsidRPr="00DE6CA0" w:rsidRDefault="00AB2DB3" w:rsidP="00DE6CA0">
      <w:pPr>
        <w:rPr>
          <w:lang w:val="fr-FR"/>
        </w:rPr>
      </w:pPr>
    </w:p>
    <w:p w14:paraId="7A1B9E41" w14:textId="70BAFAF6" w:rsidR="0052434F" w:rsidRDefault="00AB2DB3" w:rsidP="002B31F3">
      <w:pPr>
        <w:pStyle w:val="ListParagraph"/>
        <w:numPr>
          <w:ilvl w:val="0"/>
          <w:numId w:val="14"/>
        </w:numPr>
        <w:spacing w:before="0" w:after="0"/>
        <w:ind w:left="567" w:hanging="567"/>
      </w:pPr>
      <w:r w:rsidRPr="0052434F">
        <w:t>Collaborer avec le marché de l</w:t>
      </w:r>
      <w:r w:rsidR="0052434F">
        <w:t>’</w:t>
      </w:r>
      <w:r w:rsidRPr="0052434F">
        <w:t>art</w:t>
      </w:r>
      <w:r w:rsidR="0052434F">
        <w:t> :</w:t>
      </w:r>
      <w:r w:rsidRPr="0052434F">
        <w:t xml:space="preserve"> identifier les acteurs clés ou les fédérations susceptibles de servir de principaux points de conta</w:t>
      </w:r>
      <w:r w:rsidR="002072FB" w:rsidRPr="0052434F">
        <w:t>ct</w:t>
      </w:r>
      <w:r w:rsidR="002072FB">
        <w:t xml:space="preserve">.  </w:t>
      </w:r>
      <w:r w:rsidR="002072FB" w:rsidRPr="0052434F">
        <w:t>Fa</w:t>
      </w:r>
      <w:r w:rsidRPr="0052434F">
        <w:t>voriser les partenariats à long terme en veillant à ce qu</w:t>
      </w:r>
      <w:r w:rsidR="0052434F">
        <w:t>’</w:t>
      </w:r>
      <w:r w:rsidRPr="0052434F">
        <w:t>ils participent au processus et s</w:t>
      </w:r>
      <w:r w:rsidR="0052434F">
        <w:t>’</w:t>
      </w:r>
      <w:r w:rsidRPr="0052434F">
        <w:t>y sentent pleinement associés.</w:t>
      </w:r>
    </w:p>
    <w:p w14:paraId="086A7BA8" w14:textId="6CA4674B" w:rsidR="00AB2DB3" w:rsidRPr="0052434F" w:rsidRDefault="00AB2DB3" w:rsidP="0052434F">
      <w:pPr>
        <w:rPr>
          <w:lang w:val="fr-FR"/>
        </w:rPr>
      </w:pPr>
    </w:p>
    <w:p w14:paraId="7816A17D" w14:textId="6472E328" w:rsidR="00AB2DB3" w:rsidRPr="0052434F" w:rsidRDefault="00AB2DB3" w:rsidP="002B31F3">
      <w:pPr>
        <w:pStyle w:val="ListParagraph"/>
        <w:numPr>
          <w:ilvl w:val="0"/>
          <w:numId w:val="14"/>
        </w:numPr>
        <w:spacing w:before="0" w:after="0"/>
        <w:ind w:left="567" w:hanging="567"/>
      </w:pPr>
      <w:r w:rsidRPr="0052434F">
        <w:t>En cas de succession, définir des règles claires et simples concernant les volontés de l</w:t>
      </w:r>
      <w:r w:rsidR="0052434F">
        <w:t>’</w:t>
      </w:r>
      <w:r w:rsidRPr="0052434F">
        <w:t>artiste et inclure le droit de suite dans la planification successorale.</w:t>
      </w:r>
    </w:p>
    <w:p w14:paraId="457F79DA" w14:textId="77777777" w:rsidR="00AB2DB3" w:rsidRPr="0052434F" w:rsidRDefault="00AB2DB3" w:rsidP="0052434F">
      <w:pPr>
        <w:rPr>
          <w:lang w:val="fr-FR"/>
        </w:rPr>
      </w:pPr>
    </w:p>
    <w:tbl>
      <w:tblPr>
        <w:tblStyle w:val="TableGrid"/>
        <w:tblW w:w="0" w:type="auto"/>
        <w:tblLook w:val="04A0" w:firstRow="1" w:lastRow="0" w:firstColumn="1" w:lastColumn="0" w:noHBand="0" w:noVBand="1"/>
      </w:tblPr>
      <w:tblGrid>
        <w:gridCol w:w="9214"/>
      </w:tblGrid>
      <w:tr w:rsidR="00AB2DB3" w:rsidRPr="0052434F" w14:paraId="3313822C" w14:textId="77777777" w:rsidTr="00237793">
        <w:tc>
          <w:tcPr>
            <w:tcW w:w="9214" w:type="dxa"/>
            <w:tcBorders>
              <w:top w:val="nil"/>
              <w:left w:val="nil"/>
              <w:bottom w:val="nil"/>
              <w:right w:val="nil"/>
            </w:tcBorders>
            <w:shd w:val="clear" w:color="auto" w:fill="FDE9D9" w:themeFill="accent6" w:themeFillTint="33"/>
          </w:tcPr>
          <w:p w14:paraId="4672898B" w14:textId="7556A232" w:rsidR="00AB2DB3" w:rsidRPr="0052434F" w:rsidRDefault="00AB2DB3" w:rsidP="0052434F">
            <w:pPr>
              <w:spacing w:before="120" w:after="120"/>
            </w:pPr>
            <w:r w:rsidRPr="0052434F">
              <w:t>En tant qu</w:t>
            </w:r>
            <w:r w:rsidR="0052434F">
              <w:t>’</w:t>
            </w:r>
            <w:r w:rsidRPr="0052434F">
              <w:t>artiste, vous pouvez prendre les devants et vous informer sur la propriété intellectuelle à l</w:t>
            </w:r>
            <w:r w:rsidR="0052434F">
              <w:t>’</w:t>
            </w:r>
            <w:r w:rsidRPr="0052434F">
              <w:t>aide d</w:t>
            </w:r>
            <w:r w:rsidR="0052434F">
              <w:t>’</w:t>
            </w:r>
            <w:r w:rsidRPr="0052434F">
              <w:t xml:space="preserve">outils tels que la </w:t>
            </w:r>
            <w:proofErr w:type="spellStart"/>
            <w:r w:rsidRPr="0052434F">
              <w:t>plateforme</w:t>
            </w:r>
            <w:proofErr w:type="spellEnd"/>
            <w:r w:rsidRPr="0052434F">
              <w:t xml:space="preserve"> d</w:t>
            </w:r>
            <w:r w:rsidR="0052434F">
              <w:t>’</w:t>
            </w:r>
            <w:r w:rsidRPr="0052434F">
              <w:t xml:space="preserve">apprentissage </w:t>
            </w:r>
            <w:r w:rsidRPr="0052434F">
              <w:rPr>
                <w:i/>
              </w:rPr>
              <w:t>CLIP</w:t>
            </w:r>
            <w:r w:rsidRPr="0052434F">
              <w:t xml:space="preserve"> (</w:t>
            </w:r>
            <w:proofErr w:type="spellStart"/>
            <w:r w:rsidRPr="0052434F">
              <w:rPr>
                <w:i/>
              </w:rPr>
              <w:t>Creators</w:t>
            </w:r>
            <w:proofErr w:type="spellEnd"/>
            <w:r w:rsidRPr="0052434F">
              <w:rPr>
                <w:i/>
              </w:rPr>
              <w:t xml:space="preserve"> Learn </w:t>
            </w:r>
            <w:proofErr w:type="spellStart"/>
            <w:r w:rsidRPr="0052434F">
              <w:rPr>
                <w:i/>
              </w:rPr>
              <w:t>Intellectual</w:t>
            </w:r>
            <w:proofErr w:type="spellEnd"/>
            <w:r w:rsidRPr="0052434F">
              <w:rPr>
                <w:i/>
              </w:rPr>
              <w:t xml:space="preserve"> </w:t>
            </w:r>
            <w:proofErr w:type="spellStart"/>
            <w:r w:rsidRPr="0052434F">
              <w:rPr>
                <w:i/>
              </w:rPr>
              <w:t>Property</w:t>
            </w:r>
            <w:proofErr w:type="spellEnd"/>
            <w:r w:rsidRPr="0052434F">
              <w:t>) (</w:t>
            </w:r>
            <w:hyperlink r:id="rId10" w:history="1">
              <w:r w:rsidRPr="0052434F">
                <w:rPr>
                  <w:rStyle w:val="Hyperlink"/>
                </w:rPr>
                <w:t>https://goclip.org/fr</w:t>
              </w:r>
            </w:hyperlink>
            <w:r w:rsidRPr="0052434F">
              <w:t xml:space="preserve">). </w:t>
            </w:r>
            <w:r w:rsidR="00444EA7">
              <w:t xml:space="preserve"> </w:t>
            </w:r>
            <w:r w:rsidRPr="0052434F">
              <w:t xml:space="preserve">Une nouvelle édition consacrée aux arts visuels sera disponible en </w:t>
            </w:r>
            <w:r w:rsidR="0052434F" w:rsidRPr="0052434F">
              <w:t>octobre</w:t>
            </w:r>
            <w:r w:rsidR="0052434F">
              <w:t> </w:t>
            </w:r>
            <w:r w:rsidR="0052434F" w:rsidRPr="0052434F">
              <w:t>20</w:t>
            </w:r>
            <w:r w:rsidRPr="0052434F">
              <w:t xml:space="preserve">26. </w:t>
            </w:r>
            <w:r w:rsidR="00444EA7">
              <w:t xml:space="preserve"> </w:t>
            </w:r>
          </w:p>
        </w:tc>
      </w:tr>
    </w:tbl>
    <w:p w14:paraId="0E75A250" w14:textId="77777777" w:rsidR="00AB2DB3" w:rsidRPr="0052434F" w:rsidRDefault="00AB2DB3" w:rsidP="0052434F">
      <w:pPr>
        <w:rPr>
          <w:szCs w:val="22"/>
          <w:lang w:val="fr-FR"/>
        </w:rPr>
      </w:pPr>
    </w:p>
    <w:p w14:paraId="51E07FBF" w14:textId="77777777" w:rsidR="00AB2DB3" w:rsidRPr="0052434F" w:rsidRDefault="00AB2DB3" w:rsidP="0052434F">
      <w:pPr>
        <w:rPr>
          <w:szCs w:val="22"/>
          <w:lang w:val="fr-FR"/>
        </w:rPr>
      </w:pPr>
    </w:p>
    <w:p w14:paraId="2C91B46E" w14:textId="77777777" w:rsidR="00AB2DB3" w:rsidRPr="0052434F" w:rsidRDefault="00AB2DB3" w:rsidP="0052434F">
      <w:pPr>
        <w:rPr>
          <w:szCs w:val="22"/>
          <w:lang w:val="fr-FR"/>
        </w:rPr>
      </w:pPr>
    </w:p>
    <w:p w14:paraId="6E930DAF" w14:textId="6C0FBD57" w:rsidR="0052434F" w:rsidRDefault="00AB2DB3" w:rsidP="0052434F">
      <w:pPr>
        <w:rPr>
          <w:b/>
          <w:sz w:val="24"/>
          <w:lang w:val="fr-FR"/>
        </w:rPr>
      </w:pPr>
      <w:r w:rsidRPr="0052434F">
        <w:rPr>
          <w:b/>
          <w:sz w:val="24"/>
          <w:lang w:val="fr-FR"/>
        </w:rPr>
        <w:t>Mesures que les professionnels du marché de l</w:t>
      </w:r>
      <w:r w:rsidR="0052434F">
        <w:rPr>
          <w:b/>
          <w:sz w:val="24"/>
          <w:lang w:val="fr-FR"/>
        </w:rPr>
        <w:t>’</w:t>
      </w:r>
      <w:r w:rsidRPr="0052434F">
        <w:rPr>
          <w:b/>
          <w:sz w:val="24"/>
          <w:lang w:val="fr-FR"/>
        </w:rPr>
        <w:t>art doivent prendre</w:t>
      </w:r>
    </w:p>
    <w:p w14:paraId="289CA319" w14:textId="1C6F22B4" w:rsidR="00AB2DB3" w:rsidRPr="0052434F" w:rsidRDefault="00AB2DB3" w:rsidP="0052434F">
      <w:pPr>
        <w:rPr>
          <w:szCs w:val="22"/>
          <w:lang w:val="fr-FR"/>
        </w:rPr>
      </w:pPr>
    </w:p>
    <w:p w14:paraId="1C29CA3B" w14:textId="4EC01D67" w:rsidR="00AB2DB3" w:rsidRPr="0052434F" w:rsidRDefault="00AB2DB3" w:rsidP="002B31F3">
      <w:pPr>
        <w:pStyle w:val="ListParagraph"/>
        <w:numPr>
          <w:ilvl w:val="0"/>
          <w:numId w:val="13"/>
        </w:numPr>
        <w:spacing w:before="0" w:after="0"/>
        <w:ind w:left="567" w:hanging="567"/>
      </w:pPr>
      <w:r w:rsidRPr="0052434F">
        <w:t>Informer leurs clients des avantages liés au droit de suite</w:t>
      </w:r>
      <w:r w:rsidR="00DE6CA0">
        <w:t>.</w:t>
      </w:r>
    </w:p>
    <w:p w14:paraId="0A3FEC3D" w14:textId="77777777" w:rsidR="00AB2DB3" w:rsidRPr="00DE6CA0" w:rsidRDefault="00AB2DB3" w:rsidP="00EF69A4">
      <w:pPr>
        <w:rPr>
          <w:szCs w:val="22"/>
          <w:lang w:val="fr-FR"/>
        </w:rPr>
      </w:pPr>
    </w:p>
    <w:p w14:paraId="5156997B" w14:textId="77777777" w:rsidR="00AB2DB3" w:rsidRPr="0052434F" w:rsidRDefault="00AB2DB3" w:rsidP="002B31F3">
      <w:pPr>
        <w:pStyle w:val="ListParagraph"/>
        <w:numPr>
          <w:ilvl w:val="0"/>
          <w:numId w:val="13"/>
        </w:numPr>
        <w:spacing w:before="0" w:after="0"/>
        <w:ind w:left="567" w:hanging="567"/>
      </w:pPr>
      <w:r w:rsidRPr="0052434F">
        <w:t>Respecter les obligations découlant du droit de suite.</w:t>
      </w:r>
    </w:p>
    <w:p w14:paraId="024ADBCE" w14:textId="77777777" w:rsidR="00AB2DB3" w:rsidRPr="0052434F" w:rsidRDefault="00AB2DB3" w:rsidP="00EF69A4">
      <w:pPr>
        <w:rPr>
          <w:szCs w:val="22"/>
          <w:lang w:val="fr-FR"/>
        </w:rPr>
      </w:pPr>
    </w:p>
    <w:p w14:paraId="0CDF1254" w14:textId="77777777" w:rsidR="00AB2DB3" w:rsidRPr="0052434F" w:rsidRDefault="00AB2DB3" w:rsidP="002B31F3">
      <w:pPr>
        <w:pStyle w:val="ListParagraph"/>
        <w:numPr>
          <w:ilvl w:val="0"/>
          <w:numId w:val="13"/>
        </w:numPr>
        <w:spacing w:before="0" w:after="0"/>
        <w:ind w:left="567" w:hanging="567"/>
      </w:pPr>
      <w:r w:rsidRPr="0052434F">
        <w:t>Formaliser les transactions au moyen de contrats écrits et des documents appropriés.</w:t>
      </w:r>
    </w:p>
    <w:p w14:paraId="64CEE59A" w14:textId="77777777" w:rsidR="00AB2DB3" w:rsidRPr="00DE6CA0" w:rsidRDefault="00AB2DB3" w:rsidP="00EF69A4">
      <w:pPr>
        <w:rPr>
          <w:szCs w:val="22"/>
          <w:lang w:val="fr-FR"/>
        </w:rPr>
      </w:pPr>
    </w:p>
    <w:p w14:paraId="704B218B" w14:textId="72B85390" w:rsidR="00AB2DB3" w:rsidRPr="0052434F" w:rsidRDefault="00AB2DB3" w:rsidP="002B31F3">
      <w:pPr>
        <w:pStyle w:val="ListParagraph"/>
        <w:numPr>
          <w:ilvl w:val="0"/>
          <w:numId w:val="13"/>
        </w:numPr>
        <w:spacing w:before="0" w:after="0"/>
        <w:ind w:left="567" w:hanging="567"/>
      </w:pPr>
      <w:r w:rsidRPr="0052434F">
        <w:t>Veiller à percevoir les redevances au moment de la vente</w:t>
      </w:r>
      <w:r w:rsidR="00DE6CA0">
        <w:t>.</w:t>
      </w:r>
    </w:p>
    <w:p w14:paraId="0D52D5E6" w14:textId="77777777" w:rsidR="00AB2DB3" w:rsidRPr="00DE6CA0" w:rsidRDefault="00AB2DB3" w:rsidP="00EF69A4">
      <w:pPr>
        <w:rPr>
          <w:szCs w:val="22"/>
          <w:lang w:val="fr-FR"/>
        </w:rPr>
      </w:pPr>
    </w:p>
    <w:p w14:paraId="785054FB" w14:textId="77777777" w:rsidR="0052434F" w:rsidRDefault="00AB2DB3" w:rsidP="002B31F3">
      <w:pPr>
        <w:pStyle w:val="ListParagraph"/>
        <w:numPr>
          <w:ilvl w:val="0"/>
          <w:numId w:val="13"/>
        </w:numPr>
        <w:spacing w:before="0" w:after="0"/>
        <w:ind w:left="567" w:hanging="567"/>
      </w:pPr>
      <w:r w:rsidRPr="0052434F">
        <w:t>Tenir des registres précis des reventes et des transactions et, le cas échéant, communiquer les reventes et les informations connexes (relevés bancaires, historique des ventes, etc.) aux artistes et aux organisations de gestion collective.</w:t>
      </w:r>
    </w:p>
    <w:p w14:paraId="03A3632B" w14:textId="1093271E" w:rsidR="00AB2DB3" w:rsidRPr="0052434F" w:rsidRDefault="00AB2DB3" w:rsidP="0052434F">
      <w:pPr>
        <w:rPr>
          <w:szCs w:val="22"/>
          <w:lang w:val="fr-FR"/>
        </w:rPr>
      </w:pPr>
    </w:p>
    <w:p w14:paraId="2E202158" w14:textId="4782E77C" w:rsidR="00AB2DB3" w:rsidRPr="0052434F" w:rsidRDefault="00AB2DB3" w:rsidP="002B31F3">
      <w:pPr>
        <w:pStyle w:val="ListParagraph"/>
        <w:numPr>
          <w:ilvl w:val="0"/>
          <w:numId w:val="13"/>
        </w:numPr>
        <w:spacing w:before="0" w:after="0"/>
        <w:ind w:left="567" w:hanging="567"/>
      </w:pPr>
      <w:r w:rsidRPr="0052434F">
        <w:t>Établir un code de déontologie pour l</w:t>
      </w:r>
      <w:r w:rsidR="0052434F">
        <w:t>’</w:t>
      </w:r>
      <w:r w:rsidRPr="0052434F">
        <w:t>ensemble du marché afin de renforcer la confiance entre les différents acteurs et de favoriser un système de droit de suite équitable.</w:t>
      </w:r>
    </w:p>
    <w:p w14:paraId="21ABF3B4" w14:textId="77777777" w:rsidR="00AB2DB3" w:rsidRPr="00DE6CA0" w:rsidRDefault="00AB2DB3" w:rsidP="00EF69A4">
      <w:pPr>
        <w:rPr>
          <w:szCs w:val="22"/>
          <w:lang w:val="fr-FR"/>
        </w:rPr>
      </w:pPr>
    </w:p>
    <w:p w14:paraId="5CB105D9" w14:textId="77777777" w:rsidR="00AB2DB3" w:rsidRPr="0052434F" w:rsidRDefault="00AB2DB3" w:rsidP="002B31F3">
      <w:pPr>
        <w:pStyle w:val="ListParagraph"/>
        <w:numPr>
          <w:ilvl w:val="0"/>
          <w:numId w:val="13"/>
        </w:numPr>
        <w:spacing w:before="0" w:after="0"/>
        <w:ind w:left="567" w:hanging="567"/>
      </w:pPr>
      <w:r w:rsidRPr="0052434F">
        <w:t>Favoriser un partenariat à long terme avec la communauté des artistes et les organisations de gestion collective.</w:t>
      </w:r>
    </w:p>
    <w:p w14:paraId="0E3A3E49" w14:textId="77777777" w:rsidR="00AB2DB3" w:rsidRPr="0052434F" w:rsidRDefault="00AB2DB3" w:rsidP="0052434F">
      <w:pPr>
        <w:rPr>
          <w:szCs w:val="22"/>
          <w:lang w:val="fr-FR"/>
        </w:rPr>
      </w:pPr>
    </w:p>
    <w:p w14:paraId="6B7431EF" w14:textId="77777777" w:rsidR="00AB2DB3" w:rsidRPr="0052434F" w:rsidRDefault="00AB2DB3" w:rsidP="0052434F">
      <w:pPr>
        <w:rPr>
          <w:szCs w:val="22"/>
          <w:lang w:val="fr-FR"/>
        </w:rPr>
      </w:pPr>
    </w:p>
    <w:p w14:paraId="63AC9F99" w14:textId="77777777" w:rsidR="00AB2DB3" w:rsidRPr="0052434F" w:rsidRDefault="00AB2DB3" w:rsidP="0052434F">
      <w:pPr>
        <w:rPr>
          <w:szCs w:val="22"/>
          <w:lang w:val="fr-FR"/>
        </w:rPr>
      </w:pPr>
    </w:p>
    <w:p w14:paraId="6DAF69A4" w14:textId="77777777" w:rsidR="0052434F" w:rsidRDefault="00AB2DB3" w:rsidP="0052434F">
      <w:pPr>
        <w:rPr>
          <w:b/>
          <w:sz w:val="24"/>
          <w:lang w:val="fr-FR"/>
        </w:rPr>
      </w:pPr>
      <w:r w:rsidRPr="0052434F">
        <w:rPr>
          <w:b/>
          <w:sz w:val="24"/>
          <w:lang w:val="fr-FR"/>
        </w:rPr>
        <w:t>Mesures que les organisations de gestion collective doivent prendre</w:t>
      </w:r>
    </w:p>
    <w:p w14:paraId="1F077B14" w14:textId="3CD90C08" w:rsidR="00AB2DB3" w:rsidRPr="0052434F" w:rsidRDefault="00AB2DB3" w:rsidP="0052434F">
      <w:pPr>
        <w:rPr>
          <w:lang w:val="fr-FR"/>
        </w:rPr>
      </w:pPr>
    </w:p>
    <w:p w14:paraId="7D095E24" w14:textId="09571570" w:rsidR="00AB2DB3" w:rsidRPr="0052434F" w:rsidRDefault="00AB2DB3" w:rsidP="002B31F3">
      <w:pPr>
        <w:pStyle w:val="ListParagraph"/>
        <w:numPr>
          <w:ilvl w:val="0"/>
          <w:numId w:val="12"/>
        </w:numPr>
        <w:spacing w:before="0" w:after="0"/>
        <w:ind w:left="567" w:hanging="567"/>
      </w:pPr>
      <w:r w:rsidRPr="0052434F">
        <w:t>Au besoin, modifier les statuts des organisations de gestion collective existantes afin d</w:t>
      </w:r>
      <w:r w:rsidR="0052434F">
        <w:t>’</w:t>
      </w:r>
      <w:r w:rsidRPr="0052434F">
        <w:t>y</w:t>
      </w:r>
      <w:r w:rsidR="00403038">
        <w:t> </w:t>
      </w:r>
      <w:r w:rsidRPr="0052434F">
        <w:t>inclure les arts visuels ou, le cas échéant, créer une organisation de gestion collective spécifique pour ces œuvres.</w:t>
      </w:r>
    </w:p>
    <w:p w14:paraId="6B6D8DE7" w14:textId="77777777" w:rsidR="00AB2DB3" w:rsidRPr="0052434F" w:rsidRDefault="00AB2DB3" w:rsidP="00403038">
      <w:pPr>
        <w:rPr>
          <w:lang w:val="fr-FR"/>
        </w:rPr>
      </w:pPr>
    </w:p>
    <w:p w14:paraId="64E9B673" w14:textId="13296BE1" w:rsidR="00AB2DB3" w:rsidRPr="0052434F" w:rsidRDefault="00AB2DB3" w:rsidP="002B31F3">
      <w:pPr>
        <w:pStyle w:val="ListParagraph"/>
        <w:numPr>
          <w:ilvl w:val="0"/>
          <w:numId w:val="12"/>
        </w:numPr>
        <w:spacing w:before="0" w:after="0"/>
        <w:ind w:left="567" w:hanging="567"/>
      </w:pPr>
      <w:r w:rsidRPr="0052434F">
        <w:t>Étudier la possibilité de mener une analyse afin d</w:t>
      </w:r>
      <w:r w:rsidR="0052434F">
        <w:t>’</w:t>
      </w:r>
      <w:r w:rsidRPr="0052434F">
        <w:t>identifier les marchés internationaux de l</w:t>
      </w:r>
      <w:r w:rsidR="0052434F">
        <w:t>’</w:t>
      </w:r>
      <w:r w:rsidRPr="0052434F">
        <w:t>art les plus pertinents pour les artistes locaux, dans le but de recenser les pays prioritaires pour la conclusion d</w:t>
      </w:r>
      <w:r w:rsidR="0052434F">
        <w:t>’</w:t>
      </w:r>
      <w:r w:rsidRPr="0052434F">
        <w:t>accords de réciprocité.</w:t>
      </w:r>
    </w:p>
    <w:p w14:paraId="75094A64" w14:textId="77777777" w:rsidR="00AB2DB3" w:rsidRPr="0052434F" w:rsidRDefault="00AB2DB3" w:rsidP="00403038">
      <w:pPr>
        <w:rPr>
          <w:lang w:val="fr-FR"/>
        </w:rPr>
      </w:pPr>
    </w:p>
    <w:p w14:paraId="01B0C4AE" w14:textId="77777777" w:rsidR="0052434F" w:rsidRDefault="00AB2DB3" w:rsidP="002B31F3">
      <w:pPr>
        <w:pStyle w:val="ListParagraph"/>
        <w:numPr>
          <w:ilvl w:val="0"/>
          <w:numId w:val="12"/>
        </w:numPr>
        <w:spacing w:before="0" w:after="0"/>
        <w:ind w:left="567" w:hanging="567"/>
      </w:pPr>
      <w:r w:rsidRPr="0052434F">
        <w:lastRenderedPageBreak/>
        <w:t>Conclure des accords de réciprocité, bilatéraux ou multilatéraux, avec des sociétés sœurs sur les plans régional et international.</w:t>
      </w:r>
    </w:p>
    <w:p w14:paraId="11A978D8" w14:textId="7D74B781" w:rsidR="00AB2DB3" w:rsidRPr="0052434F" w:rsidRDefault="00AB2DB3" w:rsidP="0052434F">
      <w:pPr>
        <w:rPr>
          <w:lang w:val="fr-FR"/>
        </w:rPr>
      </w:pPr>
    </w:p>
    <w:p w14:paraId="4B2777B7" w14:textId="269C44AB" w:rsidR="0052434F" w:rsidRDefault="00AB2DB3" w:rsidP="002B31F3">
      <w:pPr>
        <w:pStyle w:val="ListParagraph"/>
        <w:numPr>
          <w:ilvl w:val="0"/>
          <w:numId w:val="12"/>
        </w:numPr>
        <w:spacing w:before="0" w:after="0"/>
        <w:ind w:left="567" w:hanging="567"/>
      </w:pPr>
      <w:r w:rsidRPr="0052434F">
        <w:t xml:space="preserve">Adopter des solutions technologiques favorisant la gestion efficace du droit de suite (telles que WIPO </w:t>
      </w:r>
      <w:proofErr w:type="spellStart"/>
      <w:r w:rsidRPr="0052434F">
        <w:t>Connect</w:t>
      </w:r>
      <w:proofErr w:type="spellEnd"/>
      <w:r w:rsidRPr="0052434F">
        <w:t>) et mettre en place les normes nécessaires (telles que des identifiants comme l</w:t>
      </w:r>
      <w:r w:rsidR="0052434F">
        <w:t>’</w:t>
      </w:r>
      <w:r w:rsidRPr="0052434F">
        <w:t>ISNI ou l</w:t>
      </w:r>
      <w:r w:rsidR="0052434F">
        <w:t>’</w:t>
      </w:r>
      <w:r w:rsidRPr="0052434F">
        <w:t>IPI).</w:t>
      </w:r>
    </w:p>
    <w:p w14:paraId="2EE8A426" w14:textId="75760194" w:rsidR="00AB2DB3" w:rsidRPr="0052434F" w:rsidRDefault="00AB2DB3" w:rsidP="0052434F">
      <w:pPr>
        <w:rPr>
          <w:lang w:val="fr-FR"/>
        </w:rPr>
      </w:pPr>
    </w:p>
    <w:p w14:paraId="2DEE1664" w14:textId="77777777" w:rsidR="00AB2DB3" w:rsidRPr="0052434F" w:rsidRDefault="00AB2DB3" w:rsidP="002B31F3">
      <w:pPr>
        <w:pStyle w:val="ListParagraph"/>
        <w:numPr>
          <w:ilvl w:val="0"/>
          <w:numId w:val="12"/>
        </w:numPr>
        <w:spacing w:before="0" w:after="0"/>
        <w:ind w:left="567" w:hanging="567"/>
      </w:pPr>
      <w:r w:rsidRPr="0052434F">
        <w:t>Établir des règles transparentes pour la perception et la répartition des redevances au titre du droit de suite.</w:t>
      </w:r>
    </w:p>
    <w:p w14:paraId="21DDCE96" w14:textId="77777777" w:rsidR="00AB2DB3" w:rsidRPr="002B31F3" w:rsidRDefault="00AB2DB3" w:rsidP="002B31F3">
      <w:pPr>
        <w:rPr>
          <w:lang w:val="fr-FR"/>
        </w:rPr>
      </w:pPr>
    </w:p>
    <w:p w14:paraId="554B20ED" w14:textId="3A0A053F" w:rsidR="00AB2DB3" w:rsidRPr="0052434F" w:rsidRDefault="00AB2DB3" w:rsidP="002B31F3">
      <w:pPr>
        <w:pStyle w:val="ListParagraph"/>
        <w:numPr>
          <w:ilvl w:val="0"/>
          <w:numId w:val="12"/>
        </w:numPr>
        <w:spacing w:before="0" w:after="0"/>
        <w:ind w:left="567" w:hanging="567"/>
      </w:pPr>
      <w:r w:rsidRPr="0052434F">
        <w:t>Sensibiliser les membres à leurs droits et à la manière dont ceux</w:t>
      </w:r>
      <w:r w:rsidR="002072FB">
        <w:noBreakHyphen/>
      </w:r>
      <w:r w:rsidRPr="0052434F">
        <w:t>ci sont gérés.</w:t>
      </w:r>
    </w:p>
    <w:p w14:paraId="3E3B10C8" w14:textId="77777777" w:rsidR="00AB2DB3" w:rsidRPr="0052434F" w:rsidRDefault="00AB2DB3" w:rsidP="0052434F">
      <w:pPr>
        <w:rPr>
          <w:lang w:val="fr-FR"/>
        </w:rPr>
      </w:pPr>
    </w:p>
    <w:p w14:paraId="5F46CBDC" w14:textId="3FE2D89D" w:rsidR="0052434F" w:rsidRDefault="00AB2DB3" w:rsidP="002B31F3">
      <w:pPr>
        <w:pStyle w:val="ListParagraph"/>
        <w:numPr>
          <w:ilvl w:val="0"/>
          <w:numId w:val="12"/>
        </w:numPr>
        <w:spacing w:before="0" w:after="0"/>
        <w:ind w:left="567" w:hanging="567"/>
      </w:pPr>
      <w:r w:rsidRPr="0052434F">
        <w:t>Sensibiliser les artistes et les professionnels du marché de l</w:t>
      </w:r>
      <w:r w:rsidR="0052434F">
        <w:t>’</w:t>
      </w:r>
      <w:r w:rsidRPr="0052434F">
        <w:t>art à l</w:t>
      </w:r>
      <w:r w:rsidR="0052434F">
        <w:t>’</w:t>
      </w:r>
      <w:r w:rsidRPr="0052434F">
        <w:t>importance du droit de suite.</w:t>
      </w:r>
    </w:p>
    <w:p w14:paraId="3BDE95C0" w14:textId="44287615" w:rsidR="00AB2DB3" w:rsidRPr="002B31F3" w:rsidRDefault="00AB2DB3" w:rsidP="002B31F3">
      <w:pPr>
        <w:rPr>
          <w:lang w:val="fr-FR"/>
        </w:rPr>
      </w:pPr>
    </w:p>
    <w:p w14:paraId="6523B14D" w14:textId="3435D3EA" w:rsidR="00AB2DB3" w:rsidRPr="0052434F" w:rsidRDefault="00AB2DB3" w:rsidP="002B31F3">
      <w:pPr>
        <w:pStyle w:val="ListParagraph"/>
        <w:numPr>
          <w:ilvl w:val="0"/>
          <w:numId w:val="12"/>
        </w:numPr>
        <w:spacing w:before="0" w:after="0"/>
        <w:ind w:left="567" w:hanging="567"/>
      </w:pPr>
      <w:r w:rsidRPr="0052434F">
        <w:t>Rejoindre d</w:t>
      </w:r>
      <w:r w:rsidR="0052434F">
        <w:t>’</w:t>
      </w:r>
      <w:r w:rsidRPr="0052434F">
        <w:t>autres organisations de gestion collective au sein de réseaux internationaux tels que la Confédération internationale des sociétés d</w:t>
      </w:r>
      <w:r w:rsidR="0052434F">
        <w:t>’</w:t>
      </w:r>
      <w:r w:rsidRPr="0052434F">
        <w:t>auteurs et compositeurs (CISAC) et la Fédération internationale des organismes gérant les droits de reproduction (IFRRO), et participer activement à ces réseaux afin de tirer parti des discussions techniques et des échanges de bonnes pratiques pour s</w:t>
      </w:r>
      <w:r w:rsidR="0052434F">
        <w:t>’</w:t>
      </w:r>
      <w:r w:rsidRPr="0052434F">
        <w:t>inspirer de l</w:t>
      </w:r>
      <w:r w:rsidR="0052434F">
        <w:t>’</w:t>
      </w:r>
      <w:r w:rsidRPr="0052434F">
        <w:t>expérience des sociétés sœurs qui gèrent le droit de suite.</w:t>
      </w:r>
    </w:p>
    <w:p w14:paraId="2555CCE9" w14:textId="77777777" w:rsidR="00AB2DB3" w:rsidRPr="0052434F" w:rsidRDefault="00AB2DB3" w:rsidP="0052434F">
      <w:pPr>
        <w:ind w:left="66"/>
        <w:rPr>
          <w:lang w:val="fr-FR"/>
        </w:rPr>
      </w:pPr>
    </w:p>
    <w:tbl>
      <w:tblPr>
        <w:tblStyle w:val="TableGrid"/>
        <w:tblW w:w="0" w:type="auto"/>
        <w:tblLook w:val="04A0" w:firstRow="1" w:lastRow="0" w:firstColumn="1" w:lastColumn="0" w:noHBand="0" w:noVBand="1"/>
      </w:tblPr>
      <w:tblGrid>
        <w:gridCol w:w="9214"/>
      </w:tblGrid>
      <w:tr w:rsidR="00AB2DB3" w:rsidRPr="0052434F" w14:paraId="5335ABB3" w14:textId="77777777" w:rsidTr="00237793">
        <w:tc>
          <w:tcPr>
            <w:tcW w:w="9214" w:type="dxa"/>
            <w:tcBorders>
              <w:top w:val="nil"/>
              <w:left w:val="nil"/>
              <w:bottom w:val="nil"/>
              <w:right w:val="nil"/>
            </w:tcBorders>
            <w:shd w:val="clear" w:color="auto" w:fill="FDE9D9" w:themeFill="accent6" w:themeFillTint="33"/>
          </w:tcPr>
          <w:p w14:paraId="67A2DCBC" w14:textId="1010DD18" w:rsidR="00AB2DB3" w:rsidRPr="0052434F" w:rsidRDefault="00AB2DB3" w:rsidP="0052434F">
            <w:pPr>
              <w:spacing w:before="120" w:after="120"/>
            </w:pPr>
            <w:r w:rsidRPr="0052434F">
              <w:t>Utiliser les outils disponibles pour examiner ou améliorer la gestion du droit de suite, tels que l</w:t>
            </w:r>
            <w:r w:rsidR="0052434F">
              <w:t>’</w:t>
            </w:r>
            <w:r w:rsidRPr="0052434F">
              <w:rPr>
                <w:i/>
              </w:rPr>
              <w:t>Instrument de l</w:t>
            </w:r>
            <w:r w:rsidR="0052434F">
              <w:rPr>
                <w:i/>
              </w:rPr>
              <w:t>’</w:t>
            </w:r>
            <w:r w:rsidRPr="0052434F">
              <w:rPr>
                <w:i/>
              </w:rPr>
              <w:t>OMPI relatif au droit de suite</w:t>
            </w:r>
            <w:r w:rsidRPr="0052434F">
              <w:t xml:space="preserve"> (en particulier la partie II) ou la </w:t>
            </w:r>
            <w:r w:rsidRPr="0052434F">
              <w:rPr>
                <w:i/>
              </w:rPr>
              <w:t>Boîte à outils de l</w:t>
            </w:r>
            <w:r w:rsidR="0052434F">
              <w:rPr>
                <w:i/>
              </w:rPr>
              <w:t>’</w:t>
            </w:r>
            <w:r w:rsidRPr="0052434F">
              <w:rPr>
                <w:i/>
              </w:rPr>
              <w:t>OMPI relative aux bonnes pratiques à l</w:t>
            </w:r>
            <w:r w:rsidR="0052434F">
              <w:rPr>
                <w:i/>
              </w:rPr>
              <w:t>’</w:t>
            </w:r>
            <w:r w:rsidRPr="0052434F">
              <w:rPr>
                <w:i/>
              </w:rPr>
              <w:t>intention des organismes de gestion collective</w:t>
            </w:r>
            <w:r w:rsidRPr="0052434F">
              <w:t>.  Voir l</w:t>
            </w:r>
            <w:r w:rsidR="0052434F">
              <w:t>’</w:t>
            </w:r>
            <w:r w:rsidRPr="0052434F">
              <w:t>annexe.</w:t>
            </w:r>
          </w:p>
          <w:p w14:paraId="6DFB0D2F" w14:textId="13081D32" w:rsidR="00AB2DB3" w:rsidRPr="0052434F" w:rsidRDefault="00AB2DB3" w:rsidP="0052434F">
            <w:pPr>
              <w:spacing w:before="120" w:after="120"/>
            </w:pPr>
            <w:r w:rsidRPr="0052434F">
              <w:t>En ce qui concerne les réseaux internationaux,</w:t>
            </w:r>
            <w:r w:rsidR="0052434F" w:rsidRPr="0052434F">
              <w:t xml:space="preserve"> la</w:t>
            </w:r>
            <w:r w:rsidR="0052434F">
              <w:t> </w:t>
            </w:r>
            <w:r w:rsidR="0052434F" w:rsidRPr="0052434F">
              <w:t>CIS</w:t>
            </w:r>
            <w:r w:rsidRPr="0052434F">
              <w:t>AC anime deux</w:t>
            </w:r>
            <w:r w:rsidR="00444EA7">
              <w:t> </w:t>
            </w:r>
            <w:r w:rsidRPr="0052434F">
              <w:t>groupes de travail consacrés au droit de suite</w:t>
            </w:r>
            <w:r w:rsidR="0052434F">
              <w:t> :</w:t>
            </w:r>
            <w:r w:rsidRPr="0052434F">
              <w:t xml:space="preserve"> le groupe de travail de</w:t>
            </w:r>
            <w:r w:rsidR="0052434F" w:rsidRPr="0052434F">
              <w:t xml:space="preserve"> la</w:t>
            </w:r>
            <w:r w:rsidR="0052434F">
              <w:t> </w:t>
            </w:r>
            <w:r w:rsidR="0052434F" w:rsidRPr="0052434F">
              <w:t>CIS</w:t>
            </w:r>
            <w:r w:rsidRPr="0052434F">
              <w:t>AC sur la reconnaissance et la mise en œuvre du droit de suite et le groupe de travail opérationnel de</w:t>
            </w:r>
            <w:r w:rsidR="0052434F" w:rsidRPr="0052434F">
              <w:t xml:space="preserve"> la</w:t>
            </w:r>
            <w:r w:rsidR="0052434F">
              <w:t> </w:t>
            </w:r>
            <w:r w:rsidR="0052434F" w:rsidRPr="0052434F">
              <w:t>CIS</w:t>
            </w:r>
            <w:r w:rsidRPr="0052434F">
              <w:t>AC sur le droit de sui</w:t>
            </w:r>
            <w:r w:rsidR="002072FB" w:rsidRPr="0052434F">
              <w:t>te</w:t>
            </w:r>
            <w:r w:rsidR="002072FB">
              <w:t xml:space="preserve">.  </w:t>
            </w:r>
            <w:r w:rsidR="002072FB" w:rsidRPr="0052434F">
              <w:t>In</w:t>
            </w:r>
            <w:r w:rsidRPr="0052434F">
              <w:t>scrivez</w:t>
            </w:r>
            <w:r w:rsidR="002072FB">
              <w:noBreakHyphen/>
            </w:r>
            <w:r w:rsidRPr="0052434F">
              <w:t xml:space="preserve">vous à ces groupes de travail en envoyant un message électronique à </w:t>
            </w:r>
            <w:hyperlink r:id="rId11" w:history="1">
              <w:r w:rsidRPr="0052434F">
                <w:rPr>
                  <w:rStyle w:val="Hyperlink"/>
                </w:rPr>
                <w:t>marie.caquineau@adagp.fr</w:t>
              </w:r>
            </w:hyperlink>
            <w:r w:rsidRPr="0052434F">
              <w:t xml:space="preserve"> ou </w:t>
            </w:r>
            <w:hyperlink r:id="rId12" w:history="1">
              <w:r w:rsidRPr="0052434F">
                <w:rPr>
                  <w:rStyle w:val="Hyperlink"/>
                </w:rPr>
                <w:t>babat@pictoright.nl</w:t>
              </w:r>
            </w:hyperlink>
            <w:r w:rsidRPr="0052434F">
              <w:t>.</w:t>
            </w:r>
          </w:p>
        </w:tc>
      </w:tr>
    </w:tbl>
    <w:p w14:paraId="4D08D3F5" w14:textId="77777777" w:rsidR="00AB2DB3" w:rsidRPr="0052434F" w:rsidRDefault="00AB2DB3" w:rsidP="0052434F">
      <w:pPr>
        <w:rPr>
          <w:lang w:val="fr-FR"/>
        </w:rPr>
      </w:pPr>
      <w:r w:rsidRPr="0052434F">
        <w:rPr>
          <w:lang w:val="fr-FR"/>
        </w:rPr>
        <w:br w:type="page"/>
      </w:r>
    </w:p>
    <w:p w14:paraId="66B8475A" w14:textId="77777777" w:rsidR="00AB2DB3" w:rsidRPr="0052434F" w:rsidRDefault="00AB2DB3" w:rsidP="0052434F">
      <w:pPr>
        <w:rPr>
          <w:b/>
          <w:bCs/>
          <w:sz w:val="26"/>
          <w:szCs w:val="26"/>
          <w:lang w:val="fr-FR"/>
        </w:rPr>
      </w:pPr>
      <w:r w:rsidRPr="0052434F">
        <w:rPr>
          <w:b/>
          <w:sz w:val="26"/>
          <w:lang w:val="fr-FR"/>
        </w:rPr>
        <w:lastRenderedPageBreak/>
        <w:t>Annexe</w:t>
      </w:r>
    </w:p>
    <w:p w14:paraId="4696305F" w14:textId="77777777" w:rsidR="00AB2DB3" w:rsidRPr="0052434F" w:rsidRDefault="00AB2DB3" w:rsidP="0052434F">
      <w:pPr>
        <w:rPr>
          <w:b/>
          <w:bCs/>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51"/>
      </w:tblGrid>
      <w:tr w:rsidR="00AB2DB3" w:rsidRPr="0052434F" w14:paraId="1DF932B4" w14:textId="77777777" w:rsidTr="00237793">
        <w:tc>
          <w:tcPr>
            <w:tcW w:w="6799" w:type="dxa"/>
            <w:vAlign w:val="center"/>
          </w:tcPr>
          <w:p w14:paraId="5F72F386" w14:textId="0138A663" w:rsidR="0052434F" w:rsidRDefault="00AB2DB3" w:rsidP="0052434F">
            <w:pPr>
              <w:rPr>
                <w:rStyle w:val="Hyperlink"/>
              </w:rPr>
            </w:pPr>
            <w:r w:rsidRPr="0052434F">
              <w:fldChar w:fldCharType="begin"/>
            </w:r>
            <w:r w:rsidRPr="0052434F">
              <w:instrText>HYPERLINK "https://www.wipo.int/edocs/mdocs/copyright/fr/sccr_43/sccr_43_inf_2_rev.pdf"</w:instrText>
            </w:r>
            <w:r w:rsidRPr="0052434F">
              <w:fldChar w:fldCharType="separate"/>
            </w:r>
            <w:r w:rsidRPr="0052434F">
              <w:rPr>
                <w:rStyle w:val="Hyperlink"/>
              </w:rPr>
              <w:t>Instrument de l</w:t>
            </w:r>
            <w:r w:rsidR="0052434F">
              <w:rPr>
                <w:rStyle w:val="Hyperlink"/>
              </w:rPr>
              <w:t>’</w:t>
            </w:r>
            <w:r w:rsidRPr="0052434F">
              <w:rPr>
                <w:rStyle w:val="Hyperlink"/>
              </w:rPr>
              <w:t>OMPI relatif au droit de suite des artistes</w:t>
            </w:r>
            <w:r w:rsidR="002072FB">
              <w:rPr>
                <w:rStyle w:val="Hyperlink"/>
              </w:rPr>
              <w:t> :</w:t>
            </w:r>
          </w:p>
          <w:p w14:paraId="4FDED3C9" w14:textId="159CC890" w:rsidR="0052434F" w:rsidRDefault="00AB2DB3" w:rsidP="0052434F">
            <w:proofErr w:type="gramStart"/>
            <w:r w:rsidRPr="0052434F">
              <w:rPr>
                <w:rStyle w:val="Hyperlink"/>
              </w:rPr>
              <w:t>partie</w:t>
            </w:r>
            <w:proofErr w:type="gramEnd"/>
            <w:r w:rsidRPr="0052434F">
              <w:rPr>
                <w:rStyle w:val="Hyperlink"/>
              </w:rPr>
              <w:t xml:space="preserve"> I</w:t>
            </w:r>
            <w:r w:rsidR="002072FB">
              <w:rPr>
                <w:rStyle w:val="Hyperlink"/>
              </w:rPr>
              <w:t> :</w:t>
            </w:r>
            <w:r w:rsidRPr="0052434F">
              <w:rPr>
                <w:rStyle w:val="Hyperlink"/>
              </w:rPr>
              <w:t xml:space="preserve"> cadre juridique</w:t>
            </w:r>
            <w:r w:rsidRPr="0052434F">
              <w:fldChar w:fldCharType="end"/>
            </w:r>
          </w:p>
          <w:p w14:paraId="1E3FF36D" w14:textId="3A0794A8" w:rsidR="00AB2DB3" w:rsidRPr="0052434F" w:rsidRDefault="00AB2DB3" w:rsidP="0052434F">
            <w:pPr>
              <w:rPr>
                <w:szCs w:val="22"/>
              </w:rPr>
            </w:pPr>
            <w:r w:rsidRPr="0052434F">
              <w:t>(2023)</w:t>
            </w:r>
          </w:p>
          <w:p w14:paraId="166A619C" w14:textId="77777777" w:rsidR="00AB2DB3" w:rsidRPr="0052434F" w:rsidRDefault="00AB2DB3" w:rsidP="0052434F">
            <w:pPr>
              <w:rPr>
                <w:b/>
                <w:bCs/>
              </w:rPr>
            </w:pPr>
          </w:p>
        </w:tc>
        <w:tc>
          <w:tcPr>
            <w:tcW w:w="2551" w:type="dxa"/>
          </w:tcPr>
          <w:p w14:paraId="0A2F5C51" w14:textId="77777777" w:rsidR="00AB2DB3" w:rsidRPr="0052434F" w:rsidRDefault="00AB2DB3" w:rsidP="0052434F">
            <w:pPr>
              <w:rPr>
                <w:b/>
                <w:bCs/>
              </w:rPr>
            </w:pPr>
            <w:r w:rsidRPr="0052434F">
              <w:rPr>
                <w:b/>
                <w:noProof/>
              </w:rPr>
              <w:drawing>
                <wp:inline distT="0" distB="0" distL="0" distR="0" wp14:anchorId="5E5BB65D" wp14:editId="7F6FFA0E">
                  <wp:extent cx="1057275" cy="1057275"/>
                  <wp:effectExtent l="0" t="0" r="9525" b="9525"/>
                  <wp:docPr id="3" name="Picture 2">
                    <a:extLst xmlns:a="http://schemas.openxmlformats.org/drawingml/2006/main">
                      <a:ext uri="{FF2B5EF4-FFF2-40B4-BE49-F238E27FC236}">
                        <a16:creationId xmlns:a16="http://schemas.microsoft.com/office/drawing/2014/main" id="{F719B5EC-928D-262B-725E-2B22C6C27D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719B5EC-928D-262B-725E-2B22C6C27D36}"/>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7476" cy="1057476"/>
                          </a:xfrm>
                          <a:prstGeom prst="rect">
                            <a:avLst/>
                          </a:prstGeom>
                        </pic:spPr>
                      </pic:pic>
                    </a:graphicData>
                  </a:graphic>
                </wp:inline>
              </w:drawing>
            </w:r>
          </w:p>
          <w:p w14:paraId="55F53D35" w14:textId="77777777" w:rsidR="00AB2DB3" w:rsidRPr="0052434F" w:rsidRDefault="00AB2DB3" w:rsidP="0052434F">
            <w:pPr>
              <w:rPr>
                <w:b/>
                <w:bCs/>
              </w:rPr>
            </w:pPr>
          </w:p>
          <w:p w14:paraId="3C39F36B" w14:textId="77777777" w:rsidR="00AB2DB3" w:rsidRPr="0052434F" w:rsidRDefault="00AB2DB3" w:rsidP="0052434F">
            <w:pPr>
              <w:rPr>
                <w:b/>
                <w:bCs/>
              </w:rPr>
            </w:pPr>
          </w:p>
          <w:p w14:paraId="163C2F8F" w14:textId="77777777" w:rsidR="00AB2DB3" w:rsidRPr="0052434F" w:rsidRDefault="00AB2DB3" w:rsidP="0052434F">
            <w:pPr>
              <w:rPr>
                <w:b/>
                <w:bCs/>
              </w:rPr>
            </w:pPr>
          </w:p>
        </w:tc>
      </w:tr>
      <w:tr w:rsidR="00AB2DB3" w:rsidRPr="0052434F" w14:paraId="5CC6C746" w14:textId="77777777" w:rsidTr="00237793">
        <w:tc>
          <w:tcPr>
            <w:tcW w:w="6799" w:type="dxa"/>
            <w:vAlign w:val="center"/>
          </w:tcPr>
          <w:p w14:paraId="01A4B1F5" w14:textId="29F05915" w:rsidR="0052434F" w:rsidRDefault="00AB2DB3" w:rsidP="0052434F">
            <w:pPr>
              <w:rPr>
                <w:rStyle w:val="Hyperlink"/>
              </w:rPr>
            </w:pPr>
            <w:r w:rsidRPr="0052434F">
              <w:fldChar w:fldCharType="begin"/>
            </w:r>
            <w:r w:rsidRPr="0052434F">
              <w:instrText>HYPERLINK "https://www.wipo.int/edocs/mdocs/copyright/fr/sccr_45/sccr_45_inf_2_rev.pdf"</w:instrText>
            </w:r>
            <w:r w:rsidRPr="0052434F">
              <w:fldChar w:fldCharType="separate"/>
            </w:r>
            <w:r w:rsidRPr="0052434F">
              <w:rPr>
                <w:rStyle w:val="Hyperlink"/>
              </w:rPr>
              <w:t>Instrument de l</w:t>
            </w:r>
            <w:r w:rsidR="0052434F">
              <w:rPr>
                <w:rStyle w:val="Hyperlink"/>
              </w:rPr>
              <w:t>’</w:t>
            </w:r>
            <w:r w:rsidRPr="0052434F">
              <w:rPr>
                <w:rStyle w:val="Hyperlink"/>
              </w:rPr>
              <w:t>OMPI relatif au droit de suite des artistes</w:t>
            </w:r>
            <w:r w:rsidR="002072FB">
              <w:rPr>
                <w:rStyle w:val="Hyperlink"/>
              </w:rPr>
              <w:t> :</w:t>
            </w:r>
          </w:p>
          <w:p w14:paraId="40FBC4AB" w14:textId="152F916C" w:rsidR="0052434F" w:rsidRDefault="00AB2DB3" w:rsidP="0052434F">
            <w:proofErr w:type="gramStart"/>
            <w:r w:rsidRPr="0052434F">
              <w:rPr>
                <w:rStyle w:val="Hyperlink"/>
              </w:rPr>
              <w:t>partie</w:t>
            </w:r>
            <w:proofErr w:type="gramEnd"/>
            <w:r w:rsidRPr="0052434F">
              <w:rPr>
                <w:rStyle w:val="Hyperlink"/>
              </w:rPr>
              <w:t> II</w:t>
            </w:r>
            <w:r w:rsidR="002072FB">
              <w:rPr>
                <w:rStyle w:val="Hyperlink"/>
              </w:rPr>
              <w:t> :</w:t>
            </w:r>
            <w:r w:rsidRPr="0052434F">
              <w:rPr>
                <w:rStyle w:val="Hyperlink"/>
              </w:rPr>
              <w:t xml:space="preserve"> administration</w:t>
            </w:r>
            <w:r w:rsidRPr="0052434F">
              <w:fldChar w:fldCharType="end"/>
            </w:r>
          </w:p>
          <w:p w14:paraId="22FC3538" w14:textId="264BB216" w:rsidR="00AB2DB3" w:rsidRPr="0052434F" w:rsidRDefault="00AB2DB3" w:rsidP="0052434F">
            <w:pPr>
              <w:rPr>
                <w:szCs w:val="22"/>
              </w:rPr>
            </w:pPr>
            <w:r w:rsidRPr="0052434F">
              <w:t>(2024)</w:t>
            </w:r>
          </w:p>
          <w:p w14:paraId="40925CF1" w14:textId="77777777" w:rsidR="00AB2DB3" w:rsidRPr="0052434F" w:rsidRDefault="00AB2DB3" w:rsidP="0052434F">
            <w:pPr>
              <w:rPr>
                <w:b/>
                <w:bCs/>
              </w:rPr>
            </w:pPr>
          </w:p>
        </w:tc>
        <w:tc>
          <w:tcPr>
            <w:tcW w:w="2551" w:type="dxa"/>
          </w:tcPr>
          <w:p w14:paraId="4A045AD9" w14:textId="77777777" w:rsidR="00AB2DB3" w:rsidRPr="0052434F" w:rsidRDefault="00AB2DB3" w:rsidP="0052434F">
            <w:pPr>
              <w:rPr>
                <w:b/>
                <w:bCs/>
              </w:rPr>
            </w:pPr>
            <w:r w:rsidRPr="0052434F">
              <w:rPr>
                <w:b/>
                <w:noProof/>
              </w:rPr>
              <w:drawing>
                <wp:inline distT="0" distB="0" distL="0" distR="0" wp14:anchorId="05D8D6FD" wp14:editId="6ABC4A9A">
                  <wp:extent cx="1057275" cy="1057275"/>
                  <wp:effectExtent l="0" t="0" r="9525" b="9525"/>
                  <wp:docPr id="8" name="Picture 7">
                    <a:extLst xmlns:a="http://schemas.openxmlformats.org/drawingml/2006/main">
                      <a:ext uri="{FF2B5EF4-FFF2-40B4-BE49-F238E27FC236}">
                        <a16:creationId xmlns:a16="http://schemas.microsoft.com/office/drawing/2014/main" id="{D10F6004-1D9F-12B6-69C6-7E5AB347E2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10F6004-1D9F-12B6-69C6-7E5AB347E2B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7472" cy="1057472"/>
                          </a:xfrm>
                          <a:prstGeom prst="rect">
                            <a:avLst/>
                          </a:prstGeom>
                        </pic:spPr>
                      </pic:pic>
                    </a:graphicData>
                  </a:graphic>
                </wp:inline>
              </w:drawing>
            </w:r>
          </w:p>
          <w:p w14:paraId="241E13BF" w14:textId="77777777" w:rsidR="00AB2DB3" w:rsidRPr="0052434F" w:rsidRDefault="00AB2DB3" w:rsidP="0052434F">
            <w:pPr>
              <w:rPr>
                <w:b/>
                <w:bCs/>
              </w:rPr>
            </w:pPr>
          </w:p>
          <w:p w14:paraId="30E842DB" w14:textId="77777777" w:rsidR="00AB2DB3" w:rsidRPr="0052434F" w:rsidRDefault="00AB2DB3" w:rsidP="0052434F">
            <w:pPr>
              <w:rPr>
                <w:b/>
                <w:bCs/>
              </w:rPr>
            </w:pPr>
          </w:p>
          <w:p w14:paraId="59599570" w14:textId="77777777" w:rsidR="00AB2DB3" w:rsidRPr="0052434F" w:rsidRDefault="00AB2DB3" w:rsidP="0052434F">
            <w:pPr>
              <w:rPr>
                <w:b/>
                <w:bCs/>
              </w:rPr>
            </w:pPr>
          </w:p>
        </w:tc>
      </w:tr>
      <w:tr w:rsidR="00AB2DB3" w:rsidRPr="0052434F" w14:paraId="09B6EE0D" w14:textId="77777777" w:rsidTr="00237793">
        <w:tc>
          <w:tcPr>
            <w:tcW w:w="6799" w:type="dxa"/>
            <w:vAlign w:val="center"/>
          </w:tcPr>
          <w:p w14:paraId="50D79D3F" w14:textId="145626BD" w:rsidR="00AB2DB3" w:rsidRPr="0052434F" w:rsidRDefault="00AB2DB3" w:rsidP="0052434F">
            <w:pPr>
              <w:rPr>
                <w:szCs w:val="22"/>
              </w:rPr>
            </w:pPr>
            <w:hyperlink r:id="rId15" w:history="1">
              <w:r w:rsidRPr="0052434F">
                <w:rPr>
                  <w:rStyle w:val="Hyperlink"/>
                </w:rPr>
                <w:t>Boîte à outils de l</w:t>
              </w:r>
              <w:r w:rsidR="0052434F">
                <w:rPr>
                  <w:rStyle w:val="Hyperlink"/>
                </w:rPr>
                <w:t>’</w:t>
              </w:r>
              <w:r w:rsidRPr="0052434F">
                <w:rPr>
                  <w:rStyle w:val="Hyperlink"/>
                </w:rPr>
                <w:t>OMPI relative aux bonnes pratiques à l</w:t>
              </w:r>
              <w:r w:rsidR="0052434F">
                <w:rPr>
                  <w:rStyle w:val="Hyperlink"/>
                </w:rPr>
                <w:t>’</w:t>
              </w:r>
              <w:r w:rsidRPr="0052434F">
                <w:rPr>
                  <w:rStyle w:val="Hyperlink"/>
                </w:rPr>
                <w:t>intention des organismes de gestion collective</w:t>
              </w:r>
            </w:hyperlink>
          </w:p>
          <w:p w14:paraId="7AB86B66" w14:textId="77777777" w:rsidR="00AB2DB3" w:rsidRPr="0052434F" w:rsidRDefault="00AB2DB3" w:rsidP="0052434F">
            <w:r w:rsidRPr="0052434F">
              <w:t>(2025)</w:t>
            </w:r>
          </w:p>
        </w:tc>
        <w:tc>
          <w:tcPr>
            <w:tcW w:w="2551" w:type="dxa"/>
          </w:tcPr>
          <w:p w14:paraId="0FFD2F61" w14:textId="77777777" w:rsidR="00AB2DB3" w:rsidRPr="0052434F" w:rsidRDefault="00AB2DB3" w:rsidP="0052434F">
            <w:pPr>
              <w:rPr>
                <w:b/>
                <w:bCs/>
              </w:rPr>
            </w:pPr>
            <w:r w:rsidRPr="0052434F">
              <w:rPr>
                <w:noProof/>
              </w:rPr>
              <w:drawing>
                <wp:inline distT="0" distB="0" distL="0" distR="0" wp14:anchorId="5486D39B" wp14:editId="5370BD18">
                  <wp:extent cx="1085850" cy="1085850"/>
                  <wp:effectExtent l="0" t="0" r="0" b="0"/>
                  <wp:docPr id="1654377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7F0F5182" w14:textId="77777777" w:rsidR="00AB2DB3" w:rsidRPr="0052434F" w:rsidRDefault="00AB2DB3" w:rsidP="0052434F">
            <w:pPr>
              <w:rPr>
                <w:b/>
                <w:bCs/>
              </w:rPr>
            </w:pPr>
          </w:p>
        </w:tc>
      </w:tr>
    </w:tbl>
    <w:p w14:paraId="0F56074D" w14:textId="6C9C804B" w:rsidR="000F5E56" w:rsidRPr="0052434F" w:rsidRDefault="00AB2DB3" w:rsidP="0052434F">
      <w:pPr>
        <w:pStyle w:val="Endofdocument-Annex"/>
      </w:pPr>
      <w:r w:rsidRPr="0052434F">
        <w:t>[Fin du document]</w:t>
      </w:r>
    </w:p>
    <w:sectPr w:rsidR="000F5E56" w:rsidRPr="0052434F" w:rsidSect="0052434F">
      <w:headerReference w:type="default" r:id="rId1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EA4C9" w14:textId="77777777" w:rsidR="00253321" w:rsidRDefault="00253321">
      <w:r>
        <w:separator/>
      </w:r>
    </w:p>
  </w:endnote>
  <w:endnote w:type="continuationSeparator" w:id="0">
    <w:p w14:paraId="2A48ABDC" w14:textId="77777777" w:rsidR="00253321" w:rsidRPr="009D30E6" w:rsidRDefault="00253321" w:rsidP="00D45252">
      <w:pPr>
        <w:rPr>
          <w:sz w:val="17"/>
          <w:szCs w:val="17"/>
        </w:rPr>
      </w:pPr>
      <w:r w:rsidRPr="009D30E6">
        <w:rPr>
          <w:sz w:val="17"/>
          <w:szCs w:val="17"/>
        </w:rPr>
        <w:separator/>
      </w:r>
    </w:p>
    <w:p w14:paraId="40F5E1DA" w14:textId="77777777" w:rsidR="00253321" w:rsidRPr="009D30E6" w:rsidRDefault="00253321" w:rsidP="00D45252">
      <w:pPr>
        <w:spacing w:after="60"/>
        <w:rPr>
          <w:sz w:val="17"/>
          <w:szCs w:val="17"/>
        </w:rPr>
      </w:pPr>
      <w:r w:rsidRPr="009D30E6">
        <w:rPr>
          <w:sz w:val="17"/>
          <w:szCs w:val="17"/>
        </w:rPr>
        <w:t>[Suite de la note de la page précédente]</w:t>
      </w:r>
    </w:p>
  </w:endnote>
  <w:endnote w:type="continuationNotice" w:id="1">
    <w:p w14:paraId="216F3CBD" w14:textId="77777777" w:rsidR="00253321" w:rsidRPr="009D30E6" w:rsidRDefault="00253321"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79CF7" w14:textId="77777777" w:rsidR="00253321" w:rsidRDefault="00253321">
      <w:r>
        <w:separator/>
      </w:r>
    </w:p>
  </w:footnote>
  <w:footnote w:type="continuationSeparator" w:id="0">
    <w:p w14:paraId="0B4AAC98" w14:textId="77777777" w:rsidR="00253321" w:rsidRDefault="00253321" w:rsidP="007461F1">
      <w:r>
        <w:separator/>
      </w:r>
    </w:p>
    <w:p w14:paraId="4ACBED1A" w14:textId="77777777" w:rsidR="00253321" w:rsidRPr="009D30E6" w:rsidRDefault="00253321" w:rsidP="007461F1">
      <w:pPr>
        <w:spacing w:after="60"/>
        <w:rPr>
          <w:sz w:val="17"/>
          <w:szCs w:val="17"/>
        </w:rPr>
      </w:pPr>
      <w:r w:rsidRPr="009D30E6">
        <w:rPr>
          <w:sz w:val="17"/>
          <w:szCs w:val="17"/>
        </w:rPr>
        <w:t>[Suite de la note de la page précédente]</w:t>
      </w:r>
    </w:p>
  </w:footnote>
  <w:footnote w:type="continuationNotice" w:id="1">
    <w:p w14:paraId="0AB3B6A1" w14:textId="77777777" w:rsidR="00253321" w:rsidRPr="009D30E6" w:rsidRDefault="00253321"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F52A" w14:textId="52B8604F" w:rsidR="00F16975" w:rsidRDefault="00AB2DB3" w:rsidP="00477D6B">
    <w:pPr>
      <w:jc w:val="right"/>
    </w:pPr>
    <w:bookmarkStart w:id="5" w:name="Code2"/>
    <w:bookmarkEnd w:id="5"/>
    <w:r>
      <w:t>SCCR/49/INF/3</w:t>
    </w:r>
  </w:p>
  <w:p w14:paraId="561C17C9" w14:textId="77777777" w:rsidR="004F4E31" w:rsidRDefault="00F16975" w:rsidP="005A73EA">
    <w:pPr>
      <w:spacing w:after="480"/>
      <w:jc w:val="right"/>
    </w:pPr>
    <w:r>
      <w:t>page</w:t>
    </w:r>
    <w:r w:rsidR="005A73EA">
      <w:t> </w:t>
    </w:r>
    <w:r>
      <w:fldChar w:fldCharType="begin"/>
    </w:r>
    <w:r>
      <w:instrText xml:space="preserve"> PAGE  \* MERGEFORMAT </w:instrText>
    </w:r>
    <w:r>
      <w:fldChar w:fldCharType="separate"/>
    </w:r>
    <w:r w:rsidR="004F4E31">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1303809"/>
    <w:multiLevelType w:val="hybridMultilevel"/>
    <w:tmpl w:val="6ABE5B8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59389F"/>
    <w:multiLevelType w:val="hybridMultilevel"/>
    <w:tmpl w:val="6ABE5B86"/>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9B21B36"/>
    <w:multiLevelType w:val="hybridMultilevel"/>
    <w:tmpl w:val="6ABE5B86"/>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E979FC"/>
    <w:multiLevelType w:val="hybridMultilevel"/>
    <w:tmpl w:val="7AD49CC6"/>
    <w:lvl w:ilvl="0" w:tplc="FFFFFFF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1B413FE2"/>
    <w:multiLevelType w:val="hybridMultilevel"/>
    <w:tmpl w:val="D77C6A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41756A03"/>
    <w:multiLevelType w:val="hybridMultilevel"/>
    <w:tmpl w:val="9698C152"/>
    <w:lvl w:ilvl="0" w:tplc="536AA49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D84628E"/>
    <w:multiLevelType w:val="hybridMultilevel"/>
    <w:tmpl w:val="95EAD0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482624A"/>
    <w:multiLevelType w:val="hybridMultilevel"/>
    <w:tmpl w:val="6ABE5B86"/>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85185916">
    <w:abstractNumId w:val="6"/>
  </w:num>
  <w:num w:numId="2" w16cid:durableId="1922137027">
    <w:abstractNumId w:val="10"/>
  </w:num>
  <w:num w:numId="3" w16cid:durableId="1708218136">
    <w:abstractNumId w:val="0"/>
  </w:num>
  <w:num w:numId="4" w16cid:durableId="329069435">
    <w:abstractNumId w:val="11"/>
  </w:num>
  <w:num w:numId="5" w16cid:durableId="49499015">
    <w:abstractNumId w:val="3"/>
  </w:num>
  <w:num w:numId="6" w16cid:durableId="2136636949">
    <w:abstractNumId w:val="8"/>
  </w:num>
  <w:num w:numId="7" w16cid:durableId="663246454">
    <w:abstractNumId w:val="9"/>
  </w:num>
  <w:num w:numId="8" w16cid:durableId="1685284406">
    <w:abstractNumId w:val="1"/>
  </w:num>
  <w:num w:numId="9" w16cid:durableId="465318719">
    <w:abstractNumId w:val="5"/>
  </w:num>
  <w:num w:numId="10" w16cid:durableId="2019236764">
    <w:abstractNumId w:val="7"/>
  </w:num>
  <w:num w:numId="11" w16cid:durableId="169835423">
    <w:abstractNumId w:val="12"/>
  </w:num>
  <w:num w:numId="12" w16cid:durableId="1656834661">
    <w:abstractNumId w:val="2"/>
  </w:num>
  <w:num w:numId="13" w16cid:durableId="1969625586">
    <w:abstractNumId w:val="13"/>
  </w:num>
  <w:num w:numId="14" w16cid:durableId="439882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DB3"/>
    <w:rsid w:val="00011B7D"/>
    <w:rsid w:val="00075432"/>
    <w:rsid w:val="000A5ED8"/>
    <w:rsid w:val="000F5E56"/>
    <w:rsid w:val="001362EE"/>
    <w:rsid w:val="001832A6"/>
    <w:rsid w:val="00195C6E"/>
    <w:rsid w:val="001B266A"/>
    <w:rsid w:val="001D3D56"/>
    <w:rsid w:val="001F091D"/>
    <w:rsid w:val="001F7C1F"/>
    <w:rsid w:val="002072FB"/>
    <w:rsid w:val="00240654"/>
    <w:rsid w:val="00253321"/>
    <w:rsid w:val="002634C4"/>
    <w:rsid w:val="002B31F3"/>
    <w:rsid w:val="002D4918"/>
    <w:rsid w:val="002E4D1A"/>
    <w:rsid w:val="002F16BC"/>
    <w:rsid w:val="002F4E68"/>
    <w:rsid w:val="00315FCA"/>
    <w:rsid w:val="003845C1"/>
    <w:rsid w:val="00395113"/>
    <w:rsid w:val="003A1BCD"/>
    <w:rsid w:val="004008A2"/>
    <w:rsid w:val="004025DF"/>
    <w:rsid w:val="00403038"/>
    <w:rsid w:val="0041042A"/>
    <w:rsid w:val="00423E3E"/>
    <w:rsid w:val="00427AF4"/>
    <w:rsid w:val="00444EA7"/>
    <w:rsid w:val="00456117"/>
    <w:rsid w:val="004647DA"/>
    <w:rsid w:val="00477D6B"/>
    <w:rsid w:val="004D6471"/>
    <w:rsid w:val="004F4E31"/>
    <w:rsid w:val="0052434F"/>
    <w:rsid w:val="00525B63"/>
    <w:rsid w:val="00547476"/>
    <w:rsid w:val="00561DB8"/>
    <w:rsid w:val="00567A4C"/>
    <w:rsid w:val="005A73EA"/>
    <w:rsid w:val="005E6516"/>
    <w:rsid w:val="00605827"/>
    <w:rsid w:val="00676936"/>
    <w:rsid w:val="0068487B"/>
    <w:rsid w:val="00692718"/>
    <w:rsid w:val="006B0DB5"/>
    <w:rsid w:val="006E4243"/>
    <w:rsid w:val="007461F1"/>
    <w:rsid w:val="0076654B"/>
    <w:rsid w:val="007D6961"/>
    <w:rsid w:val="007E1642"/>
    <w:rsid w:val="007F07CB"/>
    <w:rsid w:val="00802EF1"/>
    <w:rsid w:val="00810CEF"/>
    <w:rsid w:val="0081208D"/>
    <w:rsid w:val="00842A13"/>
    <w:rsid w:val="00850B92"/>
    <w:rsid w:val="008B2CC1"/>
    <w:rsid w:val="008E5402"/>
    <w:rsid w:val="008E7930"/>
    <w:rsid w:val="0090731E"/>
    <w:rsid w:val="009252C3"/>
    <w:rsid w:val="009463E5"/>
    <w:rsid w:val="00966A22"/>
    <w:rsid w:val="00974CD6"/>
    <w:rsid w:val="00975481"/>
    <w:rsid w:val="009D30E6"/>
    <w:rsid w:val="009E3F6F"/>
    <w:rsid w:val="009F28F0"/>
    <w:rsid w:val="009F499F"/>
    <w:rsid w:val="00A02BD3"/>
    <w:rsid w:val="00A04C9A"/>
    <w:rsid w:val="00AB2DB3"/>
    <w:rsid w:val="00AC0AE4"/>
    <w:rsid w:val="00AC2EBA"/>
    <w:rsid w:val="00AD61DB"/>
    <w:rsid w:val="00B87BCF"/>
    <w:rsid w:val="00BA62D4"/>
    <w:rsid w:val="00BC5F87"/>
    <w:rsid w:val="00C35A7B"/>
    <w:rsid w:val="00C40E15"/>
    <w:rsid w:val="00C42181"/>
    <w:rsid w:val="00C664C8"/>
    <w:rsid w:val="00C76A79"/>
    <w:rsid w:val="00CA15F5"/>
    <w:rsid w:val="00CF0460"/>
    <w:rsid w:val="00D45252"/>
    <w:rsid w:val="00D55C00"/>
    <w:rsid w:val="00D71B4D"/>
    <w:rsid w:val="00D75C1E"/>
    <w:rsid w:val="00D869F9"/>
    <w:rsid w:val="00D93D55"/>
    <w:rsid w:val="00DB0349"/>
    <w:rsid w:val="00DC4A0D"/>
    <w:rsid w:val="00DD6A16"/>
    <w:rsid w:val="00DE6CA0"/>
    <w:rsid w:val="00E0091A"/>
    <w:rsid w:val="00E203AA"/>
    <w:rsid w:val="00E527A5"/>
    <w:rsid w:val="00E74FE4"/>
    <w:rsid w:val="00E76456"/>
    <w:rsid w:val="00E97651"/>
    <w:rsid w:val="00EE71CB"/>
    <w:rsid w:val="00EF69A4"/>
    <w:rsid w:val="00F16975"/>
    <w:rsid w:val="00F66152"/>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8B342"/>
  <w15:docId w15:val="{7D0CAA2F-11B0-40EC-A1CB-F8764000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AB2DB3"/>
    <w:pPr>
      <w:spacing w:before="720"/>
      <w:ind w:left="5534"/>
    </w:pPr>
    <w:rPr>
      <w:lang w:val="fr-FR"/>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table" w:styleId="TableGrid">
    <w:name w:val="Table Grid"/>
    <w:basedOn w:val="TableNormal"/>
    <w:uiPriority w:val="39"/>
    <w:rsid w:val="00AB2DB3"/>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2DB3"/>
    <w:pPr>
      <w:spacing w:before="180" w:after="240"/>
      <w:ind w:left="720"/>
      <w:contextualSpacing/>
    </w:pPr>
    <w:rPr>
      <w:rFonts w:eastAsiaTheme="minorHAnsi" w:cs="Noto Sans Display"/>
      <w:kern w:val="2"/>
      <w:szCs w:val="22"/>
      <w:lang w:val="fr-FR" w:eastAsia="en-US"/>
      <w14:ligatures w14:val="standardContextual"/>
    </w:rPr>
  </w:style>
  <w:style w:type="character" w:styleId="Hyperlink">
    <w:name w:val="Hyperlink"/>
    <w:basedOn w:val="DefaultParagraphFont"/>
    <w:uiPriority w:val="99"/>
    <w:unhideWhenUsed/>
    <w:rsid w:val="00AB2D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mailto:babat@pictoright.n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e.caquineau@adagp.fr" TargetMode="External"/><Relationship Id="rId24" Type="http://schemas.openxmlformats.org/officeDocument/2006/relationships/customXml" Target="../customXml/item5.xml"/><Relationship Id="rId5" Type="http://schemas.openxmlformats.org/officeDocument/2006/relationships/footnotes" Target="footnotes.xml"/><Relationship Id="rId15" Type="http://schemas.openxmlformats.org/officeDocument/2006/relationships/hyperlink" Target="https://www.wipo.int/publications/fr/details.jsp?id=4773" TargetMode="External"/><Relationship Id="rId23" Type="http://schemas.openxmlformats.org/officeDocument/2006/relationships/customXml" Target="../customXml/item4.xml"/><Relationship Id="rId10" Type="http://schemas.openxmlformats.org/officeDocument/2006/relationships/hyperlink" Target="https://goclip.org/f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21" ma:contentTypeDescription="" ma:contentTypeScope="" ma:versionID="6dee3a61e9dd0777d31375b5ae25b5f8">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CLDBFP-995123841-29938</_dlc_DocId>
    <_dlc_DocIdUrl xmlns="60655ed5-3f2c-41f7-8511-3af131563644">
      <Url>https://wipoprod.sharepoint.com/sites/SPS-INT-BFP-CLD-SccrStanCo/_layouts/15/DocIdRedir.aspx?ID=CLDBFP-995123841-29938</Url>
      <Description>CLDBFP-995123841-29938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EE32630-97B0-48F4-8E06-2911BCDF6353}"/>
</file>

<file path=customXml/itemProps2.xml><?xml version="1.0" encoding="utf-8"?>
<ds:datastoreItem xmlns:ds="http://schemas.openxmlformats.org/officeDocument/2006/customXml" ds:itemID="{1923C161-FCF8-4BCB-A402-DA3AE452FDE1}"/>
</file>

<file path=customXml/itemProps3.xml><?xml version="1.0" encoding="utf-8"?>
<ds:datastoreItem xmlns:ds="http://schemas.openxmlformats.org/officeDocument/2006/customXml" ds:itemID="{5621F135-EA42-4BE6-92FD-70D815363900}"/>
</file>

<file path=customXml/itemProps4.xml><?xml version="1.0" encoding="utf-8"?>
<ds:datastoreItem xmlns:ds="http://schemas.openxmlformats.org/officeDocument/2006/customXml" ds:itemID="{F463941A-756B-4BAB-B155-A8FD82D72E21}"/>
</file>

<file path=customXml/itemProps5.xml><?xml version="1.0" encoding="utf-8"?>
<ds:datastoreItem xmlns:ds="http://schemas.openxmlformats.org/officeDocument/2006/customXml" ds:itemID="{EC87D1D0-2744-4485-9790-C5A2343F5B82}"/>
</file>

<file path=docProps/app.xml><?xml version="1.0" encoding="utf-8"?>
<Properties xmlns="http://schemas.openxmlformats.org/officeDocument/2006/extended-properties" xmlns:vt="http://schemas.openxmlformats.org/officeDocument/2006/docPropsVTypes">
  <Template>SCCR_49 (F).dotm</Template>
  <TotalTime>30</TotalTime>
  <Pages>7</Pages>
  <Words>1783</Words>
  <Characters>9611</Characters>
  <Application>Microsoft Office Word</Application>
  <DocSecurity>0</DocSecurity>
  <Lines>266</Lines>
  <Paragraphs>93</Paragraphs>
  <ScaleCrop>false</ScaleCrop>
  <HeadingPairs>
    <vt:vector size="2" baseType="variant">
      <vt:variant>
        <vt:lpstr>Title</vt:lpstr>
      </vt:variant>
      <vt:variant>
        <vt:i4>1</vt:i4>
      </vt:variant>
    </vt:vector>
  </HeadingPairs>
  <TitlesOfParts>
    <vt:vector size="1" baseType="lpstr">
      <vt:lpstr>SCCR/49/INF/3</vt:lpstr>
    </vt:vector>
  </TitlesOfParts>
  <Company>WIPO</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SCCR/49/INF/3</dc:title>
  <dc:creator>OLIVIÉ Karen</dc:creator>
  <cp:keywords>FOR OFFICIAL USE ONLY</cp:keywords>
  <cp:lastModifiedBy>OLIVIÉ Karen</cp:lastModifiedBy>
  <cp:revision>4</cp:revision>
  <cp:lastPrinted>2011-05-19T12:37:00Z</cp:lastPrinted>
  <dcterms:created xsi:type="dcterms:W3CDTF">2026-10-29T12:20:00Z</dcterms:created>
  <dcterms:modified xsi:type="dcterms:W3CDTF">2026-10-29T12:51:00Z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2023-06-15T13:22:49Z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84ae5d55-befb-4a6b-9165-348fa8e40043</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OutSourcing">
    <vt:bool>false</vt:bool>
  </property>
  <property fmtid="{D5CDD505-2E9C-101B-9397-08002B2CF9AE}" pid="17" name="Order">
    <vt:r8>3636700</vt:r8>
  </property>
  <property fmtid="{D5CDD505-2E9C-101B-9397-08002B2CF9AE}" pid="18" name="xd_Signature">
    <vt:bool>false</vt:bool>
  </property>
  <property fmtid="{D5CDD505-2E9C-101B-9397-08002B2CF9AE}" pid="19" name="xd_ProgID">
    <vt:lpwstr/>
  </property>
  <property fmtid="{D5CDD505-2E9C-101B-9397-08002B2CF9AE}" pid="20" name="_SourceUrl">
    <vt:lpwstr/>
  </property>
  <property fmtid="{D5CDD505-2E9C-101B-9397-08002B2CF9AE}" pid="21" name="_SharedFileIndex">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DocClassification">
    <vt:lpwstr>Processed</vt:lpwstr>
  </property>
  <property fmtid="{D5CDD505-2E9C-101B-9397-08002B2CF9AE}" pid="27" name="MediaServiceImageTags">
    <vt:lpwstr/>
  </property>
  <property fmtid="{D5CDD505-2E9C-101B-9397-08002B2CF9AE}" pid="28" name="BusinessUnit">
    <vt:lpwstr>4;#Copyright Law Division|cf12c0b9-121d-482d-985f-135699a30b10</vt:lpwstr>
  </property>
  <property fmtid="{D5CDD505-2E9C-101B-9397-08002B2CF9AE}" pid="29" name="RMClassification">
    <vt:lpwstr>5</vt:lpwstr>
  </property>
  <property fmtid="{D5CDD505-2E9C-101B-9397-08002B2CF9AE}" pid="30" name="lcf76f155ced4ddcb4097134ff3c332f">
    <vt:lpwstr/>
  </property>
  <property fmtid="{D5CDD505-2E9C-101B-9397-08002B2CF9AE}" pid="31" name="ECCM_Year">
    <vt:lpwstr>65</vt:lpwstr>
  </property>
  <property fmtid="{D5CDD505-2E9C-101B-9397-08002B2CF9AE}" pid="32" name="Body1">
    <vt:lpwstr>3</vt:lpwstr>
  </property>
  <property fmtid="{D5CDD505-2E9C-101B-9397-08002B2CF9AE}" pid="33" name="IPTopics">
    <vt:lpwstr>2;#Copyright|dc59bd81-927d-4964-ac22-7dd6959393e8</vt:lpwstr>
  </property>
  <property fmtid="{D5CDD505-2E9C-101B-9397-08002B2CF9AE}" pid="34" name="Languages">
    <vt:lpwstr>1;#English|950e6fa2-2df0-4983-a604-54e57c7a6d93</vt:lpwstr>
  </property>
  <property fmtid="{D5CDD505-2E9C-101B-9397-08002B2CF9AE}" pid="35" name="_dlc_DocIdItemGuid">
    <vt:lpwstr>251f517d-6295-4fa7-9c15-a76f29255c50</vt:lpwstr>
  </property>
</Properties>
</file>