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19EEA" w14:textId="77777777" w:rsidR="008B2CC1" w:rsidRPr="00572FC0" w:rsidRDefault="00DB0349" w:rsidP="00DB0349">
      <w:pPr>
        <w:spacing w:after="120"/>
        <w:jc w:val="right"/>
        <w:rPr>
          <w:lang w:val="fr-FR"/>
        </w:rPr>
      </w:pPr>
      <w:r w:rsidRPr="00572FC0">
        <w:rPr>
          <w:noProof/>
          <w:lang w:val="fr-FR" w:eastAsia="en-US"/>
        </w:rPr>
        <w:drawing>
          <wp:inline distT="0" distB="0" distL="0" distR="0" wp14:anchorId="411D3DBB" wp14:editId="19D5F7D7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572FC0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4091C2D4" wp14:editId="32EC230C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73584AB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E4A5005" w14:textId="4451AA49" w:rsidR="008B2CC1" w:rsidRPr="00572FC0" w:rsidRDefault="00456117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572FC0">
        <w:rPr>
          <w:rFonts w:ascii="Arial Black" w:hAnsi="Arial Black"/>
          <w:caps/>
          <w:sz w:val="15"/>
          <w:szCs w:val="15"/>
          <w:lang w:val="fr-FR"/>
        </w:rPr>
        <w:t>SCCR/4</w:t>
      </w:r>
      <w:r w:rsidR="009252C3" w:rsidRPr="00572FC0">
        <w:rPr>
          <w:rFonts w:ascii="Arial Black" w:hAnsi="Arial Black"/>
          <w:caps/>
          <w:sz w:val="15"/>
          <w:szCs w:val="15"/>
          <w:lang w:val="fr-FR"/>
        </w:rPr>
        <w:t>8</w:t>
      </w:r>
      <w:r w:rsidR="00D55C00" w:rsidRPr="00572FC0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bookmarkEnd w:id="0"/>
      <w:r w:rsidR="00E078B6" w:rsidRPr="00572FC0">
        <w:rPr>
          <w:rFonts w:ascii="Arial Black" w:hAnsi="Arial Black"/>
          <w:caps/>
          <w:sz w:val="15"/>
          <w:szCs w:val="15"/>
          <w:lang w:val="fr-FR"/>
        </w:rPr>
        <w:t>INF/3</w:t>
      </w:r>
    </w:p>
    <w:p w14:paraId="03ECC7EE" w14:textId="4A18A1DE" w:rsidR="008B2CC1" w:rsidRPr="00572FC0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572FC0">
        <w:rPr>
          <w:rFonts w:ascii="Arial Black" w:hAnsi="Arial Black"/>
          <w:caps/>
          <w:sz w:val="15"/>
          <w:szCs w:val="15"/>
          <w:lang w:val="fr-FR"/>
        </w:rPr>
        <w:t>Original</w:t>
      </w:r>
      <w:r w:rsidR="000D051A" w:rsidRPr="00572FC0">
        <w:rPr>
          <w:rFonts w:ascii="Arial Black" w:hAnsi="Arial Black"/>
          <w:caps/>
          <w:sz w:val="15"/>
          <w:szCs w:val="15"/>
          <w:lang w:val="fr-FR"/>
        </w:rPr>
        <w:t> :</w:t>
      </w:r>
      <w:r w:rsidRPr="00572FC0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E078B6" w:rsidRPr="00572FC0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2DBEAF88" w14:textId="4EE3D7F1" w:rsidR="008B2CC1" w:rsidRPr="00572FC0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572FC0">
        <w:rPr>
          <w:rFonts w:ascii="Arial Black" w:hAnsi="Arial Black"/>
          <w:caps/>
          <w:sz w:val="15"/>
          <w:szCs w:val="15"/>
          <w:lang w:val="fr-FR"/>
        </w:rPr>
        <w:t>date</w:t>
      </w:r>
      <w:r w:rsidR="000D051A" w:rsidRPr="00572FC0">
        <w:rPr>
          <w:rFonts w:ascii="Arial Black" w:hAnsi="Arial Black"/>
          <w:caps/>
          <w:sz w:val="15"/>
          <w:szCs w:val="15"/>
          <w:lang w:val="fr-FR"/>
        </w:rPr>
        <w:t> :</w:t>
      </w:r>
      <w:r w:rsidRPr="00572FC0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E078B6" w:rsidRPr="00572FC0">
        <w:rPr>
          <w:rFonts w:ascii="Arial Black" w:hAnsi="Arial Black"/>
          <w:caps/>
          <w:sz w:val="15"/>
          <w:szCs w:val="15"/>
          <w:lang w:val="fr-FR"/>
        </w:rPr>
        <w:t>19 mai 2026</w:t>
      </w:r>
    </w:p>
    <w:bookmarkEnd w:id="2"/>
    <w:p w14:paraId="0760C57C" w14:textId="72D3C8D3" w:rsidR="00C40E15" w:rsidRPr="00572FC0" w:rsidRDefault="00D55C00" w:rsidP="00E97651">
      <w:pPr>
        <w:spacing w:after="480"/>
        <w:rPr>
          <w:b/>
          <w:sz w:val="28"/>
          <w:szCs w:val="28"/>
          <w:lang w:val="fr-FR"/>
        </w:rPr>
      </w:pPr>
      <w:r w:rsidRPr="00572FC0">
        <w:rPr>
          <w:b/>
          <w:sz w:val="28"/>
          <w:szCs w:val="28"/>
          <w:lang w:val="fr-FR"/>
        </w:rPr>
        <w:t>Comité permanent du droit d</w:t>
      </w:r>
      <w:r w:rsidR="000D051A" w:rsidRPr="00572FC0">
        <w:rPr>
          <w:b/>
          <w:sz w:val="28"/>
          <w:szCs w:val="28"/>
          <w:lang w:val="fr-FR"/>
        </w:rPr>
        <w:t>’</w:t>
      </w:r>
      <w:r w:rsidRPr="00572FC0">
        <w:rPr>
          <w:b/>
          <w:sz w:val="28"/>
          <w:szCs w:val="28"/>
          <w:lang w:val="fr-FR"/>
        </w:rPr>
        <w:t>auteur et des droits connexes</w:t>
      </w:r>
    </w:p>
    <w:p w14:paraId="2684C7B1" w14:textId="13B5A96C" w:rsidR="008B2CC1" w:rsidRPr="00572FC0" w:rsidRDefault="00D55C00" w:rsidP="008B2CC1">
      <w:pPr>
        <w:rPr>
          <w:b/>
          <w:sz w:val="24"/>
          <w:szCs w:val="24"/>
          <w:lang w:val="fr-FR"/>
        </w:rPr>
      </w:pPr>
      <w:r w:rsidRPr="00572FC0">
        <w:rPr>
          <w:b/>
          <w:sz w:val="24"/>
          <w:szCs w:val="24"/>
          <w:lang w:val="fr-FR"/>
        </w:rPr>
        <w:t>Quarante</w:t>
      </w:r>
      <w:r w:rsidR="00572FC0">
        <w:rPr>
          <w:b/>
          <w:sz w:val="24"/>
          <w:szCs w:val="24"/>
          <w:lang w:val="fr-FR"/>
        </w:rPr>
        <w:noBreakHyphen/>
      </w:r>
      <w:r w:rsidR="009252C3" w:rsidRPr="00572FC0">
        <w:rPr>
          <w:b/>
          <w:sz w:val="24"/>
          <w:szCs w:val="24"/>
          <w:lang w:val="fr-FR"/>
        </w:rPr>
        <w:t>huit</w:t>
      </w:r>
      <w:r w:rsidR="000D051A" w:rsidRPr="00572FC0">
        <w:rPr>
          <w:b/>
          <w:sz w:val="24"/>
          <w:szCs w:val="24"/>
          <w:lang w:val="fr-FR"/>
        </w:rPr>
        <w:t>ième session</w:t>
      </w:r>
    </w:p>
    <w:p w14:paraId="4EED9A21" w14:textId="77777777" w:rsidR="008B2CC1" w:rsidRPr="00572FC0" w:rsidRDefault="00D55C00" w:rsidP="00DB0349">
      <w:pPr>
        <w:spacing w:after="720"/>
        <w:rPr>
          <w:b/>
          <w:sz w:val="24"/>
          <w:szCs w:val="24"/>
          <w:lang w:val="fr-FR"/>
        </w:rPr>
      </w:pPr>
      <w:r w:rsidRPr="00572FC0">
        <w:rPr>
          <w:b/>
          <w:sz w:val="24"/>
          <w:szCs w:val="24"/>
          <w:lang w:val="fr-FR"/>
        </w:rPr>
        <w:t xml:space="preserve">Genève, </w:t>
      </w:r>
      <w:r w:rsidR="00AC2EBA" w:rsidRPr="00572FC0">
        <w:rPr>
          <w:b/>
          <w:sz w:val="24"/>
          <w:szCs w:val="24"/>
          <w:lang w:val="fr-FR"/>
        </w:rPr>
        <w:t>1</w:t>
      </w:r>
      <w:r w:rsidR="009252C3" w:rsidRPr="00572FC0">
        <w:rPr>
          <w:b/>
          <w:sz w:val="24"/>
          <w:szCs w:val="24"/>
          <w:lang w:val="fr-FR"/>
        </w:rPr>
        <w:t>8</w:t>
      </w:r>
      <w:r w:rsidR="00AC2EBA" w:rsidRPr="00572FC0">
        <w:rPr>
          <w:b/>
          <w:sz w:val="24"/>
          <w:szCs w:val="24"/>
          <w:lang w:val="fr-FR"/>
        </w:rPr>
        <w:t xml:space="preserve"> </w:t>
      </w:r>
      <w:r w:rsidR="00456117" w:rsidRPr="00572FC0">
        <w:rPr>
          <w:b/>
          <w:sz w:val="24"/>
          <w:szCs w:val="24"/>
          <w:lang w:val="fr-FR"/>
        </w:rPr>
        <w:t xml:space="preserve">– </w:t>
      </w:r>
      <w:r w:rsidR="009252C3" w:rsidRPr="00572FC0">
        <w:rPr>
          <w:b/>
          <w:sz w:val="24"/>
          <w:szCs w:val="24"/>
          <w:lang w:val="fr-FR"/>
        </w:rPr>
        <w:t>22</w:t>
      </w:r>
      <w:r w:rsidR="00DC4A0D" w:rsidRPr="00572FC0">
        <w:rPr>
          <w:b/>
          <w:sz w:val="24"/>
          <w:szCs w:val="24"/>
          <w:lang w:val="fr-FR"/>
        </w:rPr>
        <w:t> </w:t>
      </w:r>
      <w:r w:rsidR="009252C3" w:rsidRPr="00572FC0">
        <w:rPr>
          <w:b/>
          <w:sz w:val="24"/>
          <w:szCs w:val="24"/>
          <w:lang w:val="fr-FR"/>
        </w:rPr>
        <w:t>mai</w:t>
      </w:r>
      <w:r w:rsidR="00AC2EBA" w:rsidRPr="00572FC0">
        <w:rPr>
          <w:b/>
          <w:sz w:val="24"/>
          <w:szCs w:val="24"/>
          <w:lang w:val="fr-FR"/>
        </w:rPr>
        <w:t> </w:t>
      </w:r>
      <w:r w:rsidR="00456117" w:rsidRPr="00572FC0">
        <w:rPr>
          <w:b/>
          <w:sz w:val="24"/>
          <w:szCs w:val="24"/>
          <w:lang w:val="fr-FR"/>
        </w:rPr>
        <w:t>202</w:t>
      </w:r>
      <w:r w:rsidR="009252C3" w:rsidRPr="00572FC0">
        <w:rPr>
          <w:b/>
          <w:sz w:val="24"/>
          <w:szCs w:val="24"/>
          <w:lang w:val="fr-FR"/>
        </w:rPr>
        <w:t>6</w:t>
      </w:r>
    </w:p>
    <w:p w14:paraId="63C6E77A" w14:textId="506B1C2C" w:rsidR="00E078B6" w:rsidRPr="00572FC0" w:rsidRDefault="00E5592F" w:rsidP="00E5592F">
      <w:pPr>
        <w:spacing w:after="360"/>
        <w:rPr>
          <w:caps/>
          <w:sz w:val="24"/>
          <w:lang w:val="fr-FR"/>
        </w:rPr>
      </w:pPr>
      <w:bookmarkStart w:id="3" w:name="TitleOfDoc"/>
      <w:r w:rsidRPr="00572FC0">
        <w:rPr>
          <w:caps/>
          <w:sz w:val="24"/>
          <w:lang w:val="fr-FR"/>
        </w:rPr>
        <w:t>Séance d</w:t>
      </w:r>
      <w:r w:rsidR="000D051A" w:rsidRPr="00572FC0">
        <w:rPr>
          <w:caps/>
          <w:sz w:val="24"/>
          <w:lang w:val="fr-FR"/>
        </w:rPr>
        <w:t>’</w:t>
      </w:r>
      <w:r w:rsidRPr="00572FC0">
        <w:rPr>
          <w:caps/>
          <w:sz w:val="24"/>
          <w:lang w:val="fr-FR"/>
        </w:rPr>
        <w:t>information sur le droit d</w:t>
      </w:r>
      <w:r w:rsidR="000D051A" w:rsidRPr="00572FC0">
        <w:rPr>
          <w:caps/>
          <w:sz w:val="24"/>
          <w:lang w:val="fr-FR"/>
        </w:rPr>
        <w:t>’</w:t>
      </w:r>
      <w:r w:rsidRPr="00572FC0">
        <w:rPr>
          <w:caps/>
          <w:sz w:val="24"/>
          <w:lang w:val="fr-FR"/>
        </w:rPr>
        <w:t>auteur et l</w:t>
      </w:r>
      <w:r w:rsidR="000D051A" w:rsidRPr="00572FC0">
        <w:rPr>
          <w:caps/>
          <w:sz w:val="24"/>
          <w:lang w:val="fr-FR"/>
        </w:rPr>
        <w:t>’</w:t>
      </w:r>
      <w:r w:rsidRPr="00572FC0">
        <w:rPr>
          <w:caps/>
          <w:sz w:val="24"/>
          <w:lang w:val="fr-FR"/>
        </w:rPr>
        <w:t>intelligence artificielle générative – programme</w:t>
      </w:r>
    </w:p>
    <w:p w14:paraId="60AB2A9B" w14:textId="77777777" w:rsidR="00E078B6" w:rsidRPr="00572FC0" w:rsidRDefault="00E078B6" w:rsidP="00E078B6">
      <w:pPr>
        <w:spacing w:after="960"/>
        <w:rPr>
          <w:i/>
          <w:iCs/>
          <w:lang w:val="fr-FR"/>
        </w:rPr>
      </w:pPr>
      <w:bookmarkStart w:id="4" w:name="Prepared"/>
      <w:bookmarkEnd w:id="3"/>
      <w:r w:rsidRPr="00572FC0">
        <w:rPr>
          <w:i/>
          <w:lang w:val="fr-FR"/>
        </w:rPr>
        <w:t>Document établi par le Secrétariat</w:t>
      </w:r>
    </w:p>
    <w:bookmarkEnd w:id="4"/>
    <w:p w14:paraId="218E6835" w14:textId="77777777" w:rsidR="00E078B6" w:rsidRPr="00572FC0" w:rsidRDefault="00E078B6" w:rsidP="00E078B6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1701"/>
          <w:tab w:val="left" w:pos="3402"/>
          <w:tab w:val="left" w:pos="5103"/>
        </w:tabs>
        <w:spacing w:after="60"/>
        <w:ind w:left="357" w:hanging="357"/>
        <w:rPr>
          <w:i/>
          <w:iCs/>
        </w:rPr>
      </w:pPr>
      <w:r w:rsidRPr="00572FC0">
        <w:br w:type="page"/>
      </w:r>
    </w:p>
    <w:p w14:paraId="6F40824E" w14:textId="4BE0A76F" w:rsidR="00E078B6" w:rsidRPr="00572FC0" w:rsidRDefault="00E078B6" w:rsidP="009372DA">
      <w:pPr>
        <w:pStyle w:val="Heading2"/>
        <w:keepNext w:val="0"/>
        <w:tabs>
          <w:tab w:val="left" w:pos="1701"/>
          <w:tab w:val="left" w:pos="3402"/>
          <w:tab w:val="left" w:pos="5103"/>
        </w:tabs>
        <w:spacing w:before="0" w:after="360"/>
        <w:rPr>
          <w:caps w:val="0"/>
          <w:u w:val="single"/>
          <w:lang w:val="fr-FR"/>
        </w:rPr>
      </w:pPr>
      <w:r w:rsidRPr="00572FC0">
        <w:rPr>
          <w:caps w:val="0"/>
          <w:u w:val="single"/>
          <w:lang w:val="fr-FR"/>
        </w:rPr>
        <w:lastRenderedPageBreak/>
        <w:t>Jeudi 21 </w:t>
      </w:r>
      <w:r w:rsidR="000D051A" w:rsidRPr="00572FC0">
        <w:rPr>
          <w:caps w:val="0"/>
          <w:u w:val="single"/>
          <w:lang w:val="fr-FR"/>
        </w:rPr>
        <w:t>mai 20</w:t>
      </w:r>
      <w:r w:rsidRPr="00572FC0">
        <w:rPr>
          <w:caps w:val="0"/>
          <w:u w:val="single"/>
          <w:lang w:val="fr-FR"/>
        </w:rPr>
        <w:t>26</w:t>
      </w:r>
    </w:p>
    <w:p w14:paraId="18D3EE5D" w14:textId="77777777" w:rsidR="00E078B6" w:rsidRPr="00572FC0" w:rsidRDefault="00E078B6" w:rsidP="009372DA">
      <w:pPr>
        <w:pStyle w:val="Heading3"/>
        <w:keepNext w:val="0"/>
        <w:tabs>
          <w:tab w:val="left" w:pos="2268"/>
        </w:tabs>
        <w:spacing w:before="0" w:after="220"/>
        <w:rPr>
          <w:u w:val="none"/>
          <w:lang w:val="fr-FR"/>
        </w:rPr>
      </w:pPr>
      <w:r w:rsidRPr="00572FC0">
        <w:rPr>
          <w:u w:val="none"/>
          <w:lang w:val="fr-FR"/>
        </w:rPr>
        <w:t>14 h 30 – 14 h 40</w:t>
      </w:r>
      <w:r w:rsidRPr="00572FC0">
        <w:rPr>
          <w:u w:val="none"/>
          <w:lang w:val="fr-FR"/>
        </w:rPr>
        <w:tab/>
        <w:t>Ouverture</w:t>
      </w:r>
    </w:p>
    <w:p w14:paraId="156C1B5D" w14:textId="5358F387" w:rsidR="00E078B6" w:rsidRPr="00572FC0" w:rsidRDefault="00E078B6" w:rsidP="009372DA">
      <w:pPr>
        <w:spacing w:after="220"/>
        <w:ind w:left="2268"/>
        <w:rPr>
          <w:lang w:val="fr-FR"/>
        </w:rPr>
      </w:pPr>
      <w:r w:rsidRPr="00572FC0">
        <w:rPr>
          <w:lang w:val="fr-FR"/>
        </w:rPr>
        <w:t>Allocution de bienvenue prononcée par</w:t>
      </w:r>
      <w:r w:rsidR="000D051A" w:rsidRPr="00572FC0">
        <w:rPr>
          <w:lang w:val="fr-FR"/>
        </w:rPr>
        <w:t> :</w:t>
      </w:r>
    </w:p>
    <w:p w14:paraId="6F626D63" w14:textId="6D87838E" w:rsidR="00E078B6" w:rsidRPr="00572FC0" w:rsidRDefault="00E078B6" w:rsidP="009372DA">
      <w:pPr>
        <w:spacing w:after="220"/>
        <w:ind w:left="2268"/>
        <w:rPr>
          <w:lang w:val="fr-FR"/>
        </w:rPr>
      </w:pPr>
      <w:r w:rsidRPr="00572FC0">
        <w:rPr>
          <w:lang w:val="fr-FR"/>
        </w:rPr>
        <w:t>Mme Sylvie Forbin, vice</w:t>
      </w:r>
      <w:r w:rsidR="00572FC0">
        <w:rPr>
          <w:lang w:val="fr-FR"/>
        </w:rPr>
        <w:noBreakHyphen/>
      </w:r>
      <w:r w:rsidRPr="00572FC0">
        <w:rPr>
          <w:lang w:val="fr-FR"/>
        </w:rPr>
        <w:t>directrice générale chargée du Secteur du droit d</w:t>
      </w:r>
      <w:r w:rsidR="000D051A" w:rsidRPr="00572FC0">
        <w:rPr>
          <w:lang w:val="fr-FR"/>
        </w:rPr>
        <w:t>’</w:t>
      </w:r>
      <w:r w:rsidRPr="00572FC0">
        <w:rPr>
          <w:lang w:val="fr-FR"/>
        </w:rPr>
        <w:t>auteur et des industries de la création, Organisation Mondiale de la Propriété Intellectuelle (OMPI), Genève</w:t>
      </w:r>
    </w:p>
    <w:p w14:paraId="2E0B6E6B" w14:textId="207C63F4" w:rsidR="00E078B6" w:rsidRPr="00572FC0" w:rsidRDefault="00E078B6" w:rsidP="009372DA">
      <w:pPr>
        <w:tabs>
          <w:tab w:val="left" w:pos="2268"/>
        </w:tabs>
        <w:spacing w:after="220"/>
        <w:rPr>
          <w:lang w:val="fr-FR"/>
        </w:rPr>
      </w:pPr>
      <w:r w:rsidRPr="00572FC0">
        <w:rPr>
          <w:lang w:val="fr-FR"/>
        </w:rPr>
        <w:t>14 h 40 – 15 h 40</w:t>
      </w:r>
      <w:r w:rsidRPr="00572FC0">
        <w:rPr>
          <w:lang w:val="fr-FR"/>
        </w:rPr>
        <w:tab/>
      </w:r>
      <w:r w:rsidRPr="00572FC0">
        <w:rPr>
          <w:b/>
          <w:lang w:val="fr-FR"/>
        </w:rPr>
        <w:t>Session 1</w:t>
      </w:r>
      <w:r w:rsidR="000D051A" w:rsidRPr="00572FC0">
        <w:rPr>
          <w:b/>
          <w:lang w:val="fr-FR"/>
        </w:rPr>
        <w:t> :</w:t>
      </w:r>
      <w:r w:rsidRPr="00572FC0">
        <w:rPr>
          <w:lang w:val="fr-FR"/>
        </w:rPr>
        <w:t xml:space="preserve"> </w:t>
      </w:r>
      <w:r w:rsidRPr="00572FC0">
        <w:rPr>
          <w:b/>
          <w:lang w:val="fr-FR"/>
        </w:rPr>
        <w:t>Initiatives des États membres</w:t>
      </w:r>
    </w:p>
    <w:p w14:paraId="0797D7AA" w14:textId="62AD7480" w:rsidR="00E078B6" w:rsidRPr="00572FC0" w:rsidRDefault="00E078B6" w:rsidP="009372DA">
      <w:pPr>
        <w:pStyle w:val="ListParagraph"/>
        <w:shd w:val="clear" w:color="auto" w:fill="D9D9D9" w:themeFill="background1" w:themeFillShade="D9"/>
        <w:tabs>
          <w:tab w:val="left" w:pos="2268"/>
        </w:tabs>
        <w:spacing w:after="220"/>
        <w:ind w:left="2268"/>
        <w:contextualSpacing w:val="0"/>
        <w:rPr>
          <w:i/>
          <w:iCs/>
        </w:rPr>
      </w:pPr>
      <w:r w:rsidRPr="00572FC0">
        <w:rPr>
          <w:i/>
        </w:rPr>
        <w:t>Dans cette première partie, les États membres de l</w:t>
      </w:r>
      <w:r w:rsidR="000D051A" w:rsidRPr="00572FC0">
        <w:rPr>
          <w:i/>
        </w:rPr>
        <w:t>’</w:t>
      </w:r>
      <w:r w:rsidRPr="00572FC0">
        <w:rPr>
          <w:i/>
        </w:rPr>
        <w:t>OMPI rendront compte des initiatives qu</w:t>
      </w:r>
      <w:r w:rsidR="000D051A" w:rsidRPr="00572FC0">
        <w:rPr>
          <w:i/>
        </w:rPr>
        <w:t>’</w:t>
      </w:r>
      <w:r w:rsidRPr="00572FC0">
        <w:rPr>
          <w:i/>
        </w:rPr>
        <w:t>ils ont récemment mises en œuvre à la croisée du droit d</w:t>
      </w:r>
      <w:r w:rsidR="000D051A" w:rsidRPr="00572FC0">
        <w:rPr>
          <w:i/>
        </w:rPr>
        <w:t>’</w:t>
      </w:r>
      <w:r w:rsidRPr="00572FC0">
        <w:rPr>
          <w:i/>
        </w:rPr>
        <w:t>auteur et de l</w:t>
      </w:r>
      <w:r w:rsidR="000D051A" w:rsidRPr="00572FC0">
        <w:rPr>
          <w:i/>
        </w:rPr>
        <w:t>’</w:t>
      </w:r>
      <w:r w:rsidRPr="00572FC0">
        <w:rPr>
          <w:i/>
        </w:rPr>
        <w:t>IA générative, en exposant les principes qui les ont guidés et en partageant les enseignements tirés.</w:t>
      </w:r>
    </w:p>
    <w:p w14:paraId="67395199" w14:textId="77777777" w:rsidR="00E078B6" w:rsidRPr="00572FC0" w:rsidRDefault="00E078B6" w:rsidP="009372DA">
      <w:pPr>
        <w:keepNext/>
        <w:tabs>
          <w:tab w:val="left" w:pos="2268"/>
        </w:tabs>
        <w:spacing w:after="220"/>
        <w:ind w:left="2268"/>
        <w:rPr>
          <w:i/>
          <w:iCs/>
          <w:lang w:val="fr-FR"/>
        </w:rPr>
      </w:pPr>
      <w:r w:rsidRPr="00572FC0">
        <w:rPr>
          <w:i/>
          <w:lang w:val="fr-FR"/>
        </w:rPr>
        <w:t>Exposés et interaction avec le public</w:t>
      </w:r>
    </w:p>
    <w:p w14:paraId="1CFC474E" w14:textId="040BACF4" w:rsidR="00E078B6" w:rsidRPr="00572FC0" w:rsidRDefault="00E078B6" w:rsidP="009372DA">
      <w:pPr>
        <w:spacing w:after="220"/>
        <w:ind w:left="5670" w:hanging="3402"/>
        <w:rPr>
          <w:lang w:val="fr-FR"/>
        </w:rPr>
      </w:pPr>
      <w:r w:rsidRPr="00572FC0">
        <w:rPr>
          <w:lang w:val="fr-FR"/>
        </w:rPr>
        <w:t>Animateur</w:t>
      </w:r>
      <w:r w:rsidR="000D051A" w:rsidRPr="00572FC0">
        <w:rPr>
          <w:lang w:val="fr-FR"/>
        </w:rPr>
        <w:t> :</w:t>
      </w:r>
      <w:r w:rsidRPr="00572FC0">
        <w:rPr>
          <w:lang w:val="fr-FR"/>
        </w:rPr>
        <w:t xml:space="preserve"> </w:t>
      </w:r>
      <w:r w:rsidRPr="00572FC0">
        <w:rPr>
          <w:lang w:val="fr-FR"/>
        </w:rPr>
        <w:tab/>
        <w:t>M. Tobias </w:t>
      </w:r>
      <w:proofErr w:type="spellStart"/>
      <w:r w:rsidRPr="00572FC0">
        <w:rPr>
          <w:lang w:val="fr-FR"/>
        </w:rPr>
        <w:t>Bednarz</w:t>
      </w:r>
      <w:proofErr w:type="spellEnd"/>
      <w:r w:rsidRPr="00572FC0">
        <w:rPr>
          <w:lang w:val="fr-FR"/>
        </w:rPr>
        <w:t>, conseiller juridique, Division du droit d</w:t>
      </w:r>
      <w:r w:rsidR="000D051A" w:rsidRPr="00572FC0">
        <w:rPr>
          <w:lang w:val="fr-FR"/>
        </w:rPr>
        <w:t>’</w:t>
      </w:r>
      <w:r w:rsidRPr="00572FC0">
        <w:rPr>
          <w:lang w:val="fr-FR"/>
        </w:rPr>
        <w:t>auteur, Secteur du droit d</w:t>
      </w:r>
      <w:r w:rsidR="000D051A" w:rsidRPr="00572FC0">
        <w:rPr>
          <w:lang w:val="fr-FR"/>
        </w:rPr>
        <w:t>’</w:t>
      </w:r>
      <w:r w:rsidRPr="00572FC0">
        <w:rPr>
          <w:lang w:val="fr-FR"/>
        </w:rPr>
        <w:t>auteur et des industries de la création, OMPI</w:t>
      </w:r>
    </w:p>
    <w:p w14:paraId="15484452" w14:textId="5F134AB3" w:rsidR="00E078B6" w:rsidRPr="00572FC0" w:rsidRDefault="00E078B6" w:rsidP="009372DA">
      <w:pPr>
        <w:tabs>
          <w:tab w:val="left" w:pos="5670"/>
        </w:tabs>
        <w:spacing w:after="220"/>
        <w:ind w:left="5670" w:hanging="3402"/>
        <w:rPr>
          <w:lang w:val="fr-FR"/>
        </w:rPr>
      </w:pPr>
      <w:r w:rsidRPr="00572FC0">
        <w:rPr>
          <w:lang w:val="fr-FR"/>
        </w:rPr>
        <w:t>Conférencières et conférencier</w:t>
      </w:r>
      <w:r w:rsidR="000D051A" w:rsidRPr="00572FC0">
        <w:rPr>
          <w:lang w:val="fr-FR"/>
        </w:rPr>
        <w:t> :</w:t>
      </w:r>
      <w:r w:rsidR="00F82C5B" w:rsidRPr="00572FC0">
        <w:rPr>
          <w:lang w:val="fr-FR"/>
        </w:rPr>
        <w:t xml:space="preserve"> </w:t>
      </w:r>
      <w:r w:rsidRPr="00572FC0">
        <w:rPr>
          <w:lang w:val="fr-FR"/>
        </w:rPr>
        <w:tab/>
        <w:t>Mme</w:t>
      </w:r>
      <w:r w:rsidR="00F82C5B" w:rsidRPr="00572FC0">
        <w:rPr>
          <w:lang w:val="fr-FR"/>
        </w:rPr>
        <w:t> </w:t>
      </w:r>
      <w:r w:rsidRPr="00572FC0">
        <w:rPr>
          <w:lang w:val="fr-FR"/>
        </w:rPr>
        <w:t>Simrat Kaur, directrice, droit d</w:t>
      </w:r>
      <w:r w:rsidR="000D051A" w:rsidRPr="00572FC0">
        <w:rPr>
          <w:lang w:val="fr-FR"/>
        </w:rPr>
        <w:t>’</w:t>
      </w:r>
      <w:r w:rsidRPr="00572FC0">
        <w:rPr>
          <w:lang w:val="fr-FR"/>
        </w:rPr>
        <w:t>auteur, dessins et modèles et Cellule de promotion et de gestion des droits de propriété intellectuelle (CIPAM), Coopération internationale – Division Amériques, Département de la promotion de l</w:t>
      </w:r>
      <w:r w:rsidR="000D051A" w:rsidRPr="00572FC0">
        <w:rPr>
          <w:lang w:val="fr-FR"/>
        </w:rPr>
        <w:t>’</w:t>
      </w:r>
      <w:r w:rsidRPr="00572FC0">
        <w:rPr>
          <w:lang w:val="fr-FR"/>
        </w:rPr>
        <w:t>industrie et du commerce intérieur, Ministère du commerce et de l</w:t>
      </w:r>
      <w:r w:rsidR="000D051A" w:rsidRPr="00572FC0">
        <w:rPr>
          <w:lang w:val="fr-FR"/>
        </w:rPr>
        <w:t>’</w:t>
      </w:r>
      <w:r w:rsidRPr="00572FC0">
        <w:rPr>
          <w:lang w:val="fr-FR"/>
        </w:rPr>
        <w:t>industrie (Inde) (à distance)</w:t>
      </w:r>
    </w:p>
    <w:p w14:paraId="1071AE1F" w14:textId="0225A4AD" w:rsidR="00E078B6" w:rsidRPr="00572FC0" w:rsidRDefault="00E078B6" w:rsidP="009372DA">
      <w:pPr>
        <w:spacing w:after="220" w:line="259" w:lineRule="auto"/>
        <w:ind w:left="5670"/>
        <w:rPr>
          <w:rFonts w:eastAsia="Arial"/>
          <w:lang w:val="fr-FR"/>
        </w:rPr>
      </w:pPr>
      <w:r w:rsidRPr="00572FC0">
        <w:rPr>
          <w:lang w:val="fr-FR"/>
        </w:rPr>
        <w:t>Mme</w:t>
      </w:r>
      <w:r w:rsidR="00F82C5B" w:rsidRPr="00572FC0">
        <w:rPr>
          <w:lang w:val="fr-FR"/>
        </w:rPr>
        <w:t> </w:t>
      </w:r>
      <w:r w:rsidRPr="00572FC0">
        <w:rPr>
          <w:lang w:val="fr-FR"/>
        </w:rPr>
        <w:t xml:space="preserve">Sholpan Abdreyeva, présidente du Comité des droits de propriété intellectuelle, </w:t>
      </w:r>
      <w:proofErr w:type="gramStart"/>
      <w:r w:rsidRPr="00572FC0">
        <w:rPr>
          <w:lang w:val="fr-FR"/>
        </w:rPr>
        <w:t>Ministère de la justice</w:t>
      </w:r>
      <w:proofErr w:type="gramEnd"/>
      <w:r w:rsidRPr="00572FC0">
        <w:rPr>
          <w:lang w:val="fr-FR"/>
        </w:rPr>
        <w:t xml:space="preserve"> du Kazakhstan (à distance)</w:t>
      </w:r>
    </w:p>
    <w:p w14:paraId="743194CE" w14:textId="792B26AF" w:rsidR="00E078B6" w:rsidRPr="00572FC0" w:rsidRDefault="00E078B6" w:rsidP="009372DA">
      <w:pPr>
        <w:spacing w:after="220"/>
        <w:ind w:left="5670"/>
        <w:rPr>
          <w:rFonts w:eastAsia="Arial"/>
          <w:lang w:val="fr-FR"/>
        </w:rPr>
      </w:pPr>
      <w:r w:rsidRPr="00572FC0">
        <w:rPr>
          <w:lang w:val="fr-FR"/>
        </w:rPr>
        <w:t>Mme</w:t>
      </w:r>
      <w:r w:rsidR="00F82C5B" w:rsidRPr="00572FC0">
        <w:rPr>
          <w:lang w:val="fr-FR"/>
        </w:rPr>
        <w:t> </w:t>
      </w:r>
      <w:r w:rsidRPr="00572FC0">
        <w:rPr>
          <w:lang w:val="fr-FR"/>
        </w:rPr>
        <w:t xml:space="preserve">Karina Luján </w:t>
      </w:r>
      <w:proofErr w:type="spellStart"/>
      <w:r w:rsidRPr="00572FC0">
        <w:rPr>
          <w:lang w:val="fr-FR"/>
        </w:rPr>
        <w:t>Luján</w:t>
      </w:r>
      <w:proofErr w:type="spellEnd"/>
      <w:r w:rsidRPr="00572FC0">
        <w:rPr>
          <w:lang w:val="fr-FR"/>
        </w:rPr>
        <w:t>, directrice générale de l</w:t>
      </w:r>
      <w:r w:rsidR="000D051A" w:rsidRPr="00572FC0">
        <w:rPr>
          <w:lang w:val="fr-FR"/>
        </w:rPr>
        <w:t>’</w:t>
      </w:r>
      <w:r w:rsidRPr="00572FC0">
        <w:rPr>
          <w:lang w:val="fr-FR"/>
        </w:rPr>
        <w:t>Institut national du droit d</w:t>
      </w:r>
      <w:r w:rsidR="000D051A" w:rsidRPr="00572FC0">
        <w:rPr>
          <w:lang w:val="fr-FR"/>
        </w:rPr>
        <w:t>’</w:t>
      </w:r>
      <w:r w:rsidRPr="00572FC0">
        <w:rPr>
          <w:lang w:val="fr-FR"/>
        </w:rPr>
        <w:t>auteur (INDAUTOR) (Mexique) (à distance)</w:t>
      </w:r>
    </w:p>
    <w:p w14:paraId="2D268FDC" w14:textId="0BD609AB" w:rsidR="00E078B6" w:rsidRPr="00572FC0" w:rsidRDefault="00E078B6" w:rsidP="009372DA">
      <w:pPr>
        <w:spacing w:after="220"/>
        <w:ind w:left="5670"/>
        <w:rPr>
          <w:rFonts w:eastAsia="Arial"/>
          <w:lang w:val="fr-FR"/>
        </w:rPr>
      </w:pPr>
      <w:r w:rsidRPr="00572FC0">
        <w:rPr>
          <w:lang w:val="fr-FR"/>
        </w:rPr>
        <w:t>M.</w:t>
      </w:r>
      <w:r w:rsidR="00F82C5B" w:rsidRPr="00572FC0">
        <w:rPr>
          <w:rFonts w:eastAsia="Arial"/>
          <w:lang w:val="fr-FR"/>
        </w:rPr>
        <w:t> </w:t>
      </w:r>
      <w:r w:rsidRPr="00572FC0">
        <w:rPr>
          <w:lang w:val="fr-FR"/>
        </w:rPr>
        <w:t>Ahmed</w:t>
      </w:r>
      <w:r w:rsidR="00572FC0">
        <w:rPr>
          <w:lang w:val="fr-FR"/>
        </w:rPr>
        <w:t> </w:t>
      </w:r>
      <w:r w:rsidRPr="00572FC0">
        <w:rPr>
          <w:lang w:val="fr-FR"/>
        </w:rPr>
        <w:t>Asiri, chef du Département du droit d</w:t>
      </w:r>
      <w:r w:rsidR="000D051A" w:rsidRPr="00572FC0">
        <w:rPr>
          <w:lang w:val="fr-FR"/>
        </w:rPr>
        <w:t>’</w:t>
      </w:r>
      <w:r w:rsidRPr="00572FC0">
        <w:rPr>
          <w:lang w:val="fr-FR"/>
        </w:rPr>
        <w:t>auteur, Autorité saoudienne de la propriété intellectuelle (SAIP) (</w:t>
      </w:r>
      <w:r w:rsidR="000D051A" w:rsidRPr="00572FC0">
        <w:rPr>
          <w:lang w:val="fr-FR"/>
        </w:rPr>
        <w:t>Arabie saoudite</w:t>
      </w:r>
      <w:r w:rsidRPr="00572FC0">
        <w:rPr>
          <w:lang w:val="fr-FR"/>
        </w:rPr>
        <w:t>) (à distance)</w:t>
      </w:r>
    </w:p>
    <w:p w14:paraId="3B69A97D" w14:textId="24836C7D" w:rsidR="00E078B6" w:rsidRPr="00572FC0" w:rsidRDefault="00E078B6" w:rsidP="00766E3D">
      <w:pPr>
        <w:keepLines/>
        <w:spacing w:after="220"/>
        <w:ind w:left="5670"/>
        <w:rPr>
          <w:rFonts w:eastAsia="Arial"/>
          <w:lang w:val="fr-FR"/>
        </w:rPr>
      </w:pPr>
      <w:r w:rsidRPr="00572FC0">
        <w:rPr>
          <w:lang w:val="fr-FR"/>
        </w:rPr>
        <w:lastRenderedPageBreak/>
        <w:t>M.</w:t>
      </w:r>
      <w:r w:rsidR="00F82C5B" w:rsidRPr="00572FC0">
        <w:rPr>
          <w:rFonts w:eastAsia="Arial"/>
          <w:lang w:val="fr-FR"/>
        </w:rPr>
        <w:t> </w:t>
      </w:r>
      <w:r w:rsidRPr="00572FC0">
        <w:rPr>
          <w:lang w:val="fr-FR"/>
        </w:rPr>
        <w:t>Quan Tuan An, directeur de la Division de la gestion du droit d</w:t>
      </w:r>
      <w:r w:rsidR="000D051A" w:rsidRPr="00572FC0">
        <w:rPr>
          <w:lang w:val="fr-FR"/>
        </w:rPr>
        <w:t>’</w:t>
      </w:r>
      <w:r w:rsidRPr="00572FC0">
        <w:rPr>
          <w:lang w:val="fr-FR"/>
        </w:rPr>
        <w:t>auteur et des droits connexes et de la coopération internationale, Office du droit d</w:t>
      </w:r>
      <w:r w:rsidR="000D051A" w:rsidRPr="00572FC0">
        <w:rPr>
          <w:lang w:val="fr-FR"/>
        </w:rPr>
        <w:t>’</w:t>
      </w:r>
      <w:r w:rsidRPr="00572FC0">
        <w:rPr>
          <w:lang w:val="fr-FR"/>
        </w:rPr>
        <w:t xml:space="preserve">auteur, </w:t>
      </w:r>
      <w:proofErr w:type="gramStart"/>
      <w:r w:rsidRPr="00572FC0">
        <w:rPr>
          <w:lang w:val="fr-FR"/>
        </w:rPr>
        <w:t>Ministère de la culture</w:t>
      </w:r>
      <w:proofErr w:type="gramEnd"/>
      <w:r w:rsidRPr="00572FC0">
        <w:rPr>
          <w:lang w:val="fr-FR"/>
        </w:rPr>
        <w:t>, des sports et du développement (Viet</w:t>
      </w:r>
      <w:r w:rsidR="00F82C5B" w:rsidRPr="00572FC0">
        <w:rPr>
          <w:lang w:val="fr-FR"/>
        </w:rPr>
        <w:t> </w:t>
      </w:r>
      <w:r w:rsidRPr="00572FC0">
        <w:rPr>
          <w:lang w:val="fr-FR"/>
        </w:rPr>
        <w:t>Nam)</w:t>
      </w:r>
    </w:p>
    <w:p w14:paraId="5F97ED96" w14:textId="60E5B4A0" w:rsidR="00E078B6" w:rsidRPr="00572FC0" w:rsidRDefault="00E078B6" w:rsidP="009372DA">
      <w:pPr>
        <w:pStyle w:val="Heading3"/>
        <w:tabs>
          <w:tab w:val="left" w:pos="2268"/>
          <w:tab w:val="left" w:pos="5103"/>
        </w:tabs>
        <w:spacing w:before="0" w:after="220"/>
        <w:ind w:left="2268" w:hanging="2268"/>
        <w:rPr>
          <w:b/>
          <w:u w:val="none"/>
          <w:lang w:val="fr-FR"/>
        </w:rPr>
      </w:pPr>
      <w:r w:rsidRPr="00572FC0">
        <w:rPr>
          <w:u w:val="none"/>
          <w:lang w:val="fr-FR"/>
        </w:rPr>
        <w:t>15 h 40 – 16 h 50</w:t>
      </w:r>
      <w:r w:rsidRPr="00572FC0">
        <w:rPr>
          <w:u w:val="none"/>
          <w:lang w:val="fr-FR"/>
        </w:rPr>
        <w:tab/>
      </w:r>
      <w:r w:rsidRPr="00572FC0">
        <w:rPr>
          <w:b/>
          <w:u w:val="none"/>
          <w:lang w:val="fr-FR"/>
        </w:rPr>
        <w:t>Session 2</w:t>
      </w:r>
      <w:r w:rsidR="000D051A" w:rsidRPr="00572FC0">
        <w:rPr>
          <w:b/>
          <w:u w:val="none"/>
          <w:lang w:val="fr-FR"/>
        </w:rPr>
        <w:t> :</w:t>
      </w:r>
      <w:r w:rsidRPr="00572FC0">
        <w:rPr>
          <w:u w:val="none"/>
          <w:lang w:val="fr-FR"/>
        </w:rPr>
        <w:t xml:space="preserve"> </w:t>
      </w:r>
      <w:r w:rsidRPr="00572FC0">
        <w:rPr>
          <w:b/>
          <w:u w:val="none"/>
          <w:lang w:val="fr-FR"/>
        </w:rPr>
        <w:t>Aperçu de la jurisprudence</w:t>
      </w:r>
    </w:p>
    <w:p w14:paraId="4906A6E8" w14:textId="37323A7A" w:rsidR="000D051A" w:rsidRPr="00572FC0" w:rsidRDefault="00E078B6" w:rsidP="009372DA">
      <w:pPr>
        <w:pStyle w:val="ListParagraph"/>
        <w:shd w:val="clear" w:color="auto" w:fill="D9D9D9" w:themeFill="background1" w:themeFillShade="D9"/>
        <w:spacing w:after="220"/>
        <w:ind w:left="2268"/>
        <w:contextualSpacing w:val="0"/>
        <w:rPr>
          <w:i/>
        </w:rPr>
      </w:pPr>
      <w:r w:rsidRPr="00572FC0">
        <w:rPr>
          <w:i/>
        </w:rPr>
        <w:t>Dans cette partie, les participants donneront un aperçu synthétique des principaux enjeux et des solutions proposées face à la multiplication des litiges à travers le monde concernant les différents aspects du droit d</w:t>
      </w:r>
      <w:r w:rsidR="000D051A" w:rsidRPr="00572FC0">
        <w:rPr>
          <w:i/>
        </w:rPr>
        <w:t>’</w:t>
      </w:r>
      <w:r w:rsidRPr="00572FC0">
        <w:rPr>
          <w:i/>
        </w:rPr>
        <w:t>auteur et de l</w:t>
      </w:r>
      <w:r w:rsidR="000D051A" w:rsidRPr="00572FC0">
        <w:rPr>
          <w:i/>
        </w:rPr>
        <w:t>’</w:t>
      </w:r>
      <w:r w:rsidRPr="00572FC0">
        <w:rPr>
          <w:i/>
        </w:rPr>
        <w:t>intelligence artificielle.</w:t>
      </w:r>
    </w:p>
    <w:p w14:paraId="412D619A" w14:textId="4A5F6731" w:rsidR="00E078B6" w:rsidRPr="00572FC0" w:rsidRDefault="00E078B6" w:rsidP="009372DA">
      <w:pPr>
        <w:keepNext/>
        <w:spacing w:after="220"/>
        <w:ind w:left="2268"/>
        <w:rPr>
          <w:i/>
          <w:iCs/>
          <w:lang w:val="fr-FR"/>
        </w:rPr>
      </w:pPr>
      <w:r w:rsidRPr="00572FC0">
        <w:rPr>
          <w:i/>
          <w:lang w:val="fr-FR"/>
        </w:rPr>
        <w:t>Exposés et interaction avec le public</w:t>
      </w:r>
    </w:p>
    <w:p w14:paraId="05062C96" w14:textId="674F4752" w:rsidR="00E078B6" w:rsidRPr="00572FC0" w:rsidRDefault="00E078B6" w:rsidP="009372DA">
      <w:pPr>
        <w:tabs>
          <w:tab w:val="left" w:pos="5670"/>
        </w:tabs>
        <w:spacing w:after="220"/>
        <w:ind w:left="2268"/>
        <w:rPr>
          <w:i/>
          <w:iCs/>
          <w:color w:val="000000" w:themeColor="text1"/>
          <w:lang w:val="fr-FR"/>
        </w:rPr>
      </w:pPr>
      <w:r w:rsidRPr="00572FC0">
        <w:rPr>
          <w:color w:val="000000" w:themeColor="text1"/>
          <w:lang w:val="fr-FR"/>
        </w:rPr>
        <w:t>Animateur</w:t>
      </w:r>
      <w:r w:rsidR="000D051A" w:rsidRPr="00572FC0">
        <w:rPr>
          <w:color w:val="000000" w:themeColor="text1"/>
          <w:lang w:val="fr-FR"/>
        </w:rPr>
        <w:t> :</w:t>
      </w:r>
      <w:r w:rsidR="00F82C5B" w:rsidRPr="00572FC0">
        <w:rPr>
          <w:color w:val="000000" w:themeColor="text1"/>
          <w:lang w:val="fr-FR"/>
        </w:rPr>
        <w:t xml:space="preserve"> </w:t>
      </w:r>
      <w:r w:rsidRPr="00572FC0">
        <w:rPr>
          <w:color w:val="000000" w:themeColor="text1"/>
          <w:lang w:val="fr-FR"/>
        </w:rPr>
        <w:tab/>
        <w:t>M.</w:t>
      </w:r>
      <w:r w:rsidR="00F82C5B" w:rsidRPr="00572FC0">
        <w:rPr>
          <w:color w:val="000000" w:themeColor="text1"/>
          <w:lang w:val="fr-FR"/>
        </w:rPr>
        <w:t> </w:t>
      </w:r>
      <w:r w:rsidRPr="00572FC0">
        <w:rPr>
          <w:color w:val="000000" w:themeColor="text1"/>
          <w:lang w:val="fr-FR"/>
        </w:rPr>
        <w:t>Tobias </w:t>
      </w:r>
      <w:proofErr w:type="spellStart"/>
      <w:r w:rsidRPr="00572FC0">
        <w:rPr>
          <w:color w:val="000000" w:themeColor="text1"/>
          <w:lang w:val="fr-FR"/>
        </w:rPr>
        <w:t>Bednarz</w:t>
      </w:r>
      <w:proofErr w:type="spellEnd"/>
    </w:p>
    <w:p w14:paraId="3A536E24" w14:textId="5223C123" w:rsidR="000D051A" w:rsidRPr="00572FC0" w:rsidRDefault="00E078B6" w:rsidP="009372DA">
      <w:pPr>
        <w:tabs>
          <w:tab w:val="left" w:pos="5670"/>
        </w:tabs>
        <w:spacing w:after="220"/>
        <w:ind w:left="5670" w:hanging="3402"/>
        <w:rPr>
          <w:lang w:val="fr-FR"/>
        </w:rPr>
      </w:pPr>
      <w:r w:rsidRPr="00572FC0">
        <w:rPr>
          <w:lang w:val="fr-FR"/>
        </w:rPr>
        <w:t>Conférenciers</w:t>
      </w:r>
      <w:r w:rsidR="000D051A" w:rsidRPr="00572FC0">
        <w:rPr>
          <w:lang w:val="fr-FR"/>
        </w:rPr>
        <w:t> :</w:t>
      </w:r>
      <w:r w:rsidR="00F82C5B" w:rsidRPr="00572FC0">
        <w:rPr>
          <w:lang w:val="fr-FR"/>
        </w:rPr>
        <w:t xml:space="preserve"> </w:t>
      </w:r>
      <w:r w:rsidRPr="00572FC0">
        <w:rPr>
          <w:lang w:val="fr-FR"/>
        </w:rPr>
        <w:tab/>
        <w:t>M. Ameet Datta, fondateur et avocat</w:t>
      </w:r>
      <w:r w:rsidR="00572FC0">
        <w:rPr>
          <w:lang w:val="fr-FR"/>
        </w:rPr>
        <w:noBreakHyphen/>
      </w:r>
      <w:r w:rsidRPr="00572FC0">
        <w:rPr>
          <w:lang w:val="fr-FR"/>
        </w:rPr>
        <w:t xml:space="preserve">gérant du cabinet ADP Law Offices, </w:t>
      </w:r>
      <w:proofErr w:type="spellStart"/>
      <w:r w:rsidRPr="00572FC0">
        <w:rPr>
          <w:lang w:val="fr-FR"/>
        </w:rPr>
        <w:t>Noida</w:t>
      </w:r>
      <w:proofErr w:type="spellEnd"/>
      <w:r w:rsidRPr="00572FC0">
        <w:rPr>
          <w:lang w:val="fr-FR"/>
        </w:rPr>
        <w:t xml:space="preserve"> (Inde)</w:t>
      </w:r>
    </w:p>
    <w:p w14:paraId="04D37712" w14:textId="677015E3" w:rsidR="00E078B6" w:rsidRPr="00572FC0" w:rsidRDefault="00E078B6" w:rsidP="009372DA">
      <w:pPr>
        <w:spacing w:after="220"/>
        <w:ind w:left="5670"/>
        <w:rPr>
          <w:lang w:val="fr-FR"/>
        </w:rPr>
      </w:pPr>
      <w:r w:rsidRPr="00572FC0">
        <w:rPr>
          <w:lang w:val="fr-FR"/>
        </w:rPr>
        <w:t>M.</w:t>
      </w:r>
      <w:r w:rsidR="00F82C5B" w:rsidRPr="00572FC0">
        <w:rPr>
          <w:lang w:val="fr-FR"/>
        </w:rPr>
        <w:t> </w:t>
      </w:r>
      <w:r w:rsidRPr="00572FC0">
        <w:rPr>
          <w:lang w:val="fr-FR"/>
        </w:rPr>
        <w:t>Ted Shapiro, associé et directeur du bureau de Wiggin, Bruxelles (Belgique)</w:t>
      </w:r>
    </w:p>
    <w:p w14:paraId="3F8B9E65" w14:textId="5204A465" w:rsidR="00E078B6" w:rsidRPr="00572FC0" w:rsidRDefault="00E078B6" w:rsidP="009372DA">
      <w:pPr>
        <w:spacing w:after="220"/>
        <w:ind w:left="5670"/>
        <w:rPr>
          <w:lang w:val="fr-FR"/>
        </w:rPr>
      </w:pPr>
      <w:r w:rsidRPr="00572FC0">
        <w:rPr>
          <w:lang w:val="fr-FR"/>
        </w:rPr>
        <w:t>M.</w:t>
      </w:r>
      <w:r w:rsidR="00F82C5B" w:rsidRPr="00572FC0">
        <w:rPr>
          <w:lang w:val="fr-FR"/>
        </w:rPr>
        <w:t> </w:t>
      </w:r>
      <w:r w:rsidRPr="00572FC0">
        <w:rPr>
          <w:lang w:val="fr-FR"/>
        </w:rPr>
        <w:t>Wang Qian, professeur de droit à l</w:t>
      </w:r>
      <w:r w:rsidR="000D051A" w:rsidRPr="00572FC0">
        <w:rPr>
          <w:lang w:val="fr-FR"/>
        </w:rPr>
        <w:t>’</w:t>
      </w:r>
      <w:r w:rsidRPr="00572FC0">
        <w:rPr>
          <w:lang w:val="fr-FR"/>
        </w:rPr>
        <w:t>Université de sciences politiques et de droit de Chine orientale (ECUPL), Shanghai (Chine)</w:t>
      </w:r>
    </w:p>
    <w:p w14:paraId="6A484CA6" w14:textId="77777777" w:rsidR="00E078B6" w:rsidRPr="00572FC0" w:rsidRDefault="00E078B6" w:rsidP="009372DA">
      <w:pPr>
        <w:pStyle w:val="Heading3"/>
        <w:tabs>
          <w:tab w:val="left" w:pos="2268"/>
          <w:tab w:val="left" w:pos="5103"/>
        </w:tabs>
        <w:spacing w:before="0" w:after="220"/>
        <w:ind w:left="2268" w:hanging="2268"/>
        <w:rPr>
          <w:u w:val="none"/>
          <w:lang w:val="fr-FR"/>
        </w:rPr>
      </w:pPr>
      <w:r w:rsidRPr="00572FC0">
        <w:rPr>
          <w:u w:val="none"/>
          <w:lang w:val="fr-FR"/>
        </w:rPr>
        <w:t>16 h 50 – 17 h 20</w:t>
      </w:r>
      <w:r w:rsidRPr="00572FC0">
        <w:rPr>
          <w:u w:val="none"/>
          <w:lang w:val="fr-FR"/>
        </w:rPr>
        <w:tab/>
      </w:r>
      <w:proofErr w:type="spellStart"/>
      <w:r w:rsidRPr="00572FC0">
        <w:rPr>
          <w:u w:val="none"/>
          <w:lang w:val="fr-FR"/>
        </w:rPr>
        <w:t>Pause café</w:t>
      </w:r>
      <w:proofErr w:type="spellEnd"/>
    </w:p>
    <w:p w14:paraId="72B172D7" w14:textId="172384FF" w:rsidR="00E078B6" w:rsidRPr="00572FC0" w:rsidRDefault="00E078B6" w:rsidP="009372DA">
      <w:pPr>
        <w:pStyle w:val="Heading3"/>
        <w:tabs>
          <w:tab w:val="left" w:pos="2268"/>
          <w:tab w:val="left" w:pos="5103"/>
        </w:tabs>
        <w:spacing w:before="0" w:after="220"/>
        <w:ind w:left="2268" w:hanging="2268"/>
        <w:rPr>
          <w:b/>
          <w:u w:val="none"/>
          <w:lang w:val="fr-FR"/>
        </w:rPr>
      </w:pPr>
      <w:r w:rsidRPr="00572FC0">
        <w:rPr>
          <w:u w:val="none"/>
          <w:lang w:val="fr-FR"/>
        </w:rPr>
        <w:t>17 h 20 – 18 h 25</w:t>
      </w:r>
      <w:r w:rsidRPr="00572FC0">
        <w:rPr>
          <w:u w:val="none"/>
          <w:lang w:val="fr-FR"/>
        </w:rPr>
        <w:tab/>
      </w:r>
      <w:r w:rsidRPr="00572FC0">
        <w:rPr>
          <w:b/>
          <w:u w:val="none"/>
          <w:lang w:val="fr-FR"/>
        </w:rPr>
        <w:t>Session 3</w:t>
      </w:r>
      <w:r w:rsidR="000D051A" w:rsidRPr="00572FC0">
        <w:rPr>
          <w:b/>
          <w:u w:val="none"/>
          <w:lang w:val="fr-FR"/>
        </w:rPr>
        <w:t> :</w:t>
      </w:r>
      <w:r w:rsidRPr="00572FC0">
        <w:rPr>
          <w:u w:val="none"/>
          <w:lang w:val="fr-FR"/>
        </w:rPr>
        <w:t xml:space="preserve"> </w:t>
      </w:r>
      <w:r w:rsidRPr="00572FC0">
        <w:rPr>
          <w:b/>
          <w:u w:val="none"/>
          <w:lang w:val="fr-FR"/>
        </w:rPr>
        <w:t>Évolutions actuelles dans les industries de la création</w:t>
      </w:r>
    </w:p>
    <w:p w14:paraId="1C8F8995" w14:textId="287CBDA6" w:rsidR="00E078B6" w:rsidRPr="00572FC0" w:rsidRDefault="00E078B6" w:rsidP="000D051A">
      <w:pPr>
        <w:pStyle w:val="ListParagraph"/>
        <w:shd w:val="clear" w:color="auto" w:fill="D9D9D9" w:themeFill="background1" w:themeFillShade="D9"/>
        <w:spacing w:after="220"/>
        <w:ind w:left="2268"/>
        <w:contextualSpacing w:val="0"/>
        <w:rPr>
          <w:i/>
          <w:iCs/>
        </w:rPr>
      </w:pPr>
      <w:r w:rsidRPr="00572FC0">
        <w:rPr>
          <w:i/>
        </w:rPr>
        <w:t>Dans cette table ronde, les participants examineront la manière dont les industries de la création réagissent à l</w:t>
      </w:r>
      <w:r w:rsidR="000D051A" w:rsidRPr="00572FC0">
        <w:rPr>
          <w:i/>
        </w:rPr>
        <w:t>’</w:t>
      </w:r>
      <w:r w:rsidRPr="00572FC0">
        <w:rPr>
          <w:i/>
        </w:rPr>
        <w:t>IA générative, notamment les récentes évolutions concernant les initiatives en matière de licences et d</w:t>
      </w:r>
      <w:r w:rsidR="000D051A" w:rsidRPr="00572FC0">
        <w:rPr>
          <w:i/>
        </w:rPr>
        <w:t>’</w:t>
      </w:r>
      <w:r w:rsidRPr="00572FC0">
        <w:rPr>
          <w:i/>
        </w:rPr>
        <w:t>autres approches pratiques relatives à l</w:t>
      </w:r>
      <w:r w:rsidR="000D051A" w:rsidRPr="00572FC0">
        <w:rPr>
          <w:i/>
        </w:rPr>
        <w:t>’</w:t>
      </w:r>
      <w:r w:rsidRPr="00572FC0">
        <w:rPr>
          <w:i/>
        </w:rPr>
        <w:t>utilisation de contenus protégés dans le cadre des systèmes d</w:t>
      </w:r>
      <w:r w:rsidR="000D051A" w:rsidRPr="00572FC0">
        <w:rPr>
          <w:i/>
        </w:rPr>
        <w:t>’</w:t>
      </w:r>
      <w:r w:rsidRPr="00572FC0">
        <w:rPr>
          <w:i/>
        </w:rPr>
        <w:t>IA.  Ils mettront également en lumière les opportunités et les défis qui se présentent pour les créateurs et les titulaires de droits.</w:t>
      </w:r>
    </w:p>
    <w:p w14:paraId="499DED20" w14:textId="77777777" w:rsidR="00E078B6" w:rsidRPr="00572FC0" w:rsidRDefault="00E078B6" w:rsidP="000D051A">
      <w:pPr>
        <w:keepNext/>
        <w:spacing w:after="220"/>
        <w:ind w:left="2268"/>
        <w:rPr>
          <w:i/>
          <w:iCs/>
          <w:lang w:val="fr-FR"/>
        </w:rPr>
      </w:pPr>
      <w:r w:rsidRPr="00572FC0">
        <w:rPr>
          <w:i/>
          <w:lang w:val="fr-FR"/>
        </w:rPr>
        <w:t>Débat et interaction avec le public</w:t>
      </w:r>
    </w:p>
    <w:p w14:paraId="4A9EAFDA" w14:textId="58FEE646" w:rsidR="00E078B6" w:rsidRPr="00572FC0" w:rsidRDefault="00E078B6" w:rsidP="000D051A">
      <w:pPr>
        <w:tabs>
          <w:tab w:val="left" w:pos="5670"/>
        </w:tabs>
        <w:spacing w:after="220"/>
        <w:ind w:left="5670" w:hanging="3402"/>
        <w:rPr>
          <w:i/>
          <w:iCs/>
          <w:lang w:val="fr-FR"/>
        </w:rPr>
      </w:pPr>
      <w:r w:rsidRPr="00572FC0">
        <w:rPr>
          <w:lang w:val="fr-FR"/>
        </w:rPr>
        <w:t>Animateur</w:t>
      </w:r>
      <w:r w:rsidR="000D051A" w:rsidRPr="00572FC0">
        <w:rPr>
          <w:lang w:val="fr-FR"/>
        </w:rPr>
        <w:t> :</w:t>
      </w:r>
      <w:r w:rsidR="00F82C5B" w:rsidRPr="00572FC0">
        <w:rPr>
          <w:lang w:val="fr-FR"/>
        </w:rPr>
        <w:t xml:space="preserve"> </w:t>
      </w:r>
      <w:r w:rsidRPr="00572FC0">
        <w:rPr>
          <w:lang w:val="fr-FR"/>
        </w:rPr>
        <w:tab/>
        <w:t>M. Rafael Ferraz Vazquez, juriste, Division du droit d</w:t>
      </w:r>
      <w:r w:rsidR="000D051A" w:rsidRPr="00572FC0">
        <w:rPr>
          <w:lang w:val="fr-FR"/>
        </w:rPr>
        <w:t>’</w:t>
      </w:r>
      <w:r w:rsidRPr="00572FC0">
        <w:rPr>
          <w:lang w:val="fr-FR"/>
        </w:rPr>
        <w:t>auteur, Secteur du droit d</w:t>
      </w:r>
      <w:r w:rsidR="000D051A" w:rsidRPr="00572FC0">
        <w:rPr>
          <w:lang w:val="fr-FR"/>
        </w:rPr>
        <w:t>’</w:t>
      </w:r>
      <w:r w:rsidRPr="00572FC0">
        <w:rPr>
          <w:lang w:val="fr-FR"/>
        </w:rPr>
        <w:t>auteur et des industries de la création, OMPI</w:t>
      </w:r>
    </w:p>
    <w:p w14:paraId="44CD261F" w14:textId="029813FB" w:rsidR="00E078B6" w:rsidRPr="00572FC0" w:rsidRDefault="00E078B6" w:rsidP="000D051A">
      <w:pPr>
        <w:tabs>
          <w:tab w:val="left" w:pos="5670"/>
        </w:tabs>
        <w:spacing w:after="220"/>
        <w:ind w:left="5670" w:hanging="3402"/>
        <w:rPr>
          <w:rFonts w:eastAsia="Arial"/>
          <w:lang w:val="fr-FR"/>
        </w:rPr>
      </w:pPr>
      <w:r w:rsidRPr="00572FC0">
        <w:rPr>
          <w:lang w:val="fr-FR"/>
        </w:rPr>
        <w:t>Conférencières et conférenciers</w:t>
      </w:r>
      <w:r w:rsidR="000D051A" w:rsidRPr="00572FC0">
        <w:rPr>
          <w:lang w:val="fr-FR"/>
        </w:rPr>
        <w:t> :</w:t>
      </w:r>
      <w:r w:rsidR="00F82C5B" w:rsidRPr="00572FC0">
        <w:rPr>
          <w:lang w:val="fr-FR"/>
        </w:rPr>
        <w:t xml:space="preserve"> </w:t>
      </w:r>
      <w:r w:rsidRPr="00572FC0">
        <w:rPr>
          <w:lang w:val="fr-FR"/>
        </w:rPr>
        <w:tab/>
        <w:t xml:space="preserve">M. Dave Davis, directeur du contenu chez </w:t>
      </w:r>
      <w:proofErr w:type="spellStart"/>
      <w:r w:rsidRPr="00572FC0">
        <w:rPr>
          <w:lang w:val="fr-FR"/>
        </w:rPr>
        <w:t>Protege</w:t>
      </w:r>
      <w:proofErr w:type="spellEnd"/>
      <w:r w:rsidRPr="00572FC0">
        <w:rPr>
          <w:lang w:val="fr-FR"/>
        </w:rPr>
        <w:t>, États</w:t>
      </w:r>
      <w:r w:rsidR="00572FC0">
        <w:rPr>
          <w:lang w:val="fr-FR"/>
        </w:rPr>
        <w:noBreakHyphen/>
      </w:r>
      <w:r w:rsidRPr="00572FC0">
        <w:rPr>
          <w:lang w:val="fr-FR"/>
        </w:rPr>
        <w:t>Unis d</w:t>
      </w:r>
      <w:r w:rsidR="000D051A" w:rsidRPr="00572FC0">
        <w:rPr>
          <w:lang w:val="fr-FR"/>
        </w:rPr>
        <w:t>’</w:t>
      </w:r>
      <w:r w:rsidRPr="00572FC0">
        <w:rPr>
          <w:lang w:val="fr-FR"/>
        </w:rPr>
        <w:t>Amérique (à distance)</w:t>
      </w:r>
    </w:p>
    <w:p w14:paraId="0D3C4AA2" w14:textId="48B1D6FE" w:rsidR="00E078B6" w:rsidRPr="00572FC0" w:rsidRDefault="00E078B6" w:rsidP="000D051A">
      <w:pPr>
        <w:spacing w:after="220" w:line="259" w:lineRule="auto"/>
        <w:ind w:left="5670"/>
        <w:rPr>
          <w:rFonts w:eastAsia="Arial"/>
          <w:lang w:val="fr-FR"/>
        </w:rPr>
      </w:pPr>
      <w:r w:rsidRPr="00572FC0">
        <w:rPr>
          <w:lang w:val="fr-FR"/>
        </w:rPr>
        <w:lastRenderedPageBreak/>
        <w:t>M.</w:t>
      </w:r>
      <w:r w:rsidR="00F82C5B" w:rsidRPr="00572FC0">
        <w:rPr>
          <w:rFonts w:eastAsia="Arial"/>
          <w:lang w:val="fr-FR"/>
        </w:rPr>
        <w:t> </w:t>
      </w:r>
      <w:r w:rsidRPr="00572FC0">
        <w:rPr>
          <w:lang w:val="fr-FR"/>
        </w:rPr>
        <w:t>Abbas Lightwalla, directeur de la politique juridique mondiale à la Fédération internationale de l</w:t>
      </w:r>
      <w:r w:rsidR="000D051A" w:rsidRPr="00572FC0">
        <w:rPr>
          <w:lang w:val="fr-FR"/>
        </w:rPr>
        <w:t>’</w:t>
      </w:r>
      <w:r w:rsidRPr="00572FC0">
        <w:rPr>
          <w:lang w:val="fr-FR"/>
        </w:rPr>
        <w:t>industrie phonographique (IFPI)</w:t>
      </w:r>
    </w:p>
    <w:p w14:paraId="5D07D462" w14:textId="6991BC7E" w:rsidR="00E078B6" w:rsidRPr="00572FC0" w:rsidRDefault="00E078B6" w:rsidP="000D051A">
      <w:pPr>
        <w:spacing w:after="220"/>
        <w:ind w:left="5670"/>
        <w:rPr>
          <w:rFonts w:eastAsia="Arial"/>
          <w:lang w:val="fr-FR"/>
        </w:rPr>
      </w:pPr>
      <w:r w:rsidRPr="00572FC0">
        <w:rPr>
          <w:lang w:val="fr-FR"/>
        </w:rPr>
        <w:t>Mme</w:t>
      </w:r>
      <w:r w:rsidR="00F82C5B" w:rsidRPr="00572FC0">
        <w:rPr>
          <w:lang w:val="fr-FR"/>
        </w:rPr>
        <w:t> </w:t>
      </w:r>
      <w:r w:rsidRPr="00572FC0">
        <w:rPr>
          <w:lang w:val="fr-FR"/>
        </w:rPr>
        <w:t>Mariana Mello, directrice juridique, ABRAMUS et AUTVIS (Brésil)</w:t>
      </w:r>
    </w:p>
    <w:p w14:paraId="106BA1E6" w14:textId="52E81302" w:rsidR="00E078B6" w:rsidRPr="00572FC0" w:rsidRDefault="00E078B6" w:rsidP="000D051A">
      <w:pPr>
        <w:spacing w:after="220"/>
        <w:ind w:left="5670"/>
        <w:rPr>
          <w:rFonts w:eastAsia="Arial"/>
          <w:lang w:val="fr-FR"/>
        </w:rPr>
      </w:pPr>
      <w:r w:rsidRPr="00572FC0">
        <w:rPr>
          <w:lang w:val="fr-FR"/>
        </w:rPr>
        <w:t>Mme</w:t>
      </w:r>
      <w:r w:rsidR="00F82C5B" w:rsidRPr="00572FC0">
        <w:rPr>
          <w:lang w:val="fr-FR"/>
        </w:rPr>
        <w:t> </w:t>
      </w:r>
      <w:r w:rsidRPr="00572FC0">
        <w:rPr>
          <w:lang w:val="fr-FR"/>
        </w:rPr>
        <w:t>Regan Smith, vice</w:t>
      </w:r>
      <w:r w:rsidR="00572FC0">
        <w:rPr>
          <w:lang w:val="fr-FR"/>
        </w:rPr>
        <w:noBreakHyphen/>
      </w:r>
      <w:r w:rsidRPr="00572FC0">
        <w:rPr>
          <w:lang w:val="fr-FR"/>
        </w:rPr>
        <w:t>présidente principale et directrice juridique, News/Media Alliance (États</w:t>
      </w:r>
      <w:r w:rsidR="00572FC0">
        <w:rPr>
          <w:lang w:val="fr-FR"/>
        </w:rPr>
        <w:noBreakHyphen/>
      </w:r>
      <w:r w:rsidRPr="00572FC0">
        <w:rPr>
          <w:lang w:val="fr-FR"/>
        </w:rPr>
        <w:t>Unis d</w:t>
      </w:r>
      <w:r w:rsidR="000D051A" w:rsidRPr="00572FC0">
        <w:rPr>
          <w:lang w:val="fr-FR"/>
        </w:rPr>
        <w:t>’</w:t>
      </w:r>
      <w:r w:rsidRPr="00572FC0">
        <w:rPr>
          <w:lang w:val="fr-FR"/>
        </w:rPr>
        <w:t>Amérique) (à distance)</w:t>
      </w:r>
    </w:p>
    <w:p w14:paraId="0C2EB66C" w14:textId="7F71D255" w:rsidR="00E078B6" w:rsidRPr="00572FC0" w:rsidRDefault="00E078B6" w:rsidP="000D051A">
      <w:pPr>
        <w:spacing w:after="220" w:line="259" w:lineRule="auto"/>
        <w:ind w:left="5670"/>
        <w:rPr>
          <w:rFonts w:eastAsia="Arial"/>
          <w:lang w:val="fr-FR"/>
        </w:rPr>
      </w:pPr>
      <w:r w:rsidRPr="00572FC0">
        <w:rPr>
          <w:lang w:val="fr-FR"/>
        </w:rPr>
        <w:t>M.</w:t>
      </w:r>
      <w:r w:rsidR="00F82C5B" w:rsidRPr="00572FC0">
        <w:rPr>
          <w:rFonts w:eastAsia="Arial"/>
          <w:lang w:val="fr-FR"/>
        </w:rPr>
        <w:t> </w:t>
      </w:r>
      <w:r w:rsidRPr="00572FC0">
        <w:rPr>
          <w:lang w:val="fr-FR"/>
        </w:rPr>
        <w:t>Brian Wafawarowa, président</w:t>
      </w:r>
      <w:r w:rsidR="00572FC0">
        <w:rPr>
          <w:lang w:val="fr-FR"/>
        </w:rPr>
        <w:noBreakHyphen/>
      </w:r>
      <w:r w:rsidRPr="00572FC0">
        <w:rPr>
          <w:lang w:val="fr-FR"/>
        </w:rPr>
        <w:t>directeur général, Juta &amp; Company (Afrique du Sud)</w:t>
      </w:r>
    </w:p>
    <w:p w14:paraId="7718F3BF" w14:textId="77777777" w:rsidR="00E078B6" w:rsidRPr="00572FC0" w:rsidRDefault="00E078B6" w:rsidP="000D051A">
      <w:pPr>
        <w:pStyle w:val="Heading3"/>
        <w:keepNext w:val="0"/>
        <w:tabs>
          <w:tab w:val="left" w:pos="2268"/>
        </w:tabs>
        <w:spacing w:before="0" w:after="220"/>
        <w:rPr>
          <w:u w:val="none"/>
          <w:lang w:val="fr-FR"/>
        </w:rPr>
      </w:pPr>
      <w:r w:rsidRPr="00572FC0">
        <w:rPr>
          <w:u w:val="none"/>
          <w:lang w:val="fr-FR"/>
        </w:rPr>
        <w:t>18 h 25 – 18 h 30</w:t>
      </w:r>
      <w:r w:rsidRPr="00572FC0">
        <w:rPr>
          <w:u w:val="none"/>
          <w:lang w:val="fr-FR"/>
        </w:rPr>
        <w:tab/>
        <w:t>Clôture</w:t>
      </w:r>
    </w:p>
    <w:p w14:paraId="134BCE2A" w14:textId="1E586352" w:rsidR="00E078B6" w:rsidRPr="00572FC0" w:rsidRDefault="00E078B6" w:rsidP="000D051A">
      <w:pPr>
        <w:spacing w:after="220"/>
        <w:ind w:left="2268"/>
        <w:rPr>
          <w:lang w:val="fr-FR"/>
        </w:rPr>
      </w:pPr>
      <w:r w:rsidRPr="00572FC0">
        <w:rPr>
          <w:lang w:val="fr-FR"/>
        </w:rPr>
        <w:t>Mme</w:t>
      </w:r>
      <w:r w:rsidR="00F82C5B" w:rsidRPr="00572FC0">
        <w:rPr>
          <w:lang w:val="fr-FR"/>
        </w:rPr>
        <w:t> </w:t>
      </w:r>
      <w:r w:rsidRPr="00572FC0">
        <w:rPr>
          <w:lang w:val="fr-FR"/>
        </w:rPr>
        <w:t>Sylvie Forbin</w:t>
      </w:r>
    </w:p>
    <w:p w14:paraId="60869546" w14:textId="37521D86" w:rsidR="000F5E56" w:rsidRPr="00572FC0" w:rsidRDefault="00E078B6" w:rsidP="00E5592F">
      <w:pPr>
        <w:pStyle w:val="Endofdocument-Annex"/>
        <w:rPr>
          <w:highlight w:val="red"/>
        </w:rPr>
      </w:pPr>
      <w:r w:rsidRPr="00572FC0">
        <w:t>[Fin du document]</w:t>
      </w:r>
    </w:p>
    <w:sectPr w:rsidR="000F5E56" w:rsidRPr="00572FC0" w:rsidSect="00572FC0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81CAC" w14:textId="77777777" w:rsidR="00E078B6" w:rsidRDefault="00E078B6">
      <w:r>
        <w:separator/>
      </w:r>
    </w:p>
  </w:endnote>
  <w:endnote w:type="continuationSeparator" w:id="0">
    <w:p w14:paraId="1108EBAE" w14:textId="77777777" w:rsidR="00E078B6" w:rsidRPr="009D30E6" w:rsidRDefault="00E078B6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E463EDD" w14:textId="77777777" w:rsidR="00E078B6" w:rsidRPr="009D30E6" w:rsidRDefault="00E078B6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2F760F53" w14:textId="77777777" w:rsidR="00E078B6" w:rsidRPr="009D30E6" w:rsidRDefault="00E078B6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C8192" w14:textId="77777777" w:rsidR="00E078B6" w:rsidRDefault="00E078B6">
      <w:r>
        <w:separator/>
      </w:r>
    </w:p>
  </w:footnote>
  <w:footnote w:type="continuationSeparator" w:id="0">
    <w:p w14:paraId="7258FDD0" w14:textId="77777777" w:rsidR="00E078B6" w:rsidRDefault="00E078B6" w:rsidP="007461F1">
      <w:r>
        <w:separator/>
      </w:r>
    </w:p>
    <w:p w14:paraId="5B0E0208" w14:textId="77777777" w:rsidR="00E078B6" w:rsidRPr="009D30E6" w:rsidRDefault="00E078B6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5AB305F8" w14:textId="77777777" w:rsidR="00E078B6" w:rsidRPr="009D30E6" w:rsidRDefault="00E078B6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D8F5E" w14:textId="52AC9171" w:rsidR="00F16975" w:rsidRDefault="00E078B6" w:rsidP="00477D6B">
    <w:pPr>
      <w:jc w:val="right"/>
    </w:pPr>
    <w:bookmarkStart w:id="5" w:name="Code2"/>
    <w:bookmarkEnd w:id="5"/>
    <w:proofErr w:type="spellStart"/>
    <w:r>
      <w:t>SCCR</w:t>
    </w:r>
    <w:proofErr w:type="spellEnd"/>
    <w:r>
      <w:t>/48/</w:t>
    </w:r>
    <w:proofErr w:type="spellStart"/>
    <w:r>
      <w:t>INF</w:t>
    </w:r>
    <w:proofErr w:type="spellEnd"/>
    <w:r>
      <w:t>/3</w:t>
    </w:r>
  </w:p>
  <w:p w14:paraId="3BD1E982" w14:textId="77777777" w:rsidR="004F4E31" w:rsidRDefault="00F16975" w:rsidP="005A73EA">
    <w:pPr>
      <w:spacing w:after="480"/>
      <w:jc w:val="right"/>
    </w:pPr>
    <w:proofErr w:type="gramStart"/>
    <w:r>
      <w:t>page</w:t>
    </w:r>
    <w:proofErr w:type="gramEnd"/>
    <w:r w:rsidR="005A73EA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CF011DD"/>
    <w:multiLevelType w:val="hybridMultilevel"/>
    <w:tmpl w:val="1368ECB6"/>
    <w:lvl w:ilvl="0" w:tplc="3A262FBE">
      <w:start w:val="16"/>
      <w:numFmt w:val="bullet"/>
      <w:lvlText w:val="-"/>
      <w:lvlJc w:val="left"/>
      <w:pPr>
        <w:ind w:left="2061" w:hanging="360"/>
      </w:pPr>
      <w:rPr>
        <w:rFonts w:ascii="Arial" w:eastAsia="SimSu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5185916">
    <w:abstractNumId w:val="2"/>
  </w:num>
  <w:num w:numId="2" w16cid:durableId="1922137027">
    <w:abstractNumId w:val="5"/>
  </w:num>
  <w:num w:numId="3" w16cid:durableId="1708218136">
    <w:abstractNumId w:val="0"/>
  </w:num>
  <w:num w:numId="4" w16cid:durableId="329069435">
    <w:abstractNumId w:val="6"/>
  </w:num>
  <w:num w:numId="5" w16cid:durableId="49499015">
    <w:abstractNumId w:val="1"/>
  </w:num>
  <w:num w:numId="6" w16cid:durableId="2136636949">
    <w:abstractNumId w:val="3"/>
  </w:num>
  <w:num w:numId="7" w16cid:durableId="1211039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B6"/>
    <w:rsid w:val="00011B7D"/>
    <w:rsid w:val="000272A0"/>
    <w:rsid w:val="00075432"/>
    <w:rsid w:val="000D051A"/>
    <w:rsid w:val="000F5E56"/>
    <w:rsid w:val="001362EE"/>
    <w:rsid w:val="001832A6"/>
    <w:rsid w:val="00195C6E"/>
    <w:rsid w:val="001B266A"/>
    <w:rsid w:val="001D3D56"/>
    <w:rsid w:val="001F091D"/>
    <w:rsid w:val="00211551"/>
    <w:rsid w:val="00240654"/>
    <w:rsid w:val="002634C4"/>
    <w:rsid w:val="002D2375"/>
    <w:rsid w:val="002D4918"/>
    <w:rsid w:val="002E4D1A"/>
    <w:rsid w:val="002E7401"/>
    <w:rsid w:val="002F16BC"/>
    <w:rsid w:val="002F4E68"/>
    <w:rsid w:val="00315FCA"/>
    <w:rsid w:val="003845C1"/>
    <w:rsid w:val="003A1BCD"/>
    <w:rsid w:val="004008A2"/>
    <w:rsid w:val="004025DF"/>
    <w:rsid w:val="00423E3E"/>
    <w:rsid w:val="00427AF4"/>
    <w:rsid w:val="00456117"/>
    <w:rsid w:val="004647DA"/>
    <w:rsid w:val="00477D6B"/>
    <w:rsid w:val="004D6471"/>
    <w:rsid w:val="004F4E31"/>
    <w:rsid w:val="00525B63"/>
    <w:rsid w:val="00547476"/>
    <w:rsid w:val="00561DB8"/>
    <w:rsid w:val="00567A4C"/>
    <w:rsid w:val="00572FC0"/>
    <w:rsid w:val="005A73EA"/>
    <w:rsid w:val="005B40B9"/>
    <w:rsid w:val="005E6516"/>
    <w:rsid w:val="00605827"/>
    <w:rsid w:val="00676936"/>
    <w:rsid w:val="0068487B"/>
    <w:rsid w:val="00692718"/>
    <w:rsid w:val="006B0DB5"/>
    <w:rsid w:val="006D6DE7"/>
    <w:rsid w:val="006E4243"/>
    <w:rsid w:val="007461F1"/>
    <w:rsid w:val="0076654B"/>
    <w:rsid w:val="00766E3D"/>
    <w:rsid w:val="007D6961"/>
    <w:rsid w:val="007F07CB"/>
    <w:rsid w:val="00802EF1"/>
    <w:rsid w:val="00810CEF"/>
    <w:rsid w:val="0081208D"/>
    <w:rsid w:val="00842A13"/>
    <w:rsid w:val="008B2CC1"/>
    <w:rsid w:val="008E5402"/>
    <w:rsid w:val="008E7930"/>
    <w:rsid w:val="0090731E"/>
    <w:rsid w:val="009252C3"/>
    <w:rsid w:val="009372DA"/>
    <w:rsid w:val="009463E5"/>
    <w:rsid w:val="00966A22"/>
    <w:rsid w:val="00974CD6"/>
    <w:rsid w:val="00975481"/>
    <w:rsid w:val="009D30E6"/>
    <w:rsid w:val="009E3F6F"/>
    <w:rsid w:val="009F28F0"/>
    <w:rsid w:val="009F499F"/>
    <w:rsid w:val="00A02BD3"/>
    <w:rsid w:val="00AC0AE4"/>
    <w:rsid w:val="00AC2EBA"/>
    <w:rsid w:val="00AD61DB"/>
    <w:rsid w:val="00B87BCF"/>
    <w:rsid w:val="00BA62D4"/>
    <w:rsid w:val="00BC5F87"/>
    <w:rsid w:val="00C40E15"/>
    <w:rsid w:val="00C42181"/>
    <w:rsid w:val="00C664C8"/>
    <w:rsid w:val="00C76A79"/>
    <w:rsid w:val="00CA15F5"/>
    <w:rsid w:val="00CF0460"/>
    <w:rsid w:val="00D45252"/>
    <w:rsid w:val="00D55C00"/>
    <w:rsid w:val="00D71B4D"/>
    <w:rsid w:val="00D75C1E"/>
    <w:rsid w:val="00D93D55"/>
    <w:rsid w:val="00DB0349"/>
    <w:rsid w:val="00DC4A0D"/>
    <w:rsid w:val="00DD6A16"/>
    <w:rsid w:val="00E0091A"/>
    <w:rsid w:val="00E078B6"/>
    <w:rsid w:val="00E203AA"/>
    <w:rsid w:val="00E527A5"/>
    <w:rsid w:val="00E5592F"/>
    <w:rsid w:val="00E76456"/>
    <w:rsid w:val="00E97651"/>
    <w:rsid w:val="00EE71CB"/>
    <w:rsid w:val="00F16975"/>
    <w:rsid w:val="00F66152"/>
    <w:rsid w:val="00F82C5B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CB9B5A"/>
  <w15:docId w15:val="{42D163C2-38E9-4A4A-ABF1-0C3579C8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E5592F"/>
    <w:pPr>
      <w:tabs>
        <w:tab w:val="left" w:pos="3402"/>
      </w:tabs>
      <w:spacing w:before="720"/>
      <w:ind w:left="5533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34"/>
    <w:qFormat/>
    <w:rsid w:val="00E078B6"/>
    <w:pPr>
      <w:ind w:left="720"/>
      <w:contextualSpacing/>
    </w:pPr>
    <w:rPr>
      <w:lang w:val="fr-FR"/>
    </w:rPr>
  </w:style>
  <w:style w:type="character" w:styleId="Hyperlink">
    <w:name w:val="Hyperlink"/>
    <w:basedOn w:val="DefaultParagraphFont"/>
    <w:semiHidden/>
    <w:unhideWhenUsed/>
    <w:rsid w:val="00572F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8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SCCR_48 (F)</Template>
  <TotalTime>0</TotalTime>
  <Pages>4</Pages>
  <Words>519</Words>
  <Characters>3580</Characters>
  <Application>Microsoft Office Word</Application>
  <DocSecurity>0</DocSecurity>
  <Lines>99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SCCR/48/INF/3</vt:lpstr>
    </vt:vector>
  </TitlesOfParts>
  <Company>WIPO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SCCR/48/INF/3</dc:title>
  <dc:creator>OLIVIÉ Karen</dc:creator>
  <cp:keywords>FOR OFFICIAL USE ONLY</cp:keywords>
  <cp:lastModifiedBy>HAIZEL Francesca</cp:lastModifiedBy>
  <cp:revision>2</cp:revision>
  <cp:lastPrinted>2011-05-19T12:37:00Z</cp:lastPrinted>
  <dcterms:created xsi:type="dcterms:W3CDTF">2026-05-20T09:13:00Z</dcterms:created>
  <dcterms:modified xsi:type="dcterms:W3CDTF">2026-05-20T09:13:00Z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2023-06-15T13:22:49Z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84ae5d55-befb-4a6b-9165-348fa8e40043</vt:lpwstr>
  </property>
  <property fmtid="{D5CDD505-2E9C-101B-9397-08002B2CF9AE}" pid="14" name="MSIP_Label_20773ee6-353b-4fb9-a59d-0b94c8c67bea_ContentBits">
    <vt:lpwstr>0</vt:lpwstr>
  </property>
</Properties>
</file>