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C8775" w14:textId="77777777" w:rsidR="008B2CC1" w:rsidRPr="009C6C55" w:rsidRDefault="00DB0349" w:rsidP="009C6C55">
      <w:pPr>
        <w:spacing w:after="120"/>
        <w:jc w:val="right"/>
        <w:rPr>
          <w:lang w:val="fr-FR"/>
        </w:rPr>
      </w:pPr>
      <w:r w:rsidRPr="009C6C55">
        <w:rPr>
          <w:noProof/>
          <w:lang w:val="fr-FR" w:eastAsia="en-US"/>
        </w:rPr>
        <w:drawing>
          <wp:inline distT="0" distB="0" distL="0" distR="0" wp14:anchorId="0D51B331" wp14:editId="1254086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C6C55">
        <w:rPr>
          <w:rFonts w:ascii="Arial Black" w:hAnsi="Arial Black"/>
          <w:caps/>
          <w:noProof/>
          <w:sz w:val="15"/>
          <w:szCs w:val="15"/>
          <w:lang w:val="fr-FR" w:eastAsia="en-US"/>
        </w:rPr>
        <mc:AlternateContent>
          <mc:Choice Requires="wps">
            <w:drawing>
              <wp:inline distT="0" distB="0" distL="0" distR="0" wp14:anchorId="3CD29089" wp14:editId="74FFB80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7C6EE1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A957716" w14:textId="334910A3" w:rsidR="008B2CC1" w:rsidRPr="009C6C55" w:rsidRDefault="00456117" w:rsidP="009C6C55">
      <w:pPr>
        <w:jc w:val="right"/>
        <w:rPr>
          <w:rFonts w:ascii="Arial Black" w:hAnsi="Arial Black"/>
          <w:caps/>
          <w:sz w:val="15"/>
          <w:szCs w:val="15"/>
          <w:lang w:val="fr-FR"/>
        </w:rPr>
      </w:pPr>
      <w:r w:rsidRPr="009C6C55">
        <w:rPr>
          <w:rFonts w:ascii="Arial Black" w:hAnsi="Arial Black"/>
          <w:caps/>
          <w:sz w:val="15"/>
          <w:szCs w:val="15"/>
          <w:lang w:val="fr-FR"/>
        </w:rPr>
        <w:t>SCCR/4</w:t>
      </w:r>
      <w:r w:rsidR="00AC2EBA" w:rsidRPr="009C6C55">
        <w:rPr>
          <w:rFonts w:ascii="Arial Black" w:hAnsi="Arial Black"/>
          <w:caps/>
          <w:sz w:val="15"/>
          <w:szCs w:val="15"/>
          <w:lang w:val="fr-FR"/>
        </w:rPr>
        <w:t>7</w:t>
      </w:r>
      <w:r w:rsidR="00D55C00" w:rsidRPr="009C6C55">
        <w:rPr>
          <w:rFonts w:ascii="Arial Black" w:hAnsi="Arial Black"/>
          <w:caps/>
          <w:sz w:val="15"/>
          <w:szCs w:val="15"/>
          <w:lang w:val="fr-FR"/>
        </w:rPr>
        <w:t>/</w:t>
      </w:r>
      <w:bookmarkStart w:id="0" w:name="Code"/>
      <w:bookmarkEnd w:id="0"/>
      <w:r w:rsidR="0084234B" w:rsidRPr="009C6C55">
        <w:rPr>
          <w:rFonts w:ascii="Arial Black" w:hAnsi="Arial Black"/>
          <w:caps/>
          <w:sz w:val="15"/>
          <w:szCs w:val="15"/>
          <w:lang w:val="fr-FR"/>
        </w:rPr>
        <w:t>8</w:t>
      </w:r>
    </w:p>
    <w:p w14:paraId="730649E6" w14:textId="2ECED0DE" w:rsidR="008B2CC1" w:rsidRPr="009C6C55" w:rsidRDefault="00DB0349" w:rsidP="009C6C55">
      <w:pPr>
        <w:jc w:val="right"/>
        <w:rPr>
          <w:rFonts w:ascii="Arial Black" w:hAnsi="Arial Black"/>
          <w:caps/>
          <w:sz w:val="15"/>
          <w:szCs w:val="15"/>
          <w:lang w:val="fr-FR"/>
        </w:rPr>
      </w:pPr>
      <w:r w:rsidRPr="009C6C55">
        <w:rPr>
          <w:rFonts w:ascii="Arial Black" w:hAnsi="Arial Black"/>
          <w:caps/>
          <w:sz w:val="15"/>
          <w:szCs w:val="15"/>
          <w:lang w:val="fr-FR"/>
        </w:rPr>
        <w:t>Original</w:t>
      </w:r>
      <w:r w:rsidR="00964A53" w:rsidRPr="009C6C55">
        <w:rPr>
          <w:rFonts w:ascii="Arial Black" w:hAnsi="Arial Black"/>
          <w:caps/>
          <w:sz w:val="15"/>
          <w:szCs w:val="15"/>
          <w:lang w:val="fr-FR"/>
        </w:rPr>
        <w:t> :</w:t>
      </w:r>
      <w:r w:rsidRPr="009C6C55">
        <w:rPr>
          <w:rFonts w:ascii="Arial Black" w:hAnsi="Arial Black"/>
          <w:caps/>
          <w:sz w:val="15"/>
          <w:szCs w:val="15"/>
          <w:lang w:val="fr-FR"/>
        </w:rPr>
        <w:t xml:space="preserve"> </w:t>
      </w:r>
      <w:bookmarkStart w:id="1" w:name="Original"/>
      <w:r w:rsidR="0084234B" w:rsidRPr="009C6C55">
        <w:rPr>
          <w:rFonts w:ascii="Arial Black" w:hAnsi="Arial Black"/>
          <w:caps/>
          <w:sz w:val="15"/>
          <w:szCs w:val="15"/>
          <w:lang w:val="fr-FR"/>
        </w:rPr>
        <w:t>anglais</w:t>
      </w:r>
    </w:p>
    <w:bookmarkEnd w:id="1"/>
    <w:p w14:paraId="534E04A0" w14:textId="73D57C9D" w:rsidR="008B2CC1" w:rsidRPr="009C6C55" w:rsidRDefault="00DB0349" w:rsidP="009C6C55">
      <w:pPr>
        <w:spacing w:after="1200"/>
        <w:jc w:val="right"/>
        <w:rPr>
          <w:rFonts w:ascii="Arial Black" w:hAnsi="Arial Black"/>
          <w:caps/>
          <w:sz w:val="15"/>
          <w:szCs w:val="15"/>
          <w:lang w:val="fr-FR"/>
        </w:rPr>
      </w:pPr>
      <w:r w:rsidRPr="009C6C55">
        <w:rPr>
          <w:rFonts w:ascii="Arial Black" w:hAnsi="Arial Black"/>
          <w:caps/>
          <w:sz w:val="15"/>
          <w:szCs w:val="15"/>
          <w:lang w:val="fr-FR"/>
        </w:rPr>
        <w:t>date</w:t>
      </w:r>
      <w:r w:rsidR="00964A53" w:rsidRPr="009C6C55">
        <w:rPr>
          <w:rFonts w:ascii="Arial Black" w:hAnsi="Arial Black"/>
          <w:caps/>
          <w:sz w:val="15"/>
          <w:szCs w:val="15"/>
          <w:lang w:val="fr-FR"/>
        </w:rPr>
        <w:t> :</w:t>
      </w:r>
      <w:r w:rsidRPr="009C6C55">
        <w:rPr>
          <w:rFonts w:ascii="Arial Black" w:hAnsi="Arial Black"/>
          <w:caps/>
          <w:sz w:val="15"/>
          <w:szCs w:val="15"/>
          <w:lang w:val="fr-FR"/>
        </w:rPr>
        <w:t xml:space="preserve"> </w:t>
      </w:r>
      <w:bookmarkStart w:id="2" w:name="Date"/>
      <w:r w:rsidR="0084234B" w:rsidRPr="009C6C55">
        <w:rPr>
          <w:rFonts w:ascii="Arial Black" w:hAnsi="Arial Black"/>
          <w:caps/>
          <w:sz w:val="15"/>
          <w:szCs w:val="15"/>
          <w:lang w:val="fr-FR"/>
        </w:rPr>
        <w:t>10 novembre 2025</w:t>
      </w:r>
    </w:p>
    <w:bookmarkEnd w:id="2"/>
    <w:p w14:paraId="73144291" w14:textId="671D5C16" w:rsidR="00C40E15" w:rsidRPr="009C6C55" w:rsidRDefault="00D55C00" w:rsidP="009C6C55">
      <w:pPr>
        <w:spacing w:after="480"/>
        <w:rPr>
          <w:b/>
          <w:sz w:val="28"/>
          <w:szCs w:val="28"/>
          <w:lang w:val="fr-FR"/>
        </w:rPr>
      </w:pPr>
      <w:r w:rsidRPr="009C6C55">
        <w:rPr>
          <w:b/>
          <w:sz w:val="28"/>
          <w:szCs w:val="28"/>
          <w:lang w:val="fr-FR"/>
        </w:rPr>
        <w:t>Comité permanent du droit d</w:t>
      </w:r>
      <w:r w:rsidR="00964A53" w:rsidRPr="009C6C55">
        <w:rPr>
          <w:b/>
          <w:sz w:val="28"/>
          <w:szCs w:val="28"/>
          <w:lang w:val="fr-FR"/>
        </w:rPr>
        <w:t>’</w:t>
      </w:r>
      <w:r w:rsidRPr="009C6C55">
        <w:rPr>
          <w:b/>
          <w:sz w:val="28"/>
          <w:szCs w:val="28"/>
          <w:lang w:val="fr-FR"/>
        </w:rPr>
        <w:t>auteur et des droits connexes</w:t>
      </w:r>
    </w:p>
    <w:p w14:paraId="6B4AA9B6" w14:textId="0863B354" w:rsidR="008B2CC1" w:rsidRPr="009C6C55" w:rsidRDefault="00D55C00" w:rsidP="009C6C55">
      <w:pPr>
        <w:rPr>
          <w:b/>
          <w:sz w:val="24"/>
          <w:szCs w:val="24"/>
          <w:lang w:val="fr-FR"/>
        </w:rPr>
      </w:pPr>
      <w:r w:rsidRPr="009C6C55">
        <w:rPr>
          <w:b/>
          <w:sz w:val="24"/>
          <w:szCs w:val="24"/>
          <w:lang w:val="fr-FR"/>
        </w:rPr>
        <w:t>Quarante</w:t>
      </w:r>
      <w:r w:rsidR="009C6C55">
        <w:rPr>
          <w:b/>
          <w:sz w:val="24"/>
          <w:szCs w:val="24"/>
          <w:lang w:val="fr-FR"/>
        </w:rPr>
        <w:noBreakHyphen/>
      </w:r>
      <w:r w:rsidR="001F091D" w:rsidRPr="009C6C55">
        <w:rPr>
          <w:b/>
          <w:sz w:val="24"/>
          <w:szCs w:val="24"/>
          <w:lang w:val="fr-FR"/>
        </w:rPr>
        <w:t>s</w:t>
      </w:r>
      <w:r w:rsidR="00AC2EBA" w:rsidRPr="009C6C55">
        <w:rPr>
          <w:b/>
          <w:sz w:val="24"/>
          <w:szCs w:val="24"/>
          <w:lang w:val="fr-FR"/>
        </w:rPr>
        <w:t>ept</w:t>
      </w:r>
      <w:r w:rsidR="00964A53" w:rsidRPr="009C6C55">
        <w:rPr>
          <w:b/>
          <w:sz w:val="24"/>
          <w:szCs w:val="24"/>
          <w:lang w:val="fr-FR"/>
        </w:rPr>
        <w:t>ième session</w:t>
      </w:r>
    </w:p>
    <w:p w14:paraId="2A5DA0D5" w14:textId="2F9151F4" w:rsidR="008B2CC1" w:rsidRPr="009C6C55" w:rsidRDefault="00D55C00" w:rsidP="009C6C55">
      <w:pPr>
        <w:spacing w:after="720"/>
        <w:rPr>
          <w:b/>
          <w:sz w:val="24"/>
          <w:szCs w:val="24"/>
          <w:lang w:val="fr-FR"/>
        </w:rPr>
      </w:pPr>
      <w:r w:rsidRPr="009C6C55">
        <w:rPr>
          <w:b/>
          <w:sz w:val="24"/>
          <w:szCs w:val="24"/>
          <w:lang w:val="fr-FR"/>
        </w:rPr>
        <w:t>Genève,</w:t>
      </w:r>
      <w:r w:rsidR="00964A53" w:rsidRPr="009C6C55">
        <w:rPr>
          <w:b/>
          <w:sz w:val="24"/>
          <w:szCs w:val="24"/>
          <w:lang w:val="fr-FR"/>
        </w:rPr>
        <w:t xml:space="preserve"> 1</w:t>
      </w:r>
      <w:r w:rsidR="00964A53" w:rsidRPr="009C6C55">
        <w:rPr>
          <w:b/>
          <w:sz w:val="24"/>
          <w:szCs w:val="24"/>
          <w:vertAlign w:val="superscript"/>
          <w:lang w:val="fr-FR"/>
        </w:rPr>
        <w:t>er</w:t>
      </w:r>
      <w:r w:rsidR="00964A53" w:rsidRPr="009C6C55">
        <w:rPr>
          <w:b/>
          <w:sz w:val="24"/>
          <w:szCs w:val="24"/>
          <w:lang w:val="fr-FR"/>
        </w:rPr>
        <w:t> </w:t>
      </w:r>
      <w:r w:rsidR="00456117" w:rsidRPr="009C6C55">
        <w:rPr>
          <w:b/>
          <w:sz w:val="24"/>
          <w:szCs w:val="24"/>
          <w:lang w:val="fr-FR"/>
        </w:rPr>
        <w:t xml:space="preserve">– </w:t>
      </w:r>
      <w:r w:rsidR="00AC2EBA" w:rsidRPr="009C6C55">
        <w:rPr>
          <w:b/>
          <w:sz w:val="24"/>
          <w:szCs w:val="24"/>
          <w:lang w:val="fr-FR"/>
        </w:rPr>
        <w:t>5</w:t>
      </w:r>
      <w:r w:rsidR="00DC4A0D" w:rsidRPr="009C6C55">
        <w:rPr>
          <w:b/>
          <w:sz w:val="24"/>
          <w:szCs w:val="24"/>
          <w:lang w:val="fr-FR"/>
        </w:rPr>
        <w:t> </w:t>
      </w:r>
      <w:r w:rsidR="00AC2EBA" w:rsidRPr="009C6C55">
        <w:rPr>
          <w:b/>
          <w:sz w:val="24"/>
          <w:szCs w:val="24"/>
          <w:lang w:val="fr-FR"/>
        </w:rPr>
        <w:t>décembre </w:t>
      </w:r>
      <w:r w:rsidR="00456117" w:rsidRPr="009C6C55">
        <w:rPr>
          <w:b/>
          <w:sz w:val="24"/>
          <w:szCs w:val="24"/>
          <w:lang w:val="fr-FR"/>
        </w:rPr>
        <w:t>202</w:t>
      </w:r>
      <w:r w:rsidR="001F091D" w:rsidRPr="009C6C55">
        <w:rPr>
          <w:b/>
          <w:sz w:val="24"/>
          <w:szCs w:val="24"/>
          <w:lang w:val="fr-FR"/>
        </w:rPr>
        <w:t>5</w:t>
      </w:r>
    </w:p>
    <w:p w14:paraId="5AA0840B" w14:textId="1145E24C" w:rsidR="0084234B" w:rsidRPr="009C6C55" w:rsidRDefault="009C6C55" w:rsidP="009C6C55">
      <w:pPr>
        <w:spacing w:after="360"/>
        <w:rPr>
          <w:caps/>
          <w:sz w:val="24"/>
          <w:lang w:val="fr-FR"/>
        </w:rPr>
      </w:pPr>
      <w:bookmarkStart w:id="3" w:name="TitleOfDoc"/>
      <w:r w:rsidRPr="009C6C55">
        <w:rPr>
          <w:caps/>
          <w:sz w:val="24"/>
          <w:lang w:val="fr-FR"/>
        </w:rPr>
        <w:t>Texte proposé dans le cadre des efforts déployés en vue de l’élaboration d’un ou plusieurs instruments juridiques internationaux appropriés sur les limitations et exceptions</w:t>
      </w:r>
    </w:p>
    <w:p w14:paraId="5AF686DE" w14:textId="72173869" w:rsidR="0084234B" w:rsidRPr="009C6C55" w:rsidRDefault="0084234B" w:rsidP="009C6C55">
      <w:pPr>
        <w:spacing w:after="960"/>
        <w:rPr>
          <w:i/>
          <w:lang w:val="fr-FR"/>
        </w:rPr>
      </w:pPr>
      <w:bookmarkStart w:id="4" w:name="Prepared"/>
      <w:bookmarkEnd w:id="3"/>
      <w:r w:rsidRPr="009C6C55">
        <w:rPr>
          <w:i/>
          <w:lang w:val="fr-FR"/>
        </w:rPr>
        <w:t>Proposition de la présidente et du vice</w:t>
      </w:r>
      <w:r w:rsidR="009C6C55">
        <w:rPr>
          <w:i/>
          <w:lang w:val="fr-FR"/>
        </w:rPr>
        <w:noBreakHyphen/>
      </w:r>
      <w:r w:rsidRPr="009C6C55">
        <w:rPr>
          <w:i/>
          <w:lang w:val="fr-FR"/>
        </w:rPr>
        <w:t>président</w:t>
      </w:r>
      <w:r w:rsidR="00964A53" w:rsidRPr="009C6C55">
        <w:rPr>
          <w:i/>
          <w:lang w:val="fr-FR"/>
        </w:rPr>
        <w:t xml:space="preserve"> du SCC</w:t>
      </w:r>
      <w:r w:rsidRPr="009C6C55">
        <w:rPr>
          <w:i/>
          <w:lang w:val="fr-FR"/>
        </w:rPr>
        <w:t>R</w:t>
      </w:r>
    </w:p>
    <w:p w14:paraId="3EA0C991" w14:textId="77777777" w:rsidR="0084234B" w:rsidRPr="009C6C55" w:rsidRDefault="0084234B" w:rsidP="009C6C55">
      <w:pPr>
        <w:rPr>
          <w:i/>
          <w:lang w:val="fr-FR"/>
        </w:rPr>
      </w:pPr>
      <w:r w:rsidRPr="009C6C55">
        <w:rPr>
          <w:lang w:val="fr-FR"/>
        </w:rPr>
        <w:br w:type="page"/>
      </w:r>
    </w:p>
    <w:bookmarkEnd w:id="4"/>
    <w:p w14:paraId="6E964248" w14:textId="34712DE2" w:rsidR="0084234B" w:rsidRPr="009C6C55" w:rsidRDefault="0084234B" w:rsidP="009C6C55">
      <w:pPr>
        <w:spacing w:before="480" w:after="220"/>
        <w:rPr>
          <w:u w:val="single"/>
          <w:lang w:val="fr-FR"/>
        </w:rPr>
      </w:pPr>
      <w:r w:rsidRPr="009C6C55">
        <w:rPr>
          <w:u w:val="single"/>
          <w:lang w:val="fr-FR"/>
        </w:rPr>
        <w:lastRenderedPageBreak/>
        <w:t>Déclaration liminaire de la présidente et du vice</w:t>
      </w:r>
      <w:r w:rsidR="009C6C55">
        <w:rPr>
          <w:u w:val="single"/>
          <w:lang w:val="fr-FR"/>
        </w:rPr>
        <w:noBreakHyphen/>
      </w:r>
      <w:r w:rsidRPr="009C6C55">
        <w:rPr>
          <w:u w:val="single"/>
          <w:lang w:val="fr-FR"/>
        </w:rPr>
        <w:t>président</w:t>
      </w:r>
    </w:p>
    <w:p w14:paraId="7780BC6E" w14:textId="34AB8A4A" w:rsidR="0084234B" w:rsidRPr="009C6C55" w:rsidRDefault="0084234B" w:rsidP="009C6C55">
      <w:pPr>
        <w:spacing w:after="220"/>
        <w:rPr>
          <w:lang w:val="fr-FR"/>
        </w:rPr>
      </w:pPr>
      <w:r w:rsidRPr="009C6C55">
        <w:rPr>
          <w:lang w:val="fr-FR"/>
        </w:rPr>
        <w:t>Le texte proposé a été rédigé conformément à l</w:t>
      </w:r>
      <w:r w:rsidR="00964A53" w:rsidRPr="009C6C55">
        <w:rPr>
          <w:lang w:val="fr-FR"/>
        </w:rPr>
        <w:t>’</w:t>
      </w:r>
      <w:r w:rsidRPr="009C6C55">
        <w:rPr>
          <w:lang w:val="fr-FR"/>
        </w:rPr>
        <w:t>engagement pris lors de la quarante</w:t>
      </w:r>
      <w:r w:rsidR="009C6C55">
        <w:rPr>
          <w:lang w:val="fr-FR"/>
        </w:rPr>
        <w:noBreakHyphen/>
      </w:r>
      <w:r w:rsidRPr="009C6C55">
        <w:rPr>
          <w:lang w:val="fr-FR"/>
        </w:rPr>
        <w:t>six</w:t>
      </w:r>
      <w:r w:rsidR="00964A53" w:rsidRPr="009C6C55">
        <w:rPr>
          <w:lang w:val="fr-FR"/>
        </w:rPr>
        <w:t>ième session du SCC</w:t>
      </w:r>
      <w:r w:rsidRPr="009C6C55">
        <w:rPr>
          <w:lang w:val="fr-FR"/>
        </w:rPr>
        <w:t>R, qui s</w:t>
      </w:r>
      <w:r w:rsidR="00964A53" w:rsidRPr="009C6C55">
        <w:rPr>
          <w:lang w:val="fr-FR"/>
        </w:rPr>
        <w:t>’</w:t>
      </w:r>
      <w:r w:rsidRPr="009C6C55">
        <w:rPr>
          <w:lang w:val="fr-FR"/>
        </w:rPr>
        <w:t xml:space="preserve">est tenue en </w:t>
      </w:r>
      <w:r w:rsidR="00964A53" w:rsidRPr="009C6C55">
        <w:rPr>
          <w:lang w:val="fr-FR"/>
        </w:rPr>
        <w:t>avril 20</w:t>
      </w:r>
      <w:r w:rsidRPr="009C6C55">
        <w:rPr>
          <w:lang w:val="fr-FR"/>
        </w:rPr>
        <w:t>25.  Il vise à tirer parti des progrès précédemment réalisés au titre de ce point de l</w:t>
      </w:r>
      <w:r w:rsidR="00964A53" w:rsidRPr="009C6C55">
        <w:rPr>
          <w:lang w:val="fr-FR"/>
        </w:rPr>
        <w:t>’</w:t>
      </w:r>
      <w:r w:rsidRPr="009C6C55">
        <w:rPr>
          <w:lang w:val="fr-FR"/>
        </w:rPr>
        <w:t>ordre du jour, compte tenu de la communauté de vues qui s</w:t>
      </w:r>
      <w:r w:rsidR="00964A53" w:rsidRPr="009C6C55">
        <w:rPr>
          <w:lang w:val="fr-FR"/>
        </w:rPr>
        <w:t>’</w:t>
      </w:r>
      <w:r w:rsidRPr="009C6C55">
        <w:rPr>
          <w:lang w:val="fr-FR"/>
        </w:rPr>
        <w:t>est dégagée entre les membres</w:t>
      </w:r>
      <w:r w:rsidR="00964A53" w:rsidRPr="009C6C55">
        <w:rPr>
          <w:lang w:val="fr-FR"/>
        </w:rPr>
        <w:t xml:space="preserve"> du SCC</w:t>
      </w:r>
      <w:r w:rsidRPr="009C6C55">
        <w:rPr>
          <w:lang w:val="fr-FR"/>
        </w:rPr>
        <w:t xml:space="preserve">R au cours des discussions, </w:t>
      </w:r>
      <w:r w:rsidR="00964A53" w:rsidRPr="009C6C55">
        <w:rPr>
          <w:lang w:val="fr-FR"/>
        </w:rPr>
        <w:t>y compris</w:t>
      </w:r>
      <w:r w:rsidRPr="009C6C55">
        <w:rPr>
          <w:lang w:val="fr-FR"/>
        </w:rPr>
        <w:t xml:space="preserve"> en ce qui concerne les documents déjà présentés à ce titre.</w:t>
      </w:r>
    </w:p>
    <w:p w14:paraId="76BAB451" w14:textId="77777777" w:rsidR="0084234B" w:rsidRPr="009C6C55" w:rsidRDefault="0084234B" w:rsidP="009C6C55">
      <w:pPr>
        <w:spacing w:after="220"/>
        <w:rPr>
          <w:lang w:val="fr-FR"/>
        </w:rPr>
      </w:pPr>
      <w:r w:rsidRPr="009C6C55">
        <w:rPr>
          <w:lang w:val="fr-FR"/>
        </w:rPr>
        <w:t>Le présent projet est une proposition de base et sa forme actuelle ne préjuge pas de la nature et de la forme juridiques à donner aux résultats de ce processus.</w:t>
      </w:r>
    </w:p>
    <w:p w14:paraId="73A47EDC" w14:textId="38991059" w:rsidR="0084234B" w:rsidRPr="009C6C55" w:rsidRDefault="0084234B" w:rsidP="009C6C55">
      <w:pPr>
        <w:pStyle w:val="Heading1"/>
        <w:spacing w:after="240" w:line="360" w:lineRule="auto"/>
        <w:rPr>
          <w:u w:val="single"/>
          <w:lang w:val="fr-FR"/>
        </w:rPr>
      </w:pPr>
      <w:r w:rsidRPr="009C6C55">
        <w:rPr>
          <w:lang w:val="fr-FR"/>
        </w:rPr>
        <w:br w:type="page"/>
      </w:r>
      <w:r w:rsidR="009C6C55">
        <w:rPr>
          <w:lang w:val="fr-FR"/>
        </w:rPr>
        <w:lastRenderedPageBreak/>
        <w:t>P</w:t>
      </w:r>
      <w:r w:rsidR="009C6C55" w:rsidRPr="009C6C55">
        <w:rPr>
          <w:lang w:val="fr-FR"/>
        </w:rPr>
        <w:t>rincipales considérations générales</w:t>
      </w:r>
    </w:p>
    <w:p w14:paraId="5598DD11" w14:textId="77777777" w:rsidR="009C6C55" w:rsidRDefault="0084234B" w:rsidP="009C6C55">
      <w:pPr>
        <w:pStyle w:val="ONUMFS"/>
        <w:numPr>
          <w:ilvl w:val="0"/>
          <w:numId w:val="0"/>
        </w:numPr>
        <w:spacing w:line="360" w:lineRule="auto"/>
        <w:rPr>
          <w:lang w:val="fr-FR"/>
        </w:rPr>
      </w:pPr>
      <w:r w:rsidRPr="009C6C55">
        <w:rPr>
          <w:lang w:val="fr-FR"/>
        </w:rPr>
        <w:t>La recherche d</w:t>
      </w:r>
      <w:r w:rsidR="00964A53" w:rsidRPr="009C6C55">
        <w:rPr>
          <w:lang w:val="fr-FR"/>
        </w:rPr>
        <w:t>’</w:t>
      </w:r>
      <w:r w:rsidRPr="009C6C55">
        <w:rPr>
          <w:lang w:val="fr-FR"/>
        </w:rPr>
        <w:t>un équilibre adéquat entre les droits des créateurs et des autres titulaires de droits, d</w:t>
      </w:r>
      <w:r w:rsidR="00964A53" w:rsidRPr="009C6C55">
        <w:rPr>
          <w:lang w:val="fr-FR"/>
        </w:rPr>
        <w:t>’</w:t>
      </w:r>
      <w:r w:rsidRPr="009C6C55">
        <w:rPr>
          <w:lang w:val="fr-FR"/>
        </w:rPr>
        <w:t>une part, et l</w:t>
      </w:r>
      <w:r w:rsidR="00964A53" w:rsidRPr="009C6C55">
        <w:rPr>
          <w:lang w:val="fr-FR"/>
        </w:rPr>
        <w:t>’</w:t>
      </w:r>
      <w:r w:rsidRPr="009C6C55">
        <w:rPr>
          <w:lang w:val="fr-FR"/>
        </w:rPr>
        <w:t>intérêt du public pour la préservation, l</w:t>
      </w:r>
      <w:r w:rsidR="00964A53" w:rsidRPr="009C6C55">
        <w:rPr>
          <w:lang w:val="fr-FR"/>
        </w:rPr>
        <w:t>’</w:t>
      </w:r>
      <w:r w:rsidRPr="009C6C55">
        <w:rPr>
          <w:lang w:val="fr-FR"/>
        </w:rPr>
        <w:t>accès, l</w:t>
      </w:r>
      <w:r w:rsidR="00964A53" w:rsidRPr="009C6C55">
        <w:rPr>
          <w:lang w:val="fr-FR"/>
        </w:rPr>
        <w:t>’</w:t>
      </w:r>
      <w:r w:rsidRPr="009C6C55">
        <w:rPr>
          <w:lang w:val="fr-FR"/>
        </w:rPr>
        <w:t>éducation et la recherche en matière de contenus créatifs, d</w:t>
      </w:r>
      <w:r w:rsidR="00964A53" w:rsidRPr="009C6C55">
        <w:rPr>
          <w:lang w:val="fr-FR"/>
        </w:rPr>
        <w:t>’</w:t>
      </w:r>
      <w:r w:rsidRPr="009C6C55">
        <w:rPr>
          <w:lang w:val="fr-FR"/>
        </w:rPr>
        <w:t>autre part, est inhérente au droit d</w:t>
      </w:r>
      <w:r w:rsidR="00964A53" w:rsidRPr="009C6C55">
        <w:rPr>
          <w:lang w:val="fr-FR"/>
        </w:rPr>
        <w:t>’</w:t>
      </w:r>
      <w:r w:rsidRPr="009C6C55">
        <w:rPr>
          <w:lang w:val="fr-FR"/>
        </w:rPr>
        <w:t>auteur</w:t>
      </w:r>
      <w:r w:rsidRPr="009C6C55">
        <w:rPr>
          <w:rStyle w:val="FootnoteReference"/>
          <w:rFonts w:eastAsia="MS Mincho"/>
          <w:i/>
          <w:iCs/>
          <w:lang w:val="fr-FR"/>
        </w:rPr>
        <w:footnoteReference w:id="2"/>
      </w:r>
      <w:r w:rsidRPr="009C6C55">
        <w:rPr>
          <w:lang w:val="fr-FR"/>
        </w:rPr>
        <w:t>.</w:t>
      </w:r>
    </w:p>
    <w:p w14:paraId="52BBB5AC" w14:textId="35DF60FF" w:rsidR="0084234B" w:rsidRPr="009C6C55" w:rsidRDefault="0084234B" w:rsidP="009C6C55">
      <w:pPr>
        <w:pStyle w:val="ONUMFS"/>
        <w:numPr>
          <w:ilvl w:val="0"/>
          <w:numId w:val="0"/>
        </w:numPr>
        <w:spacing w:line="360" w:lineRule="auto"/>
        <w:rPr>
          <w:rFonts w:eastAsia="MS Mincho"/>
          <w:lang w:val="fr-FR"/>
        </w:rPr>
      </w:pPr>
      <w:r w:rsidRPr="009C6C55">
        <w:rPr>
          <w:lang w:val="fr-FR"/>
        </w:rPr>
        <w:t>Compte tenu de cet équilibre, les institutions chargées du patrimoine culturel, telles que les bibliothèques, les services d</w:t>
      </w:r>
      <w:r w:rsidR="00964A53" w:rsidRPr="009C6C55">
        <w:rPr>
          <w:lang w:val="fr-FR"/>
        </w:rPr>
        <w:t>’</w:t>
      </w:r>
      <w:r w:rsidRPr="009C6C55">
        <w:rPr>
          <w:lang w:val="fr-FR"/>
        </w:rPr>
        <w:t>archives et les musées, ainsi que les établissements d</w:t>
      </w:r>
      <w:r w:rsidR="00964A53" w:rsidRPr="009C6C55">
        <w:rPr>
          <w:lang w:val="fr-FR"/>
        </w:rPr>
        <w:t>’</w:t>
      </w:r>
      <w:r w:rsidRPr="009C6C55">
        <w:rPr>
          <w:lang w:val="fr-FR"/>
        </w:rPr>
        <w:t>enseignement et de recherche, jouent un rôle fondamental dans la préservation et l</w:t>
      </w:r>
      <w:r w:rsidR="00964A53" w:rsidRPr="009C6C55">
        <w:rPr>
          <w:lang w:val="fr-FR"/>
        </w:rPr>
        <w:t>’</w:t>
      </w:r>
      <w:r w:rsidRPr="009C6C55">
        <w:rPr>
          <w:lang w:val="fr-FR"/>
        </w:rPr>
        <w:t>accès à la connaissance, à l</w:t>
      </w:r>
      <w:r w:rsidR="00964A53" w:rsidRPr="009C6C55">
        <w:rPr>
          <w:lang w:val="fr-FR"/>
        </w:rPr>
        <w:t>’</w:t>
      </w:r>
      <w:r w:rsidRPr="009C6C55">
        <w:rPr>
          <w:lang w:val="fr-FR"/>
        </w:rPr>
        <w:t>information et à la mémoire des peuples, ainsi que dans la possibilité, pour toutes les personnes handicapées, de participer pleinement à la vie culturelle de la communauté, de jouir des arts et de profiter du progrès scientifique.</w:t>
      </w:r>
    </w:p>
    <w:p w14:paraId="303C4CFC" w14:textId="77777777" w:rsidR="009C6C55" w:rsidRDefault="0084234B" w:rsidP="009C6C55">
      <w:pPr>
        <w:pStyle w:val="ONUMFS"/>
        <w:numPr>
          <w:ilvl w:val="0"/>
          <w:numId w:val="0"/>
        </w:numPr>
        <w:spacing w:line="360" w:lineRule="auto"/>
        <w:rPr>
          <w:lang w:val="fr-FR"/>
        </w:rPr>
      </w:pPr>
      <w:r w:rsidRPr="009C6C55">
        <w:rPr>
          <w:lang w:val="fr-FR"/>
        </w:rPr>
        <w:t>Le Comité permanent du droit d</w:t>
      </w:r>
      <w:r w:rsidR="00964A53" w:rsidRPr="009C6C55">
        <w:rPr>
          <w:lang w:val="fr-FR"/>
        </w:rPr>
        <w:t>’</w:t>
      </w:r>
      <w:r w:rsidRPr="009C6C55">
        <w:rPr>
          <w:lang w:val="fr-FR"/>
        </w:rPr>
        <w:t>auteur et des droits connexes (SCCR) a effectué un travail considérable, notamment dans le cadre de séminaires régionaux et d</w:t>
      </w:r>
      <w:r w:rsidR="00964A53" w:rsidRPr="009C6C55">
        <w:rPr>
          <w:lang w:val="fr-FR"/>
        </w:rPr>
        <w:t>’</w:t>
      </w:r>
      <w:r w:rsidRPr="009C6C55">
        <w:rPr>
          <w:lang w:val="fr-FR"/>
        </w:rPr>
        <w:t>une conférence internationale, et a désigné la préservation, l</w:t>
      </w:r>
      <w:r w:rsidR="00964A53" w:rsidRPr="009C6C55">
        <w:rPr>
          <w:lang w:val="fr-FR"/>
        </w:rPr>
        <w:t>’</w:t>
      </w:r>
      <w:r w:rsidRPr="009C6C55">
        <w:rPr>
          <w:lang w:val="fr-FR"/>
        </w:rPr>
        <w:t>accès, l</w:t>
      </w:r>
      <w:r w:rsidR="00964A53" w:rsidRPr="009C6C55">
        <w:rPr>
          <w:lang w:val="fr-FR"/>
        </w:rPr>
        <w:t>’</w:t>
      </w:r>
      <w:r w:rsidRPr="009C6C55">
        <w:rPr>
          <w:lang w:val="fr-FR"/>
        </w:rPr>
        <w:t>adaptation à l</w:t>
      </w:r>
      <w:r w:rsidR="00964A53" w:rsidRPr="009C6C55">
        <w:rPr>
          <w:lang w:val="fr-FR"/>
        </w:rPr>
        <w:t>’</w:t>
      </w:r>
      <w:r w:rsidRPr="009C6C55">
        <w:rPr>
          <w:lang w:val="fr-FR"/>
        </w:rPr>
        <w:t>environnement numérique et les questions transfrontières comme des domaines prioritaires du point de vue du patrimoine culturel ainsi que des établissements d</w:t>
      </w:r>
      <w:r w:rsidR="00964A53" w:rsidRPr="009C6C55">
        <w:rPr>
          <w:lang w:val="fr-FR"/>
        </w:rPr>
        <w:t>’</w:t>
      </w:r>
      <w:r w:rsidRPr="009C6C55">
        <w:rPr>
          <w:lang w:val="fr-FR"/>
        </w:rPr>
        <w:t>enseignement et de recherc</w:t>
      </w:r>
      <w:r w:rsidR="009E2210" w:rsidRPr="009C6C55">
        <w:rPr>
          <w:lang w:val="fr-FR"/>
        </w:rPr>
        <w:t>he.  Le</w:t>
      </w:r>
      <w:r w:rsidR="00964A53" w:rsidRPr="009C6C55">
        <w:rPr>
          <w:lang w:val="fr-FR"/>
        </w:rPr>
        <w:t> SCC</w:t>
      </w:r>
      <w:r w:rsidRPr="009C6C55">
        <w:rPr>
          <w:lang w:val="fr-FR"/>
        </w:rPr>
        <w:t>R a également insisté sur la nécessité de faciliter l</w:t>
      </w:r>
      <w:r w:rsidR="00964A53" w:rsidRPr="009C6C55">
        <w:rPr>
          <w:lang w:val="fr-FR"/>
        </w:rPr>
        <w:t>’</w:t>
      </w:r>
      <w:r w:rsidRPr="009C6C55">
        <w:rPr>
          <w:lang w:val="fr-FR"/>
        </w:rPr>
        <w:t>accès des personnes handicapées aux œuvres protégées par le droit d</w:t>
      </w:r>
      <w:r w:rsidR="00964A53" w:rsidRPr="009C6C55">
        <w:rPr>
          <w:lang w:val="fr-FR"/>
        </w:rPr>
        <w:t>’</w:t>
      </w:r>
      <w:r w:rsidRPr="009C6C55">
        <w:rPr>
          <w:lang w:val="fr-FR"/>
        </w:rPr>
        <w:t>auteur.</w:t>
      </w:r>
    </w:p>
    <w:p w14:paraId="78CEC9C6" w14:textId="6465CB7C" w:rsidR="00964A53" w:rsidRPr="009C6C55" w:rsidRDefault="0084234B" w:rsidP="009C6C55">
      <w:pPr>
        <w:pStyle w:val="ONUMFS"/>
        <w:numPr>
          <w:ilvl w:val="0"/>
          <w:numId w:val="0"/>
        </w:numPr>
        <w:spacing w:line="360" w:lineRule="auto"/>
        <w:rPr>
          <w:lang w:val="fr-FR"/>
        </w:rPr>
      </w:pPr>
      <w:r w:rsidRPr="009C6C55">
        <w:rPr>
          <w:lang w:val="fr-FR"/>
        </w:rPr>
        <w:t>Le système international du droit d</w:t>
      </w:r>
      <w:r w:rsidR="00964A53" w:rsidRPr="009C6C55">
        <w:rPr>
          <w:lang w:val="fr-FR"/>
        </w:rPr>
        <w:t>’</w:t>
      </w:r>
      <w:r w:rsidRPr="009C6C55">
        <w:rPr>
          <w:lang w:val="fr-FR"/>
        </w:rPr>
        <w:t>auteur, notamment la Convention de Berne et le Traité de l</w:t>
      </w:r>
      <w:r w:rsidR="00964A53" w:rsidRPr="009C6C55">
        <w:rPr>
          <w:lang w:val="fr-FR"/>
        </w:rPr>
        <w:t>’</w:t>
      </w:r>
      <w:r w:rsidRPr="009C6C55">
        <w:rPr>
          <w:lang w:val="fr-FR"/>
        </w:rPr>
        <w:t>OMPI sur le droit d</w:t>
      </w:r>
      <w:r w:rsidR="00964A53" w:rsidRPr="009C6C55">
        <w:rPr>
          <w:lang w:val="fr-FR"/>
        </w:rPr>
        <w:t>’</w:t>
      </w:r>
      <w:r w:rsidRPr="009C6C55">
        <w:rPr>
          <w:lang w:val="fr-FR"/>
        </w:rPr>
        <w:t>auteur (WCT), le Traité de l</w:t>
      </w:r>
      <w:r w:rsidR="00964A53" w:rsidRPr="009C6C55">
        <w:rPr>
          <w:lang w:val="fr-FR"/>
        </w:rPr>
        <w:t>’</w:t>
      </w:r>
      <w:r w:rsidRPr="009C6C55">
        <w:rPr>
          <w:lang w:val="fr-FR"/>
        </w:rPr>
        <w:t>OMPI sur les interprétations et exécutions et les phonogrammes (WPPT), le Traité de Beijing sur les interprétations et exécutions audiovisuelles et le Traité de Marrakech visant à faciliter l</w:t>
      </w:r>
      <w:r w:rsidR="00964A53" w:rsidRPr="009C6C55">
        <w:rPr>
          <w:lang w:val="fr-FR"/>
        </w:rPr>
        <w:t>’</w:t>
      </w:r>
      <w:r w:rsidRPr="009C6C55">
        <w:rPr>
          <w:lang w:val="fr-FR"/>
        </w:rPr>
        <w:t>accès des aveugles, des déficients visuels et des personnes ayant d</w:t>
      </w:r>
      <w:r w:rsidR="00964A53" w:rsidRPr="009C6C55">
        <w:rPr>
          <w:lang w:val="fr-FR"/>
        </w:rPr>
        <w:t>’</w:t>
      </w:r>
      <w:r w:rsidRPr="009C6C55">
        <w:rPr>
          <w:lang w:val="fr-FR"/>
        </w:rPr>
        <w:t>autres difficultés de lecture des textes imprimés aux œuvres publiées, permet aux États membres d</w:t>
      </w:r>
      <w:r w:rsidR="00964A53" w:rsidRPr="009C6C55">
        <w:rPr>
          <w:lang w:val="fr-FR"/>
        </w:rPr>
        <w:t>’</w:t>
      </w:r>
      <w:r w:rsidRPr="009C6C55">
        <w:rPr>
          <w:lang w:val="fr-FR"/>
        </w:rPr>
        <w:t>adopter des limitations et des exceptions adaptées à leurs systèmes respectifs, conformément au test en trois</w:t>
      </w:r>
      <w:r w:rsidR="00532B39" w:rsidRPr="009C6C55">
        <w:rPr>
          <w:lang w:val="fr-FR"/>
        </w:rPr>
        <w:t> </w:t>
      </w:r>
      <w:r w:rsidRPr="009C6C55">
        <w:rPr>
          <w:lang w:val="fr-FR"/>
        </w:rPr>
        <w:t>étapes, afin de répondre aux besoins culturels, éducatifs et scientifiques, entre autres.</w:t>
      </w:r>
    </w:p>
    <w:p w14:paraId="262FB7D4" w14:textId="1EE09317" w:rsidR="0084234B" w:rsidRPr="009C6C55" w:rsidRDefault="0084234B" w:rsidP="009C6C55">
      <w:pPr>
        <w:pStyle w:val="ONUMFS"/>
        <w:numPr>
          <w:ilvl w:val="0"/>
          <w:numId w:val="0"/>
        </w:numPr>
        <w:spacing w:line="360" w:lineRule="auto"/>
        <w:rPr>
          <w:rFonts w:eastAsia="MS Mincho"/>
          <w:lang w:val="fr-FR"/>
        </w:rPr>
      </w:pPr>
      <w:r w:rsidRPr="009C6C55">
        <w:rPr>
          <w:lang w:val="fr-FR"/>
        </w:rPr>
        <w:t>Le droit d</w:t>
      </w:r>
      <w:r w:rsidR="00964A53" w:rsidRPr="009C6C55">
        <w:rPr>
          <w:lang w:val="fr-FR"/>
        </w:rPr>
        <w:t>’</w:t>
      </w:r>
      <w:r w:rsidRPr="009C6C55">
        <w:rPr>
          <w:lang w:val="fr-FR"/>
        </w:rPr>
        <w:t>auteur peut jouer un rôle essentiel pour faciliter l</w:t>
      </w:r>
      <w:r w:rsidR="00964A53" w:rsidRPr="009C6C55">
        <w:rPr>
          <w:lang w:val="fr-FR"/>
        </w:rPr>
        <w:t>’</w:t>
      </w:r>
      <w:r w:rsidRPr="009C6C55">
        <w:rPr>
          <w:lang w:val="fr-FR"/>
        </w:rPr>
        <w:t>accès légal à la connaissance et à la culture, ainsi que pour garantir la reconnaissance et la protection des créateurs et des autres titulaires de droi</w:t>
      </w:r>
      <w:r w:rsidR="009E2210" w:rsidRPr="009C6C55">
        <w:rPr>
          <w:lang w:val="fr-FR"/>
        </w:rPr>
        <w:t xml:space="preserve">ts.  À </w:t>
      </w:r>
      <w:r w:rsidRPr="009C6C55">
        <w:rPr>
          <w:lang w:val="fr-FR"/>
        </w:rPr>
        <w:t>cette fin, il existe différents modèles permettant de concilier les intérêts, qu</w:t>
      </w:r>
      <w:r w:rsidR="00964A53" w:rsidRPr="009C6C55">
        <w:rPr>
          <w:lang w:val="fr-FR"/>
        </w:rPr>
        <w:t>’</w:t>
      </w:r>
      <w:r w:rsidRPr="009C6C55">
        <w:rPr>
          <w:lang w:val="fr-FR"/>
        </w:rPr>
        <w:t>il s</w:t>
      </w:r>
      <w:r w:rsidR="00964A53" w:rsidRPr="009C6C55">
        <w:rPr>
          <w:lang w:val="fr-FR"/>
        </w:rPr>
        <w:t>’</w:t>
      </w:r>
      <w:r w:rsidRPr="009C6C55">
        <w:rPr>
          <w:lang w:val="fr-FR"/>
        </w:rPr>
        <w:t>agisse d</w:t>
      </w:r>
      <w:r w:rsidR="00964A53" w:rsidRPr="009C6C55">
        <w:rPr>
          <w:lang w:val="fr-FR"/>
        </w:rPr>
        <w:t>’</w:t>
      </w:r>
      <w:r w:rsidRPr="009C6C55">
        <w:rPr>
          <w:lang w:val="fr-FR"/>
        </w:rPr>
        <w:t>utilisations non rémunérées, d</w:t>
      </w:r>
      <w:r w:rsidR="00964A53" w:rsidRPr="009C6C55">
        <w:rPr>
          <w:lang w:val="fr-FR"/>
        </w:rPr>
        <w:t>’</w:t>
      </w:r>
      <w:r w:rsidRPr="009C6C55">
        <w:rPr>
          <w:lang w:val="fr-FR"/>
        </w:rPr>
        <w:t>utilisations soumises à rémunération ou d</w:t>
      </w:r>
      <w:r w:rsidR="00964A53" w:rsidRPr="009C6C55">
        <w:rPr>
          <w:lang w:val="fr-FR"/>
        </w:rPr>
        <w:t>’</w:t>
      </w:r>
      <w:r w:rsidRPr="009C6C55">
        <w:rPr>
          <w:lang w:val="fr-FR"/>
        </w:rPr>
        <w:t>utilisations répondant à des systèmes de licences, offrant ainsi une certaine souplesse aux États membres en fonction de leurs besoins et des circonstances qui les caractérisent.</w:t>
      </w:r>
    </w:p>
    <w:p w14:paraId="1277D3BC" w14:textId="77777777" w:rsidR="009C6C55" w:rsidRDefault="0084234B" w:rsidP="009C6C55">
      <w:pPr>
        <w:pStyle w:val="ONUMFS"/>
        <w:numPr>
          <w:ilvl w:val="0"/>
          <w:numId w:val="0"/>
        </w:numPr>
        <w:spacing w:line="360" w:lineRule="auto"/>
        <w:rPr>
          <w:rFonts w:eastAsia="MS Mincho"/>
          <w:lang w:val="fr-FR"/>
        </w:rPr>
      </w:pPr>
      <w:r w:rsidRPr="009C6C55">
        <w:rPr>
          <w:lang w:val="fr-FR"/>
        </w:rPr>
        <w:lastRenderedPageBreak/>
        <w:t>Compte tenu des profonds effets de l</w:t>
      </w:r>
      <w:r w:rsidR="00964A53" w:rsidRPr="009C6C55">
        <w:rPr>
          <w:lang w:val="fr-FR"/>
        </w:rPr>
        <w:t>’</w:t>
      </w:r>
      <w:r w:rsidRPr="009C6C55">
        <w:rPr>
          <w:lang w:val="fr-FR"/>
        </w:rPr>
        <w:t>évolution rapide des technologies numériques sur la création et l</w:t>
      </w:r>
      <w:r w:rsidR="00964A53" w:rsidRPr="009C6C55">
        <w:rPr>
          <w:lang w:val="fr-FR"/>
        </w:rPr>
        <w:t>’</w:t>
      </w:r>
      <w:r w:rsidRPr="009C6C55">
        <w:rPr>
          <w:lang w:val="fr-FR"/>
        </w:rPr>
        <w:t>utilisation des œuvres littéraires, artistiques et scientifiques</w:t>
      </w:r>
      <w:r w:rsidRPr="009C6C55">
        <w:rPr>
          <w:rStyle w:val="FootnoteReference"/>
          <w:rFonts w:eastAsia="MS Mincho"/>
          <w:lang w:val="fr-FR"/>
        </w:rPr>
        <w:footnoteReference w:id="3"/>
      </w:r>
      <w:r w:rsidRPr="009C6C55">
        <w:rPr>
          <w:lang w:val="fr-FR"/>
        </w:rPr>
        <w:t>, le texte proposé met l</w:t>
      </w:r>
      <w:r w:rsidR="00964A53" w:rsidRPr="009C6C55">
        <w:rPr>
          <w:lang w:val="fr-FR"/>
        </w:rPr>
        <w:t>’</w:t>
      </w:r>
      <w:r w:rsidRPr="009C6C55">
        <w:rPr>
          <w:lang w:val="fr-FR"/>
        </w:rPr>
        <w:t>accent sur le patrimoine culturel, les établissements d</w:t>
      </w:r>
      <w:r w:rsidR="00964A53" w:rsidRPr="009C6C55">
        <w:rPr>
          <w:lang w:val="fr-FR"/>
        </w:rPr>
        <w:t>’</w:t>
      </w:r>
      <w:r w:rsidRPr="009C6C55">
        <w:rPr>
          <w:lang w:val="fr-FR"/>
        </w:rPr>
        <w:t>enseignement et de recherche, ainsi que sur les personnes handicapées, dans le cadre plus large des efforts déployés pour élaborer un ou plusieurs instruments juridiques internationaux appropriés sur les limitations et les exceptions.</w:t>
      </w:r>
    </w:p>
    <w:p w14:paraId="6C893C27" w14:textId="5830B4B4" w:rsidR="009C6C55" w:rsidRPr="009C6C55" w:rsidRDefault="0084234B" w:rsidP="006363C1">
      <w:pPr>
        <w:spacing w:before="480" w:after="220" w:line="360" w:lineRule="auto"/>
        <w:rPr>
          <w:rFonts w:eastAsia="MS Mincho"/>
          <w:b/>
          <w:bCs/>
          <w:i/>
          <w:iCs/>
          <w:lang w:val="fr-FR"/>
        </w:rPr>
      </w:pPr>
      <w:r w:rsidRPr="009C6C55">
        <w:rPr>
          <w:b/>
          <w:bCs/>
          <w:lang w:val="fr-FR"/>
        </w:rPr>
        <w:t>A.</w:t>
      </w:r>
      <w:r w:rsidR="009C6C55" w:rsidRPr="009C6C55">
        <w:rPr>
          <w:b/>
          <w:bCs/>
          <w:lang w:val="fr-FR"/>
        </w:rPr>
        <w:tab/>
      </w:r>
      <w:r w:rsidRPr="009C6C55">
        <w:rPr>
          <w:b/>
          <w:bCs/>
          <w:lang w:val="fr-FR"/>
        </w:rPr>
        <w:t>Définitions</w:t>
      </w:r>
    </w:p>
    <w:p w14:paraId="088E7398" w14:textId="77777777" w:rsidR="009C6C55" w:rsidRDefault="0084234B" w:rsidP="009C6C55">
      <w:pPr>
        <w:pStyle w:val="ONUMFS"/>
        <w:numPr>
          <w:ilvl w:val="0"/>
          <w:numId w:val="0"/>
        </w:numPr>
        <w:spacing w:line="360" w:lineRule="auto"/>
        <w:rPr>
          <w:rFonts w:eastAsia="MS Mincho"/>
          <w:lang w:val="fr-FR"/>
        </w:rPr>
      </w:pPr>
      <w:r w:rsidRPr="009C6C55">
        <w:rPr>
          <w:lang w:val="fr-FR"/>
        </w:rPr>
        <w:t>Aux fins du présent texte, on entend par</w:t>
      </w:r>
      <w:r w:rsidR="00964A53" w:rsidRPr="009C6C55">
        <w:rPr>
          <w:lang w:val="fr-FR"/>
        </w:rPr>
        <w:t> :</w:t>
      </w:r>
    </w:p>
    <w:p w14:paraId="6865182C" w14:textId="77777777" w:rsidR="009C6C55" w:rsidRDefault="0084234B" w:rsidP="009C6C55">
      <w:pPr>
        <w:pStyle w:val="ONUMFS"/>
        <w:spacing w:line="360" w:lineRule="auto"/>
        <w:ind w:left="567" w:hanging="567"/>
        <w:rPr>
          <w:rFonts w:eastAsia="MS Mincho"/>
          <w:lang w:val="fr-FR"/>
        </w:rPr>
      </w:pPr>
      <w:r w:rsidRPr="009C6C55">
        <w:rPr>
          <w:lang w:val="fr-FR"/>
        </w:rPr>
        <w:t>“</w:t>
      </w:r>
      <w:r w:rsidRPr="009C6C55">
        <w:rPr>
          <w:b/>
          <w:bCs/>
          <w:lang w:val="fr-FR"/>
        </w:rPr>
        <w:t>institutions chargées du patrimoine culturel</w:t>
      </w:r>
      <w:r w:rsidRPr="009C6C55">
        <w:rPr>
          <w:lang w:val="fr-FR"/>
        </w:rPr>
        <w:t>”, les bibliothèques, services d</w:t>
      </w:r>
      <w:r w:rsidR="00964A53" w:rsidRPr="009C6C55">
        <w:rPr>
          <w:lang w:val="fr-FR"/>
        </w:rPr>
        <w:t>’</w:t>
      </w:r>
      <w:r w:rsidRPr="009C6C55">
        <w:rPr>
          <w:lang w:val="fr-FR"/>
        </w:rPr>
        <w:t xml:space="preserve">archives, musées et autres entités à but non lucratif exerçant des fonctions </w:t>
      </w:r>
      <w:proofErr w:type="gramStart"/>
      <w:r w:rsidRPr="009C6C55">
        <w:rPr>
          <w:lang w:val="fr-FR"/>
        </w:rPr>
        <w:t>équivalentes;</w:t>
      </w:r>
      <w:proofErr w:type="gramEnd"/>
    </w:p>
    <w:p w14:paraId="6F9A3B9C" w14:textId="77777777" w:rsidR="009C6C55" w:rsidRPr="009C6C55" w:rsidRDefault="0084234B" w:rsidP="009C6C55">
      <w:pPr>
        <w:pStyle w:val="ONUMFS"/>
        <w:spacing w:line="360" w:lineRule="auto"/>
        <w:ind w:left="567" w:hanging="567"/>
        <w:rPr>
          <w:rFonts w:eastAsia="MS Mincho"/>
          <w:lang w:val="fr-FR"/>
        </w:rPr>
      </w:pPr>
      <w:r w:rsidRPr="009C6C55">
        <w:rPr>
          <w:lang w:val="fr-FR"/>
        </w:rPr>
        <w:t>“</w:t>
      </w:r>
      <w:r w:rsidRPr="009C6C55">
        <w:rPr>
          <w:b/>
          <w:bCs/>
          <w:lang w:val="fr-FR"/>
        </w:rPr>
        <w:t>établissements d</w:t>
      </w:r>
      <w:r w:rsidR="00964A53" w:rsidRPr="009C6C55">
        <w:rPr>
          <w:b/>
          <w:bCs/>
          <w:lang w:val="fr-FR"/>
        </w:rPr>
        <w:t>’</w:t>
      </w:r>
      <w:r w:rsidRPr="009C6C55">
        <w:rPr>
          <w:b/>
          <w:bCs/>
          <w:lang w:val="fr-FR"/>
        </w:rPr>
        <w:t>enseignement et de recherche</w:t>
      </w:r>
      <w:r w:rsidRPr="009C6C55">
        <w:rPr>
          <w:lang w:val="fr-FR"/>
        </w:rPr>
        <w:t>”</w:t>
      </w:r>
      <w:r w:rsidR="00532B39" w:rsidRPr="009C6C55">
        <w:rPr>
          <w:lang w:val="fr-FR"/>
        </w:rPr>
        <w:t>,</w:t>
      </w:r>
      <w:r w:rsidRPr="009C6C55">
        <w:rPr>
          <w:lang w:val="fr-FR"/>
        </w:rPr>
        <w:t xml:space="preserve"> les écoles, universités et autres entités de nature similaire poursuivant des objectifs d</w:t>
      </w:r>
      <w:r w:rsidR="00964A53" w:rsidRPr="009C6C55">
        <w:rPr>
          <w:lang w:val="fr-FR"/>
        </w:rPr>
        <w:t>’</w:t>
      </w:r>
      <w:r w:rsidRPr="009C6C55">
        <w:rPr>
          <w:lang w:val="fr-FR"/>
        </w:rPr>
        <w:t xml:space="preserve">enseignement ou de </w:t>
      </w:r>
      <w:proofErr w:type="gramStart"/>
      <w:r w:rsidRPr="009C6C55">
        <w:rPr>
          <w:lang w:val="fr-FR"/>
        </w:rPr>
        <w:t>recherche;</w:t>
      </w:r>
      <w:proofErr w:type="gramEnd"/>
    </w:p>
    <w:p w14:paraId="7736C6AC" w14:textId="0AEDCCF5" w:rsidR="0084234B" w:rsidRPr="009C6C55" w:rsidRDefault="0084234B" w:rsidP="009C6C55">
      <w:pPr>
        <w:pStyle w:val="ONUMFS"/>
        <w:spacing w:line="360" w:lineRule="auto"/>
        <w:ind w:left="567" w:hanging="567"/>
        <w:rPr>
          <w:rFonts w:eastAsia="MS Mincho"/>
          <w:lang w:val="fr-FR"/>
        </w:rPr>
      </w:pPr>
      <w:r w:rsidRPr="009C6C55">
        <w:rPr>
          <w:lang w:val="fr-FR"/>
        </w:rPr>
        <w:t>“</w:t>
      </w:r>
      <w:r w:rsidRPr="009C6C55">
        <w:rPr>
          <w:b/>
          <w:lang w:val="fr-FR"/>
        </w:rPr>
        <w:t>personnes handicapées</w:t>
      </w:r>
      <w:r w:rsidRPr="009C6C55">
        <w:rPr>
          <w:bCs/>
          <w:lang w:val="fr-FR"/>
        </w:rPr>
        <w:t>”</w:t>
      </w:r>
      <w:r w:rsidRPr="009C6C55">
        <w:rPr>
          <w:rStyle w:val="FootnoteReference"/>
          <w:rFonts w:eastAsia="MS Mincho"/>
          <w:lang w:val="fr-FR"/>
        </w:rPr>
        <w:footnoteReference w:id="4"/>
      </w:r>
      <w:r w:rsidRPr="009C6C55">
        <w:rPr>
          <w:lang w:val="fr-FR"/>
        </w:rPr>
        <w:t>, les personnes qui présentent des incapacités physiques, mentales, intellectuelles ou sensorielles durables dont l</w:t>
      </w:r>
      <w:r w:rsidR="00964A53" w:rsidRPr="009C6C55">
        <w:rPr>
          <w:lang w:val="fr-FR"/>
        </w:rPr>
        <w:t>’</w:t>
      </w:r>
      <w:r w:rsidRPr="009C6C55">
        <w:rPr>
          <w:lang w:val="fr-FR"/>
        </w:rPr>
        <w:t>interaction avec diverses barrières peut faire obstacle à leur pleine et effective participation à la société sur la base de l</w:t>
      </w:r>
      <w:r w:rsidR="00964A53" w:rsidRPr="009C6C55">
        <w:rPr>
          <w:lang w:val="fr-FR"/>
        </w:rPr>
        <w:t>’</w:t>
      </w:r>
      <w:r w:rsidRPr="009C6C55">
        <w:rPr>
          <w:lang w:val="fr-FR"/>
        </w:rPr>
        <w:t xml:space="preserve">égalité avec les </w:t>
      </w:r>
      <w:proofErr w:type="gramStart"/>
      <w:r w:rsidRPr="009C6C55">
        <w:rPr>
          <w:lang w:val="fr-FR"/>
        </w:rPr>
        <w:t>autres;</w:t>
      </w:r>
      <w:proofErr w:type="gramEnd"/>
    </w:p>
    <w:p w14:paraId="0B70BF41" w14:textId="2C391312" w:rsidR="0084234B" w:rsidRPr="009C6C55" w:rsidRDefault="0084234B" w:rsidP="009C6C55">
      <w:pPr>
        <w:pStyle w:val="ONUMFS"/>
        <w:spacing w:line="360" w:lineRule="auto"/>
        <w:ind w:left="567" w:hanging="567"/>
        <w:rPr>
          <w:rFonts w:eastAsia="MS Mincho"/>
          <w:lang w:val="fr-FR"/>
        </w:rPr>
      </w:pPr>
      <w:r w:rsidRPr="009C6C55">
        <w:rPr>
          <w:lang w:val="fr-FR"/>
        </w:rPr>
        <w:t>“</w:t>
      </w:r>
      <w:r w:rsidRPr="009C6C55">
        <w:rPr>
          <w:b/>
          <w:bCs/>
          <w:lang w:val="fr-FR"/>
        </w:rPr>
        <w:t>préservation</w:t>
      </w:r>
      <w:r w:rsidRPr="009C6C55">
        <w:rPr>
          <w:lang w:val="fr-FR"/>
        </w:rPr>
        <w:t>”, les activités visant à maintenir, stabiliser, restaurer ou convertir des œuvres, publiées ou non, afin d</w:t>
      </w:r>
      <w:r w:rsidR="00964A53" w:rsidRPr="009C6C55">
        <w:rPr>
          <w:lang w:val="fr-FR"/>
        </w:rPr>
        <w:t>’</w:t>
      </w:r>
      <w:r w:rsidRPr="009C6C55">
        <w:rPr>
          <w:lang w:val="fr-FR"/>
        </w:rPr>
        <w:t xml:space="preserve">éviter leur perte ou leur détérioration, </w:t>
      </w:r>
      <w:r w:rsidR="00964A53" w:rsidRPr="009C6C55">
        <w:rPr>
          <w:lang w:val="fr-FR"/>
        </w:rPr>
        <w:t>y compris</w:t>
      </w:r>
      <w:r w:rsidRPr="009C6C55">
        <w:rPr>
          <w:lang w:val="fr-FR"/>
        </w:rPr>
        <w:t xml:space="preserve"> la conversion de formats analogiques en formats numériques et la migration vers des formats technologiques </w:t>
      </w:r>
      <w:proofErr w:type="gramStart"/>
      <w:r w:rsidRPr="009C6C55">
        <w:rPr>
          <w:lang w:val="fr-FR"/>
        </w:rPr>
        <w:t>stables;</w:t>
      </w:r>
      <w:proofErr w:type="gramEnd"/>
    </w:p>
    <w:p w14:paraId="7F65E35F" w14:textId="249D552F" w:rsidR="0084234B" w:rsidRPr="009C6C55" w:rsidRDefault="0084234B" w:rsidP="009C6C55">
      <w:pPr>
        <w:pStyle w:val="ONUMFS"/>
        <w:spacing w:line="360" w:lineRule="auto"/>
        <w:ind w:left="567" w:hanging="567"/>
        <w:rPr>
          <w:rFonts w:eastAsia="MS Mincho"/>
          <w:lang w:val="fr-FR"/>
        </w:rPr>
      </w:pPr>
      <w:r w:rsidRPr="009C6C55">
        <w:rPr>
          <w:lang w:val="fr-FR"/>
        </w:rPr>
        <w:t>“</w:t>
      </w:r>
      <w:r w:rsidRPr="009C6C55">
        <w:rPr>
          <w:b/>
          <w:bCs/>
          <w:lang w:val="fr-FR"/>
        </w:rPr>
        <w:t>accès</w:t>
      </w:r>
      <w:r w:rsidRPr="009C6C55">
        <w:rPr>
          <w:lang w:val="fr-FR"/>
        </w:rPr>
        <w:t>”, la possibilité d</w:t>
      </w:r>
      <w:r w:rsidR="00964A53" w:rsidRPr="009C6C55">
        <w:rPr>
          <w:lang w:val="fr-FR"/>
        </w:rPr>
        <w:t>’</w:t>
      </w:r>
      <w:r w:rsidRPr="009C6C55">
        <w:rPr>
          <w:lang w:val="fr-FR"/>
        </w:rPr>
        <w:t>utiliser des œuvres sur site ou à distance à des fins d</w:t>
      </w:r>
      <w:r w:rsidR="00964A53" w:rsidRPr="009C6C55">
        <w:rPr>
          <w:lang w:val="fr-FR"/>
        </w:rPr>
        <w:t>’</w:t>
      </w:r>
      <w:r w:rsidRPr="009C6C55">
        <w:rPr>
          <w:lang w:val="fr-FR"/>
        </w:rPr>
        <w:t>étude privée, d</w:t>
      </w:r>
      <w:r w:rsidR="00964A53" w:rsidRPr="009C6C55">
        <w:rPr>
          <w:lang w:val="fr-FR"/>
        </w:rPr>
        <w:t>’</w:t>
      </w:r>
      <w:r w:rsidRPr="009C6C55">
        <w:rPr>
          <w:lang w:val="fr-FR"/>
        </w:rPr>
        <w:t xml:space="preserve">enseignement ou de recherche, ou pour des motifs </w:t>
      </w:r>
      <w:proofErr w:type="gramStart"/>
      <w:r w:rsidRPr="009C6C55">
        <w:rPr>
          <w:lang w:val="fr-FR"/>
        </w:rPr>
        <w:t>culturels;</w:t>
      </w:r>
      <w:proofErr w:type="gramEnd"/>
    </w:p>
    <w:p w14:paraId="5B86B6DC" w14:textId="77777777" w:rsidR="009C6C55" w:rsidRDefault="0084234B" w:rsidP="009C6C55">
      <w:pPr>
        <w:pStyle w:val="ONUMFS"/>
        <w:spacing w:line="360" w:lineRule="auto"/>
        <w:ind w:left="567" w:hanging="567"/>
        <w:rPr>
          <w:rFonts w:eastAsia="MS Mincho"/>
          <w:lang w:val="fr-FR"/>
        </w:rPr>
      </w:pPr>
      <w:r w:rsidRPr="009C6C55">
        <w:rPr>
          <w:lang w:val="fr-FR"/>
        </w:rPr>
        <w:t>“</w:t>
      </w:r>
      <w:r w:rsidRPr="009C6C55">
        <w:rPr>
          <w:b/>
          <w:bCs/>
          <w:lang w:val="fr-FR"/>
        </w:rPr>
        <w:t>transfrontières</w:t>
      </w:r>
      <w:r w:rsidRPr="009C6C55">
        <w:rPr>
          <w:lang w:val="fr-FR"/>
        </w:rPr>
        <w:t>”, la transmission ou la distribution, la communication ou la mise à disposition d</w:t>
      </w:r>
      <w:r w:rsidR="00964A53" w:rsidRPr="009C6C55">
        <w:rPr>
          <w:lang w:val="fr-FR"/>
        </w:rPr>
        <w:t>’</w:t>
      </w:r>
      <w:r w:rsidRPr="009C6C55">
        <w:rPr>
          <w:lang w:val="fr-FR"/>
        </w:rPr>
        <w:t>une copie d</w:t>
      </w:r>
      <w:r w:rsidR="00964A53" w:rsidRPr="009C6C55">
        <w:rPr>
          <w:lang w:val="fr-FR"/>
        </w:rPr>
        <w:t>’</w:t>
      </w:r>
      <w:r w:rsidRPr="009C6C55">
        <w:rPr>
          <w:lang w:val="fr-FR"/>
        </w:rPr>
        <w:t>une œuvre ou d</w:t>
      </w:r>
      <w:r w:rsidR="00964A53" w:rsidRPr="009C6C55">
        <w:rPr>
          <w:lang w:val="fr-FR"/>
        </w:rPr>
        <w:t>’</w:t>
      </w:r>
      <w:r w:rsidRPr="009C6C55">
        <w:rPr>
          <w:lang w:val="fr-FR"/>
        </w:rPr>
        <w:t>un autre objet protégé, sous forme physique ou numérique, à partir d</w:t>
      </w:r>
      <w:r w:rsidR="00964A53" w:rsidRPr="009C6C55">
        <w:rPr>
          <w:lang w:val="fr-FR"/>
        </w:rPr>
        <w:t>’</w:t>
      </w:r>
      <w:r w:rsidRPr="009C6C55">
        <w:rPr>
          <w:lang w:val="fr-FR"/>
        </w:rPr>
        <w:t>un pays à des utilisateurs situés dans un autre pays.</w:t>
      </w:r>
    </w:p>
    <w:p w14:paraId="64A70128" w14:textId="47B7593C" w:rsidR="0084234B" w:rsidRPr="009C6C55" w:rsidRDefault="0084234B" w:rsidP="006363C1">
      <w:pPr>
        <w:keepNext/>
        <w:spacing w:before="480" w:after="220" w:line="360" w:lineRule="auto"/>
        <w:rPr>
          <w:b/>
          <w:bCs/>
          <w:lang w:val="fr-FR"/>
        </w:rPr>
      </w:pPr>
      <w:r w:rsidRPr="009C6C55">
        <w:rPr>
          <w:b/>
          <w:bCs/>
          <w:lang w:val="fr-FR"/>
        </w:rPr>
        <w:lastRenderedPageBreak/>
        <w:t>B.</w:t>
      </w:r>
      <w:r w:rsidRPr="009C6C55">
        <w:rPr>
          <w:b/>
          <w:bCs/>
          <w:lang w:val="fr-FR"/>
        </w:rPr>
        <w:tab/>
        <w:t>Objectifs</w:t>
      </w:r>
    </w:p>
    <w:p w14:paraId="639036A8" w14:textId="77777777" w:rsidR="009C6C55" w:rsidRPr="009C6C55" w:rsidRDefault="0084234B" w:rsidP="009C6C55">
      <w:pPr>
        <w:pStyle w:val="ONUMFS"/>
        <w:numPr>
          <w:ilvl w:val="0"/>
          <w:numId w:val="12"/>
        </w:numPr>
        <w:spacing w:line="360" w:lineRule="auto"/>
        <w:ind w:left="567" w:hanging="567"/>
        <w:rPr>
          <w:lang w:val="fr-FR"/>
        </w:rPr>
      </w:pPr>
      <w:r w:rsidRPr="009C6C55">
        <w:rPr>
          <w:lang w:val="fr-FR"/>
        </w:rPr>
        <w:t>Faciliter la préservation du patrimoine culturel par les bibliothèques, les services d</w:t>
      </w:r>
      <w:r w:rsidR="00964A53" w:rsidRPr="009C6C55">
        <w:rPr>
          <w:lang w:val="fr-FR"/>
        </w:rPr>
        <w:t>’</w:t>
      </w:r>
      <w:r w:rsidRPr="009C6C55">
        <w:rPr>
          <w:lang w:val="fr-FR"/>
        </w:rPr>
        <w:t>archives, les musées et d</w:t>
      </w:r>
      <w:r w:rsidR="00964A53" w:rsidRPr="009C6C55">
        <w:rPr>
          <w:lang w:val="fr-FR"/>
        </w:rPr>
        <w:t>’</w:t>
      </w:r>
      <w:r w:rsidRPr="009C6C55">
        <w:rPr>
          <w:lang w:val="fr-FR"/>
        </w:rPr>
        <w:t>autres entités à but non lucratif exerçant des fonctions équivalentes.</w:t>
      </w:r>
    </w:p>
    <w:p w14:paraId="0CACDD29" w14:textId="77777777" w:rsidR="009C6C55" w:rsidRDefault="0084234B" w:rsidP="009C6C55">
      <w:pPr>
        <w:pStyle w:val="ONUMFS"/>
        <w:spacing w:line="360" w:lineRule="auto"/>
        <w:ind w:left="567" w:hanging="567"/>
        <w:rPr>
          <w:lang w:val="fr-FR"/>
        </w:rPr>
      </w:pPr>
      <w:r w:rsidRPr="009C6C55">
        <w:rPr>
          <w:lang w:val="fr-FR"/>
        </w:rPr>
        <w:t>Permettre aux institutions chargées du patrimoine culturel de réaliser des copies d</w:t>
      </w:r>
      <w:r w:rsidR="00964A53" w:rsidRPr="009C6C55">
        <w:rPr>
          <w:lang w:val="fr-FR"/>
        </w:rPr>
        <w:t>’</w:t>
      </w:r>
      <w:r w:rsidRPr="009C6C55">
        <w:rPr>
          <w:lang w:val="fr-FR"/>
        </w:rPr>
        <w:t xml:space="preserve">œuvres, publiées ou non, à des fins de préservation ou de remplacement, </w:t>
      </w:r>
      <w:r w:rsidR="00964A53" w:rsidRPr="009C6C55">
        <w:rPr>
          <w:lang w:val="fr-FR"/>
        </w:rPr>
        <w:t>y compris</w:t>
      </w:r>
      <w:r w:rsidRPr="009C6C55">
        <w:rPr>
          <w:lang w:val="fr-FR"/>
        </w:rPr>
        <w:t xml:space="preserve"> d</w:t>
      </w:r>
      <w:r w:rsidR="00964A53" w:rsidRPr="009C6C55">
        <w:rPr>
          <w:lang w:val="fr-FR"/>
        </w:rPr>
        <w:t>’</w:t>
      </w:r>
      <w:r w:rsidRPr="009C6C55">
        <w:rPr>
          <w:lang w:val="fr-FR"/>
        </w:rPr>
        <w:t>œuvres extrêmement éphémèr</w:t>
      </w:r>
      <w:r w:rsidR="009E2210" w:rsidRPr="009C6C55">
        <w:rPr>
          <w:lang w:val="fr-FR"/>
        </w:rPr>
        <w:t>es.  Ce</w:t>
      </w:r>
      <w:r w:rsidRPr="009C6C55">
        <w:rPr>
          <w:lang w:val="fr-FR"/>
        </w:rPr>
        <w:t>s copies peuvent être réalisées dans des formats analogiques ou numériques, et dans le cadre d</w:t>
      </w:r>
      <w:r w:rsidR="00964A53" w:rsidRPr="009C6C55">
        <w:rPr>
          <w:lang w:val="fr-FR"/>
        </w:rPr>
        <w:t>’</w:t>
      </w:r>
      <w:r w:rsidRPr="009C6C55">
        <w:rPr>
          <w:lang w:val="fr-FR"/>
        </w:rPr>
        <w:t>une migration technologique, à condition qu</w:t>
      </w:r>
      <w:r w:rsidR="00964A53" w:rsidRPr="009C6C55">
        <w:rPr>
          <w:lang w:val="fr-FR"/>
        </w:rPr>
        <w:t>’</w:t>
      </w:r>
      <w:r w:rsidRPr="009C6C55">
        <w:rPr>
          <w:lang w:val="fr-FR"/>
        </w:rPr>
        <w:t>elles soient nécessaires et contribuent à un objectif de préservation précis.</w:t>
      </w:r>
    </w:p>
    <w:p w14:paraId="318FFA93" w14:textId="40886B2D" w:rsidR="009C6C55" w:rsidRDefault="0084234B" w:rsidP="009C6C55">
      <w:pPr>
        <w:pStyle w:val="ONUMFS"/>
        <w:spacing w:line="360" w:lineRule="auto"/>
        <w:ind w:left="567" w:hanging="567"/>
        <w:rPr>
          <w:lang w:val="fr-FR"/>
        </w:rPr>
      </w:pPr>
      <w:r w:rsidRPr="009C6C55">
        <w:rPr>
          <w:lang w:val="fr-FR"/>
        </w:rPr>
        <w:t>Faciliter l</w:t>
      </w:r>
      <w:r w:rsidR="00964A53" w:rsidRPr="009C6C55">
        <w:rPr>
          <w:lang w:val="fr-FR"/>
        </w:rPr>
        <w:t>’</w:t>
      </w:r>
      <w:r w:rsidRPr="009C6C55">
        <w:rPr>
          <w:lang w:val="fr-FR"/>
        </w:rPr>
        <w:t>accès transfrontière</w:t>
      </w:r>
      <w:r w:rsidR="00445CD6">
        <w:rPr>
          <w:lang w:val="fr-FR"/>
        </w:rPr>
        <w:t>s</w:t>
      </w:r>
      <w:r w:rsidRPr="009C6C55">
        <w:rPr>
          <w:lang w:val="fr-FR"/>
        </w:rPr>
        <w:t xml:space="preserve"> aux œuvres à des fins culturelles, éducatives et de recherche, </w:t>
      </w:r>
      <w:r w:rsidR="00964A53" w:rsidRPr="009C6C55">
        <w:rPr>
          <w:lang w:val="fr-FR"/>
        </w:rPr>
        <w:t>y compris</w:t>
      </w:r>
      <w:r w:rsidRPr="009C6C55">
        <w:rPr>
          <w:lang w:val="fr-FR"/>
        </w:rPr>
        <w:t xml:space="preserve"> au moyen d</w:t>
      </w:r>
      <w:r w:rsidR="00964A53" w:rsidRPr="009C6C55">
        <w:rPr>
          <w:lang w:val="fr-FR"/>
        </w:rPr>
        <w:t>’</w:t>
      </w:r>
      <w:r w:rsidRPr="009C6C55">
        <w:rPr>
          <w:lang w:val="fr-FR"/>
        </w:rPr>
        <w:t>outils numériques et en ligne</w:t>
      </w:r>
      <w:r w:rsidR="009C6C55">
        <w:rPr>
          <w:lang w:val="fr-FR"/>
        </w:rPr>
        <w:t>.</w:t>
      </w:r>
    </w:p>
    <w:p w14:paraId="5E74D253" w14:textId="77777777" w:rsidR="009C6C55" w:rsidRDefault="0084234B" w:rsidP="009C6C55">
      <w:pPr>
        <w:pStyle w:val="ONUMFS"/>
        <w:spacing w:line="360" w:lineRule="auto"/>
        <w:ind w:left="567" w:hanging="567"/>
        <w:rPr>
          <w:lang w:val="fr-FR"/>
        </w:rPr>
      </w:pPr>
      <w:r w:rsidRPr="009C6C55">
        <w:rPr>
          <w:lang w:val="fr-FR"/>
        </w:rPr>
        <w:t>Permettre aux institutions chargées du patrimoine culturel ainsi qu</w:t>
      </w:r>
      <w:r w:rsidR="00964A53" w:rsidRPr="009C6C55">
        <w:rPr>
          <w:lang w:val="fr-FR"/>
        </w:rPr>
        <w:t>’</w:t>
      </w:r>
      <w:r w:rsidRPr="009C6C55">
        <w:rPr>
          <w:lang w:val="fr-FR"/>
        </w:rPr>
        <w:t>aux établissements d</w:t>
      </w:r>
      <w:r w:rsidR="00964A53" w:rsidRPr="009C6C55">
        <w:rPr>
          <w:lang w:val="fr-FR"/>
        </w:rPr>
        <w:t>’</w:t>
      </w:r>
      <w:r w:rsidRPr="009C6C55">
        <w:rPr>
          <w:lang w:val="fr-FR"/>
        </w:rPr>
        <w:t>enseignement et de recherche de fournir des copies et d</w:t>
      </w:r>
      <w:r w:rsidR="00964A53" w:rsidRPr="009C6C55">
        <w:rPr>
          <w:lang w:val="fr-FR"/>
        </w:rPr>
        <w:t>’</w:t>
      </w:r>
      <w:r w:rsidRPr="009C6C55">
        <w:rPr>
          <w:lang w:val="fr-FR"/>
        </w:rPr>
        <w:t>autoriser l</w:t>
      </w:r>
      <w:r w:rsidR="00964A53" w:rsidRPr="009C6C55">
        <w:rPr>
          <w:lang w:val="fr-FR"/>
        </w:rPr>
        <w:t>’</w:t>
      </w:r>
      <w:r w:rsidRPr="009C6C55">
        <w:rPr>
          <w:lang w:val="fr-FR"/>
        </w:rPr>
        <w:t>accès aux œuvres des chercheurs, des enseignants, des étudiants et du grand public, dans des conditions adéquates.</w:t>
      </w:r>
    </w:p>
    <w:p w14:paraId="4E3163F5" w14:textId="77777777" w:rsidR="009C6C55" w:rsidRDefault="0084234B" w:rsidP="009C6C55">
      <w:pPr>
        <w:pStyle w:val="ONUMFS"/>
        <w:spacing w:line="360" w:lineRule="auto"/>
        <w:ind w:left="567" w:hanging="567"/>
        <w:rPr>
          <w:lang w:val="fr-FR"/>
        </w:rPr>
      </w:pPr>
      <w:r w:rsidRPr="009C6C55">
        <w:rPr>
          <w:lang w:val="fr-FR"/>
        </w:rPr>
        <w:t>Faciliter l</w:t>
      </w:r>
      <w:r w:rsidR="00964A53" w:rsidRPr="009C6C55">
        <w:rPr>
          <w:lang w:val="fr-FR"/>
        </w:rPr>
        <w:t>’</w:t>
      </w:r>
      <w:r w:rsidRPr="009C6C55">
        <w:rPr>
          <w:lang w:val="fr-FR"/>
        </w:rPr>
        <w:t>accès des personnes handicapées autres que celles couvertes par le Traité de Marrakech aux œuvres publiées dans des formats accessibles.</w:t>
      </w:r>
    </w:p>
    <w:p w14:paraId="10F3298E" w14:textId="10D77E5F" w:rsidR="009C6C55" w:rsidRDefault="0084234B" w:rsidP="009C6C55">
      <w:pPr>
        <w:pStyle w:val="ONUMFS"/>
        <w:spacing w:line="360" w:lineRule="auto"/>
        <w:ind w:left="567" w:hanging="567"/>
        <w:rPr>
          <w:lang w:val="fr-FR"/>
        </w:rPr>
      </w:pPr>
      <w:r w:rsidRPr="009C6C55">
        <w:rPr>
          <w:lang w:val="fr-FR"/>
        </w:rPr>
        <w:t>Permettre la préservation des œuvres et l</w:t>
      </w:r>
      <w:r w:rsidR="00964A53" w:rsidRPr="009C6C55">
        <w:rPr>
          <w:lang w:val="fr-FR"/>
        </w:rPr>
        <w:t>’</w:t>
      </w:r>
      <w:r w:rsidRPr="009C6C55">
        <w:rPr>
          <w:lang w:val="fr-FR"/>
        </w:rPr>
        <w:t>accès numérique à distance à celles</w:t>
      </w:r>
      <w:r w:rsidR="009C6C55">
        <w:noBreakHyphen/>
      </w:r>
      <w:r w:rsidRPr="009C6C55">
        <w:rPr>
          <w:lang w:val="fr-FR"/>
        </w:rPr>
        <w:t xml:space="preserve">ci, </w:t>
      </w:r>
      <w:r w:rsidR="00964A53" w:rsidRPr="009C6C55">
        <w:rPr>
          <w:lang w:val="fr-FR"/>
        </w:rPr>
        <w:t>y compris</w:t>
      </w:r>
      <w:r w:rsidRPr="009C6C55">
        <w:rPr>
          <w:lang w:val="fr-FR"/>
        </w:rPr>
        <w:t xml:space="preserve"> l</w:t>
      </w:r>
      <w:r w:rsidR="00964A53" w:rsidRPr="009C6C55">
        <w:rPr>
          <w:lang w:val="fr-FR"/>
        </w:rPr>
        <w:t>’</w:t>
      </w:r>
      <w:r w:rsidRPr="009C6C55">
        <w:rPr>
          <w:lang w:val="fr-FR"/>
        </w:rPr>
        <w:t>accès transfrontière</w:t>
      </w:r>
      <w:r w:rsidR="00445CD6">
        <w:rPr>
          <w:lang w:val="fr-FR"/>
        </w:rPr>
        <w:t>s</w:t>
      </w:r>
      <w:r w:rsidRPr="009C6C55">
        <w:rPr>
          <w:lang w:val="fr-FR"/>
        </w:rPr>
        <w:t>, dans des conditions sécurisées, et promouvoir le respect de mesures de sécurité numérique adéquates et efficaces</w:t>
      </w:r>
      <w:r w:rsidR="00445CD6">
        <w:rPr>
          <w:lang w:val="fr-FR"/>
        </w:rPr>
        <w:t>.</w:t>
      </w:r>
    </w:p>
    <w:p w14:paraId="659737CA" w14:textId="57D49208" w:rsidR="0084234B" w:rsidRPr="009C6C55" w:rsidRDefault="0084234B" w:rsidP="009C6C55">
      <w:pPr>
        <w:pStyle w:val="ONUMFS"/>
        <w:spacing w:line="360" w:lineRule="auto"/>
        <w:ind w:left="567" w:hanging="567"/>
        <w:rPr>
          <w:lang w:val="fr-FR"/>
        </w:rPr>
      </w:pPr>
      <w:r w:rsidRPr="009C6C55">
        <w:rPr>
          <w:lang w:val="fr-FR"/>
        </w:rPr>
        <w:t>Garantir des mesures appropriées prévoyant une protection juridique adéquate et des sanctions efficaces contre la neutralisation des mesures techniques de protection, étant entendu que cette protection n</w:t>
      </w:r>
      <w:r w:rsidR="00964A53" w:rsidRPr="009C6C55">
        <w:rPr>
          <w:lang w:val="fr-FR"/>
        </w:rPr>
        <w:t>’</w:t>
      </w:r>
      <w:r w:rsidRPr="009C6C55">
        <w:rPr>
          <w:lang w:val="fr-FR"/>
        </w:rPr>
        <w:t>empêche pas les bénéficiaires de tirer parti des limitations et exceptions prévues.</w:t>
      </w:r>
    </w:p>
    <w:p w14:paraId="7544302C" w14:textId="77777777" w:rsidR="0084234B" w:rsidRPr="009C6C55" w:rsidRDefault="0084234B" w:rsidP="009C6C55">
      <w:pPr>
        <w:pStyle w:val="ONUMFS"/>
        <w:spacing w:line="360" w:lineRule="auto"/>
        <w:rPr>
          <w:rFonts w:eastAsia="MS Gothic"/>
          <w:bCs/>
          <w:lang w:val="fr-FR"/>
        </w:rPr>
      </w:pPr>
      <w:r w:rsidRPr="009C6C55">
        <w:rPr>
          <w:lang w:val="fr-FR"/>
        </w:rPr>
        <w:br w:type="page"/>
      </w:r>
    </w:p>
    <w:p w14:paraId="6F073E64" w14:textId="1F120736" w:rsidR="009C6C55" w:rsidRPr="006363C1" w:rsidRDefault="0084234B" w:rsidP="006363C1">
      <w:pPr>
        <w:keepNext/>
        <w:spacing w:before="480" w:after="220" w:line="360" w:lineRule="auto"/>
        <w:rPr>
          <w:b/>
          <w:bCs/>
          <w:lang w:val="fr-FR"/>
        </w:rPr>
      </w:pPr>
      <w:r w:rsidRPr="006363C1">
        <w:rPr>
          <w:b/>
          <w:bCs/>
          <w:lang w:val="fr-FR"/>
        </w:rPr>
        <w:lastRenderedPageBreak/>
        <w:t>C.</w:t>
      </w:r>
      <w:r w:rsidR="006363C1" w:rsidRPr="006363C1">
        <w:rPr>
          <w:b/>
          <w:bCs/>
          <w:lang w:val="fr-FR"/>
        </w:rPr>
        <w:tab/>
      </w:r>
      <w:r w:rsidRPr="006363C1">
        <w:rPr>
          <w:b/>
          <w:bCs/>
          <w:lang w:val="fr-FR"/>
        </w:rPr>
        <w:t>Principes</w:t>
      </w:r>
    </w:p>
    <w:p w14:paraId="6403E353" w14:textId="093F75E9" w:rsidR="009C6C55" w:rsidRPr="00F532AC" w:rsidRDefault="00F532AC" w:rsidP="00F532AC">
      <w:pPr>
        <w:spacing w:after="240" w:line="360" w:lineRule="auto"/>
        <w:ind w:left="567"/>
        <w:rPr>
          <w:i/>
          <w:caps/>
          <w:lang w:val="fr-FR"/>
        </w:rPr>
      </w:pPr>
      <w:bookmarkStart w:id="5" w:name="_Hlk210152812"/>
      <w:r w:rsidRPr="00F532AC">
        <w:rPr>
          <w:i/>
          <w:caps/>
          <w:lang w:val="fr-FR"/>
        </w:rPr>
        <w:t>Principes cadres</w:t>
      </w:r>
    </w:p>
    <w:p w14:paraId="76E5418E" w14:textId="77777777" w:rsidR="009C6C55" w:rsidRPr="006363C1" w:rsidRDefault="0084234B" w:rsidP="00F532AC">
      <w:pPr>
        <w:pStyle w:val="ONUMFS"/>
        <w:numPr>
          <w:ilvl w:val="0"/>
          <w:numId w:val="13"/>
        </w:numPr>
        <w:spacing w:line="360" w:lineRule="auto"/>
        <w:ind w:left="567" w:hanging="567"/>
        <w:rPr>
          <w:lang w:val="fr-FR"/>
        </w:rPr>
      </w:pPr>
      <w:r w:rsidRPr="006363C1">
        <w:rPr>
          <w:lang w:val="fr-FR"/>
        </w:rPr>
        <w:t>Les limitations et exceptions font partie intégrante d</w:t>
      </w:r>
      <w:r w:rsidR="00964A53" w:rsidRPr="006363C1">
        <w:rPr>
          <w:lang w:val="fr-FR"/>
        </w:rPr>
        <w:t>’</w:t>
      </w:r>
      <w:r w:rsidRPr="006363C1">
        <w:rPr>
          <w:lang w:val="fr-FR"/>
        </w:rPr>
        <w:t>un système du droit d</w:t>
      </w:r>
      <w:r w:rsidR="00964A53" w:rsidRPr="006363C1">
        <w:rPr>
          <w:lang w:val="fr-FR"/>
        </w:rPr>
        <w:t>’</w:t>
      </w:r>
      <w:r w:rsidRPr="006363C1">
        <w:rPr>
          <w:lang w:val="fr-FR"/>
        </w:rPr>
        <w:t>auteur équilibré et doivent contribuer à la préservation de la qualité, à l</w:t>
      </w:r>
      <w:r w:rsidR="00964A53" w:rsidRPr="006363C1">
        <w:rPr>
          <w:lang w:val="fr-FR"/>
        </w:rPr>
        <w:t>’</w:t>
      </w:r>
      <w:r w:rsidRPr="006363C1">
        <w:rPr>
          <w:lang w:val="fr-FR"/>
        </w:rPr>
        <w:t>accès à la connaissance, à l</w:t>
      </w:r>
      <w:r w:rsidR="00964A53" w:rsidRPr="006363C1">
        <w:rPr>
          <w:lang w:val="fr-FR"/>
        </w:rPr>
        <w:t>’</w:t>
      </w:r>
      <w:r w:rsidRPr="006363C1">
        <w:rPr>
          <w:lang w:val="fr-FR"/>
        </w:rPr>
        <w:t>enseignement et à la recherche, et étendre la possibilité, pour toutes les personnes handicapées, de participer pleinement à la vie culturelle de la communauté, de jouir des arts et de profiter du progrès scientifique.</w:t>
      </w:r>
    </w:p>
    <w:p w14:paraId="253A612C" w14:textId="77777777" w:rsidR="009C6C55" w:rsidRDefault="0084234B" w:rsidP="00F532AC">
      <w:pPr>
        <w:pStyle w:val="ONUMFS"/>
        <w:spacing w:line="360" w:lineRule="auto"/>
        <w:ind w:left="567" w:hanging="567"/>
        <w:rPr>
          <w:lang w:val="fr-FR"/>
        </w:rPr>
      </w:pPr>
      <w:r w:rsidRPr="009C6C55">
        <w:rPr>
          <w:lang w:val="fr-FR"/>
        </w:rPr>
        <w:t>Les limitations et exceptions doivent être limitées à certains cas particuliers qui ne portent pas atteinte à l</w:t>
      </w:r>
      <w:r w:rsidR="00964A53" w:rsidRPr="009C6C55">
        <w:rPr>
          <w:lang w:val="fr-FR"/>
        </w:rPr>
        <w:t>’</w:t>
      </w:r>
      <w:r w:rsidRPr="009C6C55">
        <w:rPr>
          <w:lang w:val="fr-FR"/>
        </w:rPr>
        <w:t>exploitation normale des œuvres ni ne causent un préjudice injustifié aux intérêts légitimes des titulaires de droits.</w:t>
      </w:r>
    </w:p>
    <w:p w14:paraId="03C3F0E0" w14:textId="77777777" w:rsidR="009C6C55" w:rsidRDefault="0084234B" w:rsidP="00F532AC">
      <w:pPr>
        <w:pStyle w:val="ONUMFS"/>
        <w:spacing w:line="360" w:lineRule="auto"/>
        <w:ind w:left="567" w:hanging="567"/>
        <w:rPr>
          <w:lang w:val="fr-FR"/>
        </w:rPr>
      </w:pPr>
      <w:r w:rsidRPr="009C6C55">
        <w:rPr>
          <w:lang w:val="fr-FR"/>
        </w:rPr>
        <w:t>Envisager, le cas échéant, des conditions aux limitations et aux exceptions, telles que la rémunération ou l</w:t>
      </w:r>
      <w:r w:rsidR="00964A53" w:rsidRPr="009C6C55">
        <w:rPr>
          <w:lang w:val="fr-FR"/>
        </w:rPr>
        <w:t>’</w:t>
      </w:r>
      <w:r w:rsidRPr="009C6C55">
        <w:rPr>
          <w:lang w:val="fr-FR"/>
        </w:rPr>
        <w:t>octroi de licences.</w:t>
      </w:r>
    </w:p>
    <w:p w14:paraId="08016B04" w14:textId="77777777" w:rsidR="009C6C55" w:rsidRDefault="0084234B" w:rsidP="00F532AC">
      <w:pPr>
        <w:pStyle w:val="ONUMFS"/>
        <w:spacing w:line="360" w:lineRule="auto"/>
        <w:ind w:left="567" w:hanging="567"/>
        <w:rPr>
          <w:lang w:val="fr-FR"/>
        </w:rPr>
      </w:pPr>
      <w:r w:rsidRPr="009C6C55">
        <w:rPr>
          <w:lang w:val="fr-FR"/>
        </w:rPr>
        <w:t>Promouvoir la coopération entre les institutions aux niveaux national, régional et international.</w:t>
      </w:r>
    </w:p>
    <w:p w14:paraId="1174C621" w14:textId="78430338" w:rsidR="009C6C55" w:rsidRPr="00F532AC" w:rsidRDefault="00F532AC" w:rsidP="00F532AC">
      <w:pPr>
        <w:spacing w:after="240" w:line="360" w:lineRule="auto"/>
        <w:ind w:left="567"/>
        <w:rPr>
          <w:i/>
          <w:iCs/>
          <w:caps/>
          <w:lang w:val="fr-FR"/>
        </w:rPr>
      </w:pPr>
      <w:r w:rsidRPr="00F532AC">
        <w:rPr>
          <w:i/>
          <w:caps/>
          <w:lang w:val="fr-FR"/>
        </w:rPr>
        <w:t>Institutions chargées du patrimoine culturel</w:t>
      </w:r>
    </w:p>
    <w:p w14:paraId="34926604" w14:textId="77777777" w:rsidR="009C6C55" w:rsidRDefault="0084234B" w:rsidP="00F532AC">
      <w:pPr>
        <w:pStyle w:val="ONUMFS"/>
        <w:spacing w:line="360" w:lineRule="auto"/>
        <w:ind w:left="567" w:hanging="567"/>
        <w:rPr>
          <w:lang w:val="fr-FR"/>
        </w:rPr>
      </w:pPr>
      <w:r w:rsidRPr="009C6C55">
        <w:rPr>
          <w:lang w:val="fr-FR"/>
        </w:rPr>
        <w:t>Permettre aux bibliothèques, aux services d</w:t>
      </w:r>
      <w:r w:rsidR="00964A53" w:rsidRPr="009C6C55">
        <w:rPr>
          <w:lang w:val="fr-FR"/>
        </w:rPr>
        <w:t>’</w:t>
      </w:r>
      <w:r w:rsidRPr="009C6C55">
        <w:rPr>
          <w:lang w:val="fr-FR"/>
        </w:rPr>
        <w:t>archives et aux musées de mener à bien leur mission de service public en matière de préservation des connaissances accumulées et du patrimoine des nations et des peuples.</w:t>
      </w:r>
    </w:p>
    <w:p w14:paraId="610E314B" w14:textId="77777777" w:rsidR="009C6C55" w:rsidRDefault="0084234B" w:rsidP="00F532AC">
      <w:pPr>
        <w:pStyle w:val="ONUMFS"/>
        <w:spacing w:line="360" w:lineRule="auto"/>
        <w:ind w:left="567" w:hanging="567"/>
        <w:rPr>
          <w:lang w:val="fr-FR"/>
        </w:rPr>
      </w:pPr>
      <w:r w:rsidRPr="009C6C55">
        <w:rPr>
          <w:lang w:val="fr-FR"/>
        </w:rPr>
        <w:t>Permettre aux institutions chargées du patrimoine culturel de préserver de manière préventive les documents menacés de détérioration ou d</w:t>
      </w:r>
      <w:r w:rsidR="00964A53" w:rsidRPr="009C6C55">
        <w:rPr>
          <w:lang w:val="fr-FR"/>
        </w:rPr>
        <w:t>’</w:t>
      </w:r>
      <w:r w:rsidRPr="009C6C55">
        <w:rPr>
          <w:lang w:val="fr-FR"/>
        </w:rPr>
        <w:t>obsolescence ou risquant d</w:t>
      </w:r>
      <w:r w:rsidR="00964A53" w:rsidRPr="009C6C55">
        <w:rPr>
          <w:lang w:val="fr-FR"/>
        </w:rPr>
        <w:t>’</w:t>
      </w:r>
      <w:r w:rsidRPr="009C6C55">
        <w:rPr>
          <w:lang w:val="fr-FR"/>
        </w:rPr>
        <w:t>être endommagés, dans la mesure où cela est raisonnablement nécessaire aux fins de la préservation.</w:t>
      </w:r>
    </w:p>
    <w:p w14:paraId="43BFAF56" w14:textId="77777777" w:rsidR="009C6C55" w:rsidRDefault="0084234B" w:rsidP="00F532AC">
      <w:pPr>
        <w:pStyle w:val="ONUMFS"/>
        <w:spacing w:line="360" w:lineRule="auto"/>
        <w:ind w:left="567" w:hanging="567"/>
        <w:rPr>
          <w:lang w:val="fr-FR"/>
        </w:rPr>
      </w:pPr>
      <w:r w:rsidRPr="009C6C55">
        <w:rPr>
          <w:lang w:val="fr-FR"/>
        </w:rPr>
        <w:t>Appliquer les exceptions et limitations en faveur des bibliothèques, des services d</w:t>
      </w:r>
      <w:r w:rsidR="00964A53" w:rsidRPr="009C6C55">
        <w:rPr>
          <w:lang w:val="fr-FR"/>
        </w:rPr>
        <w:t>’</w:t>
      </w:r>
      <w:r w:rsidRPr="009C6C55">
        <w:rPr>
          <w:lang w:val="fr-FR"/>
        </w:rPr>
        <w:t>archives et des musées uniquement aux activités non commerciales, et non à celles menées pour en tirer directement ou indirectement un avantage commercial.</w:t>
      </w:r>
    </w:p>
    <w:p w14:paraId="0C7B83AF" w14:textId="23E7D0F6" w:rsidR="009C6C55" w:rsidRPr="00F532AC" w:rsidRDefault="00F532AC" w:rsidP="00F532AC">
      <w:pPr>
        <w:spacing w:after="240" w:line="360" w:lineRule="auto"/>
        <w:ind w:left="567"/>
        <w:rPr>
          <w:i/>
          <w:caps/>
          <w:lang w:val="fr-FR"/>
        </w:rPr>
      </w:pPr>
      <w:r w:rsidRPr="00F532AC">
        <w:rPr>
          <w:i/>
          <w:caps/>
          <w:lang w:val="fr-FR"/>
        </w:rPr>
        <w:t>Préservation</w:t>
      </w:r>
    </w:p>
    <w:p w14:paraId="78F4F9AF" w14:textId="77777777" w:rsidR="009C6C55" w:rsidRDefault="0084234B" w:rsidP="00F532AC">
      <w:pPr>
        <w:pStyle w:val="ONUMFS"/>
        <w:spacing w:line="360" w:lineRule="auto"/>
        <w:ind w:left="567" w:hanging="567"/>
        <w:rPr>
          <w:lang w:val="fr-FR"/>
        </w:rPr>
      </w:pPr>
      <w:r w:rsidRPr="009C6C55">
        <w:rPr>
          <w:lang w:val="fr-FR"/>
        </w:rPr>
        <w:t xml:space="preserve">Permettre la préservation et la conversion des contenus, </w:t>
      </w:r>
      <w:r w:rsidR="00964A53" w:rsidRPr="009C6C55">
        <w:rPr>
          <w:lang w:val="fr-FR"/>
        </w:rPr>
        <w:t>y compris</w:t>
      </w:r>
      <w:r w:rsidRPr="009C6C55">
        <w:rPr>
          <w:lang w:val="fr-FR"/>
        </w:rPr>
        <w:t xml:space="preserve"> des formats obsolètes vers de nouveaux forma</w:t>
      </w:r>
      <w:r w:rsidR="009E2210" w:rsidRPr="009C6C55">
        <w:rPr>
          <w:lang w:val="fr-FR"/>
        </w:rPr>
        <w:t>ts.  Pe</w:t>
      </w:r>
      <w:r w:rsidRPr="009C6C55">
        <w:rPr>
          <w:lang w:val="fr-FR"/>
        </w:rPr>
        <w:t>rmettre la réalisation de copies d</w:t>
      </w:r>
      <w:r w:rsidR="00964A53" w:rsidRPr="009C6C55">
        <w:rPr>
          <w:lang w:val="fr-FR"/>
        </w:rPr>
        <w:t>’</w:t>
      </w:r>
      <w:r w:rsidRPr="009C6C55">
        <w:rPr>
          <w:lang w:val="fr-FR"/>
        </w:rPr>
        <w:t xml:space="preserve">œuvres aux fins de préservation et de remplacement, dans certaines circonstances, </w:t>
      </w:r>
      <w:r w:rsidR="00964A53" w:rsidRPr="009C6C55">
        <w:rPr>
          <w:lang w:val="fr-FR"/>
        </w:rPr>
        <w:t>y compris</w:t>
      </w:r>
      <w:r w:rsidRPr="009C6C55">
        <w:rPr>
          <w:lang w:val="fr-FR"/>
        </w:rPr>
        <w:t xml:space="preserve"> la conversion numérique et le changement de format.</w:t>
      </w:r>
    </w:p>
    <w:p w14:paraId="6668D5E6" w14:textId="6E27A1EF" w:rsidR="009C6C55" w:rsidRPr="00F532AC" w:rsidRDefault="00F532AC" w:rsidP="00F532AC">
      <w:pPr>
        <w:spacing w:after="240" w:line="360" w:lineRule="auto"/>
        <w:ind w:left="567"/>
        <w:rPr>
          <w:i/>
          <w:caps/>
          <w:lang w:val="fr-FR"/>
        </w:rPr>
      </w:pPr>
      <w:r w:rsidRPr="00F532AC">
        <w:rPr>
          <w:i/>
          <w:caps/>
          <w:lang w:val="fr-FR"/>
        </w:rPr>
        <w:lastRenderedPageBreak/>
        <w:t>Accessibilité des personnes handicapées</w:t>
      </w:r>
    </w:p>
    <w:p w14:paraId="04114689" w14:textId="691BB12C" w:rsidR="0084234B" w:rsidRPr="009C6C55" w:rsidRDefault="0084234B" w:rsidP="00F532AC">
      <w:pPr>
        <w:pStyle w:val="ONUMFS"/>
        <w:spacing w:after="120" w:line="360" w:lineRule="auto"/>
        <w:ind w:left="567" w:hanging="567"/>
        <w:rPr>
          <w:lang w:val="fr-FR"/>
        </w:rPr>
      </w:pPr>
      <w:r w:rsidRPr="009C6C55">
        <w:rPr>
          <w:lang w:val="fr-FR"/>
        </w:rPr>
        <w:t>Faciliter l</w:t>
      </w:r>
      <w:r w:rsidR="00964A53" w:rsidRPr="009C6C55">
        <w:rPr>
          <w:lang w:val="fr-FR"/>
        </w:rPr>
        <w:t>’</w:t>
      </w:r>
      <w:r w:rsidRPr="009C6C55">
        <w:rPr>
          <w:lang w:val="fr-FR"/>
        </w:rPr>
        <w:t>accès des personnes handicapées autres que celles couvertes par le Traité de Marrakech aux œuvres publiées dans des formats accessibles, à des conditions appropriées, notamment</w:t>
      </w:r>
      <w:r w:rsidR="00964A53" w:rsidRPr="009C6C55">
        <w:rPr>
          <w:lang w:val="fr-FR"/>
        </w:rPr>
        <w:t> :</w:t>
      </w:r>
    </w:p>
    <w:p w14:paraId="25CBA8B9" w14:textId="77777777" w:rsidR="0084234B" w:rsidRPr="009C6C55" w:rsidRDefault="0084234B" w:rsidP="00F532AC">
      <w:pPr>
        <w:pStyle w:val="ONUMFS"/>
        <w:numPr>
          <w:ilvl w:val="1"/>
          <w:numId w:val="6"/>
        </w:numPr>
        <w:spacing w:after="120" w:line="360" w:lineRule="auto"/>
        <w:ind w:left="1134" w:hanging="567"/>
        <w:rPr>
          <w:lang w:val="fr-FR"/>
        </w:rPr>
      </w:pPr>
      <w:proofErr w:type="gramStart"/>
      <w:r w:rsidRPr="009C6C55">
        <w:rPr>
          <w:lang w:val="fr-FR"/>
        </w:rPr>
        <w:t>utilisation</w:t>
      </w:r>
      <w:proofErr w:type="gramEnd"/>
      <w:r w:rsidRPr="009C6C55">
        <w:rPr>
          <w:lang w:val="fr-FR"/>
        </w:rPr>
        <w:t xml:space="preserve"> uniquement aux fins de production de supports dans des formats </w:t>
      </w:r>
      <w:proofErr w:type="gramStart"/>
      <w:r w:rsidRPr="009C6C55">
        <w:rPr>
          <w:lang w:val="fr-FR"/>
        </w:rPr>
        <w:t>accessibles;</w:t>
      </w:r>
      <w:proofErr w:type="gramEnd"/>
    </w:p>
    <w:p w14:paraId="3E188DDE" w14:textId="77777777" w:rsidR="009C6C55" w:rsidRDefault="0084234B" w:rsidP="00F532AC">
      <w:pPr>
        <w:pStyle w:val="ONUMFS"/>
        <w:numPr>
          <w:ilvl w:val="1"/>
          <w:numId w:val="6"/>
        </w:numPr>
        <w:spacing w:line="360" w:lineRule="auto"/>
        <w:ind w:left="1134" w:hanging="567"/>
        <w:rPr>
          <w:lang w:val="fr-FR"/>
        </w:rPr>
      </w:pPr>
      <w:proofErr w:type="gramStart"/>
      <w:r w:rsidRPr="009C6C55">
        <w:rPr>
          <w:lang w:val="fr-FR"/>
        </w:rPr>
        <w:t>respect</w:t>
      </w:r>
      <w:proofErr w:type="gramEnd"/>
      <w:r w:rsidRPr="009C6C55">
        <w:rPr>
          <w:lang w:val="fr-FR"/>
        </w:rPr>
        <w:t xml:space="preserve"> de mesures de sécurité numérique adéquates et efficaces.</w:t>
      </w:r>
    </w:p>
    <w:p w14:paraId="66021B9C" w14:textId="18123C92" w:rsidR="009C6C55" w:rsidRPr="00F532AC" w:rsidRDefault="00F532AC" w:rsidP="00F532AC">
      <w:pPr>
        <w:spacing w:after="240" w:line="360" w:lineRule="auto"/>
        <w:ind w:left="567"/>
        <w:rPr>
          <w:i/>
          <w:caps/>
          <w:lang w:val="fr-FR"/>
        </w:rPr>
      </w:pPr>
      <w:r w:rsidRPr="00F532AC">
        <w:rPr>
          <w:i/>
          <w:caps/>
          <w:lang w:val="fr-FR"/>
        </w:rPr>
        <w:t>Principes transversaux</w:t>
      </w:r>
    </w:p>
    <w:p w14:paraId="23AF4A6D" w14:textId="77777777" w:rsidR="009C6C55" w:rsidRDefault="0084234B" w:rsidP="00F532AC">
      <w:pPr>
        <w:pStyle w:val="ONUMFS"/>
        <w:spacing w:line="360" w:lineRule="auto"/>
        <w:ind w:left="567" w:hanging="567"/>
        <w:rPr>
          <w:lang w:val="fr-FR"/>
        </w:rPr>
      </w:pPr>
      <w:r w:rsidRPr="009C6C55">
        <w:rPr>
          <w:lang w:val="fr-FR"/>
        </w:rPr>
        <w:t>Les exceptions et limitations doivent s</w:t>
      </w:r>
      <w:r w:rsidR="00964A53" w:rsidRPr="009C6C55">
        <w:rPr>
          <w:lang w:val="fr-FR"/>
        </w:rPr>
        <w:t>’</w:t>
      </w:r>
      <w:r w:rsidRPr="009C6C55">
        <w:rPr>
          <w:lang w:val="fr-FR"/>
        </w:rPr>
        <w:t>appliquer de la même manière à toutes les œuvres protégées par le droit d</w:t>
      </w:r>
      <w:r w:rsidR="00964A53" w:rsidRPr="009C6C55">
        <w:rPr>
          <w:lang w:val="fr-FR"/>
        </w:rPr>
        <w:t>’</w:t>
      </w:r>
      <w:r w:rsidRPr="009C6C55">
        <w:rPr>
          <w:lang w:val="fr-FR"/>
        </w:rPr>
        <w:t>auteur, quel que soit leur format.</w:t>
      </w:r>
    </w:p>
    <w:p w14:paraId="6B0F28B9" w14:textId="77777777" w:rsidR="009C6C55" w:rsidRDefault="0084234B" w:rsidP="00F532AC">
      <w:pPr>
        <w:pStyle w:val="ONUMFS"/>
        <w:spacing w:line="360" w:lineRule="auto"/>
        <w:ind w:left="567" w:hanging="567"/>
        <w:rPr>
          <w:lang w:val="fr-FR"/>
        </w:rPr>
      </w:pPr>
      <w:r w:rsidRPr="009C6C55">
        <w:rPr>
          <w:lang w:val="fr-FR"/>
        </w:rPr>
        <w:t>Des limitations adéquates doivent être prévues pour empêcher l</w:t>
      </w:r>
      <w:r w:rsidR="00964A53" w:rsidRPr="009C6C55">
        <w:rPr>
          <w:lang w:val="fr-FR"/>
        </w:rPr>
        <w:t>’</w:t>
      </w:r>
      <w:r w:rsidRPr="009C6C55">
        <w:rPr>
          <w:lang w:val="fr-FR"/>
        </w:rPr>
        <w:t>utilisation abusive de ces exceptions à d</w:t>
      </w:r>
      <w:r w:rsidR="00964A53" w:rsidRPr="009C6C55">
        <w:rPr>
          <w:lang w:val="fr-FR"/>
        </w:rPr>
        <w:t>’</w:t>
      </w:r>
      <w:r w:rsidRPr="009C6C55">
        <w:rPr>
          <w:lang w:val="fr-FR"/>
        </w:rPr>
        <w:t>autres fins, afin de garantir une approche équilibrée.</w:t>
      </w:r>
    </w:p>
    <w:p w14:paraId="1A173E8D" w14:textId="77777777" w:rsidR="009C6C55" w:rsidRDefault="0084234B" w:rsidP="00F532AC">
      <w:pPr>
        <w:pStyle w:val="ONUMFS"/>
        <w:spacing w:line="360" w:lineRule="auto"/>
        <w:ind w:left="567" w:hanging="567"/>
        <w:rPr>
          <w:lang w:val="fr-FR"/>
        </w:rPr>
      </w:pPr>
      <w:r w:rsidRPr="009C6C55">
        <w:rPr>
          <w:lang w:val="fr-FR"/>
        </w:rPr>
        <w:t>Les utilisations numériques et transfrontières doivent devenir normales et courantes, sous réserve de conditions garantissant le respect des droits et la sécurité numérique.</w:t>
      </w:r>
    </w:p>
    <w:p w14:paraId="65CC55B8" w14:textId="191BDF7B" w:rsidR="009C6C55" w:rsidRDefault="0084234B" w:rsidP="00F532AC">
      <w:pPr>
        <w:pStyle w:val="ONUMFS"/>
        <w:spacing w:line="360" w:lineRule="auto"/>
        <w:ind w:left="567" w:hanging="567"/>
        <w:rPr>
          <w:lang w:val="fr-FR"/>
        </w:rPr>
      </w:pPr>
      <w:r w:rsidRPr="009C6C55">
        <w:rPr>
          <w:lang w:val="fr-FR"/>
        </w:rPr>
        <w:t>L</w:t>
      </w:r>
      <w:r w:rsidR="00964A53" w:rsidRPr="009C6C55">
        <w:rPr>
          <w:lang w:val="fr-FR"/>
        </w:rPr>
        <w:t>’</w:t>
      </w:r>
      <w:r w:rsidRPr="009C6C55">
        <w:rPr>
          <w:lang w:val="fr-FR"/>
        </w:rPr>
        <w:t>interopérabilité des systèmes doit être encouragée pour faciliter i)</w:t>
      </w:r>
      <w:r w:rsidR="00F532AC">
        <w:rPr>
          <w:lang w:val="fr-FR"/>
        </w:rPr>
        <w:t> </w:t>
      </w:r>
      <w:r w:rsidRPr="009C6C55">
        <w:rPr>
          <w:lang w:val="fr-FR"/>
        </w:rPr>
        <w:t>l</w:t>
      </w:r>
      <w:r w:rsidR="00964A53" w:rsidRPr="009C6C55">
        <w:rPr>
          <w:lang w:val="fr-FR"/>
        </w:rPr>
        <w:t>’</w:t>
      </w:r>
      <w:r w:rsidRPr="009C6C55">
        <w:rPr>
          <w:lang w:val="fr-FR"/>
        </w:rPr>
        <w:t>accès des personnes handicapées aux œuvres et</w:t>
      </w:r>
      <w:r w:rsidR="00F532AC">
        <w:rPr>
          <w:lang w:val="fr-FR"/>
        </w:rPr>
        <w:t> </w:t>
      </w:r>
      <w:r w:rsidRPr="009C6C55">
        <w:rPr>
          <w:lang w:val="fr-FR"/>
        </w:rPr>
        <w:t>ii)</w:t>
      </w:r>
      <w:r w:rsidR="00532B39" w:rsidRPr="009C6C55">
        <w:rPr>
          <w:lang w:val="fr-FR"/>
        </w:rPr>
        <w:t> </w:t>
      </w:r>
      <w:r w:rsidRPr="009C6C55">
        <w:rPr>
          <w:lang w:val="fr-FR"/>
        </w:rPr>
        <w:t>des utilisations transfrontières contrôlées.</w:t>
      </w:r>
    </w:p>
    <w:p w14:paraId="2F7ABCCE" w14:textId="77777777" w:rsidR="009C6C55" w:rsidRDefault="0084234B" w:rsidP="00F532AC">
      <w:pPr>
        <w:pStyle w:val="ONUMFS"/>
        <w:spacing w:line="360" w:lineRule="auto"/>
        <w:ind w:left="567" w:hanging="567"/>
        <w:rPr>
          <w:lang w:val="fr-FR"/>
        </w:rPr>
      </w:pPr>
      <w:r w:rsidRPr="009C6C55">
        <w:rPr>
          <w:lang w:val="fr-FR"/>
        </w:rPr>
        <w:t>Les solutions juridiques doivent être élaborées de manière à être aussi neutres que possible sur le plan technologique.</w:t>
      </w:r>
    </w:p>
    <w:bookmarkEnd w:id="5"/>
    <w:p w14:paraId="3D7070B6" w14:textId="77777777" w:rsidR="009C6C55" w:rsidRDefault="0084234B" w:rsidP="00F532AC">
      <w:pPr>
        <w:pStyle w:val="ONUMFS"/>
        <w:spacing w:line="360" w:lineRule="auto"/>
        <w:ind w:left="567" w:hanging="567"/>
        <w:rPr>
          <w:rFonts w:eastAsia="MS Gothic"/>
          <w:lang w:val="fr-FR"/>
        </w:rPr>
      </w:pPr>
      <w:r w:rsidRPr="009C6C55">
        <w:rPr>
          <w:lang w:val="fr-FR"/>
        </w:rPr>
        <w:t>Il convient d</w:t>
      </w:r>
      <w:r w:rsidR="00964A53" w:rsidRPr="009C6C55">
        <w:rPr>
          <w:lang w:val="fr-FR"/>
        </w:rPr>
        <w:t>’</w:t>
      </w:r>
      <w:r w:rsidRPr="009C6C55">
        <w:rPr>
          <w:lang w:val="fr-FR"/>
        </w:rPr>
        <w:t>examiner la question de la bonne foi lors de l</w:t>
      </w:r>
      <w:r w:rsidR="00964A53" w:rsidRPr="009C6C55">
        <w:rPr>
          <w:lang w:val="fr-FR"/>
        </w:rPr>
        <w:t>’</w:t>
      </w:r>
      <w:r w:rsidRPr="009C6C55">
        <w:rPr>
          <w:lang w:val="fr-FR"/>
        </w:rPr>
        <w:t>évaluation de la responsabilité liée à l</w:t>
      </w:r>
      <w:r w:rsidR="00964A53" w:rsidRPr="009C6C55">
        <w:rPr>
          <w:lang w:val="fr-FR"/>
        </w:rPr>
        <w:t>’</w:t>
      </w:r>
      <w:r w:rsidRPr="009C6C55">
        <w:rPr>
          <w:lang w:val="fr-FR"/>
        </w:rPr>
        <w:t>application des limitations et exceptions par les bénéficiaires institutionnels.</w:t>
      </w:r>
    </w:p>
    <w:p w14:paraId="3D599B8C" w14:textId="77777777" w:rsidR="009C6C55" w:rsidRDefault="0084234B" w:rsidP="00F532AC">
      <w:pPr>
        <w:pStyle w:val="ONUMFS"/>
        <w:spacing w:line="360" w:lineRule="auto"/>
        <w:ind w:left="567" w:hanging="567"/>
        <w:rPr>
          <w:lang w:val="fr-FR"/>
        </w:rPr>
      </w:pPr>
      <w:r w:rsidRPr="009C6C55">
        <w:rPr>
          <w:lang w:val="fr-FR"/>
        </w:rPr>
        <w:t>Des mécanismes de règlement extrajudiciaire des litiges doivent être mis en place pour régler les litiges concernant l</w:t>
      </w:r>
      <w:r w:rsidR="00964A53" w:rsidRPr="009C6C55">
        <w:rPr>
          <w:lang w:val="fr-FR"/>
        </w:rPr>
        <w:t>’</w:t>
      </w:r>
      <w:r w:rsidRPr="009C6C55">
        <w:rPr>
          <w:lang w:val="fr-FR"/>
        </w:rPr>
        <w:t>utilisation des œuvres au titre des limitations et exceptions.</w:t>
      </w:r>
    </w:p>
    <w:p w14:paraId="73040396" w14:textId="3DCF8F12" w:rsidR="009C6C55" w:rsidRPr="00F532AC" w:rsidRDefault="0084234B" w:rsidP="00F532AC">
      <w:pPr>
        <w:keepNext/>
        <w:spacing w:before="480" w:after="220" w:line="360" w:lineRule="auto"/>
        <w:rPr>
          <w:b/>
          <w:bCs/>
          <w:lang w:val="fr-FR"/>
        </w:rPr>
      </w:pPr>
      <w:r w:rsidRPr="00F532AC">
        <w:rPr>
          <w:b/>
          <w:bCs/>
          <w:lang w:val="fr-FR"/>
        </w:rPr>
        <w:lastRenderedPageBreak/>
        <w:t>D.</w:t>
      </w:r>
      <w:r w:rsidR="00F532AC" w:rsidRPr="00F532AC">
        <w:rPr>
          <w:b/>
          <w:bCs/>
          <w:lang w:val="fr-FR"/>
        </w:rPr>
        <w:tab/>
      </w:r>
      <w:r w:rsidRPr="00F532AC">
        <w:rPr>
          <w:b/>
          <w:bCs/>
          <w:lang w:val="fr-FR"/>
        </w:rPr>
        <w:t>Coopération, renforcement des capacités et assistance technique</w:t>
      </w:r>
    </w:p>
    <w:p w14:paraId="39E0A9BA" w14:textId="77777777" w:rsidR="009C6C55" w:rsidRPr="00F532AC" w:rsidRDefault="0084234B" w:rsidP="00F532AC">
      <w:pPr>
        <w:pStyle w:val="ONUMFS"/>
        <w:keepNext/>
        <w:keepLines/>
        <w:numPr>
          <w:ilvl w:val="0"/>
          <w:numId w:val="14"/>
        </w:numPr>
        <w:spacing w:line="360" w:lineRule="auto"/>
        <w:ind w:left="567" w:hanging="567"/>
        <w:rPr>
          <w:rFonts w:eastAsia="MS Mincho"/>
          <w:lang w:val="fr-FR"/>
        </w:rPr>
      </w:pPr>
      <w:r w:rsidRPr="00F532AC">
        <w:rPr>
          <w:lang w:val="fr-FR"/>
        </w:rPr>
        <w:t>L</w:t>
      </w:r>
      <w:r w:rsidR="00964A53" w:rsidRPr="00F532AC">
        <w:rPr>
          <w:lang w:val="fr-FR"/>
        </w:rPr>
        <w:t>’</w:t>
      </w:r>
      <w:r w:rsidRPr="00F532AC">
        <w:rPr>
          <w:lang w:val="fr-FR"/>
        </w:rPr>
        <w:t>OMPI doit continuer de mettre à la disposition des États membres un ensemble d</w:t>
      </w:r>
      <w:r w:rsidR="00964A53" w:rsidRPr="00F532AC">
        <w:rPr>
          <w:lang w:val="fr-FR"/>
        </w:rPr>
        <w:t>’</w:t>
      </w:r>
      <w:r w:rsidRPr="00F532AC">
        <w:rPr>
          <w:lang w:val="fr-FR"/>
        </w:rPr>
        <w:t>outils (“ensemble d</w:t>
      </w:r>
      <w:r w:rsidR="00964A53" w:rsidRPr="00F532AC">
        <w:rPr>
          <w:lang w:val="fr-FR"/>
        </w:rPr>
        <w:t>’</w:t>
      </w:r>
      <w:r w:rsidRPr="00F532AC">
        <w:rPr>
          <w:lang w:val="fr-FR"/>
        </w:rPr>
        <w:t>options”) comprenant des lignes directrices, des manuels, des recommandations et des études de cas, couvrant à la fois les limitations et exceptions et les options en matière de licences.</w:t>
      </w:r>
    </w:p>
    <w:p w14:paraId="6AE0644C" w14:textId="77777777" w:rsidR="009C6C55" w:rsidRDefault="0084234B" w:rsidP="00F532AC">
      <w:pPr>
        <w:pStyle w:val="ONUMFS"/>
        <w:spacing w:line="360" w:lineRule="auto"/>
        <w:ind w:left="567" w:hanging="567"/>
        <w:rPr>
          <w:rFonts w:eastAsia="MS Mincho"/>
          <w:lang w:val="fr-FR"/>
        </w:rPr>
      </w:pPr>
      <w:r w:rsidRPr="009C6C55">
        <w:rPr>
          <w:lang w:val="fr-FR"/>
        </w:rPr>
        <w:t>Une assistance législative et technique doit être fournie pour la mise en œuvre au niveau national, la priorité étant accordée aux pays qui ne disposent pas de cadres adéquats.</w:t>
      </w:r>
    </w:p>
    <w:p w14:paraId="735AFFCE" w14:textId="7ADC2766" w:rsidR="0084234B" w:rsidRPr="009C6C55" w:rsidRDefault="0084234B" w:rsidP="00F532AC">
      <w:pPr>
        <w:pStyle w:val="ONUMFS"/>
        <w:spacing w:line="360" w:lineRule="auto"/>
        <w:ind w:left="567" w:hanging="567"/>
        <w:rPr>
          <w:rFonts w:eastAsia="MS Mincho"/>
          <w:lang w:val="fr-FR"/>
        </w:rPr>
      </w:pPr>
      <w:r w:rsidRPr="009C6C55">
        <w:rPr>
          <w:lang w:val="fr-FR"/>
        </w:rPr>
        <w:t>Il convient de promouvoir les bonnes pratiques et les outils de gestion des droits dans les environnements numériques.</w:t>
      </w:r>
    </w:p>
    <w:p w14:paraId="04FA31B6" w14:textId="4394FD98" w:rsidR="000F5E56" w:rsidRPr="009C6C55" w:rsidRDefault="0084234B" w:rsidP="009C6C55">
      <w:pPr>
        <w:pStyle w:val="Endofdocument-Annex"/>
        <w:spacing w:before="720"/>
        <w:rPr>
          <w:rFonts w:eastAsia="MS Mincho"/>
          <w:lang w:val="fr-FR"/>
        </w:rPr>
      </w:pPr>
      <w:r w:rsidRPr="009C6C55">
        <w:rPr>
          <w:lang w:val="fr-FR"/>
        </w:rPr>
        <w:t>[Fin du document]</w:t>
      </w:r>
    </w:p>
    <w:sectPr w:rsidR="000F5E56" w:rsidRPr="009C6C55" w:rsidSect="009C6C55">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5EBC" w14:textId="77777777" w:rsidR="0084234B" w:rsidRDefault="0084234B">
      <w:r>
        <w:separator/>
      </w:r>
    </w:p>
  </w:endnote>
  <w:endnote w:type="continuationSeparator" w:id="0">
    <w:p w14:paraId="406B242F" w14:textId="77777777" w:rsidR="0084234B" w:rsidRPr="009D30E6" w:rsidRDefault="0084234B" w:rsidP="00D45252">
      <w:pPr>
        <w:rPr>
          <w:sz w:val="17"/>
          <w:szCs w:val="17"/>
        </w:rPr>
      </w:pPr>
      <w:r w:rsidRPr="009D30E6">
        <w:rPr>
          <w:sz w:val="17"/>
          <w:szCs w:val="17"/>
        </w:rPr>
        <w:separator/>
      </w:r>
    </w:p>
    <w:p w14:paraId="6957EF78" w14:textId="77777777" w:rsidR="0084234B" w:rsidRPr="009D30E6" w:rsidRDefault="0084234B" w:rsidP="00D45252">
      <w:pPr>
        <w:spacing w:after="60"/>
        <w:rPr>
          <w:sz w:val="17"/>
          <w:szCs w:val="17"/>
        </w:rPr>
      </w:pPr>
      <w:r w:rsidRPr="009D30E6">
        <w:rPr>
          <w:sz w:val="17"/>
          <w:szCs w:val="17"/>
        </w:rPr>
        <w:t>[Suite de la note de la page précédente]</w:t>
      </w:r>
    </w:p>
  </w:endnote>
  <w:endnote w:type="continuationNotice" w:id="1">
    <w:p w14:paraId="0099A062" w14:textId="77777777" w:rsidR="0084234B" w:rsidRPr="009D30E6" w:rsidRDefault="0084234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BEF5" w14:textId="77777777" w:rsidR="0084234B" w:rsidRDefault="0084234B">
      <w:r>
        <w:separator/>
      </w:r>
    </w:p>
  </w:footnote>
  <w:footnote w:type="continuationSeparator" w:id="0">
    <w:p w14:paraId="61126CCA" w14:textId="77777777" w:rsidR="0084234B" w:rsidRDefault="0084234B" w:rsidP="007461F1">
      <w:r>
        <w:separator/>
      </w:r>
    </w:p>
    <w:p w14:paraId="1AE46C62" w14:textId="77777777" w:rsidR="0084234B" w:rsidRPr="009D30E6" w:rsidRDefault="0084234B" w:rsidP="007461F1">
      <w:pPr>
        <w:spacing w:after="60"/>
        <w:rPr>
          <w:sz w:val="17"/>
          <w:szCs w:val="17"/>
        </w:rPr>
      </w:pPr>
      <w:r w:rsidRPr="009D30E6">
        <w:rPr>
          <w:sz w:val="17"/>
          <w:szCs w:val="17"/>
        </w:rPr>
        <w:t>[Suite de la note de la page précédente]</w:t>
      </w:r>
    </w:p>
  </w:footnote>
  <w:footnote w:type="continuationNotice" w:id="1">
    <w:p w14:paraId="5BFCFA97" w14:textId="77777777" w:rsidR="0084234B" w:rsidRPr="009D30E6" w:rsidRDefault="0084234B" w:rsidP="007461F1">
      <w:pPr>
        <w:spacing w:before="60"/>
        <w:jc w:val="right"/>
        <w:rPr>
          <w:sz w:val="17"/>
          <w:szCs w:val="17"/>
        </w:rPr>
      </w:pPr>
      <w:r w:rsidRPr="009D30E6">
        <w:rPr>
          <w:sz w:val="17"/>
          <w:szCs w:val="17"/>
        </w:rPr>
        <w:t>[Suite de la note page suivante]</w:t>
      </w:r>
    </w:p>
  </w:footnote>
  <w:footnote w:id="2">
    <w:p w14:paraId="33C227F7" w14:textId="1176211D" w:rsidR="0084234B" w:rsidRPr="009C6C55" w:rsidRDefault="0084234B" w:rsidP="009C6C55">
      <w:pPr>
        <w:pStyle w:val="FootnoteText"/>
        <w:tabs>
          <w:tab w:val="left" w:pos="567"/>
        </w:tabs>
        <w:rPr>
          <w:szCs w:val="18"/>
        </w:rPr>
      </w:pPr>
      <w:r w:rsidRPr="009C6C55">
        <w:rPr>
          <w:rStyle w:val="FootnoteReference"/>
          <w:szCs w:val="18"/>
        </w:rPr>
        <w:footnoteRef/>
      </w:r>
      <w:r w:rsidRPr="009C6C55">
        <w:rPr>
          <w:szCs w:val="18"/>
        </w:rPr>
        <w:t xml:space="preserve"> </w:t>
      </w:r>
      <w:r w:rsidR="009C6C55">
        <w:rPr>
          <w:szCs w:val="18"/>
        </w:rPr>
        <w:tab/>
      </w:r>
      <w:r w:rsidRPr="009C6C55">
        <w:rPr>
          <w:szCs w:val="18"/>
        </w:rPr>
        <w:t>Dans le cadre du présent texte, l</w:t>
      </w:r>
      <w:r w:rsidR="00E50A8A" w:rsidRPr="009C6C55">
        <w:rPr>
          <w:szCs w:val="18"/>
        </w:rPr>
        <w:t>’</w:t>
      </w:r>
      <w:r w:rsidRPr="009C6C55">
        <w:rPr>
          <w:szCs w:val="18"/>
        </w:rPr>
        <w:t>expression “droit d</w:t>
      </w:r>
      <w:r w:rsidR="00E50A8A" w:rsidRPr="009C6C55">
        <w:rPr>
          <w:szCs w:val="18"/>
        </w:rPr>
        <w:t>’</w:t>
      </w:r>
      <w:r w:rsidRPr="009C6C55">
        <w:rPr>
          <w:szCs w:val="18"/>
        </w:rPr>
        <w:t>auteur” englobe également les droits connexes.</w:t>
      </w:r>
    </w:p>
  </w:footnote>
  <w:footnote w:id="3">
    <w:p w14:paraId="3A83EF8B" w14:textId="7BE0FFB7" w:rsidR="0084234B" w:rsidRPr="009C6C55" w:rsidRDefault="0084234B" w:rsidP="009C6C55">
      <w:pPr>
        <w:pStyle w:val="FootnoteText"/>
        <w:tabs>
          <w:tab w:val="left" w:pos="567"/>
        </w:tabs>
        <w:rPr>
          <w:szCs w:val="18"/>
        </w:rPr>
      </w:pPr>
      <w:r w:rsidRPr="009C6C55">
        <w:rPr>
          <w:rStyle w:val="FootnoteReference"/>
          <w:szCs w:val="18"/>
        </w:rPr>
        <w:footnoteRef/>
      </w:r>
      <w:r w:rsidRPr="009C6C55">
        <w:rPr>
          <w:szCs w:val="18"/>
        </w:rPr>
        <w:t xml:space="preserve"> </w:t>
      </w:r>
      <w:r w:rsidR="009C6C55">
        <w:rPr>
          <w:szCs w:val="18"/>
        </w:rPr>
        <w:tab/>
      </w:r>
      <w:r w:rsidRPr="009C6C55">
        <w:rPr>
          <w:szCs w:val="18"/>
        </w:rPr>
        <w:t>Aux fins du présent texte, l</w:t>
      </w:r>
      <w:r w:rsidR="00E50A8A" w:rsidRPr="009C6C55">
        <w:rPr>
          <w:szCs w:val="18"/>
        </w:rPr>
        <w:t>’</w:t>
      </w:r>
      <w:r w:rsidRPr="009C6C55">
        <w:rPr>
          <w:szCs w:val="18"/>
        </w:rPr>
        <w:t>expression “œuvres” englobe également les objets de droits connexes.</w:t>
      </w:r>
    </w:p>
  </w:footnote>
  <w:footnote w:id="4">
    <w:p w14:paraId="728985E7" w14:textId="01BF19CD" w:rsidR="0084234B" w:rsidRPr="009C6C55" w:rsidRDefault="0084234B" w:rsidP="009C6C55">
      <w:pPr>
        <w:pStyle w:val="FootnoteText"/>
        <w:tabs>
          <w:tab w:val="left" w:pos="567"/>
        </w:tabs>
        <w:rPr>
          <w:szCs w:val="18"/>
        </w:rPr>
      </w:pPr>
      <w:r w:rsidRPr="009C6C55">
        <w:rPr>
          <w:rStyle w:val="FootnoteReference"/>
          <w:szCs w:val="18"/>
        </w:rPr>
        <w:footnoteRef/>
      </w:r>
      <w:r w:rsidRPr="009C6C55">
        <w:rPr>
          <w:szCs w:val="18"/>
        </w:rPr>
        <w:t xml:space="preserve"> </w:t>
      </w:r>
      <w:r w:rsidR="009C6C55">
        <w:rPr>
          <w:szCs w:val="18"/>
        </w:rPr>
        <w:tab/>
      </w:r>
      <w:r w:rsidRPr="009C6C55">
        <w:rPr>
          <w:szCs w:val="18"/>
        </w:rPr>
        <w:t xml:space="preserve">Conformément à la définition de la Convention des </w:t>
      </w:r>
      <w:r w:rsidR="00E50A8A" w:rsidRPr="009C6C55">
        <w:rPr>
          <w:szCs w:val="18"/>
        </w:rPr>
        <w:t>Nations Unies</w:t>
      </w:r>
      <w:r w:rsidRPr="009C6C55">
        <w:rPr>
          <w:szCs w:val="18"/>
        </w:rPr>
        <w:t xml:space="preserve"> sur les droits des personnes ayant des handicaps.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8B1E" w14:textId="3E12C3A8" w:rsidR="00F16975" w:rsidRDefault="0084234B" w:rsidP="00477D6B">
    <w:pPr>
      <w:jc w:val="right"/>
    </w:pPr>
    <w:bookmarkStart w:id="6" w:name="Code2"/>
    <w:bookmarkEnd w:id="6"/>
    <w:r>
      <w:t>SCCR/47/8</w:t>
    </w:r>
  </w:p>
  <w:p w14:paraId="6396C4D1" w14:textId="77777777" w:rsidR="004F4E31" w:rsidRDefault="00F16975" w:rsidP="005A73EA">
    <w:pPr>
      <w:spacing w:after="480"/>
      <w:jc w:val="right"/>
    </w:pPr>
    <w:r>
      <w:t>page</w:t>
    </w:r>
    <w:r w:rsidR="005A73EA">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505319"/>
    <w:multiLevelType w:val="hybridMultilevel"/>
    <w:tmpl w:val="F21CBF6A"/>
    <w:lvl w:ilvl="0" w:tplc="03F66B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C227ED"/>
    <w:multiLevelType w:val="hybridMultilevel"/>
    <w:tmpl w:val="F21CBF6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9C1F10"/>
    <w:multiLevelType w:val="hybridMultilevel"/>
    <w:tmpl w:val="18525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C6409"/>
    <w:multiLevelType w:val="hybridMultilevel"/>
    <w:tmpl w:val="1B562C9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1226A5"/>
    <w:multiLevelType w:val="hybridMultilevel"/>
    <w:tmpl w:val="ED66F6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385185916">
    <w:abstractNumId w:val="3"/>
  </w:num>
  <w:num w:numId="2" w16cid:durableId="1922137027">
    <w:abstractNumId w:val="6"/>
  </w:num>
  <w:num w:numId="3" w16cid:durableId="1708218136">
    <w:abstractNumId w:val="0"/>
  </w:num>
  <w:num w:numId="4" w16cid:durableId="329069435">
    <w:abstractNumId w:val="7"/>
  </w:num>
  <w:num w:numId="5" w16cid:durableId="49499015">
    <w:abstractNumId w:val="2"/>
  </w:num>
  <w:num w:numId="6" w16cid:durableId="2136636949">
    <w:abstractNumId w:val="5"/>
  </w:num>
  <w:num w:numId="7" w16cid:durableId="1144931682">
    <w:abstractNumId w:val="1"/>
  </w:num>
  <w:num w:numId="8" w16cid:durableId="1825971191">
    <w:abstractNumId w:val="9"/>
  </w:num>
  <w:num w:numId="9" w16cid:durableId="1809783615">
    <w:abstractNumId w:val="4"/>
  </w:num>
  <w:num w:numId="10" w16cid:durableId="299457864">
    <w:abstractNumId w:val="8"/>
  </w:num>
  <w:num w:numId="11" w16cid:durableId="1310088152">
    <w:abstractNumId w:val="10"/>
  </w:num>
  <w:num w:numId="12" w16cid:durableId="308830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03661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1451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4B"/>
    <w:rsid w:val="00011B7D"/>
    <w:rsid w:val="00075432"/>
    <w:rsid w:val="000F5E56"/>
    <w:rsid w:val="001362EE"/>
    <w:rsid w:val="001832A6"/>
    <w:rsid w:val="00195C6E"/>
    <w:rsid w:val="001B266A"/>
    <w:rsid w:val="001D3D56"/>
    <w:rsid w:val="001F091D"/>
    <w:rsid w:val="00240654"/>
    <w:rsid w:val="002634C4"/>
    <w:rsid w:val="002B6172"/>
    <w:rsid w:val="002D4918"/>
    <w:rsid w:val="002E1BD4"/>
    <w:rsid w:val="002E4D1A"/>
    <w:rsid w:val="002F16BC"/>
    <w:rsid w:val="002F4E68"/>
    <w:rsid w:val="00315FCA"/>
    <w:rsid w:val="003845C1"/>
    <w:rsid w:val="003A1BCD"/>
    <w:rsid w:val="004008A2"/>
    <w:rsid w:val="004025DF"/>
    <w:rsid w:val="00423E3E"/>
    <w:rsid w:val="00427AF4"/>
    <w:rsid w:val="00445CD6"/>
    <w:rsid w:val="00456117"/>
    <w:rsid w:val="004647DA"/>
    <w:rsid w:val="00477D6B"/>
    <w:rsid w:val="004D6471"/>
    <w:rsid w:val="004F4E31"/>
    <w:rsid w:val="00525B63"/>
    <w:rsid w:val="00532B39"/>
    <w:rsid w:val="00547476"/>
    <w:rsid w:val="00561DB8"/>
    <w:rsid w:val="00567A4C"/>
    <w:rsid w:val="005A73EA"/>
    <w:rsid w:val="005E6516"/>
    <w:rsid w:val="00605827"/>
    <w:rsid w:val="006363C1"/>
    <w:rsid w:val="00676936"/>
    <w:rsid w:val="0068487B"/>
    <w:rsid w:val="006B0DB5"/>
    <w:rsid w:val="006D6844"/>
    <w:rsid w:val="006E4243"/>
    <w:rsid w:val="007461F1"/>
    <w:rsid w:val="0076654B"/>
    <w:rsid w:val="007D6961"/>
    <w:rsid w:val="007F07CB"/>
    <w:rsid w:val="00802EF1"/>
    <w:rsid w:val="00810CEF"/>
    <w:rsid w:val="0081208D"/>
    <w:rsid w:val="0084234B"/>
    <w:rsid w:val="00842A13"/>
    <w:rsid w:val="008B2CC1"/>
    <w:rsid w:val="008E5402"/>
    <w:rsid w:val="008E7930"/>
    <w:rsid w:val="0090731E"/>
    <w:rsid w:val="00931A67"/>
    <w:rsid w:val="009463E5"/>
    <w:rsid w:val="00964A53"/>
    <w:rsid w:val="00966A22"/>
    <w:rsid w:val="00974CD6"/>
    <w:rsid w:val="00975481"/>
    <w:rsid w:val="009C6C55"/>
    <w:rsid w:val="009D30E6"/>
    <w:rsid w:val="009E2210"/>
    <w:rsid w:val="009E3F6F"/>
    <w:rsid w:val="009F28F0"/>
    <w:rsid w:val="009F499F"/>
    <w:rsid w:val="00A02BD3"/>
    <w:rsid w:val="00AC0AE4"/>
    <w:rsid w:val="00AC2EBA"/>
    <w:rsid w:val="00AD61DB"/>
    <w:rsid w:val="00B87BCF"/>
    <w:rsid w:val="00BA62D4"/>
    <w:rsid w:val="00BC5F87"/>
    <w:rsid w:val="00C40E15"/>
    <w:rsid w:val="00C42181"/>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50A8A"/>
    <w:rsid w:val="00E527A5"/>
    <w:rsid w:val="00E76456"/>
    <w:rsid w:val="00E97651"/>
    <w:rsid w:val="00EE71CB"/>
    <w:rsid w:val="00F16975"/>
    <w:rsid w:val="00F532AC"/>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9366D"/>
  <w15:docId w15:val="{5121B1CF-3C53-46E8-A1E6-54767838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noteTextChar">
    <w:name w:val="Footnote Text Char"/>
    <w:basedOn w:val="DefaultParagraphFont"/>
    <w:link w:val="FootnoteText"/>
    <w:uiPriority w:val="99"/>
    <w:rsid w:val="0084234B"/>
    <w:rPr>
      <w:rFonts w:ascii="Arial" w:eastAsia="SimSun" w:hAnsi="Arial" w:cs="Arial"/>
      <w:sz w:val="18"/>
      <w:lang w:eastAsia="zh-CN"/>
    </w:rPr>
  </w:style>
  <w:style w:type="paragraph" w:styleId="ListParagraph">
    <w:name w:val="List Paragraph"/>
    <w:basedOn w:val="Normal"/>
    <w:uiPriority w:val="34"/>
    <w:qFormat/>
    <w:rsid w:val="0084234B"/>
    <w:pPr>
      <w:spacing w:before="180" w:after="240"/>
      <w:ind w:left="720"/>
      <w:contextualSpacing/>
    </w:pPr>
    <w:rPr>
      <w:rFonts w:eastAsiaTheme="minorHAnsi" w:cs="Noto Sans Display"/>
      <w:kern w:val="2"/>
      <w:szCs w:val="22"/>
      <w:lang w:val="fr-FR" w:eastAsia="en-US"/>
      <w14:ligatures w14:val="standardContextual"/>
    </w:rPr>
  </w:style>
  <w:style w:type="character" w:styleId="FootnoteReference">
    <w:name w:val="footnote reference"/>
    <w:basedOn w:val="DefaultParagraphFont"/>
    <w:uiPriority w:val="99"/>
    <w:semiHidden/>
    <w:unhideWhenUsed/>
    <w:rsid w:val="0084234B"/>
    <w:rPr>
      <w:vertAlign w:val="superscript"/>
    </w:rPr>
  </w:style>
  <w:style w:type="character" w:styleId="Hyperlink">
    <w:name w:val="Hyperlink"/>
    <w:basedOn w:val="DefaultParagraphFont"/>
    <w:semiHidden/>
    <w:unhideWhenUsed/>
    <w:rsid w:val="009E22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SCCR_47 (F)</Template>
  <TotalTime>0</TotalTime>
  <Pages>8</Pages>
  <Words>1696</Words>
  <Characters>9775</Characters>
  <Application>Microsoft Office Word</Application>
  <DocSecurity>0</DocSecurity>
  <Lines>250</Lines>
  <Paragraphs>188</Paragraphs>
  <ScaleCrop>false</ScaleCrop>
  <HeadingPairs>
    <vt:vector size="2" baseType="variant">
      <vt:variant>
        <vt:lpstr>Title</vt:lpstr>
      </vt:variant>
      <vt:variant>
        <vt:i4>1</vt:i4>
      </vt:variant>
    </vt:vector>
  </HeadingPairs>
  <TitlesOfParts>
    <vt:vector size="1" baseType="lpstr">
      <vt:lpstr>SCCR/47/8</vt:lpstr>
    </vt:vector>
  </TitlesOfParts>
  <Company>WIPO</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SCCR/47/8</dc:title>
  <dc:creator>OLIVIÉ Karen</dc:creator>
  <cp:keywords>FOR OFFICIAL USE ONLY</cp:keywords>
  <dc:description>French</dc:description>
  <cp:lastModifiedBy>HAIZEL Francesca</cp:lastModifiedBy>
  <cp:revision>2</cp:revision>
  <cp:lastPrinted>2011-05-19T12:37:00Z</cp:lastPrinted>
  <dcterms:created xsi:type="dcterms:W3CDTF">2025-11-12T14:12:00Z</dcterms:created>
  <dcterms:modified xsi:type="dcterms:W3CDTF">2025-11-12T14:12:00Z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