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BAD4" w14:textId="77777777" w:rsidR="008B2CC1" w:rsidRPr="00100E35" w:rsidRDefault="00DB0349" w:rsidP="00DB0349">
      <w:pPr>
        <w:spacing w:after="120"/>
        <w:jc w:val="right"/>
        <w:rPr>
          <w:lang w:val="fr-FR"/>
        </w:rPr>
      </w:pPr>
      <w:r w:rsidRPr="00100E35">
        <w:rPr>
          <w:noProof/>
          <w:lang w:val="fr-FR" w:eastAsia="en-US"/>
        </w:rPr>
        <w:drawing>
          <wp:inline distT="0" distB="0" distL="0" distR="0" wp14:anchorId="2A0A32AA" wp14:editId="64467F9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100E35">
        <w:rPr>
          <w:rFonts w:ascii="Arial Black" w:hAnsi="Arial Black"/>
          <w:caps/>
          <w:noProof/>
          <w:sz w:val="15"/>
          <w:szCs w:val="15"/>
          <w:lang w:val="fr-FR" w:eastAsia="en-US"/>
        </w:rPr>
        <mc:AlternateContent>
          <mc:Choice Requires="wps">
            <w:drawing>
              <wp:inline distT="0" distB="0" distL="0" distR="0" wp14:anchorId="7F9AC4C2" wp14:editId="6F7B4A0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6677A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F1495B" w14:textId="1337BBCF" w:rsidR="008B2CC1" w:rsidRPr="00100E35" w:rsidRDefault="00456117" w:rsidP="00DB0349">
      <w:pPr>
        <w:jc w:val="right"/>
        <w:rPr>
          <w:rFonts w:ascii="Arial Black" w:hAnsi="Arial Black"/>
          <w:caps/>
          <w:sz w:val="15"/>
          <w:szCs w:val="15"/>
          <w:lang w:val="fr-FR"/>
        </w:rPr>
      </w:pPr>
      <w:r w:rsidRPr="00100E35">
        <w:rPr>
          <w:rFonts w:ascii="Arial Black" w:hAnsi="Arial Black"/>
          <w:caps/>
          <w:sz w:val="15"/>
          <w:szCs w:val="15"/>
          <w:lang w:val="fr-FR"/>
        </w:rPr>
        <w:t>SCCR/4</w:t>
      </w:r>
      <w:r w:rsidR="00AC2EBA" w:rsidRPr="00100E35">
        <w:rPr>
          <w:rFonts w:ascii="Arial Black" w:hAnsi="Arial Black"/>
          <w:caps/>
          <w:sz w:val="15"/>
          <w:szCs w:val="15"/>
          <w:lang w:val="fr-FR"/>
        </w:rPr>
        <w:t>7</w:t>
      </w:r>
      <w:r w:rsidR="00D55C00" w:rsidRPr="00100E35">
        <w:rPr>
          <w:rFonts w:ascii="Arial Black" w:hAnsi="Arial Black"/>
          <w:caps/>
          <w:sz w:val="15"/>
          <w:szCs w:val="15"/>
          <w:lang w:val="fr-FR"/>
        </w:rPr>
        <w:t>/</w:t>
      </w:r>
      <w:bookmarkStart w:id="0" w:name="Code"/>
      <w:bookmarkEnd w:id="0"/>
      <w:r w:rsidR="00AC4817" w:rsidRPr="00100E35">
        <w:rPr>
          <w:rFonts w:ascii="Arial Black" w:hAnsi="Arial Black"/>
          <w:caps/>
          <w:sz w:val="15"/>
          <w:szCs w:val="15"/>
          <w:lang w:val="fr-FR"/>
        </w:rPr>
        <w:t>6</w:t>
      </w:r>
    </w:p>
    <w:p w14:paraId="55980917" w14:textId="44E8DC80" w:rsidR="008B2CC1" w:rsidRPr="00100E35" w:rsidRDefault="00DB0349" w:rsidP="00DB0349">
      <w:pPr>
        <w:jc w:val="right"/>
        <w:rPr>
          <w:rFonts w:ascii="Arial Black" w:hAnsi="Arial Black"/>
          <w:caps/>
          <w:sz w:val="15"/>
          <w:szCs w:val="15"/>
          <w:lang w:val="fr-FR"/>
        </w:rPr>
      </w:pPr>
      <w:r w:rsidRPr="00100E35">
        <w:rPr>
          <w:rFonts w:ascii="Arial Black" w:hAnsi="Arial Black"/>
          <w:caps/>
          <w:sz w:val="15"/>
          <w:szCs w:val="15"/>
          <w:lang w:val="fr-FR"/>
        </w:rPr>
        <w:t>Original</w:t>
      </w:r>
      <w:r w:rsidR="00100E35">
        <w:rPr>
          <w:rFonts w:ascii="Arial Black" w:hAnsi="Arial Black"/>
          <w:caps/>
          <w:sz w:val="15"/>
          <w:szCs w:val="15"/>
          <w:lang w:val="fr-FR"/>
        </w:rPr>
        <w:t> :</w:t>
      </w:r>
      <w:r w:rsidRPr="00100E35">
        <w:rPr>
          <w:rFonts w:ascii="Arial Black" w:hAnsi="Arial Black"/>
          <w:caps/>
          <w:sz w:val="15"/>
          <w:szCs w:val="15"/>
          <w:lang w:val="fr-FR"/>
        </w:rPr>
        <w:t xml:space="preserve"> </w:t>
      </w:r>
      <w:bookmarkStart w:id="1" w:name="Original"/>
      <w:r w:rsidR="00AC4817" w:rsidRPr="00100E35">
        <w:rPr>
          <w:rFonts w:ascii="Arial Black" w:hAnsi="Arial Black"/>
          <w:caps/>
          <w:sz w:val="15"/>
          <w:szCs w:val="15"/>
          <w:lang w:val="fr-FR"/>
        </w:rPr>
        <w:t>anglais</w:t>
      </w:r>
    </w:p>
    <w:bookmarkEnd w:id="1"/>
    <w:p w14:paraId="44A199D0" w14:textId="5F1C6B90" w:rsidR="008B2CC1" w:rsidRPr="00100E35" w:rsidRDefault="00DB0349" w:rsidP="00DB0349">
      <w:pPr>
        <w:spacing w:after="1200"/>
        <w:jc w:val="right"/>
        <w:rPr>
          <w:rFonts w:ascii="Arial Black" w:hAnsi="Arial Black"/>
          <w:caps/>
          <w:sz w:val="15"/>
          <w:szCs w:val="15"/>
          <w:lang w:val="fr-FR"/>
        </w:rPr>
      </w:pPr>
      <w:r w:rsidRPr="00100E35">
        <w:rPr>
          <w:rFonts w:ascii="Arial Black" w:hAnsi="Arial Black"/>
          <w:caps/>
          <w:sz w:val="15"/>
          <w:szCs w:val="15"/>
          <w:lang w:val="fr-FR"/>
        </w:rPr>
        <w:t>date</w:t>
      </w:r>
      <w:r w:rsidR="00100E35">
        <w:rPr>
          <w:rFonts w:ascii="Arial Black" w:hAnsi="Arial Black"/>
          <w:caps/>
          <w:sz w:val="15"/>
          <w:szCs w:val="15"/>
          <w:lang w:val="fr-FR"/>
        </w:rPr>
        <w:t> :</w:t>
      </w:r>
      <w:r w:rsidRPr="00100E35">
        <w:rPr>
          <w:rFonts w:ascii="Arial Black" w:hAnsi="Arial Black"/>
          <w:caps/>
          <w:sz w:val="15"/>
          <w:szCs w:val="15"/>
          <w:lang w:val="fr-FR"/>
        </w:rPr>
        <w:t xml:space="preserve"> </w:t>
      </w:r>
      <w:bookmarkStart w:id="2" w:name="Date"/>
      <w:r w:rsidR="00AC4817" w:rsidRPr="00100E35">
        <w:rPr>
          <w:rFonts w:ascii="Arial Black" w:hAnsi="Arial Black"/>
          <w:caps/>
          <w:sz w:val="15"/>
          <w:szCs w:val="15"/>
          <w:lang w:val="fr-FR"/>
        </w:rPr>
        <w:t>20 octobre 2025</w:t>
      </w:r>
    </w:p>
    <w:bookmarkEnd w:id="2"/>
    <w:p w14:paraId="06968DF8" w14:textId="6605D348" w:rsidR="00C40E15" w:rsidRPr="00100E35" w:rsidRDefault="00D55C00" w:rsidP="00E97651">
      <w:pPr>
        <w:spacing w:after="480"/>
        <w:rPr>
          <w:b/>
          <w:sz w:val="28"/>
          <w:szCs w:val="28"/>
          <w:lang w:val="fr-FR"/>
        </w:rPr>
      </w:pPr>
      <w:r w:rsidRPr="00100E35">
        <w:rPr>
          <w:b/>
          <w:sz w:val="28"/>
          <w:szCs w:val="28"/>
          <w:lang w:val="fr-FR"/>
        </w:rPr>
        <w:t>Comité permanent du droit d</w:t>
      </w:r>
      <w:r w:rsidR="00100E35">
        <w:rPr>
          <w:b/>
          <w:sz w:val="28"/>
          <w:szCs w:val="28"/>
          <w:lang w:val="fr-FR"/>
        </w:rPr>
        <w:t>’</w:t>
      </w:r>
      <w:r w:rsidRPr="00100E35">
        <w:rPr>
          <w:b/>
          <w:sz w:val="28"/>
          <w:szCs w:val="28"/>
          <w:lang w:val="fr-FR"/>
        </w:rPr>
        <w:t>auteur et des droits connexes</w:t>
      </w:r>
    </w:p>
    <w:p w14:paraId="58D1088F" w14:textId="59AEF425" w:rsidR="008B2CC1" w:rsidRPr="00100E35" w:rsidRDefault="00D55C00" w:rsidP="008B2CC1">
      <w:pPr>
        <w:rPr>
          <w:b/>
          <w:sz w:val="24"/>
          <w:szCs w:val="24"/>
          <w:lang w:val="fr-FR"/>
        </w:rPr>
      </w:pPr>
      <w:r w:rsidRPr="00100E35">
        <w:rPr>
          <w:b/>
          <w:sz w:val="24"/>
          <w:szCs w:val="24"/>
          <w:lang w:val="fr-FR"/>
        </w:rPr>
        <w:t>Quarante</w:t>
      </w:r>
      <w:r w:rsidR="00100E35">
        <w:rPr>
          <w:b/>
          <w:sz w:val="24"/>
          <w:szCs w:val="24"/>
          <w:lang w:val="fr-FR"/>
        </w:rPr>
        <w:t>-</w:t>
      </w:r>
      <w:r w:rsidR="001F091D" w:rsidRPr="00100E35">
        <w:rPr>
          <w:b/>
          <w:sz w:val="24"/>
          <w:szCs w:val="24"/>
          <w:lang w:val="fr-FR"/>
        </w:rPr>
        <w:t>s</w:t>
      </w:r>
      <w:r w:rsidR="00AC2EBA" w:rsidRPr="00100E35">
        <w:rPr>
          <w:b/>
          <w:sz w:val="24"/>
          <w:szCs w:val="24"/>
          <w:lang w:val="fr-FR"/>
        </w:rPr>
        <w:t>ept</w:t>
      </w:r>
      <w:r w:rsidR="00100E35">
        <w:rPr>
          <w:b/>
          <w:sz w:val="24"/>
          <w:szCs w:val="24"/>
          <w:lang w:val="fr-FR"/>
        </w:rPr>
        <w:t>ième session</w:t>
      </w:r>
    </w:p>
    <w:p w14:paraId="664228E5" w14:textId="2E4B8F9C" w:rsidR="008B2CC1" w:rsidRPr="00100E35" w:rsidRDefault="00D55C00" w:rsidP="00DB0349">
      <w:pPr>
        <w:spacing w:after="720"/>
        <w:rPr>
          <w:b/>
          <w:sz w:val="24"/>
          <w:szCs w:val="24"/>
          <w:lang w:val="fr-FR"/>
        </w:rPr>
      </w:pPr>
      <w:r w:rsidRPr="00100E35">
        <w:rPr>
          <w:b/>
          <w:sz w:val="24"/>
          <w:szCs w:val="24"/>
          <w:lang w:val="fr-FR"/>
        </w:rPr>
        <w:t>Genève,</w:t>
      </w:r>
      <w:r w:rsidR="00100E35">
        <w:rPr>
          <w:b/>
          <w:sz w:val="24"/>
          <w:szCs w:val="24"/>
          <w:lang w:val="fr-FR"/>
        </w:rPr>
        <w:t xml:space="preserve"> 1</w:t>
      </w:r>
      <w:r w:rsidR="00100E35" w:rsidRPr="00100E35">
        <w:rPr>
          <w:b/>
          <w:sz w:val="24"/>
          <w:szCs w:val="24"/>
          <w:vertAlign w:val="superscript"/>
          <w:lang w:val="fr-FR"/>
        </w:rPr>
        <w:t>er</w:t>
      </w:r>
      <w:r w:rsidR="00100E35">
        <w:rPr>
          <w:b/>
          <w:sz w:val="24"/>
          <w:szCs w:val="24"/>
          <w:lang w:val="fr-FR"/>
        </w:rPr>
        <w:t> </w:t>
      </w:r>
      <w:r w:rsidR="00456117" w:rsidRPr="00100E35">
        <w:rPr>
          <w:b/>
          <w:sz w:val="24"/>
          <w:szCs w:val="24"/>
          <w:lang w:val="fr-FR"/>
        </w:rPr>
        <w:t xml:space="preserve">– </w:t>
      </w:r>
      <w:r w:rsidR="00AC2EBA" w:rsidRPr="00100E35">
        <w:rPr>
          <w:b/>
          <w:sz w:val="24"/>
          <w:szCs w:val="24"/>
          <w:lang w:val="fr-FR"/>
        </w:rPr>
        <w:t>5</w:t>
      </w:r>
      <w:r w:rsidR="00DC4A0D" w:rsidRPr="00100E35">
        <w:rPr>
          <w:b/>
          <w:sz w:val="24"/>
          <w:szCs w:val="24"/>
          <w:lang w:val="fr-FR"/>
        </w:rPr>
        <w:t> </w:t>
      </w:r>
      <w:r w:rsidR="00AC2EBA" w:rsidRPr="00100E35">
        <w:rPr>
          <w:b/>
          <w:sz w:val="24"/>
          <w:szCs w:val="24"/>
          <w:lang w:val="fr-FR"/>
        </w:rPr>
        <w:t>décembre </w:t>
      </w:r>
      <w:r w:rsidR="00456117" w:rsidRPr="00100E35">
        <w:rPr>
          <w:b/>
          <w:sz w:val="24"/>
          <w:szCs w:val="24"/>
          <w:lang w:val="fr-FR"/>
        </w:rPr>
        <w:t>202</w:t>
      </w:r>
      <w:r w:rsidR="001F091D" w:rsidRPr="00100E35">
        <w:rPr>
          <w:b/>
          <w:sz w:val="24"/>
          <w:szCs w:val="24"/>
          <w:lang w:val="fr-FR"/>
        </w:rPr>
        <w:t>5</w:t>
      </w:r>
    </w:p>
    <w:p w14:paraId="3D7271C6" w14:textId="3B5A8CB6" w:rsidR="00AC4817" w:rsidRPr="00100E35" w:rsidRDefault="00AC4817" w:rsidP="00AC4817">
      <w:pPr>
        <w:spacing w:after="360"/>
        <w:rPr>
          <w:caps/>
          <w:sz w:val="24"/>
          <w:lang w:val="fr-FR"/>
        </w:rPr>
      </w:pPr>
      <w:bookmarkStart w:id="3" w:name="TitleOfDoc"/>
      <w:r w:rsidRPr="00100E35">
        <w:rPr>
          <w:caps/>
          <w:sz w:val="24"/>
          <w:lang w:val="fr-FR"/>
        </w:rPr>
        <w:t>Proposition de l</w:t>
      </w:r>
      <w:r w:rsidR="00100E35">
        <w:rPr>
          <w:caps/>
          <w:sz w:val="24"/>
          <w:lang w:val="fr-FR"/>
        </w:rPr>
        <w:t>’</w:t>
      </w:r>
      <w:r w:rsidRPr="00100E35">
        <w:rPr>
          <w:caps/>
          <w:sz w:val="24"/>
          <w:lang w:val="fr-FR"/>
        </w:rPr>
        <w:t>Indonésie pour un instrument juridiquement contraignant sur la gouvernance des redevances de droit d</w:t>
      </w:r>
      <w:r w:rsidR="00100E35">
        <w:rPr>
          <w:caps/>
          <w:sz w:val="24"/>
          <w:lang w:val="fr-FR"/>
        </w:rPr>
        <w:t>’</w:t>
      </w:r>
      <w:r w:rsidRPr="00100E35">
        <w:rPr>
          <w:caps/>
          <w:sz w:val="24"/>
          <w:lang w:val="fr-FR"/>
        </w:rPr>
        <w:t>auteur dans l</w:t>
      </w:r>
      <w:r w:rsidR="00100E35">
        <w:rPr>
          <w:caps/>
          <w:sz w:val="24"/>
          <w:lang w:val="fr-FR"/>
        </w:rPr>
        <w:t>’</w:t>
      </w:r>
      <w:r w:rsidRPr="00100E35">
        <w:rPr>
          <w:caps/>
          <w:sz w:val="24"/>
          <w:lang w:val="fr-FR"/>
        </w:rPr>
        <w:t>environnement numérique</w:t>
      </w:r>
      <w:r w:rsidR="00100E35">
        <w:rPr>
          <w:caps/>
          <w:sz w:val="24"/>
          <w:lang w:val="fr-FR"/>
        </w:rPr>
        <w:t> :</w:t>
      </w:r>
      <w:r w:rsidRPr="00100E35">
        <w:rPr>
          <w:caps/>
          <w:sz w:val="24"/>
          <w:lang w:val="fr-FR"/>
        </w:rPr>
        <w:t xml:space="preserve"> favoriser l</w:t>
      </w:r>
      <w:r w:rsidR="00100E35">
        <w:rPr>
          <w:caps/>
          <w:sz w:val="24"/>
          <w:lang w:val="fr-FR"/>
        </w:rPr>
        <w:t>’</w:t>
      </w:r>
      <w:r w:rsidRPr="00100E35">
        <w:rPr>
          <w:caps/>
          <w:sz w:val="24"/>
          <w:lang w:val="fr-FR"/>
        </w:rPr>
        <w:t>égalité des chances dans un monde globalisé</w:t>
      </w:r>
    </w:p>
    <w:p w14:paraId="6A837F6E" w14:textId="536E47B6" w:rsidR="00AC4817" w:rsidRPr="00100E35" w:rsidRDefault="00AC4817" w:rsidP="00AC4817">
      <w:pPr>
        <w:spacing w:after="960"/>
        <w:rPr>
          <w:i/>
          <w:lang w:val="fr-FR"/>
        </w:rPr>
      </w:pPr>
      <w:bookmarkStart w:id="4" w:name="Prepared"/>
      <w:bookmarkEnd w:id="3"/>
      <w:r w:rsidRPr="00100E35">
        <w:rPr>
          <w:i/>
          <w:lang w:val="fr-FR"/>
        </w:rPr>
        <w:t>Document établi par le Ministère de la justice de la République d</w:t>
      </w:r>
      <w:r w:rsidR="00100E35">
        <w:rPr>
          <w:i/>
          <w:lang w:val="fr-FR"/>
        </w:rPr>
        <w:t>’</w:t>
      </w:r>
      <w:r w:rsidRPr="00100E35">
        <w:rPr>
          <w:i/>
          <w:lang w:val="fr-FR"/>
        </w:rPr>
        <w:t>Indonésie</w:t>
      </w:r>
    </w:p>
    <w:bookmarkEnd w:id="4"/>
    <w:p w14:paraId="51BC9499" w14:textId="77777777" w:rsidR="00AC4817" w:rsidRPr="00100E35" w:rsidRDefault="00AC4817" w:rsidP="00AC4817">
      <w:pPr>
        <w:spacing w:after="220"/>
        <w:rPr>
          <w:lang w:val="fr-FR"/>
        </w:rPr>
        <w:sectPr w:rsidR="00AC4817" w:rsidRPr="00100E35" w:rsidSect="00100E35">
          <w:headerReference w:type="default" r:id="rId9"/>
          <w:endnotePr>
            <w:numFmt w:val="decimal"/>
          </w:endnotePr>
          <w:type w:val="nextColumn"/>
          <w:pgSz w:w="11907" w:h="16840" w:code="9"/>
          <w:pgMar w:top="567" w:right="1134" w:bottom="1418" w:left="1418" w:header="510" w:footer="1021" w:gutter="0"/>
          <w:cols w:space="720"/>
          <w:titlePg/>
          <w:docGrid w:linePitch="299"/>
        </w:sectPr>
      </w:pPr>
    </w:p>
    <w:p w14:paraId="4A9D922A" w14:textId="77777777"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lastRenderedPageBreak/>
        <w:t>Document de travail</w:t>
      </w:r>
    </w:p>
    <w:p w14:paraId="19FD3445" w14:textId="59D75AF3"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Proposition de l</w:t>
      </w:r>
      <w:r w:rsidR="00100E35">
        <w:rPr>
          <w:lang w:val="fr-FR"/>
        </w:rPr>
        <w:t>’</w:t>
      </w:r>
      <w:r w:rsidRPr="00100E35">
        <w:rPr>
          <w:lang w:val="fr-FR"/>
        </w:rPr>
        <w:t>Indonésie pour un instrument juridiquement contraignant sur la gouvernance des redevances de droit d</w:t>
      </w:r>
      <w:r w:rsidR="00100E35">
        <w:rPr>
          <w:lang w:val="fr-FR"/>
        </w:rPr>
        <w:t>’</w:t>
      </w:r>
      <w:r w:rsidRPr="00100E35">
        <w:rPr>
          <w:lang w:val="fr-FR"/>
        </w:rPr>
        <w:t>auteur dans l</w:t>
      </w:r>
      <w:r w:rsidR="00100E35">
        <w:rPr>
          <w:lang w:val="fr-FR"/>
        </w:rPr>
        <w:t>’</w:t>
      </w:r>
      <w:r w:rsidRPr="00100E35">
        <w:rPr>
          <w:lang w:val="fr-FR"/>
        </w:rPr>
        <w:t>environnement numérique</w:t>
      </w:r>
    </w:p>
    <w:p w14:paraId="21CAFAD5" w14:textId="7AEF9F0C" w:rsidR="00AC4817" w:rsidRPr="00100E35" w:rsidRDefault="00AC4817" w:rsidP="00AC4817">
      <w:pPr>
        <w:spacing w:before="180" w:after="240"/>
        <w:rPr>
          <w:rFonts w:eastAsia="Aptos" w:cs="Noto Sans Display"/>
          <w:i/>
          <w:iCs/>
          <w:kern w:val="2"/>
          <w:szCs w:val="22"/>
          <w:lang w:val="fr-FR"/>
          <w14:ligatures w14:val="standardContextual"/>
        </w:rPr>
      </w:pPr>
      <w:r w:rsidRPr="00100E35">
        <w:rPr>
          <w:i/>
          <w:lang w:val="fr-FR"/>
        </w:rPr>
        <w:t>Favoriser l</w:t>
      </w:r>
      <w:r w:rsidR="00100E35">
        <w:rPr>
          <w:i/>
          <w:lang w:val="fr-FR"/>
        </w:rPr>
        <w:t>’</w:t>
      </w:r>
      <w:r w:rsidRPr="00100E35">
        <w:rPr>
          <w:i/>
          <w:lang w:val="fr-FR"/>
        </w:rPr>
        <w:t>égalité des chances dans un monde globalisé</w:t>
      </w:r>
    </w:p>
    <w:p w14:paraId="030586F6" w14:textId="31E11298"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Document établi par le Ministère de la justice de la République d</w:t>
      </w:r>
      <w:r w:rsidR="00100E35">
        <w:rPr>
          <w:lang w:val="fr-FR"/>
        </w:rPr>
        <w:t>’</w:t>
      </w:r>
      <w:r w:rsidRPr="00100E35">
        <w:rPr>
          <w:lang w:val="fr-FR"/>
        </w:rPr>
        <w:t>Indonésie</w:t>
      </w:r>
    </w:p>
    <w:p w14:paraId="06174D15" w14:textId="77777777"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br w:type="page"/>
      </w:r>
    </w:p>
    <w:p w14:paraId="46F4DD92" w14:textId="77777777" w:rsidR="00AC4817" w:rsidRPr="00100E35" w:rsidRDefault="00AC4817" w:rsidP="00AC4817">
      <w:pPr>
        <w:pStyle w:val="TOC1"/>
        <w:jc w:val="center"/>
      </w:pPr>
      <w:r w:rsidRPr="00100E35">
        <w:lastRenderedPageBreak/>
        <w:t>Table des matières</w:t>
      </w:r>
    </w:p>
    <w:p w14:paraId="0CED6C5F" w14:textId="32B49631" w:rsidR="00B53C85" w:rsidRDefault="00EA0A6B">
      <w:pPr>
        <w:pStyle w:val="TOC1"/>
        <w:rPr>
          <w:rFonts w:asciiTheme="minorHAnsi" w:eastAsiaTheme="minorEastAsia" w:hAnsiTheme="minorHAnsi" w:cstheme="minorBidi"/>
          <w:b w:val="0"/>
          <w:bCs w:val="0"/>
          <w:noProof/>
          <w:color w:val="auto"/>
          <w:sz w:val="24"/>
          <w:szCs w:val="24"/>
          <w:lang w:val="en-US"/>
        </w:rPr>
      </w:pPr>
      <w:r>
        <w:fldChar w:fldCharType="begin"/>
      </w:r>
      <w:r>
        <w:instrText xml:space="preserve"> TOC </w:instrText>
      </w:r>
      <w:r w:rsidR="00B53C85">
        <w:instrText>\b partie1</w:instrText>
      </w:r>
      <w:r>
        <w:instrText xml:space="preserve">\h \z \t "Heading 51;1" </w:instrText>
      </w:r>
      <w:r>
        <w:fldChar w:fldCharType="separate"/>
      </w:r>
      <w:hyperlink w:anchor="_Toc213431751" w:history="1">
        <w:r w:rsidR="00B53C85" w:rsidRPr="004A6EEB">
          <w:rPr>
            <w:rStyle w:val="Hyperlink"/>
            <w:noProof/>
          </w:rPr>
          <w:t>Résumé</w:t>
        </w:r>
        <w:r w:rsidR="00B53C85">
          <w:rPr>
            <w:noProof/>
            <w:webHidden/>
          </w:rPr>
          <w:tab/>
        </w:r>
        <w:r w:rsidR="00B53C85">
          <w:rPr>
            <w:noProof/>
            <w:webHidden/>
          </w:rPr>
          <w:fldChar w:fldCharType="begin"/>
        </w:r>
        <w:r w:rsidR="00B53C85">
          <w:rPr>
            <w:noProof/>
            <w:webHidden/>
          </w:rPr>
          <w:instrText xml:space="preserve"> PAGEREF _Toc213431751 \h </w:instrText>
        </w:r>
        <w:r w:rsidR="00B53C85">
          <w:rPr>
            <w:noProof/>
            <w:webHidden/>
          </w:rPr>
        </w:r>
        <w:r w:rsidR="00B53C85">
          <w:rPr>
            <w:noProof/>
            <w:webHidden/>
          </w:rPr>
          <w:fldChar w:fldCharType="separate"/>
        </w:r>
        <w:r w:rsidR="00B53C85">
          <w:rPr>
            <w:noProof/>
            <w:webHidden/>
          </w:rPr>
          <w:t>4</w:t>
        </w:r>
        <w:r w:rsidR="00B53C85">
          <w:rPr>
            <w:noProof/>
            <w:webHidden/>
          </w:rPr>
          <w:fldChar w:fldCharType="end"/>
        </w:r>
      </w:hyperlink>
    </w:p>
    <w:p w14:paraId="0B632BD7" w14:textId="7A0FFD5D" w:rsidR="00B53C85" w:rsidRDefault="00B53C85">
      <w:pPr>
        <w:pStyle w:val="TOC1"/>
        <w:rPr>
          <w:rFonts w:asciiTheme="minorHAnsi" w:eastAsiaTheme="minorEastAsia" w:hAnsiTheme="minorHAnsi" w:cstheme="minorBidi"/>
          <w:b w:val="0"/>
          <w:bCs w:val="0"/>
          <w:noProof/>
          <w:color w:val="auto"/>
          <w:sz w:val="24"/>
          <w:szCs w:val="24"/>
          <w:lang w:val="en-US"/>
        </w:rPr>
      </w:pPr>
      <w:hyperlink w:anchor="_Toc213431752" w:history="1">
        <w:r w:rsidRPr="004A6EEB">
          <w:rPr>
            <w:rStyle w:val="Hyperlink"/>
            <w:noProof/>
          </w:rPr>
          <w:t>Contexte général</w:t>
        </w:r>
        <w:r>
          <w:rPr>
            <w:noProof/>
            <w:webHidden/>
          </w:rPr>
          <w:tab/>
        </w:r>
        <w:r>
          <w:rPr>
            <w:noProof/>
            <w:webHidden/>
          </w:rPr>
          <w:fldChar w:fldCharType="begin"/>
        </w:r>
        <w:r>
          <w:rPr>
            <w:noProof/>
            <w:webHidden/>
          </w:rPr>
          <w:instrText xml:space="preserve"> PAGEREF _Toc213431752 \h </w:instrText>
        </w:r>
        <w:r>
          <w:rPr>
            <w:noProof/>
            <w:webHidden/>
          </w:rPr>
        </w:r>
        <w:r>
          <w:rPr>
            <w:noProof/>
            <w:webHidden/>
          </w:rPr>
          <w:fldChar w:fldCharType="separate"/>
        </w:r>
        <w:r>
          <w:rPr>
            <w:noProof/>
            <w:webHidden/>
          </w:rPr>
          <w:t>4</w:t>
        </w:r>
        <w:r>
          <w:rPr>
            <w:noProof/>
            <w:webHidden/>
          </w:rPr>
          <w:fldChar w:fldCharType="end"/>
        </w:r>
      </w:hyperlink>
    </w:p>
    <w:p w14:paraId="76959AD6" w14:textId="59C0DFC2" w:rsidR="00B53C85" w:rsidRDefault="00B53C85">
      <w:pPr>
        <w:pStyle w:val="TOC1"/>
        <w:rPr>
          <w:rFonts w:asciiTheme="minorHAnsi" w:eastAsiaTheme="minorEastAsia" w:hAnsiTheme="minorHAnsi" w:cstheme="minorBidi"/>
          <w:b w:val="0"/>
          <w:bCs w:val="0"/>
          <w:noProof/>
          <w:color w:val="auto"/>
          <w:sz w:val="24"/>
          <w:szCs w:val="24"/>
          <w:lang w:val="en-US"/>
        </w:rPr>
      </w:pPr>
      <w:hyperlink w:anchor="_Toc213431753" w:history="1">
        <w:r w:rsidRPr="004A6EEB">
          <w:rPr>
            <w:rStyle w:val="Hyperlink"/>
            <w:noProof/>
          </w:rPr>
          <w:t>Gouvernance des phonogrammes et des redevances audiovisuelles dans l’environnement numérique : le cas de l’Indonésie</w:t>
        </w:r>
        <w:r>
          <w:rPr>
            <w:noProof/>
            <w:webHidden/>
          </w:rPr>
          <w:tab/>
        </w:r>
        <w:r>
          <w:rPr>
            <w:noProof/>
            <w:webHidden/>
          </w:rPr>
          <w:fldChar w:fldCharType="begin"/>
        </w:r>
        <w:r>
          <w:rPr>
            <w:noProof/>
            <w:webHidden/>
          </w:rPr>
          <w:instrText xml:space="preserve"> PAGEREF _Toc213431753 \h </w:instrText>
        </w:r>
        <w:r>
          <w:rPr>
            <w:noProof/>
            <w:webHidden/>
          </w:rPr>
        </w:r>
        <w:r>
          <w:rPr>
            <w:noProof/>
            <w:webHidden/>
          </w:rPr>
          <w:fldChar w:fldCharType="separate"/>
        </w:r>
        <w:r>
          <w:rPr>
            <w:noProof/>
            <w:webHidden/>
          </w:rPr>
          <w:t>5</w:t>
        </w:r>
        <w:r>
          <w:rPr>
            <w:noProof/>
            <w:webHidden/>
          </w:rPr>
          <w:fldChar w:fldCharType="end"/>
        </w:r>
      </w:hyperlink>
    </w:p>
    <w:p w14:paraId="64620BBC" w14:textId="7264D176" w:rsidR="00B53C85" w:rsidRDefault="00B53C85">
      <w:pPr>
        <w:pStyle w:val="TOC1"/>
        <w:rPr>
          <w:rFonts w:asciiTheme="minorHAnsi" w:eastAsiaTheme="minorEastAsia" w:hAnsiTheme="minorHAnsi" w:cstheme="minorBidi"/>
          <w:b w:val="0"/>
          <w:bCs w:val="0"/>
          <w:noProof/>
          <w:color w:val="auto"/>
          <w:sz w:val="24"/>
          <w:szCs w:val="24"/>
          <w:lang w:val="en-US"/>
        </w:rPr>
      </w:pPr>
      <w:hyperlink w:anchor="_Toc213431754" w:history="1">
        <w:r w:rsidRPr="004A6EEB">
          <w:rPr>
            <w:rStyle w:val="Hyperlink"/>
            <w:i/>
            <w:noProof/>
          </w:rPr>
          <w:t>Énoncé du problème :</w:t>
        </w:r>
        <w:r w:rsidRPr="004A6EEB">
          <w:rPr>
            <w:rStyle w:val="Hyperlink"/>
            <w:noProof/>
          </w:rPr>
          <w:t xml:space="preserve"> ensemble de problématiques traitées dans la proposition de l’Indonésie</w:t>
        </w:r>
        <w:r>
          <w:rPr>
            <w:noProof/>
            <w:webHidden/>
          </w:rPr>
          <w:tab/>
        </w:r>
        <w:r>
          <w:rPr>
            <w:noProof/>
            <w:webHidden/>
          </w:rPr>
          <w:fldChar w:fldCharType="begin"/>
        </w:r>
        <w:r>
          <w:rPr>
            <w:noProof/>
            <w:webHidden/>
          </w:rPr>
          <w:instrText xml:space="preserve"> PAGEREF _Toc213431754 \h </w:instrText>
        </w:r>
        <w:r>
          <w:rPr>
            <w:noProof/>
            <w:webHidden/>
          </w:rPr>
        </w:r>
        <w:r>
          <w:rPr>
            <w:noProof/>
            <w:webHidden/>
          </w:rPr>
          <w:fldChar w:fldCharType="separate"/>
        </w:r>
        <w:r>
          <w:rPr>
            <w:noProof/>
            <w:webHidden/>
          </w:rPr>
          <w:t>9</w:t>
        </w:r>
        <w:r>
          <w:rPr>
            <w:noProof/>
            <w:webHidden/>
          </w:rPr>
          <w:fldChar w:fldCharType="end"/>
        </w:r>
      </w:hyperlink>
    </w:p>
    <w:p w14:paraId="20691F37" w14:textId="32BB03AB" w:rsidR="00B53C85" w:rsidRDefault="00B53C85">
      <w:pPr>
        <w:pStyle w:val="TOC1"/>
        <w:rPr>
          <w:rFonts w:asciiTheme="minorHAnsi" w:eastAsiaTheme="minorEastAsia" w:hAnsiTheme="minorHAnsi" w:cstheme="minorBidi"/>
          <w:b w:val="0"/>
          <w:bCs w:val="0"/>
          <w:noProof/>
          <w:color w:val="auto"/>
          <w:sz w:val="24"/>
          <w:szCs w:val="24"/>
          <w:lang w:val="en-US"/>
        </w:rPr>
      </w:pPr>
      <w:hyperlink w:anchor="_Toc213431755" w:history="1">
        <w:r w:rsidRPr="004A6EEB">
          <w:rPr>
            <w:rStyle w:val="Hyperlink"/>
            <w:noProof/>
          </w:rPr>
          <w:t>Conclusion : vers un monde globalisé équitable</w:t>
        </w:r>
        <w:r>
          <w:rPr>
            <w:noProof/>
            <w:webHidden/>
          </w:rPr>
          <w:tab/>
        </w:r>
        <w:r>
          <w:rPr>
            <w:noProof/>
            <w:webHidden/>
          </w:rPr>
          <w:fldChar w:fldCharType="begin"/>
        </w:r>
        <w:r>
          <w:rPr>
            <w:noProof/>
            <w:webHidden/>
          </w:rPr>
          <w:instrText xml:space="preserve"> PAGEREF _Toc213431755 \h </w:instrText>
        </w:r>
        <w:r>
          <w:rPr>
            <w:noProof/>
            <w:webHidden/>
          </w:rPr>
        </w:r>
        <w:r>
          <w:rPr>
            <w:noProof/>
            <w:webHidden/>
          </w:rPr>
          <w:fldChar w:fldCharType="separate"/>
        </w:r>
        <w:r>
          <w:rPr>
            <w:noProof/>
            <w:webHidden/>
          </w:rPr>
          <w:t>12</w:t>
        </w:r>
        <w:r>
          <w:rPr>
            <w:noProof/>
            <w:webHidden/>
          </w:rPr>
          <w:fldChar w:fldCharType="end"/>
        </w:r>
      </w:hyperlink>
    </w:p>
    <w:p w14:paraId="3AE50AB0" w14:textId="7BDF3461" w:rsidR="00AC4817" w:rsidRPr="00100E35" w:rsidRDefault="00EA0A6B" w:rsidP="00AC4817">
      <w:pPr>
        <w:rPr>
          <w:rFonts w:eastAsia="Aptos" w:cs="Noto Sans Display"/>
          <w:lang w:val="fr-FR"/>
        </w:rPr>
      </w:pPr>
      <w:r>
        <w:rPr>
          <w:rFonts w:eastAsia="Aptos" w:cs="Noto Sans Display"/>
          <w:color w:val="1F497D" w:themeColor="text2"/>
          <w:kern w:val="2"/>
          <w:szCs w:val="22"/>
          <w:lang w:val="fr-FR" w:eastAsia="en-US"/>
          <w14:ligatures w14:val="standardContextual"/>
        </w:rPr>
        <w:fldChar w:fldCharType="end"/>
      </w:r>
      <w:r w:rsidR="00AC4817" w:rsidRPr="00100E35">
        <w:rPr>
          <w:lang w:val="fr-FR"/>
        </w:rPr>
        <w:br w:type="page"/>
      </w:r>
    </w:p>
    <w:p w14:paraId="7FD7D8A0" w14:textId="77777777" w:rsidR="00AC4817" w:rsidRPr="00100E35" w:rsidRDefault="00AC4817" w:rsidP="00AC4817">
      <w:pPr>
        <w:spacing w:before="180" w:after="240"/>
        <w:jc w:val="both"/>
        <w:rPr>
          <w:rFonts w:eastAsia="Aptos" w:cs="Noto Sans Display"/>
          <w:i/>
          <w:iCs/>
          <w:kern w:val="2"/>
          <w:szCs w:val="22"/>
          <w:lang w:val="fr-FR"/>
          <w14:ligatures w14:val="standardContextual"/>
        </w:rPr>
      </w:pPr>
      <w:bookmarkStart w:id="5" w:name="partie1"/>
      <w:r w:rsidRPr="00100E35">
        <w:rPr>
          <w:i/>
          <w:lang w:val="fr-FR"/>
        </w:rPr>
        <w:t>Document de travail</w:t>
      </w:r>
    </w:p>
    <w:p w14:paraId="169E7866" w14:textId="68B962D3" w:rsidR="00AC4817" w:rsidRPr="00100E35" w:rsidRDefault="00AC4817" w:rsidP="00AC4817">
      <w:pPr>
        <w:spacing w:before="180" w:after="240"/>
        <w:jc w:val="both"/>
        <w:rPr>
          <w:rFonts w:eastAsia="Aptos" w:cs="Noto Sans Display"/>
          <w:kern w:val="2"/>
          <w:szCs w:val="22"/>
          <w:lang w:val="fr-FR"/>
          <w14:ligatures w14:val="standardContextual"/>
        </w:rPr>
      </w:pPr>
      <w:r w:rsidRPr="00100E35">
        <w:rPr>
          <w:lang w:val="fr-FR"/>
        </w:rPr>
        <w:t>Proposition de l</w:t>
      </w:r>
      <w:r w:rsidR="00100E35">
        <w:rPr>
          <w:lang w:val="fr-FR"/>
        </w:rPr>
        <w:t>’</w:t>
      </w:r>
      <w:r w:rsidRPr="00100E35">
        <w:rPr>
          <w:lang w:val="fr-FR"/>
        </w:rPr>
        <w:t>Indonésie pour un instrument juridiquement contraignant sur la gouvernance des redevances de droit d</w:t>
      </w:r>
      <w:r w:rsidR="00100E35">
        <w:rPr>
          <w:lang w:val="fr-FR"/>
        </w:rPr>
        <w:t>’</w:t>
      </w:r>
      <w:r w:rsidRPr="00100E35">
        <w:rPr>
          <w:lang w:val="fr-FR"/>
        </w:rPr>
        <w:t>auteur dans l</w:t>
      </w:r>
      <w:r w:rsidR="00100E35">
        <w:rPr>
          <w:lang w:val="fr-FR"/>
        </w:rPr>
        <w:t>’</w:t>
      </w:r>
      <w:r w:rsidRPr="00100E35">
        <w:rPr>
          <w:lang w:val="fr-FR"/>
        </w:rPr>
        <w:t>environnement numérique</w:t>
      </w:r>
    </w:p>
    <w:p w14:paraId="587DA7B6" w14:textId="4A01F1CE" w:rsidR="00AC4817" w:rsidRPr="00100E35" w:rsidRDefault="00AC4817" w:rsidP="00AC4817">
      <w:pPr>
        <w:spacing w:before="180" w:after="240"/>
        <w:jc w:val="both"/>
        <w:rPr>
          <w:rFonts w:eastAsia="Aptos" w:cs="Noto Sans Display"/>
          <w:i/>
          <w:iCs/>
          <w:kern w:val="2"/>
          <w:szCs w:val="22"/>
          <w:lang w:val="fr-FR"/>
          <w14:ligatures w14:val="standardContextual"/>
        </w:rPr>
      </w:pPr>
      <w:r w:rsidRPr="00100E35">
        <w:rPr>
          <w:i/>
          <w:lang w:val="fr-FR"/>
        </w:rPr>
        <w:t>Favoriser l</w:t>
      </w:r>
      <w:r w:rsidR="00100E35">
        <w:rPr>
          <w:i/>
          <w:lang w:val="fr-FR"/>
        </w:rPr>
        <w:t>’</w:t>
      </w:r>
      <w:r w:rsidRPr="00100E35">
        <w:rPr>
          <w:i/>
          <w:lang w:val="fr-FR"/>
        </w:rPr>
        <w:t>égalité des chances dans un monde globalisé</w:t>
      </w:r>
    </w:p>
    <w:p w14:paraId="6797D5F8" w14:textId="77777777" w:rsidR="00AC4817" w:rsidRPr="00100E35" w:rsidRDefault="00AC4817" w:rsidP="00AC4817">
      <w:pPr>
        <w:pStyle w:val="Heading51"/>
        <w:rPr>
          <w:color w:val="1F497D" w:themeColor="text2"/>
        </w:rPr>
      </w:pPr>
      <w:bookmarkStart w:id="6" w:name="_Toc213431751"/>
      <w:r w:rsidRPr="00100E35">
        <w:rPr>
          <w:color w:val="1F497D" w:themeColor="text2"/>
        </w:rPr>
        <w:t>Résumé</w:t>
      </w:r>
      <w:bookmarkEnd w:id="6"/>
    </w:p>
    <w:p w14:paraId="46F877AA" w14:textId="24A06EBC"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b/>
          <w:lang w:val="fr-FR"/>
        </w:rPr>
        <w:t>L</w:t>
      </w:r>
      <w:r w:rsidR="00100E35">
        <w:rPr>
          <w:b/>
          <w:lang w:val="fr-FR"/>
        </w:rPr>
        <w:t>’</w:t>
      </w:r>
      <w:r w:rsidRPr="00100E35">
        <w:rPr>
          <w:b/>
          <w:lang w:val="fr-FR"/>
        </w:rPr>
        <w:t>industrie mondiale de la musique numérique continue de refléter une grande disparité entre les pays développés et les pays en développeme</w:t>
      </w:r>
      <w:r w:rsidR="007A1AE9" w:rsidRPr="00100E35">
        <w:rPr>
          <w:b/>
          <w:lang w:val="fr-FR"/>
        </w:rPr>
        <w:t>nt</w:t>
      </w:r>
      <w:r w:rsidR="007A1AE9">
        <w:rPr>
          <w:b/>
          <w:lang w:val="fr-FR"/>
        </w:rPr>
        <w:t xml:space="preserve">.  </w:t>
      </w:r>
      <w:r w:rsidR="007A1AE9" w:rsidRPr="00100E35">
        <w:rPr>
          <w:lang w:val="fr-FR"/>
        </w:rPr>
        <w:t>Al</w:t>
      </w:r>
      <w:r w:rsidRPr="00100E35">
        <w:rPr>
          <w:lang w:val="fr-FR"/>
        </w:rPr>
        <w:t>ors que les pays du Nord ont joué un rôle de premier plan dans la mise en place de l</w:t>
      </w:r>
      <w:r w:rsidR="00100E35">
        <w:rPr>
          <w:lang w:val="fr-FR"/>
        </w:rPr>
        <w:t>’</w:t>
      </w:r>
      <w:r w:rsidRPr="00100E35">
        <w:rPr>
          <w:lang w:val="fr-FR"/>
        </w:rPr>
        <w:t>écosystème en ligne (principales plateformes, systèmes de distribution algorithmiques et modèles commerciaux par abonnement), de nombreux pays du Sud restent confrontés à des enjeux fondamenta</w:t>
      </w:r>
      <w:r w:rsidR="007A1AE9" w:rsidRPr="00100E35">
        <w:rPr>
          <w:lang w:val="fr-FR"/>
        </w:rPr>
        <w:t>ux</w:t>
      </w:r>
      <w:r w:rsidR="007A1AE9">
        <w:rPr>
          <w:lang w:val="fr-FR"/>
        </w:rPr>
        <w:t xml:space="preserve">.  </w:t>
      </w:r>
      <w:r w:rsidR="007A1AE9" w:rsidRPr="00100E35">
        <w:rPr>
          <w:lang w:val="fr-FR"/>
        </w:rPr>
        <w:t>Il</w:t>
      </w:r>
      <w:r w:rsidRPr="00100E35">
        <w:rPr>
          <w:lang w:val="fr-FR"/>
        </w:rPr>
        <w:t>s pâtissent notamment d</w:t>
      </w:r>
      <w:r w:rsidR="00100E35">
        <w:rPr>
          <w:lang w:val="fr-FR"/>
        </w:rPr>
        <w:t>’</w:t>
      </w:r>
      <w:r w:rsidRPr="00100E35">
        <w:rPr>
          <w:lang w:val="fr-FR"/>
        </w:rPr>
        <w:t>infrastructures juridiques sous</w:t>
      </w:r>
      <w:r w:rsidR="00100E35">
        <w:rPr>
          <w:lang w:val="fr-FR"/>
        </w:rPr>
        <w:t>-</w:t>
      </w:r>
      <w:r w:rsidRPr="00100E35">
        <w:rPr>
          <w:lang w:val="fr-FR"/>
        </w:rPr>
        <w:t>développées, de capacités institutionnelles limitées au sein des organisations de gestion collective et de pratiques répandues d</w:t>
      </w:r>
      <w:r w:rsidR="00100E35">
        <w:rPr>
          <w:lang w:val="fr-FR"/>
        </w:rPr>
        <w:t>’</w:t>
      </w:r>
      <w:r w:rsidRPr="00100E35">
        <w:rPr>
          <w:lang w:val="fr-FR"/>
        </w:rPr>
        <w:t>utilisation de la musique sans rémunération adéqua</w:t>
      </w:r>
      <w:r w:rsidR="007A1AE9" w:rsidRPr="00100E35">
        <w:rPr>
          <w:lang w:val="fr-FR"/>
        </w:rPr>
        <w:t>te</w:t>
      </w:r>
      <w:r w:rsidR="007A1AE9">
        <w:rPr>
          <w:lang w:val="fr-FR"/>
        </w:rPr>
        <w:t xml:space="preserve">.  </w:t>
      </w:r>
      <w:r w:rsidR="007A1AE9" w:rsidRPr="00100E35">
        <w:rPr>
          <w:lang w:val="fr-FR"/>
        </w:rPr>
        <w:t>En</w:t>
      </w:r>
      <w:r w:rsidRPr="00100E35">
        <w:rPr>
          <w:lang w:val="fr-FR"/>
        </w:rPr>
        <w:t xml:space="preserve"> conséquence, les créateurs des pays en développement sont souvent exclus des mécanismes équitables de distribution des redevances, malgré leur contribution significative et croissante au paysage musical mondial.</w:t>
      </w:r>
    </w:p>
    <w:p w14:paraId="4513962A" w14:textId="78B6E6CA"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b/>
          <w:lang w:val="fr-FR"/>
        </w:rPr>
        <w:t>Ce document de travail recense quatre difficultés majeures rencontrées dans la gouvernance des redevances dans l</w:t>
      </w:r>
      <w:r w:rsidR="00100E35">
        <w:rPr>
          <w:b/>
          <w:lang w:val="fr-FR"/>
        </w:rPr>
        <w:t>’</w:t>
      </w:r>
      <w:r w:rsidRPr="00100E35">
        <w:rPr>
          <w:b/>
          <w:lang w:val="fr-FR"/>
        </w:rPr>
        <w:t>industrie musicale et audiovisuelle sur les plateformes numériques</w:t>
      </w:r>
      <w:r w:rsidRPr="00EA0A6B">
        <w:rPr>
          <w:bCs/>
          <w:lang w:val="fr-FR"/>
        </w:rPr>
        <w:t xml:space="preserve">, </w:t>
      </w:r>
      <w:r w:rsidR="00100E35">
        <w:rPr>
          <w:lang w:val="fr-FR"/>
        </w:rPr>
        <w:t>à savoir :</w:t>
      </w:r>
      <w:r w:rsidRPr="00100E35">
        <w:rPr>
          <w:lang w:val="fr-FR"/>
        </w:rPr>
        <w:t xml:space="preserve"> 1) le cadre de collecte et de distribution des redevances, 2) les mécanismes utilisés pour la répartition des redevances, 3) la centralisation de la base de données mondiale sur le droit d</w:t>
      </w:r>
      <w:r w:rsidR="00100E35">
        <w:rPr>
          <w:lang w:val="fr-FR"/>
        </w:rPr>
        <w:t>’</w:t>
      </w:r>
      <w:r w:rsidRPr="00100E35">
        <w:rPr>
          <w:lang w:val="fr-FR"/>
        </w:rPr>
        <w:t>auteur, et 4) les disparités dans l</w:t>
      </w:r>
      <w:r w:rsidR="00100E35">
        <w:rPr>
          <w:lang w:val="fr-FR"/>
        </w:rPr>
        <w:t>’</w:t>
      </w:r>
      <w:r w:rsidRPr="00100E35">
        <w:rPr>
          <w:lang w:val="fr-FR"/>
        </w:rPr>
        <w:t>évaluation des redevances de droit d</w:t>
      </w:r>
      <w:r w:rsidR="00100E35">
        <w:rPr>
          <w:lang w:val="fr-FR"/>
        </w:rPr>
        <w:t>’</w:t>
      </w:r>
      <w:r w:rsidRPr="00100E35">
        <w:rPr>
          <w:lang w:val="fr-FR"/>
        </w:rPr>
        <w:t>aute</w:t>
      </w:r>
      <w:r w:rsidR="007A1AE9" w:rsidRPr="00100E35">
        <w:rPr>
          <w:lang w:val="fr-FR"/>
        </w:rPr>
        <w:t>ur</w:t>
      </w:r>
      <w:r w:rsidR="007A1AE9">
        <w:rPr>
          <w:lang w:val="fr-FR"/>
        </w:rPr>
        <w:t xml:space="preserve">.  </w:t>
      </w:r>
      <w:r w:rsidR="007A1AE9" w:rsidRPr="00100E35">
        <w:rPr>
          <w:lang w:val="fr-FR"/>
        </w:rPr>
        <w:t>Po</w:t>
      </w:r>
      <w:r w:rsidRPr="00100E35">
        <w:rPr>
          <w:lang w:val="fr-FR"/>
        </w:rPr>
        <w:t xml:space="preserve">ur faire face à ces difficultés, </w:t>
      </w:r>
      <w:r w:rsidRPr="00100E35">
        <w:rPr>
          <w:b/>
          <w:lang w:val="fr-FR"/>
        </w:rPr>
        <w:t>ce document soutient une proposition préconisant un instrument juridiquement contraignant sur la gouvernance des redevances de droit d</w:t>
      </w:r>
      <w:r w:rsidR="00100E35">
        <w:rPr>
          <w:b/>
          <w:lang w:val="fr-FR"/>
        </w:rPr>
        <w:t>’</w:t>
      </w:r>
      <w:r w:rsidRPr="00100E35">
        <w:rPr>
          <w:b/>
          <w:lang w:val="fr-FR"/>
        </w:rPr>
        <w:t>auteur dans l</w:t>
      </w:r>
      <w:r w:rsidR="00100E35">
        <w:rPr>
          <w:b/>
          <w:lang w:val="fr-FR"/>
        </w:rPr>
        <w:t>’</w:t>
      </w:r>
      <w:r w:rsidRPr="00100E35">
        <w:rPr>
          <w:b/>
          <w:lang w:val="fr-FR"/>
        </w:rPr>
        <w:t>environnement numérique,</w:t>
      </w:r>
      <w:r w:rsidRPr="00100E35">
        <w:rPr>
          <w:lang w:val="fr-FR"/>
        </w:rPr>
        <w:t xml:space="preserve"> qui constitue également une initiative stratégique de l</w:t>
      </w:r>
      <w:r w:rsidR="00100E35">
        <w:rPr>
          <w:lang w:val="fr-FR"/>
        </w:rPr>
        <w:t>’</w:t>
      </w:r>
      <w:r w:rsidRPr="00100E35">
        <w:rPr>
          <w:lang w:val="fr-FR"/>
        </w:rPr>
        <w:t>Indonésie pour contribuer de manière constructive à l</w:t>
      </w:r>
      <w:r w:rsidR="00100E35">
        <w:rPr>
          <w:lang w:val="fr-FR"/>
        </w:rPr>
        <w:t>’</w:t>
      </w:r>
      <w:r w:rsidRPr="00100E35">
        <w:rPr>
          <w:lang w:val="fr-FR"/>
        </w:rPr>
        <w:t>équilibre de la dynamique des pouvoirs au sein du régime mondial de la propriété intellectuel</w:t>
      </w:r>
      <w:r w:rsidR="007A1AE9" w:rsidRPr="00100E35">
        <w:rPr>
          <w:lang w:val="fr-FR"/>
        </w:rPr>
        <w:t>le</w:t>
      </w:r>
      <w:r w:rsidR="007A1AE9">
        <w:rPr>
          <w:lang w:val="fr-FR"/>
        </w:rPr>
        <w:t xml:space="preserve">.  </w:t>
      </w:r>
      <w:r w:rsidR="007A1AE9" w:rsidRPr="00100E35">
        <w:rPr>
          <w:lang w:val="fr-FR"/>
        </w:rPr>
        <w:t>La</w:t>
      </w:r>
      <w:r w:rsidRPr="00100E35">
        <w:rPr>
          <w:lang w:val="fr-FR"/>
        </w:rPr>
        <w:t xml:space="preserve"> proposition vise non seulement à renforcer les intérêts nationaux en matière de protection des droits des créateurs locaux, mais entend aussi servir de catalyseur pour une collaboration internationale plus lar</w:t>
      </w:r>
      <w:r w:rsidR="007A1AE9" w:rsidRPr="00100E35">
        <w:rPr>
          <w:lang w:val="fr-FR"/>
        </w:rPr>
        <w:t>ge</w:t>
      </w:r>
      <w:r w:rsidR="007A1AE9">
        <w:rPr>
          <w:lang w:val="fr-FR"/>
        </w:rPr>
        <w:t xml:space="preserve">.  </w:t>
      </w:r>
      <w:r w:rsidR="007A1AE9" w:rsidRPr="00100E35">
        <w:rPr>
          <w:lang w:val="fr-FR"/>
        </w:rPr>
        <w:t>En</w:t>
      </w:r>
      <w:r w:rsidRPr="00100E35">
        <w:rPr>
          <w:lang w:val="fr-FR"/>
        </w:rPr>
        <w:t xml:space="preserve"> fin de compte, son objectif est de favoriser la mise en place d</w:t>
      </w:r>
      <w:r w:rsidR="00100E35">
        <w:rPr>
          <w:lang w:val="fr-FR"/>
        </w:rPr>
        <w:t>’</w:t>
      </w:r>
      <w:r w:rsidRPr="00100E35">
        <w:rPr>
          <w:lang w:val="fr-FR"/>
        </w:rPr>
        <w:t xml:space="preserve">un cadre </w:t>
      </w:r>
      <w:r w:rsidRPr="00100E35">
        <w:rPr>
          <w:b/>
          <w:lang w:val="fr-FR"/>
        </w:rPr>
        <w:t>équitable, transparent, inclusif et durable</w:t>
      </w:r>
      <w:r w:rsidRPr="00100E35">
        <w:rPr>
          <w:lang w:val="fr-FR"/>
        </w:rPr>
        <w:t xml:space="preserve"> pour la gouvernance des phonogrammes et des redevances audiovisuelles, en particulier sur les plateformes numériques, en encourageant le dialogue multilatéral et le partage des responsabilités entre les nations.</w:t>
      </w:r>
    </w:p>
    <w:p w14:paraId="1B74A832" w14:textId="77777777" w:rsidR="00AC4817" w:rsidRPr="00100E35" w:rsidRDefault="00AC4817" w:rsidP="00AC4817">
      <w:pPr>
        <w:pStyle w:val="Heading51"/>
        <w:rPr>
          <w:color w:val="1F497D" w:themeColor="text2"/>
        </w:rPr>
      </w:pPr>
      <w:bookmarkStart w:id="7" w:name="_Toc213431752"/>
      <w:r w:rsidRPr="00100E35">
        <w:rPr>
          <w:color w:val="1F497D" w:themeColor="text2"/>
        </w:rPr>
        <w:t>Contexte général</w:t>
      </w:r>
      <w:bookmarkEnd w:id="7"/>
    </w:p>
    <w:p w14:paraId="65653EF5" w14:textId="64C32265"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La croissance de l</w:t>
      </w:r>
      <w:r w:rsidR="00100E35">
        <w:rPr>
          <w:lang w:val="fr-FR"/>
        </w:rPr>
        <w:t>’</w:t>
      </w:r>
      <w:r w:rsidRPr="00100E35">
        <w:rPr>
          <w:lang w:val="fr-FR"/>
        </w:rPr>
        <w:t>industrie mondiale de la musique numérique</w:t>
      </w:r>
      <w:r w:rsidRPr="00100E35">
        <w:rPr>
          <w:rFonts w:eastAsia="Aptos" w:cs="Noto Sans Display"/>
          <w:kern w:val="2"/>
          <w:szCs w:val="22"/>
          <w:vertAlign w:val="superscript"/>
          <w:lang w:val="fr-FR" w:eastAsia="en-US"/>
        </w:rPr>
        <w:endnoteReference w:id="2"/>
      </w:r>
      <w:r w:rsidRPr="00100E35">
        <w:rPr>
          <w:lang w:val="fr-FR"/>
        </w:rPr>
        <w:t xml:space="preserve"> présente un paradoxe grandissa</w:t>
      </w:r>
      <w:r w:rsidR="007A1AE9" w:rsidRPr="00100E35">
        <w:rPr>
          <w:lang w:val="fr-FR"/>
        </w:rPr>
        <w:t>nt</w:t>
      </w:r>
      <w:r w:rsidR="007A1AE9">
        <w:rPr>
          <w:lang w:val="fr-FR"/>
        </w:rPr>
        <w:t xml:space="preserve">.  </w:t>
      </w:r>
      <w:r w:rsidR="007A1AE9" w:rsidRPr="00100E35">
        <w:rPr>
          <w:lang w:val="fr-FR"/>
        </w:rPr>
        <w:t>Le</w:t>
      </w:r>
      <w:r w:rsidRPr="00100E35">
        <w:rPr>
          <w:lang w:val="fr-FR"/>
        </w:rPr>
        <w:t>s pays du Nord ont réussi à mettre en place un écosystème d</w:t>
      </w:r>
      <w:r w:rsidR="00100E35">
        <w:rPr>
          <w:lang w:val="fr-FR"/>
        </w:rPr>
        <w:t>’</w:t>
      </w:r>
      <w:r w:rsidRPr="00100E35">
        <w:rPr>
          <w:lang w:val="fr-FR"/>
        </w:rPr>
        <w:t>octroi de licences en ligne bien structuré en orientant efficacement la dynamique du marché grâce à des modèles commerciaux par abonnement</w:t>
      </w:r>
      <w:r w:rsidRPr="00100E35">
        <w:rPr>
          <w:rFonts w:eastAsia="Aptos" w:cs="Noto Sans Display"/>
          <w:kern w:val="2"/>
          <w:szCs w:val="22"/>
          <w:vertAlign w:val="superscript"/>
          <w:lang w:val="fr-FR" w:eastAsia="en-US"/>
        </w:rPr>
        <w:endnoteReference w:id="3"/>
      </w:r>
      <w:r w:rsidRPr="00100E35">
        <w:rPr>
          <w:lang w:val="fr-FR"/>
        </w:rPr>
        <w:t>, des algorithmes de distribution et la domination des grandes plateformes numériques</w:t>
      </w:r>
      <w:r w:rsidRPr="00100E35">
        <w:rPr>
          <w:rFonts w:eastAsia="Aptos" w:cs="Noto Sans Display"/>
          <w:kern w:val="2"/>
          <w:szCs w:val="22"/>
          <w:vertAlign w:val="superscript"/>
          <w:lang w:val="fr-FR" w:eastAsia="en-US"/>
        </w:rPr>
        <w:endnoteReference w:id="4"/>
      </w:r>
      <w:r w:rsidRPr="00100E35">
        <w:rPr>
          <w:lang w:val="fr-FR"/>
        </w:rPr>
        <w:t xml:space="preserve">. </w:t>
      </w:r>
      <w:r w:rsidR="0080246A">
        <w:rPr>
          <w:lang w:val="fr-FR"/>
        </w:rPr>
        <w:t xml:space="preserve"> </w:t>
      </w:r>
      <w:r w:rsidRPr="00100E35">
        <w:rPr>
          <w:lang w:val="fr-FR"/>
        </w:rPr>
        <w:t>De leur côté, les pays du Sud continuent de faire face à des difficultés de fond, notamment un accès limité aux mécanismes officiels de concession de licences, une gouvernance faible au sein des organisations de gestion collective</w:t>
      </w:r>
      <w:r w:rsidRPr="00100E35">
        <w:rPr>
          <w:rFonts w:eastAsia="Aptos" w:cs="Noto Sans Display"/>
          <w:kern w:val="2"/>
          <w:szCs w:val="22"/>
          <w:vertAlign w:val="superscript"/>
          <w:lang w:val="fr-FR" w:eastAsia="en-US"/>
        </w:rPr>
        <w:endnoteReference w:id="5"/>
      </w:r>
      <w:r w:rsidRPr="00100E35">
        <w:rPr>
          <w:lang w:val="fr-FR"/>
        </w:rPr>
        <w:t>, et la normalisation généralisée de l</w:t>
      </w:r>
      <w:r w:rsidR="00100E35">
        <w:rPr>
          <w:lang w:val="fr-FR"/>
        </w:rPr>
        <w:t>’</w:t>
      </w:r>
      <w:r w:rsidRPr="00100E35">
        <w:rPr>
          <w:lang w:val="fr-FR"/>
        </w:rPr>
        <w:t>utilisation communautaire de la musique sans rémunération adéqua</w:t>
      </w:r>
      <w:r w:rsidR="007A1AE9" w:rsidRPr="00100E35">
        <w:rPr>
          <w:lang w:val="fr-FR"/>
        </w:rPr>
        <w:t>te</w:t>
      </w:r>
      <w:r w:rsidR="007A1AE9">
        <w:rPr>
          <w:lang w:val="fr-FR"/>
        </w:rPr>
        <w:t xml:space="preserve">.  </w:t>
      </w:r>
      <w:r w:rsidR="007A1AE9" w:rsidRPr="00100E35">
        <w:rPr>
          <w:lang w:val="fr-FR"/>
        </w:rPr>
        <w:t>Ce</w:t>
      </w:r>
      <w:r w:rsidRPr="00100E35">
        <w:rPr>
          <w:lang w:val="fr-FR"/>
        </w:rPr>
        <w:t>tte asymétrie révèle un fossé important</w:t>
      </w:r>
      <w:r w:rsidR="00100E35">
        <w:rPr>
          <w:lang w:val="fr-FR"/>
        </w:rPr>
        <w:t> :</w:t>
      </w:r>
      <w:r w:rsidRPr="00100E35">
        <w:rPr>
          <w:lang w:val="fr-FR"/>
        </w:rPr>
        <w:t xml:space="preserve"> alors que les créateurs des pays du Nord tirent de plus en plus avantage de distributions structurées de redevances qui reflètent leur travail créatif, de nombreux créateurs dans d</w:t>
      </w:r>
      <w:r w:rsidR="00100E35">
        <w:rPr>
          <w:lang w:val="fr-FR"/>
        </w:rPr>
        <w:t>’</w:t>
      </w:r>
      <w:r w:rsidRPr="00100E35">
        <w:rPr>
          <w:lang w:val="fr-FR"/>
        </w:rPr>
        <w:t>autres parties du monde restent exclus de la valeur économique générée par leurs œuvres</w:t>
      </w:r>
      <w:r w:rsidRPr="00100E35">
        <w:rPr>
          <w:rFonts w:eastAsia="Aptos" w:cs="Noto Sans Display"/>
          <w:kern w:val="2"/>
          <w:szCs w:val="22"/>
          <w:vertAlign w:val="superscript"/>
          <w:lang w:val="fr-FR" w:eastAsia="en-US"/>
        </w:rPr>
        <w:endnoteReference w:id="6"/>
      </w:r>
      <w:r w:rsidRPr="00100E35">
        <w:rPr>
          <w:lang w:val="fr-FR"/>
        </w:rPr>
        <w:t xml:space="preserve">. </w:t>
      </w:r>
      <w:r w:rsidR="0080246A">
        <w:rPr>
          <w:lang w:val="fr-FR"/>
        </w:rPr>
        <w:t xml:space="preserve"> </w:t>
      </w:r>
      <w:r w:rsidRPr="00100E35">
        <w:rPr>
          <w:lang w:val="fr-FR"/>
        </w:rPr>
        <w:t>À un niveau plus profond, ce déséquilibre reflète les disparités économiques plus larges entre les marchés avancés et les marchés émergents, soulignant la nécessité de disposer de cadres plus inclusifs et équitables pour la gouvernance mondiale des droits sur les œuvres musicales numériques.</w:t>
      </w:r>
    </w:p>
    <w:p w14:paraId="782D3111" w14:textId="195FC5AF"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Malgré son importance, cette question n</w:t>
      </w:r>
      <w:r w:rsidR="00100E35">
        <w:rPr>
          <w:lang w:val="fr-FR"/>
        </w:rPr>
        <w:t>’</w:t>
      </w:r>
      <w:r w:rsidRPr="00100E35">
        <w:rPr>
          <w:lang w:val="fr-FR"/>
        </w:rPr>
        <w:t>a pas encore bénéficié d</w:t>
      </w:r>
      <w:r w:rsidR="00100E35">
        <w:rPr>
          <w:lang w:val="fr-FR"/>
        </w:rPr>
        <w:t>’</w:t>
      </w:r>
      <w:r w:rsidRPr="00100E35">
        <w:rPr>
          <w:lang w:val="fr-FR"/>
        </w:rPr>
        <w:t>une attention particulière dans les grandes instances international</w:t>
      </w:r>
      <w:r w:rsidR="007A1AE9" w:rsidRPr="00100E35">
        <w:rPr>
          <w:lang w:val="fr-FR"/>
        </w:rPr>
        <w:t>es</w:t>
      </w:r>
      <w:r w:rsidR="007A1AE9">
        <w:rPr>
          <w:lang w:val="fr-FR"/>
        </w:rPr>
        <w:t xml:space="preserve">.  </w:t>
      </w:r>
      <w:r w:rsidR="007A1AE9" w:rsidRPr="00100E35">
        <w:rPr>
          <w:lang w:val="fr-FR"/>
        </w:rPr>
        <w:t>La</w:t>
      </w:r>
      <w:r w:rsidRPr="00100E35">
        <w:rPr>
          <w:lang w:val="fr-FR"/>
        </w:rPr>
        <w:t xml:space="preserve"> Colombie est l</w:t>
      </w:r>
      <w:r w:rsidR="00100E35">
        <w:rPr>
          <w:lang w:val="fr-FR"/>
        </w:rPr>
        <w:t>’</w:t>
      </w:r>
      <w:r w:rsidRPr="00100E35">
        <w:rPr>
          <w:lang w:val="fr-FR"/>
        </w:rPr>
        <w:t>un des rares pays à avoir cherché à élever le débat sur les déséquilibres en matière de redevances au sein de l</w:t>
      </w:r>
      <w:r w:rsidR="00100E35">
        <w:rPr>
          <w:lang w:val="fr-FR"/>
        </w:rPr>
        <w:t>’</w:t>
      </w:r>
      <w:r w:rsidRPr="00100E35">
        <w:rPr>
          <w:lang w:val="fr-FR"/>
        </w:rPr>
        <w:t xml:space="preserve">Organisation mondiale du commerce (OMC). </w:t>
      </w:r>
      <w:r w:rsidR="0080246A">
        <w:rPr>
          <w:lang w:val="fr-FR"/>
        </w:rPr>
        <w:t xml:space="preserve"> </w:t>
      </w:r>
      <w:r w:rsidRPr="00100E35">
        <w:rPr>
          <w:lang w:val="fr-FR"/>
        </w:rPr>
        <w:t xml:space="preserve">Dans son </w:t>
      </w:r>
      <w:r w:rsidRPr="00100E35">
        <w:rPr>
          <w:i/>
          <w:lang w:val="fr-FR"/>
        </w:rPr>
        <w:t>Document de communication</w:t>
      </w:r>
      <w:r w:rsidRPr="00100E35">
        <w:rPr>
          <w:lang w:val="fr-FR"/>
        </w:rPr>
        <w:t xml:space="preserve"> (IP/C/W/721), daté du 16 juin 2025, la Colombie souligne une tendance préoccupante</w:t>
      </w:r>
      <w:r w:rsidR="00100E35">
        <w:rPr>
          <w:lang w:val="fr-FR"/>
        </w:rPr>
        <w:t> :</w:t>
      </w:r>
      <w:r w:rsidRPr="00100E35">
        <w:rPr>
          <w:lang w:val="fr-FR"/>
        </w:rPr>
        <w:t xml:space="preserve"> la grande majorité des flux de redevances circulent principalement entre les pays développ</w:t>
      </w:r>
      <w:r w:rsidR="007A1AE9" w:rsidRPr="00100E35">
        <w:rPr>
          <w:lang w:val="fr-FR"/>
        </w:rPr>
        <w:t>és</w:t>
      </w:r>
      <w:r w:rsidR="007A1AE9">
        <w:rPr>
          <w:lang w:val="fr-FR"/>
        </w:rPr>
        <w:t xml:space="preserve">.  </w:t>
      </w:r>
      <w:r w:rsidR="007A1AE9" w:rsidRPr="00100E35">
        <w:rPr>
          <w:lang w:val="fr-FR"/>
        </w:rPr>
        <w:t>Da</w:t>
      </w:r>
      <w:r w:rsidRPr="00100E35">
        <w:rPr>
          <w:lang w:val="fr-FR"/>
        </w:rPr>
        <w:t>ns le même temps, les pays en développement n</w:t>
      </w:r>
      <w:r w:rsidR="00100E35">
        <w:rPr>
          <w:lang w:val="fr-FR"/>
        </w:rPr>
        <w:t>’</w:t>
      </w:r>
      <w:r w:rsidRPr="00100E35">
        <w:rPr>
          <w:lang w:val="fr-FR"/>
        </w:rPr>
        <w:t xml:space="preserve">ont collectivement perçu que </w:t>
      </w:r>
      <w:r w:rsidRPr="00100E35">
        <w:rPr>
          <w:b/>
          <w:bCs/>
          <w:lang w:val="fr-FR"/>
        </w:rPr>
        <w:t>16,6 milliards de dollars</w:t>
      </w:r>
      <w:r w:rsidR="0080246A">
        <w:rPr>
          <w:b/>
          <w:bCs/>
          <w:lang w:val="fr-FR"/>
        </w:rPr>
        <w:t> </w:t>
      </w:r>
      <w:r w:rsidRPr="00100E35">
        <w:rPr>
          <w:b/>
          <w:bCs/>
          <w:lang w:val="fr-FR"/>
        </w:rPr>
        <w:t>É.</w:t>
      </w:r>
      <w:r w:rsidR="00100E35">
        <w:rPr>
          <w:b/>
          <w:bCs/>
          <w:lang w:val="fr-FR"/>
        </w:rPr>
        <w:t>-</w:t>
      </w:r>
      <w:r w:rsidRPr="00100E35">
        <w:rPr>
          <w:b/>
          <w:bCs/>
          <w:lang w:val="fr-FR"/>
        </w:rPr>
        <w:t>U</w:t>
      </w:r>
      <w:r w:rsidRPr="007A1AE9">
        <w:rPr>
          <w:b/>
          <w:lang w:val="fr-FR"/>
        </w:rPr>
        <w:t xml:space="preserve">. </w:t>
      </w:r>
      <w:r w:rsidRPr="00100E35">
        <w:rPr>
          <w:lang w:val="fr-FR"/>
        </w:rPr>
        <w:t>de revenus provenant de redevances, alors qu</w:t>
      </w:r>
      <w:r w:rsidR="00100E35">
        <w:rPr>
          <w:lang w:val="fr-FR"/>
        </w:rPr>
        <w:t>’</w:t>
      </w:r>
      <w:r w:rsidRPr="00100E35">
        <w:rPr>
          <w:lang w:val="fr-FR"/>
        </w:rPr>
        <w:t xml:space="preserve">ils ont versé environ </w:t>
      </w:r>
      <w:r w:rsidRPr="00100E35">
        <w:rPr>
          <w:b/>
          <w:bCs/>
          <w:lang w:val="fr-FR"/>
        </w:rPr>
        <w:t>97,9 milliards de dollars</w:t>
      </w:r>
      <w:r w:rsidR="0080246A">
        <w:rPr>
          <w:b/>
          <w:bCs/>
          <w:lang w:val="fr-FR"/>
        </w:rPr>
        <w:t> </w:t>
      </w:r>
      <w:r w:rsidRPr="00100E35">
        <w:rPr>
          <w:b/>
          <w:bCs/>
          <w:lang w:val="fr-FR"/>
        </w:rPr>
        <w:t>É.</w:t>
      </w:r>
      <w:r w:rsidR="00100E35">
        <w:rPr>
          <w:b/>
          <w:bCs/>
          <w:lang w:val="fr-FR"/>
        </w:rPr>
        <w:t>-</w:t>
      </w:r>
      <w:r w:rsidRPr="00100E35">
        <w:rPr>
          <w:b/>
          <w:bCs/>
          <w:lang w:val="fr-FR"/>
        </w:rPr>
        <w:t>U.</w:t>
      </w:r>
      <w:r w:rsidRPr="007A1AE9">
        <w:rPr>
          <w:b/>
          <w:lang w:val="fr-FR"/>
        </w:rPr>
        <w:t xml:space="preserve"> </w:t>
      </w:r>
      <w:r w:rsidRPr="00100E35">
        <w:rPr>
          <w:lang w:val="fr-FR"/>
        </w:rPr>
        <w:t xml:space="preserve">aux économies avancées, ce qui correspond à un </w:t>
      </w:r>
      <w:r w:rsidRPr="00100E35">
        <w:rPr>
          <w:b/>
          <w:bCs/>
          <w:lang w:val="fr-FR"/>
        </w:rPr>
        <w:t>déficit commercial dans ce domaine de près de 589%</w:t>
      </w:r>
      <w:r w:rsidRPr="00100E35">
        <w:rPr>
          <w:lang w:val="fr-FR"/>
        </w:rPr>
        <w:t xml:space="preserve"> pour les pays à revenus faibles et moyens</w:t>
      </w:r>
      <w:r w:rsidRPr="00100E35">
        <w:rPr>
          <w:rFonts w:eastAsia="Aptos" w:cs="Noto Sans Display"/>
          <w:kern w:val="2"/>
          <w:szCs w:val="22"/>
          <w:vertAlign w:val="superscript"/>
          <w:lang w:val="fr-FR" w:eastAsia="en-US"/>
        </w:rPr>
        <w:endnoteReference w:id="7"/>
      </w:r>
      <w:r w:rsidRPr="00100E35">
        <w:rPr>
          <w:lang w:val="fr-FR"/>
        </w:rPr>
        <w:t xml:space="preserve">. </w:t>
      </w:r>
      <w:r w:rsidR="0080246A">
        <w:rPr>
          <w:lang w:val="fr-FR"/>
        </w:rPr>
        <w:t xml:space="preserve"> </w:t>
      </w:r>
      <w:r w:rsidRPr="00100E35">
        <w:rPr>
          <w:lang w:val="fr-FR"/>
        </w:rPr>
        <w:t>S</w:t>
      </w:r>
      <w:r w:rsidR="00100E35">
        <w:rPr>
          <w:lang w:val="fr-FR"/>
        </w:rPr>
        <w:t>’</w:t>
      </w:r>
      <w:r w:rsidRPr="00100E35">
        <w:rPr>
          <w:lang w:val="fr-FR"/>
        </w:rPr>
        <w:t>il importe de noter que ces chiffres représentent les flux totaux de redevances, sans distinguer spécifiquement les redevances sur les droits d</w:t>
      </w:r>
      <w:r w:rsidR="00100E35">
        <w:rPr>
          <w:lang w:val="fr-FR"/>
        </w:rPr>
        <w:t>’</w:t>
      </w:r>
      <w:r w:rsidRPr="00100E35">
        <w:rPr>
          <w:lang w:val="fr-FR"/>
        </w:rPr>
        <w:t>auteur musicaux, les données font néanmoins apparaître un déséquilibre structurel dans le système mondial de la propriété intellectuel</w:t>
      </w:r>
      <w:r w:rsidR="007A1AE9" w:rsidRPr="00100E35">
        <w:rPr>
          <w:lang w:val="fr-FR"/>
        </w:rPr>
        <w:t>le</w:t>
      </w:r>
      <w:r w:rsidR="007A1AE9">
        <w:rPr>
          <w:lang w:val="fr-FR"/>
        </w:rPr>
        <w:t xml:space="preserve">.  </w:t>
      </w:r>
      <w:r w:rsidR="007A1AE9" w:rsidRPr="00100E35">
        <w:rPr>
          <w:lang w:val="fr-FR"/>
        </w:rPr>
        <w:t>Da</w:t>
      </w:r>
      <w:r w:rsidRPr="00100E35">
        <w:rPr>
          <w:lang w:val="fr-FR"/>
        </w:rPr>
        <w:t xml:space="preserve">ns la même veine, les données mondiales de 2023 indiquent que les redevances perçues pour les phonogrammes et les œuvres audiovisuelles étaient estimées à environ </w:t>
      </w:r>
      <w:r w:rsidRPr="00100E35">
        <w:rPr>
          <w:b/>
          <w:lang w:val="fr-FR"/>
        </w:rPr>
        <w:t>12,47 milliards de dollars</w:t>
      </w:r>
      <w:r w:rsidR="0080246A">
        <w:rPr>
          <w:b/>
          <w:lang w:val="fr-FR"/>
        </w:rPr>
        <w:t> </w:t>
      </w:r>
      <w:r w:rsidRPr="00100E35">
        <w:rPr>
          <w:b/>
          <w:lang w:val="fr-FR"/>
        </w:rPr>
        <w:t>É.</w:t>
      </w:r>
      <w:r w:rsidR="00100E35">
        <w:rPr>
          <w:b/>
          <w:lang w:val="fr-FR"/>
        </w:rPr>
        <w:t>-</w:t>
      </w:r>
      <w:r w:rsidRPr="00100E35">
        <w:rPr>
          <w:b/>
          <w:lang w:val="fr-FR"/>
        </w:rPr>
        <w:t>U</w:t>
      </w:r>
      <w:r w:rsidRPr="00100E35">
        <w:rPr>
          <w:rFonts w:eastAsia="Aptos" w:cs="Noto Sans Display"/>
          <w:kern w:val="2"/>
          <w:szCs w:val="22"/>
          <w:vertAlign w:val="superscript"/>
          <w:lang w:val="fr-FR" w:eastAsia="en-US"/>
        </w:rPr>
        <w:endnoteReference w:id="8"/>
      </w:r>
      <w:r w:rsidRPr="00100E35">
        <w:rPr>
          <w:lang w:val="fr-FR"/>
        </w:rPr>
        <w:t>.</w:t>
      </w:r>
      <w:r w:rsidR="0080246A">
        <w:rPr>
          <w:lang w:val="fr-FR"/>
        </w:rPr>
        <w:t xml:space="preserve"> </w:t>
      </w:r>
      <w:r w:rsidRPr="00100E35">
        <w:rPr>
          <w:lang w:val="fr-FR"/>
        </w:rPr>
        <w:t xml:space="preserve"> Cependant, les redevances non perçues dans ces secteurs ont été estimées entre </w:t>
      </w:r>
      <w:r w:rsidRPr="00100E35">
        <w:rPr>
          <w:b/>
          <w:bCs/>
          <w:lang w:val="fr-FR"/>
        </w:rPr>
        <w:t>51 et 85 milliards de dollars É.</w:t>
      </w:r>
      <w:r w:rsidR="00100E35">
        <w:rPr>
          <w:b/>
          <w:bCs/>
          <w:lang w:val="fr-FR"/>
        </w:rPr>
        <w:t>-</w:t>
      </w:r>
      <w:r w:rsidRPr="00100E35">
        <w:rPr>
          <w:b/>
          <w:bCs/>
          <w:lang w:val="fr-FR"/>
        </w:rPr>
        <w:t>U.,</w:t>
      </w:r>
      <w:r w:rsidRPr="00100E35">
        <w:rPr>
          <w:lang w:val="fr-FR"/>
        </w:rPr>
        <w:t xml:space="preserve"> ce qui représente une perte importante tant pour les créateurs que pour les économies nationales</w:t>
      </w:r>
      <w:r w:rsidRPr="00100E35">
        <w:rPr>
          <w:rFonts w:eastAsia="Aptos" w:cs="Noto Sans Display"/>
          <w:kern w:val="2"/>
          <w:szCs w:val="22"/>
          <w:vertAlign w:val="superscript"/>
          <w:lang w:val="fr-FR" w:eastAsia="en-US"/>
        </w:rPr>
        <w:endnoteReference w:id="9"/>
      </w:r>
      <w:r w:rsidRPr="00100E35">
        <w:rPr>
          <w:lang w:val="fr-FR"/>
        </w:rPr>
        <w:t xml:space="preserve">. </w:t>
      </w:r>
      <w:r w:rsidR="0080246A">
        <w:rPr>
          <w:lang w:val="fr-FR"/>
        </w:rPr>
        <w:t xml:space="preserve"> </w:t>
      </w:r>
      <w:r w:rsidRPr="00100E35">
        <w:rPr>
          <w:lang w:val="fr-FR"/>
        </w:rPr>
        <w:t xml:space="preserve">En moyenne, les pertes mondiales de redevances étaient estimées entre </w:t>
      </w:r>
      <w:r w:rsidRPr="00100E35">
        <w:rPr>
          <w:b/>
          <w:bCs/>
          <w:lang w:val="fr-FR"/>
        </w:rPr>
        <w:t>38,53 et 72,53 milliards de dollars É.</w:t>
      </w:r>
      <w:r w:rsidR="00100E35">
        <w:rPr>
          <w:b/>
          <w:bCs/>
          <w:lang w:val="fr-FR"/>
        </w:rPr>
        <w:t>-</w:t>
      </w:r>
      <w:r w:rsidRPr="00100E35">
        <w:rPr>
          <w:b/>
          <w:bCs/>
          <w:lang w:val="fr-FR"/>
        </w:rPr>
        <w:t>U.,</w:t>
      </w:r>
      <w:r w:rsidRPr="00100E35">
        <w:rPr>
          <w:lang w:val="fr-FR"/>
        </w:rPr>
        <w:t xml:space="preserve"> soit environ </w:t>
      </w:r>
      <w:r w:rsidRPr="00100E35">
        <w:rPr>
          <w:b/>
          <w:bCs/>
          <w:lang w:val="fr-FR"/>
        </w:rPr>
        <w:t>55,53 milliards de dollars É.</w:t>
      </w:r>
      <w:r w:rsidR="00100E35">
        <w:rPr>
          <w:b/>
          <w:bCs/>
          <w:lang w:val="fr-FR"/>
        </w:rPr>
        <w:t>-</w:t>
      </w:r>
      <w:r w:rsidRPr="00100E35">
        <w:rPr>
          <w:b/>
          <w:bCs/>
          <w:lang w:val="fr-FR"/>
        </w:rPr>
        <w:t>U.,</w:t>
      </w:r>
      <w:r w:rsidRPr="00100E35">
        <w:rPr>
          <w:lang w:val="fr-FR"/>
        </w:rPr>
        <w:t xml:space="preserve"> ce qui correspond à une perte estimée entre </w:t>
      </w:r>
      <w:r w:rsidRPr="00100E35">
        <w:rPr>
          <w:b/>
          <w:bCs/>
          <w:lang w:val="fr-FR"/>
        </w:rPr>
        <w:t>83,29 et 111,06 milliards de dollars É.</w:t>
      </w:r>
      <w:r w:rsidR="00100E35">
        <w:rPr>
          <w:b/>
          <w:bCs/>
          <w:lang w:val="fr-FR"/>
        </w:rPr>
        <w:t>-</w:t>
      </w:r>
      <w:r w:rsidRPr="00100E35">
        <w:rPr>
          <w:b/>
          <w:bCs/>
          <w:lang w:val="fr-FR"/>
        </w:rPr>
        <w:t>U.</w:t>
      </w:r>
      <w:r w:rsidRPr="007A1AE9">
        <w:rPr>
          <w:lang w:val="fr-FR"/>
        </w:rPr>
        <w:t xml:space="preserve"> </w:t>
      </w:r>
      <w:r w:rsidRPr="00100E35">
        <w:rPr>
          <w:lang w:val="fr-FR"/>
        </w:rPr>
        <w:t>en termes de croissance</w:t>
      </w:r>
      <w:r w:rsidR="00100E35" w:rsidRPr="00100E35">
        <w:rPr>
          <w:lang w:val="fr-FR"/>
        </w:rPr>
        <w:t xml:space="preserve"> du</w:t>
      </w:r>
      <w:r w:rsidR="00100E35">
        <w:rPr>
          <w:lang w:val="fr-FR"/>
        </w:rPr>
        <w:t> </w:t>
      </w:r>
      <w:r w:rsidR="00100E35" w:rsidRPr="00100E35">
        <w:rPr>
          <w:lang w:val="fr-FR"/>
        </w:rPr>
        <w:t>PIB</w:t>
      </w:r>
      <w:r w:rsidRPr="00100E35">
        <w:rPr>
          <w:lang w:val="fr-FR"/>
        </w:rPr>
        <w:t xml:space="preserve"> mondial, soit </w:t>
      </w:r>
      <w:r w:rsidRPr="00100E35">
        <w:rPr>
          <w:b/>
          <w:bCs/>
          <w:lang w:val="fr-FR"/>
        </w:rPr>
        <w:t>0,08% à 0,10%</w:t>
      </w:r>
      <w:r w:rsidR="00100E35" w:rsidRPr="00100E35">
        <w:rPr>
          <w:lang w:val="fr-FR"/>
        </w:rPr>
        <w:t xml:space="preserve"> du</w:t>
      </w:r>
      <w:r w:rsidR="00100E35">
        <w:rPr>
          <w:lang w:val="fr-FR"/>
        </w:rPr>
        <w:t> </w:t>
      </w:r>
      <w:r w:rsidR="00100E35" w:rsidRPr="00100E35">
        <w:rPr>
          <w:lang w:val="fr-FR"/>
        </w:rPr>
        <w:t>PIB</w:t>
      </w:r>
      <w:r w:rsidRPr="00100E35">
        <w:rPr>
          <w:lang w:val="fr-FR"/>
        </w:rPr>
        <w:t xml:space="preserve"> mondial en 2023.</w:t>
      </w:r>
    </w:p>
    <w:p w14:paraId="78C040E0" w14:textId="25D90278"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Ces évolutions révèlent une tendance émergente qui invite la communauté internationale à réexaminer de manière critique l</w:t>
      </w:r>
      <w:r w:rsidR="00100E35">
        <w:rPr>
          <w:lang w:val="fr-FR"/>
        </w:rPr>
        <w:t>’</w:t>
      </w:r>
      <w:r w:rsidRPr="00100E35">
        <w:rPr>
          <w:lang w:val="fr-FR"/>
        </w:rPr>
        <w:t>orientation stratégique de la gouvernance de la propriété intellectuelle dans un contexte d</w:t>
      </w:r>
      <w:r w:rsidR="00100E35">
        <w:rPr>
          <w:lang w:val="fr-FR"/>
        </w:rPr>
        <w:t>’</w:t>
      </w:r>
      <w:r w:rsidRPr="00100E35">
        <w:rPr>
          <w:lang w:val="fr-FR"/>
        </w:rPr>
        <w:t>innovation et de transformation rapides au sein de l</w:t>
      </w:r>
      <w:r w:rsidR="00100E35">
        <w:rPr>
          <w:lang w:val="fr-FR"/>
        </w:rPr>
        <w:t>’</w:t>
      </w:r>
      <w:r w:rsidRPr="00100E35">
        <w:rPr>
          <w:lang w:val="fr-FR"/>
        </w:rPr>
        <w:t>industrie musica</w:t>
      </w:r>
      <w:r w:rsidR="007A1AE9" w:rsidRPr="00100E35">
        <w:rPr>
          <w:lang w:val="fr-FR"/>
        </w:rPr>
        <w:t>le</w:t>
      </w:r>
      <w:r w:rsidR="007A1AE9">
        <w:rPr>
          <w:lang w:val="fr-FR"/>
        </w:rPr>
        <w:t xml:space="preserve">.  </w:t>
      </w:r>
      <w:r w:rsidR="007A1AE9" w:rsidRPr="00100E35">
        <w:rPr>
          <w:lang w:val="fr-FR"/>
        </w:rPr>
        <w:t>Le</w:t>
      </w:r>
      <w:r w:rsidRPr="00100E35">
        <w:rPr>
          <w:lang w:val="fr-FR"/>
        </w:rPr>
        <w:t xml:space="preserve"> document colombien plaide en faveur d</w:t>
      </w:r>
      <w:r w:rsidR="00100E35">
        <w:rPr>
          <w:lang w:val="fr-FR"/>
        </w:rPr>
        <w:t>’</w:t>
      </w:r>
      <w:r w:rsidRPr="00100E35">
        <w:rPr>
          <w:lang w:val="fr-FR"/>
        </w:rPr>
        <w:t xml:space="preserve">un </w:t>
      </w:r>
      <w:r w:rsidRPr="00100E35">
        <w:rPr>
          <w:i/>
          <w:iCs/>
          <w:lang w:val="fr-FR"/>
        </w:rPr>
        <w:t>rééquilibrage</w:t>
      </w:r>
      <w:r w:rsidRPr="00100E35">
        <w:rPr>
          <w:lang w:val="fr-FR"/>
        </w:rPr>
        <w:t xml:space="preserve"> du régime mondial de la propriété intellectuelle, mettant l</w:t>
      </w:r>
      <w:r w:rsidR="00100E35">
        <w:rPr>
          <w:lang w:val="fr-FR"/>
        </w:rPr>
        <w:t>’</w:t>
      </w:r>
      <w:r w:rsidRPr="00100E35">
        <w:rPr>
          <w:lang w:val="fr-FR"/>
        </w:rPr>
        <w:t xml:space="preserve">accent sur le rôle de la propriété intellectuelle en tant que </w:t>
      </w:r>
      <w:r w:rsidRPr="00100E35">
        <w:rPr>
          <w:b/>
          <w:bCs/>
          <w:lang w:val="fr-FR"/>
        </w:rPr>
        <w:t>catalyseur au service d</w:t>
      </w:r>
      <w:r w:rsidR="00100E35">
        <w:rPr>
          <w:b/>
          <w:bCs/>
          <w:lang w:val="fr-FR"/>
        </w:rPr>
        <w:t>’</w:t>
      </w:r>
      <w:r w:rsidRPr="00100E35">
        <w:rPr>
          <w:b/>
          <w:bCs/>
          <w:lang w:val="fr-FR"/>
        </w:rPr>
        <w:t>un développement inclusif et durable</w:t>
      </w:r>
      <w:r w:rsidRPr="00100E35">
        <w:rPr>
          <w:lang w:val="fr-FR"/>
        </w:rPr>
        <w:t>, plutôt que de mécanisme renforçant les asymétries économiques ou perpétuant le contrôle hégémonique sur les pays en développeme</w:t>
      </w:r>
      <w:r w:rsidR="007A1AE9" w:rsidRPr="00100E35">
        <w:rPr>
          <w:lang w:val="fr-FR"/>
        </w:rPr>
        <w:t>nt</w:t>
      </w:r>
      <w:r w:rsidR="007A1AE9">
        <w:rPr>
          <w:lang w:val="fr-FR"/>
        </w:rPr>
        <w:t xml:space="preserve">.  </w:t>
      </w:r>
      <w:r w:rsidR="007A1AE9" w:rsidRPr="00100E35">
        <w:rPr>
          <w:lang w:val="fr-FR"/>
        </w:rPr>
        <w:t>En</w:t>
      </w:r>
      <w:r w:rsidRPr="00100E35">
        <w:rPr>
          <w:lang w:val="fr-FR"/>
        </w:rPr>
        <w:t xml:space="preserve"> ce sens, il est toujours plus nécessaire de porter une initiative qui protège les créateurs contre la concentration croissante du pouvoir commercial entre les mains des grandes plateformes et qui établisse un cadre réglementaire favorisant une utilisation juste grâce à des mécanismes de distribution équitabl</w:t>
      </w:r>
      <w:r w:rsidR="007A1AE9" w:rsidRPr="00100E35">
        <w:rPr>
          <w:lang w:val="fr-FR"/>
        </w:rPr>
        <w:t>es</w:t>
      </w:r>
      <w:r w:rsidR="007A1AE9">
        <w:rPr>
          <w:lang w:val="fr-FR"/>
        </w:rPr>
        <w:t xml:space="preserve">.  </w:t>
      </w:r>
      <w:r w:rsidR="007A1AE9" w:rsidRPr="00100E35">
        <w:rPr>
          <w:lang w:val="fr-FR"/>
        </w:rPr>
        <w:t>Ce</w:t>
      </w:r>
      <w:r w:rsidRPr="00100E35">
        <w:rPr>
          <w:lang w:val="fr-FR"/>
        </w:rPr>
        <w:t>tte initiative pourrait non seulement promouvoir la justice économique au sein de l</w:t>
      </w:r>
      <w:r w:rsidR="00100E35">
        <w:rPr>
          <w:lang w:val="fr-FR"/>
        </w:rPr>
        <w:t>’</w:t>
      </w:r>
      <w:r w:rsidRPr="00100E35">
        <w:rPr>
          <w:lang w:val="fr-FR"/>
        </w:rPr>
        <w:t>industrie musicale mondiale, mais aussi appuyer et préserver efficacement l</w:t>
      </w:r>
      <w:r w:rsidR="00100E35">
        <w:rPr>
          <w:lang w:val="fr-FR"/>
        </w:rPr>
        <w:t>’</w:t>
      </w:r>
      <w:r w:rsidRPr="00100E35">
        <w:rPr>
          <w:lang w:val="fr-FR"/>
        </w:rPr>
        <w:t>expression culturelle à l</w:t>
      </w:r>
      <w:r w:rsidR="00100E35">
        <w:rPr>
          <w:lang w:val="fr-FR"/>
        </w:rPr>
        <w:t>’</w:t>
      </w:r>
      <w:r w:rsidRPr="00100E35">
        <w:rPr>
          <w:lang w:val="fr-FR"/>
        </w:rPr>
        <w:t>ère du numérique.</w:t>
      </w:r>
    </w:p>
    <w:p w14:paraId="0285BA34" w14:textId="5070A3CF" w:rsidR="00AC4817" w:rsidRPr="00100E35" w:rsidRDefault="00AC4817" w:rsidP="00AC4817">
      <w:pPr>
        <w:pStyle w:val="Heading51"/>
        <w:rPr>
          <w:color w:val="1F497D" w:themeColor="text2"/>
        </w:rPr>
      </w:pPr>
      <w:bookmarkStart w:id="8" w:name="_Toc213431753"/>
      <w:r w:rsidRPr="00100E35">
        <w:rPr>
          <w:color w:val="1F497D" w:themeColor="text2"/>
        </w:rPr>
        <w:t>Gouvernance des phonogrammes et des redevances audiovisuelles dans l</w:t>
      </w:r>
      <w:r w:rsidR="00100E35">
        <w:rPr>
          <w:color w:val="1F497D" w:themeColor="text2"/>
        </w:rPr>
        <w:t>’</w:t>
      </w:r>
      <w:r w:rsidRPr="00100E35">
        <w:rPr>
          <w:color w:val="1F497D" w:themeColor="text2"/>
        </w:rPr>
        <w:t>environnement numérique</w:t>
      </w:r>
      <w:r w:rsidR="00100E35">
        <w:rPr>
          <w:color w:val="1F497D" w:themeColor="text2"/>
        </w:rPr>
        <w:t> :</w:t>
      </w:r>
      <w:r w:rsidRPr="00100E35">
        <w:rPr>
          <w:color w:val="1F497D" w:themeColor="text2"/>
        </w:rPr>
        <w:t xml:space="preserve"> le cas de l</w:t>
      </w:r>
      <w:r w:rsidR="00100E35">
        <w:rPr>
          <w:color w:val="1F497D" w:themeColor="text2"/>
        </w:rPr>
        <w:t>’</w:t>
      </w:r>
      <w:r w:rsidRPr="00100E35">
        <w:rPr>
          <w:color w:val="1F497D" w:themeColor="text2"/>
        </w:rPr>
        <w:t>Indonésie</w:t>
      </w:r>
      <w:bookmarkEnd w:id="8"/>
    </w:p>
    <w:p w14:paraId="5F4514DC" w14:textId="663E06F2"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L</w:t>
      </w:r>
      <w:r w:rsidR="00100E35">
        <w:rPr>
          <w:lang w:val="fr-FR"/>
        </w:rPr>
        <w:t>’</w:t>
      </w:r>
      <w:r w:rsidRPr="00100E35">
        <w:rPr>
          <w:lang w:val="fr-FR"/>
        </w:rPr>
        <w:t>Indonésie a mis en place un cadre réglementaire pour les droits de propriété intellectuelle en conjuguant la ratification d</w:t>
      </w:r>
      <w:r w:rsidR="00100E35">
        <w:rPr>
          <w:lang w:val="fr-FR"/>
        </w:rPr>
        <w:t>’</w:t>
      </w:r>
      <w:r w:rsidRPr="00100E35">
        <w:rPr>
          <w:lang w:val="fr-FR"/>
        </w:rPr>
        <w:t>accords internationaux et la promulgation d</w:t>
      </w:r>
      <w:r w:rsidR="00100E35">
        <w:rPr>
          <w:lang w:val="fr-FR"/>
        </w:rPr>
        <w:t>’</w:t>
      </w:r>
      <w:r w:rsidRPr="00100E35">
        <w:rPr>
          <w:lang w:val="fr-FR"/>
        </w:rPr>
        <w:t>une législation nationale régissant chaque régime de propriété intellectuel</w:t>
      </w:r>
      <w:r w:rsidR="007A1AE9" w:rsidRPr="00100E35">
        <w:rPr>
          <w:lang w:val="fr-FR"/>
        </w:rPr>
        <w:t>le</w:t>
      </w:r>
      <w:r w:rsidR="007A1AE9">
        <w:rPr>
          <w:lang w:val="fr-FR"/>
        </w:rPr>
        <w:t xml:space="preserve">.  </w:t>
      </w:r>
      <w:r w:rsidR="007A1AE9" w:rsidRPr="00100E35">
        <w:rPr>
          <w:lang w:val="fr-FR"/>
        </w:rPr>
        <w:t>Da</w:t>
      </w:r>
      <w:r w:rsidRPr="00100E35">
        <w:rPr>
          <w:lang w:val="fr-FR"/>
        </w:rPr>
        <w:t>ns le domaine du droit d</w:t>
      </w:r>
      <w:r w:rsidR="00100E35">
        <w:rPr>
          <w:lang w:val="fr-FR"/>
        </w:rPr>
        <w:t>’</w:t>
      </w:r>
      <w:r w:rsidRPr="00100E35">
        <w:rPr>
          <w:lang w:val="fr-FR"/>
        </w:rPr>
        <w:t>auteur, trois instruments juridiques principaux servent de fondement normatif</w:t>
      </w:r>
      <w:r w:rsidR="00100E35">
        <w:rPr>
          <w:lang w:val="fr-FR"/>
        </w:rPr>
        <w:t> :</w:t>
      </w:r>
    </w:p>
    <w:p w14:paraId="783E300F" w14:textId="0A2F90C9" w:rsidR="00AC4817" w:rsidRPr="00100E35" w:rsidRDefault="00AC4817" w:rsidP="00EA0A6B">
      <w:pPr>
        <w:numPr>
          <w:ilvl w:val="0"/>
          <w:numId w:val="7"/>
        </w:numPr>
        <w:spacing w:before="180" w:after="240"/>
        <w:ind w:left="1134" w:hanging="567"/>
        <w:contextualSpacing/>
        <w:jc w:val="both"/>
        <w:rPr>
          <w:rFonts w:eastAsia="Aptos" w:cs="Noto Sans Display"/>
          <w:kern w:val="2"/>
          <w:szCs w:val="22"/>
          <w:lang w:val="fr-FR"/>
          <w14:ligatures w14:val="standardContextual"/>
        </w:rPr>
      </w:pPr>
      <w:r w:rsidRPr="00100E35">
        <w:rPr>
          <w:lang w:val="fr-FR"/>
        </w:rPr>
        <w:t>la loi n°</w:t>
      </w:r>
      <w:r w:rsidR="0080246A">
        <w:rPr>
          <w:lang w:val="fr-FR"/>
        </w:rPr>
        <w:t> </w:t>
      </w:r>
      <w:r w:rsidRPr="00100E35">
        <w:rPr>
          <w:lang w:val="fr-FR"/>
        </w:rPr>
        <w:t>28 de 2014 sur le droit d</w:t>
      </w:r>
      <w:r w:rsidR="00100E35">
        <w:rPr>
          <w:lang w:val="fr-FR"/>
        </w:rPr>
        <w:t>’</w:t>
      </w:r>
      <w:r w:rsidRPr="00100E35">
        <w:rPr>
          <w:lang w:val="fr-FR"/>
        </w:rPr>
        <w:t>auteur (UU 28/2014),</w:t>
      </w:r>
    </w:p>
    <w:p w14:paraId="04C6B520" w14:textId="5DD22A10" w:rsidR="00AC4817" w:rsidRPr="00100E35" w:rsidRDefault="00AC4817" w:rsidP="00EA0A6B">
      <w:pPr>
        <w:numPr>
          <w:ilvl w:val="0"/>
          <w:numId w:val="7"/>
        </w:numPr>
        <w:spacing w:before="180" w:after="240"/>
        <w:ind w:left="1134" w:hanging="567"/>
        <w:contextualSpacing/>
        <w:jc w:val="both"/>
        <w:rPr>
          <w:rFonts w:eastAsia="Aptos" w:cs="Noto Sans Display"/>
          <w:kern w:val="2"/>
          <w:szCs w:val="22"/>
          <w:lang w:val="fr-FR"/>
          <w14:ligatures w14:val="standardContextual"/>
        </w:rPr>
      </w:pPr>
      <w:r w:rsidRPr="00100E35">
        <w:rPr>
          <w:lang w:val="fr-FR"/>
        </w:rPr>
        <w:t>le règlement du Gouvernement indonésien n°</w:t>
      </w:r>
      <w:r w:rsidR="0080246A">
        <w:rPr>
          <w:lang w:val="fr-FR"/>
        </w:rPr>
        <w:t> </w:t>
      </w:r>
      <w:r w:rsidRPr="00100E35">
        <w:rPr>
          <w:lang w:val="fr-FR"/>
        </w:rPr>
        <w:t>56 de 2021 sur la gestion des redevances de droit d</w:t>
      </w:r>
      <w:r w:rsidR="00100E35">
        <w:rPr>
          <w:lang w:val="fr-FR"/>
        </w:rPr>
        <w:t>’</w:t>
      </w:r>
      <w:r w:rsidRPr="00100E35">
        <w:rPr>
          <w:lang w:val="fr-FR"/>
        </w:rPr>
        <w:t>auteur pour les chansons et/ou la musique (PP/56/2021) et</w:t>
      </w:r>
    </w:p>
    <w:p w14:paraId="561F41E6" w14:textId="5CD22C8B" w:rsidR="00AC4817" w:rsidRPr="00100E35" w:rsidRDefault="00AC4817" w:rsidP="00EA0A6B">
      <w:pPr>
        <w:numPr>
          <w:ilvl w:val="0"/>
          <w:numId w:val="7"/>
        </w:numPr>
        <w:spacing w:before="180" w:after="240"/>
        <w:ind w:left="1134" w:hanging="567"/>
        <w:contextualSpacing/>
        <w:jc w:val="both"/>
        <w:rPr>
          <w:rFonts w:eastAsia="Aptos" w:cs="Noto Sans Display"/>
          <w:kern w:val="2"/>
          <w:szCs w:val="22"/>
          <w:lang w:val="fr-FR"/>
          <w14:ligatures w14:val="standardContextual"/>
        </w:rPr>
      </w:pPr>
      <w:r w:rsidRPr="00100E35">
        <w:rPr>
          <w:lang w:val="fr-FR"/>
        </w:rPr>
        <w:t>le règlement du Ministère de la justice et des droits de l</w:t>
      </w:r>
      <w:r w:rsidR="00100E35">
        <w:rPr>
          <w:lang w:val="fr-FR"/>
        </w:rPr>
        <w:t>’</w:t>
      </w:r>
      <w:r w:rsidRPr="00100E35">
        <w:rPr>
          <w:lang w:val="fr-FR"/>
        </w:rPr>
        <w:t>homme n°</w:t>
      </w:r>
      <w:r w:rsidR="0080246A">
        <w:rPr>
          <w:lang w:val="fr-FR"/>
        </w:rPr>
        <w:t> </w:t>
      </w:r>
      <w:r w:rsidRPr="00100E35">
        <w:rPr>
          <w:lang w:val="fr-FR"/>
        </w:rPr>
        <w:t>27 de 2025 sur la mise en œuvre du règlement du Gouvernement indonésien n°</w:t>
      </w:r>
      <w:r w:rsidR="0080246A">
        <w:rPr>
          <w:lang w:val="fr-FR"/>
        </w:rPr>
        <w:t> </w:t>
      </w:r>
      <w:r w:rsidRPr="00100E35">
        <w:rPr>
          <w:lang w:val="fr-FR"/>
        </w:rPr>
        <w:t>56 de 2021 (Permenkumham 27/2025).</w:t>
      </w:r>
    </w:p>
    <w:p w14:paraId="082FF404" w14:textId="413A1BA6"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Ces instruments réaffirment le rôle de l</w:t>
      </w:r>
      <w:r w:rsidR="00100E35">
        <w:rPr>
          <w:lang w:val="fr-FR"/>
        </w:rPr>
        <w:t>’</w:t>
      </w:r>
      <w:r w:rsidRPr="00100E35">
        <w:rPr>
          <w:lang w:val="fr-FR"/>
        </w:rPr>
        <w:t xml:space="preserve">organisation nationale de gestion collective (dans </w:t>
      </w:r>
      <w:r w:rsidRPr="00100E35">
        <w:rPr>
          <w:i/>
          <w:lang w:val="fr-FR"/>
        </w:rPr>
        <w:t>Bahasa Indonesia: Lembaga Manajemen Kolektif National</w:t>
      </w:r>
      <w:r w:rsidRPr="00100E35">
        <w:rPr>
          <w:lang w:val="fr-FR"/>
        </w:rPr>
        <w:t>, ci</w:t>
      </w:r>
      <w:r w:rsidR="00100E35">
        <w:rPr>
          <w:lang w:val="fr-FR"/>
        </w:rPr>
        <w:t>-</w:t>
      </w:r>
      <w:r w:rsidRPr="00100E35">
        <w:rPr>
          <w:lang w:val="fr-FR"/>
        </w:rPr>
        <w:t xml:space="preserve">après LMKN) et des organisations de gestion collective (dans </w:t>
      </w:r>
      <w:r w:rsidRPr="00100E35">
        <w:rPr>
          <w:i/>
          <w:lang w:val="fr-FR"/>
        </w:rPr>
        <w:t>Bahasa Indonesia: Lembaga Manajemen Kolektif</w:t>
      </w:r>
      <w:r w:rsidRPr="00100E35">
        <w:rPr>
          <w:lang w:val="fr-FR"/>
        </w:rPr>
        <w:t>, ci</w:t>
      </w:r>
      <w:r w:rsidR="00100E35">
        <w:rPr>
          <w:lang w:val="fr-FR"/>
        </w:rPr>
        <w:t>-</w:t>
      </w:r>
      <w:r w:rsidRPr="00100E35">
        <w:rPr>
          <w:lang w:val="fr-FR"/>
        </w:rPr>
        <w:t>après LMK) en tant qu</w:t>
      </w:r>
      <w:r w:rsidR="00100E35">
        <w:rPr>
          <w:lang w:val="fr-FR"/>
        </w:rPr>
        <w:t>’</w:t>
      </w:r>
      <w:r w:rsidRPr="00100E35">
        <w:rPr>
          <w:lang w:val="fr-FR"/>
        </w:rPr>
        <w:t>entités responsables de la collecte et de la distribution des redevances pour les œuvres musicales et audiovisuell</w:t>
      </w:r>
      <w:r w:rsidR="007A1AE9" w:rsidRPr="00100E35">
        <w:rPr>
          <w:lang w:val="fr-FR"/>
        </w:rPr>
        <w:t>es</w:t>
      </w:r>
      <w:r w:rsidR="007A1AE9">
        <w:rPr>
          <w:lang w:val="fr-FR"/>
        </w:rPr>
        <w:t xml:space="preserve">.  </w:t>
      </w:r>
      <w:r w:rsidR="007A1AE9" w:rsidRPr="00100E35">
        <w:rPr>
          <w:lang w:val="fr-FR"/>
        </w:rPr>
        <w:t>Le</w:t>
      </w:r>
      <w:r w:rsidRPr="00100E35">
        <w:rPr>
          <w:lang w:val="fr-FR"/>
        </w:rPr>
        <w:t xml:space="preserve">ur fonctionnement est étayé par des infrastructures numériques, telles que la base de données des chansons et de la musique (dans </w:t>
      </w:r>
      <w:r w:rsidRPr="00100E35">
        <w:rPr>
          <w:i/>
          <w:lang w:val="fr-FR"/>
        </w:rPr>
        <w:t>Bahasa Indonesia: Pusat Data Lagu dan/atau Musik</w:t>
      </w:r>
      <w:r w:rsidRPr="00100E35">
        <w:rPr>
          <w:lang w:val="fr-FR"/>
        </w:rPr>
        <w:t>, ci</w:t>
      </w:r>
      <w:r w:rsidR="00100E35">
        <w:rPr>
          <w:lang w:val="fr-FR"/>
        </w:rPr>
        <w:t>-</w:t>
      </w:r>
      <w:r w:rsidRPr="00100E35">
        <w:rPr>
          <w:lang w:val="fr-FR"/>
        </w:rPr>
        <w:t>après PDLM) et le système à venir d</w:t>
      </w:r>
      <w:r w:rsidR="00100E35">
        <w:rPr>
          <w:lang w:val="fr-FR"/>
        </w:rPr>
        <w:t>’</w:t>
      </w:r>
      <w:r w:rsidRPr="00100E35">
        <w:rPr>
          <w:lang w:val="fr-FR"/>
        </w:rPr>
        <w:t xml:space="preserve">informations sur les chansons et la musique (dans </w:t>
      </w:r>
      <w:r w:rsidRPr="00100E35">
        <w:rPr>
          <w:i/>
          <w:lang w:val="fr-FR"/>
        </w:rPr>
        <w:t>Bahasa Indonesia: Sistem Informasi Lagu dan Musik</w:t>
      </w:r>
      <w:r w:rsidRPr="00100E35">
        <w:rPr>
          <w:lang w:val="fr-FR"/>
        </w:rPr>
        <w:t>, ci</w:t>
      </w:r>
      <w:r w:rsidR="00100E35">
        <w:rPr>
          <w:lang w:val="fr-FR"/>
        </w:rPr>
        <w:t>-</w:t>
      </w:r>
      <w:r w:rsidRPr="00100E35">
        <w:rPr>
          <w:lang w:val="fr-FR"/>
        </w:rPr>
        <w:t>après SILM).</w:t>
      </w:r>
      <w:r w:rsidR="0080246A">
        <w:rPr>
          <w:lang w:val="fr-FR"/>
        </w:rPr>
        <w:t xml:space="preserve"> </w:t>
      </w:r>
      <w:r w:rsidRPr="00100E35">
        <w:rPr>
          <w:lang w:val="fr-FR"/>
        </w:rPr>
        <w:t xml:space="preserve"> Cette architecture réglementaire reflète l</w:t>
      </w:r>
      <w:r w:rsidR="00100E35">
        <w:rPr>
          <w:lang w:val="fr-FR"/>
        </w:rPr>
        <w:t>’</w:t>
      </w:r>
      <w:r w:rsidRPr="00100E35">
        <w:rPr>
          <w:lang w:val="fr-FR"/>
        </w:rPr>
        <w:t>engagement du gouvernement à promouvoir la transparence, la responsabilité et l</w:t>
      </w:r>
      <w:r w:rsidR="00100E35">
        <w:rPr>
          <w:lang w:val="fr-FR"/>
        </w:rPr>
        <w:t>’</w:t>
      </w:r>
      <w:r w:rsidRPr="00100E35">
        <w:rPr>
          <w:lang w:val="fr-FR"/>
        </w:rPr>
        <w:t>équité dans la collecte, la distribution et l</w:t>
      </w:r>
      <w:r w:rsidR="00100E35">
        <w:rPr>
          <w:lang w:val="fr-FR"/>
        </w:rPr>
        <w:t>’</w:t>
      </w:r>
      <w:r w:rsidRPr="00100E35">
        <w:rPr>
          <w:lang w:val="fr-FR"/>
        </w:rPr>
        <w:t>utilisation des redevances, de sorte que les créateurs, les titulaires de droits et les parties prenantes concernées reçoivent une rémunération équitable pour leurs contributions.</w:t>
      </w:r>
    </w:p>
    <w:p w14:paraId="32B100AA" w14:textId="635D8DB2"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Si le cadre réglementaire existant offre une base normative solide, il reste des domaines à améliorer au niveau de sa mise en œuvre pratiq</w:t>
      </w:r>
      <w:r w:rsidR="007A1AE9" w:rsidRPr="00100E35">
        <w:rPr>
          <w:lang w:val="fr-FR"/>
        </w:rPr>
        <w:t>ue</w:t>
      </w:r>
      <w:r w:rsidR="007A1AE9">
        <w:rPr>
          <w:lang w:val="fr-FR"/>
        </w:rPr>
        <w:t xml:space="preserve">.  </w:t>
      </w:r>
      <w:r w:rsidR="007A1AE9" w:rsidRPr="00100E35">
        <w:rPr>
          <w:lang w:val="fr-FR"/>
        </w:rPr>
        <w:t>Le</w:t>
      </w:r>
      <w:r w:rsidRPr="00100E35">
        <w:rPr>
          <w:lang w:val="fr-FR"/>
        </w:rPr>
        <w:t xml:space="preserve"> présent document de travail recense </w:t>
      </w:r>
      <w:r w:rsidRPr="007A1AE9">
        <w:rPr>
          <w:b/>
          <w:lang w:val="fr-FR"/>
        </w:rPr>
        <w:t>trois </w:t>
      </w:r>
      <w:r w:rsidRPr="00100E35">
        <w:rPr>
          <w:b/>
          <w:lang w:val="fr-FR"/>
        </w:rPr>
        <w:t>questions clés</w:t>
      </w:r>
      <w:r w:rsidRPr="00100E35">
        <w:rPr>
          <w:lang w:val="fr-FR"/>
        </w:rPr>
        <w:t xml:space="preserve"> qui méritent l</w:t>
      </w:r>
      <w:r w:rsidR="00100E35">
        <w:rPr>
          <w:lang w:val="fr-FR"/>
        </w:rPr>
        <w:t>’</w:t>
      </w:r>
      <w:r w:rsidRPr="00100E35">
        <w:rPr>
          <w:lang w:val="fr-FR"/>
        </w:rPr>
        <w:t>attention des parties prenantes nationales</w:t>
      </w:r>
      <w:r w:rsidR="00100E35">
        <w:rPr>
          <w:lang w:val="fr-FR"/>
        </w:rPr>
        <w:t> :</w:t>
      </w:r>
      <w:r w:rsidRPr="00100E35">
        <w:rPr>
          <w:lang w:val="fr-FR"/>
        </w:rPr>
        <w:t xml:space="preserve"> 1) les </w:t>
      </w:r>
      <w:r w:rsidRPr="00100E35">
        <w:rPr>
          <w:b/>
          <w:lang w:val="fr-FR"/>
        </w:rPr>
        <w:t>lacunes concernant les infrastructures</w:t>
      </w:r>
      <w:r w:rsidRPr="00100E35">
        <w:rPr>
          <w:lang w:val="fr-FR"/>
        </w:rPr>
        <w:t xml:space="preserve"> qui entravent la gestion efficace des droits et la distribution des redevances;  2) la </w:t>
      </w:r>
      <w:r w:rsidRPr="00100E35">
        <w:rPr>
          <w:b/>
          <w:bCs/>
          <w:lang w:val="fr-FR"/>
        </w:rPr>
        <w:t>proportionnalité en matière de fixation des tarifs,</w:t>
      </w:r>
      <w:r w:rsidRPr="00100E35">
        <w:rPr>
          <w:lang w:val="fr-FR"/>
        </w:rPr>
        <w:t xml:space="preserve"> notamment </w:t>
      </w:r>
      <w:r w:rsidR="00100E35">
        <w:rPr>
          <w:lang w:val="fr-FR"/>
        </w:rPr>
        <w:t>à l’égard</w:t>
      </w:r>
      <w:r w:rsidRPr="00100E35">
        <w:rPr>
          <w:lang w:val="fr-FR"/>
        </w:rPr>
        <w:t xml:space="preserve"> des micro, petites et moyennes entreprises (MPME), qui peuvent faire l</w:t>
      </w:r>
      <w:r w:rsidR="00100E35">
        <w:rPr>
          <w:lang w:val="fr-FR"/>
        </w:rPr>
        <w:t>’</w:t>
      </w:r>
      <w:r w:rsidRPr="00100E35">
        <w:rPr>
          <w:lang w:val="fr-FR"/>
        </w:rPr>
        <w:t>objet de tarifs disproportionnés;  et 3) la</w:t>
      </w:r>
      <w:r w:rsidRPr="00100E35">
        <w:rPr>
          <w:b/>
          <w:bCs/>
          <w:lang w:val="fr-FR"/>
        </w:rPr>
        <w:t xml:space="preserve"> transparence des organisations de gestion collective</w:t>
      </w:r>
      <w:r w:rsidRPr="00100E35">
        <w:rPr>
          <w:lang w:val="fr-FR"/>
        </w:rPr>
        <w:t>, qui reste un aspect crucial pour garantir la responsabilité et la confiance dans le systè</w:t>
      </w:r>
      <w:r w:rsidR="007A1AE9" w:rsidRPr="00100E35">
        <w:rPr>
          <w:lang w:val="fr-FR"/>
        </w:rPr>
        <w:t>me</w:t>
      </w:r>
      <w:r w:rsidR="007A1AE9">
        <w:rPr>
          <w:lang w:val="fr-FR"/>
        </w:rPr>
        <w:t xml:space="preserve">.  </w:t>
      </w:r>
      <w:r w:rsidR="007A1AE9" w:rsidRPr="00100E35">
        <w:rPr>
          <w:lang w:val="fr-FR"/>
        </w:rPr>
        <w:t>Il</w:t>
      </w:r>
      <w:r w:rsidRPr="00100E35">
        <w:rPr>
          <w:lang w:val="fr-FR"/>
        </w:rPr>
        <w:t xml:space="preserve"> importe donc de résoudre ces questions pour renforcer l</w:t>
      </w:r>
      <w:r w:rsidR="00100E35">
        <w:rPr>
          <w:lang w:val="fr-FR"/>
        </w:rPr>
        <w:t>’</w:t>
      </w:r>
      <w:r w:rsidRPr="00100E35">
        <w:rPr>
          <w:lang w:val="fr-FR"/>
        </w:rPr>
        <w:t>efficacité du régime indonésien de redevances au titre du droit d</w:t>
      </w:r>
      <w:r w:rsidR="00100E35">
        <w:rPr>
          <w:lang w:val="fr-FR"/>
        </w:rPr>
        <w:t>’</w:t>
      </w:r>
      <w:r w:rsidRPr="00100E35">
        <w:rPr>
          <w:lang w:val="fr-FR"/>
        </w:rPr>
        <w:t>auteur et le rendre plus conforme aux principes d</w:t>
      </w:r>
      <w:r w:rsidR="00100E35">
        <w:rPr>
          <w:lang w:val="fr-FR"/>
        </w:rPr>
        <w:t>’</w:t>
      </w:r>
      <w:r w:rsidRPr="00100E35">
        <w:rPr>
          <w:lang w:val="fr-FR"/>
        </w:rPr>
        <w:t>équité, d</w:t>
      </w:r>
      <w:r w:rsidR="00100E35">
        <w:rPr>
          <w:lang w:val="fr-FR"/>
        </w:rPr>
        <w:t>’</w:t>
      </w:r>
      <w:r w:rsidRPr="00100E35">
        <w:rPr>
          <w:lang w:val="fr-FR"/>
        </w:rPr>
        <w:t>inclusivité et de sécurité juridique.</w:t>
      </w:r>
    </w:p>
    <w:p w14:paraId="4B7350F9" w14:textId="0603C490"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Au niveau fondamental de l</w:t>
      </w:r>
      <w:r w:rsidR="00100E35">
        <w:rPr>
          <w:lang w:val="fr-FR"/>
        </w:rPr>
        <w:t>’</w:t>
      </w:r>
      <w:r w:rsidRPr="00100E35">
        <w:rPr>
          <w:lang w:val="fr-FR"/>
        </w:rPr>
        <w:t>infrastructure technique pour la collecte des redevances, l</w:t>
      </w:r>
      <w:r w:rsidR="00100E35">
        <w:rPr>
          <w:lang w:val="fr-FR"/>
        </w:rPr>
        <w:t>’</w:t>
      </w:r>
      <w:r w:rsidRPr="00100E35">
        <w:rPr>
          <w:lang w:val="fr-FR"/>
        </w:rPr>
        <w:t>un des principaux défis réside dans l</w:t>
      </w:r>
      <w:r w:rsidR="00100E35">
        <w:rPr>
          <w:lang w:val="fr-FR"/>
        </w:rPr>
        <w:t>’</w:t>
      </w:r>
      <w:r w:rsidRPr="00100E35">
        <w:rPr>
          <w:lang w:val="fr-FR"/>
        </w:rPr>
        <w:t>absence d</w:t>
      </w:r>
      <w:r w:rsidR="00100E35">
        <w:rPr>
          <w:lang w:val="fr-FR"/>
        </w:rPr>
        <w:t>’</w:t>
      </w:r>
      <w:r w:rsidRPr="00100E35">
        <w:rPr>
          <w:lang w:val="fr-FR"/>
        </w:rPr>
        <w:t>un outil essentiel</w:t>
      </w:r>
      <w:r w:rsidR="00100E35">
        <w:rPr>
          <w:lang w:val="fr-FR"/>
        </w:rPr>
        <w:t> :</w:t>
      </w:r>
      <w:r w:rsidRPr="00100E35">
        <w:rPr>
          <w:lang w:val="fr-FR"/>
        </w:rPr>
        <w:t xml:space="preserve"> le système S</w:t>
      </w:r>
      <w:r w:rsidR="007A1AE9" w:rsidRPr="00100E35">
        <w:rPr>
          <w:lang w:val="fr-FR"/>
        </w:rPr>
        <w:t>ILM</w:t>
      </w:r>
      <w:r w:rsidR="007A1AE9">
        <w:rPr>
          <w:lang w:val="fr-FR"/>
        </w:rPr>
        <w:t xml:space="preserve">.  </w:t>
      </w:r>
      <w:r w:rsidR="007A1AE9" w:rsidRPr="00100E35">
        <w:rPr>
          <w:lang w:val="fr-FR"/>
        </w:rPr>
        <w:t>Bi</w:t>
      </w:r>
      <w:r w:rsidRPr="00100E35">
        <w:rPr>
          <w:lang w:val="fr-FR"/>
        </w:rPr>
        <w:t>en que prévu par le règlement du Gouvernement indonésien n°</w:t>
      </w:r>
      <w:r w:rsidR="0080246A">
        <w:rPr>
          <w:lang w:val="fr-FR"/>
        </w:rPr>
        <w:t> </w:t>
      </w:r>
      <w:r w:rsidRPr="00100E35">
        <w:rPr>
          <w:lang w:val="fr-FR"/>
        </w:rPr>
        <w:t>56 de 2021, cet outil n</w:t>
      </w:r>
      <w:r w:rsidR="00100E35">
        <w:rPr>
          <w:lang w:val="fr-FR"/>
        </w:rPr>
        <w:t>’</w:t>
      </w:r>
      <w:r w:rsidRPr="00100E35">
        <w:rPr>
          <w:lang w:val="fr-FR"/>
        </w:rPr>
        <w:t>a pas encore été mis en pla</w:t>
      </w:r>
      <w:r w:rsidR="007A1AE9" w:rsidRPr="00100E35">
        <w:rPr>
          <w:lang w:val="fr-FR"/>
        </w:rPr>
        <w:t>ce</w:t>
      </w:r>
      <w:r w:rsidR="007A1AE9">
        <w:rPr>
          <w:lang w:val="fr-FR"/>
        </w:rPr>
        <w:t xml:space="preserve">.  </w:t>
      </w:r>
      <w:r w:rsidR="007A1AE9" w:rsidRPr="00100E35">
        <w:rPr>
          <w:lang w:val="fr-FR"/>
        </w:rPr>
        <w:t>Qu</w:t>
      </w:r>
      <w:r w:rsidRPr="00100E35">
        <w:rPr>
          <w:lang w:val="fr-FR"/>
        </w:rPr>
        <w:t>atre ans après l</w:t>
      </w:r>
      <w:r w:rsidR="00100E35">
        <w:rPr>
          <w:lang w:val="fr-FR"/>
        </w:rPr>
        <w:t>’</w:t>
      </w:r>
      <w:r w:rsidRPr="00100E35">
        <w:rPr>
          <w:lang w:val="fr-FR"/>
        </w:rPr>
        <w:t>entrée en vigueur du règlement, il est toujours en cours d</w:t>
      </w:r>
      <w:r w:rsidR="00100E35">
        <w:rPr>
          <w:lang w:val="fr-FR"/>
        </w:rPr>
        <w:t>’</w:t>
      </w:r>
      <w:r w:rsidRPr="00100E35">
        <w:rPr>
          <w:lang w:val="fr-FR"/>
        </w:rPr>
        <w:t>élaboration par</w:t>
      </w:r>
      <w:r w:rsidR="00100E35" w:rsidRPr="00100E35">
        <w:rPr>
          <w:lang w:val="fr-FR"/>
        </w:rPr>
        <w:t xml:space="preserve"> la</w:t>
      </w:r>
      <w:r w:rsidR="00100E35">
        <w:rPr>
          <w:lang w:val="fr-FR"/>
        </w:rPr>
        <w:t> </w:t>
      </w:r>
      <w:r w:rsidR="00100E35" w:rsidRPr="00100E35">
        <w:rPr>
          <w:lang w:val="fr-FR"/>
        </w:rPr>
        <w:t>LMK</w:t>
      </w:r>
      <w:r w:rsidRPr="00100E35">
        <w:rPr>
          <w:lang w:val="fr-FR"/>
        </w:rPr>
        <w:t>N nationale</w:t>
      </w:r>
      <w:r w:rsidRPr="00100E35">
        <w:rPr>
          <w:rFonts w:eastAsia="Aptos" w:cs="Noto Sans Display"/>
          <w:kern w:val="2"/>
          <w:szCs w:val="22"/>
          <w:vertAlign w:val="superscript"/>
          <w:lang w:val="fr-FR" w:eastAsia="en-US"/>
        </w:rPr>
        <w:endnoteReference w:id="10"/>
      </w:r>
      <w:r w:rsidRPr="00100E35">
        <w:rPr>
          <w:lang w:val="fr-FR"/>
        </w:rPr>
        <w:t xml:space="preserve">. </w:t>
      </w:r>
      <w:r w:rsidR="0080246A">
        <w:rPr>
          <w:lang w:val="fr-FR"/>
        </w:rPr>
        <w:t xml:space="preserve"> </w:t>
      </w:r>
      <w:r w:rsidRPr="00100E35">
        <w:rPr>
          <w:lang w:val="fr-FR"/>
        </w:rPr>
        <w:t xml:space="preserve">Bien que le ministère ait lancé avec succès la base de données PDLM en </w:t>
      </w:r>
      <w:r w:rsidR="00100E35" w:rsidRPr="00100E35">
        <w:rPr>
          <w:lang w:val="fr-FR"/>
        </w:rPr>
        <w:t>novembre</w:t>
      </w:r>
      <w:r w:rsidR="00100E35">
        <w:rPr>
          <w:lang w:val="fr-FR"/>
        </w:rPr>
        <w:t> </w:t>
      </w:r>
      <w:r w:rsidR="00100E35" w:rsidRPr="00100E35">
        <w:rPr>
          <w:lang w:val="fr-FR"/>
        </w:rPr>
        <w:t>20</w:t>
      </w:r>
      <w:r w:rsidRPr="00100E35">
        <w:rPr>
          <w:lang w:val="fr-FR"/>
        </w:rPr>
        <w:t>22</w:t>
      </w:r>
      <w:r w:rsidRPr="00100E35">
        <w:rPr>
          <w:rFonts w:eastAsia="Aptos" w:cs="Noto Sans Display"/>
          <w:kern w:val="2"/>
          <w:szCs w:val="22"/>
          <w:vertAlign w:val="superscript"/>
          <w:lang w:val="fr-FR" w:eastAsia="en-US"/>
        </w:rPr>
        <w:endnoteReference w:id="11"/>
      </w:r>
      <w:r w:rsidRPr="00100E35">
        <w:rPr>
          <w:lang w:val="fr-FR"/>
        </w:rPr>
        <w:t>, l</w:t>
      </w:r>
      <w:r w:rsidR="00100E35">
        <w:rPr>
          <w:lang w:val="fr-FR"/>
        </w:rPr>
        <w:t>’</w:t>
      </w:r>
      <w:r w:rsidRPr="00100E35">
        <w:rPr>
          <w:lang w:val="fr-FR"/>
        </w:rPr>
        <w:t>absence d</w:t>
      </w:r>
      <w:r w:rsidR="00100E35">
        <w:rPr>
          <w:lang w:val="fr-FR"/>
        </w:rPr>
        <w:t>’</w:t>
      </w:r>
      <w:r w:rsidRPr="00100E35">
        <w:rPr>
          <w:lang w:val="fr-FR"/>
        </w:rPr>
        <w:t>un système correspondant opéré par</w:t>
      </w:r>
      <w:r w:rsidR="00100E35" w:rsidRPr="00100E35">
        <w:rPr>
          <w:lang w:val="fr-FR"/>
        </w:rPr>
        <w:t xml:space="preserve"> la</w:t>
      </w:r>
      <w:r w:rsidR="00100E35">
        <w:rPr>
          <w:lang w:val="fr-FR"/>
        </w:rPr>
        <w:t> </w:t>
      </w:r>
      <w:r w:rsidR="00100E35" w:rsidRPr="00100E35">
        <w:rPr>
          <w:lang w:val="fr-FR"/>
        </w:rPr>
        <w:t>LMK</w:t>
      </w:r>
      <w:r w:rsidRPr="00100E35">
        <w:rPr>
          <w:lang w:val="fr-FR"/>
        </w:rPr>
        <w:t>N constitue un obstacle important à l</w:t>
      </w:r>
      <w:r w:rsidR="00100E35">
        <w:rPr>
          <w:lang w:val="fr-FR"/>
        </w:rPr>
        <w:t>’</w:t>
      </w:r>
      <w:r w:rsidRPr="00100E35">
        <w:rPr>
          <w:b/>
          <w:lang w:val="fr-FR"/>
        </w:rPr>
        <w:t>interopérabilité des donné</w:t>
      </w:r>
      <w:r w:rsidR="007A1AE9" w:rsidRPr="00100E35">
        <w:rPr>
          <w:b/>
          <w:lang w:val="fr-FR"/>
        </w:rPr>
        <w:t>es</w:t>
      </w:r>
      <w:r w:rsidR="007A1AE9">
        <w:rPr>
          <w:b/>
          <w:lang w:val="fr-FR"/>
        </w:rPr>
        <w:t xml:space="preserve">.  </w:t>
      </w:r>
      <w:r w:rsidR="007A1AE9" w:rsidRPr="00100E35">
        <w:rPr>
          <w:lang w:val="fr-FR"/>
        </w:rPr>
        <w:t>Ce</w:t>
      </w:r>
      <w:r w:rsidRPr="00100E35">
        <w:rPr>
          <w:lang w:val="fr-FR"/>
        </w:rPr>
        <w:t>tte limitation nuit indéniablement à l</w:t>
      </w:r>
      <w:r w:rsidR="00100E35">
        <w:rPr>
          <w:lang w:val="fr-FR"/>
        </w:rPr>
        <w:t>’</w:t>
      </w:r>
      <w:r w:rsidRPr="00100E35">
        <w:rPr>
          <w:lang w:val="fr-FR"/>
        </w:rPr>
        <w:t>exactitude, à la transparence et à l</w:t>
      </w:r>
      <w:r w:rsidR="00100E35">
        <w:rPr>
          <w:lang w:val="fr-FR"/>
        </w:rPr>
        <w:t>’</w:t>
      </w:r>
      <w:r w:rsidRPr="00100E35">
        <w:rPr>
          <w:lang w:val="fr-FR"/>
        </w:rPr>
        <w:t>efficacité de la collecte et de la distribution des redevances pour les œuvres musicales</w:t>
      </w:r>
      <w:r w:rsidRPr="00100E35">
        <w:rPr>
          <w:rFonts w:eastAsia="Aptos" w:cs="Noto Sans Display"/>
          <w:kern w:val="2"/>
          <w:szCs w:val="22"/>
          <w:vertAlign w:val="superscript"/>
          <w:lang w:val="fr-FR" w:eastAsia="en-US"/>
        </w:rPr>
        <w:endnoteReference w:id="12"/>
      </w:r>
      <w:r w:rsidRPr="00100E35">
        <w:rPr>
          <w:lang w:val="fr-FR"/>
        </w:rPr>
        <w:t xml:space="preserve">. </w:t>
      </w:r>
      <w:r w:rsidR="0080246A">
        <w:rPr>
          <w:lang w:val="fr-FR"/>
        </w:rPr>
        <w:t xml:space="preserve"> </w:t>
      </w:r>
      <w:r w:rsidRPr="00100E35">
        <w:rPr>
          <w:lang w:val="fr-FR"/>
        </w:rPr>
        <w:t>L</w:t>
      </w:r>
      <w:r w:rsidR="00100E35">
        <w:rPr>
          <w:lang w:val="fr-FR"/>
        </w:rPr>
        <w:t>’</w:t>
      </w:r>
      <w:r w:rsidRPr="00100E35">
        <w:rPr>
          <w:lang w:val="fr-FR"/>
        </w:rPr>
        <w:t>interopérabilité entre la base de données PDLM et le système SILM n</w:t>
      </w:r>
      <w:r w:rsidR="00100E35">
        <w:rPr>
          <w:lang w:val="fr-FR"/>
        </w:rPr>
        <w:t>’</w:t>
      </w:r>
      <w:r w:rsidRPr="00100E35">
        <w:rPr>
          <w:lang w:val="fr-FR"/>
        </w:rPr>
        <w:t>est pas seulement une question technique;  c</w:t>
      </w:r>
      <w:r w:rsidR="00100E35">
        <w:rPr>
          <w:lang w:val="fr-FR"/>
        </w:rPr>
        <w:t>’</w:t>
      </w:r>
      <w:r w:rsidRPr="00100E35">
        <w:rPr>
          <w:lang w:val="fr-FR"/>
        </w:rPr>
        <w:t>est une condition préalable essentielle à une surveillance rigoureuse de l</w:t>
      </w:r>
      <w:r w:rsidR="00100E35">
        <w:rPr>
          <w:lang w:val="fr-FR"/>
        </w:rPr>
        <w:t>’</w:t>
      </w:r>
      <w:r w:rsidRPr="00100E35">
        <w:rPr>
          <w:lang w:val="fr-FR"/>
        </w:rPr>
        <w:t>utilisation du droit d</w:t>
      </w:r>
      <w:r w:rsidR="00100E35">
        <w:rPr>
          <w:lang w:val="fr-FR"/>
        </w:rPr>
        <w:t>’</w:t>
      </w:r>
      <w:r w:rsidRPr="00100E35">
        <w:rPr>
          <w:lang w:val="fr-FR"/>
        </w:rPr>
        <w:t>auteur en ligne, en particulier dans l</w:t>
      </w:r>
      <w:r w:rsidR="00100E35">
        <w:rPr>
          <w:lang w:val="fr-FR"/>
        </w:rPr>
        <w:t>’</w:t>
      </w:r>
      <w:r w:rsidRPr="00100E35">
        <w:rPr>
          <w:lang w:val="fr-FR"/>
        </w:rPr>
        <w:t>industrie musica</w:t>
      </w:r>
      <w:r w:rsidR="007A1AE9" w:rsidRPr="00100E35">
        <w:rPr>
          <w:lang w:val="fr-FR"/>
        </w:rPr>
        <w:t>le</w:t>
      </w:r>
      <w:r w:rsidR="007A1AE9">
        <w:rPr>
          <w:lang w:val="fr-FR"/>
        </w:rPr>
        <w:t xml:space="preserve">.  </w:t>
      </w:r>
      <w:r w:rsidR="007A1AE9" w:rsidRPr="00100E35">
        <w:rPr>
          <w:lang w:val="fr-FR"/>
        </w:rPr>
        <w:t>Le</w:t>
      </w:r>
      <w:r w:rsidRPr="00100E35">
        <w:rPr>
          <w:lang w:val="fr-FR"/>
        </w:rPr>
        <w:t>s lacunes actuelles amoindrissent la capacité des parties prenantes à surveiller l</w:t>
      </w:r>
      <w:r w:rsidR="00100E35">
        <w:rPr>
          <w:lang w:val="fr-FR"/>
        </w:rPr>
        <w:t>’</w:t>
      </w:r>
      <w:r w:rsidRPr="00100E35">
        <w:rPr>
          <w:lang w:val="fr-FR"/>
        </w:rPr>
        <w:t>utilisation et à garantir une rémunération équitable aux créateurs et aux titulaires de droits au sein de l</w:t>
      </w:r>
      <w:r w:rsidR="00100E35">
        <w:rPr>
          <w:lang w:val="fr-FR"/>
        </w:rPr>
        <w:t>’</w:t>
      </w:r>
      <w:r w:rsidRPr="00100E35">
        <w:rPr>
          <w:lang w:val="fr-FR"/>
        </w:rPr>
        <w:t>écosystème numérique</w:t>
      </w:r>
      <w:r w:rsidRPr="00100E35">
        <w:rPr>
          <w:rFonts w:eastAsia="Aptos" w:cs="Noto Sans Display"/>
          <w:kern w:val="2"/>
          <w:szCs w:val="22"/>
          <w:vertAlign w:val="superscript"/>
          <w:lang w:val="fr-FR" w:eastAsia="en-US"/>
        </w:rPr>
        <w:endnoteReference w:id="13"/>
      </w:r>
      <w:r w:rsidRPr="00100E35">
        <w:rPr>
          <w:lang w:val="fr-FR"/>
        </w:rPr>
        <w:t xml:space="preserve">. </w:t>
      </w:r>
      <w:r w:rsidR="0080246A">
        <w:rPr>
          <w:lang w:val="fr-FR"/>
        </w:rPr>
        <w:t xml:space="preserve"> </w:t>
      </w:r>
      <w:r w:rsidRPr="00100E35">
        <w:rPr>
          <w:lang w:val="fr-FR"/>
        </w:rPr>
        <w:t>L</w:t>
      </w:r>
      <w:r w:rsidR="00100E35">
        <w:rPr>
          <w:lang w:val="fr-FR"/>
        </w:rPr>
        <w:t>’</w:t>
      </w:r>
      <w:r w:rsidRPr="00100E35">
        <w:rPr>
          <w:lang w:val="fr-FR"/>
        </w:rPr>
        <w:t xml:space="preserve">absence de système SILM vient également alimenter une deuxième source de préoccupation publique, </w:t>
      </w:r>
      <w:r w:rsidR="00100E35">
        <w:rPr>
          <w:lang w:val="fr-FR"/>
        </w:rPr>
        <w:t>à savoir</w:t>
      </w:r>
      <w:r w:rsidRPr="00100E35">
        <w:rPr>
          <w:lang w:val="fr-FR"/>
        </w:rPr>
        <w:t xml:space="preserve"> la proportionnalité des tarifs de redevances appliqués aux micro, petites et moyennes entreprises (MPME). </w:t>
      </w:r>
      <w:r w:rsidR="0080246A">
        <w:rPr>
          <w:lang w:val="fr-FR"/>
        </w:rPr>
        <w:t xml:space="preserve"> </w:t>
      </w:r>
      <w:r w:rsidRPr="00100E35">
        <w:rPr>
          <w:lang w:val="fr-FR"/>
        </w:rPr>
        <w:t>La structure tarifaire actuelle est largement perçue comme n</w:t>
      </w:r>
      <w:r w:rsidR="00100E35">
        <w:rPr>
          <w:lang w:val="fr-FR"/>
        </w:rPr>
        <w:t>’</w:t>
      </w:r>
      <w:r w:rsidRPr="00100E35">
        <w:rPr>
          <w:lang w:val="fr-FR"/>
        </w:rPr>
        <w:t>étant pas assez en adéquation avec l</w:t>
      </w:r>
      <w:r w:rsidR="00100E35">
        <w:rPr>
          <w:lang w:val="fr-FR"/>
        </w:rPr>
        <w:t>’</w:t>
      </w:r>
      <w:r w:rsidRPr="00100E35">
        <w:rPr>
          <w:lang w:val="fr-FR"/>
        </w:rPr>
        <w:t>intérêt génér</w:t>
      </w:r>
      <w:r w:rsidR="007A1AE9" w:rsidRPr="00100E35">
        <w:rPr>
          <w:lang w:val="fr-FR"/>
        </w:rPr>
        <w:t>al</w:t>
      </w:r>
      <w:r w:rsidR="007A1AE9">
        <w:rPr>
          <w:lang w:val="fr-FR"/>
        </w:rPr>
        <w:t xml:space="preserve">.  </w:t>
      </w:r>
      <w:r w:rsidR="007A1AE9" w:rsidRPr="00100E35">
        <w:rPr>
          <w:lang w:val="fr-FR"/>
        </w:rPr>
        <w:t>Ce</w:t>
      </w:r>
      <w:r w:rsidRPr="00100E35">
        <w:rPr>
          <w:lang w:val="fr-FR"/>
        </w:rPr>
        <w:t>tte préoccupation découle de l</w:t>
      </w:r>
      <w:r w:rsidR="00100E35">
        <w:rPr>
          <w:lang w:val="fr-FR"/>
        </w:rPr>
        <w:t>’</w:t>
      </w:r>
      <w:r w:rsidRPr="00100E35">
        <w:rPr>
          <w:b/>
          <w:lang w:val="fr-FR"/>
        </w:rPr>
        <w:t>absence de distinction entre les taux de redevances pour les grandes entreprises et ceux appliqués</w:t>
      </w:r>
      <w:r w:rsidR="00100E35" w:rsidRPr="00100E35">
        <w:rPr>
          <w:b/>
          <w:lang w:val="fr-FR"/>
        </w:rPr>
        <w:t xml:space="preserve"> aux</w:t>
      </w:r>
      <w:r w:rsidR="00100E35">
        <w:rPr>
          <w:b/>
          <w:lang w:val="fr-FR"/>
        </w:rPr>
        <w:t> </w:t>
      </w:r>
      <w:r w:rsidR="00100E35" w:rsidRPr="00100E35">
        <w:rPr>
          <w:b/>
          <w:lang w:val="fr-FR"/>
        </w:rPr>
        <w:t>MPM</w:t>
      </w:r>
      <w:r w:rsidRPr="00100E35">
        <w:rPr>
          <w:b/>
          <w:lang w:val="fr-FR"/>
        </w:rPr>
        <w:t>E</w:t>
      </w:r>
      <w:r w:rsidRPr="00100E35">
        <w:rPr>
          <w:lang w:val="fr-FR"/>
        </w:rPr>
        <w:t xml:space="preserve">. </w:t>
      </w:r>
      <w:r w:rsidR="0080246A">
        <w:rPr>
          <w:lang w:val="fr-FR"/>
        </w:rPr>
        <w:t xml:space="preserve"> </w:t>
      </w:r>
      <w:r w:rsidRPr="00100E35">
        <w:rPr>
          <w:lang w:val="fr-FR"/>
        </w:rPr>
        <w:t>S</w:t>
      </w:r>
      <w:r w:rsidR="00100E35">
        <w:rPr>
          <w:lang w:val="fr-FR"/>
        </w:rPr>
        <w:t>’</w:t>
      </w:r>
      <w:r w:rsidRPr="00100E35">
        <w:rPr>
          <w:lang w:val="fr-FR"/>
        </w:rPr>
        <w:t>il est prévu que</w:t>
      </w:r>
      <w:r w:rsidR="00100E35" w:rsidRPr="00100E35">
        <w:rPr>
          <w:lang w:val="fr-FR"/>
        </w:rPr>
        <w:t xml:space="preserve"> la</w:t>
      </w:r>
      <w:r w:rsidR="00100E35">
        <w:rPr>
          <w:lang w:val="fr-FR"/>
        </w:rPr>
        <w:t> </w:t>
      </w:r>
      <w:r w:rsidR="00100E35" w:rsidRPr="00100E35">
        <w:rPr>
          <w:lang w:val="fr-FR"/>
        </w:rPr>
        <w:t>LMK</w:t>
      </w:r>
      <w:r w:rsidRPr="00100E35">
        <w:rPr>
          <w:lang w:val="fr-FR"/>
        </w:rPr>
        <w:t>N instaure un système de réduction des redevances pour</w:t>
      </w:r>
      <w:r w:rsidR="00100E35" w:rsidRPr="00100E35">
        <w:rPr>
          <w:lang w:val="fr-FR"/>
        </w:rPr>
        <w:t xml:space="preserve"> les</w:t>
      </w:r>
      <w:r w:rsidR="00100E35">
        <w:rPr>
          <w:lang w:val="fr-FR"/>
        </w:rPr>
        <w:t> </w:t>
      </w:r>
      <w:r w:rsidR="00100E35" w:rsidRPr="00100E35">
        <w:rPr>
          <w:lang w:val="fr-FR"/>
        </w:rPr>
        <w:t>MPM</w:t>
      </w:r>
      <w:r w:rsidRPr="00100E35">
        <w:rPr>
          <w:lang w:val="fr-FR"/>
        </w:rPr>
        <w:t>E, cette politique fait encore l</w:t>
      </w:r>
      <w:r w:rsidR="00100E35">
        <w:rPr>
          <w:lang w:val="fr-FR"/>
        </w:rPr>
        <w:t>’</w:t>
      </w:r>
      <w:r w:rsidRPr="00100E35">
        <w:rPr>
          <w:lang w:val="fr-FR"/>
        </w:rPr>
        <w:t>objet de délibérations conjointes avec les organisations de gestion collective et le Ministère de la justice</w:t>
      </w:r>
      <w:r w:rsidRPr="00100E35">
        <w:rPr>
          <w:rFonts w:eastAsia="Aptos" w:cs="Noto Sans Display"/>
          <w:kern w:val="2"/>
          <w:szCs w:val="22"/>
          <w:vertAlign w:val="superscript"/>
          <w:lang w:val="fr-FR" w:eastAsia="en-US"/>
        </w:rPr>
        <w:endnoteReference w:id="14"/>
      </w:r>
      <w:r w:rsidRPr="00100E35">
        <w:rPr>
          <w:lang w:val="fr-FR"/>
        </w:rPr>
        <w:t>.</w:t>
      </w:r>
    </w:p>
    <w:p w14:paraId="21F64AC8" w14:textId="599889A6"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Le défi ultime, et le plus pressant, consiste à garantir la transparence dans la gouvernance des organisations de gestion collecti</w:t>
      </w:r>
      <w:r w:rsidR="007A1AE9" w:rsidRPr="00100E35">
        <w:rPr>
          <w:lang w:val="fr-FR"/>
        </w:rPr>
        <w:t>ve</w:t>
      </w:r>
      <w:r w:rsidR="007A1AE9">
        <w:rPr>
          <w:lang w:val="fr-FR"/>
        </w:rPr>
        <w:t xml:space="preserve">.  </w:t>
      </w:r>
      <w:r w:rsidR="007A1AE9" w:rsidRPr="00100E35">
        <w:rPr>
          <w:lang w:val="fr-FR"/>
        </w:rPr>
        <w:t>Ce</w:t>
      </w:r>
      <w:r w:rsidRPr="00100E35">
        <w:rPr>
          <w:lang w:val="fr-FR"/>
        </w:rPr>
        <w:t>la inclut les préoccupations relatives au manque de clarté concernant les déductions des coûts opérationnels, la portée et l</w:t>
      </w:r>
      <w:r w:rsidR="00100E35">
        <w:rPr>
          <w:lang w:val="fr-FR"/>
        </w:rPr>
        <w:t>’</w:t>
      </w:r>
      <w:r w:rsidRPr="00100E35">
        <w:rPr>
          <w:lang w:val="fr-FR"/>
        </w:rPr>
        <w:t>efficacité des fonctions de contrôle et d</w:t>
      </w:r>
      <w:r w:rsidR="00100E35">
        <w:rPr>
          <w:lang w:val="fr-FR"/>
        </w:rPr>
        <w:t>’</w:t>
      </w:r>
      <w:r w:rsidRPr="00100E35">
        <w:rPr>
          <w:lang w:val="fr-FR"/>
        </w:rPr>
        <w:t>évaluation, ainsi que la sécurité juridique limitée entourant les litiges en matière de droit d</w:t>
      </w:r>
      <w:r w:rsidR="00100E35">
        <w:rPr>
          <w:lang w:val="fr-FR"/>
        </w:rPr>
        <w:t>’</w:t>
      </w:r>
      <w:r w:rsidRPr="00100E35">
        <w:rPr>
          <w:lang w:val="fr-FR"/>
        </w:rPr>
        <w:t>aute</w:t>
      </w:r>
      <w:r w:rsidR="007A1AE9" w:rsidRPr="00100E35">
        <w:rPr>
          <w:lang w:val="fr-FR"/>
        </w:rPr>
        <w:t>ur</w:t>
      </w:r>
      <w:r w:rsidR="007A1AE9">
        <w:rPr>
          <w:lang w:val="fr-FR"/>
        </w:rPr>
        <w:t xml:space="preserve">.  </w:t>
      </w:r>
      <w:r w:rsidR="007A1AE9" w:rsidRPr="00100E35">
        <w:rPr>
          <w:lang w:val="fr-FR"/>
        </w:rPr>
        <w:t>Co</w:t>
      </w:r>
      <w:r w:rsidRPr="00100E35">
        <w:rPr>
          <w:lang w:val="fr-FR"/>
        </w:rPr>
        <w:t>nformément au règlement du Ministère de la justice n°</w:t>
      </w:r>
      <w:r w:rsidR="0080246A">
        <w:rPr>
          <w:lang w:val="fr-FR"/>
        </w:rPr>
        <w:t> </w:t>
      </w:r>
      <w:r w:rsidRPr="00100E35">
        <w:rPr>
          <w:lang w:val="fr-FR"/>
        </w:rPr>
        <w:t>27 de 2025 (</w:t>
      </w:r>
      <w:r w:rsidRPr="00100E35">
        <w:rPr>
          <w:i/>
          <w:lang w:val="fr-FR"/>
        </w:rPr>
        <w:t>Permenkum</w:t>
      </w:r>
      <w:r w:rsidRPr="00100E35">
        <w:rPr>
          <w:lang w:val="fr-FR"/>
        </w:rPr>
        <w:t xml:space="preserve"> 27/2025), tant</w:t>
      </w:r>
      <w:r w:rsidR="00100E35" w:rsidRPr="00100E35">
        <w:rPr>
          <w:lang w:val="fr-FR"/>
        </w:rPr>
        <w:t xml:space="preserve"> la</w:t>
      </w:r>
      <w:r w:rsidR="00100E35">
        <w:rPr>
          <w:lang w:val="fr-FR"/>
        </w:rPr>
        <w:t> </w:t>
      </w:r>
      <w:r w:rsidR="00100E35" w:rsidRPr="00100E35">
        <w:rPr>
          <w:lang w:val="fr-FR"/>
        </w:rPr>
        <w:t>LMK</w:t>
      </w:r>
      <w:r w:rsidRPr="00100E35">
        <w:rPr>
          <w:lang w:val="fr-FR"/>
        </w:rPr>
        <w:t>N pour les créateurs que</w:t>
      </w:r>
      <w:r w:rsidR="00100E35" w:rsidRPr="00100E35">
        <w:rPr>
          <w:lang w:val="fr-FR"/>
        </w:rPr>
        <w:t xml:space="preserve"> la</w:t>
      </w:r>
      <w:r w:rsidR="00100E35">
        <w:rPr>
          <w:lang w:val="fr-FR"/>
        </w:rPr>
        <w:t> </w:t>
      </w:r>
      <w:r w:rsidR="00100E35" w:rsidRPr="00100E35">
        <w:rPr>
          <w:lang w:val="fr-FR"/>
        </w:rPr>
        <w:t>LMK</w:t>
      </w:r>
      <w:r w:rsidRPr="00100E35">
        <w:rPr>
          <w:lang w:val="fr-FR"/>
        </w:rPr>
        <w:t>N pour les titulaires de droits connexes sont autorisées à déduire jusqu</w:t>
      </w:r>
      <w:r w:rsidR="00100E35">
        <w:rPr>
          <w:lang w:val="fr-FR"/>
        </w:rPr>
        <w:t>’</w:t>
      </w:r>
      <w:r w:rsidRPr="00100E35">
        <w:rPr>
          <w:lang w:val="fr-FR"/>
        </w:rPr>
        <w:t xml:space="preserve">à 8% du montant total des redevances perçues chaque année pour couvrir leurs frais de fonctionnement, </w:t>
      </w:r>
      <w:r w:rsidR="00100E35">
        <w:rPr>
          <w:lang w:val="fr-FR"/>
        </w:rPr>
        <w:t>y compris</w:t>
      </w:r>
      <w:r w:rsidRPr="00100E35">
        <w:rPr>
          <w:lang w:val="fr-FR"/>
        </w:rPr>
        <w:t xml:space="preserve"> la rémunération des commissaires, les équipes chargées de faciliter la surveillance et d</w:t>
      </w:r>
      <w:r w:rsidR="00100E35">
        <w:rPr>
          <w:lang w:val="fr-FR"/>
        </w:rPr>
        <w:t>’</w:t>
      </w:r>
      <w:r w:rsidRPr="00100E35">
        <w:rPr>
          <w:lang w:val="fr-FR"/>
        </w:rPr>
        <w:t>autres coûts connex</w:t>
      </w:r>
      <w:r w:rsidR="007A1AE9" w:rsidRPr="00100E35">
        <w:rPr>
          <w:lang w:val="fr-FR"/>
        </w:rPr>
        <w:t>es</w:t>
      </w:r>
      <w:r w:rsidR="007A1AE9">
        <w:rPr>
          <w:lang w:val="fr-FR"/>
        </w:rPr>
        <w:t xml:space="preserve">.  </w:t>
      </w:r>
      <w:r w:rsidR="007A1AE9" w:rsidRPr="00100E35">
        <w:rPr>
          <w:lang w:val="fr-FR"/>
        </w:rPr>
        <w:t>To</w:t>
      </w:r>
      <w:r w:rsidRPr="00100E35">
        <w:rPr>
          <w:lang w:val="fr-FR"/>
        </w:rPr>
        <w:t>utefois, il n</w:t>
      </w:r>
      <w:r w:rsidR="00100E35">
        <w:rPr>
          <w:lang w:val="fr-FR"/>
        </w:rPr>
        <w:t>’</w:t>
      </w:r>
      <w:r w:rsidRPr="00100E35">
        <w:rPr>
          <w:lang w:val="fr-FR"/>
        </w:rPr>
        <w:t>existe pour l</w:t>
      </w:r>
      <w:r w:rsidR="00100E35">
        <w:rPr>
          <w:lang w:val="fr-FR"/>
        </w:rPr>
        <w:t>’</w:t>
      </w:r>
      <w:r w:rsidRPr="00100E35">
        <w:rPr>
          <w:lang w:val="fr-FR"/>
        </w:rPr>
        <w:t>heure aucune formule détaillée ni aucune méthodologie accessible au public pour calculer les frais de gestion déduits du total des redevances perçu</w:t>
      </w:r>
      <w:r w:rsidR="007A1AE9" w:rsidRPr="00100E35">
        <w:rPr>
          <w:lang w:val="fr-FR"/>
        </w:rPr>
        <w:t>es</w:t>
      </w:r>
      <w:r w:rsidR="007A1AE9">
        <w:rPr>
          <w:lang w:val="fr-FR"/>
        </w:rPr>
        <w:t xml:space="preserve">.  </w:t>
      </w:r>
      <w:r w:rsidR="007A1AE9" w:rsidRPr="00100E35">
        <w:rPr>
          <w:lang w:val="fr-FR"/>
        </w:rPr>
        <w:t>D</w:t>
      </w:r>
      <w:r w:rsidR="007A1AE9">
        <w:rPr>
          <w:lang w:val="fr-FR"/>
        </w:rPr>
        <w:t>’</w:t>
      </w:r>
      <w:r w:rsidR="007A1AE9" w:rsidRPr="00100E35">
        <w:rPr>
          <w:lang w:val="fr-FR"/>
        </w:rPr>
        <w:t>u</w:t>
      </w:r>
      <w:r w:rsidRPr="00100E35">
        <w:rPr>
          <w:lang w:val="fr-FR"/>
        </w:rPr>
        <w:t xml:space="preserve">n point de vue réglementaire, les articles 51 à 56 du </w:t>
      </w:r>
      <w:r w:rsidRPr="00100E35">
        <w:rPr>
          <w:i/>
          <w:iCs/>
          <w:lang w:val="fr-FR"/>
        </w:rPr>
        <w:t>Permenkum</w:t>
      </w:r>
      <w:r w:rsidRPr="00100E35">
        <w:rPr>
          <w:lang w:val="fr-FR"/>
        </w:rPr>
        <w:t xml:space="preserve"> 27/2025 traitent de l</w:t>
      </w:r>
      <w:r w:rsidR="00100E35">
        <w:rPr>
          <w:lang w:val="fr-FR"/>
        </w:rPr>
        <w:t>’</w:t>
      </w:r>
      <w:r w:rsidRPr="00100E35">
        <w:rPr>
          <w:lang w:val="fr-FR"/>
        </w:rPr>
        <w:t>évaluation, de l</w:t>
      </w:r>
      <w:r w:rsidR="00100E35">
        <w:rPr>
          <w:lang w:val="fr-FR"/>
        </w:rPr>
        <w:t>’</w:t>
      </w:r>
      <w:r w:rsidRPr="00100E35">
        <w:rPr>
          <w:lang w:val="fr-FR"/>
        </w:rPr>
        <w:t>information financière et de la vérification des compt</w:t>
      </w:r>
      <w:r w:rsidR="007A1AE9" w:rsidRPr="00100E35">
        <w:rPr>
          <w:lang w:val="fr-FR"/>
        </w:rPr>
        <w:t>es</w:t>
      </w:r>
      <w:r w:rsidR="007A1AE9">
        <w:rPr>
          <w:lang w:val="fr-FR"/>
        </w:rPr>
        <w:t xml:space="preserve">.  </w:t>
      </w:r>
      <w:r w:rsidR="007A1AE9" w:rsidRPr="00100E35">
        <w:rPr>
          <w:lang w:val="fr-FR"/>
        </w:rPr>
        <w:t>Né</w:t>
      </w:r>
      <w:r w:rsidRPr="00100E35">
        <w:rPr>
          <w:lang w:val="fr-FR"/>
        </w:rPr>
        <w:t>anmoins, l</w:t>
      </w:r>
      <w:r w:rsidR="00100E35">
        <w:rPr>
          <w:lang w:val="fr-FR"/>
        </w:rPr>
        <w:t>’</w:t>
      </w:r>
      <w:r w:rsidRPr="00100E35">
        <w:rPr>
          <w:lang w:val="fr-FR"/>
        </w:rPr>
        <w:t>absence de directives de mise en œuvre ou de procédures opérationnelles standard précises continue de faire obstacle à une surveillance et une reddition des comptes efficac</w:t>
      </w:r>
      <w:r w:rsidR="007A1AE9" w:rsidRPr="00100E35">
        <w:rPr>
          <w:lang w:val="fr-FR"/>
        </w:rPr>
        <w:t>es</w:t>
      </w:r>
      <w:r w:rsidR="007A1AE9">
        <w:rPr>
          <w:lang w:val="fr-FR"/>
        </w:rPr>
        <w:t xml:space="preserve">.  </w:t>
      </w:r>
      <w:r w:rsidR="007A1AE9" w:rsidRPr="00100E35">
        <w:rPr>
          <w:lang w:val="fr-FR"/>
        </w:rPr>
        <w:t>Pa</w:t>
      </w:r>
      <w:r w:rsidRPr="00100E35">
        <w:rPr>
          <w:lang w:val="fr-FR"/>
        </w:rPr>
        <w:t>rallèlement, la gouvernance des organisations de gestion collective se reflète également dans l</w:t>
      </w:r>
      <w:r w:rsidR="00100E35">
        <w:rPr>
          <w:lang w:val="fr-FR"/>
        </w:rPr>
        <w:t>’</w:t>
      </w:r>
      <w:r w:rsidRPr="00100E35">
        <w:rPr>
          <w:lang w:val="fr-FR"/>
        </w:rPr>
        <w:t>absence de sécurité juridique en matière de règlement des litiges, qu</w:t>
      </w:r>
      <w:r w:rsidR="00100E35">
        <w:rPr>
          <w:lang w:val="fr-FR"/>
        </w:rPr>
        <w:t>’</w:t>
      </w:r>
      <w:r w:rsidRPr="00100E35">
        <w:rPr>
          <w:lang w:val="fr-FR"/>
        </w:rPr>
        <w:t>il s</w:t>
      </w:r>
      <w:r w:rsidR="00100E35">
        <w:rPr>
          <w:lang w:val="fr-FR"/>
        </w:rPr>
        <w:t>’</w:t>
      </w:r>
      <w:r w:rsidRPr="00100E35">
        <w:rPr>
          <w:lang w:val="fr-FR"/>
        </w:rPr>
        <w:t>agisse de litiges entre les organisations de gestion collective et leurs membres</w:t>
      </w:r>
      <w:r w:rsidRPr="00100E35">
        <w:rPr>
          <w:rFonts w:eastAsia="Aptos" w:cs="Noto Sans Display"/>
          <w:kern w:val="2"/>
          <w:szCs w:val="22"/>
          <w:vertAlign w:val="superscript"/>
          <w:lang w:val="fr-FR" w:eastAsia="en-US"/>
        </w:rPr>
        <w:endnoteReference w:id="15"/>
      </w:r>
      <w:r w:rsidRPr="00100E35">
        <w:rPr>
          <w:lang w:val="fr-FR"/>
        </w:rPr>
        <w:t>, ou entre les créateurs et les titulaires de droits connexes</w:t>
      </w:r>
      <w:r w:rsidRPr="00100E35">
        <w:rPr>
          <w:rFonts w:eastAsia="Aptos" w:cs="Noto Sans Display"/>
          <w:kern w:val="2"/>
          <w:szCs w:val="22"/>
          <w:vertAlign w:val="superscript"/>
          <w:lang w:val="fr-FR" w:eastAsia="en-US"/>
        </w:rPr>
        <w:endnoteReference w:id="16"/>
      </w:r>
      <w:r w:rsidRPr="00100E35">
        <w:rPr>
          <w:lang w:val="fr-FR"/>
        </w:rPr>
        <w:t xml:space="preserve">. </w:t>
      </w:r>
      <w:r w:rsidR="0080246A">
        <w:rPr>
          <w:lang w:val="fr-FR"/>
        </w:rPr>
        <w:t xml:space="preserve"> </w:t>
      </w:r>
      <w:r w:rsidRPr="00100E35">
        <w:rPr>
          <w:lang w:val="fr-FR"/>
        </w:rPr>
        <w:t>Il est essentiel de réaffirmer que les litiges qui surviennent dans l</w:t>
      </w:r>
      <w:r w:rsidR="00100E35">
        <w:rPr>
          <w:lang w:val="fr-FR"/>
        </w:rPr>
        <w:t>’</w:t>
      </w:r>
      <w:r w:rsidRPr="00100E35">
        <w:rPr>
          <w:lang w:val="fr-FR"/>
        </w:rPr>
        <w:t xml:space="preserve">écosystème des redevances, conformément à la pratique internationale, doivent être traités comme des </w:t>
      </w:r>
      <w:r w:rsidRPr="00100E35">
        <w:rPr>
          <w:b/>
          <w:lang w:val="fr-FR"/>
        </w:rPr>
        <w:t>questions de droit pri</w:t>
      </w:r>
      <w:r w:rsidR="007A1AE9" w:rsidRPr="00100E35">
        <w:rPr>
          <w:b/>
          <w:lang w:val="fr-FR"/>
        </w:rPr>
        <w:t>vé</w:t>
      </w:r>
      <w:r w:rsidR="007A1AE9">
        <w:rPr>
          <w:b/>
          <w:lang w:val="fr-FR"/>
        </w:rPr>
        <w:t xml:space="preserve">.  </w:t>
      </w:r>
      <w:r w:rsidR="007A1AE9" w:rsidRPr="00100E35">
        <w:rPr>
          <w:lang w:val="fr-FR"/>
        </w:rPr>
        <w:t xml:space="preserve">À </w:t>
      </w:r>
      <w:r w:rsidRPr="00100E35">
        <w:rPr>
          <w:lang w:val="fr-FR"/>
        </w:rPr>
        <w:t>ce titre, les mécanismes de règlement des litiges portant sur les redevances doivent s</w:t>
      </w:r>
      <w:r w:rsidR="00100E35">
        <w:rPr>
          <w:lang w:val="fr-FR"/>
        </w:rPr>
        <w:t>’</w:t>
      </w:r>
      <w:r w:rsidRPr="00100E35">
        <w:rPr>
          <w:lang w:val="fr-FR"/>
        </w:rPr>
        <w:t xml:space="preserve">inscrire dans le cadre du droit privé, </w:t>
      </w:r>
      <w:r w:rsidR="00100E35">
        <w:rPr>
          <w:lang w:val="fr-FR"/>
        </w:rPr>
        <w:t>y compris</w:t>
      </w:r>
      <w:r w:rsidRPr="00100E35">
        <w:rPr>
          <w:lang w:val="fr-FR"/>
        </w:rPr>
        <w:t xml:space="preserve"> la promotion des modes de règlement extrajudiciaire comme voie viable pour un règlement à l</w:t>
      </w:r>
      <w:r w:rsidR="00100E35">
        <w:rPr>
          <w:lang w:val="fr-FR"/>
        </w:rPr>
        <w:t>’</w:t>
      </w:r>
      <w:r w:rsidRPr="00100E35">
        <w:rPr>
          <w:lang w:val="fr-FR"/>
        </w:rPr>
        <w:t>amiable.</w:t>
      </w:r>
    </w:p>
    <w:p w14:paraId="009FAAD5" w14:textId="1D6198FD"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À ce stade, dans le contexte de la gouvernance nationale, le cadre juridique national indonésien a fourni un socle essentiel pour la gestion du droit d</w:t>
      </w:r>
      <w:r w:rsidR="00100E35">
        <w:rPr>
          <w:lang w:val="fr-FR"/>
        </w:rPr>
        <w:t>’</w:t>
      </w:r>
      <w:r w:rsidRPr="00100E35">
        <w:rPr>
          <w:lang w:val="fr-FR"/>
        </w:rPr>
        <w:t>auteur sur les œuvres musical</w:t>
      </w:r>
      <w:r w:rsidR="007A1AE9" w:rsidRPr="00100E35">
        <w:rPr>
          <w:lang w:val="fr-FR"/>
        </w:rPr>
        <w:t>es</w:t>
      </w:r>
      <w:r w:rsidR="007A1AE9">
        <w:rPr>
          <w:lang w:val="fr-FR"/>
        </w:rPr>
        <w:t xml:space="preserve">.  </w:t>
      </w:r>
      <w:r w:rsidR="007A1AE9" w:rsidRPr="00100E35">
        <w:rPr>
          <w:lang w:val="fr-FR"/>
        </w:rPr>
        <w:t>Ce</w:t>
      </w:r>
      <w:r w:rsidRPr="00100E35">
        <w:rPr>
          <w:lang w:val="fr-FR"/>
        </w:rPr>
        <w:t>pendant, la mise en œuvre de ce cadre normatif continue de rencontrer des difficultés persistantes, notamment dans les domaines du développement des infrastructures, de la proportionnalité des tarifs et de la transparence dans la gouvernance des organisations de gestion collecti</w:t>
      </w:r>
      <w:r w:rsidR="007A1AE9" w:rsidRPr="00100E35">
        <w:rPr>
          <w:lang w:val="fr-FR"/>
        </w:rPr>
        <w:t>ve</w:t>
      </w:r>
      <w:r w:rsidR="007A1AE9">
        <w:rPr>
          <w:lang w:val="fr-FR"/>
        </w:rPr>
        <w:t xml:space="preserve">.  </w:t>
      </w:r>
      <w:r w:rsidR="007A1AE9" w:rsidRPr="00100E35">
        <w:rPr>
          <w:lang w:val="fr-FR"/>
        </w:rPr>
        <w:t>Ce</w:t>
      </w:r>
      <w:r w:rsidRPr="00100E35">
        <w:rPr>
          <w:lang w:val="fr-FR"/>
        </w:rPr>
        <w:t>s défis doivent être compris dans un contexte mondial plus large, dans lequel les pays en développement connaissent structurellement un déficit de paiement des redevances par rapport aux pays développ</w:t>
      </w:r>
      <w:r w:rsidR="007A1AE9" w:rsidRPr="00100E35">
        <w:rPr>
          <w:lang w:val="fr-FR"/>
        </w:rPr>
        <w:t>és</w:t>
      </w:r>
      <w:r w:rsidR="007A1AE9">
        <w:rPr>
          <w:lang w:val="fr-FR"/>
        </w:rPr>
        <w:t xml:space="preserve">.  </w:t>
      </w:r>
      <w:r w:rsidR="007A1AE9" w:rsidRPr="00100E35">
        <w:rPr>
          <w:lang w:val="fr-FR"/>
        </w:rPr>
        <w:t>Le</w:t>
      </w:r>
      <w:r w:rsidRPr="00100E35">
        <w:rPr>
          <w:lang w:val="fr-FR"/>
        </w:rPr>
        <w:t xml:space="preserve"> débat international actuel sur les inégalités dans l</w:t>
      </w:r>
      <w:r w:rsidR="00100E35">
        <w:rPr>
          <w:lang w:val="fr-FR"/>
        </w:rPr>
        <w:t>’</w:t>
      </w:r>
      <w:r w:rsidRPr="00100E35">
        <w:rPr>
          <w:lang w:val="fr-FR"/>
        </w:rPr>
        <w:t>industrie de la musique numérique souligne l</w:t>
      </w:r>
      <w:r w:rsidR="00100E35">
        <w:rPr>
          <w:lang w:val="fr-FR"/>
        </w:rPr>
        <w:t>’</w:t>
      </w:r>
      <w:r w:rsidRPr="00100E35">
        <w:rPr>
          <w:lang w:val="fr-FR"/>
        </w:rPr>
        <w:t>urgence de procéder à des réformes nationales privilégiant la transparence et l</w:t>
      </w:r>
      <w:r w:rsidR="00100E35">
        <w:rPr>
          <w:lang w:val="fr-FR"/>
        </w:rPr>
        <w:t>’</w:t>
      </w:r>
      <w:r w:rsidRPr="00100E35">
        <w:rPr>
          <w:lang w:val="fr-FR"/>
        </w:rPr>
        <w:t>interopérabilité des systèm</w:t>
      </w:r>
      <w:r w:rsidR="007A1AE9" w:rsidRPr="00100E35">
        <w:rPr>
          <w:lang w:val="fr-FR"/>
        </w:rPr>
        <w:t>es</w:t>
      </w:r>
      <w:r w:rsidR="007A1AE9">
        <w:rPr>
          <w:lang w:val="fr-FR"/>
        </w:rPr>
        <w:t xml:space="preserve">.  </w:t>
      </w:r>
      <w:r w:rsidR="007A1AE9" w:rsidRPr="00100E35">
        <w:rPr>
          <w:lang w:val="fr-FR"/>
        </w:rPr>
        <w:t>Pa</w:t>
      </w:r>
      <w:r w:rsidRPr="00100E35">
        <w:rPr>
          <w:lang w:val="fr-FR"/>
        </w:rPr>
        <w:t>rallèlement, ces réformes sont indispensables pour renforcer la position de l</w:t>
      </w:r>
      <w:r w:rsidR="00100E35">
        <w:rPr>
          <w:lang w:val="fr-FR"/>
        </w:rPr>
        <w:t>’</w:t>
      </w:r>
      <w:r w:rsidRPr="00100E35">
        <w:rPr>
          <w:lang w:val="fr-FR"/>
        </w:rPr>
        <w:t>Indonésie dans la promotion d</w:t>
      </w:r>
      <w:r w:rsidR="00100E35">
        <w:rPr>
          <w:lang w:val="fr-FR"/>
        </w:rPr>
        <w:t>’</w:t>
      </w:r>
      <w:r w:rsidRPr="00100E35">
        <w:rPr>
          <w:lang w:val="fr-FR"/>
        </w:rPr>
        <w:t>un cadre mondial plus équitable en matière de gouvernance des redevances, que ce soit à l</w:t>
      </w:r>
      <w:r w:rsidR="00100E35">
        <w:rPr>
          <w:lang w:val="fr-FR"/>
        </w:rPr>
        <w:t>’</w:t>
      </w:r>
      <w:r w:rsidRPr="00100E35">
        <w:rPr>
          <w:lang w:val="fr-FR"/>
        </w:rPr>
        <w:t>échelle nationale ou internationale.</w:t>
      </w:r>
    </w:p>
    <w:p w14:paraId="08696E7F" w14:textId="032B38D7" w:rsidR="00AC4817" w:rsidRPr="00100E35" w:rsidRDefault="00AC4817" w:rsidP="00AC4817">
      <w:pPr>
        <w:rPr>
          <w:b/>
          <w:bCs/>
          <w:color w:val="1F497D" w:themeColor="text2"/>
          <w:lang w:val="fr-FR"/>
        </w:rPr>
      </w:pPr>
      <w:r w:rsidRPr="00100E35">
        <w:rPr>
          <w:b/>
          <w:color w:val="1F497D" w:themeColor="text2"/>
          <w:lang w:val="fr-FR"/>
        </w:rPr>
        <w:t>Inégalités en ce qui concerne les phonogrammes et les redevances audiovisuelles dans l</w:t>
      </w:r>
      <w:r w:rsidR="00100E35">
        <w:rPr>
          <w:b/>
          <w:color w:val="1F497D" w:themeColor="text2"/>
          <w:lang w:val="fr-FR"/>
        </w:rPr>
        <w:t>’</w:t>
      </w:r>
      <w:r w:rsidRPr="00100E35">
        <w:rPr>
          <w:b/>
          <w:color w:val="1F497D" w:themeColor="text2"/>
          <w:lang w:val="fr-FR"/>
        </w:rPr>
        <w:t>environnement numérique à travers le monde</w:t>
      </w:r>
      <w:r w:rsidR="00100E35">
        <w:rPr>
          <w:b/>
          <w:color w:val="1F497D" w:themeColor="text2"/>
          <w:lang w:val="fr-FR"/>
        </w:rPr>
        <w:t> :</w:t>
      </w:r>
      <w:r w:rsidRPr="00100E35">
        <w:rPr>
          <w:b/>
          <w:color w:val="1F497D" w:themeColor="text2"/>
          <w:lang w:val="fr-FR"/>
        </w:rPr>
        <w:t xml:space="preserve"> combler l</w:t>
      </w:r>
      <w:r w:rsidR="00100E35">
        <w:rPr>
          <w:b/>
          <w:color w:val="1F497D" w:themeColor="text2"/>
          <w:lang w:val="fr-FR"/>
        </w:rPr>
        <w:t>’</w:t>
      </w:r>
      <w:r w:rsidRPr="00100E35">
        <w:rPr>
          <w:b/>
          <w:color w:val="1F497D" w:themeColor="text2"/>
          <w:lang w:val="fr-FR"/>
        </w:rPr>
        <w:t>écart Nord</w:t>
      </w:r>
      <w:r w:rsidR="00100E35">
        <w:rPr>
          <w:b/>
          <w:color w:val="1F497D" w:themeColor="text2"/>
          <w:lang w:val="fr-FR"/>
        </w:rPr>
        <w:t>-</w:t>
      </w:r>
      <w:r w:rsidRPr="00100E35">
        <w:rPr>
          <w:b/>
          <w:color w:val="1F497D" w:themeColor="text2"/>
          <w:lang w:val="fr-FR"/>
        </w:rPr>
        <w:t>Sud</w:t>
      </w:r>
    </w:p>
    <w:p w14:paraId="4FC0ABB2" w14:textId="7CB420CA"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À l</w:t>
      </w:r>
      <w:r w:rsidR="00100E35">
        <w:rPr>
          <w:lang w:val="fr-FR"/>
        </w:rPr>
        <w:t>’</w:t>
      </w:r>
      <w:r w:rsidRPr="00100E35">
        <w:rPr>
          <w:lang w:val="fr-FR"/>
        </w:rPr>
        <w:t>échelon international, les traités sur le droit d</w:t>
      </w:r>
      <w:r w:rsidR="00100E35">
        <w:rPr>
          <w:lang w:val="fr-FR"/>
        </w:rPr>
        <w:t>’</w:t>
      </w:r>
      <w:r w:rsidRPr="00100E35">
        <w:rPr>
          <w:lang w:val="fr-FR"/>
        </w:rPr>
        <w:t>auteur et les droits connexes énoncent généralement des principes fondamentaux et des lignes directrices générales, laissant à chaque État membre le soin d</w:t>
      </w:r>
      <w:r w:rsidR="00100E35">
        <w:rPr>
          <w:lang w:val="fr-FR"/>
        </w:rPr>
        <w:t>’</w:t>
      </w:r>
      <w:r w:rsidRPr="00100E35">
        <w:rPr>
          <w:lang w:val="fr-FR"/>
        </w:rPr>
        <w:t>élaborer des cadres juridiques nationaux détaill</w:t>
      </w:r>
      <w:r w:rsidR="007A1AE9" w:rsidRPr="00100E35">
        <w:rPr>
          <w:lang w:val="fr-FR"/>
        </w:rPr>
        <w:t>és</w:t>
      </w:r>
      <w:r w:rsidR="007A1AE9">
        <w:rPr>
          <w:lang w:val="fr-FR"/>
        </w:rPr>
        <w:t xml:space="preserve">.  </w:t>
      </w:r>
      <w:r w:rsidR="007A1AE9" w:rsidRPr="00100E35">
        <w:rPr>
          <w:lang w:val="fr-FR"/>
        </w:rPr>
        <w:t>Hi</w:t>
      </w:r>
      <w:r w:rsidRPr="00100E35">
        <w:rPr>
          <w:lang w:val="fr-FR"/>
        </w:rPr>
        <w:t>storiquement, le régime international de la propriété intellectuelle a été façonné par l</w:t>
      </w:r>
      <w:r w:rsidR="00100E35">
        <w:rPr>
          <w:lang w:val="fr-FR"/>
        </w:rPr>
        <w:t>’</w:t>
      </w:r>
      <w:r w:rsidRPr="00100E35">
        <w:rPr>
          <w:lang w:val="fr-FR"/>
        </w:rPr>
        <w:t>assimilation du droit d</w:t>
      </w:r>
      <w:r w:rsidR="00100E35">
        <w:rPr>
          <w:lang w:val="fr-FR"/>
        </w:rPr>
        <w:t>’</w:t>
      </w:r>
      <w:r w:rsidRPr="00100E35">
        <w:rPr>
          <w:lang w:val="fr-FR"/>
        </w:rPr>
        <w:t>auteur à une question de droit privé, et est donc principalement régi par des voies de droit privé</w:t>
      </w:r>
      <w:r w:rsidRPr="00100E35">
        <w:rPr>
          <w:rFonts w:eastAsia="Aptos" w:cs="Noto Sans Display"/>
          <w:kern w:val="2"/>
          <w:szCs w:val="22"/>
          <w:vertAlign w:val="superscript"/>
          <w:lang w:val="fr-FR" w:eastAsia="en-US"/>
        </w:rPr>
        <w:endnoteReference w:id="17"/>
      </w:r>
      <w:r w:rsidRPr="00100E35">
        <w:rPr>
          <w:lang w:val="fr-FR"/>
        </w:rPr>
        <w:t xml:space="preserve">. </w:t>
      </w:r>
      <w:r w:rsidR="0080246A">
        <w:rPr>
          <w:lang w:val="fr-FR"/>
        </w:rPr>
        <w:t xml:space="preserve"> </w:t>
      </w:r>
      <w:r w:rsidRPr="00100E35">
        <w:rPr>
          <w:lang w:val="fr-FR"/>
        </w:rPr>
        <w:t>Au fil du temps, cette structure a contribué à créer d</w:t>
      </w:r>
      <w:r w:rsidR="00100E35">
        <w:rPr>
          <w:lang w:val="fr-FR"/>
        </w:rPr>
        <w:t>’</w:t>
      </w:r>
      <w:r w:rsidRPr="00100E35">
        <w:rPr>
          <w:lang w:val="fr-FR"/>
        </w:rPr>
        <w:t xml:space="preserve">importantes </w:t>
      </w:r>
      <w:r w:rsidRPr="00100E35">
        <w:rPr>
          <w:b/>
          <w:lang w:val="fr-FR"/>
        </w:rPr>
        <w:t>disparités dans la gouvernance du droit d</w:t>
      </w:r>
      <w:r w:rsidR="00100E35">
        <w:rPr>
          <w:b/>
          <w:lang w:val="fr-FR"/>
        </w:rPr>
        <w:t>’</w:t>
      </w:r>
      <w:r w:rsidRPr="00100E35">
        <w:rPr>
          <w:b/>
          <w:lang w:val="fr-FR"/>
        </w:rPr>
        <w:t>auteur entre les pays développés et les pays en développeme</w:t>
      </w:r>
      <w:r w:rsidR="007A1AE9" w:rsidRPr="00100E35">
        <w:rPr>
          <w:b/>
          <w:lang w:val="fr-FR"/>
        </w:rPr>
        <w:t>nt</w:t>
      </w:r>
      <w:r w:rsidR="007A1AE9">
        <w:rPr>
          <w:b/>
          <w:lang w:val="fr-FR"/>
        </w:rPr>
        <w:t xml:space="preserve">.  </w:t>
      </w:r>
      <w:r w:rsidR="007A1AE9" w:rsidRPr="00100E35">
        <w:rPr>
          <w:lang w:val="fr-FR"/>
        </w:rPr>
        <w:t>Ce</w:t>
      </w:r>
      <w:r w:rsidRPr="00100E35">
        <w:rPr>
          <w:lang w:val="fr-FR"/>
        </w:rPr>
        <w:t xml:space="preserve">s disparités sont largement dues à des </w:t>
      </w:r>
      <w:r w:rsidRPr="00100E35">
        <w:rPr>
          <w:b/>
          <w:bCs/>
          <w:lang w:val="fr-FR"/>
        </w:rPr>
        <w:t>différences en matière de capacités institutionnelles, de mécanismes d</w:t>
      </w:r>
      <w:r w:rsidR="00100E35">
        <w:rPr>
          <w:b/>
          <w:bCs/>
          <w:lang w:val="fr-FR"/>
        </w:rPr>
        <w:t>’</w:t>
      </w:r>
      <w:r w:rsidRPr="00100E35">
        <w:rPr>
          <w:b/>
          <w:bCs/>
          <w:lang w:val="fr-FR"/>
        </w:rPr>
        <w:t>application et de disponibilité des ressources,</w:t>
      </w:r>
      <w:r w:rsidRPr="00100E35">
        <w:rPr>
          <w:lang w:val="fr-FR"/>
        </w:rPr>
        <w:t xml:space="preserve"> facteurs qui continuent de limiter la capacité de nombreux pays en développement à protéger et à faire respecter efficacement le droit d</w:t>
      </w:r>
      <w:r w:rsidR="00100E35">
        <w:rPr>
          <w:lang w:val="fr-FR"/>
        </w:rPr>
        <w:t>’</w:t>
      </w:r>
      <w:r w:rsidRPr="00100E35">
        <w:rPr>
          <w:lang w:val="fr-FR"/>
        </w:rPr>
        <w:t>aute</w:t>
      </w:r>
      <w:r w:rsidR="007A1AE9" w:rsidRPr="00100E35">
        <w:rPr>
          <w:lang w:val="fr-FR"/>
        </w:rPr>
        <w:t>ur</w:t>
      </w:r>
      <w:r w:rsidR="007A1AE9">
        <w:rPr>
          <w:lang w:val="fr-FR"/>
        </w:rPr>
        <w:t xml:space="preserve">.  </w:t>
      </w:r>
      <w:r w:rsidR="007A1AE9" w:rsidRPr="00100E35">
        <w:rPr>
          <w:lang w:val="fr-FR"/>
        </w:rPr>
        <w:t>Pa</w:t>
      </w:r>
      <w:r w:rsidRPr="00100E35">
        <w:rPr>
          <w:lang w:val="fr-FR"/>
        </w:rPr>
        <w:t>r conséquent, si les accords internationaux établissent une base normative commune, leur mise en œuvre inégale d</w:t>
      </w:r>
      <w:r w:rsidR="00100E35">
        <w:rPr>
          <w:lang w:val="fr-FR"/>
        </w:rPr>
        <w:t>’</w:t>
      </w:r>
      <w:r w:rsidRPr="00100E35">
        <w:rPr>
          <w:lang w:val="fr-FR"/>
        </w:rPr>
        <w:t>un pays à l</w:t>
      </w:r>
      <w:r w:rsidR="00100E35">
        <w:rPr>
          <w:lang w:val="fr-FR"/>
        </w:rPr>
        <w:t>’</w:t>
      </w:r>
      <w:r w:rsidRPr="00100E35">
        <w:rPr>
          <w:lang w:val="fr-FR"/>
        </w:rPr>
        <w:t>autre a créé des lacunes systémiques qui renforcent le déséquilibre mondial qui caractérise la gestion et la monétisation des œuvres créatives</w:t>
      </w:r>
      <w:r w:rsidRPr="00100E35">
        <w:rPr>
          <w:rFonts w:eastAsia="Aptos" w:cs="Noto Sans Display"/>
          <w:kern w:val="2"/>
          <w:szCs w:val="22"/>
          <w:vertAlign w:val="superscript"/>
          <w:lang w:val="fr-FR" w:eastAsia="en-US"/>
        </w:rPr>
        <w:endnoteReference w:id="18"/>
      </w:r>
      <w:r w:rsidRPr="00100E35">
        <w:rPr>
          <w:lang w:val="fr-FR"/>
        </w:rPr>
        <w:t>.</w:t>
      </w:r>
    </w:p>
    <w:p w14:paraId="2D879B6D" w14:textId="0592B004"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L</w:t>
      </w:r>
      <w:r w:rsidR="00100E35">
        <w:rPr>
          <w:lang w:val="fr-FR"/>
        </w:rPr>
        <w:t>’</w:t>
      </w:r>
      <w:r w:rsidRPr="00100E35">
        <w:rPr>
          <w:lang w:val="fr-FR"/>
        </w:rPr>
        <w:t>évolution des accords internationaux sur le droit d</w:t>
      </w:r>
      <w:r w:rsidR="00100E35">
        <w:rPr>
          <w:lang w:val="fr-FR"/>
        </w:rPr>
        <w:t>’</w:t>
      </w:r>
      <w:r w:rsidRPr="00100E35">
        <w:rPr>
          <w:lang w:val="fr-FR"/>
        </w:rPr>
        <w:t>auteur traduit un passage progressif d</w:t>
      </w:r>
      <w:r w:rsidR="00100E35">
        <w:rPr>
          <w:lang w:val="fr-FR"/>
        </w:rPr>
        <w:t>’</w:t>
      </w:r>
      <w:r w:rsidRPr="00100E35">
        <w:rPr>
          <w:lang w:val="fr-FR"/>
        </w:rPr>
        <w:t>une protection artistique restreinte à des cadres réglementaires plus larges, alignés sur le commerce mondi</w:t>
      </w:r>
      <w:r w:rsidR="007A1AE9" w:rsidRPr="00100E35">
        <w:rPr>
          <w:lang w:val="fr-FR"/>
        </w:rPr>
        <w:t>al</w:t>
      </w:r>
      <w:r w:rsidR="007A1AE9">
        <w:rPr>
          <w:lang w:val="fr-FR"/>
        </w:rPr>
        <w:t xml:space="preserve">.  </w:t>
      </w:r>
      <w:r w:rsidR="007A1AE9" w:rsidRPr="00100E35">
        <w:rPr>
          <w:lang w:val="fr-FR"/>
        </w:rPr>
        <w:t>Ce</w:t>
      </w:r>
      <w:r w:rsidRPr="00100E35">
        <w:rPr>
          <w:lang w:val="fr-FR"/>
        </w:rPr>
        <w:t>tte évolution a commencé avec la Convention de Berne de 1886, qui visait principalement à protéger les œuvres littéraires et artistiques, puis s</w:t>
      </w:r>
      <w:r w:rsidR="00100E35">
        <w:rPr>
          <w:lang w:val="fr-FR"/>
        </w:rPr>
        <w:t>’</w:t>
      </w:r>
      <w:r w:rsidRPr="00100E35">
        <w:rPr>
          <w:lang w:val="fr-FR"/>
        </w:rPr>
        <w:t>est poursuivie avec la conclusion de plusieurs accords modern</w:t>
      </w:r>
      <w:r w:rsidR="007A1AE9" w:rsidRPr="00100E35">
        <w:rPr>
          <w:lang w:val="fr-FR"/>
        </w:rPr>
        <w:t>es</w:t>
      </w:r>
      <w:r w:rsidR="007A1AE9">
        <w:rPr>
          <w:lang w:val="fr-FR"/>
        </w:rPr>
        <w:t xml:space="preserve">.  </w:t>
      </w:r>
      <w:r w:rsidR="007A1AE9" w:rsidRPr="00100E35">
        <w:rPr>
          <w:lang w:val="fr-FR"/>
        </w:rPr>
        <w:t>Un</w:t>
      </w:r>
      <w:r w:rsidRPr="00100E35">
        <w:rPr>
          <w:lang w:val="fr-FR"/>
        </w:rPr>
        <w:t xml:space="preserve"> pas décisif a été franchi avec l</w:t>
      </w:r>
      <w:r w:rsidR="00100E35">
        <w:rPr>
          <w:lang w:val="fr-FR"/>
        </w:rPr>
        <w:t>’</w:t>
      </w:r>
      <w:r w:rsidRPr="00100E35">
        <w:rPr>
          <w:lang w:val="fr-FR"/>
        </w:rPr>
        <w:t>adoption de l</w:t>
      </w:r>
      <w:r w:rsidR="00100E35">
        <w:rPr>
          <w:lang w:val="fr-FR"/>
        </w:rPr>
        <w:t>’</w:t>
      </w:r>
      <w:r w:rsidRPr="00100E35">
        <w:rPr>
          <w:lang w:val="fr-FR"/>
        </w:rPr>
        <w:t>Accord sur les aspects des droits de propriété intellectuelle qui touchent au commerce (Accord sur</w:t>
      </w:r>
      <w:r w:rsidR="00100E35" w:rsidRPr="00100E35">
        <w:rPr>
          <w:lang w:val="fr-FR"/>
        </w:rPr>
        <w:t xml:space="preserve"> les</w:t>
      </w:r>
      <w:r w:rsidR="00100E35">
        <w:rPr>
          <w:lang w:val="fr-FR"/>
        </w:rPr>
        <w:t> </w:t>
      </w:r>
      <w:r w:rsidR="00100E35" w:rsidRPr="00100E35">
        <w:rPr>
          <w:lang w:val="fr-FR"/>
        </w:rPr>
        <w:t>ADP</w:t>
      </w:r>
      <w:r w:rsidRPr="00100E35">
        <w:rPr>
          <w:lang w:val="fr-FR"/>
        </w:rPr>
        <w:t xml:space="preserve">IC) en 1994. </w:t>
      </w:r>
      <w:r w:rsidR="0080246A">
        <w:rPr>
          <w:lang w:val="fr-FR"/>
        </w:rPr>
        <w:t xml:space="preserve"> </w:t>
      </w:r>
      <w:r w:rsidRPr="00100E35">
        <w:rPr>
          <w:lang w:val="fr-FR"/>
        </w:rPr>
        <w:t>Alors que les traités antérieurs mettaient largement l</w:t>
      </w:r>
      <w:r w:rsidR="00100E35">
        <w:rPr>
          <w:lang w:val="fr-FR"/>
        </w:rPr>
        <w:t>’</w:t>
      </w:r>
      <w:r w:rsidRPr="00100E35">
        <w:rPr>
          <w:lang w:val="fr-FR"/>
        </w:rPr>
        <w:t>accent sur la reconnaissance des droits découlant des progrès technologiques, l</w:t>
      </w:r>
      <w:r w:rsidR="00100E35">
        <w:rPr>
          <w:lang w:val="fr-FR"/>
        </w:rPr>
        <w:t>’</w:t>
      </w:r>
      <w:r w:rsidRPr="00100E35">
        <w:rPr>
          <w:lang w:val="fr-FR"/>
        </w:rPr>
        <w:t>Accord sur</w:t>
      </w:r>
      <w:r w:rsidR="00100E35" w:rsidRPr="00100E35">
        <w:rPr>
          <w:lang w:val="fr-FR"/>
        </w:rPr>
        <w:t xml:space="preserve"> les</w:t>
      </w:r>
      <w:r w:rsidR="00100E35">
        <w:rPr>
          <w:lang w:val="fr-FR"/>
        </w:rPr>
        <w:t> </w:t>
      </w:r>
      <w:r w:rsidR="00100E35" w:rsidRPr="00100E35">
        <w:rPr>
          <w:lang w:val="fr-FR"/>
        </w:rPr>
        <w:t>ADP</w:t>
      </w:r>
      <w:r w:rsidRPr="00100E35">
        <w:rPr>
          <w:lang w:val="fr-FR"/>
        </w:rPr>
        <w:t>IC a marqué un tournant important en considérant la protection du droit d</w:t>
      </w:r>
      <w:r w:rsidR="00100E35">
        <w:rPr>
          <w:lang w:val="fr-FR"/>
        </w:rPr>
        <w:t>’</w:t>
      </w:r>
      <w:r w:rsidRPr="00100E35">
        <w:rPr>
          <w:lang w:val="fr-FR"/>
        </w:rPr>
        <w:t>auteur comme un élément constitutif de la politique commerciale d</w:t>
      </w:r>
      <w:r w:rsidR="00100E35">
        <w:rPr>
          <w:lang w:val="fr-FR"/>
        </w:rPr>
        <w:t>’</w:t>
      </w:r>
      <w:r w:rsidRPr="00100E35">
        <w:rPr>
          <w:lang w:val="fr-FR"/>
        </w:rPr>
        <w:t>un pays</w:t>
      </w:r>
      <w:r w:rsidRPr="00100E35">
        <w:rPr>
          <w:rFonts w:eastAsia="Aptos" w:cs="Noto Sans Display"/>
          <w:kern w:val="2"/>
          <w:szCs w:val="22"/>
          <w:vertAlign w:val="superscript"/>
          <w:lang w:val="fr-FR" w:eastAsia="en-US"/>
        </w:rPr>
        <w:endnoteReference w:id="19"/>
      </w:r>
      <w:r w:rsidRPr="00100E35">
        <w:rPr>
          <w:lang w:val="fr-FR"/>
        </w:rPr>
        <w:t xml:space="preserve">. </w:t>
      </w:r>
      <w:r w:rsidR="0080246A">
        <w:rPr>
          <w:lang w:val="fr-FR"/>
        </w:rPr>
        <w:t xml:space="preserve"> </w:t>
      </w:r>
      <w:r w:rsidRPr="00100E35">
        <w:rPr>
          <w:lang w:val="fr-FR"/>
        </w:rPr>
        <w:t>Contrairement aux accords précédents sur le droit d</w:t>
      </w:r>
      <w:r w:rsidR="00100E35">
        <w:rPr>
          <w:lang w:val="fr-FR"/>
        </w:rPr>
        <w:t>’</w:t>
      </w:r>
      <w:r w:rsidRPr="00100E35">
        <w:rPr>
          <w:lang w:val="fr-FR"/>
        </w:rPr>
        <w:t>auteur, l</w:t>
      </w:r>
      <w:r w:rsidR="00100E35">
        <w:rPr>
          <w:lang w:val="fr-FR"/>
        </w:rPr>
        <w:t>’</w:t>
      </w:r>
      <w:r w:rsidRPr="00100E35">
        <w:rPr>
          <w:lang w:val="fr-FR"/>
        </w:rPr>
        <w:t>Accord sur</w:t>
      </w:r>
      <w:r w:rsidR="00100E35" w:rsidRPr="00100E35">
        <w:rPr>
          <w:lang w:val="fr-FR"/>
        </w:rPr>
        <w:t xml:space="preserve"> les</w:t>
      </w:r>
      <w:r w:rsidR="00100E35">
        <w:rPr>
          <w:lang w:val="fr-FR"/>
        </w:rPr>
        <w:t> </w:t>
      </w:r>
      <w:r w:rsidR="00100E35" w:rsidRPr="00100E35">
        <w:rPr>
          <w:lang w:val="fr-FR"/>
        </w:rPr>
        <w:t>ADP</w:t>
      </w:r>
      <w:r w:rsidRPr="00100E35">
        <w:rPr>
          <w:lang w:val="fr-FR"/>
        </w:rPr>
        <w:t>IC a introduit un mécanisme contraignant de règlement des différends sous l</w:t>
      </w:r>
      <w:r w:rsidR="00100E35">
        <w:rPr>
          <w:lang w:val="fr-FR"/>
        </w:rPr>
        <w:t>’</w:t>
      </w:r>
      <w:r w:rsidRPr="00100E35">
        <w:rPr>
          <w:lang w:val="fr-FR"/>
        </w:rPr>
        <w:t>égide de l</w:t>
      </w:r>
      <w:r w:rsidR="00100E35">
        <w:rPr>
          <w:lang w:val="fr-FR"/>
        </w:rPr>
        <w:t>’</w:t>
      </w:r>
      <w:r w:rsidRPr="00100E35">
        <w:rPr>
          <w:lang w:val="fr-FR"/>
        </w:rPr>
        <w:t>Organisation mondiale du commerce (OMC), reliant ainsi plus directement la propriété intellectuelle aux normes commerciales mondiales et aux cadres d</w:t>
      </w:r>
      <w:r w:rsidR="00100E35">
        <w:rPr>
          <w:lang w:val="fr-FR"/>
        </w:rPr>
        <w:t>’</w:t>
      </w:r>
      <w:r w:rsidRPr="00100E35">
        <w:rPr>
          <w:lang w:val="fr-FR"/>
        </w:rPr>
        <w:t>application des droi</w:t>
      </w:r>
      <w:r w:rsidR="007A1AE9" w:rsidRPr="00100E35">
        <w:rPr>
          <w:lang w:val="fr-FR"/>
        </w:rPr>
        <w:t>ts</w:t>
      </w:r>
      <w:r w:rsidR="007A1AE9">
        <w:rPr>
          <w:lang w:val="fr-FR"/>
        </w:rPr>
        <w:t xml:space="preserve">.  </w:t>
      </w:r>
      <w:r w:rsidR="007A1AE9" w:rsidRPr="00100E35">
        <w:rPr>
          <w:lang w:val="fr-FR"/>
        </w:rPr>
        <w:t>C</w:t>
      </w:r>
      <w:r w:rsidR="007A1AE9">
        <w:rPr>
          <w:lang w:val="fr-FR"/>
        </w:rPr>
        <w:t>’</w:t>
      </w:r>
      <w:r w:rsidR="007A1AE9" w:rsidRPr="00100E35">
        <w:rPr>
          <w:lang w:val="fr-FR"/>
        </w:rPr>
        <w:t>e</w:t>
      </w:r>
      <w:r w:rsidRPr="00100E35">
        <w:rPr>
          <w:lang w:val="fr-FR"/>
        </w:rPr>
        <w:t xml:space="preserve">st ainsi que </w:t>
      </w:r>
      <w:r w:rsidRPr="00100E35">
        <w:rPr>
          <w:b/>
          <w:lang w:val="fr-FR"/>
        </w:rPr>
        <w:t>l</w:t>
      </w:r>
      <w:r w:rsidR="00100E35">
        <w:rPr>
          <w:b/>
          <w:lang w:val="fr-FR"/>
        </w:rPr>
        <w:t>’</w:t>
      </w:r>
      <w:r w:rsidRPr="00100E35">
        <w:rPr>
          <w:b/>
          <w:lang w:val="fr-FR"/>
        </w:rPr>
        <w:t>Accord sur</w:t>
      </w:r>
      <w:r w:rsidR="00100E35" w:rsidRPr="00100E35">
        <w:rPr>
          <w:b/>
          <w:lang w:val="fr-FR"/>
        </w:rPr>
        <w:t xml:space="preserve"> les</w:t>
      </w:r>
      <w:r w:rsidR="00100E35">
        <w:rPr>
          <w:b/>
          <w:lang w:val="fr-FR"/>
        </w:rPr>
        <w:t> </w:t>
      </w:r>
      <w:r w:rsidR="00100E35" w:rsidRPr="00100E35">
        <w:rPr>
          <w:b/>
          <w:lang w:val="fr-FR"/>
        </w:rPr>
        <w:t>ADP</w:t>
      </w:r>
      <w:r w:rsidRPr="00100E35">
        <w:rPr>
          <w:b/>
          <w:lang w:val="fr-FR"/>
        </w:rPr>
        <w:t>IC a révolutionné la manière dont les acteurs du secteur du droit d</w:t>
      </w:r>
      <w:r w:rsidR="00100E35">
        <w:rPr>
          <w:b/>
          <w:lang w:val="fr-FR"/>
        </w:rPr>
        <w:t>’</w:t>
      </w:r>
      <w:r w:rsidRPr="00100E35">
        <w:rPr>
          <w:b/>
          <w:lang w:val="fr-FR"/>
        </w:rPr>
        <w:t>auteur conceptualisent la protection et la monétisation des droits de propriété intellectuelle,</w:t>
      </w:r>
      <w:r w:rsidRPr="00100E35">
        <w:rPr>
          <w:lang w:val="fr-FR"/>
        </w:rPr>
        <w:t xml:space="preserve"> renforçant le rôle du droit d</w:t>
      </w:r>
      <w:r w:rsidR="00100E35">
        <w:rPr>
          <w:lang w:val="fr-FR"/>
        </w:rPr>
        <w:t>’</w:t>
      </w:r>
      <w:r w:rsidRPr="00100E35">
        <w:rPr>
          <w:lang w:val="fr-FR"/>
        </w:rPr>
        <w:t>auteur en tant qu</w:t>
      </w:r>
      <w:r w:rsidR="00100E35">
        <w:rPr>
          <w:lang w:val="fr-FR"/>
        </w:rPr>
        <w:t>’</w:t>
      </w:r>
      <w:r w:rsidRPr="00100E35">
        <w:rPr>
          <w:lang w:val="fr-FR"/>
        </w:rPr>
        <w:t>instrument juridique et économique dans l</w:t>
      </w:r>
      <w:r w:rsidR="00100E35">
        <w:rPr>
          <w:lang w:val="fr-FR"/>
        </w:rPr>
        <w:t>’</w:t>
      </w:r>
      <w:r w:rsidRPr="00100E35">
        <w:rPr>
          <w:lang w:val="fr-FR"/>
        </w:rPr>
        <w:t>ordre international.</w:t>
      </w:r>
    </w:p>
    <w:p w14:paraId="466278F8" w14:textId="6363E774"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Les accords internationaux modernes, dont l</w:t>
      </w:r>
      <w:r w:rsidR="00100E35">
        <w:rPr>
          <w:lang w:val="fr-FR"/>
        </w:rPr>
        <w:t>’</w:t>
      </w:r>
      <w:r w:rsidRPr="00100E35">
        <w:rPr>
          <w:lang w:val="fr-FR"/>
        </w:rPr>
        <w:t>Accord sur</w:t>
      </w:r>
      <w:r w:rsidR="00100E35" w:rsidRPr="00100E35">
        <w:rPr>
          <w:lang w:val="fr-FR"/>
        </w:rPr>
        <w:t xml:space="preserve"> les</w:t>
      </w:r>
      <w:r w:rsidR="00100E35">
        <w:rPr>
          <w:lang w:val="fr-FR"/>
        </w:rPr>
        <w:t> </w:t>
      </w:r>
      <w:r w:rsidR="00100E35" w:rsidRPr="00100E35">
        <w:rPr>
          <w:lang w:val="fr-FR"/>
        </w:rPr>
        <w:t>ADP</w:t>
      </w:r>
      <w:r w:rsidRPr="00100E35">
        <w:rPr>
          <w:lang w:val="fr-FR"/>
        </w:rPr>
        <w:t>IC, ont indubitablement procuré des avantages aux créateurs des pays en développement comme des pays développ</w:t>
      </w:r>
      <w:r w:rsidR="007A1AE9" w:rsidRPr="00100E35">
        <w:rPr>
          <w:lang w:val="fr-FR"/>
        </w:rPr>
        <w:t>és</w:t>
      </w:r>
      <w:r w:rsidR="007A1AE9">
        <w:rPr>
          <w:lang w:val="fr-FR"/>
        </w:rPr>
        <w:t xml:space="preserve">.  </w:t>
      </w:r>
      <w:r w:rsidR="007A1AE9" w:rsidRPr="00100E35">
        <w:rPr>
          <w:lang w:val="fr-FR"/>
        </w:rPr>
        <w:t>Ce</w:t>
      </w:r>
      <w:r w:rsidRPr="00100E35">
        <w:rPr>
          <w:lang w:val="fr-FR"/>
        </w:rPr>
        <w:t>s accords offrent un cadre commun qui permet aux créateurs de tous les pays de participer aux industries mondiales de la création dans des</w:t>
      </w:r>
      <w:r w:rsidRPr="00100E35">
        <w:rPr>
          <w:b/>
          <w:bCs/>
          <w:lang w:val="fr-FR"/>
        </w:rPr>
        <w:t xml:space="preserve"> conditions plus équitables et plus just</w:t>
      </w:r>
      <w:r w:rsidR="007A1AE9" w:rsidRPr="00100E35">
        <w:rPr>
          <w:b/>
          <w:bCs/>
          <w:lang w:val="fr-FR"/>
        </w:rPr>
        <w:t>es</w:t>
      </w:r>
      <w:r w:rsidR="007A1AE9">
        <w:rPr>
          <w:b/>
          <w:bCs/>
          <w:lang w:val="fr-FR"/>
        </w:rPr>
        <w:t xml:space="preserve">.  </w:t>
      </w:r>
      <w:r w:rsidR="007A1AE9" w:rsidRPr="00100E35">
        <w:rPr>
          <w:lang w:val="fr-FR"/>
        </w:rPr>
        <w:t>Né</w:t>
      </w:r>
      <w:r w:rsidRPr="00100E35">
        <w:rPr>
          <w:lang w:val="fr-FR"/>
        </w:rPr>
        <w:t xml:space="preserve">anmoins, un nombre croissant de recherches ont révélé des défis persistants découlant principalement des </w:t>
      </w:r>
      <w:r w:rsidRPr="00100E35">
        <w:rPr>
          <w:b/>
          <w:bCs/>
          <w:lang w:val="fr-FR"/>
        </w:rPr>
        <w:t>disparités en matière de ressources et d</w:t>
      </w:r>
      <w:r w:rsidR="00100E35">
        <w:rPr>
          <w:b/>
          <w:bCs/>
          <w:lang w:val="fr-FR"/>
        </w:rPr>
        <w:t>’</w:t>
      </w:r>
      <w:r w:rsidRPr="00100E35">
        <w:rPr>
          <w:b/>
          <w:bCs/>
          <w:lang w:val="fr-FR"/>
        </w:rPr>
        <w:t>infrastructures juridiques</w:t>
      </w:r>
      <w:r w:rsidRPr="00100E35">
        <w:rPr>
          <w:lang w:val="fr-FR"/>
        </w:rPr>
        <w:t xml:space="preserve"> qui existent entre les pays développés et les pays en développeme</w:t>
      </w:r>
      <w:r w:rsidR="007A1AE9" w:rsidRPr="00100E35">
        <w:rPr>
          <w:lang w:val="fr-FR"/>
        </w:rPr>
        <w:t>nt</w:t>
      </w:r>
      <w:r w:rsidR="007A1AE9">
        <w:rPr>
          <w:lang w:val="fr-FR"/>
        </w:rPr>
        <w:t xml:space="preserve">.  </w:t>
      </w:r>
      <w:r w:rsidR="007A1AE9" w:rsidRPr="00100E35">
        <w:rPr>
          <w:lang w:val="fr-FR"/>
        </w:rPr>
        <w:t>En</w:t>
      </w:r>
      <w:r w:rsidRPr="00100E35">
        <w:rPr>
          <w:lang w:val="fr-FR"/>
        </w:rPr>
        <w:t xml:space="preserve"> général, les pays développés bénéficient d</w:t>
      </w:r>
      <w:r w:rsidR="00100E35">
        <w:rPr>
          <w:lang w:val="fr-FR"/>
        </w:rPr>
        <w:t>’</w:t>
      </w:r>
      <w:r w:rsidRPr="00100E35">
        <w:rPr>
          <w:lang w:val="fr-FR"/>
        </w:rPr>
        <w:t xml:space="preserve">un </w:t>
      </w:r>
      <w:r w:rsidRPr="00100E35">
        <w:rPr>
          <w:b/>
          <w:lang w:val="fr-FR"/>
        </w:rPr>
        <w:t>capital plus important, d</w:t>
      </w:r>
      <w:r w:rsidR="00100E35">
        <w:rPr>
          <w:b/>
          <w:lang w:val="fr-FR"/>
        </w:rPr>
        <w:t>’</w:t>
      </w:r>
      <w:r w:rsidRPr="00100E35">
        <w:rPr>
          <w:b/>
          <w:lang w:val="fr-FR"/>
        </w:rPr>
        <w:t>un démarrage plus précoce</w:t>
      </w:r>
      <w:r w:rsidRPr="00100E35">
        <w:rPr>
          <w:lang w:val="fr-FR"/>
        </w:rPr>
        <w:t xml:space="preserve"> et de systèmes plus avancés, notamment</w:t>
      </w:r>
      <w:r w:rsidR="00100E35">
        <w:rPr>
          <w:lang w:val="fr-FR"/>
        </w:rPr>
        <w:t> :</w:t>
      </w:r>
      <w:r w:rsidRPr="00100E35">
        <w:rPr>
          <w:lang w:val="fr-FR"/>
        </w:rPr>
        <w:t xml:space="preserve"> 1) des ressources humaines bien établies, dotées de connaissances et de compétences plus solides en matière de protection du droit d</w:t>
      </w:r>
      <w:r w:rsidR="00100E35">
        <w:rPr>
          <w:lang w:val="fr-FR"/>
        </w:rPr>
        <w:t>’</w:t>
      </w:r>
      <w:r w:rsidRPr="00100E35">
        <w:rPr>
          <w:lang w:val="fr-FR"/>
        </w:rPr>
        <w:t xml:space="preserve">auteur; </w:t>
      </w:r>
      <w:r w:rsidR="0080246A">
        <w:rPr>
          <w:lang w:val="fr-FR"/>
        </w:rPr>
        <w:t xml:space="preserve"> </w:t>
      </w:r>
      <w:r w:rsidRPr="00100E35">
        <w:rPr>
          <w:lang w:val="fr-FR"/>
        </w:rPr>
        <w:t>2) des cadres juridiques nationaux bien établis pour l</w:t>
      </w:r>
      <w:r w:rsidR="00100E35">
        <w:rPr>
          <w:lang w:val="fr-FR"/>
        </w:rPr>
        <w:t>’</w:t>
      </w:r>
      <w:r w:rsidRPr="00100E35">
        <w:rPr>
          <w:lang w:val="fr-FR"/>
        </w:rPr>
        <w:t xml:space="preserve">application des droits de propriété intellectuelle; </w:t>
      </w:r>
      <w:r w:rsidR="0080246A">
        <w:rPr>
          <w:lang w:val="fr-FR"/>
        </w:rPr>
        <w:t xml:space="preserve"> </w:t>
      </w:r>
      <w:r w:rsidRPr="00100E35">
        <w:rPr>
          <w:lang w:val="fr-FR"/>
        </w:rPr>
        <w:t xml:space="preserve">et 3) la capacité financière de régler des litiges transfrontières, </w:t>
      </w:r>
      <w:r w:rsidR="00100E35">
        <w:rPr>
          <w:lang w:val="fr-FR"/>
        </w:rPr>
        <w:t>y compris</w:t>
      </w:r>
      <w:r w:rsidRPr="00100E35">
        <w:rPr>
          <w:lang w:val="fr-FR"/>
        </w:rPr>
        <w:t xml:space="preserve"> des litiges ou des arbitrages dans des ressorts juridiques étrange</w:t>
      </w:r>
      <w:r w:rsidR="007A1AE9" w:rsidRPr="00100E35">
        <w:rPr>
          <w:lang w:val="fr-FR"/>
        </w:rPr>
        <w:t>rs</w:t>
      </w:r>
      <w:r w:rsidR="007A1AE9">
        <w:rPr>
          <w:lang w:val="fr-FR"/>
        </w:rPr>
        <w:t xml:space="preserve">.  </w:t>
      </w:r>
      <w:r w:rsidR="007A1AE9" w:rsidRPr="00100E35">
        <w:rPr>
          <w:lang w:val="fr-FR"/>
        </w:rPr>
        <w:t>Ce</w:t>
      </w:r>
      <w:r w:rsidRPr="00100E35">
        <w:rPr>
          <w:lang w:val="fr-FR"/>
        </w:rPr>
        <w:t>s asymétries empêcheraient les créateurs des pays en développement de profiter pleinement des avantages, malgré l</w:t>
      </w:r>
      <w:r w:rsidR="00100E35">
        <w:rPr>
          <w:lang w:val="fr-FR"/>
        </w:rPr>
        <w:t>’</w:t>
      </w:r>
      <w:r w:rsidRPr="00100E35">
        <w:rPr>
          <w:lang w:val="fr-FR"/>
        </w:rPr>
        <w:t>existence de normes internationales commun</w:t>
      </w:r>
      <w:r w:rsidR="007A1AE9" w:rsidRPr="00100E35">
        <w:rPr>
          <w:lang w:val="fr-FR"/>
        </w:rPr>
        <w:t>es</w:t>
      </w:r>
      <w:r w:rsidR="007A1AE9">
        <w:rPr>
          <w:lang w:val="fr-FR"/>
        </w:rPr>
        <w:t xml:space="preserve">.  </w:t>
      </w:r>
      <w:r w:rsidR="007A1AE9" w:rsidRPr="00100E35">
        <w:rPr>
          <w:lang w:val="fr-FR"/>
        </w:rPr>
        <w:t>Co</w:t>
      </w:r>
      <w:r w:rsidRPr="00100E35">
        <w:rPr>
          <w:lang w:val="fr-FR"/>
        </w:rPr>
        <w:t>mbler cet écart au niveau de la mise en œuvre demeure donc une priorité pour garantir l</w:t>
      </w:r>
      <w:r w:rsidR="00100E35">
        <w:rPr>
          <w:lang w:val="fr-FR"/>
        </w:rPr>
        <w:t>’</w:t>
      </w:r>
      <w:r w:rsidRPr="00100E35">
        <w:rPr>
          <w:lang w:val="fr-FR"/>
        </w:rPr>
        <w:t>inclusivité et l</w:t>
      </w:r>
      <w:r w:rsidR="00100E35">
        <w:rPr>
          <w:lang w:val="fr-FR"/>
        </w:rPr>
        <w:t>’</w:t>
      </w:r>
      <w:r w:rsidRPr="00100E35">
        <w:rPr>
          <w:lang w:val="fr-FR"/>
        </w:rPr>
        <w:t>équité du système mondial du droit d</w:t>
      </w:r>
      <w:r w:rsidR="00100E35">
        <w:rPr>
          <w:lang w:val="fr-FR"/>
        </w:rPr>
        <w:t>’</w:t>
      </w:r>
      <w:r w:rsidRPr="00100E35">
        <w:rPr>
          <w:lang w:val="fr-FR"/>
        </w:rPr>
        <w:t>auteur</w:t>
      </w:r>
      <w:r w:rsidRPr="00100E35">
        <w:rPr>
          <w:rFonts w:eastAsia="Aptos" w:cs="Noto Sans Display"/>
          <w:kern w:val="2"/>
          <w:szCs w:val="22"/>
          <w:vertAlign w:val="superscript"/>
          <w:lang w:val="fr-FR" w:eastAsia="en-US"/>
        </w:rPr>
        <w:endnoteReference w:id="20"/>
      </w:r>
      <w:r w:rsidRPr="00100E35">
        <w:rPr>
          <w:lang w:val="fr-FR"/>
        </w:rPr>
        <w:t>.</w:t>
      </w:r>
    </w:p>
    <w:p w14:paraId="4AC789CD" w14:textId="0C71D307"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Ce problème est encore exacerbé par la numérisation des œuvres créatives, une transformation largement pilotée par les pays développés dotés d</w:t>
      </w:r>
      <w:r w:rsidR="00100E35">
        <w:rPr>
          <w:lang w:val="fr-FR"/>
        </w:rPr>
        <w:t>’</w:t>
      </w:r>
      <w:r w:rsidRPr="00100E35">
        <w:rPr>
          <w:lang w:val="fr-FR"/>
        </w:rPr>
        <w:t>infrastructures technologiques avancé</w:t>
      </w:r>
      <w:r w:rsidR="007A1AE9" w:rsidRPr="00100E35">
        <w:rPr>
          <w:lang w:val="fr-FR"/>
        </w:rPr>
        <w:t>es</w:t>
      </w:r>
      <w:r w:rsidR="007A1AE9">
        <w:rPr>
          <w:lang w:val="fr-FR"/>
        </w:rPr>
        <w:t xml:space="preserve">.  </w:t>
      </w:r>
      <w:r w:rsidR="007A1AE9" w:rsidRPr="00100E35">
        <w:rPr>
          <w:lang w:val="fr-FR"/>
        </w:rPr>
        <w:t>Gr</w:t>
      </w:r>
      <w:r w:rsidRPr="00100E35">
        <w:rPr>
          <w:lang w:val="fr-FR"/>
        </w:rPr>
        <w:t>âce à un meilleur accès à l</w:t>
      </w:r>
      <w:r w:rsidR="00100E35">
        <w:rPr>
          <w:lang w:val="fr-FR"/>
        </w:rPr>
        <w:t>’</w:t>
      </w:r>
      <w:r w:rsidRPr="00100E35">
        <w:rPr>
          <w:lang w:val="fr-FR"/>
        </w:rPr>
        <w:t>éducation en matière de propriété intellectuelle et à des capacités technologiques supérieures, les créateurs des pays développés sont mieux placés pour tirer parti des avantages de la numérisation, maximiser leur portée commerciale et assurer le respect de leurs droits dans les environnements numériqu</w:t>
      </w:r>
      <w:r w:rsidR="007A1AE9" w:rsidRPr="00100E35">
        <w:rPr>
          <w:lang w:val="fr-FR"/>
        </w:rPr>
        <w:t>es</w:t>
      </w:r>
      <w:r w:rsidR="007A1AE9">
        <w:rPr>
          <w:lang w:val="fr-FR"/>
        </w:rPr>
        <w:t xml:space="preserve">.  </w:t>
      </w:r>
      <w:r w:rsidR="007A1AE9" w:rsidRPr="00100E35">
        <w:rPr>
          <w:lang w:val="fr-FR"/>
        </w:rPr>
        <w:t xml:space="preserve">À </w:t>
      </w:r>
      <w:r w:rsidRPr="00100E35">
        <w:rPr>
          <w:lang w:val="fr-FR"/>
        </w:rPr>
        <w:t>l</w:t>
      </w:r>
      <w:r w:rsidR="00100E35">
        <w:rPr>
          <w:lang w:val="fr-FR"/>
        </w:rPr>
        <w:t>’</w:t>
      </w:r>
      <w:r w:rsidRPr="00100E35">
        <w:rPr>
          <w:lang w:val="fr-FR"/>
        </w:rPr>
        <w:t>inverse, les créateurs des pays en développement ont souvent plus de peine à utiliser les infrastructures juridiques pour protéger le droit d</w:t>
      </w:r>
      <w:r w:rsidR="00100E35">
        <w:rPr>
          <w:lang w:val="fr-FR"/>
        </w:rPr>
        <w:t>’</w:t>
      </w:r>
      <w:r w:rsidRPr="00100E35">
        <w:rPr>
          <w:lang w:val="fr-FR"/>
        </w:rPr>
        <w:t>auteur et à exploiter les technologies pour étendre leur présence sur le marché</w:t>
      </w:r>
      <w:r w:rsidRPr="00100E35">
        <w:rPr>
          <w:rFonts w:eastAsia="Aptos" w:cs="Noto Sans Display"/>
          <w:kern w:val="2"/>
          <w:szCs w:val="22"/>
          <w:vertAlign w:val="superscript"/>
          <w:lang w:val="fr-FR" w:eastAsia="en-US"/>
        </w:rPr>
        <w:endnoteReference w:id="21"/>
      </w:r>
      <w:r w:rsidRPr="00100E35">
        <w:rPr>
          <w:lang w:val="fr-FR"/>
        </w:rPr>
        <w:t xml:space="preserve">. </w:t>
      </w:r>
      <w:r w:rsidR="0080246A">
        <w:rPr>
          <w:lang w:val="fr-FR"/>
        </w:rPr>
        <w:t xml:space="preserve"> </w:t>
      </w:r>
      <w:r w:rsidRPr="00100E35">
        <w:rPr>
          <w:lang w:val="fr-FR"/>
        </w:rPr>
        <w:t>Une étude consacrée aux pays africains révèle que beaucoup d</w:t>
      </w:r>
      <w:r w:rsidR="00100E35">
        <w:rPr>
          <w:lang w:val="fr-FR"/>
        </w:rPr>
        <w:t>’</w:t>
      </w:r>
      <w:r w:rsidRPr="00100E35">
        <w:rPr>
          <w:lang w:val="fr-FR"/>
        </w:rPr>
        <w:t>entre eux ne disposent pas des ressources et des infrastructures juridiques nécessaires pour protéger les créateurs locaux, notamment en cas de violation du droit d</w:t>
      </w:r>
      <w:r w:rsidR="00100E35">
        <w:rPr>
          <w:lang w:val="fr-FR"/>
        </w:rPr>
        <w:t>’</w:t>
      </w:r>
      <w:r w:rsidRPr="00100E35">
        <w:rPr>
          <w:lang w:val="fr-FR"/>
        </w:rPr>
        <w:t>auteur ou d</w:t>
      </w:r>
      <w:r w:rsidR="00100E35">
        <w:rPr>
          <w:lang w:val="fr-FR"/>
        </w:rPr>
        <w:t>’</w:t>
      </w:r>
      <w:r w:rsidRPr="00100E35">
        <w:rPr>
          <w:lang w:val="fr-FR"/>
        </w:rPr>
        <w:t>utilisation non autorisée de leurs œuvres par des entités des pays développés, souvent sans contrepart</w:t>
      </w:r>
      <w:r w:rsidR="007A1AE9" w:rsidRPr="00100E35">
        <w:rPr>
          <w:lang w:val="fr-FR"/>
        </w:rPr>
        <w:t>ie</w:t>
      </w:r>
      <w:r w:rsidR="007A1AE9">
        <w:rPr>
          <w:lang w:val="fr-FR"/>
        </w:rPr>
        <w:t xml:space="preserve">.  </w:t>
      </w:r>
      <w:r w:rsidR="007A1AE9" w:rsidRPr="00100E35">
        <w:rPr>
          <w:lang w:val="fr-FR"/>
        </w:rPr>
        <w:t>Ce</w:t>
      </w:r>
      <w:r w:rsidRPr="00100E35">
        <w:rPr>
          <w:lang w:val="fr-FR"/>
        </w:rPr>
        <w:t>tte lacune systémique a contribué à faire opportunément progresser la protection des créateurs sur tout le continent africain</w:t>
      </w:r>
      <w:r w:rsidRPr="00100E35">
        <w:rPr>
          <w:rFonts w:eastAsia="Aptos" w:cs="Noto Sans Display"/>
          <w:kern w:val="2"/>
          <w:szCs w:val="22"/>
          <w:vertAlign w:val="superscript"/>
          <w:lang w:val="fr-FR" w:eastAsia="en-US"/>
        </w:rPr>
        <w:endnoteReference w:id="22"/>
      </w:r>
      <w:r w:rsidRPr="00100E35">
        <w:rPr>
          <w:lang w:val="fr-FR"/>
        </w:rPr>
        <w:t xml:space="preserve">. </w:t>
      </w:r>
      <w:r w:rsidR="0080246A">
        <w:rPr>
          <w:lang w:val="fr-FR"/>
        </w:rPr>
        <w:t xml:space="preserve"> </w:t>
      </w:r>
      <w:r w:rsidRPr="00100E35">
        <w:rPr>
          <w:lang w:val="fr-FR"/>
        </w:rPr>
        <w:t>Le document de communication de la Colombie (IP/C/W/721) fait écho à cette préoccupation et souligne le déséquilibre qui existe au niveau des flux de redevances, montrant le transfert disproportionné des recettes des pays en développement vers les pays développés.</w:t>
      </w:r>
    </w:p>
    <w:p w14:paraId="63FE50CB" w14:textId="5216E867"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Au gré de l</w:t>
      </w:r>
      <w:r w:rsidR="00100E35">
        <w:rPr>
          <w:lang w:val="fr-FR"/>
        </w:rPr>
        <w:t>’</w:t>
      </w:r>
      <w:r w:rsidRPr="00100E35">
        <w:rPr>
          <w:lang w:val="fr-FR"/>
        </w:rPr>
        <w:t>évolution de l</w:t>
      </w:r>
      <w:r w:rsidR="00100E35">
        <w:rPr>
          <w:lang w:val="fr-FR"/>
        </w:rPr>
        <w:t>’</w:t>
      </w:r>
      <w:r w:rsidRPr="00100E35">
        <w:rPr>
          <w:lang w:val="fr-FR"/>
        </w:rPr>
        <w:t>industrie de la musique numérique, les organisations de gestion collective ont joué un rôle de plus en plus important dans la collecte et la distribution des redevances, en particulier en ce qui concerne l</w:t>
      </w:r>
      <w:r w:rsidR="00100E35">
        <w:rPr>
          <w:lang w:val="fr-FR"/>
        </w:rPr>
        <w:t>’</w:t>
      </w:r>
      <w:r w:rsidRPr="00100E35">
        <w:rPr>
          <w:lang w:val="fr-FR"/>
        </w:rPr>
        <w:t>utilisation des phonogrammes et des œuvres audiovisuelles sur les plateformes en ligne telles que les services de diffusion en conti</w:t>
      </w:r>
      <w:r w:rsidR="007A1AE9" w:rsidRPr="00100E35">
        <w:rPr>
          <w:lang w:val="fr-FR"/>
        </w:rPr>
        <w:t>nu</w:t>
      </w:r>
      <w:r w:rsidR="007A1AE9">
        <w:rPr>
          <w:lang w:val="fr-FR"/>
        </w:rPr>
        <w:t xml:space="preserve">.  </w:t>
      </w:r>
      <w:r w:rsidR="007A1AE9" w:rsidRPr="00100E35">
        <w:rPr>
          <w:lang w:val="fr-FR"/>
        </w:rPr>
        <w:t>Gr</w:t>
      </w:r>
      <w:r w:rsidRPr="00100E35">
        <w:rPr>
          <w:lang w:val="fr-FR"/>
        </w:rPr>
        <w:t>âce à elles, les créateurs et les titulaires de droits peuvent recevoir une rémunération équitable pour l</w:t>
      </w:r>
      <w:r w:rsidR="00100E35">
        <w:rPr>
          <w:lang w:val="fr-FR"/>
        </w:rPr>
        <w:t>’</w:t>
      </w:r>
      <w:r w:rsidRPr="00100E35">
        <w:rPr>
          <w:lang w:val="fr-FR"/>
        </w:rPr>
        <w:t>utilisation de leurs œuvres, même en cas d</w:t>
      </w:r>
      <w:r w:rsidR="00100E35">
        <w:rPr>
          <w:lang w:val="fr-FR"/>
        </w:rPr>
        <w:t>’</w:t>
      </w:r>
      <w:r w:rsidRPr="00100E35">
        <w:rPr>
          <w:lang w:val="fr-FR"/>
        </w:rPr>
        <w:t xml:space="preserve">utilisation transfrontalière ou sur des plateformes numériques. </w:t>
      </w:r>
      <w:r w:rsidR="0080246A">
        <w:rPr>
          <w:lang w:val="fr-FR"/>
        </w:rPr>
        <w:t xml:space="preserve"> </w:t>
      </w:r>
      <w:r w:rsidRPr="00100E35">
        <w:rPr>
          <w:lang w:val="fr-FR"/>
        </w:rPr>
        <w:t>À cet égard, les organisations de gestion collective ont une fonction stratégique en conciliant les intérêts des titulaires de droits et des utilisateurs au sein de l</w:t>
      </w:r>
      <w:r w:rsidR="00100E35">
        <w:rPr>
          <w:lang w:val="fr-FR"/>
        </w:rPr>
        <w:t>’</w:t>
      </w:r>
      <w:r w:rsidRPr="00100E35">
        <w:rPr>
          <w:lang w:val="fr-FR"/>
        </w:rPr>
        <w:t>écosystème musical en ligne, que ce soit à l</w:t>
      </w:r>
      <w:r w:rsidR="00100E35">
        <w:rPr>
          <w:lang w:val="fr-FR"/>
        </w:rPr>
        <w:t>’</w:t>
      </w:r>
      <w:r w:rsidRPr="00100E35">
        <w:rPr>
          <w:lang w:val="fr-FR"/>
        </w:rPr>
        <w:t>échelle nationale ou internationa</w:t>
      </w:r>
      <w:r w:rsidR="007A1AE9" w:rsidRPr="00100E35">
        <w:rPr>
          <w:lang w:val="fr-FR"/>
        </w:rPr>
        <w:t>le</w:t>
      </w:r>
      <w:r w:rsidR="007A1AE9">
        <w:rPr>
          <w:lang w:val="fr-FR"/>
        </w:rPr>
        <w:t xml:space="preserve">.  </w:t>
      </w:r>
      <w:r w:rsidR="007A1AE9" w:rsidRPr="00100E35">
        <w:rPr>
          <w:lang w:val="fr-FR"/>
        </w:rPr>
        <w:t>Le</w:t>
      </w:r>
      <w:r w:rsidRPr="00100E35">
        <w:rPr>
          <w:lang w:val="fr-FR"/>
        </w:rPr>
        <w:t>ur rôle est essentiel pour garantir que les plateformes de musique numérique opèrent de manière à respecter les droits des créateurs, favoriser une rémunération équitable et préserver l</w:t>
      </w:r>
      <w:r w:rsidR="00100E35">
        <w:rPr>
          <w:lang w:val="fr-FR"/>
        </w:rPr>
        <w:t>’</w:t>
      </w:r>
      <w:r w:rsidRPr="00100E35">
        <w:rPr>
          <w:lang w:val="fr-FR"/>
        </w:rPr>
        <w:t>intégrité de la gouvernance de la propriété intellectuelle à l</w:t>
      </w:r>
      <w:r w:rsidR="00100E35">
        <w:rPr>
          <w:lang w:val="fr-FR"/>
        </w:rPr>
        <w:t>’</w:t>
      </w:r>
      <w:r w:rsidRPr="00100E35">
        <w:rPr>
          <w:lang w:val="fr-FR"/>
        </w:rPr>
        <w:t>ère du numérique.</w:t>
      </w:r>
    </w:p>
    <w:p w14:paraId="2E6E54FD" w14:textId="77777777" w:rsidR="00AC4817" w:rsidRPr="00AD3CB9" w:rsidRDefault="00AC4817" w:rsidP="00AD3CB9">
      <w:r w:rsidRPr="00AD3CB9">
        <w:br w:type="page"/>
      </w:r>
    </w:p>
    <w:p w14:paraId="59BF2E33" w14:textId="62348BE2" w:rsidR="00AC4817" w:rsidRPr="00100E35" w:rsidRDefault="00AC4817" w:rsidP="00AC4817">
      <w:pPr>
        <w:pStyle w:val="Heading51"/>
        <w:rPr>
          <w:color w:val="1F497D" w:themeColor="text2"/>
        </w:rPr>
      </w:pPr>
      <w:bookmarkStart w:id="9" w:name="_Toc213431754"/>
      <w:r w:rsidRPr="00100E35">
        <w:rPr>
          <w:i/>
          <w:color w:val="1F497D" w:themeColor="text2"/>
        </w:rPr>
        <w:t>Énoncé du problème</w:t>
      </w:r>
      <w:r w:rsidR="00100E35">
        <w:rPr>
          <w:i/>
          <w:color w:val="1F497D" w:themeColor="text2"/>
        </w:rPr>
        <w:t> :</w:t>
      </w:r>
      <w:r w:rsidRPr="00100E35">
        <w:rPr>
          <w:color w:val="1F497D" w:themeColor="text2"/>
        </w:rPr>
        <w:t xml:space="preserve"> ensemble de problématiques traitées dans la proposition de l</w:t>
      </w:r>
      <w:r w:rsidR="00100E35">
        <w:rPr>
          <w:color w:val="1F497D" w:themeColor="text2"/>
        </w:rPr>
        <w:t>’</w:t>
      </w:r>
      <w:r w:rsidRPr="00100E35">
        <w:rPr>
          <w:color w:val="1F497D" w:themeColor="text2"/>
        </w:rPr>
        <w:t>Indonésie</w:t>
      </w:r>
      <w:bookmarkEnd w:id="9"/>
    </w:p>
    <w:p w14:paraId="165C2E86" w14:textId="760A9551"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L</w:t>
      </w:r>
      <w:r w:rsidR="00100E35">
        <w:rPr>
          <w:lang w:val="fr-FR"/>
        </w:rPr>
        <w:t>’</w:t>
      </w:r>
      <w:r w:rsidRPr="00100E35">
        <w:rPr>
          <w:lang w:val="fr-FR"/>
        </w:rPr>
        <w:t>exposé qui précède démontre que la gouvernance des phonogrammes et des redevances audiovisuelles, tant au niveau national qu</w:t>
      </w:r>
      <w:r w:rsidR="00100E35">
        <w:rPr>
          <w:lang w:val="fr-FR"/>
        </w:rPr>
        <w:t>’</w:t>
      </w:r>
      <w:r w:rsidRPr="00100E35">
        <w:rPr>
          <w:lang w:val="fr-FR"/>
        </w:rPr>
        <w:t>international, laisse toujours apparaître un décalage croissant entre les cadres juridiques établis et leur mise en œuvre pratiq</w:t>
      </w:r>
      <w:r w:rsidR="007A1AE9" w:rsidRPr="00100E35">
        <w:rPr>
          <w:lang w:val="fr-FR"/>
        </w:rPr>
        <w:t>ue</w:t>
      </w:r>
      <w:r w:rsidR="007A1AE9">
        <w:rPr>
          <w:lang w:val="fr-FR"/>
        </w:rPr>
        <w:t xml:space="preserve">.  </w:t>
      </w:r>
      <w:r w:rsidR="007A1AE9" w:rsidRPr="00100E35">
        <w:rPr>
          <w:lang w:val="fr-FR"/>
        </w:rPr>
        <w:t>Su</w:t>
      </w:r>
      <w:r w:rsidRPr="00100E35">
        <w:rPr>
          <w:lang w:val="fr-FR"/>
        </w:rPr>
        <w:t>r la scène mondiale, les pays en développement restent limités par des asymétries structurelles en matière de capitaux, de technologies et d</w:t>
      </w:r>
      <w:r w:rsidR="00100E35">
        <w:rPr>
          <w:lang w:val="fr-FR"/>
        </w:rPr>
        <w:t>’</w:t>
      </w:r>
      <w:r w:rsidRPr="00100E35">
        <w:rPr>
          <w:lang w:val="fr-FR"/>
        </w:rPr>
        <w:t>infrastructures juridiques, réduisant les pays du Sud au rôle de participants à un système principalement conçu par les pays du No</w:t>
      </w:r>
      <w:r w:rsidR="007A1AE9" w:rsidRPr="00100E35">
        <w:rPr>
          <w:lang w:val="fr-FR"/>
        </w:rPr>
        <w:t>rd</w:t>
      </w:r>
      <w:r w:rsidR="007A1AE9">
        <w:rPr>
          <w:lang w:val="fr-FR"/>
        </w:rPr>
        <w:t xml:space="preserve">.  </w:t>
      </w:r>
      <w:r w:rsidR="007A1AE9" w:rsidRPr="00100E35">
        <w:rPr>
          <w:lang w:val="fr-FR"/>
        </w:rPr>
        <w:t>Ce</w:t>
      </w:r>
      <w:r w:rsidRPr="00100E35">
        <w:rPr>
          <w:lang w:val="fr-FR"/>
        </w:rPr>
        <w:t>tte dynamique trouve un écho au niveau national en Indonésie, où la perception des redevances pour l</w:t>
      </w:r>
      <w:r w:rsidR="00100E35">
        <w:rPr>
          <w:lang w:val="fr-FR"/>
        </w:rPr>
        <w:t>’</w:t>
      </w:r>
      <w:r w:rsidRPr="00100E35">
        <w:rPr>
          <w:lang w:val="fr-FR"/>
        </w:rPr>
        <w:t>utilisation en ligne des phonogrammes et des œuvres audiovisuelles continue de se heurter à des obstacles considérabl</w:t>
      </w:r>
      <w:r w:rsidR="007A1AE9" w:rsidRPr="00100E35">
        <w:rPr>
          <w:lang w:val="fr-FR"/>
        </w:rPr>
        <w:t>es</w:t>
      </w:r>
      <w:r w:rsidR="007A1AE9">
        <w:rPr>
          <w:lang w:val="fr-FR"/>
        </w:rPr>
        <w:t xml:space="preserve">.  </w:t>
      </w:r>
      <w:r w:rsidR="007A1AE9" w:rsidRPr="00100E35">
        <w:rPr>
          <w:lang w:val="fr-FR"/>
        </w:rPr>
        <w:t>Da</w:t>
      </w:r>
      <w:r w:rsidRPr="00100E35">
        <w:rPr>
          <w:lang w:val="fr-FR"/>
        </w:rPr>
        <w:t>ns ce contexte, le présent document de travail propose une cartographie des problématiques, comme illustré dans le graphique ci</w:t>
      </w:r>
      <w:r w:rsidR="00100E35">
        <w:rPr>
          <w:lang w:val="fr-FR"/>
        </w:rPr>
        <w:t>-</w:t>
      </w:r>
      <w:r w:rsidRPr="00100E35">
        <w:rPr>
          <w:lang w:val="fr-FR"/>
        </w:rPr>
        <w:t>dessous.</w:t>
      </w:r>
    </w:p>
    <w:p w14:paraId="697195E8" w14:textId="77777777" w:rsidR="00AC4817" w:rsidRPr="00100E35" w:rsidRDefault="00AC4817" w:rsidP="00AC4817">
      <w:pPr>
        <w:spacing w:before="180" w:after="240"/>
        <w:jc w:val="both"/>
        <w:rPr>
          <w:rFonts w:eastAsia="Aptos" w:cs="Noto Sans Display"/>
          <w:i/>
          <w:iCs/>
          <w:kern w:val="2"/>
          <w:szCs w:val="22"/>
          <w:lang w:val="fr-FR"/>
          <w14:ligatures w14:val="standardContextual"/>
        </w:rPr>
      </w:pPr>
      <w:r w:rsidRPr="00100E35">
        <w:rPr>
          <w:noProof/>
          <w:lang w:val="fr-FR"/>
        </w:rPr>
        <w:drawing>
          <wp:anchor distT="0" distB="0" distL="0" distR="0" simplePos="0" relativeHeight="251659264" behindDoc="0" locked="0" layoutInCell="1" allowOverlap="1" wp14:anchorId="3BAB4263" wp14:editId="341E9773">
            <wp:simplePos x="0" y="0"/>
            <wp:positionH relativeFrom="page">
              <wp:posOffset>914400</wp:posOffset>
            </wp:positionH>
            <wp:positionV relativeFrom="paragraph">
              <wp:posOffset>316865</wp:posOffset>
            </wp:positionV>
            <wp:extent cx="5229126" cy="3956304"/>
            <wp:effectExtent l="0" t="0" r="0" b="0"/>
            <wp:wrapTopAndBottom/>
            <wp:docPr id="11" name="image6.jpeg" descr="Représentation graphique d’une prestation &#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diagram of a performance&#10;&#10;AI-generated content may be incorrect."/>
                    <pic:cNvPicPr/>
                  </pic:nvPicPr>
                  <pic:blipFill>
                    <a:blip r:embed="rId10" cstate="print"/>
                    <a:stretch>
                      <a:fillRect/>
                    </a:stretch>
                  </pic:blipFill>
                  <pic:spPr>
                    <a:xfrm>
                      <a:off x="0" y="0"/>
                      <a:ext cx="5229126" cy="3956304"/>
                    </a:xfrm>
                    <a:prstGeom prst="rect">
                      <a:avLst/>
                    </a:prstGeom>
                  </pic:spPr>
                </pic:pic>
              </a:graphicData>
            </a:graphic>
          </wp:anchor>
        </w:drawing>
      </w:r>
    </w:p>
    <w:p w14:paraId="4590CD35" w14:textId="0365344F" w:rsidR="00AC4817" w:rsidRPr="00100E35" w:rsidRDefault="00AC4817" w:rsidP="00AC4817">
      <w:pPr>
        <w:spacing w:before="180" w:after="240"/>
        <w:jc w:val="both"/>
        <w:rPr>
          <w:rFonts w:eastAsia="Aptos" w:cs="Noto Sans Display"/>
          <w:i/>
          <w:iCs/>
          <w:kern w:val="2"/>
          <w:szCs w:val="22"/>
          <w:lang w:val="fr-FR"/>
          <w14:ligatures w14:val="standardContextual"/>
        </w:rPr>
      </w:pPr>
      <w:r w:rsidRPr="00100E35">
        <w:rPr>
          <w:i/>
          <w:lang w:val="fr-FR"/>
        </w:rPr>
        <w:t xml:space="preserve">Figure 1. </w:t>
      </w:r>
      <w:r w:rsidR="0080246A">
        <w:rPr>
          <w:i/>
          <w:lang w:val="fr-FR"/>
        </w:rPr>
        <w:t xml:space="preserve"> </w:t>
      </w:r>
      <w:r w:rsidRPr="00100E35">
        <w:rPr>
          <w:i/>
          <w:lang w:val="fr-FR"/>
        </w:rPr>
        <w:t>Recensement des problématiques régionales en matière de gouvernance des phonogrammes et du droit d</w:t>
      </w:r>
      <w:r w:rsidR="00100E35">
        <w:rPr>
          <w:i/>
          <w:lang w:val="fr-FR"/>
        </w:rPr>
        <w:t>’</w:t>
      </w:r>
      <w:r w:rsidRPr="00100E35">
        <w:rPr>
          <w:i/>
          <w:lang w:val="fr-FR"/>
        </w:rPr>
        <w:t>auteur sur les œuvres audiovisuelles dans l</w:t>
      </w:r>
      <w:r w:rsidR="00100E35">
        <w:rPr>
          <w:i/>
          <w:lang w:val="fr-FR"/>
        </w:rPr>
        <w:t>’</w:t>
      </w:r>
      <w:r w:rsidRPr="00100E35">
        <w:rPr>
          <w:i/>
          <w:lang w:val="fr-FR"/>
        </w:rPr>
        <w:t>environnement numérique</w:t>
      </w:r>
    </w:p>
    <w:p w14:paraId="5F1D419E" w14:textId="0A4F1526"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Il ressort clairement du graphique ci</w:t>
      </w:r>
      <w:r w:rsidR="00100E35">
        <w:rPr>
          <w:lang w:val="fr-FR"/>
        </w:rPr>
        <w:t>-</w:t>
      </w:r>
      <w:r w:rsidRPr="00100E35">
        <w:rPr>
          <w:lang w:val="fr-FR"/>
        </w:rPr>
        <w:t>dessus que les asymétries structurelles du paysage mondial de la propriété intellectuelle sont à l</w:t>
      </w:r>
      <w:r w:rsidR="00100E35">
        <w:rPr>
          <w:lang w:val="fr-FR"/>
        </w:rPr>
        <w:t>’</w:t>
      </w:r>
      <w:r w:rsidRPr="00100E35">
        <w:rPr>
          <w:lang w:val="fr-FR"/>
        </w:rPr>
        <w:t>origine des difficultés entourant la concession de licences et les redevances pour la musique en ligne, que ce soit à l</w:t>
      </w:r>
      <w:r w:rsidR="00100E35">
        <w:rPr>
          <w:lang w:val="fr-FR"/>
        </w:rPr>
        <w:t>’</w:t>
      </w:r>
      <w:r w:rsidRPr="00100E35">
        <w:rPr>
          <w:lang w:val="fr-FR"/>
        </w:rPr>
        <w:t>échelle nationale ou internationale, avec des effets directs sur le contexte national des pays en développeme</w:t>
      </w:r>
      <w:r w:rsidR="007A1AE9" w:rsidRPr="00100E35">
        <w:rPr>
          <w:lang w:val="fr-FR"/>
        </w:rPr>
        <w:t>nt</w:t>
      </w:r>
      <w:r w:rsidR="007A1AE9">
        <w:rPr>
          <w:lang w:val="fr-FR"/>
        </w:rPr>
        <w:t xml:space="preserve">.  </w:t>
      </w:r>
      <w:r w:rsidR="007A1AE9" w:rsidRPr="00100E35">
        <w:rPr>
          <w:lang w:val="fr-FR"/>
        </w:rPr>
        <w:t>Da</w:t>
      </w:r>
      <w:r w:rsidRPr="00100E35">
        <w:rPr>
          <w:lang w:val="fr-FR"/>
        </w:rPr>
        <w:t>ns la pratique, ces asymétries transparaissent dans un ensemble de problématiques qui touchent quatre questions clés</w:t>
      </w:r>
      <w:r w:rsidR="00100E35">
        <w:rPr>
          <w:lang w:val="fr-FR"/>
        </w:rPr>
        <w:t> :</w:t>
      </w:r>
      <w:r w:rsidRPr="00100E35">
        <w:rPr>
          <w:lang w:val="fr-FR"/>
        </w:rPr>
        <w:t xml:space="preserve"> 1) la gouvernance en matière de collecte et de distribution des redevances, 2) les mécanismes utilisés pour la répartition des redevances, 3) la centralisation de la base de données mondiale sur le droit d</w:t>
      </w:r>
      <w:r w:rsidR="00100E35">
        <w:rPr>
          <w:lang w:val="fr-FR"/>
        </w:rPr>
        <w:t>’</w:t>
      </w:r>
      <w:r w:rsidRPr="00100E35">
        <w:rPr>
          <w:lang w:val="fr-FR"/>
        </w:rPr>
        <w:t>auteur, et 4) les disparités dans l</w:t>
      </w:r>
      <w:r w:rsidR="00100E35">
        <w:rPr>
          <w:lang w:val="fr-FR"/>
        </w:rPr>
        <w:t>’</w:t>
      </w:r>
      <w:r w:rsidRPr="00100E35">
        <w:rPr>
          <w:lang w:val="fr-FR"/>
        </w:rPr>
        <w:t>évaluation des redevances de droit d</w:t>
      </w:r>
      <w:r w:rsidR="00100E35">
        <w:rPr>
          <w:lang w:val="fr-FR"/>
        </w:rPr>
        <w:t>’</w:t>
      </w:r>
      <w:r w:rsidRPr="00100E35">
        <w:rPr>
          <w:lang w:val="fr-FR"/>
        </w:rPr>
        <w:t>auteur.</w:t>
      </w:r>
    </w:p>
    <w:p w14:paraId="006B42AA" w14:textId="432771BC"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b/>
          <w:bCs/>
          <w:lang w:val="fr-FR"/>
        </w:rPr>
        <w:t>Premièrement,</w:t>
      </w:r>
      <w:r w:rsidRPr="00100E35">
        <w:rPr>
          <w:lang w:val="fr-FR"/>
        </w:rPr>
        <w:t xml:space="preserve"> </w:t>
      </w:r>
      <w:r w:rsidRPr="00100E35">
        <w:rPr>
          <w:b/>
          <w:bCs/>
          <w:lang w:val="fr-FR"/>
        </w:rPr>
        <w:t>la gouvernance de la collecte et de la distribution des redevances</w:t>
      </w:r>
      <w:r w:rsidRPr="00100E35">
        <w:rPr>
          <w:lang w:val="fr-FR"/>
        </w:rPr>
        <w:t xml:space="preserve"> par les organisations de gestion collecti</w:t>
      </w:r>
      <w:r w:rsidR="007A1AE9" w:rsidRPr="00100E35">
        <w:rPr>
          <w:lang w:val="fr-FR"/>
        </w:rPr>
        <w:t>ve</w:t>
      </w:r>
      <w:r w:rsidR="007A1AE9">
        <w:rPr>
          <w:lang w:val="fr-FR"/>
        </w:rPr>
        <w:t xml:space="preserve">.  </w:t>
      </w:r>
      <w:r w:rsidR="007A1AE9" w:rsidRPr="00100E35">
        <w:rPr>
          <w:lang w:val="fr-FR"/>
        </w:rPr>
        <w:t>Ét</w:t>
      </w:r>
      <w:r w:rsidRPr="00100E35">
        <w:rPr>
          <w:lang w:val="fr-FR"/>
        </w:rPr>
        <w:t>ant donné que les titulaires de droits ne peuvent généralement pas recouvrer directement les redevances auprès des utilisateurs, les organisations de gestion collective servent d</w:t>
      </w:r>
      <w:r w:rsidR="00100E35">
        <w:rPr>
          <w:lang w:val="fr-FR"/>
        </w:rPr>
        <w:t>’</w:t>
      </w:r>
      <w:r w:rsidRPr="00100E35">
        <w:rPr>
          <w:lang w:val="fr-FR"/>
        </w:rPr>
        <w:t>intermédiaires, recouvrant les redevances auprès des utilisateurs et les distribuant aux titulaires de droi</w:t>
      </w:r>
      <w:r w:rsidR="007A1AE9" w:rsidRPr="00100E35">
        <w:rPr>
          <w:lang w:val="fr-FR"/>
        </w:rPr>
        <w:t>ts</w:t>
      </w:r>
      <w:r w:rsidR="007A1AE9">
        <w:rPr>
          <w:lang w:val="fr-FR"/>
        </w:rPr>
        <w:t xml:space="preserve">.  </w:t>
      </w:r>
      <w:r w:rsidR="007A1AE9" w:rsidRPr="00100E35">
        <w:rPr>
          <w:lang w:val="fr-FR"/>
        </w:rPr>
        <w:t>Ce</w:t>
      </w:r>
      <w:r w:rsidRPr="00100E35">
        <w:rPr>
          <w:lang w:val="fr-FR"/>
        </w:rPr>
        <w:t xml:space="preserve"> mécanisme est la norme mondiale en matière d</w:t>
      </w:r>
      <w:r w:rsidR="00100E35">
        <w:rPr>
          <w:lang w:val="fr-FR"/>
        </w:rPr>
        <w:t>’</w:t>
      </w:r>
      <w:r w:rsidRPr="00100E35">
        <w:rPr>
          <w:lang w:val="fr-FR"/>
        </w:rPr>
        <w:t>administration des redevances, tout du moins depuis l</w:t>
      </w:r>
      <w:r w:rsidR="00100E35">
        <w:rPr>
          <w:lang w:val="fr-FR"/>
        </w:rPr>
        <w:t>’</w:t>
      </w:r>
      <w:r w:rsidRPr="00100E35">
        <w:rPr>
          <w:lang w:val="fr-FR"/>
        </w:rPr>
        <w:t xml:space="preserve">adoption de la Convention de Berne en 1886. </w:t>
      </w:r>
      <w:r w:rsidR="0080246A">
        <w:rPr>
          <w:lang w:val="fr-FR"/>
        </w:rPr>
        <w:t xml:space="preserve"> </w:t>
      </w:r>
      <w:r w:rsidRPr="00100E35">
        <w:rPr>
          <w:lang w:val="fr-FR"/>
        </w:rPr>
        <w:t>Toutefois, comme indiqué précédemment, les dispositions réglementaires qui régissent les organisations de gestion collective restent insuffisantes, notamment pour faire respecter les principes fondamentaux d</w:t>
      </w:r>
      <w:r w:rsidR="00100E35">
        <w:rPr>
          <w:lang w:val="fr-FR"/>
        </w:rPr>
        <w:t>’</w:t>
      </w:r>
      <w:r w:rsidRPr="00100E35">
        <w:rPr>
          <w:lang w:val="fr-FR"/>
        </w:rPr>
        <w:t>équité, d</w:t>
      </w:r>
      <w:r w:rsidR="00100E35">
        <w:rPr>
          <w:lang w:val="fr-FR"/>
        </w:rPr>
        <w:t>’</w:t>
      </w:r>
      <w:r w:rsidRPr="00100E35">
        <w:rPr>
          <w:lang w:val="fr-FR"/>
        </w:rPr>
        <w:t>inclusivité et de transparen</w:t>
      </w:r>
      <w:r w:rsidR="007A1AE9" w:rsidRPr="00100E35">
        <w:rPr>
          <w:lang w:val="fr-FR"/>
        </w:rPr>
        <w:t>ce</w:t>
      </w:r>
      <w:r w:rsidR="007A1AE9">
        <w:rPr>
          <w:lang w:val="fr-FR"/>
        </w:rPr>
        <w:t xml:space="preserve">.  </w:t>
      </w:r>
      <w:r w:rsidR="007A1AE9" w:rsidRPr="00100E35">
        <w:rPr>
          <w:lang w:val="fr-FR"/>
        </w:rPr>
        <w:t>Co</w:t>
      </w:r>
      <w:r w:rsidRPr="00100E35">
        <w:rPr>
          <w:lang w:val="fr-FR"/>
        </w:rPr>
        <w:t xml:space="preserve">ncernant </w:t>
      </w:r>
      <w:r w:rsidRPr="00100E35">
        <w:rPr>
          <w:b/>
          <w:lang w:val="fr-FR"/>
        </w:rPr>
        <w:t>l</w:t>
      </w:r>
      <w:r w:rsidR="00100E35">
        <w:rPr>
          <w:b/>
          <w:lang w:val="fr-FR"/>
        </w:rPr>
        <w:t>’</w:t>
      </w:r>
      <w:r w:rsidRPr="00100E35">
        <w:rPr>
          <w:b/>
          <w:lang w:val="fr-FR"/>
        </w:rPr>
        <w:t>équité et l</w:t>
      </w:r>
      <w:r w:rsidR="00100E35">
        <w:rPr>
          <w:b/>
          <w:lang w:val="fr-FR"/>
        </w:rPr>
        <w:t>’</w:t>
      </w:r>
      <w:r w:rsidRPr="00100E35">
        <w:rPr>
          <w:b/>
          <w:lang w:val="fr-FR"/>
        </w:rPr>
        <w:t>inclusivité</w:t>
      </w:r>
      <w:r w:rsidRPr="00100E35">
        <w:rPr>
          <w:lang w:val="fr-FR"/>
        </w:rPr>
        <w:t>, des études ont mis en évidence des problèmes persistants dans les cadres réglementaires nationaux (et, dans certains cas, régionaux, comme au sein de l</w:t>
      </w:r>
      <w:r w:rsidR="00100E35">
        <w:rPr>
          <w:lang w:val="fr-FR"/>
        </w:rPr>
        <w:t>’</w:t>
      </w:r>
      <w:r w:rsidRPr="00100E35">
        <w:rPr>
          <w:lang w:val="fr-FR"/>
        </w:rPr>
        <w:t>Union européen</w:t>
      </w:r>
      <w:r w:rsidR="007A1AE9" w:rsidRPr="00100E35">
        <w:rPr>
          <w:lang w:val="fr-FR"/>
        </w:rPr>
        <w:t>ne)</w:t>
      </w:r>
      <w:r w:rsidR="007A1AE9">
        <w:rPr>
          <w:lang w:val="fr-FR"/>
        </w:rPr>
        <w:t xml:space="preserve">.  </w:t>
      </w:r>
      <w:r w:rsidR="007A1AE9" w:rsidRPr="00100E35">
        <w:rPr>
          <w:lang w:val="fr-FR"/>
        </w:rPr>
        <w:t>Pa</w:t>
      </w:r>
      <w:r w:rsidRPr="00100E35">
        <w:rPr>
          <w:lang w:val="fr-FR"/>
        </w:rPr>
        <w:t>r exemple, certaines directives européennes risquent de renforcer la position dominante des grandes organisations de gestion collective au détriment des plus petites organisations dans le mécanisme de redevances musicales en ligne</w:t>
      </w:r>
      <w:r w:rsidRPr="00100E35">
        <w:rPr>
          <w:rFonts w:eastAsia="Aptos" w:cs="Noto Sans Display"/>
          <w:kern w:val="2"/>
          <w:szCs w:val="22"/>
          <w:vertAlign w:val="superscript"/>
          <w:lang w:val="fr-FR" w:eastAsia="en-US"/>
        </w:rPr>
        <w:endnoteReference w:id="23"/>
      </w:r>
      <w:r w:rsidRPr="00100E35">
        <w:rPr>
          <w:lang w:val="fr-FR"/>
        </w:rPr>
        <w:t xml:space="preserve">. </w:t>
      </w:r>
      <w:r w:rsidR="0080246A">
        <w:rPr>
          <w:lang w:val="fr-FR"/>
        </w:rPr>
        <w:t xml:space="preserve"> </w:t>
      </w:r>
      <w:r w:rsidRPr="00100E35">
        <w:rPr>
          <w:lang w:val="fr-FR"/>
        </w:rPr>
        <w:t>Des problèmes similaires se posent également en Afrique, où l</w:t>
      </w:r>
      <w:r w:rsidR="00100E35">
        <w:rPr>
          <w:lang w:val="fr-FR"/>
        </w:rPr>
        <w:t>’</w:t>
      </w:r>
      <w:r w:rsidRPr="00100E35">
        <w:rPr>
          <w:lang w:val="fr-FR"/>
        </w:rPr>
        <w:t>absence d</w:t>
      </w:r>
      <w:r w:rsidR="00100E35">
        <w:rPr>
          <w:lang w:val="fr-FR"/>
        </w:rPr>
        <w:t>’</w:t>
      </w:r>
      <w:r w:rsidRPr="00100E35">
        <w:rPr>
          <w:lang w:val="fr-FR"/>
        </w:rPr>
        <w:t>accords sur les déductions maximales pour les frais de gestion a entraîné des retenues importantes – allant de 20 à 40% – sur le montant total des redevances perçues</w:t>
      </w:r>
      <w:r w:rsidRPr="00100E35">
        <w:rPr>
          <w:rFonts w:eastAsia="Aptos" w:cs="Noto Sans Display"/>
          <w:kern w:val="2"/>
          <w:szCs w:val="22"/>
          <w:vertAlign w:val="superscript"/>
          <w:lang w:val="fr-FR" w:eastAsia="en-US"/>
        </w:rPr>
        <w:endnoteReference w:id="24"/>
      </w:r>
      <w:r w:rsidRPr="00100E35">
        <w:rPr>
          <w:lang w:val="fr-FR"/>
        </w:rPr>
        <w:t xml:space="preserve">. </w:t>
      </w:r>
      <w:r w:rsidR="0080246A">
        <w:rPr>
          <w:lang w:val="fr-FR"/>
        </w:rPr>
        <w:t xml:space="preserve"> </w:t>
      </w:r>
      <w:r w:rsidRPr="00100E35">
        <w:rPr>
          <w:lang w:val="fr-FR"/>
        </w:rPr>
        <w:t xml:space="preserve">En outre, des inquiétudes sont souvent exprimées quant à la </w:t>
      </w:r>
      <w:r w:rsidRPr="00100E35">
        <w:rPr>
          <w:b/>
          <w:bCs/>
          <w:lang w:val="fr-FR"/>
        </w:rPr>
        <w:t>capacité de gestion financière des organisations de gestion collective</w:t>
      </w:r>
      <w:r w:rsidRPr="00100E35">
        <w:rPr>
          <w:lang w:val="fr-FR"/>
        </w:rPr>
        <w:t>, qui affectent de manière disproportionnée les redevances perçues à leurs dépenses administratives et opérationnelles plutôt que de les distribuer aux titulaires de droits</w:t>
      </w:r>
      <w:r w:rsidRPr="00100E35">
        <w:rPr>
          <w:rFonts w:eastAsia="Aptos" w:cs="Noto Sans Display"/>
          <w:kern w:val="2"/>
          <w:szCs w:val="22"/>
          <w:vertAlign w:val="superscript"/>
          <w:lang w:val="fr-FR" w:eastAsia="en-US"/>
        </w:rPr>
        <w:endnoteReference w:id="25"/>
      </w:r>
      <w:r w:rsidRPr="00100E35">
        <w:rPr>
          <w:lang w:val="fr-FR"/>
        </w:rPr>
        <w:t xml:space="preserve">. </w:t>
      </w:r>
      <w:r w:rsidR="0080246A">
        <w:rPr>
          <w:lang w:val="fr-FR"/>
        </w:rPr>
        <w:t xml:space="preserve"> </w:t>
      </w:r>
      <w:r w:rsidRPr="00100E35">
        <w:rPr>
          <w:lang w:val="fr-FR"/>
        </w:rPr>
        <w:t xml:space="preserve">Sur le plan de la </w:t>
      </w:r>
      <w:r w:rsidRPr="00100E35">
        <w:rPr>
          <w:b/>
          <w:lang w:val="fr-FR"/>
        </w:rPr>
        <w:t>transparence</w:t>
      </w:r>
      <w:r w:rsidRPr="00100E35">
        <w:rPr>
          <w:lang w:val="fr-FR"/>
        </w:rPr>
        <w:t>, les principaux problèmes concernent la responsabilité limitée des organisations de gestion collective envers les titulaires de droits, qui peut se traduire par l</w:t>
      </w:r>
      <w:r w:rsidR="00100E35">
        <w:rPr>
          <w:lang w:val="fr-FR"/>
        </w:rPr>
        <w:t>’</w:t>
      </w:r>
      <w:r w:rsidRPr="00100E35">
        <w:rPr>
          <w:lang w:val="fr-FR"/>
        </w:rPr>
        <w:t>absence de rapports réguliers</w:t>
      </w:r>
      <w:r w:rsidRPr="00100E35">
        <w:rPr>
          <w:rFonts w:eastAsia="Aptos" w:cs="Noto Sans Display"/>
          <w:kern w:val="2"/>
          <w:szCs w:val="22"/>
          <w:vertAlign w:val="superscript"/>
          <w:lang w:val="fr-FR" w:eastAsia="en-US"/>
        </w:rPr>
        <w:endnoteReference w:id="26"/>
      </w:r>
      <w:r w:rsidRPr="00100E35">
        <w:rPr>
          <w:lang w:val="fr-FR"/>
        </w:rPr>
        <w:t xml:space="preserve"> ou la fourniture d</w:t>
      </w:r>
      <w:r w:rsidR="00100E35">
        <w:rPr>
          <w:lang w:val="fr-FR"/>
        </w:rPr>
        <w:t>’</w:t>
      </w:r>
      <w:r w:rsidRPr="00100E35">
        <w:rPr>
          <w:lang w:val="fr-FR"/>
        </w:rPr>
        <w:t>explications trop complexes sur les mécanismes de distribution des redevances</w:t>
      </w:r>
      <w:r w:rsidRPr="00100E35">
        <w:rPr>
          <w:rFonts w:eastAsia="Aptos" w:cs="Noto Sans Display"/>
          <w:kern w:val="2"/>
          <w:szCs w:val="22"/>
          <w:vertAlign w:val="superscript"/>
          <w:lang w:val="fr-FR" w:eastAsia="en-US"/>
        </w:rPr>
        <w:endnoteReference w:id="27"/>
      </w:r>
      <w:r w:rsidRPr="00100E35">
        <w:rPr>
          <w:lang w:val="fr-FR"/>
        </w:rPr>
        <w:t xml:space="preserve">. </w:t>
      </w:r>
      <w:r w:rsidR="0080246A">
        <w:rPr>
          <w:lang w:val="fr-FR"/>
        </w:rPr>
        <w:t xml:space="preserve"> </w:t>
      </w:r>
      <w:r w:rsidRPr="00100E35">
        <w:rPr>
          <w:lang w:val="fr-FR"/>
        </w:rPr>
        <w:t>Il est par ailleurs souvent fait état de la surveillance inadéquate qu</w:t>
      </w:r>
      <w:r w:rsidR="00100E35">
        <w:rPr>
          <w:lang w:val="fr-FR"/>
        </w:rPr>
        <w:t>’</w:t>
      </w:r>
      <w:r w:rsidRPr="00100E35">
        <w:rPr>
          <w:lang w:val="fr-FR"/>
        </w:rPr>
        <w:t>exercent les organes de contrôle, tels que les comités d</w:t>
      </w:r>
      <w:r w:rsidR="00100E35">
        <w:rPr>
          <w:lang w:val="fr-FR"/>
        </w:rPr>
        <w:t>’</w:t>
      </w:r>
      <w:r w:rsidRPr="00100E35">
        <w:rPr>
          <w:lang w:val="fr-FR"/>
        </w:rPr>
        <w:t>audit ou les offices nationaux de la propriété intellectuelle, en particulier dans les pays du Sud</w:t>
      </w:r>
      <w:r w:rsidRPr="00100E35">
        <w:rPr>
          <w:rFonts w:eastAsia="Aptos" w:cs="Noto Sans Display"/>
          <w:kern w:val="2"/>
          <w:szCs w:val="22"/>
          <w:vertAlign w:val="superscript"/>
          <w:lang w:val="fr-FR" w:eastAsia="en-US"/>
        </w:rPr>
        <w:endnoteReference w:id="28"/>
      </w:r>
      <w:r w:rsidRPr="00100E35">
        <w:rPr>
          <w:lang w:val="fr-FR"/>
        </w:rPr>
        <w:t xml:space="preserve">. </w:t>
      </w:r>
      <w:r w:rsidR="0080246A">
        <w:rPr>
          <w:lang w:val="fr-FR"/>
        </w:rPr>
        <w:t xml:space="preserve"> </w:t>
      </w:r>
      <w:r w:rsidRPr="00100E35">
        <w:rPr>
          <w:lang w:val="fr-FR"/>
        </w:rPr>
        <w:t>Dans l</w:t>
      </w:r>
      <w:r w:rsidR="00100E35">
        <w:rPr>
          <w:lang w:val="fr-FR"/>
        </w:rPr>
        <w:t>’</w:t>
      </w:r>
      <w:r w:rsidRPr="00100E35">
        <w:rPr>
          <w:lang w:val="fr-FR"/>
        </w:rPr>
        <w:t>ensemble, ces conclusions suggèrent que la manière dont les organisations de gestion collective collectent et distribuent les redevances dans de nombreux pays n</w:t>
      </w:r>
      <w:r w:rsidR="00100E35">
        <w:rPr>
          <w:lang w:val="fr-FR"/>
        </w:rPr>
        <w:t>’</w:t>
      </w:r>
      <w:r w:rsidRPr="00100E35">
        <w:rPr>
          <w:lang w:val="fr-FR"/>
        </w:rPr>
        <w:t>est pas encore suffisamment conforme aux principes d</w:t>
      </w:r>
      <w:r w:rsidR="00100E35">
        <w:rPr>
          <w:lang w:val="fr-FR"/>
        </w:rPr>
        <w:t>’</w:t>
      </w:r>
      <w:r w:rsidRPr="00100E35">
        <w:rPr>
          <w:lang w:val="fr-FR"/>
        </w:rPr>
        <w:t>équité, d</w:t>
      </w:r>
      <w:r w:rsidR="00100E35">
        <w:rPr>
          <w:lang w:val="fr-FR"/>
        </w:rPr>
        <w:t>’</w:t>
      </w:r>
      <w:r w:rsidRPr="00100E35">
        <w:rPr>
          <w:lang w:val="fr-FR"/>
        </w:rPr>
        <w:t>inclusion et de transparence.</w:t>
      </w:r>
    </w:p>
    <w:p w14:paraId="2DE91554" w14:textId="7449EB7A"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b/>
          <w:lang w:val="fr-FR"/>
        </w:rPr>
        <w:t>Deuxièmement</w:t>
      </w:r>
      <w:r w:rsidRPr="00EA0A6B">
        <w:rPr>
          <w:b/>
          <w:bCs/>
          <w:lang w:val="fr-FR"/>
        </w:rPr>
        <w:t xml:space="preserve">, </w:t>
      </w:r>
      <w:r w:rsidRPr="00100E35">
        <w:rPr>
          <w:b/>
          <w:lang w:val="fr-FR"/>
        </w:rPr>
        <w:t>les systèmes de distribution des redevanc</w:t>
      </w:r>
      <w:r w:rsidR="007A1AE9" w:rsidRPr="00100E35">
        <w:rPr>
          <w:b/>
          <w:lang w:val="fr-FR"/>
        </w:rPr>
        <w:t>es</w:t>
      </w:r>
      <w:r w:rsidR="007A1AE9">
        <w:rPr>
          <w:b/>
          <w:lang w:val="fr-FR"/>
        </w:rPr>
        <w:t xml:space="preserve">.  </w:t>
      </w:r>
      <w:r w:rsidR="007A1AE9" w:rsidRPr="00100E35">
        <w:rPr>
          <w:lang w:val="fr-FR"/>
        </w:rPr>
        <w:t>Si</w:t>
      </w:r>
      <w:r w:rsidRPr="00100E35">
        <w:rPr>
          <w:lang w:val="fr-FR"/>
        </w:rPr>
        <w:t xml:space="preserve"> les traités internationaux laissent aux États membres le soin de régler dans leur législation nationale les modalités précises de la répartition des redevances, les pays du Nord sont généralement mieux placés que leurs homologues du Sud pour négocier avec les plateformes de musique numériq</w:t>
      </w:r>
      <w:r w:rsidR="007A1AE9" w:rsidRPr="00100E35">
        <w:rPr>
          <w:lang w:val="fr-FR"/>
        </w:rPr>
        <w:t>ue</w:t>
      </w:r>
      <w:r w:rsidR="007A1AE9">
        <w:rPr>
          <w:lang w:val="fr-FR"/>
        </w:rPr>
        <w:t xml:space="preserve">.  </w:t>
      </w:r>
      <w:r w:rsidR="007A1AE9" w:rsidRPr="00100E35">
        <w:rPr>
          <w:lang w:val="fr-FR"/>
        </w:rPr>
        <w:t>Ét</w:t>
      </w:r>
      <w:r w:rsidRPr="00100E35">
        <w:rPr>
          <w:lang w:val="fr-FR"/>
        </w:rPr>
        <w:t>ant donné que le régime de la propriété intellectuelle est ancré dans le droit privé et fondé sur le principe juridique de la liberté contractuelle</w:t>
      </w:r>
      <w:r w:rsidRPr="00100E35">
        <w:rPr>
          <w:rFonts w:eastAsia="Aptos" w:cs="Noto Sans Display"/>
          <w:kern w:val="2"/>
          <w:szCs w:val="22"/>
          <w:vertAlign w:val="superscript"/>
          <w:lang w:val="fr-FR" w:eastAsia="en-US"/>
        </w:rPr>
        <w:endnoteReference w:id="29"/>
      </w:r>
      <w:r w:rsidRPr="00100E35">
        <w:rPr>
          <w:lang w:val="fr-FR"/>
        </w:rPr>
        <w:t>, les pratiques en vigueur sont très influencées par les mécanismes du marché lib</w:t>
      </w:r>
      <w:r w:rsidR="007A1AE9" w:rsidRPr="00100E35">
        <w:rPr>
          <w:lang w:val="fr-FR"/>
        </w:rPr>
        <w:t>re</w:t>
      </w:r>
      <w:r w:rsidR="007A1AE9">
        <w:rPr>
          <w:lang w:val="fr-FR"/>
        </w:rPr>
        <w:t xml:space="preserve">.  </w:t>
      </w:r>
      <w:r w:rsidR="007A1AE9" w:rsidRPr="00100E35">
        <w:rPr>
          <w:lang w:val="fr-FR"/>
        </w:rPr>
        <w:t>Le</w:t>
      </w:r>
      <w:r w:rsidRPr="00100E35">
        <w:rPr>
          <w:lang w:val="fr-FR"/>
        </w:rPr>
        <w:t>s modèles contractuels les plus courants aujourd</w:t>
      </w:r>
      <w:r w:rsidR="00100E35">
        <w:rPr>
          <w:lang w:val="fr-FR"/>
        </w:rPr>
        <w:t>’</w:t>
      </w:r>
      <w:r w:rsidRPr="00100E35">
        <w:rPr>
          <w:lang w:val="fr-FR"/>
        </w:rPr>
        <w:t>hui s</w:t>
      </w:r>
      <w:r w:rsidR="00100E35">
        <w:rPr>
          <w:lang w:val="fr-FR"/>
        </w:rPr>
        <w:t>’</w:t>
      </w:r>
      <w:r w:rsidRPr="00100E35">
        <w:rPr>
          <w:lang w:val="fr-FR"/>
        </w:rPr>
        <w:t>inspirent de la loi américaine sur le droit d</w:t>
      </w:r>
      <w:r w:rsidR="00100E35">
        <w:rPr>
          <w:lang w:val="fr-FR"/>
        </w:rPr>
        <w:t>’</w:t>
      </w:r>
      <w:r w:rsidRPr="00100E35">
        <w:rPr>
          <w:lang w:val="fr-FR"/>
        </w:rPr>
        <w:t>auteur, qui reflète bien la dynamique de l</w:t>
      </w:r>
      <w:r w:rsidR="00100E35">
        <w:rPr>
          <w:lang w:val="fr-FR"/>
        </w:rPr>
        <w:t>’</w:t>
      </w:r>
      <w:r w:rsidRPr="00100E35">
        <w:rPr>
          <w:lang w:val="fr-FR"/>
        </w:rPr>
        <w:t>industrie musicale numérique actuelle, caractérisée par la domination des grandes entreprises des économies avancées</w:t>
      </w:r>
      <w:r w:rsidRPr="00100E35">
        <w:rPr>
          <w:rFonts w:eastAsia="Aptos" w:cs="Noto Sans Display"/>
          <w:kern w:val="2"/>
          <w:szCs w:val="22"/>
          <w:vertAlign w:val="superscript"/>
          <w:lang w:val="fr-FR" w:eastAsia="en-US"/>
        </w:rPr>
        <w:endnoteReference w:id="30"/>
      </w:r>
      <w:r w:rsidRPr="00100E35">
        <w:rPr>
          <w:lang w:val="fr-FR"/>
        </w:rPr>
        <w:t xml:space="preserve">. </w:t>
      </w:r>
      <w:r w:rsidR="0080246A">
        <w:rPr>
          <w:lang w:val="fr-FR"/>
        </w:rPr>
        <w:t xml:space="preserve"> </w:t>
      </w:r>
      <w:r w:rsidRPr="00100E35">
        <w:rPr>
          <w:lang w:val="fr-FR"/>
        </w:rPr>
        <w:t>En Indonésie, par exemple, les taux d</w:t>
      </w:r>
      <w:r w:rsidR="00100E35">
        <w:rPr>
          <w:lang w:val="fr-FR"/>
        </w:rPr>
        <w:t>’</w:t>
      </w:r>
      <w:r w:rsidRPr="00100E35">
        <w:rPr>
          <w:lang w:val="fr-FR"/>
        </w:rPr>
        <w:t>abonnement restent exceptionnellement bas, atteignant moins de 20% du nombre total d</w:t>
      </w:r>
      <w:r w:rsidR="00100E35">
        <w:rPr>
          <w:lang w:val="fr-FR"/>
        </w:rPr>
        <w:t>’</w:t>
      </w:r>
      <w:r w:rsidRPr="00100E35">
        <w:rPr>
          <w:lang w:val="fr-FR"/>
        </w:rPr>
        <w:t xml:space="preserve">utilisateurs, ce qui conduit à appliquer un mécanisme de “distribution minimale”. </w:t>
      </w:r>
      <w:r w:rsidR="0080246A">
        <w:rPr>
          <w:lang w:val="fr-FR"/>
        </w:rPr>
        <w:t xml:space="preserve"> </w:t>
      </w:r>
      <w:r w:rsidRPr="00100E35">
        <w:rPr>
          <w:lang w:val="fr-FR"/>
        </w:rPr>
        <w:t>Dans un tel système, les principes d</w:t>
      </w:r>
      <w:r w:rsidR="00100E35">
        <w:rPr>
          <w:lang w:val="fr-FR"/>
        </w:rPr>
        <w:t>’</w:t>
      </w:r>
      <w:r w:rsidRPr="00100E35">
        <w:rPr>
          <w:lang w:val="fr-FR"/>
        </w:rPr>
        <w:t>équité et d</w:t>
      </w:r>
      <w:r w:rsidR="00100E35">
        <w:rPr>
          <w:lang w:val="fr-FR"/>
        </w:rPr>
        <w:t>’</w:t>
      </w:r>
      <w:r w:rsidRPr="00100E35">
        <w:rPr>
          <w:lang w:val="fr-FR"/>
        </w:rPr>
        <w:t>inclusivité dans la répartition des redevances sont loin d</w:t>
      </w:r>
      <w:r w:rsidR="00100E35">
        <w:rPr>
          <w:lang w:val="fr-FR"/>
        </w:rPr>
        <w:t>’</w:t>
      </w:r>
      <w:r w:rsidRPr="00100E35">
        <w:rPr>
          <w:lang w:val="fr-FR"/>
        </w:rPr>
        <w:t>être respect</w:t>
      </w:r>
      <w:r w:rsidR="007A1AE9" w:rsidRPr="00100E35">
        <w:rPr>
          <w:lang w:val="fr-FR"/>
        </w:rPr>
        <w:t>és</w:t>
      </w:r>
      <w:r w:rsidR="007A1AE9">
        <w:rPr>
          <w:lang w:val="fr-FR"/>
        </w:rPr>
        <w:t xml:space="preserve">.  </w:t>
      </w:r>
      <w:r w:rsidR="007A1AE9" w:rsidRPr="00100E35">
        <w:rPr>
          <w:lang w:val="fr-FR"/>
        </w:rPr>
        <w:t>Un</w:t>
      </w:r>
      <w:r w:rsidRPr="00100E35">
        <w:rPr>
          <w:lang w:val="fr-FR"/>
        </w:rPr>
        <w:t xml:space="preserve">e question centrale à cet égard est le débat sur le </w:t>
      </w:r>
      <w:r w:rsidRPr="00100E35">
        <w:rPr>
          <w:b/>
          <w:bCs/>
          <w:lang w:val="fr-FR"/>
        </w:rPr>
        <w:t>modèle au prorata,</w:t>
      </w:r>
      <w:r w:rsidRPr="00100E35">
        <w:rPr>
          <w:lang w:val="fr-FR"/>
        </w:rPr>
        <w:t xml:space="preserve"> qui sert de base à la répartition des redevances par les principales plateformes numériques telles que Spotify et Apple Music</w:t>
      </w:r>
      <w:r w:rsidRPr="00100E35">
        <w:rPr>
          <w:rFonts w:eastAsia="Aptos" w:cs="Noto Sans Display"/>
          <w:kern w:val="2"/>
          <w:szCs w:val="22"/>
          <w:vertAlign w:val="superscript"/>
          <w:lang w:val="fr-FR" w:eastAsia="en-US"/>
        </w:rPr>
        <w:endnoteReference w:id="31"/>
      </w:r>
      <w:r w:rsidRPr="00100E35">
        <w:rPr>
          <w:lang w:val="fr-FR"/>
        </w:rPr>
        <w:t xml:space="preserve">. </w:t>
      </w:r>
      <w:r w:rsidR="0080246A">
        <w:rPr>
          <w:lang w:val="fr-FR"/>
        </w:rPr>
        <w:t xml:space="preserve"> </w:t>
      </w:r>
      <w:r w:rsidRPr="00100E35">
        <w:rPr>
          <w:lang w:val="fr-FR"/>
        </w:rPr>
        <w:t>De nombreuses études</w:t>
      </w:r>
      <w:r w:rsidRPr="00100E35">
        <w:rPr>
          <w:rFonts w:eastAsia="Aptos" w:cs="Noto Sans Display"/>
          <w:kern w:val="2"/>
          <w:szCs w:val="22"/>
          <w:vertAlign w:val="superscript"/>
          <w:lang w:val="fr-FR" w:eastAsia="en-US"/>
        </w:rPr>
        <w:endnoteReference w:id="32"/>
      </w:r>
      <w:r w:rsidRPr="00100E35">
        <w:rPr>
          <w:lang w:val="fr-FR"/>
        </w:rPr>
        <w:t xml:space="preserve"> critiquent ce modèle, estimant qu</w:t>
      </w:r>
      <w:r w:rsidR="00100E35">
        <w:rPr>
          <w:lang w:val="fr-FR"/>
        </w:rPr>
        <w:t>’</w:t>
      </w:r>
      <w:r w:rsidRPr="00100E35">
        <w:rPr>
          <w:lang w:val="fr-FR"/>
        </w:rPr>
        <w:t>il profite de manière disproportionnée aux plateformes et aux grandes maisons de disques, tout en n</w:t>
      </w:r>
      <w:r w:rsidR="00100E35">
        <w:rPr>
          <w:lang w:val="fr-FR"/>
        </w:rPr>
        <w:t>’</w:t>
      </w:r>
      <w:r w:rsidRPr="00100E35">
        <w:rPr>
          <w:lang w:val="fr-FR"/>
        </w:rPr>
        <w:t>offrant que des redevances minimales aux titulaires de droi</w:t>
      </w:r>
      <w:r w:rsidR="007A1AE9" w:rsidRPr="00100E35">
        <w:rPr>
          <w:lang w:val="fr-FR"/>
        </w:rPr>
        <w:t>ts</w:t>
      </w:r>
      <w:r w:rsidR="007A1AE9">
        <w:rPr>
          <w:lang w:val="fr-FR"/>
        </w:rPr>
        <w:t xml:space="preserve">.  </w:t>
      </w:r>
      <w:r w:rsidR="007A1AE9" w:rsidRPr="00100E35">
        <w:rPr>
          <w:lang w:val="fr-FR"/>
        </w:rPr>
        <w:t>Ce</w:t>
      </w:r>
      <w:r w:rsidRPr="00100E35">
        <w:rPr>
          <w:lang w:val="fr-FR"/>
        </w:rPr>
        <w:t>la a conduit à rechercher d</w:t>
      </w:r>
      <w:r w:rsidR="00100E35">
        <w:rPr>
          <w:lang w:val="fr-FR"/>
        </w:rPr>
        <w:t>’</w:t>
      </w:r>
      <w:r w:rsidRPr="00100E35">
        <w:rPr>
          <w:lang w:val="fr-FR"/>
        </w:rPr>
        <w:t>autres modèles de distributi</w:t>
      </w:r>
      <w:r w:rsidR="007A1AE9" w:rsidRPr="00100E35">
        <w:rPr>
          <w:lang w:val="fr-FR"/>
        </w:rPr>
        <w:t>on</w:t>
      </w:r>
      <w:r w:rsidR="007A1AE9">
        <w:rPr>
          <w:lang w:val="fr-FR"/>
        </w:rPr>
        <w:t xml:space="preserve">.  </w:t>
      </w:r>
      <w:r w:rsidR="007A1AE9" w:rsidRPr="00100E35">
        <w:rPr>
          <w:lang w:val="fr-FR"/>
        </w:rPr>
        <w:t>On</w:t>
      </w:r>
      <w:r w:rsidRPr="00100E35">
        <w:rPr>
          <w:lang w:val="fr-FR"/>
        </w:rPr>
        <w:t xml:space="preserve"> relèvera toutefois que ces initiatives sont principalement menées par les pays du Nord (Royaume</w:t>
      </w:r>
      <w:r w:rsidR="00100E35">
        <w:rPr>
          <w:lang w:val="fr-FR"/>
        </w:rPr>
        <w:t>-</w:t>
      </w:r>
      <w:r w:rsidRPr="00100E35">
        <w:rPr>
          <w:lang w:val="fr-FR"/>
        </w:rPr>
        <w:t>Uni, Finlande et États</w:t>
      </w:r>
      <w:r w:rsidR="00100E35">
        <w:rPr>
          <w:lang w:val="fr-FR"/>
        </w:rPr>
        <w:t>-</w:t>
      </w:r>
      <w:r w:rsidRPr="00100E35">
        <w:rPr>
          <w:lang w:val="fr-FR"/>
        </w:rPr>
        <w:t>Unis d</w:t>
      </w:r>
      <w:r w:rsidR="00100E35">
        <w:rPr>
          <w:lang w:val="fr-FR"/>
        </w:rPr>
        <w:t>’</w:t>
      </w:r>
      <w:r w:rsidRPr="00100E35">
        <w:rPr>
          <w:lang w:val="fr-FR"/>
        </w:rPr>
        <w:t>Amérique), dans le but de favoriser une concurrence plus saine sur le marché tout en créant un écosystème plus inclusif pour les créateurs.</w:t>
      </w:r>
    </w:p>
    <w:p w14:paraId="61E3F961" w14:textId="231068D3"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b/>
          <w:lang w:val="fr-FR"/>
        </w:rPr>
        <w:t>Troisièmement</w:t>
      </w:r>
      <w:r w:rsidRPr="00EA0A6B">
        <w:rPr>
          <w:b/>
          <w:bCs/>
          <w:lang w:val="fr-FR"/>
        </w:rPr>
        <w:t xml:space="preserve">, </w:t>
      </w:r>
      <w:r w:rsidRPr="00100E35">
        <w:rPr>
          <w:b/>
          <w:lang w:val="fr-FR"/>
        </w:rPr>
        <w:t>la centralisation d</w:t>
      </w:r>
      <w:r w:rsidR="00100E35">
        <w:rPr>
          <w:b/>
          <w:lang w:val="fr-FR"/>
        </w:rPr>
        <w:t>’</w:t>
      </w:r>
      <w:r w:rsidRPr="00100E35">
        <w:rPr>
          <w:b/>
          <w:lang w:val="fr-FR"/>
        </w:rPr>
        <w:t>une base de données mondiale sur le droit d</w:t>
      </w:r>
      <w:r w:rsidR="00100E35">
        <w:rPr>
          <w:b/>
          <w:lang w:val="fr-FR"/>
        </w:rPr>
        <w:t>’</w:t>
      </w:r>
      <w:r w:rsidRPr="00100E35">
        <w:rPr>
          <w:b/>
          <w:lang w:val="fr-FR"/>
        </w:rPr>
        <w:t>aute</w:t>
      </w:r>
      <w:r w:rsidR="007A1AE9" w:rsidRPr="00100E35">
        <w:rPr>
          <w:b/>
          <w:lang w:val="fr-FR"/>
        </w:rPr>
        <w:t>ur</w:t>
      </w:r>
      <w:r w:rsidR="007A1AE9">
        <w:rPr>
          <w:b/>
          <w:lang w:val="fr-FR"/>
        </w:rPr>
        <w:t xml:space="preserve">.  </w:t>
      </w:r>
      <w:r w:rsidR="007A1AE9" w:rsidRPr="00100E35">
        <w:rPr>
          <w:lang w:val="fr-FR"/>
        </w:rPr>
        <w:t>Pl</w:t>
      </w:r>
      <w:r w:rsidRPr="00100E35">
        <w:rPr>
          <w:lang w:val="fr-FR"/>
        </w:rPr>
        <w:t>usieurs études pointent du doigt les disparités importantes qui existent entre les organisations de gestion collective quant à leur capacité à mettre en place des infrastructures adéquates pour gérer les données relatives au droit d</w:t>
      </w:r>
      <w:r w:rsidR="00100E35">
        <w:rPr>
          <w:lang w:val="fr-FR"/>
        </w:rPr>
        <w:t>’</w:t>
      </w:r>
      <w:r w:rsidRPr="00100E35">
        <w:rPr>
          <w:lang w:val="fr-FR"/>
        </w:rPr>
        <w:t>aute</w:t>
      </w:r>
      <w:r w:rsidR="007A1AE9" w:rsidRPr="00100E35">
        <w:rPr>
          <w:lang w:val="fr-FR"/>
        </w:rPr>
        <w:t>ur</w:t>
      </w:r>
      <w:r w:rsidR="007A1AE9">
        <w:rPr>
          <w:lang w:val="fr-FR"/>
        </w:rPr>
        <w:t xml:space="preserve">.  </w:t>
      </w:r>
      <w:r w:rsidR="007A1AE9" w:rsidRPr="00100E35">
        <w:rPr>
          <w:lang w:val="fr-FR"/>
        </w:rPr>
        <w:t>Ce</w:t>
      </w:r>
      <w:r w:rsidRPr="00100E35">
        <w:rPr>
          <w:lang w:val="fr-FR"/>
        </w:rPr>
        <w:t>s disparités ont pour effet que seules les organisations de gestion collective dotées de capacités suffisantes sont en mesure de collecter et de distribuer efficacement les redevances, en particulier dans un contexte transfrontali</w:t>
      </w:r>
      <w:r w:rsidR="007A1AE9" w:rsidRPr="00100E35">
        <w:rPr>
          <w:lang w:val="fr-FR"/>
        </w:rPr>
        <w:t>er</w:t>
      </w:r>
      <w:r w:rsidR="007A1AE9">
        <w:rPr>
          <w:lang w:val="fr-FR"/>
        </w:rPr>
        <w:t xml:space="preserve">.  </w:t>
      </w:r>
      <w:r w:rsidR="007A1AE9" w:rsidRPr="00100E35">
        <w:rPr>
          <w:lang w:val="fr-FR"/>
        </w:rPr>
        <w:t>Pa</w:t>
      </w:r>
      <w:r w:rsidRPr="00100E35">
        <w:rPr>
          <w:lang w:val="fr-FR"/>
        </w:rPr>
        <w:t>r exemple, les données d</w:t>
      </w:r>
      <w:r w:rsidR="00100E35">
        <w:rPr>
          <w:lang w:val="fr-FR"/>
        </w:rPr>
        <w:t>’</w:t>
      </w:r>
      <w:r w:rsidRPr="00100E35">
        <w:rPr>
          <w:lang w:val="fr-FR"/>
        </w:rPr>
        <w:t>adhésion à</w:t>
      </w:r>
      <w:r w:rsidR="00100E35" w:rsidRPr="00100E35">
        <w:rPr>
          <w:lang w:val="fr-FR"/>
        </w:rPr>
        <w:t xml:space="preserve"> la</w:t>
      </w:r>
      <w:r w:rsidR="00100E35">
        <w:rPr>
          <w:lang w:val="fr-FR"/>
        </w:rPr>
        <w:t> </w:t>
      </w:r>
      <w:r w:rsidR="00100E35" w:rsidRPr="00100E35">
        <w:rPr>
          <w:lang w:val="fr-FR"/>
        </w:rPr>
        <w:t>CIS</w:t>
      </w:r>
      <w:r w:rsidRPr="00100E35">
        <w:rPr>
          <w:lang w:val="fr-FR"/>
        </w:rPr>
        <w:t>AC révèlent que les organisations de gestion collective affiliées restent dominées par des organisations européennes et nord</w:t>
      </w:r>
      <w:r w:rsidR="00100E35">
        <w:rPr>
          <w:lang w:val="fr-FR"/>
        </w:rPr>
        <w:t>-</w:t>
      </w:r>
      <w:r w:rsidRPr="00100E35">
        <w:rPr>
          <w:lang w:val="fr-FR"/>
        </w:rPr>
        <w:t>américain</w:t>
      </w:r>
      <w:r w:rsidR="007A1AE9" w:rsidRPr="00100E35">
        <w:rPr>
          <w:lang w:val="fr-FR"/>
        </w:rPr>
        <w:t>es</w:t>
      </w:r>
      <w:r w:rsidR="007A1AE9">
        <w:rPr>
          <w:lang w:val="fr-FR"/>
        </w:rPr>
        <w:t xml:space="preserve">.  </w:t>
      </w:r>
      <w:r w:rsidR="007A1AE9" w:rsidRPr="00100E35">
        <w:rPr>
          <w:lang w:val="fr-FR"/>
        </w:rPr>
        <w:t>Ce</w:t>
      </w:r>
      <w:r w:rsidRPr="00100E35">
        <w:rPr>
          <w:lang w:val="fr-FR"/>
        </w:rPr>
        <w:t>tte situation reflète non seulement un déséquilibre mondial, mais aussi des disparités au sein même des pays du Nord, dès lors que les exigences de normalisation du réseau CIS</w:t>
      </w:r>
      <w:r w:rsidR="00100E35">
        <w:rPr>
          <w:lang w:val="fr-FR"/>
        </w:rPr>
        <w:t>-</w:t>
      </w:r>
      <w:r w:rsidRPr="00100E35">
        <w:rPr>
          <w:lang w:val="fr-FR"/>
        </w:rPr>
        <w:t>Net</w:t>
      </w:r>
      <w:r w:rsidRPr="00100E35">
        <w:rPr>
          <w:rFonts w:eastAsia="Aptos" w:cs="Noto Sans Display"/>
          <w:kern w:val="2"/>
          <w:szCs w:val="22"/>
          <w:vertAlign w:val="superscript"/>
          <w:lang w:val="fr-FR" w:eastAsia="en-US"/>
        </w:rPr>
        <w:endnoteReference w:id="33"/>
      </w:r>
      <w:r w:rsidRPr="00100E35">
        <w:rPr>
          <w:lang w:val="fr-FR"/>
        </w:rPr>
        <w:t xml:space="preserve"> ne peuvent généralement être satisfaites que par des organisations de gestion collective relativement important</w:t>
      </w:r>
      <w:r w:rsidR="007A1AE9" w:rsidRPr="00100E35">
        <w:rPr>
          <w:lang w:val="fr-FR"/>
        </w:rPr>
        <w:t>es</w:t>
      </w:r>
      <w:r w:rsidR="007A1AE9">
        <w:rPr>
          <w:lang w:val="fr-FR"/>
        </w:rPr>
        <w:t xml:space="preserve">.  </w:t>
      </w:r>
      <w:r w:rsidR="007A1AE9" w:rsidRPr="00100E35">
        <w:rPr>
          <w:lang w:val="fr-FR"/>
        </w:rPr>
        <w:t>Du</w:t>
      </w:r>
      <w:r w:rsidRPr="00100E35">
        <w:rPr>
          <w:lang w:val="fr-FR"/>
        </w:rPr>
        <w:t xml:space="preserve"> point de vue de l</w:t>
      </w:r>
      <w:r w:rsidR="00100E35">
        <w:rPr>
          <w:lang w:val="fr-FR"/>
        </w:rPr>
        <w:t>’</w:t>
      </w:r>
      <w:r w:rsidRPr="00100E35">
        <w:rPr>
          <w:lang w:val="fr-FR"/>
        </w:rPr>
        <w:t xml:space="preserve">UE, cela a suscité de vives critiques </w:t>
      </w:r>
      <w:r w:rsidR="00100E35">
        <w:rPr>
          <w:lang w:val="fr-FR"/>
        </w:rPr>
        <w:t>à l’égard</w:t>
      </w:r>
      <w:r w:rsidRPr="00100E35">
        <w:rPr>
          <w:lang w:val="fr-FR"/>
        </w:rPr>
        <w:t xml:space="preserve"> du cadre des directives européennes, souvent perçu comme ne garantissant pas une concurrence </w:t>
      </w:r>
      <w:r w:rsidRPr="00100E35">
        <w:rPr>
          <w:b/>
          <w:bCs/>
          <w:lang w:val="fr-FR"/>
        </w:rPr>
        <w:t>équitable et inclusi</w:t>
      </w:r>
      <w:r w:rsidR="007A1AE9" w:rsidRPr="00100E35">
        <w:rPr>
          <w:b/>
          <w:bCs/>
          <w:lang w:val="fr-FR"/>
        </w:rPr>
        <w:t>ve</w:t>
      </w:r>
      <w:r w:rsidR="007A1AE9" w:rsidRPr="008030AA">
        <w:rPr>
          <w:lang w:val="fr-FR"/>
        </w:rPr>
        <w:t xml:space="preserve">.  </w:t>
      </w:r>
      <w:r w:rsidR="007A1AE9" w:rsidRPr="00100E35">
        <w:rPr>
          <w:lang w:val="fr-FR"/>
        </w:rPr>
        <w:t>Le</w:t>
      </w:r>
      <w:r w:rsidRPr="00100E35">
        <w:rPr>
          <w:lang w:val="fr-FR"/>
        </w:rPr>
        <w:t>s préoccupations relatives à l</w:t>
      </w:r>
      <w:r w:rsidR="00100E35">
        <w:rPr>
          <w:lang w:val="fr-FR"/>
        </w:rPr>
        <w:t>’</w:t>
      </w:r>
      <w:r w:rsidRPr="00100E35">
        <w:rPr>
          <w:lang w:val="fr-FR"/>
        </w:rPr>
        <w:t>équité et à l</w:t>
      </w:r>
      <w:r w:rsidR="00100E35">
        <w:rPr>
          <w:lang w:val="fr-FR"/>
        </w:rPr>
        <w:t>’</w:t>
      </w:r>
      <w:r w:rsidRPr="00100E35">
        <w:rPr>
          <w:lang w:val="fr-FR"/>
        </w:rPr>
        <w:t>inclusivité sont également évidentes dans des pays tels que l</w:t>
      </w:r>
      <w:r w:rsidR="00100E35">
        <w:rPr>
          <w:lang w:val="fr-FR"/>
        </w:rPr>
        <w:t>’</w:t>
      </w:r>
      <w:r w:rsidRPr="00100E35">
        <w:rPr>
          <w:lang w:val="fr-FR"/>
        </w:rPr>
        <w:t>Indonésie, l</w:t>
      </w:r>
      <w:r w:rsidR="00100E35">
        <w:rPr>
          <w:lang w:val="fr-FR"/>
        </w:rPr>
        <w:t>’</w:t>
      </w:r>
      <w:r w:rsidRPr="00100E35">
        <w:rPr>
          <w:lang w:val="fr-FR"/>
        </w:rPr>
        <w:t>Inde et l</w:t>
      </w:r>
      <w:r w:rsidR="00100E35">
        <w:rPr>
          <w:lang w:val="fr-FR"/>
        </w:rPr>
        <w:t>’</w:t>
      </w:r>
      <w:r w:rsidRPr="00100E35">
        <w:rPr>
          <w:lang w:val="fr-FR"/>
        </w:rPr>
        <w:t>Espag</w:t>
      </w:r>
      <w:r w:rsidR="007A1AE9" w:rsidRPr="00100E35">
        <w:rPr>
          <w:lang w:val="fr-FR"/>
        </w:rPr>
        <w:t>ne</w:t>
      </w:r>
      <w:r w:rsidR="007A1AE9">
        <w:rPr>
          <w:lang w:val="fr-FR"/>
        </w:rPr>
        <w:t xml:space="preserve">.  </w:t>
      </w:r>
      <w:r w:rsidR="007A1AE9" w:rsidRPr="00100E35">
        <w:rPr>
          <w:lang w:val="fr-FR"/>
        </w:rPr>
        <w:t>Bi</w:t>
      </w:r>
      <w:r w:rsidRPr="00100E35">
        <w:rPr>
          <w:lang w:val="fr-FR"/>
        </w:rPr>
        <w:t>en qu</w:t>
      </w:r>
      <w:r w:rsidR="00100E35">
        <w:rPr>
          <w:lang w:val="fr-FR"/>
        </w:rPr>
        <w:t>’</w:t>
      </w:r>
      <w:r w:rsidRPr="00100E35">
        <w:rPr>
          <w:lang w:val="fr-FR"/>
        </w:rPr>
        <w:t>ils se classent parmi les pays où le volume total de diffusion de musique en continu est le plus élevé, ces pays génèrent systématiquement les niveaux de revenus les plus bas</w:t>
      </w:r>
      <w:r w:rsidRPr="00100E35">
        <w:rPr>
          <w:rFonts w:eastAsia="Aptos" w:cs="Noto Sans Display"/>
          <w:kern w:val="2"/>
          <w:szCs w:val="22"/>
          <w:vertAlign w:val="superscript"/>
          <w:lang w:val="fr-FR" w:eastAsia="en-US"/>
        </w:rPr>
        <w:endnoteReference w:id="34"/>
      </w:r>
      <w:r w:rsidRPr="00100E35">
        <w:rPr>
          <w:lang w:val="fr-FR"/>
        </w:rPr>
        <w:t xml:space="preserve">. </w:t>
      </w:r>
      <w:r w:rsidR="0080246A">
        <w:rPr>
          <w:lang w:val="fr-FR"/>
        </w:rPr>
        <w:t xml:space="preserve"> </w:t>
      </w:r>
      <w:r w:rsidRPr="00100E35">
        <w:rPr>
          <w:lang w:val="fr-FR"/>
        </w:rPr>
        <w:t>En Indonésie, par exemple, les acteurs du secteur ont relevé des cas où d</w:t>
      </w:r>
      <w:r w:rsidR="00100E35">
        <w:rPr>
          <w:lang w:val="fr-FR"/>
        </w:rPr>
        <w:t>’</w:t>
      </w:r>
      <w:r w:rsidRPr="00100E35">
        <w:rPr>
          <w:lang w:val="fr-FR"/>
        </w:rPr>
        <w:t>autres pays ont cherché à “représenter” l</w:t>
      </w:r>
      <w:r w:rsidR="00100E35">
        <w:rPr>
          <w:lang w:val="fr-FR"/>
        </w:rPr>
        <w:t>’</w:t>
      </w:r>
      <w:r w:rsidRPr="00100E35">
        <w:rPr>
          <w:lang w:val="fr-FR"/>
        </w:rPr>
        <w:t>Indonésie dans les négociations avec les plateformes numériques au motif que l</w:t>
      </w:r>
      <w:r w:rsidR="00100E35">
        <w:rPr>
          <w:lang w:val="fr-FR"/>
        </w:rPr>
        <w:t>’</w:t>
      </w:r>
      <w:r w:rsidRPr="00100E35">
        <w:rPr>
          <w:lang w:val="fr-FR"/>
        </w:rPr>
        <w:t>Indonésie était “incapable” de respecter les normes du secteur</w:t>
      </w:r>
      <w:r w:rsidRPr="00100E35">
        <w:rPr>
          <w:rFonts w:eastAsia="Aptos" w:cs="Noto Sans Display"/>
          <w:kern w:val="2"/>
          <w:szCs w:val="22"/>
          <w:vertAlign w:val="superscript"/>
          <w:lang w:val="fr-FR" w:eastAsia="en-US"/>
        </w:rPr>
        <w:endnoteReference w:id="35"/>
      </w:r>
      <w:r w:rsidRPr="00100E35">
        <w:rPr>
          <w:lang w:val="fr-FR"/>
        </w:rPr>
        <w:t xml:space="preserve">. </w:t>
      </w:r>
      <w:r w:rsidR="0080246A">
        <w:rPr>
          <w:lang w:val="fr-FR"/>
        </w:rPr>
        <w:t xml:space="preserve"> </w:t>
      </w:r>
      <w:r w:rsidRPr="00100E35">
        <w:rPr>
          <w:lang w:val="fr-FR"/>
        </w:rPr>
        <w:t>Ce genre de perception risque d</w:t>
      </w:r>
      <w:r w:rsidR="00100E35">
        <w:rPr>
          <w:lang w:val="fr-FR"/>
        </w:rPr>
        <w:t>’</w:t>
      </w:r>
      <w:r w:rsidRPr="00100E35">
        <w:rPr>
          <w:lang w:val="fr-FR"/>
        </w:rPr>
        <w:t>entraîner des pertes de revenus importantes, car les redevances provenant d</w:t>
      </w:r>
      <w:r w:rsidR="00100E35">
        <w:rPr>
          <w:lang w:val="fr-FR"/>
        </w:rPr>
        <w:t>’</w:t>
      </w:r>
      <w:r w:rsidRPr="00100E35">
        <w:rPr>
          <w:lang w:val="fr-FR"/>
        </w:rPr>
        <w:t>autres ressorts juridiques disparaissent alors dans une “boîte noire” au lieu de parvenir à leurs ayants droit.</w:t>
      </w:r>
    </w:p>
    <w:p w14:paraId="01E2D69F" w14:textId="418F820A"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Parallèlement, une autre initiative visant à améliorer la transparence dans la gestion des données musicales, l</w:t>
      </w:r>
      <w:r w:rsidR="00100E35">
        <w:rPr>
          <w:lang w:val="fr-FR"/>
        </w:rPr>
        <w:t>’</w:t>
      </w:r>
      <w:r w:rsidRPr="00100E35">
        <w:rPr>
          <w:b/>
          <w:bCs/>
          <w:lang w:val="fr-FR"/>
        </w:rPr>
        <w:t>Open Music Initiative</w:t>
      </w:r>
      <w:r w:rsidRPr="00100E35">
        <w:rPr>
          <w:lang w:val="fr-FR"/>
        </w:rPr>
        <w:t>, a été lancée par le Berklee College of Music et</w:t>
      </w:r>
      <w:r w:rsidR="00100E35" w:rsidRPr="00100E35">
        <w:rPr>
          <w:lang w:val="fr-FR"/>
        </w:rPr>
        <w:t xml:space="preserve"> le</w:t>
      </w:r>
      <w:r w:rsidR="00100E35">
        <w:rPr>
          <w:lang w:val="fr-FR"/>
        </w:rPr>
        <w:t> </w:t>
      </w:r>
      <w:r w:rsidR="00100E35" w:rsidRPr="00100E35">
        <w:rPr>
          <w:lang w:val="fr-FR"/>
        </w:rPr>
        <w:t>MIT</w:t>
      </w:r>
      <w:r w:rsidRPr="00100E35">
        <w:rPr>
          <w:lang w:val="fr-FR"/>
        </w:rPr>
        <w:t xml:space="preserve"> Media L</w:t>
      </w:r>
      <w:r w:rsidR="007A1AE9" w:rsidRPr="00100E35">
        <w:rPr>
          <w:lang w:val="fr-FR"/>
        </w:rPr>
        <w:t>ab</w:t>
      </w:r>
      <w:r w:rsidR="007A1AE9">
        <w:rPr>
          <w:lang w:val="fr-FR"/>
        </w:rPr>
        <w:t xml:space="preserve">.  </w:t>
      </w:r>
      <w:r w:rsidR="007A1AE9" w:rsidRPr="00100E35">
        <w:rPr>
          <w:lang w:val="fr-FR"/>
        </w:rPr>
        <w:t>Ce</w:t>
      </w:r>
      <w:r w:rsidRPr="00100E35">
        <w:rPr>
          <w:lang w:val="fr-FR"/>
        </w:rPr>
        <w:t>tte initiative universitaire a été accueillie favorablement et a stimulé la collaboration intersectorielle entre les acteurs de l</w:t>
      </w:r>
      <w:r w:rsidR="00100E35">
        <w:rPr>
          <w:lang w:val="fr-FR"/>
        </w:rPr>
        <w:t>’</w:t>
      </w:r>
      <w:r w:rsidRPr="00100E35">
        <w:rPr>
          <w:lang w:val="fr-FR"/>
        </w:rPr>
        <w:t>industrie musicale, notamment les plateformes numériques telles que Spotify et YouTube, ainsi que les grandes maisons de disques</w:t>
      </w:r>
      <w:r w:rsidRPr="00100E35">
        <w:rPr>
          <w:rFonts w:eastAsia="Aptos" w:cs="Noto Sans Display"/>
          <w:kern w:val="2"/>
          <w:szCs w:val="22"/>
          <w:vertAlign w:val="superscript"/>
          <w:lang w:val="fr-FR" w:eastAsia="en-US"/>
        </w:rPr>
        <w:endnoteReference w:id="36"/>
      </w:r>
      <w:r w:rsidRPr="00100E35">
        <w:rPr>
          <w:lang w:val="fr-FR"/>
        </w:rPr>
        <w:t xml:space="preserve">. </w:t>
      </w:r>
      <w:r w:rsidR="0080246A">
        <w:rPr>
          <w:lang w:val="fr-FR"/>
        </w:rPr>
        <w:t xml:space="preserve"> </w:t>
      </w:r>
      <w:r w:rsidRPr="00100E35">
        <w:rPr>
          <w:lang w:val="fr-FR"/>
        </w:rPr>
        <w:t>Elle se veut une réponse à la fragmentation persistante de la gestion des données figurant au répertoire, qui sous</w:t>
      </w:r>
      <w:r w:rsidR="00100E35">
        <w:rPr>
          <w:lang w:val="fr-FR"/>
        </w:rPr>
        <w:t>-</w:t>
      </w:r>
      <w:r w:rsidRPr="00100E35">
        <w:rPr>
          <w:lang w:val="fr-FR"/>
        </w:rPr>
        <w:t>tend la collecte et la distribution des redevanc</w:t>
      </w:r>
      <w:r w:rsidR="007A1AE9" w:rsidRPr="00100E35">
        <w:rPr>
          <w:lang w:val="fr-FR"/>
        </w:rPr>
        <w:t>es</w:t>
      </w:r>
      <w:r w:rsidR="007A1AE9">
        <w:rPr>
          <w:lang w:val="fr-FR"/>
        </w:rPr>
        <w:t xml:space="preserve">.  </w:t>
      </w:r>
      <w:r w:rsidR="007A1AE9" w:rsidRPr="00100E35">
        <w:rPr>
          <w:lang w:val="fr-FR"/>
        </w:rPr>
        <w:t>Ce</w:t>
      </w:r>
      <w:r w:rsidRPr="00100E35">
        <w:rPr>
          <w:lang w:val="fr-FR"/>
        </w:rPr>
        <w:t>tte fragmentation complique le rapprochement des métadonnées musicales et le calcul du nombre total d</w:t>
      </w:r>
      <w:r w:rsidR="00100E35">
        <w:rPr>
          <w:lang w:val="fr-FR"/>
        </w:rPr>
        <w:t>’</w:t>
      </w:r>
      <w:r w:rsidRPr="00100E35">
        <w:rPr>
          <w:lang w:val="fr-FR"/>
        </w:rPr>
        <w:t xml:space="preserve">écoutes en streaming, ce qui nuit à la </w:t>
      </w:r>
      <w:r w:rsidRPr="00100E35">
        <w:rPr>
          <w:b/>
          <w:bCs/>
          <w:lang w:val="fr-FR"/>
        </w:rPr>
        <w:t>transparence</w:t>
      </w:r>
      <w:r w:rsidRPr="00100E35">
        <w:rPr>
          <w:lang w:val="fr-FR"/>
        </w:rPr>
        <w:t xml:space="preserve"> globale du secteur de la musique en ligne</w:t>
      </w:r>
      <w:r w:rsidRPr="00100E35">
        <w:rPr>
          <w:rFonts w:eastAsia="Aptos" w:cs="Noto Sans Display"/>
          <w:kern w:val="2"/>
          <w:szCs w:val="22"/>
          <w:vertAlign w:val="superscript"/>
          <w:lang w:val="fr-FR" w:eastAsia="en-US"/>
        </w:rPr>
        <w:endnoteReference w:id="37"/>
      </w:r>
      <w:r w:rsidRPr="00100E35">
        <w:rPr>
          <w:lang w:val="fr-FR"/>
        </w:rPr>
        <w:t xml:space="preserve">. </w:t>
      </w:r>
      <w:r w:rsidR="0080246A">
        <w:rPr>
          <w:lang w:val="fr-FR"/>
        </w:rPr>
        <w:t xml:space="preserve"> </w:t>
      </w:r>
      <w:r w:rsidRPr="00100E35">
        <w:rPr>
          <w:lang w:val="fr-FR"/>
        </w:rPr>
        <w:t>Les mesures concrètes prises par ces deux acteurs clés de l</w:t>
      </w:r>
      <w:r w:rsidR="00100E35">
        <w:rPr>
          <w:lang w:val="fr-FR"/>
        </w:rPr>
        <w:t>’</w:t>
      </w:r>
      <w:r w:rsidRPr="00100E35">
        <w:rPr>
          <w:lang w:val="fr-FR"/>
        </w:rPr>
        <w:t>innovation, issus du secteur et des établissements d</w:t>
      </w:r>
      <w:r w:rsidR="00100E35">
        <w:rPr>
          <w:lang w:val="fr-FR"/>
        </w:rPr>
        <w:t>’</w:t>
      </w:r>
      <w:r w:rsidRPr="00100E35">
        <w:rPr>
          <w:lang w:val="fr-FR"/>
        </w:rPr>
        <w:t xml:space="preserve">enseignement supérieur, doivent être comprises comme un </w:t>
      </w:r>
      <w:r w:rsidRPr="00100E35">
        <w:rPr>
          <w:b/>
          <w:bCs/>
          <w:lang w:val="fr-FR"/>
        </w:rPr>
        <w:t>appel à l</w:t>
      </w:r>
      <w:r w:rsidR="00100E35">
        <w:rPr>
          <w:b/>
          <w:bCs/>
          <w:lang w:val="fr-FR"/>
        </w:rPr>
        <w:t>’</w:t>
      </w:r>
      <w:r w:rsidRPr="00100E35">
        <w:rPr>
          <w:b/>
          <w:bCs/>
          <w:lang w:val="fr-FR"/>
        </w:rPr>
        <w:t>action</w:t>
      </w:r>
      <w:r w:rsidRPr="00100E35">
        <w:rPr>
          <w:lang w:val="fr-FR"/>
        </w:rPr>
        <w:t xml:space="preserve"> lancé aux pouvoirs publics, en leur qualité de régulateurs, afin qu</w:t>
      </w:r>
      <w:r w:rsidR="00100E35">
        <w:rPr>
          <w:lang w:val="fr-FR"/>
        </w:rPr>
        <w:t>’</w:t>
      </w:r>
      <w:r w:rsidRPr="00100E35">
        <w:rPr>
          <w:lang w:val="fr-FR"/>
        </w:rPr>
        <w:t>ils s</w:t>
      </w:r>
      <w:r w:rsidR="00100E35">
        <w:rPr>
          <w:lang w:val="fr-FR"/>
        </w:rPr>
        <w:t>’</w:t>
      </w:r>
      <w:r w:rsidRPr="00100E35">
        <w:rPr>
          <w:lang w:val="fr-FR"/>
        </w:rPr>
        <w:t>attellent sans tarder à consolider et promouvoir ce programme dans les instances internationales.</w:t>
      </w:r>
    </w:p>
    <w:p w14:paraId="76503B6B" w14:textId="5993E213"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Ce type d</w:t>
      </w:r>
      <w:r w:rsidR="00100E35">
        <w:rPr>
          <w:lang w:val="fr-FR"/>
        </w:rPr>
        <w:t>’</w:t>
      </w:r>
      <w:r w:rsidRPr="00100E35">
        <w:rPr>
          <w:lang w:val="fr-FR"/>
        </w:rPr>
        <w:t>initiative n</w:t>
      </w:r>
      <w:r w:rsidR="00100E35">
        <w:rPr>
          <w:lang w:val="fr-FR"/>
        </w:rPr>
        <w:t>’</w:t>
      </w:r>
      <w:r w:rsidRPr="00100E35">
        <w:rPr>
          <w:lang w:val="fr-FR"/>
        </w:rPr>
        <w:t>est pas nouve</w:t>
      </w:r>
      <w:r w:rsidR="007A1AE9" w:rsidRPr="00100E35">
        <w:rPr>
          <w:lang w:val="fr-FR"/>
        </w:rPr>
        <w:t>au</w:t>
      </w:r>
      <w:r w:rsidR="007A1AE9">
        <w:rPr>
          <w:lang w:val="fr-FR"/>
        </w:rPr>
        <w:t xml:space="preserve">.  </w:t>
      </w:r>
      <w:r w:rsidR="007A1AE9" w:rsidRPr="00100E35">
        <w:rPr>
          <w:lang w:val="fr-FR"/>
        </w:rPr>
        <w:t>En</w:t>
      </w:r>
      <w:r w:rsidRPr="00100E35">
        <w:rPr>
          <w:lang w:val="fr-FR"/>
        </w:rPr>
        <w:t> 2010, l</w:t>
      </w:r>
      <w:r w:rsidR="00100E35">
        <w:rPr>
          <w:lang w:val="fr-FR"/>
        </w:rPr>
        <w:t>’</w:t>
      </w:r>
      <w:r w:rsidRPr="00100E35">
        <w:rPr>
          <w:lang w:val="fr-FR"/>
        </w:rPr>
        <w:t>industrie musicale, en collaboration avec l</w:t>
      </w:r>
      <w:r w:rsidR="00100E35">
        <w:rPr>
          <w:lang w:val="fr-FR"/>
        </w:rPr>
        <w:t>’</w:t>
      </w:r>
      <w:r w:rsidRPr="00100E35">
        <w:rPr>
          <w:lang w:val="fr-FR"/>
        </w:rPr>
        <w:t>OMPI, a entrepris de créer la base de données du répertoire musical mondial, une initiative pionnière visant à proposer une base de données centralisée des œuvres musicales afin de simplifier les processus d</w:t>
      </w:r>
      <w:r w:rsidR="00100E35">
        <w:rPr>
          <w:lang w:val="fr-FR"/>
        </w:rPr>
        <w:t>’</w:t>
      </w:r>
      <w:r w:rsidRPr="00100E35">
        <w:rPr>
          <w:lang w:val="fr-FR"/>
        </w:rPr>
        <w:t>octroi de licences à l</w:t>
      </w:r>
      <w:r w:rsidR="00100E35">
        <w:rPr>
          <w:lang w:val="fr-FR"/>
        </w:rPr>
        <w:t>’</w:t>
      </w:r>
      <w:r w:rsidRPr="00100E35">
        <w:rPr>
          <w:lang w:val="fr-FR"/>
        </w:rPr>
        <w:t>échelle mondiale et d</w:t>
      </w:r>
      <w:r w:rsidR="00100E35">
        <w:rPr>
          <w:lang w:val="fr-FR"/>
        </w:rPr>
        <w:t>’</w:t>
      </w:r>
      <w:r w:rsidRPr="00100E35">
        <w:rPr>
          <w:lang w:val="fr-FR"/>
        </w:rPr>
        <w:t>améliorer la transparence dans la gestion des droits</w:t>
      </w:r>
      <w:r w:rsidRPr="00100E35">
        <w:rPr>
          <w:rFonts w:eastAsia="Aptos" w:cs="Noto Sans Display"/>
          <w:kern w:val="2"/>
          <w:szCs w:val="22"/>
          <w:vertAlign w:val="superscript"/>
          <w:lang w:val="fr-FR" w:eastAsia="en-US"/>
        </w:rPr>
        <w:endnoteReference w:id="38"/>
      </w:r>
      <w:r w:rsidRPr="00100E35">
        <w:rPr>
          <w:lang w:val="fr-FR"/>
        </w:rPr>
        <w:t xml:space="preserve">. </w:t>
      </w:r>
      <w:r w:rsidR="0080246A">
        <w:rPr>
          <w:lang w:val="fr-FR"/>
        </w:rPr>
        <w:t xml:space="preserve"> </w:t>
      </w:r>
      <w:r w:rsidRPr="00100E35">
        <w:rPr>
          <w:lang w:val="fr-FR"/>
        </w:rPr>
        <w:t>Une décennie plus tard, en 2020, l</w:t>
      </w:r>
      <w:r w:rsidR="00100E35">
        <w:rPr>
          <w:lang w:val="fr-FR"/>
        </w:rPr>
        <w:t>’</w:t>
      </w:r>
      <w:r w:rsidRPr="00100E35">
        <w:rPr>
          <w:lang w:val="fr-FR"/>
        </w:rPr>
        <w:t>OMPI a lancé WIPO Connect</w:t>
      </w:r>
      <w:r w:rsidRPr="00100E35">
        <w:rPr>
          <w:rFonts w:eastAsia="Aptos" w:cs="Noto Sans Display"/>
          <w:kern w:val="2"/>
          <w:szCs w:val="22"/>
          <w:vertAlign w:val="superscript"/>
          <w:lang w:val="fr-FR" w:eastAsia="en-US"/>
        </w:rPr>
        <w:endnoteReference w:id="39"/>
      </w:r>
      <w:r w:rsidRPr="00100E35">
        <w:rPr>
          <w:lang w:val="fr-FR"/>
        </w:rPr>
        <w:t xml:space="preserve"> avant de conclure un accord avec</w:t>
      </w:r>
      <w:r w:rsidR="00100E35" w:rsidRPr="00100E35">
        <w:rPr>
          <w:lang w:val="fr-FR"/>
        </w:rPr>
        <w:t xml:space="preserve"> la</w:t>
      </w:r>
      <w:r w:rsidR="00100E35">
        <w:rPr>
          <w:lang w:val="fr-FR"/>
        </w:rPr>
        <w:t> </w:t>
      </w:r>
      <w:r w:rsidR="00100E35" w:rsidRPr="00100E35">
        <w:rPr>
          <w:lang w:val="fr-FR"/>
        </w:rPr>
        <w:t>CIS</w:t>
      </w:r>
      <w:r w:rsidRPr="00100E35">
        <w:rPr>
          <w:lang w:val="fr-FR"/>
        </w:rPr>
        <w:t>AC pour faciliter la participation au réseau international des systèmes d</w:t>
      </w:r>
      <w:r w:rsidR="00100E35">
        <w:rPr>
          <w:lang w:val="fr-FR"/>
        </w:rPr>
        <w:t>’</w:t>
      </w:r>
      <w:r w:rsidRPr="00100E35">
        <w:rPr>
          <w:lang w:val="fr-FR"/>
        </w:rPr>
        <w:t>information de</w:t>
      </w:r>
      <w:r w:rsidR="00100E35" w:rsidRPr="00100E35">
        <w:rPr>
          <w:lang w:val="fr-FR"/>
        </w:rPr>
        <w:t xml:space="preserve"> la</w:t>
      </w:r>
      <w:r w:rsidR="00100E35">
        <w:rPr>
          <w:lang w:val="fr-FR"/>
        </w:rPr>
        <w:t> </w:t>
      </w:r>
      <w:r w:rsidR="00100E35" w:rsidRPr="00100E35">
        <w:rPr>
          <w:lang w:val="fr-FR"/>
        </w:rPr>
        <w:t>CIS</w:t>
      </w:r>
      <w:r w:rsidRPr="00100E35">
        <w:rPr>
          <w:lang w:val="fr-FR"/>
        </w:rPr>
        <w:t>AC</w:t>
      </w:r>
      <w:r w:rsidRPr="00100E35">
        <w:rPr>
          <w:rFonts w:eastAsia="Aptos" w:cs="Noto Sans Display"/>
          <w:kern w:val="2"/>
          <w:szCs w:val="22"/>
          <w:vertAlign w:val="superscript"/>
          <w:lang w:val="fr-FR" w:eastAsia="en-US"/>
        </w:rPr>
        <w:endnoteReference w:id="40"/>
      </w:r>
      <w:r w:rsidRPr="00100E35">
        <w:rPr>
          <w:lang w:val="fr-FR"/>
        </w:rPr>
        <w:t xml:space="preserve">. </w:t>
      </w:r>
      <w:r w:rsidR="0080246A">
        <w:rPr>
          <w:lang w:val="fr-FR"/>
        </w:rPr>
        <w:t xml:space="preserve"> </w:t>
      </w:r>
      <w:r w:rsidRPr="00100E35">
        <w:rPr>
          <w:lang w:val="fr-FR"/>
        </w:rPr>
        <w:t>Cela étant, WIPO Connect est avant tout un outil fondamental pour les pays en développement, qui leur permet de satisfaire, au minimum, aux exigences de base des normes sectorielles fixées par</w:t>
      </w:r>
      <w:r w:rsidR="00100E35" w:rsidRPr="00100E35">
        <w:rPr>
          <w:lang w:val="fr-FR"/>
        </w:rPr>
        <w:t xml:space="preserve"> la</w:t>
      </w:r>
      <w:r w:rsidR="00100E35">
        <w:rPr>
          <w:lang w:val="fr-FR"/>
        </w:rPr>
        <w:t> </w:t>
      </w:r>
      <w:r w:rsidR="00100E35" w:rsidRPr="00100E35">
        <w:rPr>
          <w:lang w:val="fr-FR"/>
        </w:rPr>
        <w:t>CIS</w:t>
      </w:r>
      <w:r w:rsidRPr="00100E35">
        <w:rPr>
          <w:lang w:val="fr-FR"/>
        </w:rPr>
        <w:t xml:space="preserve">AC. </w:t>
      </w:r>
      <w:r w:rsidR="0080246A">
        <w:rPr>
          <w:lang w:val="fr-FR"/>
        </w:rPr>
        <w:t xml:space="preserve"> </w:t>
      </w:r>
      <w:r w:rsidRPr="00100E35">
        <w:rPr>
          <w:lang w:val="fr-FR"/>
        </w:rPr>
        <w:t>À mesure que l</w:t>
      </w:r>
      <w:r w:rsidR="00100E35">
        <w:rPr>
          <w:lang w:val="fr-FR"/>
        </w:rPr>
        <w:t>’</w:t>
      </w:r>
      <w:r w:rsidRPr="00100E35">
        <w:rPr>
          <w:lang w:val="fr-FR"/>
        </w:rPr>
        <w:t>industrie et les plateformes numériques se complexifient, WIPO Connect a souvent été jugé insuffisant pour répondre aux besoins des organisations de gestion collective émergentes dans de nombreux pays</w:t>
      </w:r>
      <w:r w:rsidRPr="00100E35">
        <w:rPr>
          <w:rFonts w:eastAsia="Aptos" w:cs="Noto Sans Display"/>
          <w:kern w:val="2"/>
          <w:szCs w:val="22"/>
          <w:vertAlign w:val="superscript"/>
          <w:lang w:val="fr-FR" w:eastAsia="en-US"/>
        </w:rPr>
        <w:endnoteReference w:id="41"/>
      </w:r>
      <w:r w:rsidRPr="00100E35">
        <w:rPr>
          <w:lang w:val="fr-FR"/>
        </w:rPr>
        <w:t>.</w:t>
      </w:r>
    </w:p>
    <w:p w14:paraId="7F0477C6" w14:textId="53EF800D"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À l</w:t>
      </w:r>
      <w:r w:rsidR="00100E35">
        <w:rPr>
          <w:lang w:val="fr-FR"/>
        </w:rPr>
        <w:t>’</w:t>
      </w:r>
      <w:r w:rsidRPr="00100E35">
        <w:rPr>
          <w:lang w:val="fr-FR"/>
        </w:rPr>
        <w:t>instar d</w:t>
      </w:r>
      <w:r w:rsidR="00100E35">
        <w:rPr>
          <w:lang w:val="fr-FR"/>
        </w:rPr>
        <w:t>’</w:t>
      </w:r>
      <w:r w:rsidRPr="00100E35">
        <w:rPr>
          <w:lang w:val="fr-FR"/>
        </w:rPr>
        <w:t>autres initiatives similaires comme WIPO Connect, la base de données du répertoire mondial</w:t>
      </w:r>
      <w:r w:rsidRPr="00100E35">
        <w:rPr>
          <w:rFonts w:eastAsia="Aptos" w:cs="Noto Sans Display"/>
          <w:kern w:val="2"/>
          <w:szCs w:val="22"/>
          <w:vertAlign w:val="superscript"/>
          <w:lang w:val="fr-FR" w:eastAsia="en-US"/>
        </w:rPr>
        <w:endnoteReference w:id="42"/>
      </w:r>
      <w:r w:rsidRPr="00100E35">
        <w:rPr>
          <w:lang w:val="fr-FR"/>
        </w:rPr>
        <w:t xml:space="preserve"> est un exemple remarquable de bonne pratique qui jette les bases d</w:t>
      </w:r>
      <w:r w:rsidR="00100E35">
        <w:rPr>
          <w:lang w:val="fr-FR"/>
        </w:rPr>
        <w:t>’</w:t>
      </w:r>
      <w:r w:rsidRPr="00100E35">
        <w:rPr>
          <w:lang w:val="fr-FR"/>
        </w:rPr>
        <w:t>une centralisation internationale des données relatives au droit d</w:t>
      </w:r>
      <w:r w:rsidR="00100E35">
        <w:rPr>
          <w:lang w:val="fr-FR"/>
        </w:rPr>
        <w:t>’</w:t>
      </w:r>
      <w:r w:rsidRPr="00100E35">
        <w:rPr>
          <w:lang w:val="fr-FR"/>
        </w:rPr>
        <w:t>auteur administrée par une organisation internationa</w:t>
      </w:r>
      <w:r w:rsidR="007A1AE9" w:rsidRPr="00100E35">
        <w:rPr>
          <w:lang w:val="fr-FR"/>
        </w:rPr>
        <w:t>le</w:t>
      </w:r>
      <w:r w:rsidR="007A1AE9">
        <w:rPr>
          <w:lang w:val="fr-FR"/>
        </w:rPr>
        <w:t xml:space="preserve">.  </w:t>
      </w:r>
      <w:r w:rsidR="007A1AE9" w:rsidRPr="00100E35">
        <w:rPr>
          <w:lang w:val="fr-FR"/>
        </w:rPr>
        <w:t xml:space="preserve">À </w:t>
      </w:r>
      <w:r w:rsidRPr="00100E35">
        <w:rPr>
          <w:lang w:val="fr-FR"/>
        </w:rPr>
        <w:t>la lumière de ces précédents, tout porte à confier à l</w:t>
      </w:r>
      <w:r w:rsidR="00100E35">
        <w:rPr>
          <w:lang w:val="fr-FR"/>
        </w:rPr>
        <w:t>’</w:t>
      </w:r>
      <w:r w:rsidRPr="00100E35">
        <w:rPr>
          <w:lang w:val="fr-FR"/>
        </w:rPr>
        <w:t>OMPI le rôle d</w:t>
      </w:r>
      <w:r w:rsidR="00100E35">
        <w:rPr>
          <w:lang w:val="fr-FR"/>
        </w:rPr>
        <w:t>’</w:t>
      </w:r>
      <w:r w:rsidRPr="00100E35">
        <w:rPr>
          <w:lang w:val="fr-FR"/>
        </w:rPr>
        <w:t>agence centrale chargée de superviser un système de base de données mondiale pour les phonogrammes et les œuvres audiovisuell</w:t>
      </w:r>
      <w:r w:rsidR="007A1AE9" w:rsidRPr="00100E35">
        <w:rPr>
          <w:lang w:val="fr-FR"/>
        </w:rPr>
        <w:t>es</w:t>
      </w:r>
      <w:r w:rsidR="007A1AE9">
        <w:rPr>
          <w:lang w:val="fr-FR"/>
        </w:rPr>
        <w:t xml:space="preserve">.  </w:t>
      </w:r>
      <w:r w:rsidR="007A1AE9" w:rsidRPr="00100E35">
        <w:rPr>
          <w:lang w:val="fr-FR"/>
        </w:rPr>
        <w:t>Un</w:t>
      </w:r>
      <w:r w:rsidRPr="00100E35">
        <w:rPr>
          <w:lang w:val="fr-FR"/>
        </w:rPr>
        <w:t xml:space="preserve"> tel mécanisme améliorerait la transparence, l</w:t>
      </w:r>
      <w:r w:rsidR="00100E35">
        <w:rPr>
          <w:lang w:val="fr-FR"/>
        </w:rPr>
        <w:t>’</w:t>
      </w:r>
      <w:r w:rsidRPr="00100E35">
        <w:rPr>
          <w:lang w:val="fr-FR"/>
        </w:rPr>
        <w:t>interopérabilité et l</w:t>
      </w:r>
      <w:r w:rsidR="00100E35">
        <w:rPr>
          <w:lang w:val="fr-FR"/>
        </w:rPr>
        <w:t>’</w:t>
      </w:r>
      <w:r w:rsidRPr="00100E35">
        <w:rPr>
          <w:lang w:val="fr-FR"/>
        </w:rPr>
        <w:t>équité dans la gestion des redevances, tout en renforçant la confiance et la coopération à l</w:t>
      </w:r>
      <w:r w:rsidR="00100E35">
        <w:rPr>
          <w:lang w:val="fr-FR"/>
        </w:rPr>
        <w:t>’</w:t>
      </w:r>
      <w:r w:rsidRPr="00100E35">
        <w:rPr>
          <w:lang w:val="fr-FR"/>
        </w:rPr>
        <w:t>échelle mondia</w:t>
      </w:r>
      <w:r w:rsidR="007A1AE9" w:rsidRPr="00100E35">
        <w:rPr>
          <w:lang w:val="fr-FR"/>
        </w:rPr>
        <w:t>le</w:t>
      </w:r>
      <w:r w:rsidR="007A1AE9">
        <w:rPr>
          <w:lang w:val="fr-FR"/>
        </w:rPr>
        <w:t xml:space="preserve">.  </w:t>
      </w:r>
      <w:r w:rsidR="007A1AE9" w:rsidRPr="00100E35">
        <w:rPr>
          <w:lang w:val="fr-FR"/>
        </w:rPr>
        <w:t>De</w:t>
      </w:r>
      <w:r w:rsidRPr="00100E35">
        <w:rPr>
          <w:lang w:val="fr-FR"/>
        </w:rPr>
        <w:t xml:space="preserve"> par son mandat institutionnel, ses compétences techniques et la confiance établie entre les États membres, l</w:t>
      </w:r>
      <w:r w:rsidR="00100E35">
        <w:rPr>
          <w:lang w:val="fr-FR"/>
        </w:rPr>
        <w:t>’</w:t>
      </w:r>
      <w:r w:rsidRPr="00100E35">
        <w:rPr>
          <w:lang w:val="fr-FR"/>
        </w:rPr>
        <w:t>OMPI est particulièrement bien placée pour faciliter la mise en place d</w:t>
      </w:r>
      <w:r w:rsidR="00100E35">
        <w:rPr>
          <w:lang w:val="fr-FR"/>
        </w:rPr>
        <w:t>’</w:t>
      </w:r>
      <w:r w:rsidRPr="00100E35">
        <w:rPr>
          <w:lang w:val="fr-FR"/>
        </w:rPr>
        <w:t>un cadre harmonisé qui comble les écarts persistants entre les pays développés et les pays en développement dans l</w:t>
      </w:r>
      <w:r w:rsidR="00100E35">
        <w:rPr>
          <w:lang w:val="fr-FR"/>
        </w:rPr>
        <w:t>’</w:t>
      </w:r>
      <w:r w:rsidRPr="00100E35">
        <w:rPr>
          <w:lang w:val="fr-FR"/>
        </w:rPr>
        <w:t>écosystème créatif mondial.</w:t>
      </w:r>
    </w:p>
    <w:p w14:paraId="6973DA18" w14:textId="29E7DC80" w:rsidR="00AC4817" w:rsidRPr="00100E35" w:rsidRDefault="00AC4817" w:rsidP="00EA0A6B">
      <w:pPr>
        <w:spacing w:before="180" w:after="240"/>
        <w:ind w:firstLine="567"/>
        <w:rPr>
          <w:rFonts w:eastAsia="Aptos" w:cs="Noto Sans Display"/>
          <w:kern w:val="2"/>
          <w:szCs w:val="22"/>
          <w:lang w:val="fr-FR"/>
          <w14:ligatures w14:val="standardContextual"/>
        </w:rPr>
      </w:pPr>
      <w:r w:rsidRPr="00100E35">
        <w:rPr>
          <w:b/>
          <w:lang w:val="fr-FR"/>
        </w:rPr>
        <w:t>Quatrièmement, les disparités dans l</w:t>
      </w:r>
      <w:r w:rsidR="00100E35">
        <w:rPr>
          <w:b/>
          <w:lang w:val="fr-FR"/>
        </w:rPr>
        <w:t>’</w:t>
      </w:r>
      <w:r w:rsidRPr="00100E35">
        <w:rPr>
          <w:b/>
          <w:lang w:val="fr-FR"/>
        </w:rPr>
        <w:t>évaluation des redevances de droit d</w:t>
      </w:r>
      <w:r w:rsidR="00100E35">
        <w:rPr>
          <w:b/>
          <w:lang w:val="fr-FR"/>
        </w:rPr>
        <w:t>’</w:t>
      </w:r>
      <w:r w:rsidRPr="00100E35">
        <w:rPr>
          <w:b/>
          <w:lang w:val="fr-FR"/>
        </w:rPr>
        <w:t>aute</w:t>
      </w:r>
      <w:r w:rsidR="007A1AE9" w:rsidRPr="00100E35">
        <w:rPr>
          <w:b/>
          <w:lang w:val="fr-FR"/>
        </w:rPr>
        <w:t>ur</w:t>
      </w:r>
      <w:r w:rsidR="007A1AE9">
        <w:rPr>
          <w:b/>
          <w:lang w:val="fr-FR"/>
        </w:rPr>
        <w:t xml:space="preserve">.  </w:t>
      </w:r>
      <w:r w:rsidR="007A1AE9" w:rsidRPr="00100E35">
        <w:rPr>
          <w:lang w:val="fr-FR"/>
        </w:rPr>
        <w:t>Da</w:t>
      </w:r>
      <w:r w:rsidRPr="00100E35">
        <w:rPr>
          <w:lang w:val="fr-FR"/>
        </w:rPr>
        <w:t>ns l</w:t>
      </w:r>
      <w:r w:rsidR="00100E35">
        <w:rPr>
          <w:lang w:val="fr-FR"/>
        </w:rPr>
        <w:t>’</w:t>
      </w:r>
      <w:r w:rsidRPr="00100E35">
        <w:rPr>
          <w:lang w:val="fr-FR"/>
        </w:rPr>
        <w:t>ensemble, les résultats indiquent que les acteurs des pays du Nord disposent d</w:t>
      </w:r>
      <w:r w:rsidR="00100E35">
        <w:rPr>
          <w:lang w:val="fr-FR"/>
        </w:rPr>
        <w:t>’</w:t>
      </w:r>
      <w:r w:rsidRPr="00100E35">
        <w:rPr>
          <w:lang w:val="fr-FR"/>
        </w:rPr>
        <w:t>un plus grand pouvoir pour déterminer la valeur des redevances au titre du droit d</w:t>
      </w:r>
      <w:r w:rsidR="00100E35">
        <w:rPr>
          <w:lang w:val="fr-FR"/>
        </w:rPr>
        <w:t>’</w:t>
      </w:r>
      <w:r w:rsidRPr="00100E35">
        <w:rPr>
          <w:lang w:val="fr-FR"/>
        </w:rPr>
        <w:t>auteur</w:t>
      </w:r>
      <w:r w:rsidRPr="00100E35">
        <w:rPr>
          <w:rFonts w:eastAsia="Aptos" w:cs="Noto Sans Display"/>
          <w:kern w:val="2"/>
          <w:szCs w:val="22"/>
          <w:vertAlign w:val="superscript"/>
          <w:lang w:val="fr-FR" w:eastAsia="en-US"/>
        </w:rPr>
        <w:endnoteReference w:id="43"/>
      </w:r>
      <w:r w:rsidRPr="00100E35">
        <w:rPr>
          <w:lang w:val="fr-FR"/>
        </w:rPr>
        <w:t xml:space="preserve">. </w:t>
      </w:r>
      <w:r w:rsidR="0080246A">
        <w:rPr>
          <w:lang w:val="fr-FR"/>
        </w:rPr>
        <w:t xml:space="preserve"> </w:t>
      </w:r>
      <w:r w:rsidRPr="00100E35">
        <w:rPr>
          <w:lang w:val="fr-FR"/>
        </w:rPr>
        <w:t>Grâce à des ressources financières, technologiques et culturelles supérieures, ces acteurs sont en mesure de pénétrer plus efficacement les marchés et de donner une plus grande visibilité à leurs œuvres, ce qui renforce leur vale</w:t>
      </w:r>
      <w:r w:rsidR="007A1AE9" w:rsidRPr="00100E35">
        <w:rPr>
          <w:lang w:val="fr-FR"/>
        </w:rPr>
        <w:t>ur</w:t>
      </w:r>
      <w:r w:rsidR="007A1AE9">
        <w:rPr>
          <w:lang w:val="fr-FR"/>
        </w:rPr>
        <w:t xml:space="preserve">.  </w:t>
      </w:r>
      <w:r w:rsidR="007A1AE9" w:rsidRPr="00100E35">
        <w:rPr>
          <w:lang w:val="fr-FR"/>
        </w:rPr>
        <w:t>Ce</w:t>
      </w:r>
      <w:r w:rsidRPr="00100E35">
        <w:rPr>
          <w:lang w:val="fr-FR"/>
        </w:rPr>
        <w:t xml:space="preserve"> déséquilibre structurel résulte de plusieurs facteu</w:t>
      </w:r>
      <w:r w:rsidR="007A1AE9" w:rsidRPr="00100E35">
        <w:rPr>
          <w:lang w:val="fr-FR"/>
        </w:rPr>
        <w:t>rs</w:t>
      </w:r>
      <w:r w:rsidR="007A1AE9">
        <w:rPr>
          <w:lang w:val="fr-FR"/>
        </w:rPr>
        <w:t xml:space="preserve">.  </w:t>
      </w:r>
      <w:r w:rsidR="007A1AE9" w:rsidRPr="00100E35">
        <w:rPr>
          <w:b/>
          <w:lang w:val="fr-FR"/>
        </w:rPr>
        <w:t>Su</w:t>
      </w:r>
      <w:r w:rsidRPr="00100E35">
        <w:rPr>
          <w:b/>
          <w:lang w:val="fr-FR"/>
        </w:rPr>
        <w:t>r le plan financier</w:t>
      </w:r>
      <w:r w:rsidRPr="00100E35">
        <w:rPr>
          <w:lang w:val="fr-FR"/>
        </w:rPr>
        <w:t>, les acteurs des pays du Nord peuvent promouvoir leurs œuvres à une échelle internationale beaucoup plus lar</w:t>
      </w:r>
      <w:r w:rsidR="007A1AE9" w:rsidRPr="00100E35">
        <w:rPr>
          <w:lang w:val="fr-FR"/>
        </w:rPr>
        <w:t>ge</w:t>
      </w:r>
      <w:r w:rsidR="007A1AE9">
        <w:rPr>
          <w:lang w:val="fr-FR"/>
        </w:rPr>
        <w:t xml:space="preserve">.  </w:t>
      </w:r>
      <w:r w:rsidR="007A1AE9" w:rsidRPr="00100E35">
        <w:rPr>
          <w:b/>
          <w:lang w:val="fr-FR"/>
        </w:rPr>
        <w:t>Su</w:t>
      </w:r>
      <w:r w:rsidRPr="00100E35">
        <w:rPr>
          <w:b/>
          <w:lang w:val="fr-FR"/>
        </w:rPr>
        <w:t>r le plan technologique</w:t>
      </w:r>
      <w:r w:rsidRPr="00100E35">
        <w:rPr>
          <w:lang w:val="fr-FR"/>
        </w:rPr>
        <w:t>, ils sont mieux placés pour tirer parti des outils numériques afin d</w:t>
      </w:r>
      <w:r w:rsidR="00100E35">
        <w:rPr>
          <w:lang w:val="fr-FR"/>
        </w:rPr>
        <w:t>’</w:t>
      </w:r>
      <w:r w:rsidRPr="00100E35">
        <w:rPr>
          <w:lang w:val="fr-FR"/>
        </w:rPr>
        <w:t>atteindre les utilisateurs potentie</w:t>
      </w:r>
      <w:r w:rsidR="007A1AE9" w:rsidRPr="00100E35">
        <w:rPr>
          <w:lang w:val="fr-FR"/>
        </w:rPr>
        <w:t>ls</w:t>
      </w:r>
      <w:r w:rsidR="007A1AE9">
        <w:rPr>
          <w:lang w:val="fr-FR"/>
        </w:rPr>
        <w:t xml:space="preserve">.  </w:t>
      </w:r>
      <w:r w:rsidR="007A1AE9" w:rsidRPr="00100E35">
        <w:rPr>
          <w:b/>
          <w:lang w:val="fr-FR"/>
        </w:rPr>
        <w:t>Su</w:t>
      </w:r>
      <w:r w:rsidRPr="00100E35">
        <w:rPr>
          <w:b/>
          <w:lang w:val="fr-FR"/>
        </w:rPr>
        <w:t>r le plan culturel</w:t>
      </w:r>
      <w:r w:rsidRPr="00100E35">
        <w:rPr>
          <w:lang w:val="fr-FR"/>
        </w:rPr>
        <w:t>, le statut privilégié des langues pratiquées dans le Nord, comme l</w:t>
      </w:r>
      <w:r w:rsidR="00100E35">
        <w:rPr>
          <w:lang w:val="fr-FR"/>
        </w:rPr>
        <w:t>’</w:t>
      </w:r>
      <w:r w:rsidRPr="00100E35">
        <w:rPr>
          <w:lang w:val="fr-FR"/>
        </w:rPr>
        <w:t>anglais, le français et l</w:t>
      </w:r>
      <w:r w:rsidR="00100E35">
        <w:rPr>
          <w:lang w:val="fr-FR"/>
        </w:rPr>
        <w:t>’</w:t>
      </w:r>
      <w:r w:rsidRPr="00100E35">
        <w:rPr>
          <w:lang w:val="fr-FR"/>
        </w:rPr>
        <w:t>espagnol, en tant que langues universelles, augmente considérablement leur visibilité et leur pénétration sur le marché</w:t>
      </w:r>
      <w:r w:rsidRPr="00100E35">
        <w:rPr>
          <w:rFonts w:eastAsia="Aptos" w:cs="Noto Sans Display"/>
          <w:kern w:val="2"/>
          <w:szCs w:val="22"/>
          <w:vertAlign w:val="superscript"/>
          <w:lang w:val="fr-FR" w:eastAsia="en-US"/>
        </w:rPr>
        <w:endnoteReference w:id="44"/>
      </w:r>
      <w:r w:rsidRPr="00100E35">
        <w:rPr>
          <w:lang w:val="fr-FR"/>
        </w:rPr>
        <w:t xml:space="preserve">. </w:t>
      </w:r>
      <w:r w:rsidR="0080246A">
        <w:rPr>
          <w:lang w:val="fr-FR"/>
        </w:rPr>
        <w:t xml:space="preserve"> </w:t>
      </w:r>
      <w:r w:rsidRPr="00100E35">
        <w:rPr>
          <w:lang w:val="fr-FR"/>
        </w:rPr>
        <w:t>À l</w:t>
      </w:r>
      <w:r w:rsidR="00100E35">
        <w:rPr>
          <w:lang w:val="fr-FR"/>
        </w:rPr>
        <w:t>’</w:t>
      </w:r>
      <w:r w:rsidRPr="00100E35">
        <w:rPr>
          <w:lang w:val="fr-FR"/>
        </w:rPr>
        <w:t>inverse, dans la plupart des pays du Sud, les langues locales restent confinées à un usage national ou régional, ce qui limite leur portée internationa</w:t>
      </w:r>
      <w:r w:rsidR="007A1AE9" w:rsidRPr="00100E35">
        <w:rPr>
          <w:lang w:val="fr-FR"/>
        </w:rPr>
        <w:t>le</w:t>
      </w:r>
      <w:r w:rsidR="007A1AE9">
        <w:rPr>
          <w:lang w:val="fr-FR"/>
        </w:rPr>
        <w:t xml:space="preserve">.  </w:t>
      </w:r>
      <w:r w:rsidR="007A1AE9" w:rsidRPr="00100E35">
        <w:rPr>
          <w:lang w:val="fr-FR"/>
        </w:rPr>
        <w:t>Pa</w:t>
      </w:r>
      <w:r w:rsidRPr="00100E35">
        <w:rPr>
          <w:lang w:val="fr-FR"/>
        </w:rPr>
        <w:t>r conséquent, les œuvres provenant du Nord se voient généralement attribuer une valeur plus élevée que celles provenant du Sud, ce qui reflète non seulement leur valeur artistique, mais aussi les asymétries profondément ancrées en matière de ressources et d</w:t>
      </w:r>
      <w:r w:rsidR="00100E35">
        <w:rPr>
          <w:lang w:val="fr-FR"/>
        </w:rPr>
        <w:t>’</w:t>
      </w:r>
      <w:r w:rsidRPr="00100E35">
        <w:rPr>
          <w:lang w:val="fr-FR"/>
        </w:rPr>
        <w:t>accès.</w:t>
      </w:r>
    </w:p>
    <w:p w14:paraId="1C82AB9B" w14:textId="1BB0CA94" w:rsidR="00AC4817" w:rsidRPr="00100E35" w:rsidRDefault="00AC4817" w:rsidP="00EA0A6B">
      <w:pPr>
        <w:spacing w:before="180" w:after="240"/>
        <w:ind w:firstLine="567"/>
        <w:jc w:val="both"/>
        <w:rPr>
          <w:rFonts w:eastAsia="Aptos" w:cs="Noto Sans Display"/>
          <w:kern w:val="2"/>
          <w:szCs w:val="22"/>
          <w:lang w:val="fr-FR"/>
          <w14:ligatures w14:val="standardContextual"/>
        </w:rPr>
      </w:pPr>
      <w:r w:rsidRPr="00100E35">
        <w:rPr>
          <w:lang w:val="fr-FR"/>
        </w:rPr>
        <w:t>Au palier suivant, les quatre questions évoquées ci</w:t>
      </w:r>
      <w:r w:rsidR="00100E35">
        <w:rPr>
          <w:lang w:val="fr-FR"/>
        </w:rPr>
        <w:t>-</w:t>
      </w:r>
      <w:r w:rsidRPr="00100E35">
        <w:rPr>
          <w:lang w:val="fr-FR"/>
        </w:rPr>
        <w:t>dessus recoupent les préoccupations relatives aux droits d</w:t>
      </w:r>
      <w:r w:rsidR="00100E35">
        <w:rPr>
          <w:lang w:val="fr-FR"/>
        </w:rPr>
        <w:t>’</w:t>
      </w:r>
      <w:r w:rsidRPr="00100E35">
        <w:rPr>
          <w:lang w:val="fr-FR"/>
        </w:rPr>
        <w:t>édition, un concept connexe</w:t>
      </w:r>
      <w:r w:rsidRPr="00100E35">
        <w:rPr>
          <w:rFonts w:eastAsia="Aptos" w:cs="Noto Sans Display"/>
          <w:kern w:val="2"/>
          <w:szCs w:val="22"/>
          <w:vertAlign w:val="superscript"/>
          <w:lang w:val="fr-FR" w:eastAsia="en-US"/>
        </w:rPr>
        <w:endnoteReference w:id="45"/>
      </w:r>
      <w:r w:rsidRPr="00100E35">
        <w:rPr>
          <w:lang w:val="fr-FR"/>
        </w:rPr>
        <w:t xml:space="preserve"> dans l</w:t>
      </w:r>
      <w:r w:rsidR="00100E35">
        <w:rPr>
          <w:lang w:val="fr-FR"/>
        </w:rPr>
        <w:t>’</w:t>
      </w:r>
      <w:r w:rsidRPr="00100E35">
        <w:rPr>
          <w:lang w:val="fr-FR"/>
        </w:rPr>
        <w:t>environnement en ligne visant à conférer une protection aux professionnels des médias en ce qui concerne leurs œuvres journalistiqu</w:t>
      </w:r>
      <w:r w:rsidR="007A1AE9" w:rsidRPr="00100E35">
        <w:rPr>
          <w:lang w:val="fr-FR"/>
        </w:rPr>
        <w:t>es</w:t>
      </w:r>
      <w:r w:rsidR="007A1AE9">
        <w:rPr>
          <w:lang w:val="fr-FR"/>
        </w:rPr>
        <w:t xml:space="preserve">.  </w:t>
      </w:r>
      <w:r w:rsidR="007A1AE9" w:rsidRPr="00100E35">
        <w:rPr>
          <w:lang w:val="fr-FR"/>
        </w:rPr>
        <w:t>To</w:t>
      </w:r>
      <w:r w:rsidRPr="00100E35">
        <w:rPr>
          <w:lang w:val="fr-FR"/>
        </w:rPr>
        <w:t>ut comme les œuvres musicales, les contenus journalistiques restent vulnérables à une utilisation non autorisée par les grandes plateformes technologiques, que ce soit par le déploiement d</w:t>
      </w:r>
      <w:r w:rsidR="00100E35">
        <w:rPr>
          <w:lang w:val="fr-FR"/>
        </w:rPr>
        <w:t>’</w:t>
      </w:r>
      <w:r w:rsidRPr="00100E35">
        <w:rPr>
          <w:lang w:val="fr-FR"/>
        </w:rPr>
        <w:t>articles journalistiques par l</w:t>
      </w:r>
      <w:r w:rsidR="00100E35">
        <w:rPr>
          <w:lang w:val="fr-FR"/>
        </w:rPr>
        <w:t>’</w:t>
      </w:r>
      <w:r w:rsidRPr="00100E35">
        <w:rPr>
          <w:lang w:val="fr-FR"/>
        </w:rPr>
        <w:t>intelligence artificielle</w:t>
      </w:r>
      <w:r w:rsidRPr="00100E35">
        <w:rPr>
          <w:rFonts w:eastAsia="Aptos" w:cs="Noto Sans Display"/>
          <w:kern w:val="2"/>
          <w:szCs w:val="22"/>
          <w:vertAlign w:val="superscript"/>
          <w:lang w:val="fr-FR" w:eastAsia="en-US"/>
        </w:rPr>
        <w:endnoteReference w:id="46"/>
      </w:r>
      <w:r w:rsidRPr="00100E35">
        <w:rPr>
          <w:lang w:val="fr-FR"/>
        </w:rPr>
        <w:t xml:space="preserve"> ou par la modification et la reproduction d</w:t>
      </w:r>
      <w:r w:rsidR="00100E35">
        <w:rPr>
          <w:lang w:val="fr-FR"/>
        </w:rPr>
        <w:t>’</w:t>
      </w:r>
      <w:r w:rsidRPr="00100E35">
        <w:rPr>
          <w:lang w:val="fr-FR"/>
        </w:rPr>
        <w:t>œuvres musicales et journalistiques dans de nouveaux contenus audiovisue</w:t>
      </w:r>
      <w:r w:rsidR="007A1AE9" w:rsidRPr="00100E35">
        <w:rPr>
          <w:lang w:val="fr-FR"/>
        </w:rPr>
        <w:t>ls</w:t>
      </w:r>
      <w:r w:rsidR="007A1AE9">
        <w:rPr>
          <w:lang w:val="fr-FR"/>
        </w:rPr>
        <w:t xml:space="preserve">.  </w:t>
      </w:r>
      <w:r w:rsidR="007A1AE9" w:rsidRPr="00100E35">
        <w:rPr>
          <w:lang w:val="fr-FR"/>
        </w:rPr>
        <w:t>Ce</w:t>
      </w:r>
      <w:r w:rsidRPr="00100E35">
        <w:rPr>
          <w:lang w:val="fr-FR"/>
        </w:rPr>
        <w:t>tte situation souligne l</w:t>
      </w:r>
      <w:r w:rsidR="00100E35">
        <w:rPr>
          <w:lang w:val="fr-FR"/>
        </w:rPr>
        <w:t>’</w:t>
      </w:r>
      <w:r w:rsidRPr="00100E35">
        <w:rPr>
          <w:lang w:val="fr-FR"/>
        </w:rPr>
        <w:t>urgence de mettre en place un cadre réglementaire intersectoriel complet pour garantir aux créateurs une protection et une rémunération équitables pour leurs œuvres dans un écosystème numérique de plus en plus dynamique.</w:t>
      </w:r>
    </w:p>
    <w:p w14:paraId="5BFE0777" w14:textId="06B7A30D" w:rsidR="00AC4817" w:rsidRPr="00100E35" w:rsidRDefault="00AC4817" w:rsidP="00AC4817">
      <w:pPr>
        <w:spacing w:before="180" w:after="240"/>
        <w:jc w:val="both"/>
        <w:rPr>
          <w:rFonts w:eastAsia="Aptos" w:cs="Noto Sans Display"/>
          <w:kern w:val="2"/>
          <w:szCs w:val="22"/>
          <w:lang w:val="fr-FR"/>
          <w14:ligatures w14:val="standardContextual"/>
        </w:rPr>
      </w:pPr>
      <w:r w:rsidRPr="00100E35">
        <w:rPr>
          <w:lang w:val="fr-FR"/>
        </w:rPr>
        <w:t>L</w:t>
      </w:r>
      <w:r w:rsidR="00100E35">
        <w:rPr>
          <w:lang w:val="fr-FR"/>
        </w:rPr>
        <w:t>’</w:t>
      </w:r>
      <w:r w:rsidRPr="00100E35">
        <w:rPr>
          <w:lang w:val="fr-FR"/>
        </w:rPr>
        <w:t>analyse qui précède souligne que les difficultés rencontrées par les phonogrammes et les redevances sur les œuvres audiovisuelles ne peuvent être traitées efficacement par des mesures nationales isolé</w:t>
      </w:r>
      <w:r w:rsidR="007A1AE9" w:rsidRPr="00100E35">
        <w:rPr>
          <w:lang w:val="fr-FR"/>
        </w:rPr>
        <w:t>es</w:t>
      </w:r>
      <w:r w:rsidR="007A1AE9">
        <w:rPr>
          <w:lang w:val="fr-FR"/>
        </w:rPr>
        <w:t xml:space="preserve">.  </w:t>
      </w:r>
      <w:r w:rsidR="007A1AE9" w:rsidRPr="00100E35">
        <w:rPr>
          <w:lang w:val="fr-FR"/>
        </w:rPr>
        <w:t>La</w:t>
      </w:r>
      <w:r w:rsidRPr="00100E35">
        <w:rPr>
          <w:lang w:val="fr-FR"/>
        </w:rPr>
        <w:t xml:space="preserve"> nature transfrontalière de ces questions nécessite une réponse internationale concertée, passant notamment par la mise en place d</w:t>
      </w:r>
      <w:r w:rsidR="00100E35">
        <w:rPr>
          <w:lang w:val="fr-FR"/>
        </w:rPr>
        <w:t>’</w:t>
      </w:r>
      <w:r w:rsidRPr="00100E35">
        <w:rPr>
          <w:lang w:val="fr-FR"/>
        </w:rPr>
        <w:t>un instrument juridiquement contraignant qui garantisse une gouvernance équitable, transparente et responsable des redevances de droit d</w:t>
      </w:r>
      <w:r w:rsidR="00100E35">
        <w:rPr>
          <w:lang w:val="fr-FR"/>
        </w:rPr>
        <w:t>’</w:t>
      </w:r>
      <w:r w:rsidRPr="00100E35">
        <w:rPr>
          <w:lang w:val="fr-FR"/>
        </w:rPr>
        <w:t>auteur dans l</w:t>
      </w:r>
      <w:r w:rsidR="00100E35">
        <w:rPr>
          <w:lang w:val="fr-FR"/>
        </w:rPr>
        <w:t>’</w:t>
      </w:r>
      <w:r w:rsidRPr="00100E35">
        <w:rPr>
          <w:lang w:val="fr-FR"/>
        </w:rPr>
        <w:t>environnement numériq</w:t>
      </w:r>
      <w:r w:rsidR="007A1AE9" w:rsidRPr="00100E35">
        <w:rPr>
          <w:lang w:val="fr-FR"/>
        </w:rPr>
        <w:t>ue</w:t>
      </w:r>
      <w:r w:rsidR="007A1AE9">
        <w:rPr>
          <w:lang w:val="fr-FR"/>
        </w:rPr>
        <w:t xml:space="preserve">.  </w:t>
      </w:r>
      <w:r w:rsidR="007A1AE9" w:rsidRPr="00100E35">
        <w:rPr>
          <w:lang w:val="fr-FR"/>
        </w:rPr>
        <w:t>Un</w:t>
      </w:r>
      <w:r w:rsidRPr="00100E35">
        <w:rPr>
          <w:lang w:val="fr-FR"/>
        </w:rPr>
        <w:t xml:space="preserve"> instrument en mesure de promouvoir une gouvernance des redevances équitable, inclusive, transparente et durable, les fondements mêmes sur lesquels reposent les quatre questions clés examinées ci</w:t>
      </w:r>
      <w:r w:rsidR="00100E35">
        <w:rPr>
          <w:lang w:val="fr-FR"/>
        </w:rPr>
        <w:t>-</w:t>
      </w:r>
      <w:r w:rsidRPr="00100E35">
        <w:rPr>
          <w:lang w:val="fr-FR"/>
        </w:rPr>
        <w:t>dess</w:t>
      </w:r>
      <w:r w:rsidR="007A1AE9" w:rsidRPr="00100E35">
        <w:rPr>
          <w:lang w:val="fr-FR"/>
        </w:rPr>
        <w:t>us</w:t>
      </w:r>
      <w:r w:rsidR="007A1AE9">
        <w:rPr>
          <w:lang w:val="fr-FR"/>
        </w:rPr>
        <w:t xml:space="preserve">.  </w:t>
      </w:r>
      <w:r w:rsidR="007A1AE9" w:rsidRPr="00100E35">
        <w:rPr>
          <w:lang w:val="fr-FR"/>
        </w:rPr>
        <w:t>En</w:t>
      </w:r>
      <w:r w:rsidRPr="00100E35">
        <w:rPr>
          <w:lang w:val="fr-FR"/>
        </w:rPr>
        <w:t xml:space="preserve"> l</w:t>
      </w:r>
      <w:r w:rsidR="00100E35">
        <w:rPr>
          <w:lang w:val="fr-FR"/>
        </w:rPr>
        <w:t>’</w:t>
      </w:r>
      <w:r w:rsidRPr="00100E35">
        <w:rPr>
          <w:lang w:val="fr-FR"/>
        </w:rPr>
        <w:t>absence d</w:t>
      </w:r>
      <w:r w:rsidR="00100E35">
        <w:rPr>
          <w:lang w:val="fr-FR"/>
        </w:rPr>
        <w:t>’</w:t>
      </w:r>
      <w:r w:rsidRPr="00100E35">
        <w:rPr>
          <w:lang w:val="fr-FR"/>
        </w:rPr>
        <w:t>une norme mondiale de nature à aplanir les asymétries financières, technologiques et culturelles dont souffre le système de libre marché qui domine l</w:t>
      </w:r>
      <w:r w:rsidR="00100E35">
        <w:rPr>
          <w:lang w:val="fr-FR"/>
        </w:rPr>
        <w:t>’</w:t>
      </w:r>
      <w:r w:rsidRPr="00100E35">
        <w:rPr>
          <w:lang w:val="fr-FR"/>
        </w:rPr>
        <w:t>industrie de la musique numérique, la répartition des redevances continuera de reproduire les inégalités structurell</w:t>
      </w:r>
      <w:r w:rsidR="007A1AE9" w:rsidRPr="00100E35">
        <w:rPr>
          <w:lang w:val="fr-FR"/>
        </w:rPr>
        <w:t>es</w:t>
      </w:r>
      <w:r w:rsidR="007A1AE9">
        <w:rPr>
          <w:lang w:val="fr-FR"/>
        </w:rPr>
        <w:t xml:space="preserve">.  </w:t>
      </w:r>
      <w:r w:rsidR="007A1AE9" w:rsidRPr="00100E35">
        <w:rPr>
          <w:lang w:val="fr-FR"/>
        </w:rPr>
        <w:t>Il</w:t>
      </w:r>
      <w:r w:rsidRPr="00100E35">
        <w:rPr>
          <w:lang w:val="fr-FR"/>
        </w:rPr>
        <w:t xml:space="preserve"> est donc impératif de poursuivre l</w:t>
      </w:r>
      <w:r w:rsidR="00100E35">
        <w:rPr>
          <w:lang w:val="fr-FR"/>
        </w:rPr>
        <w:t>’</w:t>
      </w:r>
      <w:r w:rsidRPr="00100E35">
        <w:rPr>
          <w:lang w:val="fr-FR"/>
        </w:rPr>
        <w:t>élaboration d</w:t>
      </w:r>
      <w:r w:rsidR="00100E35">
        <w:rPr>
          <w:lang w:val="fr-FR"/>
        </w:rPr>
        <w:t>’</w:t>
      </w:r>
      <w:r w:rsidRPr="00100E35">
        <w:rPr>
          <w:lang w:val="fr-FR"/>
        </w:rPr>
        <w:t>un cadre juridique international qui vienne étayer les efforts de la communauté internationale pour mettre en place un mécanisme de gouvernance plus équitable et plus transparent à l</w:t>
      </w:r>
      <w:r w:rsidR="00100E35">
        <w:rPr>
          <w:lang w:val="fr-FR"/>
        </w:rPr>
        <w:t>’</w:t>
      </w:r>
      <w:r w:rsidRPr="00100E35">
        <w:rPr>
          <w:lang w:val="fr-FR"/>
        </w:rPr>
        <w:t>échelle mondiale.</w:t>
      </w:r>
    </w:p>
    <w:p w14:paraId="3B7135E0" w14:textId="11A6D78B" w:rsidR="00AC4817" w:rsidRPr="00100E35" w:rsidRDefault="00AC4817" w:rsidP="00AC4817">
      <w:pPr>
        <w:pStyle w:val="Heading51"/>
        <w:rPr>
          <w:color w:val="1F497D" w:themeColor="text2"/>
        </w:rPr>
      </w:pPr>
      <w:bookmarkStart w:id="10" w:name="_Toc213431755"/>
      <w:r w:rsidRPr="00100E35">
        <w:rPr>
          <w:color w:val="1F497D" w:themeColor="text2"/>
        </w:rPr>
        <w:t>Conclusion</w:t>
      </w:r>
      <w:r w:rsidR="00100E35">
        <w:rPr>
          <w:color w:val="1F497D" w:themeColor="text2"/>
        </w:rPr>
        <w:t> :</w:t>
      </w:r>
      <w:r w:rsidRPr="00100E35">
        <w:rPr>
          <w:color w:val="1F497D" w:themeColor="text2"/>
        </w:rPr>
        <w:t xml:space="preserve"> vers un monde globalisé équitable</w:t>
      </w:r>
      <w:bookmarkEnd w:id="10"/>
    </w:p>
    <w:p w14:paraId="012C9D75" w14:textId="4919C691" w:rsidR="00AC4817" w:rsidRPr="00100E35" w:rsidRDefault="00AC4817" w:rsidP="00EA0A6B">
      <w:pPr>
        <w:spacing w:before="180" w:after="240"/>
        <w:ind w:firstLine="567"/>
        <w:rPr>
          <w:rFonts w:eastAsia="Aptos" w:cs="Noto Sans Display"/>
          <w:kern w:val="2"/>
          <w:szCs w:val="22"/>
          <w:lang w:val="fr-FR"/>
          <w14:ligatures w14:val="standardContextual"/>
        </w:rPr>
      </w:pPr>
      <w:r w:rsidRPr="00100E35">
        <w:rPr>
          <w:lang w:val="fr-FR"/>
        </w:rPr>
        <w:t>Aujourd</w:t>
      </w:r>
      <w:r w:rsidR="00100E35">
        <w:rPr>
          <w:lang w:val="fr-FR"/>
        </w:rPr>
        <w:t>’</w:t>
      </w:r>
      <w:r w:rsidRPr="00100E35">
        <w:rPr>
          <w:lang w:val="fr-FR"/>
        </w:rPr>
        <w:t>hui, le déséquilibre dans la gouvernance des licences et des redevances musicales sur les plateformes numériques met en évidence l</w:t>
      </w:r>
      <w:r w:rsidR="00100E35">
        <w:rPr>
          <w:lang w:val="fr-FR"/>
        </w:rPr>
        <w:t>’</w:t>
      </w:r>
      <w:r w:rsidRPr="00100E35">
        <w:rPr>
          <w:lang w:val="fr-FR"/>
        </w:rPr>
        <w:t>asymétrie structurelle des pouvoirs au sein du système mondial de la propriété intellectuel</w:t>
      </w:r>
      <w:r w:rsidR="007A1AE9" w:rsidRPr="00100E35">
        <w:rPr>
          <w:lang w:val="fr-FR"/>
        </w:rPr>
        <w:t>le</w:t>
      </w:r>
      <w:r w:rsidR="007A1AE9">
        <w:rPr>
          <w:lang w:val="fr-FR"/>
        </w:rPr>
        <w:t xml:space="preserve">.  </w:t>
      </w:r>
      <w:r w:rsidR="007A1AE9" w:rsidRPr="00100E35">
        <w:rPr>
          <w:lang w:val="fr-FR"/>
        </w:rPr>
        <w:t>Si</w:t>
      </w:r>
      <w:r w:rsidRPr="00100E35">
        <w:rPr>
          <w:lang w:val="fr-FR"/>
        </w:rPr>
        <w:t xml:space="preserve"> les créateurs et les titulaires de droits des pays du Sud sont systématiquement confrontés aux obstacles structurels découlant de disparités économiques, dans la pratique, tant les acteurs du Sud que ceux du Nord rencontrent des difficultés similaires lorsqu</w:t>
      </w:r>
      <w:r w:rsidR="00100E35">
        <w:rPr>
          <w:lang w:val="fr-FR"/>
        </w:rPr>
        <w:t>’</w:t>
      </w:r>
      <w:r w:rsidRPr="00100E35">
        <w:rPr>
          <w:lang w:val="fr-FR"/>
        </w:rPr>
        <w:t>ils ont affaire aux géants de l</w:t>
      </w:r>
      <w:r w:rsidR="00100E35">
        <w:rPr>
          <w:lang w:val="fr-FR"/>
        </w:rPr>
        <w:t>’</w:t>
      </w:r>
      <w:r w:rsidRPr="00100E35">
        <w:rPr>
          <w:lang w:val="fr-FR"/>
        </w:rPr>
        <w:t>industrie musicale numériq</w:t>
      </w:r>
      <w:r w:rsidR="007A1AE9" w:rsidRPr="00100E35">
        <w:rPr>
          <w:lang w:val="fr-FR"/>
        </w:rPr>
        <w:t>ue</w:t>
      </w:r>
      <w:r w:rsidR="007A1AE9">
        <w:rPr>
          <w:lang w:val="fr-FR"/>
        </w:rPr>
        <w:t xml:space="preserve">.  </w:t>
      </w:r>
      <w:r w:rsidR="007A1AE9" w:rsidRPr="00100E35">
        <w:rPr>
          <w:lang w:val="fr-FR"/>
        </w:rPr>
        <w:t>Ré</w:t>
      </w:r>
      <w:r w:rsidRPr="00100E35">
        <w:rPr>
          <w:lang w:val="fr-FR"/>
        </w:rPr>
        <w:t>sultat, les avantages économiques des œuvres musicales sont principalement concentrés sur les plateformes, surtout celles qui ont des capitaux et un pouvoir de négociation importants, au lieu d</w:t>
      </w:r>
      <w:r w:rsidR="00100E35">
        <w:rPr>
          <w:lang w:val="fr-FR"/>
        </w:rPr>
        <w:t>’</w:t>
      </w:r>
      <w:r w:rsidRPr="00100E35">
        <w:rPr>
          <w:lang w:val="fr-FR"/>
        </w:rPr>
        <w:t>être distribués de manière proportionnelle aux créateurs et titulaires de droi</w:t>
      </w:r>
      <w:r w:rsidR="007A1AE9" w:rsidRPr="00100E35">
        <w:rPr>
          <w:lang w:val="fr-FR"/>
        </w:rPr>
        <w:t>ts</w:t>
      </w:r>
      <w:r w:rsidR="007A1AE9">
        <w:rPr>
          <w:lang w:val="fr-FR"/>
        </w:rPr>
        <w:t xml:space="preserve">.  </w:t>
      </w:r>
      <w:r w:rsidR="007A1AE9" w:rsidRPr="00100E35">
        <w:rPr>
          <w:lang w:val="fr-FR"/>
        </w:rPr>
        <w:t>Ce</w:t>
      </w:r>
      <w:r w:rsidRPr="00100E35">
        <w:rPr>
          <w:lang w:val="fr-FR"/>
        </w:rPr>
        <w:t>tte situation ne fait pas que creuser les disparités économiques, elle empêche également l</w:t>
      </w:r>
      <w:r w:rsidR="00100E35">
        <w:rPr>
          <w:lang w:val="fr-FR"/>
        </w:rPr>
        <w:t>’</w:t>
      </w:r>
      <w:r w:rsidRPr="00100E35">
        <w:rPr>
          <w:lang w:val="fr-FR"/>
        </w:rPr>
        <w:t>industrie mondiale de la création de réaliser pleinement son potentiel de croissance inclusive et durab</w:t>
      </w:r>
      <w:r w:rsidR="007A1AE9" w:rsidRPr="00100E35">
        <w:rPr>
          <w:lang w:val="fr-FR"/>
        </w:rPr>
        <w:t>le</w:t>
      </w:r>
      <w:r w:rsidR="007A1AE9">
        <w:rPr>
          <w:lang w:val="fr-FR"/>
        </w:rPr>
        <w:t xml:space="preserve">.  </w:t>
      </w:r>
      <w:r w:rsidR="007A1AE9" w:rsidRPr="00100E35">
        <w:rPr>
          <w:lang w:val="fr-FR"/>
        </w:rPr>
        <w:t>Da</w:t>
      </w:r>
      <w:r w:rsidRPr="00100E35">
        <w:rPr>
          <w:lang w:val="fr-FR"/>
        </w:rPr>
        <w:t xml:space="preserve">ns ce contexte, la </w:t>
      </w:r>
      <w:r w:rsidRPr="00100E35">
        <w:rPr>
          <w:b/>
          <w:lang w:val="fr-FR"/>
        </w:rPr>
        <w:t>proposition</w:t>
      </w:r>
      <w:r w:rsidRPr="00100E35">
        <w:rPr>
          <w:lang w:val="fr-FR"/>
        </w:rPr>
        <w:t xml:space="preserve"> s</w:t>
      </w:r>
      <w:r w:rsidR="00100E35">
        <w:rPr>
          <w:lang w:val="fr-FR"/>
        </w:rPr>
        <w:t>’</w:t>
      </w:r>
      <w:r w:rsidRPr="00100E35">
        <w:rPr>
          <w:lang w:val="fr-FR"/>
        </w:rPr>
        <w:t>impose comme l</w:t>
      </w:r>
      <w:r w:rsidR="00100E35">
        <w:rPr>
          <w:lang w:val="fr-FR"/>
        </w:rPr>
        <w:t>’</w:t>
      </w:r>
      <w:r w:rsidRPr="00100E35">
        <w:rPr>
          <w:b/>
          <w:lang w:val="fr-FR"/>
        </w:rPr>
        <w:t>initiative stratégique de l</w:t>
      </w:r>
      <w:r w:rsidR="00100E35">
        <w:rPr>
          <w:b/>
          <w:lang w:val="fr-FR"/>
        </w:rPr>
        <w:t>’</w:t>
      </w:r>
      <w:r w:rsidRPr="00100E35">
        <w:rPr>
          <w:b/>
          <w:lang w:val="fr-FR"/>
        </w:rPr>
        <w:t>Indonésie</w:t>
      </w:r>
      <w:r w:rsidRPr="00100E35">
        <w:rPr>
          <w:lang w:val="fr-FR"/>
        </w:rPr>
        <w:t xml:space="preserve"> pour soutenir la communauté internationale dans la mise en place d</w:t>
      </w:r>
      <w:r w:rsidR="00100E35">
        <w:rPr>
          <w:lang w:val="fr-FR"/>
        </w:rPr>
        <w:t>’</w:t>
      </w:r>
      <w:r w:rsidRPr="00100E35">
        <w:rPr>
          <w:lang w:val="fr-FR"/>
        </w:rPr>
        <w:t>un cadre de gouvernance mondiale équitable, inclusif, transparent et durable pour les redevances sur les œuvres musicales numériqu</w:t>
      </w:r>
      <w:r w:rsidR="007A1AE9" w:rsidRPr="00100E35">
        <w:rPr>
          <w:lang w:val="fr-FR"/>
        </w:rPr>
        <w:t>es</w:t>
      </w:r>
      <w:r w:rsidR="007A1AE9">
        <w:rPr>
          <w:lang w:val="fr-FR"/>
        </w:rPr>
        <w:t xml:space="preserve">.  </w:t>
      </w:r>
      <w:r w:rsidR="007A1AE9" w:rsidRPr="00100E35">
        <w:rPr>
          <w:lang w:val="fr-FR"/>
        </w:rPr>
        <w:t>En</w:t>
      </w:r>
      <w:r w:rsidRPr="00100E35">
        <w:rPr>
          <w:lang w:val="fr-FR"/>
        </w:rPr>
        <w:t xml:space="preserve"> tant qu</w:t>
      </w:r>
      <w:r w:rsidR="00100E35">
        <w:rPr>
          <w:lang w:val="fr-FR"/>
        </w:rPr>
        <w:t>’</w:t>
      </w:r>
      <w:r w:rsidRPr="00100E35">
        <w:rPr>
          <w:lang w:val="fr-FR"/>
        </w:rPr>
        <w:t>instrument juridique international</w:t>
      </w:r>
      <w:r w:rsidRPr="00100E35">
        <w:rPr>
          <w:rFonts w:eastAsia="Aptos" w:cs="Noto Sans Display"/>
          <w:kern w:val="2"/>
          <w:szCs w:val="22"/>
          <w:vertAlign w:val="superscript"/>
          <w:lang w:val="fr-FR" w:eastAsia="en-US"/>
        </w:rPr>
        <w:endnoteReference w:id="47"/>
      </w:r>
      <w:r w:rsidRPr="00100E35">
        <w:rPr>
          <w:lang w:val="fr-FR"/>
        </w:rPr>
        <w:t>, le présent document devrait venir renforcer la gouvernance des redevances sur le droit d</w:t>
      </w:r>
      <w:r w:rsidR="00100E35">
        <w:rPr>
          <w:lang w:val="fr-FR"/>
        </w:rPr>
        <w:t>’</w:t>
      </w:r>
      <w:r w:rsidRPr="00100E35">
        <w:rPr>
          <w:lang w:val="fr-FR"/>
        </w:rPr>
        <w:t>auteur dans l</w:t>
      </w:r>
      <w:r w:rsidR="00100E35">
        <w:rPr>
          <w:lang w:val="fr-FR"/>
        </w:rPr>
        <w:t>’</w:t>
      </w:r>
      <w:r w:rsidRPr="00100E35">
        <w:rPr>
          <w:lang w:val="fr-FR"/>
        </w:rPr>
        <w:t>environnement numérique en fournissant un ensemble de règles du jeu qui défendent les principes d</w:t>
      </w:r>
      <w:r w:rsidR="00100E35">
        <w:rPr>
          <w:lang w:val="fr-FR"/>
        </w:rPr>
        <w:t>’</w:t>
      </w:r>
      <w:r w:rsidRPr="00100E35">
        <w:rPr>
          <w:lang w:val="fr-FR"/>
        </w:rPr>
        <w:t>équité, d</w:t>
      </w:r>
      <w:r w:rsidR="00100E35">
        <w:rPr>
          <w:lang w:val="fr-FR"/>
        </w:rPr>
        <w:t>’</w:t>
      </w:r>
      <w:r w:rsidRPr="00100E35">
        <w:rPr>
          <w:lang w:val="fr-FR"/>
        </w:rPr>
        <w:t>inclusivité, de transparence et de durabilité.</w:t>
      </w:r>
    </w:p>
    <w:p w14:paraId="27A14522" w14:textId="54459FD0"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Prenant appui sur les quatre questions clés abordées dans la sous</w:t>
      </w:r>
      <w:r w:rsidR="00100E35">
        <w:rPr>
          <w:lang w:val="fr-FR"/>
        </w:rPr>
        <w:t>-</w:t>
      </w:r>
      <w:r w:rsidRPr="00100E35">
        <w:rPr>
          <w:lang w:val="fr-FR"/>
        </w:rPr>
        <w:t xml:space="preserve">section précédente, la proposition offre une solution alternative en 1) établissant un cadre mondial pour la gouvernance de la collecte et de la distribution des redevances, </w:t>
      </w:r>
      <w:r w:rsidR="00100E35">
        <w:rPr>
          <w:lang w:val="fr-FR"/>
        </w:rPr>
        <w:t>y compris</w:t>
      </w:r>
      <w:r w:rsidRPr="00100E35">
        <w:rPr>
          <w:lang w:val="fr-FR"/>
        </w:rPr>
        <w:t xml:space="preserve"> les licences transfrontalières, et 2) en encourageant l</w:t>
      </w:r>
      <w:r w:rsidR="00100E35">
        <w:rPr>
          <w:lang w:val="fr-FR"/>
        </w:rPr>
        <w:t>’</w:t>
      </w:r>
      <w:r w:rsidRPr="00100E35">
        <w:rPr>
          <w:lang w:val="fr-FR"/>
        </w:rPr>
        <w:t>adoption d</w:t>
      </w:r>
      <w:r w:rsidR="00100E35">
        <w:rPr>
          <w:lang w:val="fr-FR"/>
        </w:rPr>
        <w:t>’</w:t>
      </w:r>
      <w:r w:rsidRPr="00100E35">
        <w:rPr>
          <w:lang w:val="fr-FR"/>
        </w:rPr>
        <w:t>un système modulaire pour la normalisation d</w:t>
      </w:r>
      <w:r w:rsidR="00100E35">
        <w:rPr>
          <w:lang w:val="fr-FR"/>
        </w:rPr>
        <w:t>’</w:t>
      </w:r>
      <w:r w:rsidRPr="00100E35">
        <w:rPr>
          <w:lang w:val="fr-FR"/>
        </w:rPr>
        <w:t>une “base de données musicale mondiale” grâce à une collaboration intersectorielle entre les États, les entreprises, les associations de créateurs et de titulaires de droits, ainsi que les institutions universitaires et les praticie</w:t>
      </w:r>
      <w:r w:rsidR="007A1AE9" w:rsidRPr="00100E35">
        <w:rPr>
          <w:lang w:val="fr-FR"/>
        </w:rPr>
        <w:t>ns</w:t>
      </w:r>
      <w:r w:rsidR="007A1AE9">
        <w:rPr>
          <w:lang w:val="fr-FR"/>
        </w:rPr>
        <w:t xml:space="preserve">.  </w:t>
      </w:r>
      <w:r w:rsidR="007A1AE9" w:rsidRPr="00100E35">
        <w:rPr>
          <w:lang w:val="fr-FR"/>
        </w:rPr>
        <w:t>La</w:t>
      </w:r>
      <w:r w:rsidRPr="00100E35">
        <w:rPr>
          <w:lang w:val="fr-FR"/>
        </w:rPr>
        <w:t xml:space="preserve"> proposition s</w:t>
      </w:r>
      <w:r w:rsidR="00100E35">
        <w:rPr>
          <w:lang w:val="fr-FR"/>
        </w:rPr>
        <w:t>’</w:t>
      </w:r>
      <w:r w:rsidRPr="00100E35">
        <w:rPr>
          <w:lang w:val="fr-FR"/>
        </w:rPr>
        <w:t>aligne par ailleurs sur l</w:t>
      </w:r>
      <w:r w:rsidR="00100E35">
        <w:rPr>
          <w:lang w:val="fr-FR"/>
        </w:rPr>
        <w:t>’</w:t>
      </w:r>
      <w:r w:rsidRPr="00100E35">
        <w:rPr>
          <w:lang w:val="fr-FR"/>
        </w:rPr>
        <w:t>ordre du jour de la quarante</w:t>
      </w:r>
      <w:r w:rsidR="00100E35">
        <w:rPr>
          <w:lang w:val="fr-FR"/>
        </w:rPr>
        <w:t>-</w:t>
      </w:r>
      <w:r w:rsidRPr="00100E35">
        <w:rPr>
          <w:lang w:val="fr-FR"/>
        </w:rPr>
        <w:t>cinqu</w:t>
      </w:r>
      <w:r w:rsidR="00100E35">
        <w:rPr>
          <w:lang w:val="fr-FR"/>
        </w:rPr>
        <w:t>ième session</w:t>
      </w:r>
      <w:r w:rsidRPr="00100E35">
        <w:rPr>
          <w:lang w:val="fr-FR"/>
        </w:rPr>
        <w:t xml:space="preserve"> du Comité permanent du droit d</w:t>
      </w:r>
      <w:r w:rsidR="00100E35">
        <w:rPr>
          <w:lang w:val="fr-FR"/>
        </w:rPr>
        <w:t>’</w:t>
      </w:r>
      <w:r w:rsidRPr="00100E35">
        <w:rPr>
          <w:lang w:val="fr-FR"/>
        </w:rPr>
        <w:t>auteur et des droits connexes, qui cherche à promouvoir “un éventuel cadre juridique international concernant le droit à une rémunération équitable du droit d</w:t>
      </w:r>
      <w:r w:rsidR="00100E35">
        <w:rPr>
          <w:lang w:val="fr-FR"/>
        </w:rPr>
        <w:t>’</w:t>
      </w:r>
      <w:r w:rsidRPr="00100E35">
        <w:rPr>
          <w:lang w:val="fr-FR"/>
        </w:rPr>
        <w:t>auteur et des droits connexes dans l</w:t>
      </w:r>
      <w:r w:rsidR="00100E35">
        <w:rPr>
          <w:lang w:val="fr-FR"/>
        </w:rPr>
        <w:t>’</w:t>
      </w:r>
      <w:r w:rsidRPr="00100E35">
        <w:rPr>
          <w:lang w:val="fr-FR"/>
        </w:rPr>
        <w:t xml:space="preserve">environnement numérique”, </w:t>
      </w:r>
      <w:r w:rsidR="00100E35">
        <w:rPr>
          <w:lang w:val="fr-FR"/>
        </w:rPr>
        <w:t>y compris</w:t>
      </w:r>
      <w:r w:rsidRPr="00100E35">
        <w:rPr>
          <w:lang w:val="fr-FR"/>
        </w:rPr>
        <w:t xml:space="preserve"> des modèles pour la collecte et la distribution de cette rémunérati</w:t>
      </w:r>
      <w:r w:rsidR="007A1AE9" w:rsidRPr="00100E35">
        <w:rPr>
          <w:lang w:val="fr-FR"/>
        </w:rPr>
        <w:t>on</w:t>
      </w:r>
      <w:r w:rsidR="007A1AE9">
        <w:rPr>
          <w:lang w:val="fr-FR"/>
        </w:rPr>
        <w:t xml:space="preserve">.  </w:t>
      </w:r>
      <w:r w:rsidR="007A1AE9" w:rsidRPr="00100E35">
        <w:rPr>
          <w:lang w:val="fr-FR"/>
        </w:rPr>
        <w:t>La</w:t>
      </w:r>
      <w:r w:rsidRPr="00100E35">
        <w:rPr>
          <w:lang w:val="fr-FR"/>
        </w:rPr>
        <w:t xml:space="preserve"> réforme de la gouvernance des phonogrammes et des redevances audiovisuelles dans l</w:t>
      </w:r>
      <w:r w:rsidR="00100E35">
        <w:rPr>
          <w:lang w:val="fr-FR"/>
        </w:rPr>
        <w:t>’</w:t>
      </w:r>
      <w:r w:rsidRPr="00100E35">
        <w:rPr>
          <w:lang w:val="fr-FR"/>
        </w:rPr>
        <w:t>environnement numérique constitue une première étape vers la mise en place des bases nécessaires à l</w:t>
      </w:r>
      <w:r w:rsidR="00100E35">
        <w:rPr>
          <w:lang w:val="fr-FR"/>
        </w:rPr>
        <w:t>’</w:t>
      </w:r>
      <w:r w:rsidRPr="00100E35">
        <w:rPr>
          <w:lang w:val="fr-FR"/>
        </w:rPr>
        <w:t>exercice d</w:t>
      </w:r>
      <w:r w:rsidR="00100E35">
        <w:rPr>
          <w:lang w:val="fr-FR"/>
        </w:rPr>
        <w:t>’</w:t>
      </w:r>
      <w:r w:rsidRPr="00100E35">
        <w:rPr>
          <w:lang w:val="fr-FR"/>
        </w:rPr>
        <w:t>autres droits liés au droit d</w:t>
      </w:r>
      <w:r w:rsidR="00100E35">
        <w:rPr>
          <w:lang w:val="fr-FR"/>
        </w:rPr>
        <w:t>’</w:t>
      </w:r>
      <w:r w:rsidRPr="00100E35">
        <w:rPr>
          <w:lang w:val="fr-FR"/>
        </w:rPr>
        <w:t>auteur, notamment ceux liés au contenu journalistique dans la sphère numérique, dans le cadre d</w:t>
      </w:r>
      <w:r w:rsidR="00100E35">
        <w:rPr>
          <w:lang w:val="fr-FR"/>
        </w:rPr>
        <w:t>’</w:t>
      </w:r>
      <w:r w:rsidRPr="00100E35">
        <w:rPr>
          <w:lang w:val="fr-FR"/>
        </w:rPr>
        <w:t>un effort plus large visant à créer un écosystème numérique propice à l</w:t>
      </w:r>
      <w:r w:rsidR="00100E35">
        <w:rPr>
          <w:lang w:val="fr-FR"/>
        </w:rPr>
        <w:t>’</w:t>
      </w:r>
      <w:r w:rsidRPr="00100E35">
        <w:rPr>
          <w:lang w:val="fr-FR"/>
        </w:rPr>
        <w:t xml:space="preserve">innovation. </w:t>
      </w:r>
      <w:r w:rsidR="0080246A">
        <w:rPr>
          <w:lang w:val="fr-FR"/>
        </w:rPr>
        <w:t xml:space="preserve"> </w:t>
      </w:r>
      <w:r w:rsidRPr="00100E35">
        <w:rPr>
          <w:lang w:val="fr-FR"/>
        </w:rPr>
        <w:t>À travers sa proposition, l</w:t>
      </w:r>
      <w:r w:rsidR="00100E35">
        <w:rPr>
          <w:lang w:val="fr-FR"/>
        </w:rPr>
        <w:t>’</w:t>
      </w:r>
      <w:r w:rsidRPr="00100E35">
        <w:rPr>
          <w:lang w:val="fr-FR"/>
        </w:rPr>
        <w:t>Indonésie réaffirme non seulement son intérêt national à protéger les artistes locaux, mais revendique également un rôle de moteur dans la création d</w:t>
      </w:r>
      <w:r w:rsidR="00100E35">
        <w:rPr>
          <w:lang w:val="fr-FR"/>
        </w:rPr>
        <w:t>’</w:t>
      </w:r>
      <w:r w:rsidRPr="00100E35">
        <w:rPr>
          <w:lang w:val="fr-FR"/>
        </w:rPr>
        <w:t>un écosystème mondial plus équilibré.</w:t>
      </w:r>
    </w:p>
    <w:p w14:paraId="68CC7768" w14:textId="77777777" w:rsidR="00AD3CB9" w:rsidRDefault="00AC4817" w:rsidP="00AD3CB9">
      <w:pPr>
        <w:spacing w:before="180" w:after="240"/>
        <w:ind w:firstLine="567"/>
        <w:rPr>
          <w:lang w:val="fr-FR"/>
        </w:rPr>
      </w:pPr>
      <w:r w:rsidRPr="00100E35">
        <w:rPr>
          <w:lang w:val="fr-FR"/>
        </w:rPr>
        <w:t>Enfin, en tant que membre de l</w:t>
      </w:r>
      <w:r w:rsidR="00100E35">
        <w:rPr>
          <w:lang w:val="fr-FR"/>
        </w:rPr>
        <w:t>’</w:t>
      </w:r>
      <w:r w:rsidRPr="00100E35">
        <w:rPr>
          <w:lang w:val="fr-FR"/>
        </w:rPr>
        <w:t>OMPI, le Gouvernement indonésien soutient la mission de l</w:t>
      </w:r>
      <w:r w:rsidR="00100E35">
        <w:rPr>
          <w:lang w:val="fr-FR"/>
        </w:rPr>
        <w:t>’</w:t>
      </w:r>
      <w:r w:rsidRPr="00100E35">
        <w:rPr>
          <w:lang w:val="fr-FR"/>
        </w:rPr>
        <w:t>Organisation consacrée dans ses textes constitutifs et s</w:t>
      </w:r>
      <w:r w:rsidR="00100E35">
        <w:rPr>
          <w:lang w:val="fr-FR"/>
        </w:rPr>
        <w:t>’</w:t>
      </w:r>
      <w:r w:rsidRPr="00100E35">
        <w:rPr>
          <w:lang w:val="fr-FR"/>
        </w:rPr>
        <w:t xml:space="preserve">inspire de précédents tels que le système de Madrid, le système de </w:t>
      </w:r>
      <w:r w:rsidR="00100E35">
        <w:rPr>
          <w:lang w:val="fr-FR"/>
        </w:rPr>
        <w:t>La Haye</w:t>
      </w:r>
      <w:r w:rsidRPr="00100E35">
        <w:rPr>
          <w:lang w:val="fr-FR"/>
        </w:rPr>
        <w:t>, le système de Lisbonne et le Traité de coopération en matière de breve</w:t>
      </w:r>
      <w:r w:rsidR="007A1AE9" w:rsidRPr="00100E35">
        <w:rPr>
          <w:lang w:val="fr-FR"/>
        </w:rPr>
        <w:t>ts</w:t>
      </w:r>
      <w:r w:rsidR="007A1AE9">
        <w:rPr>
          <w:lang w:val="fr-FR"/>
        </w:rPr>
        <w:t xml:space="preserve">.  </w:t>
      </w:r>
      <w:r w:rsidR="007A1AE9" w:rsidRPr="00100E35">
        <w:rPr>
          <w:lang w:val="fr-FR"/>
        </w:rPr>
        <w:t>Da</w:t>
      </w:r>
      <w:r w:rsidRPr="00100E35">
        <w:rPr>
          <w:lang w:val="fr-FR"/>
        </w:rPr>
        <w:t>ns cet esprit, la proposition appelle l</w:t>
      </w:r>
      <w:r w:rsidR="00100E35">
        <w:rPr>
          <w:lang w:val="fr-FR"/>
        </w:rPr>
        <w:t>’</w:t>
      </w:r>
      <w:r w:rsidRPr="00100E35">
        <w:rPr>
          <w:lang w:val="fr-FR"/>
        </w:rPr>
        <w:t>OMPI à administrer un futur cadre mondial pour la gouvernance des redevances et à assumer un rôle plus actif dans la réduction des écarts de développement entre ses États membr</w:t>
      </w:r>
      <w:r w:rsidR="007A1AE9" w:rsidRPr="00100E35">
        <w:rPr>
          <w:lang w:val="fr-FR"/>
        </w:rPr>
        <w:t>es</w:t>
      </w:r>
      <w:r w:rsidR="007A1AE9">
        <w:rPr>
          <w:lang w:val="fr-FR"/>
        </w:rPr>
        <w:t xml:space="preserve">.  </w:t>
      </w:r>
      <w:r w:rsidR="007A1AE9" w:rsidRPr="00100E35">
        <w:rPr>
          <w:lang w:val="fr-FR"/>
        </w:rPr>
        <w:t>Un</w:t>
      </w:r>
      <w:r w:rsidRPr="00100E35">
        <w:rPr>
          <w:lang w:val="fr-FR"/>
        </w:rPr>
        <w:t>e approche multilatérale sous l</w:t>
      </w:r>
      <w:r w:rsidR="00100E35">
        <w:rPr>
          <w:lang w:val="fr-FR"/>
        </w:rPr>
        <w:t>’</w:t>
      </w:r>
      <w:r w:rsidRPr="00100E35">
        <w:rPr>
          <w:lang w:val="fr-FR"/>
        </w:rPr>
        <w:t>égide de l</w:t>
      </w:r>
      <w:r w:rsidR="00100E35">
        <w:rPr>
          <w:lang w:val="fr-FR"/>
        </w:rPr>
        <w:t>’</w:t>
      </w:r>
      <w:r w:rsidRPr="00100E35">
        <w:rPr>
          <w:lang w:val="fr-FR"/>
        </w:rPr>
        <w:t>OMPI pourrait sans doute favoriser l</w:t>
      </w:r>
      <w:r w:rsidR="00100E35">
        <w:rPr>
          <w:lang w:val="fr-FR"/>
        </w:rPr>
        <w:t>’</w:t>
      </w:r>
      <w:r w:rsidRPr="00100E35">
        <w:rPr>
          <w:lang w:val="fr-FR"/>
        </w:rPr>
        <w:t>avènement d</w:t>
      </w:r>
      <w:r w:rsidR="00100E35">
        <w:rPr>
          <w:lang w:val="fr-FR"/>
        </w:rPr>
        <w:t>’</w:t>
      </w:r>
      <w:r w:rsidRPr="00100E35">
        <w:rPr>
          <w:lang w:val="fr-FR"/>
        </w:rPr>
        <w:t>un système équitable, transparent, inclusif et durable pour la protection des phonogrammes et du droit d</w:t>
      </w:r>
      <w:r w:rsidR="00100E35">
        <w:rPr>
          <w:lang w:val="fr-FR"/>
        </w:rPr>
        <w:t>’</w:t>
      </w:r>
      <w:r w:rsidRPr="00100E35">
        <w:rPr>
          <w:lang w:val="fr-FR"/>
        </w:rPr>
        <w:t>auteur sur les œuvres audiovisuelles dans l</w:t>
      </w:r>
      <w:r w:rsidR="00100E35">
        <w:rPr>
          <w:lang w:val="fr-FR"/>
        </w:rPr>
        <w:t>’</w:t>
      </w:r>
      <w:r w:rsidRPr="00100E35">
        <w:rPr>
          <w:lang w:val="fr-FR"/>
        </w:rPr>
        <w:t>environnement numérique.</w:t>
      </w:r>
    </w:p>
    <w:bookmarkEnd w:id="5"/>
    <w:p w14:paraId="36DAF372" w14:textId="77777777" w:rsidR="00AD3CB9" w:rsidRDefault="00AD3CB9">
      <w:pPr>
        <w:rPr>
          <w:lang w:val="fr-FR"/>
        </w:rPr>
      </w:pPr>
      <w:r>
        <w:rPr>
          <w:lang w:val="fr-FR"/>
        </w:rPr>
        <w:br w:type="page"/>
      </w:r>
    </w:p>
    <w:p w14:paraId="08BA2EC4" w14:textId="77777777" w:rsidR="00AD3CB9" w:rsidRDefault="00AD3CB9" w:rsidP="00AD3CB9">
      <w:pPr>
        <w:spacing w:before="180" w:after="240"/>
        <w:ind w:firstLine="567"/>
        <w:rPr>
          <w:b/>
          <w:color w:val="156082"/>
          <w:lang w:val="fr-FR"/>
        </w:rPr>
        <w:sectPr w:rsidR="00AD3CB9" w:rsidSect="00100E35">
          <w:headerReference w:type="default" r:id="rId11"/>
          <w:footerReference w:type="default" r:id="rId12"/>
          <w:headerReference w:type="first" r:id="rId13"/>
          <w:endnotePr>
            <w:numFmt w:val="decimal"/>
          </w:endnotePr>
          <w:type w:val="nextColumn"/>
          <w:pgSz w:w="11907" w:h="16840" w:code="9"/>
          <w:pgMar w:top="567" w:right="1134" w:bottom="1418" w:left="1418" w:header="510" w:footer="1021" w:gutter="0"/>
          <w:cols w:space="720"/>
          <w:titlePg/>
          <w:docGrid w:linePitch="360"/>
        </w:sectPr>
      </w:pPr>
    </w:p>
    <w:p w14:paraId="2D0B5C14" w14:textId="77777777" w:rsidR="008030AA" w:rsidRDefault="008030AA" w:rsidP="00FA1391">
      <w:pPr>
        <w:spacing w:before="180" w:after="240"/>
        <w:ind w:firstLine="567"/>
        <w:jc w:val="center"/>
        <w:rPr>
          <w:b/>
          <w:color w:val="156082"/>
          <w:lang w:val="fr-FR"/>
        </w:rPr>
        <w:sectPr w:rsidR="008030AA" w:rsidSect="00AD3CB9">
          <w:endnotePr>
            <w:numFmt w:val="decimal"/>
          </w:endnotePr>
          <w:type w:val="continuous"/>
          <w:pgSz w:w="11907" w:h="16840" w:code="9"/>
          <w:pgMar w:top="567" w:right="1134" w:bottom="1418" w:left="1418" w:header="510" w:footer="1021" w:gutter="0"/>
          <w:cols w:space="720"/>
          <w:titlePg/>
          <w:docGrid w:linePitch="360"/>
        </w:sectPr>
      </w:pPr>
    </w:p>
    <w:p w14:paraId="2F1D1961" w14:textId="070DC8BF" w:rsidR="00AC4817" w:rsidRPr="00100E35" w:rsidRDefault="00AC4817" w:rsidP="00FA1391">
      <w:pPr>
        <w:spacing w:before="180" w:after="240"/>
        <w:ind w:firstLine="567"/>
        <w:jc w:val="center"/>
        <w:rPr>
          <w:rFonts w:eastAsia="Aptos" w:cs="Noto Sans Display"/>
          <w:b/>
          <w:bCs/>
          <w:color w:val="156082"/>
          <w:kern w:val="2"/>
          <w:szCs w:val="22"/>
          <w:lang w:val="fr-FR"/>
          <w14:ligatures w14:val="standardContextual"/>
        </w:rPr>
      </w:pPr>
      <w:r w:rsidRPr="00100E35">
        <w:rPr>
          <w:b/>
          <w:color w:val="156082"/>
          <w:lang w:val="fr-FR"/>
        </w:rPr>
        <w:t>Annexe</w:t>
      </w:r>
    </w:p>
    <w:p w14:paraId="65EA5574" w14:textId="14E27537" w:rsidR="00B53C85" w:rsidRPr="00B5731A" w:rsidRDefault="00B53C85" w:rsidP="00B5731A">
      <w:pPr>
        <w:pStyle w:val="TOC3"/>
        <w:ind w:right="113"/>
        <w:rPr>
          <w:rFonts w:asciiTheme="minorHAnsi" w:eastAsiaTheme="minorEastAsia" w:hAnsiTheme="minorHAnsi" w:cstheme="minorBidi"/>
          <w:b/>
          <w:noProof/>
          <w:kern w:val="2"/>
          <w:sz w:val="24"/>
          <w:szCs w:val="24"/>
          <w:lang w:val="en-US" w:eastAsia="en-US"/>
          <w14:ligatures w14:val="standardContextual"/>
        </w:rPr>
      </w:pPr>
      <w:r w:rsidRPr="00B5731A">
        <w:rPr>
          <w:b/>
          <w:color w:val="1F497D" w:themeColor="text2"/>
          <w:kern w:val="2"/>
          <w:szCs w:val="22"/>
          <w:lang w:val="fr-FR" w:eastAsia="en-US"/>
          <w14:ligatures w14:val="standardContextual"/>
        </w:rPr>
        <w:fldChar w:fldCharType="begin"/>
      </w:r>
      <w:r w:rsidRPr="00B5731A">
        <w:rPr>
          <w:b/>
          <w:color w:val="1F497D" w:themeColor="text2"/>
          <w:kern w:val="2"/>
          <w:szCs w:val="22"/>
          <w:lang w:val="fr-FR" w:eastAsia="en-US"/>
          <w14:ligatures w14:val="standardContextual"/>
        </w:rPr>
        <w:instrText xml:space="preserve"> TOC \o "3-3" \u </w:instrText>
      </w:r>
      <w:r w:rsidRPr="00B5731A">
        <w:rPr>
          <w:b/>
          <w:color w:val="1F497D" w:themeColor="text2"/>
          <w:kern w:val="2"/>
          <w:szCs w:val="22"/>
          <w:lang w:val="fr-FR" w:eastAsia="en-US"/>
          <w14:ligatures w14:val="standardContextual"/>
        </w:rPr>
        <w:fldChar w:fldCharType="separate"/>
      </w:r>
      <w:r w:rsidRPr="00B5731A">
        <w:rPr>
          <w:b/>
          <w:noProof/>
          <w:lang w:val="fr-FR"/>
        </w:rPr>
        <w:t>Annexe I – Recensement des problématiques régionales en matière de gouvernance des phonogrammes et du droit d’auteur sur les œuvres audiovisuelles dans l’environnement numérique</w:t>
      </w:r>
      <w:r w:rsidRPr="00B5731A">
        <w:rPr>
          <w:b/>
          <w:noProof/>
        </w:rPr>
        <w:tab/>
      </w:r>
      <w:r w:rsidRPr="00B5731A">
        <w:rPr>
          <w:b/>
          <w:noProof/>
        </w:rPr>
        <w:fldChar w:fldCharType="begin"/>
      </w:r>
      <w:r w:rsidRPr="00B5731A">
        <w:rPr>
          <w:b/>
          <w:noProof/>
        </w:rPr>
        <w:instrText xml:space="preserve"> PAGEREF _Toc213431910 \h </w:instrText>
      </w:r>
      <w:r w:rsidRPr="00B5731A">
        <w:rPr>
          <w:b/>
          <w:noProof/>
        </w:rPr>
      </w:r>
      <w:r w:rsidRPr="00B5731A">
        <w:rPr>
          <w:b/>
          <w:noProof/>
        </w:rPr>
        <w:fldChar w:fldCharType="separate"/>
      </w:r>
      <w:r w:rsidR="00B5731A" w:rsidRPr="00B5731A">
        <w:rPr>
          <w:b/>
          <w:noProof/>
        </w:rPr>
        <w:t>17</w:t>
      </w:r>
      <w:r w:rsidRPr="00B5731A">
        <w:rPr>
          <w:b/>
          <w:noProof/>
        </w:rPr>
        <w:fldChar w:fldCharType="end"/>
      </w:r>
    </w:p>
    <w:p w14:paraId="69DD35B4" w14:textId="7077CF9C" w:rsidR="00B53C85" w:rsidRPr="00B5731A" w:rsidRDefault="00B53C85" w:rsidP="00B5731A">
      <w:pPr>
        <w:pStyle w:val="TOC3"/>
        <w:ind w:right="113"/>
        <w:rPr>
          <w:rFonts w:asciiTheme="minorHAnsi" w:eastAsiaTheme="minorEastAsia" w:hAnsiTheme="minorHAnsi" w:cstheme="minorBidi"/>
          <w:b/>
          <w:noProof/>
          <w:kern w:val="2"/>
          <w:sz w:val="24"/>
          <w:szCs w:val="24"/>
          <w:lang w:val="en-US" w:eastAsia="en-US"/>
          <w14:ligatures w14:val="standardContextual"/>
        </w:rPr>
      </w:pPr>
      <w:r w:rsidRPr="00B5731A">
        <w:rPr>
          <w:b/>
          <w:noProof/>
          <w:lang w:val="fr-FR"/>
        </w:rPr>
        <w:t>Annexe II – Illustration : modèle au prorata et système de paiement centré sur l’utilisateur</w:t>
      </w:r>
      <w:r w:rsidRPr="00B5731A">
        <w:rPr>
          <w:b/>
          <w:noProof/>
        </w:rPr>
        <w:tab/>
      </w:r>
      <w:r w:rsidRPr="00B5731A">
        <w:rPr>
          <w:b/>
          <w:noProof/>
        </w:rPr>
        <w:fldChar w:fldCharType="begin"/>
      </w:r>
      <w:r w:rsidRPr="00B5731A">
        <w:rPr>
          <w:b/>
          <w:noProof/>
        </w:rPr>
        <w:instrText xml:space="preserve"> PAGEREF _Toc213431911 \h </w:instrText>
      </w:r>
      <w:r w:rsidRPr="00B5731A">
        <w:rPr>
          <w:b/>
          <w:noProof/>
        </w:rPr>
      </w:r>
      <w:r w:rsidRPr="00B5731A">
        <w:rPr>
          <w:b/>
          <w:noProof/>
        </w:rPr>
        <w:fldChar w:fldCharType="separate"/>
      </w:r>
      <w:r w:rsidR="00B5731A" w:rsidRPr="00B5731A">
        <w:rPr>
          <w:b/>
          <w:noProof/>
        </w:rPr>
        <w:t>20</w:t>
      </w:r>
      <w:r w:rsidRPr="00B5731A">
        <w:rPr>
          <w:b/>
          <w:noProof/>
        </w:rPr>
        <w:fldChar w:fldCharType="end"/>
      </w:r>
    </w:p>
    <w:p w14:paraId="6662302D" w14:textId="1002B021" w:rsidR="00B53C85" w:rsidRPr="00B5731A" w:rsidRDefault="00B53C85" w:rsidP="00B5731A">
      <w:pPr>
        <w:pStyle w:val="TOC3"/>
        <w:ind w:right="113"/>
        <w:rPr>
          <w:rFonts w:asciiTheme="minorHAnsi" w:eastAsiaTheme="minorEastAsia" w:hAnsiTheme="minorHAnsi" w:cstheme="minorBidi"/>
          <w:b/>
          <w:noProof/>
          <w:kern w:val="2"/>
          <w:sz w:val="24"/>
          <w:szCs w:val="24"/>
          <w:lang w:val="en-US" w:eastAsia="en-US"/>
          <w14:ligatures w14:val="standardContextual"/>
        </w:rPr>
      </w:pPr>
      <w:r w:rsidRPr="00B5731A">
        <w:rPr>
          <w:b/>
          <w:noProof/>
          <w:lang w:val="fr-FR"/>
        </w:rPr>
        <w:t>Annexe III – Recensement des problématiques nationales et régionales en ce qui concerne la gouvernance du droit d’auteur entre les entreprises de plateformes numériques et les sociétés de presse.</w:t>
      </w:r>
      <w:r w:rsidRPr="00B5731A">
        <w:rPr>
          <w:b/>
          <w:noProof/>
        </w:rPr>
        <w:tab/>
      </w:r>
      <w:r w:rsidRPr="00B5731A">
        <w:rPr>
          <w:b/>
          <w:noProof/>
        </w:rPr>
        <w:fldChar w:fldCharType="begin"/>
      </w:r>
      <w:r w:rsidRPr="00B5731A">
        <w:rPr>
          <w:b/>
          <w:noProof/>
        </w:rPr>
        <w:instrText xml:space="preserve"> PAGEREF _Toc213431912 \h </w:instrText>
      </w:r>
      <w:r w:rsidRPr="00B5731A">
        <w:rPr>
          <w:b/>
          <w:noProof/>
        </w:rPr>
      </w:r>
      <w:r w:rsidRPr="00B5731A">
        <w:rPr>
          <w:b/>
          <w:noProof/>
        </w:rPr>
        <w:fldChar w:fldCharType="separate"/>
      </w:r>
      <w:r w:rsidR="00B5731A" w:rsidRPr="00B5731A">
        <w:rPr>
          <w:b/>
          <w:noProof/>
        </w:rPr>
        <w:t>21</w:t>
      </w:r>
      <w:r w:rsidRPr="00B5731A">
        <w:rPr>
          <w:b/>
          <w:noProof/>
        </w:rPr>
        <w:fldChar w:fldCharType="end"/>
      </w:r>
    </w:p>
    <w:p w14:paraId="5614C5D7" w14:textId="5FDF1CDE" w:rsidR="00AD3CB9" w:rsidRDefault="00B53C85" w:rsidP="00B5731A">
      <w:pPr>
        <w:ind w:right="113"/>
        <w:rPr>
          <w:rFonts w:eastAsia="Aptos" w:cs="Noto Sans Display"/>
          <w:lang w:val="fr-FR"/>
        </w:rPr>
        <w:sectPr w:rsidR="00AD3CB9" w:rsidSect="008030AA">
          <w:endnotePr>
            <w:numFmt w:val="decimal"/>
          </w:endnotePr>
          <w:pgSz w:w="11907" w:h="16840" w:code="9"/>
          <w:pgMar w:top="567" w:right="1134" w:bottom="1418" w:left="1418" w:header="510" w:footer="1021" w:gutter="0"/>
          <w:cols w:space="720"/>
          <w:titlePg/>
          <w:docGrid w:linePitch="360"/>
        </w:sectPr>
      </w:pPr>
      <w:r w:rsidRPr="00B5731A">
        <w:rPr>
          <w:b/>
          <w:color w:val="1F497D" w:themeColor="text2"/>
          <w:kern w:val="2"/>
          <w:szCs w:val="22"/>
          <w:lang w:val="fr-FR" w:eastAsia="en-US"/>
          <w14:ligatures w14:val="standardContextual"/>
        </w:rPr>
        <w:fldChar w:fldCharType="end"/>
      </w:r>
    </w:p>
    <w:p w14:paraId="2192D083" w14:textId="71D79A07" w:rsidR="00AC4817" w:rsidRPr="00100E35" w:rsidRDefault="00AC4817" w:rsidP="00AC4817">
      <w:pPr>
        <w:pStyle w:val="Heading3"/>
        <w:rPr>
          <w:color w:val="1F497D" w:themeColor="text2"/>
          <w:u w:val="none"/>
          <w:lang w:val="fr-FR"/>
        </w:rPr>
      </w:pPr>
      <w:bookmarkStart w:id="11" w:name="_Toc213431910"/>
      <w:bookmarkStart w:id="12" w:name="partie2"/>
      <w:r w:rsidRPr="00100E35">
        <w:rPr>
          <w:b/>
          <w:color w:val="1F497D" w:themeColor="text2"/>
          <w:u w:val="none"/>
          <w:lang w:val="fr-FR"/>
        </w:rPr>
        <w:t xml:space="preserve">Annexe I – </w:t>
      </w:r>
      <w:r w:rsidRPr="00100E35">
        <w:rPr>
          <w:color w:val="1F497D" w:themeColor="text2"/>
          <w:u w:val="none"/>
          <w:lang w:val="fr-FR"/>
        </w:rPr>
        <w:t>Recensement des problématiques régionales en matière de gouvernance des phonogrammes et du droit d</w:t>
      </w:r>
      <w:r w:rsidR="00100E35">
        <w:rPr>
          <w:color w:val="1F497D" w:themeColor="text2"/>
          <w:u w:val="none"/>
          <w:lang w:val="fr-FR"/>
        </w:rPr>
        <w:t>’</w:t>
      </w:r>
      <w:r w:rsidRPr="00100E35">
        <w:rPr>
          <w:color w:val="1F497D" w:themeColor="text2"/>
          <w:u w:val="none"/>
          <w:lang w:val="fr-FR"/>
        </w:rPr>
        <w:t>auteur sur les œuvres audiovisuelles dans l</w:t>
      </w:r>
      <w:r w:rsidR="00100E35">
        <w:rPr>
          <w:color w:val="1F497D" w:themeColor="text2"/>
          <w:u w:val="none"/>
          <w:lang w:val="fr-FR"/>
        </w:rPr>
        <w:t>’</w:t>
      </w:r>
      <w:r w:rsidRPr="00100E35">
        <w:rPr>
          <w:color w:val="1F497D" w:themeColor="text2"/>
          <w:u w:val="none"/>
          <w:lang w:val="fr-FR"/>
        </w:rPr>
        <w:t>environnement numérique</w:t>
      </w:r>
      <w:bookmarkEnd w:id="11"/>
    </w:p>
    <w:tbl>
      <w:tblPr>
        <w:tblW w:w="141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522"/>
        <w:gridCol w:w="7394"/>
        <w:gridCol w:w="1580"/>
        <w:gridCol w:w="1907"/>
      </w:tblGrid>
      <w:tr w:rsidR="00AC4817" w:rsidRPr="00100E35" w14:paraId="6FD37ADD" w14:textId="77777777" w:rsidTr="00964C4C">
        <w:trPr>
          <w:trHeight w:val="503"/>
          <w:tblHeader/>
        </w:trPr>
        <w:tc>
          <w:tcPr>
            <w:tcW w:w="1701" w:type="dxa"/>
            <w:shd w:val="clear" w:color="auto" w:fill="D9D9D9"/>
            <w:vAlign w:val="center"/>
          </w:tcPr>
          <w:p w14:paraId="18560609" w14:textId="77777777" w:rsidR="00AC4817" w:rsidRPr="00100E35" w:rsidRDefault="00AC4817" w:rsidP="00964C4C">
            <w:pPr>
              <w:widowControl w:val="0"/>
              <w:autoSpaceDE w:val="0"/>
              <w:autoSpaceDN w:val="0"/>
              <w:spacing w:before="125"/>
              <w:jc w:val="center"/>
              <w:rPr>
                <w:rFonts w:asciiTheme="majorBidi" w:eastAsia="Times New Roman" w:hAnsiTheme="majorBidi" w:cstheme="majorBidi"/>
                <w:b/>
                <w:sz w:val="20"/>
                <w:lang w:val="fr-FR"/>
              </w:rPr>
            </w:pPr>
            <w:r w:rsidRPr="00100E35">
              <w:rPr>
                <w:rFonts w:asciiTheme="majorBidi" w:hAnsiTheme="majorBidi"/>
                <w:b/>
                <w:sz w:val="20"/>
                <w:lang w:val="fr-FR"/>
              </w:rPr>
              <w:t>Questions clés</w:t>
            </w:r>
          </w:p>
        </w:tc>
        <w:tc>
          <w:tcPr>
            <w:tcW w:w="1522" w:type="dxa"/>
            <w:shd w:val="clear" w:color="auto" w:fill="D9D9D9"/>
            <w:vAlign w:val="center"/>
          </w:tcPr>
          <w:p w14:paraId="373255F2" w14:textId="77777777" w:rsidR="00AC4817" w:rsidRPr="00100E35" w:rsidRDefault="00AC4817" w:rsidP="00E76CEA">
            <w:pPr>
              <w:widowControl w:val="0"/>
              <w:autoSpaceDE w:val="0"/>
              <w:autoSpaceDN w:val="0"/>
              <w:spacing w:before="125"/>
              <w:ind w:left="440"/>
              <w:rPr>
                <w:rFonts w:asciiTheme="majorBidi" w:eastAsia="Times New Roman" w:hAnsiTheme="majorBidi" w:cstheme="majorBidi"/>
                <w:b/>
                <w:sz w:val="20"/>
                <w:lang w:val="fr-FR"/>
              </w:rPr>
            </w:pPr>
            <w:r w:rsidRPr="00100E35">
              <w:rPr>
                <w:rFonts w:asciiTheme="majorBidi" w:hAnsiTheme="majorBidi"/>
                <w:b/>
                <w:sz w:val="20"/>
                <w:lang w:val="fr-FR"/>
              </w:rPr>
              <w:t>Aspect</w:t>
            </w:r>
          </w:p>
        </w:tc>
        <w:tc>
          <w:tcPr>
            <w:tcW w:w="7394" w:type="dxa"/>
            <w:shd w:val="clear" w:color="auto" w:fill="D9D9D9"/>
            <w:vAlign w:val="center"/>
          </w:tcPr>
          <w:p w14:paraId="2117F41E" w14:textId="77777777" w:rsidR="00AC4817" w:rsidRPr="00100E35" w:rsidRDefault="00AC4817" w:rsidP="00E76CEA">
            <w:pPr>
              <w:widowControl w:val="0"/>
              <w:autoSpaceDE w:val="0"/>
              <w:autoSpaceDN w:val="0"/>
              <w:spacing w:before="125"/>
              <w:ind w:left="2564" w:right="2550"/>
              <w:jc w:val="center"/>
              <w:rPr>
                <w:rFonts w:asciiTheme="majorBidi" w:eastAsia="Times New Roman" w:hAnsiTheme="majorBidi" w:cstheme="majorBidi"/>
                <w:b/>
                <w:sz w:val="20"/>
                <w:lang w:val="fr-FR"/>
              </w:rPr>
            </w:pPr>
            <w:r w:rsidRPr="00100E35">
              <w:rPr>
                <w:rFonts w:asciiTheme="majorBidi" w:hAnsiTheme="majorBidi"/>
                <w:b/>
                <w:sz w:val="20"/>
                <w:lang w:val="fr-FR"/>
              </w:rPr>
              <w:t>Identification du problème</w:t>
            </w:r>
          </w:p>
        </w:tc>
        <w:tc>
          <w:tcPr>
            <w:tcW w:w="1580" w:type="dxa"/>
            <w:shd w:val="clear" w:color="auto" w:fill="D9D9D9"/>
            <w:vAlign w:val="center"/>
          </w:tcPr>
          <w:p w14:paraId="2EFCD627" w14:textId="77777777" w:rsidR="00AC4817" w:rsidRPr="00100E35" w:rsidRDefault="00AC4817" w:rsidP="00E76CEA">
            <w:pPr>
              <w:widowControl w:val="0"/>
              <w:autoSpaceDE w:val="0"/>
              <w:autoSpaceDN w:val="0"/>
              <w:spacing w:before="125"/>
              <w:ind w:left="97" w:right="97"/>
              <w:jc w:val="center"/>
              <w:rPr>
                <w:rFonts w:asciiTheme="majorBidi" w:eastAsia="Times New Roman" w:hAnsiTheme="majorBidi" w:cstheme="majorBidi"/>
                <w:b/>
                <w:sz w:val="20"/>
                <w:lang w:val="fr-FR"/>
              </w:rPr>
            </w:pPr>
            <w:r w:rsidRPr="00100E35">
              <w:rPr>
                <w:rFonts w:asciiTheme="majorBidi" w:hAnsiTheme="majorBidi"/>
                <w:b/>
                <w:sz w:val="20"/>
                <w:lang w:val="fr-FR"/>
              </w:rPr>
              <w:t>Région</w:t>
            </w:r>
          </w:p>
        </w:tc>
        <w:tc>
          <w:tcPr>
            <w:tcW w:w="1907" w:type="dxa"/>
            <w:shd w:val="clear" w:color="auto" w:fill="D9D9D9"/>
            <w:vAlign w:val="center"/>
          </w:tcPr>
          <w:p w14:paraId="6B6A8093" w14:textId="56E7D6D6" w:rsidR="00AC4817" w:rsidRPr="00100E35" w:rsidRDefault="00AC4817" w:rsidP="00964C4C">
            <w:pPr>
              <w:widowControl w:val="0"/>
              <w:autoSpaceDE w:val="0"/>
              <w:autoSpaceDN w:val="0"/>
              <w:spacing w:line="249" w:lineRule="exact"/>
              <w:ind w:left="207" w:right="195"/>
              <w:jc w:val="center"/>
              <w:rPr>
                <w:rFonts w:asciiTheme="majorBidi" w:eastAsia="Times New Roman" w:hAnsiTheme="majorBidi" w:cstheme="majorBidi"/>
                <w:b/>
                <w:sz w:val="20"/>
                <w:lang w:val="fr-FR"/>
              </w:rPr>
            </w:pPr>
            <w:r w:rsidRPr="00100E35">
              <w:rPr>
                <w:rFonts w:asciiTheme="majorBidi" w:hAnsiTheme="majorBidi"/>
                <w:b/>
                <w:sz w:val="20"/>
                <w:lang w:val="fr-FR"/>
              </w:rPr>
              <w:t>Réglementation</w:t>
            </w:r>
            <w:r w:rsidR="00964C4C">
              <w:rPr>
                <w:rFonts w:asciiTheme="majorBidi" w:hAnsiTheme="majorBidi"/>
                <w:b/>
                <w:sz w:val="20"/>
                <w:lang w:val="fr-FR"/>
              </w:rPr>
              <w:br/>
            </w:r>
            <w:r w:rsidRPr="00100E35">
              <w:rPr>
                <w:rFonts w:asciiTheme="majorBidi" w:hAnsiTheme="majorBidi"/>
                <w:b/>
                <w:sz w:val="20"/>
                <w:lang w:val="fr-FR"/>
              </w:rPr>
              <w:t>en vigueur</w:t>
            </w:r>
          </w:p>
        </w:tc>
      </w:tr>
      <w:tr w:rsidR="00AC4817" w:rsidRPr="00100E35" w14:paraId="006FB667" w14:textId="77777777" w:rsidTr="00964C4C">
        <w:trPr>
          <w:trHeight w:val="508"/>
        </w:trPr>
        <w:tc>
          <w:tcPr>
            <w:tcW w:w="1701" w:type="dxa"/>
            <w:vMerge w:val="restart"/>
            <w:vAlign w:val="center"/>
          </w:tcPr>
          <w:p w14:paraId="1F1D6D0B" w14:textId="77777777" w:rsidR="00AC4817" w:rsidRPr="00100E35" w:rsidRDefault="00AC4817" w:rsidP="00E76CEA">
            <w:pPr>
              <w:widowControl w:val="0"/>
              <w:autoSpaceDE w:val="0"/>
              <w:autoSpaceDN w:val="0"/>
              <w:spacing w:before="1"/>
              <w:ind w:left="119" w:right="110" w:firstLine="7"/>
              <w:jc w:val="center"/>
              <w:rPr>
                <w:rFonts w:asciiTheme="majorBidi" w:eastAsia="Times New Roman" w:hAnsiTheme="majorBidi" w:cstheme="majorBidi"/>
                <w:sz w:val="20"/>
                <w:lang w:val="fr-FR"/>
              </w:rPr>
            </w:pPr>
            <w:r w:rsidRPr="00100E35">
              <w:rPr>
                <w:rFonts w:asciiTheme="majorBidi" w:hAnsiTheme="majorBidi"/>
                <w:sz w:val="20"/>
                <w:lang w:val="fr-FR"/>
              </w:rPr>
              <w:t>La gouvernance de la collecte et de la distribution des redevances</w:t>
            </w:r>
          </w:p>
        </w:tc>
        <w:tc>
          <w:tcPr>
            <w:tcW w:w="1522" w:type="dxa"/>
            <w:vMerge w:val="restart"/>
            <w:vAlign w:val="center"/>
          </w:tcPr>
          <w:p w14:paraId="46ED031B" w14:textId="77777777" w:rsidR="00AC4817" w:rsidRPr="00100E35" w:rsidRDefault="00AC4817" w:rsidP="00964C4C">
            <w:pPr>
              <w:widowControl w:val="0"/>
              <w:autoSpaceDE w:val="0"/>
              <w:autoSpaceDN w:val="0"/>
              <w:spacing w:before="1"/>
              <w:jc w:val="center"/>
              <w:rPr>
                <w:rFonts w:asciiTheme="majorBidi" w:eastAsia="Times New Roman" w:hAnsiTheme="majorBidi" w:cstheme="majorBidi"/>
                <w:sz w:val="20"/>
                <w:lang w:val="fr-FR"/>
              </w:rPr>
            </w:pPr>
            <w:r w:rsidRPr="00100E35">
              <w:rPr>
                <w:rFonts w:asciiTheme="majorBidi" w:hAnsiTheme="majorBidi"/>
                <w:sz w:val="20"/>
                <w:lang w:val="fr-FR"/>
              </w:rPr>
              <w:t>Équité et inclusivité</w:t>
            </w:r>
          </w:p>
        </w:tc>
        <w:tc>
          <w:tcPr>
            <w:tcW w:w="7394" w:type="dxa"/>
            <w:vAlign w:val="center"/>
          </w:tcPr>
          <w:p w14:paraId="0D9D00EC" w14:textId="77777777" w:rsidR="00AC4817" w:rsidRPr="00100E35" w:rsidRDefault="00AC4817" w:rsidP="00E76CEA">
            <w:pPr>
              <w:widowControl w:val="0"/>
              <w:autoSpaceDE w:val="0"/>
              <w:autoSpaceDN w:val="0"/>
              <w:spacing w:line="254" w:lineRule="exact"/>
              <w:ind w:left="109"/>
              <w:rPr>
                <w:rFonts w:asciiTheme="majorBidi" w:eastAsia="Times New Roman" w:hAnsiTheme="majorBidi" w:cstheme="majorBidi"/>
                <w:sz w:val="20"/>
                <w:lang w:val="fr-FR"/>
              </w:rPr>
            </w:pPr>
            <w:r w:rsidRPr="00100E35">
              <w:rPr>
                <w:rFonts w:asciiTheme="majorBidi" w:hAnsiTheme="majorBidi"/>
                <w:sz w:val="20"/>
                <w:lang w:val="fr-FR"/>
              </w:rPr>
              <w:t>Différences de systèmes de réglementation entre les organisations de gestion collective et les entités musicales indépendantes.</w:t>
            </w:r>
          </w:p>
        </w:tc>
        <w:tc>
          <w:tcPr>
            <w:tcW w:w="1580" w:type="dxa"/>
            <w:vAlign w:val="center"/>
          </w:tcPr>
          <w:p w14:paraId="5B39169B" w14:textId="7AD1EC53"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Union</w:t>
            </w:r>
            <w:r w:rsidR="00964C4C">
              <w:rPr>
                <w:rFonts w:asciiTheme="majorBidi" w:hAnsiTheme="majorBidi"/>
                <w:sz w:val="20"/>
                <w:lang w:val="fr-FR"/>
              </w:rPr>
              <w:br/>
            </w:r>
            <w:r w:rsidRPr="00100E35">
              <w:rPr>
                <w:rFonts w:asciiTheme="majorBidi" w:hAnsiTheme="majorBidi"/>
                <w:sz w:val="20"/>
                <w:lang w:val="fr-FR"/>
              </w:rPr>
              <w:t>européenne</w:t>
            </w:r>
          </w:p>
        </w:tc>
        <w:tc>
          <w:tcPr>
            <w:tcW w:w="1907" w:type="dxa"/>
            <w:vAlign w:val="center"/>
          </w:tcPr>
          <w:p w14:paraId="38250CFA" w14:textId="7A2A4B25"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Directives</w:t>
            </w:r>
            <w:r w:rsidR="00964C4C">
              <w:rPr>
                <w:rFonts w:asciiTheme="majorBidi" w:hAnsiTheme="majorBidi"/>
                <w:sz w:val="20"/>
                <w:lang w:val="fr-FR"/>
              </w:rPr>
              <w:br/>
            </w:r>
            <w:r w:rsidRPr="00100E35">
              <w:rPr>
                <w:rFonts w:asciiTheme="majorBidi" w:hAnsiTheme="majorBidi"/>
                <w:sz w:val="20"/>
                <w:lang w:val="fr-FR"/>
              </w:rPr>
              <w:t>2014/26/UE</w:t>
            </w:r>
          </w:p>
        </w:tc>
      </w:tr>
      <w:tr w:rsidR="00AC4817" w:rsidRPr="00100E35" w14:paraId="4BFC7798" w14:textId="77777777" w:rsidTr="00964C4C">
        <w:trPr>
          <w:trHeight w:val="249"/>
        </w:trPr>
        <w:tc>
          <w:tcPr>
            <w:tcW w:w="1701" w:type="dxa"/>
            <w:vMerge/>
            <w:tcBorders>
              <w:top w:val="nil"/>
            </w:tcBorders>
            <w:vAlign w:val="center"/>
          </w:tcPr>
          <w:p w14:paraId="58B55041"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3ED4A85A"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7F4B68B9" w14:textId="77777777" w:rsidR="00AC4817" w:rsidRPr="00100E35" w:rsidRDefault="00AC4817" w:rsidP="00E76CEA">
            <w:pPr>
              <w:widowControl w:val="0"/>
              <w:autoSpaceDE w:val="0"/>
              <w:autoSpaceDN w:val="0"/>
              <w:spacing w:line="229" w:lineRule="exact"/>
              <w:ind w:left="109"/>
              <w:rPr>
                <w:rFonts w:asciiTheme="majorBidi" w:eastAsia="Times New Roman" w:hAnsiTheme="majorBidi" w:cstheme="majorBidi"/>
                <w:sz w:val="20"/>
                <w:lang w:val="fr-FR"/>
              </w:rPr>
            </w:pPr>
            <w:r w:rsidRPr="00100E35">
              <w:rPr>
                <w:rFonts w:asciiTheme="majorBidi" w:hAnsiTheme="majorBidi"/>
                <w:sz w:val="20"/>
                <w:lang w:val="fr-FR"/>
              </w:rPr>
              <w:t>Possible concurrence déloyale entre les organisations de gestion collective et les entités musicales indépendantes.</w:t>
            </w:r>
          </w:p>
        </w:tc>
        <w:tc>
          <w:tcPr>
            <w:tcW w:w="1580" w:type="dxa"/>
            <w:vAlign w:val="center"/>
          </w:tcPr>
          <w:p w14:paraId="0AFD6DDB" w14:textId="77777777" w:rsidR="00AC4817" w:rsidRPr="00100E35" w:rsidRDefault="00AC4817" w:rsidP="00E76CEA">
            <w:pPr>
              <w:widowControl w:val="0"/>
              <w:autoSpaceDE w:val="0"/>
              <w:autoSpaceDN w:val="0"/>
              <w:spacing w:line="229" w:lineRule="exact"/>
              <w:ind w:left="97" w:right="97"/>
              <w:jc w:val="center"/>
              <w:rPr>
                <w:rFonts w:asciiTheme="majorBidi" w:eastAsia="Times New Roman" w:hAnsiTheme="majorBidi" w:cstheme="majorBidi"/>
                <w:sz w:val="20"/>
                <w:lang w:val="fr-FR"/>
              </w:rPr>
            </w:pPr>
            <w:r w:rsidRPr="00100E35">
              <w:rPr>
                <w:rFonts w:asciiTheme="majorBidi" w:hAnsiTheme="majorBidi"/>
                <w:sz w:val="20"/>
                <w:lang w:val="fr-FR"/>
              </w:rPr>
              <w:t>Kenya – Afrique</w:t>
            </w:r>
          </w:p>
        </w:tc>
        <w:tc>
          <w:tcPr>
            <w:tcW w:w="1907" w:type="dxa"/>
            <w:vMerge w:val="restart"/>
            <w:vAlign w:val="center"/>
          </w:tcPr>
          <w:p w14:paraId="376C2CB9" w14:textId="7BD81D2C"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Législation relative au droit d</w:t>
            </w:r>
            <w:r w:rsidR="00100E35">
              <w:rPr>
                <w:rFonts w:asciiTheme="majorBidi" w:hAnsiTheme="majorBidi"/>
                <w:sz w:val="20"/>
                <w:lang w:val="fr-FR"/>
              </w:rPr>
              <w:t>’</w:t>
            </w:r>
            <w:r w:rsidRPr="00100E35">
              <w:rPr>
                <w:rFonts w:asciiTheme="majorBidi" w:hAnsiTheme="majorBidi"/>
                <w:sz w:val="20"/>
                <w:lang w:val="fr-FR"/>
              </w:rPr>
              <w:t>auteur de chaque pays membre de l</w:t>
            </w:r>
            <w:r w:rsidR="00100E35">
              <w:rPr>
                <w:rFonts w:asciiTheme="majorBidi" w:hAnsiTheme="majorBidi"/>
                <w:sz w:val="20"/>
                <w:lang w:val="fr-FR"/>
              </w:rPr>
              <w:t>’</w:t>
            </w:r>
            <w:r w:rsidRPr="00100E35">
              <w:rPr>
                <w:rFonts w:asciiTheme="majorBidi" w:hAnsiTheme="majorBidi"/>
                <w:sz w:val="20"/>
                <w:lang w:val="fr-FR"/>
              </w:rPr>
              <w:t>ARIPO</w:t>
            </w:r>
          </w:p>
        </w:tc>
      </w:tr>
      <w:tr w:rsidR="00AC4817" w:rsidRPr="00100E35" w14:paraId="3093D013" w14:textId="77777777" w:rsidTr="00964C4C">
        <w:trPr>
          <w:trHeight w:val="762"/>
        </w:trPr>
        <w:tc>
          <w:tcPr>
            <w:tcW w:w="1701" w:type="dxa"/>
            <w:vMerge/>
            <w:tcBorders>
              <w:top w:val="nil"/>
            </w:tcBorders>
            <w:vAlign w:val="center"/>
          </w:tcPr>
          <w:p w14:paraId="2F84D983"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16994185"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1073575F" w14:textId="400393BE" w:rsidR="00AC4817" w:rsidRPr="00100E35" w:rsidRDefault="00AC4817" w:rsidP="00E76CEA">
            <w:pPr>
              <w:widowControl w:val="0"/>
              <w:autoSpaceDE w:val="0"/>
              <w:autoSpaceDN w:val="0"/>
              <w:spacing w:line="254" w:lineRule="exact"/>
              <w:ind w:left="109" w:right="94"/>
              <w:jc w:val="both"/>
              <w:rPr>
                <w:rFonts w:asciiTheme="majorBidi" w:eastAsia="Times New Roman" w:hAnsiTheme="majorBidi" w:cstheme="majorBidi"/>
                <w:sz w:val="20"/>
                <w:lang w:val="fr-FR"/>
              </w:rPr>
            </w:pPr>
            <w:r w:rsidRPr="00100E35">
              <w:rPr>
                <w:rFonts w:asciiTheme="majorBidi" w:hAnsiTheme="majorBidi"/>
                <w:sz w:val="20"/>
                <w:lang w:val="fr-FR"/>
              </w:rPr>
              <w:t>Gouvernance inadéquate des frais de gesti</w:t>
            </w:r>
            <w:r w:rsidR="007A1AE9" w:rsidRPr="00100E35">
              <w:rPr>
                <w:rFonts w:asciiTheme="majorBidi" w:hAnsiTheme="majorBidi"/>
                <w:sz w:val="20"/>
                <w:lang w:val="fr-FR"/>
              </w:rPr>
              <w:t>on</w:t>
            </w:r>
            <w:r w:rsidR="007A1AE9">
              <w:rPr>
                <w:rFonts w:asciiTheme="majorBidi" w:hAnsiTheme="majorBidi"/>
                <w:sz w:val="20"/>
                <w:lang w:val="fr-FR"/>
              </w:rPr>
              <w:t xml:space="preserve">.  </w:t>
            </w:r>
            <w:r w:rsidR="007A1AE9" w:rsidRPr="00100E35">
              <w:rPr>
                <w:rFonts w:asciiTheme="majorBidi" w:hAnsiTheme="majorBidi"/>
                <w:sz w:val="20"/>
                <w:lang w:val="fr-FR"/>
              </w:rPr>
              <w:t>L</w:t>
            </w:r>
            <w:r w:rsidR="007A1AE9">
              <w:rPr>
                <w:rFonts w:asciiTheme="majorBidi" w:hAnsiTheme="majorBidi"/>
                <w:sz w:val="20"/>
                <w:lang w:val="fr-FR"/>
              </w:rPr>
              <w:t>’</w:t>
            </w:r>
            <w:r w:rsidR="007A1AE9" w:rsidRPr="00100E35">
              <w:rPr>
                <w:rFonts w:asciiTheme="majorBidi" w:hAnsiTheme="majorBidi"/>
                <w:sz w:val="20"/>
                <w:lang w:val="fr-FR"/>
              </w:rPr>
              <w:t>a</w:t>
            </w:r>
            <w:r w:rsidRPr="00100E35">
              <w:rPr>
                <w:rFonts w:asciiTheme="majorBidi" w:hAnsiTheme="majorBidi"/>
                <w:sz w:val="20"/>
                <w:lang w:val="fr-FR"/>
              </w:rPr>
              <w:t>bsence de plafond convenu dans ce domaine a permis aux organisations de gestion collective d</w:t>
            </w:r>
            <w:r w:rsidR="00100E35">
              <w:rPr>
                <w:rFonts w:asciiTheme="majorBidi" w:hAnsiTheme="majorBidi"/>
                <w:sz w:val="20"/>
                <w:lang w:val="fr-FR"/>
              </w:rPr>
              <w:t>’</w:t>
            </w:r>
            <w:r w:rsidRPr="00100E35">
              <w:rPr>
                <w:rFonts w:asciiTheme="majorBidi" w:hAnsiTheme="majorBidi"/>
                <w:sz w:val="20"/>
                <w:lang w:val="fr-FR"/>
              </w:rPr>
              <w:t>imposer des déductions disproportionnées (20</w:t>
            </w:r>
            <w:r w:rsidR="00100E35">
              <w:rPr>
                <w:rFonts w:asciiTheme="majorBidi" w:hAnsiTheme="majorBidi"/>
                <w:sz w:val="20"/>
                <w:lang w:val="fr-FR"/>
              </w:rPr>
              <w:t>-</w:t>
            </w:r>
            <w:r w:rsidRPr="00100E35">
              <w:rPr>
                <w:rFonts w:asciiTheme="majorBidi" w:hAnsiTheme="majorBidi"/>
                <w:sz w:val="20"/>
                <w:lang w:val="fr-FR"/>
              </w:rPr>
              <w:t>40%).</w:t>
            </w:r>
          </w:p>
        </w:tc>
        <w:tc>
          <w:tcPr>
            <w:tcW w:w="1580" w:type="dxa"/>
            <w:vAlign w:val="center"/>
          </w:tcPr>
          <w:p w14:paraId="33EB9900" w14:textId="77777777" w:rsidR="00AC4817" w:rsidRPr="00100E35" w:rsidRDefault="00AC4817" w:rsidP="00E76CEA">
            <w:pPr>
              <w:widowControl w:val="0"/>
              <w:autoSpaceDE w:val="0"/>
              <w:autoSpaceDN w:val="0"/>
              <w:ind w:left="95" w:right="97"/>
              <w:jc w:val="center"/>
              <w:rPr>
                <w:rFonts w:asciiTheme="majorBidi" w:eastAsia="Times New Roman" w:hAnsiTheme="majorBidi" w:cstheme="majorBidi"/>
                <w:sz w:val="20"/>
                <w:lang w:val="fr-FR"/>
              </w:rPr>
            </w:pPr>
            <w:r w:rsidRPr="00100E35">
              <w:rPr>
                <w:rFonts w:asciiTheme="majorBidi" w:hAnsiTheme="majorBidi"/>
                <w:sz w:val="20"/>
                <w:lang w:val="fr-FR"/>
              </w:rPr>
              <w:t>Afrique</w:t>
            </w:r>
          </w:p>
        </w:tc>
        <w:tc>
          <w:tcPr>
            <w:tcW w:w="1907" w:type="dxa"/>
            <w:vMerge/>
            <w:tcBorders>
              <w:top w:val="nil"/>
            </w:tcBorders>
            <w:vAlign w:val="center"/>
          </w:tcPr>
          <w:p w14:paraId="70596565"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r>
      <w:tr w:rsidR="00AC4817" w:rsidRPr="00100E35" w14:paraId="1343901F" w14:textId="77777777" w:rsidTr="00964C4C">
        <w:trPr>
          <w:trHeight w:val="504"/>
        </w:trPr>
        <w:tc>
          <w:tcPr>
            <w:tcW w:w="1701" w:type="dxa"/>
            <w:vMerge/>
            <w:tcBorders>
              <w:top w:val="nil"/>
            </w:tcBorders>
            <w:vAlign w:val="center"/>
          </w:tcPr>
          <w:p w14:paraId="31A23076"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val="restart"/>
            <w:vAlign w:val="center"/>
          </w:tcPr>
          <w:p w14:paraId="3629E440" w14:textId="77777777" w:rsidR="00AC4817" w:rsidRPr="00100E35" w:rsidRDefault="00AC4817" w:rsidP="00E76CEA">
            <w:pPr>
              <w:widowControl w:val="0"/>
              <w:autoSpaceDE w:val="0"/>
              <w:autoSpaceDN w:val="0"/>
              <w:ind w:left="162"/>
              <w:rPr>
                <w:rFonts w:asciiTheme="majorBidi" w:eastAsia="Times New Roman" w:hAnsiTheme="majorBidi" w:cstheme="majorBidi"/>
                <w:sz w:val="20"/>
                <w:lang w:val="fr-FR"/>
              </w:rPr>
            </w:pPr>
            <w:r w:rsidRPr="00100E35">
              <w:rPr>
                <w:rFonts w:asciiTheme="majorBidi" w:hAnsiTheme="majorBidi"/>
                <w:sz w:val="20"/>
                <w:lang w:val="fr-FR"/>
              </w:rPr>
              <w:t>Transparence</w:t>
            </w:r>
          </w:p>
        </w:tc>
        <w:tc>
          <w:tcPr>
            <w:tcW w:w="7394" w:type="dxa"/>
            <w:vAlign w:val="center"/>
          </w:tcPr>
          <w:p w14:paraId="00264CBC" w14:textId="50F994A5" w:rsidR="00AC4817" w:rsidRPr="00100E35" w:rsidRDefault="00AC4817" w:rsidP="00E76CEA">
            <w:pPr>
              <w:widowControl w:val="0"/>
              <w:autoSpaceDE w:val="0"/>
              <w:autoSpaceDN w:val="0"/>
              <w:spacing w:line="250" w:lineRule="exact"/>
              <w:ind w:left="109"/>
              <w:rPr>
                <w:rFonts w:asciiTheme="majorBidi" w:eastAsia="Times New Roman" w:hAnsiTheme="majorBidi" w:cstheme="majorBidi"/>
                <w:sz w:val="20"/>
                <w:lang w:val="fr-FR"/>
              </w:rPr>
            </w:pPr>
            <w:r w:rsidRPr="00100E35">
              <w:rPr>
                <w:rFonts w:asciiTheme="majorBidi" w:hAnsiTheme="majorBidi"/>
                <w:sz w:val="20"/>
                <w:lang w:val="fr-FR"/>
              </w:rPr>
              <w:t>Fonctions de supervision limitées des organisations de gestion collective, telles que l</w:t>
            </w:r>
            <w:r w:rsidR="00100E35">
              <w:rPr>
                <w:rFonts w:asciiTheme="majorBidi" w:hAnsiTheme="majorBidi"/>
                <w:sz w:val="20"/>
                <w:lang w:val="fr-FR"/>
              </w:rPr>
              <w:t>’</w:t>
            </w:r>
            <w:r w:rsidRPr="00100E35">
              <w:rPr>
                <w:rFonts w:asciiTheme="majorBidi" w:hAnsiTheme="majorBidi"/>
                <w:sz w:val="20"/>
                <w:lang w:val="fr-FR"/>
              </w:rPr>
              <w:t>absence de vérification périodique des comptes ou d</w:t>
            </w:r>
            <w:r w:rsidR="00100E35">
              <w:rPr>
                <w:rFonts w:asciiTheme="majorBidi" w:hAnsiTheme="majorBidi"/>
                <w:sz w:val="20"/>
                <w:lang w:val="fr-FR"/>
              </w:rPr>
              <w:t>’</w:t>
            </w:r>
            <w:r w:rsidRPr="00100E35">
              <w:rPr>
                <w:rFonts w:asciiTheme="majorBidi" w:hAnsiTheme="majorBidi"/>
                <w:sz w:val="20"/>
                <w:lang w:val="fr-FR"/>
              </w:rPr>
              <w:t>examen de leurs rapports financiers.</w:t>
            </w:r>
          </w:p>
        </w:tc>
        <w:tc>
          <w:tcPr>
            <w:tcW w:w="1580" w:type="dxa"/>
            <w:vMerge w:val="restart"/>
            <w:vAlign w:val="center"/>
          </w:tcPr>
          <w:p w14:paraId="585A87D6" w14:textId="77777777" w:rsidR="00AC4817" w:rsidRPr="00100E35" w:rsidRDefault="00AC4817" w:rsidP="00E76CEA">
            <w:pPr>
              <w:widowControl w:val="0"/>
              <w:autoSpaceDE w:val="0"/>
              <w:autoSpaceDN w:val="0"/>
              <w:ind w:left="503"/>
              <w:rPr>
                <w:rFonts w:asciiTheme="majorBidi" w:eastAsia="Times New Roman" w:hAnsiTheme="majorBidi" w:cstheme="majorBidi"/>
                <w:sz w:val="20"/>
                <w:lang w:val="fr-FR"/>
              </w:rPr>
            </w:pPr>
            <w:r w:rsidRPr="00100E35">
              <w:rPr>
                <w:rFonts w:asciiTheme="majorBidi" w:hAnsiTheme="majorBidi"/>
                <w:sz w:val="20"/>
                <w:lang w:val="fr-FR"/>
              </w:rPr>
              <w:t>Afrique</w:t>
            </w:r>
          </w:p>
        </w:tc>
        <w:tc>
          <w:tcPr>
            <w:tcW w:w="1907" w:type="dxa"/>
            <w:vMerge/>
            <w:tcBorders>
              <w:top w:val="nil"/>
            </w:tcBorders>
            <w:vAlign w:val="center"/>
          </w:tcPr>
          <w:p w14:paraId="2419F7C9"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r>
      <w:tr w:rsidR="00AC4817" w:rsidRPr="00100E35" w14:paraId="697AB8F1" w14:textId="77777777" w:rsidTr="00964C4C">
        <w:trPr>
          <w:trHeight w:val="508"/>
        </w:trPr>
        <w:tc>
          <w:tcPr>
            <w:tcW w:w="1701" w:type="dxa"/>
            <w:vMerge/>
            <w:tcBorders>
              <w:top w:val="nil"/>
            </w:tcBorders>
            <w:vAlign w:val="center"/>
          </w:tcPr>
          <w:p w14:paraId="21FCAE49"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75B6E2C2"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04262E2E" w14:textId="62642EAD" w:rsidR="00AC4817" w:rsidRPr="00100E35" w:rsidRDefault="00AC4817" w:rsidP="00E76CEA">
            <w:pPr>
              <w:widowControl w:val="0"/>
              <w:autoSpaceDE w:val="0"/>
              <w:autoSpaceDN w:val="0"/>
              <w:spacing w:line="254" w:lineRule="exact"/>
              <w:ind w:left="109"/>
              <w:rPr>
                <w:rFonts w:asciiTheme="majorBidi" w:eastAsia="Times New Roman" w:hAnsiTheme="majorBidi" w:cstheme="majorBidi"/>
                <w:sz w:val="20"/>
                <w:lang w:val="fr-FR"/>
              </w:rPr>
            </w:pPr>
            <w:r w:rsidRPr="00100E35">
              <w:rPr>
                <w:rFonts w:asciiTheme="majorBidi" w:hAnsiTheme="majorBidi"/>
                <w:sz w:val="20"/>
                <w:lang w:val="fr-FR"/>
              </w:rPr>
              <w:t>Supervision et application de la loi limitées par les autorités compétentes (offices de propriété intellectuelle, p. ex.)</w:t>
            </w:r>
            <w:r w:rsidR="00964C4C">
              <w:rPr>
                <w:rFonts w:asciiTheme="majorBidi" w:hAnsiTheme="majorBidi"/>
                <w:sz w:val="20"/>
                <w:lang w:val="fr-FR"/>
              </w:rPr>
              <w:t>.</w:t>
            </w:r>
          </w:p>
        </w:tc>
        <w:tc>
          <w:tcPr>
            <w:tcW w:w="1580" w:type="dxa"/>
            <w:vMerge/>
            <w:tcBorders>
              <w:top w:val="nil"/>
            </w:tcBorders>
            <w:vAlign w:val="center"/>
          </w:tcPr>
          <w:p w14:paraId="47C65E5F"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907" w:type="dxa"/>
            <w:vMerge/>
            <w:tcBorders>
              <w:top w:val="nil"/>
            </w:tcBorders>
            <w:vAlign w:val="center"/>
          </w:tcPr>
          <w:p w14:paraId="201F3D2D"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r>
      <w:tr w:rsidR="00AC4817" w:rsidRPr="00100E35" w14:paraId="4D5928B9" w14:textId="77777777" w:rsidTr="00964C4C">
        <w:trPr>
          <w:trHeight w:val="504"/>
        </w:trPr>
        <w:tc>
          <w:tcPr>
            <w:tcW w:w="1701" w:type="dxa"/>
            <w:vMerge/>
            <w:tcBorders>
              <w:top w:val="nil"/>
            </w:tcBorders>
            <w:vAlign w:val="center"/>
          </w:tcPr>
          <w:p w14:paraId="2415EE56"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78652B96"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5C460B3B" w14:textId="337BBF7A" w:rsidR="00AC4817" w:rsidRPr="00100E35" w:rsidRDefault="00AC4817" w:rsidP="00E76CEA">
            <w:pPr>
              <w:widowControl w:val="0"/>
              <w:autoSpaceDE w:val="0"/>
              <w:autoSpaceDN w:val="0"/>
              <w:spacing w:line="249" w:lineRule="exact"/>
              <w:ind w:left="109"/>
              <w:rPr>
                <w:rFonts w:asciiTheme="majorBidi" w:eastAsia="Times New Roman" w:hAnsiTheme="majorBidi" w:cstheme="majorBidi"/>
                <w:sz w:val="20"/>
                <w:lang w:val="fr-FR"/>
              </w:rPr>
            </w:pPr>
            <w:r w:rsidRPr="00100E35">
              <w:rPr>
                <w:rFonts w:asciiTheme="majorBidi" w:hAnsiTheme="majorBidi"/>
                <w:sz w:val="20"/>
                <w:lang w:val="fr-FR"/>
              </w:rPr>
              <w:t>Information limitée sur les délais et calendriers de distribution des redevanc</w:t>
            </w:r>
            <w:r w:rsidR="007A1AE9" w:rsidRPr="00100E35">
              <w:rPr>
                <w:rFonts w:asciiTheme="majorBidi" w:hAnsiTheme="majorBidi"/>
                <w:sz w:val="20"/>
                <w:lang w:val="fr-FR"/>
              </w:rPr>
              <w:t>es</w:t>
            </w:r>
            <w:r w:rsidR="007A1AE9">
              <w:rPr>
                <w:rFonts w:asciiTheme="majorBidi" w:hAnsiTheme="majorBidi"/>
                <w:sz w:val="20"/>
                <w:lang w:val="fr-FR"/>
              </w:rPr>
              <w:t xml:space="preserve">.  </w:t>
            </w:r>
            <w:r w:rsidR="007A1AE9" w:rsidRPr="00100E35">
              <w:rPr>
                <w:rFonts w:asciiTheme="majorBidi" w:hAnsiTheme="majorBidi"/>
                <w:sz w:val="20"/>
                <w:lang w:val="fr-FR"/>
              </w:rPr>
              <w:t>Le</w:t>
            </w:r>
            <w:r w:rsidRPr="00100E35">
              <w:rPr>
                <w:rFonts w:asciiTheme="majorBidi" w:hAnsiTheme="majorBidi"/>
                <w:sz w:val="20"/>
                <w:lang w:val="fr-FR"/>
              </w:rPr>
              <w:t>s créateurs doivent ainsi souvent patienter des mois, voire des années avant de percevoir les redevances.</w:t>
            </w:r>
          </w:p>
        </w:tc>
        <w:tc>
          <w:tcPr>
            <w:tcW w:w="1580" w:type="dxa"/>
            <w:vMerge/>
            <w:tcBorders>
              <w:top w:val="nil"/>
            </w:tcBorders>
            <w:vAlign w:val="center"/>
          </w:tcPr>
          <w:p w14:paraId="0629CC73"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907" w:type="dxa"/>
            <w:vMerge/>
            <w:tcBorders>
              <w:top w:val="nil"/>
            </w:tcBorders>
            <w:vAlign w:val="center"/>
          </w:tcPr>
          <w:p w14:paraId="0C950E7A"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r>
      <w:tr w:rsidR="00AC4817" w:rsidRPr="00100E35" w14:paraId="091184A3" w14:textId="77777777" w:rsidTr="00964C4C">
        <w:trPr>
          <w:trHeight w:val="508"/>
        </w:trPr>
        <w:tc>
          <w:tcPr>
            <w:tcW w:w="1701" w:type="dxa"/>
            <w:vMerge/>
            <w:tcBorders>
              <w:top w:val="nil"/>
            </w:tcBorders>
            <w:vAlign w:val="center"/>
          </w:tcPr>
          <w:p w14:paraId="707C2934"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6645B496"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1B2DD2B5" w14:textId="50F2E1C3" w:rsidR="00AC4817" w:rsidRPr="00100E35" w:rsidRDefault="00AC4817" w:rsidP="00E76CEA">
            <w:pPr>
              <w:widowControl w:val="0"/>
              <w:autoSpaceDE w:val="0"/>
              <w:autoSpaceDN w:val="0"/>
              <w:spacing w:line="254" w:lineRule="exact"/>
              <w:ind w:left="109"/>
              <w:rPr>
                <w:rFonts w:asciiTheme="majorBidi" w:eastAsia="Times New Roman" w:hAnsiTheme="majorBidi" w:cstheme="majorBidi"/>
                <w:sz w:val="20"/>
                <w:lang w:val="fr-FR"/>
              </w:rPr>
            </w:pPr>
            <w:r w:rsidRPr="00100E35">
              <w:rPr>
                <w:rFonts w:asciiTheme="majorBidi" w:hAnsiTheme="majorBidi"/>
                <w:sz w:val="20"/>
                <w:lang w:val="fr-FR"/>
              </w:rPr>
              <w:t>Violation des modalités d</w:t>
            </w:r>
            <w:r w:rsidR="00100E35">
              <w:rPr>
                <w:rFonts w:asciiTheme="majorBidi" w:hAnsiTheme="majorBidi"/>
                <w:sz w:val="20"/>
                <w:lang w:val="fr-FR"/>
              </w:rPr>
              <w:t>’</w:t>
            </w:r>
            <w:r w:rsidRPr="00100E35">
              <w:rPr>
                <w:rFonts w:asciiTheme="majorBidi" w:hAnsiTheme="majorBidi"/>
                <w:sz w:val="20"/>
                <w:lang w:val="fr-FR"/>
              </w:rPr>
              <w:t>octroi de licences par les organisations de gestion collective</w:t>
            </w:r>
            <w:r w:rsidR="00100E35">
              <w:rPr>
                <w:rFonts w:asciiTheme="majorBidi" w:hAnsiTheme="majorBidi"/>
                <w:sz w:val="20"/>
                <w:lang w:val="fr-FR"/>
              </w:rPr>
              <w:t> :</w:t>
            </w:r>
            <w:r w:rsidRPr="00100E35">
              <w:rPr>
                <w:rFonts w:asciiTheme="majorBidi" w:hAnsiTheme="majorBidi"/>
                <w:sz w:val="20"/>
                <w:lang w:val="fr-FR"/>
              </w:rPr>
              <w:t xml:space="preserve"> seuls 35,9% des redevances totales sur les 70% requis ont effectivement été distribués.</w:t>
            </w:r>
          </w:p>
        </w:tc>
        <w:tc>
          <w:tcPr>
            <w:tcW w:w="1580" w:type="dxa"/>
            <w:vMerge/>
            <w:tcBorders>
              <w:top w:val="nil"/>
            </w:tcBorders>
            <w:vAlign w:val="center"/>
          </w:tcPr>
          <w:p w14:paraId="47F93907"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907" w:type="dxa"/>
            <w:vMerge/>
            <w:tcBorders>
              <w:top w:val="nil"/>
            </w:tcBorders>
            <w:vAlign w:val="center"/>
          </w:tcPr>
          <w:p w14:paraId="3F0DA220"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r>
      <w:tr w:rsidR="00AC4817" w:rsidRPr="00100E35" w14:paraId="1FA76E9F" w14:textId="77777777" w:rsidTr="00964C4C">
        <w:trPr>
          <w:trHeight w:val="503"/>
        </w:trPr>
        <w:tc>
          <w:tcPr>
            <w:tcW w:w="1701" w:type="dxa"/>
            <w:vMerge/>
            <w:tcBorders>
              <w:top w:val="nil"/>
            </w:tcBorders>
            <w:vAlign w:val="center"/>
          </w:tcPr>
          <w:p w14:paraId="001A20FC"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057006C4"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35C04EEB" w14:textId="77777777" w:rsidR="00AC4817" w:rsidRPr="00100E35" w:rsidRDefault="00AC4817" w:rsidP="00E76CEA">
            <w:pPr>
              <w:widowControl w:val="0"/>
              <w:autoSpaceDE w:val="0"/>
              <w:autoSpaceDN w:val="0"/>
              <w:spacing w:line="249" w:lineRule="exact"/>
              <w:ind w:left="109"/>
              <w:rPr>
                <w:rFonts w:asciiTheme="majorBidi" w:eastAsia="Times New Roman" w:hAnsiTheme="majorBidi" w:cstheme="majorBidi"/>
                <w:sz w:val="20"/>
                <w:lang w:val="fr-FR"/>
              </w:rPr>
            </w:pPr>
            <w:r w:rsidRPr="00100E35">
              <w:rPr>
                <w:rFonts w:asciiTheme="majorBidi" w:hAnsiTheme="majorBidi"/>
                <w:sz w:val="20"/>
                <w:lang w:val="fr-FR"/>
              </w:rPr>
              <w:t>Les méthodes de calcul des redevances utilisées par les organisations de gestion collective sont perçues comme peu transparentes et difficiles à comprendre.</w:t>
            </w:r>
          </w:p>
        </w:tc>
        <w:tc>
          <w:tcPr>
            <w:tcW w:w="1580" w:type="dxa"/>
            <w:vAlign w:val="center"/>
          </w:tcPr>
          <w:p w14:paraId="2DA05AAF" w14:textId="77777777" w:rsidR="00AC4817" w:rsidRPr="00100E35" w:rsidRDefault="00AC4817" w:rsidP="00E76CEA">
            <w:pPr>
              <w:widowControl w:val="0"/>
              <w:autoSpaceDE w:val="0"/>
              <w:autoSpaceDN w:val="0"/>
              <w:spacing w:line="249" w:lineRule="exact"/>
              <w:ind w:left="96" w:right="97"/>
              <w:jc w:val="center"/>
              <w:rPr>
                <w:rFonts w:asciiTheme="majorBidi" w:eastAsia="Times New Roman" w:hAnsiTheme="majorBidi" w:cstheme="majorBidi"/>
                <w:sz w:val="20"/>
                <w:lang w:val="fr-FR"/>
              </w:rPr>
            </w:pPr>
            <w:r w:rsidRPr="00100E35">
              <w:rPr>
                <w:rFonts w:asciiTheme="majorBidi" w:hAnsiTheme="majorBidi"/>
                <w:sz w:val="20"/>
                <w:lang w:val="fr-FR"/>
              </w:rPr>
              <w:t>Union européenne</w:t>
            </w:r>
          </w:p>
        </w:tc>
        <w:tc>
          <w:tcPr>
            <w:tcW w:w="1907" w:type="dxa"/>
            <w:vAlign w:val="center"/>
          </w:tcPr>
          <w:p w14:paraId="7BC3BFF1" w14:textId="6495E857"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Directives</w:t>
            </w:r>
            <w:r w:rsidR="00964C4C">
              <w:rPr>
                <w:rFonts w:asciiTheme="majorBidi" w:hAnsiTheme="majorBidi"/>
                <w:sz w:val="20"/>
                <w:lang w:val="fr-FR"/>
              </w:rPr>
              <w:br/>
            </w:r>
            <w:r w:rsidRPr="00100E35">
              <w:rPr>
                <w:rFonts w:asciiTheme="majorBidi" w:hAnsiTheme="majorBidi"/>
                <w:sz w:val="20"/>
                <w:lang w:val="fr-FR"/>
              </w:rPr>
              <w:t>2014/26/UE</w:t>
            </w:r>
          </w:p>
        </w:tc>
      </w:tr>
      <w:tr w:rsidR="00AC4817" w:rsidRPr="00100E35" w14:paraId="691F7282" w14:textId="77777777" w:rsidTr="00964C4C">
        <w:trPr>
          <w:trHeight w:val="758"/>
        </w:trPr>
        <w:tc>
          <w:tcPr>
            <w:tcW w:w="1701" w:type="dxa"/>
            <w:vMerge w:val="restart"/>
            <w:vAlign w:val="center"/>
          </w:tcPr>
          <w:p w14:paraId="754B9D27" w14:textId="77777777"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Les systèmes de distribution des redevances</w:t>
            </w:r>
          </w:p>
        </w:tc>
        <w:tc>
          <w:tcPr>
            <w:tcW w:w="1522" w:type="dxa"/>
            <w:vMerge w:val="restart"/>
            <w:vAlign w:val="center"/>
          </w:tcPr>
          <w:p w14:paraId="70D8E7BD" w14:textId="77777777"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Équité et inclusivité</w:t>
            </w:r>
          </w:p>
        </w:tc>
        <w:tc>
          <w:tcPr>
            <w:tcW w:w="7394" w:type="dxa"/>
            <w:vAlign w:val="center"/>
          </w:tcPr>
          <w:p w14:paraId="4C3F2031" w14:textId="385F8CDF" w:rsidR="00AC4817" w:rsidRPr="00100E35" w:rsidRDefault="00AC4817" w:rsidP="00E76CEA">
            <w:pPr>
              <w:widowControl w:val="0"/>
              <w:autoSpaceDE w:val="0"/>
              <w:autoSpaceDN w:val="0"/>
              <w:spacing w:before="1"/>
              <w:ind w:left="109"/>
              <w:rPr>
                <w:rFonts w:asciiTheme="majorBidi" w:eastAsia="Times New Roman" w:hAnsiTheme="majorBidi" w:cstheme="majorBidi"/>
                <w:sz w:val="20"/>
                <w:lang w:val="fr-FR"/>
              </w:rPr>
            </w:pPr>
            <w:r w:rsidRPr="00100E35">
              <w:rPr>
                <w:rFonts w:asciiTheme="majorBidi" w:hAnsiTheme="majorBidi"/>
                <w:sz w:val="20"/>
                <w:lang w:val="fr-FR"/>
              </w:rPr>
              <w:t>Le passeport européen de licences reste largement confiné aux principales organisations de gestion collective dotées d</w:t>
            </w:r>
            <w:r w:rsidR="00100E35">
              <w:rPr>
                <w:rFonts w:asciiTheme="majorBidi" w:hAnsiTheme="majorBidi"/>
                <w:sz w:val="20"/>
                <w:lang w:val="fr-FR"/>
              </w:rPr>
              <w:t>’</w:t>
            </w:r>
            <w:r w:rsidRPr="00100E35">
              <w:rPr>
                <w:rFonts w:asciiTheme="majorBidi" w:hAnsiTheme="majorBidi"/>
                <w:sz w:val="20"/>
                <w:lang w:val="fr-FR"/>
              </w:rPr>
              <w:t>une capacité infrastructurelle suffisante pour mettre en œuvre le système, ce qui en exclut les entités plus petites</w:t>
            </w:r>
            <w:r w:rsidR="00964C4C">
              <w:rPr>
                <w:rFonts w:asciiTheme="majorBidi" w:hAnsiTheme="majorBidi"/>
                <w:sz w:val="20"/>
                <w:lang w:val="fr-FR"/>
              </w:rPr>
              <w:t>.</w:t>
            </w:r>
          </w:p>
        </w:tc>
        <w:tc>
          <w:tcPr>
            <w:tcW w:w="1580" w:type="dxa"/>
            <w:vAlign w:val="center"/>
          </w:tcPr>
          <w:p w14:paraId="2CC2CC3F" w14:textId="25DDD5BC"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Union</w:t>
            </w:r>
            <w:r w:rsidR="00964C4C">
              <w:rPr>
                <w:rFonts w:asciiTheme="majorBidi" w:hAnsiTheme="majorBidi"/>
                <w:sz w:val="20"/>
                <w:lang w:val="fr-FR"/>
              </w:rPr>
              <w:br/>
            </w:r>
            <w:r w:rsidRPr="00100E35">
              <w:rPr>
                <w:rFonts w:asciiTheme="majorBidi" w:hAnsiTheme="majorBidi"/>
                <w:sz w:val="20"/>
                <w:lang w:val="fr-FR"/>
              </w:rPr>
              <w:t>européenne</w:t>
            </w:r>
          </w:p>
        </w:tc>
        <w:tc>
          <w:tcPr>
            <w:tcW w:w="1907" w:type="dxa"/>
            <w:vAlign w:val="center"/>
          </w:tcPr>
          <w:p w14:paraId="48225B90" w14:textId="0DECAFA5"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Directives</w:t>
            </w:r>
            <w:r w:rsidR="00964C4C">
              <w:rPr>
                <w:rFonts w:asciiTheme="majorBidi" w:hAnsiTheme="majorBidi"/>
                <w:sz w:val="20"/>
                <w:lang w:val="fr-FR"/>
              </w:rPr>
              <w:br/>
            </w:r>
            <w:r w:rsidRPr="00100E35">
              <w:rPr>
                <w:rFonts w:asciiTheme="majorBidi" w:hAnsiTheme="majorBidi"/>
                <w:sz w:val="20"/>
                <w:lang w:val="fr-FR"/>
              </w:rPr>
              <w:t>2014/26/UE</w:t>
            </w:r>
          </w:p>
        </w:tc>
      </w:tr>
      <w:tr w:rsidR="00AC4817" w:rsidRPr="00100E35" w14:paraId="5CA2AB53" w14:textId="77777777" w:rsidTr="00964C4C">
        <w:trPr>
          <w:trHeight w:val="758"/>
        </w:trPr>
        <w:tc>
          <w:tcPr>
            <w:tcW w:w="1701" w:type="dxa"/>
            <w:vMerge/>
            <w:tcBorders>
              <w:top w:val="nil"/>
            </w:tcBorders>
            <w:vAlign w:val="center"/>
          </w:tcPr>
          <w:p w14:paraId="7678E533"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16FDDF06"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2461A8A5" w14:textId="373CDA70" w:rsidR="00AC4817" w:rsidRPr="00100E35" w:rsidRDefault="00AC4817" w:rsidP="00E76CEA">
            <w:pPr>
              <w:widowControl w:val="0"/>
              <w:autoSpaceDE w:val="0"/>
              <w:autoSpaceDN w:val="0"/>
              <w:spacing w:before="1"/>
              <w:ind w:left="109"/>
              <w:rPr>
                <w:rFonts w:asciiTheme="majorBidi" w:eastAsia="Times New Roman" w:hAnsiTheme="majorBidi" w:cstheme="majorBidi"/>
                <w:sz w:val="20"/>
                <w:lang w:val="fr-FR"/>
              </w:rPr>
            </w:pPr>
            <w:r w:rsidRPr="00100E35">
              <w:rPr>
                <w:rFonts w:asciiTheme="majorBidi" w:hAnsiTheme="majorBidi"/>
                <w:sz w:val="20"/>
                <w:lang w:val="fr-FR"/>
              </w:rPr>
              <w:t>La répartition inégale des infrastructures technologiques (facturation en ligne, outils de contrôle, p.</w:t>
            </w:r>
            <w:r w:rsidR="0080246A">
              <w:rPr>
                <w:rFonts w:asciiTheme="majorBidi" w:hAnsiTheme="majorBidi"/>
                <w:sz w:val="20"/>
                <w:lang w:val="fr-FR"/>
              </w:rPr>
              <w:t> </w:t>
            </w:r>
            <w:r w:rsidRPr="00100E35">
              <w:rPr>
                <w:rFonts w:asciiTheme="majorBidi" w:hAnsiTheme="majorBidi"/>
                <w:sz w:val="20"/>
                <w:lang w:val="fr-FR"/>
              </w:rPr>
              <w:t>ex.) a entretenu le recours à des méthodes manuelles de rapprochement des données relatives aux redevances, nuisant à l</w:t>
            </w:r>
            <w:r w:rsidR="00100E35">
              <w:rPr>
                <w:rFonts w:asciiTheme="majorBidi" w:hAnsiTheme="majorBidi"/>
                <w:sz w:val="20"/>
                <w:lang w:val="fr-FR"/>
              </w:rPr>
              <w:t>’</w:t>
            </w:r>
            <w:r w:rsidRPr="00100E35">
              <w:rPr>
                <w:rFonts w:asciiTheme="majorBidi" w:hAnsiTheme="majorBidi"/>
                <w:sz w:val="20"/>
                <w:lang w:val="fr-FR"/>
              </w:rPr>
              <w:t>efficacité et à la transparence.</w:t>
            </w:r>
          </w:p>
        </w:tc>
        <w:tc>
          <w:tcPr>
            <w:tcW w:w="1580" w:type="dxa"/>
            <w:vAlign w:val="center"/>
          </w:tcPr>
          <w:p w14:paraId="518F9603" w14:textId="77777777" w:rsidR="00AC4817" w:rsidRPr="00100E35" w:rsidRDefault="00AC4817" w:rsidP="00E76CEA">
            <w:pPr>
              <w:widowControl w:val="0"/>
              <w:autoSpaceDE w:val="0"/>
              <w:autoSpaceDN w:val="0"/>
              <w:ind w:left="95" w:right="97"/>
              <w:jc w:val="center"/>
              <w:rPr>
                <w:rFonts w:asciiTheme="majorBidi" w:eastAsia="Times New Roman" w:hAnsiTheme="majorBidi" w:cstheme="majorBidi"/>
                <w:sz w:val="20"/>
                <w:lang w:val="fr-FR"/>
              </w:rPr>
            </w:pPr>
            <w:r w:rsidRPr="00100E35">
              <w:rPr>
                <w:rFonts w:asciiTheme="majorBidi" w:hAnsiTheme="majorBidi"/>
                <w:sz w:val="20"/>
                <w:lang w:val="fr-FR"/>
              </w:rPr>
              <w:t>Afrique</w:t>
            </w:r>
          </w:p>
        </w:tc>
        <w:tc>
          <w:tcPr>
            <w:tcW w:w="1907" w:type="dxa"/>
            <w:vAlign w:val="center"/>
          </w:tcPr>
          <w:p w14:paraId="0C7AC34A" w14:textId="0A529704"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Législation relative au droit d</w:t>
            </w:r>
            <w:r w:rsidR="00100E35">
              <w:rPr>
                <w:rFonts w:asciiTheme="majorBidi" w:hAnsiTheme="majorBidi"/>
                <w:sz w:val="20"/>
                <w:lang w:val="fr-FR"/>
              </w:rPr>
              <w:t>’</w:t>
            </w:r>
            <w:r w:rsidRPr="00100E35">
              <w:rPr>
                <w:rFonts w:asciiTheme="majorBidi" w:hAnsiTheme="majorBidi"/>
                <w:sz w:val="20"/>
                <w:lang w:val="fr-FR"/>
              </w:rPr>
              <w:t>auteur de chaque pays membre de l</w:t>
            </w:r>
            <w:r w:rsidR="00100E35">
              <w:rPr>
                <w:rFonts w:asciiTheme="majorBidi" w:hAnsiTheme="majorBidi"/>
                <w:sz w:val="20"/>
                <w:lang w:val="fr-FR"/>
              </w:rPr>
              <w:t>’</w:t>
            </w:r>
            <w:r w:rsidRPr="00100E35">
              <w:rPr>
                <w:rFonts w:asciiTheme="majorBidi" w:hAnsiTheme="majorBidi"/>
                <w:sz w:val="20"/>
                <w:lang w:val="fr-FR"/>
              </w:rPr>
              <w:t>ARIPO</w:t>
            </w:r>
          </w:p>
        </w:tc>
      </w:tr>
      <w:tr w:rsidR="00AC4817" w:rsidRPr="00100E35" w14:paraId="71635EC5" w14:textId="77777777" w:rsidTr="00964C4C">
        <w:trPr>
          <w:trHeight w:val="1267"/>
        </w:trPr>
        <w:tc>
          <w:tcPr>
            <w:tcW w:w="1701" w:type="dxa"/>
            <w:vMerge/>
            <w:tcBorders>
              <w:top w:val="nil"/>
            </w:tcBorders>
            <w:vAlign w:val="center"/>
          </w:tcPr>
          <w:p w14:paraId="679366E4"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1CDF2D92"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38E3ED5E" w14:textId="77777777" w:rsidR="00AC4817" w:rsidRPr="00100E35" w:rsidRDefault="00AC4817" w:rsidP="00E76CEA">
            <w:pPr>
              <w:widowControl w:val="0"/>
              <w:autoSpaceDE w:val="0"/>
              <w:autoSpaceDN w:val="0"/>
              <w:ind w:left="109"/>
              <w:rPr>
                <w:rFonts w:asciiTheme="majorBidi" w:eastAsia="Times New Roman" w:hAnsiTheme="majorBidi" w:cstheme="majorBidi"/>
                <w:sz w:val="20"/>
                <w:lang w:val="fr-FR"/>
              </w:rPr>
            </w:pPr>
            <w:r w:rsidRPr="00100E35">
              <w:rPr>
                <w:rFonts w:asciiTheme="majorBidi" w:hAnsiTheme="majorBidi"/>
                <w:sz w:val="20"/>
                <w:lang w:val="fr-FR"/>
              </w:rPr>
              <w:t>Les critiques formulées par le milieu académique et les spécialistes de la branche relèvent les lacunes structurelles du modèle au prorata que les plateformes numériques mondiales utilisent pour distribuer les redevances.</w:t>
            </w:r>
          </w:p>
        </w:tc>
        <w:tc>
          <w:tcPr>
            <w:tcW w:w="1580" w:type="dxa"/>
            <w:vAlign w:val="center"/>
          </w:tcPr>
          <w:p w14:paraId="1B15F2E3" w14:textId="2419B8B9" w:rsidR="00AC4817" w:rsidRPr="00100E35" w:rsidRDefault="00AC4817" w:rsidP="00E76CEA">
            <w:pPr>
              <w:widowControl w:val="0"/>
              <w:autoSpaceDE w:val="0"/>
              <w:autoSpaceDN w:val="0"/>
              <w:spacing w:before="130"/>
              <w:ind w:left="96" w:right="97"/>
              <w:jc w:val="center"/>
              <w:rPr>
                <w:rFonts w:asciiTheme="majorBidi" w:eastAsia="Times New Roman" w:hAnsiTheme="majorBidi" w:cstheme="majorBidi"/>
                <w:sz w:val="20"/>
                <w:lang w:val="fr-FR"/>
              </w:rPr>
            </w:pPr>
            <w:r w:rsidRPr="00100E35">
              <w:rPr>
                <w:rFonts w:asciiTheme="majorBidi" w:hAnsiTheme="majorBidi"/>
                <w:sz w:val="20"/>
                <w:lang w:val="fr-FR"/>
              </w:rPr>
              <w:t>Union européenne, Royaume</w:t>
            </w:r>
            <w:r w:rsidR="00100E35">
              <w:rPr>
                <w:rFonts w:asciiTheme="majorBidi" w:hAnsiTheme="majorBidi"/>
                <w:sz w:val="20"/>
                <w:lang w:val="fr-FR"/>
              </w:rPr>
              <w:t>-</w:t>
            </w:r>
            <w:r w:rsidRPr="00100E35">
              <w:rPr>
                <w:rFonts w:asciiTheme="majorBidi" w:hAnsiTheme="majorBidi"/>
                <w:sz w:val="20"/>
                <w:lang w:val="fr-FR"/>
              </w:rPr>
              <w:t>Uni et États</w:t>
            </w:r>
            <w:r w:rsidR="00100E35">
              <w:rPr>
                <w:rFonts w:asciiTheme="majorBidi" w:hAnsiTheme="majorBidi"/>
                <w:sz w:val="20"/>
                <w:lang w:val="fr-FR"/>
              </w:rPr>
              <w:t>-</w:t>
            </w:r>
            <w:r w:rsidRPr="00100E35">
              <w:rPr>
                <w:rFonts w:asciiTheme="majorBidi" w:hAnsiTheme="majorBidi"/>
                <w:sz w:val="20"/>
                <w:lang w:val="fr-FR"/>
              </w:rPr>
              <w:t>Unis d</w:t>
            </w:r>
            <w:r w:rsidR="00100E35">
              <w:rPr>
                <w:rFonts w:asciiTheme="majorBidi" w:hAnsiTheme="majorBidi"/>
                <w:sz w:val="20"/>
                <w:lang w:val="fr-FR"/>
              </w:rPr>
              <w:t>’</w:t>
            </w:r>
            <w:r w:rsidRPr="00100E35">
              <w:rPr>
                <w:rFonts w:asciiTheme="majorBidi" w:hAnsiTheme="majorBidi"/>
                <w:sz w:val="20"/>
                <w:lang w:val="fr-FR"/>
              </w:rPr>
              <w:t>Amérique</w:t>
            </w:r>
          </w:p>
        </w:tc>
        <w:tc>
          <w:tcPr>
            <w:tcW w:w="1907" w:type="dxa"/>
            <w:vAlign w:val="center"/>
          </w:tcPr>
          <w:p w14:paraId="3413A9BC" w14:textId="7E5C2910" w:rsidR="00AC4817" w:rsidRPr="00100E35" w:rsidRDefault="00AC4817" w:rsidP="00E76CEA">
            <w:pPr>
              <w:widowControl w:val="0"/>
              <w:autoSpaceDE w:val="0"/>
              <w:autoSpaceDN w:val="0"/>
              <w:spacing w:before="1"/>
              <w:ind w:left="205" w:right="195"/>
              <w:jc w:val="center"/>
              <w:rPr>
                <w:rFonts w:asciiTheme="majorBidi" w:eastAsia="Times New Roman" w:hAnsiTheme="majorBidi" w:cstheme="majorBidi"/>
                <w:i/>
                <w:sz w:val="20"/>
                <w:lang w:val="fr-FR"/>
              </w:rPr>
            </w:pPr>
            <w:r w:rsidRPr="00100E35">
              <w:rPr>
                <w:rFonts w:asciiTheme="majorBidi" w:hAnsiTheme="majorBidi"/>
                <w:sz w:val="20"/>
                <w:lang w:val="fr-FR"/>
              </w:rPr>
              <w:t>Directives 2014/26/UE, loi américaine sur le droit d</w:t>
            </w:r>
            <w:r w:rsidR="00100E35">
              <w:rPr>
                <w:rFonts w:asciiTheme="majorBidi" w:hAnsiTheme="majorBidi"/>
                <w:sz w:val="20"/>
                <w:lang w:val="fr-FR"/>
              </w:rPr>
              <w:t>’</w:t>
            </w:r>
            <w:r w:rsidRPr="00100E35">
              <w:rPr>
                <w:rFonts w:asciiTheme="majorBidi" w:hAnsiTheme="majorBidi"/>
                <w:sz w:val="20"/>
                <w:lang w:val="fr-FR"/>
              </w:rPr>
              <w:t>auteur, loi britannique sur le droit d</w:t>
            </w:r>
            <w:r w:rsidR="00100E35">
              <w:rPr>
                <w:rFonts w:asciiTheme="majorBidi" w:hAnsiTheme="majorBidi"/>
                <w:sz w:val="20"/>
                <w:lang w:val="fr-FR"/>
              </w:rPr>
              <w:t>’</w:t>
            </w:r>
            <w:r w:rsidRPr="00100E35">
              <w:rPr>
                <w:rFonts w:asciiTheme="majorBidi" w:hAnsiTheme="majorBidi"/>
                <w:sz w:val="20"/>
                <w:lang w:val="fr-FR"/>
              </w:rPr>
              <w:t>auteur</w:t>
            </w:r>
          </w:p>
        </w:tc>
      </w:tr>
      <w:tr w:rsidR="00AC4817" w:rsidRPr="00100E35" w14:paraId="4504EC8C" w14:textId="77777777" w:rsidTr="00964C4C">
        <w:trPr>
          <w:trHeight w:val="758"/>
        </w:trPr>
        <w:tc>
          <w:tcPr>
            <w:tcW w:w="1701" w:type="dxa"/>
            <w:vAlign w:val="center"/>
          </w:tcPr>
          <w:p w14:paraId="0C37A4BB" w14:textId="72BAED1E"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Centralisation d</w:t>
            </w:r>
            <w:r w:rsidR="00100E35">
              <w:rPr>
                <w:rFonts w:asciiTheme="majorBidi" w:hAnsiTheme="majorBidi"/>
                <w:sz w:val="20"/>
                <w:lang w:val="fr-FR"/>
              </w:rPr>
              <w:t>’</w:t>
            </w:r>
            <w:r w:rsidRPr="00100E35">
              <w:rPr>
                <w:rFonts w:asciiTheme="majorBidi" w:hAnsiTheme="majorBidi"/>
                <w:sz w:val="20"/>
                <w:lang w:val="fr-FR"/>
              </w:rPr>
              <w:t>une base de données mondiale sur le droit d</w:t>
            </w:r>
            <w:r w:rsidR="00100E35">
              <w:rPr>
                <w:rFonts w:asciiTheme="majorBidi" w:hAnsiTheme="majorBidi"/>
                <w:sz w:val="20"/>
                <w:lang w:val="fr-FR"/>
              </w:rPr>
              <w:t>’</w:t>
            </w:r>
            <w:r w:rsidRPr="00100E35">
              <w:rPr>
                <w:rFonts w:asciiTheme="majorBidi" w:hAnsiTheme="majorBidi"/>
                <w:sz w:val="20"/>
                <w:lang w:val="fr-FR"/>
              </w:rPr>
              <w:t>auteur</w:t>
            </w:r>
          </w:p>
        </w:tc>
        <w:tc>
          <w:tcPr>
            <w:tcW w:w="1522" w:type="dxa"/>
            <w:vAlign w:val="center"/>
          </w:tcPr>
          <w:p w14:paraId="4DB74278" w14:textId="77777777"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Équité et inclusivité</w:t>
            </w:r>
          </w:p>
        </w:tc>
        <w:tc>
          <w:tcPr>
            <w:tcW w:w="7394" w:type="dxa"/>
            <w:vAlign w:val="center"/>
          </w:tcPr>
          <w:p w14:paraId="0A7DD9B4" w14:textId="72B8071E" w:rsidR="00AC4817" w:rsidRPr="00100E35" w:rsidRDefault="00AC4817" w:rsidP="00E76CEA">
            <w:pPr>
              <w:widowControl w:val="0"/>
              <w:autoSpaceDE w:val="0"/>
              <w:autoSpaceDN w:val="0"/>
              <w:spacing w:before="1"/>
              <w:ind w:left="109"/>
              <w:rPr>
                <w:rFonts w:asciiTheme="majorBidi" w:eastAsia="Times New Roman" w:hAnsiTheme="majorBidi" w:cstheme="majorBidi"/>
                <w:sz w:val="20"/>
                <w:lang w:val="fr-FR"/>
              </w:rPr>
            </w:pPr>
            <w:r w:rsidRPr="00100E35">
              <w:rPr>
                <w:rFonts w:asciiTheme="majorBidi" w:hAnsiTheme="majorBidi"/>
                <w:sz w:val="20"/>
                <w:lang w:val="fr-FR"/>
              </w:rPr>
              <w:t>Disparités quant à la capacité des organisations de gestion collective d</w:t>
            </w:r>
            <w:r w:rsidR="00100E35">
              <w:rPr>
                <w:rFonts w:asciiTheme="majorBidi" w:hAnsiTheme="majorBidi"/>
                <w:sz w:val="20"/>
                <w:lang w:val="fr-FR"/>
              </w:rPr>
              <w:t>’</w:t>
            </w:r>
            <w:r w:rsidRPr="00100E35">
              <w:rPr>
                <w:rFonts w:asciiTheme="majorBidi" w:hAnsiTheme="majorBidi"/>
                <w:sz w:val="20"/>
                <w:lang w:val="fr-FR"/>
              </w:rPr>
              <w:t>adopter et de mettre en œuvre des systèmes technologiques normalisés pour la gestion du répertoire</w:t>
            </w:r>
          </w:p>
        </w:tc>
        <w:tc>
          <w:tcPr>
            <w:tcW w:w="1580" w:type="dxa"/>
            <w:vAlign w:val="center"/>
          </w:tcPr>
          <w:p w14:paraId="19157548" w14:textId="173B8312"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Union</w:t>
            </w:r>
            <w:r w:rsidR="00964C4C">
              <w:rPr>
                <w:rFonts w:asciiTheme="majorBidi" w:hAnsiTheme="majorBidi"/>
                <w:sz w:val="20"/>
                <w:lang w:val="fr-FR"/>
              </w:rPr>
              <w:br/>
            </w:r>
            <w:r w:rsidRPr="00100E35">
              <w:rPr>
                <w:rFonts w:asciiTheme="majorBidi" w:hAnsiTheme="majorBidi"/>
                <w:sz w:val="20"/>
                <w:lang w:val="fr-FR"/>
              </w:rPr>
              <w:t>européenne</w:t>
            </w:r>
          </w:p>
        </w:tc>
        <w:tc>
          <w:tcPr>
            <w:tcW w:w="1907" w:type="dxa"/>
            <w:vAlign w:val="center"/>
          </w:tcPr>
          <w:p w14:paraId="6741090C" w14:textId="1E2F0C33"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Directives</w:t>
            </w:r>
            <w:r w:rsidR="00964C4C">
              <w:rPr>
                <w:rFonts w:asciiTheme="majorBidi" w:hAnsiTheme="majorBidi"/>
                <w:sz w:val="20"/>
                <w:lang w:val="fr-FR"/>
              </w:rPr>
              <w:br/>
            </w:r>
            <w:r w:rsidRPr="00100E35">
              <w:rPr>
                <w:rFonts w:asciiTheme="majorBidi" w:hAnsiTheme="majorBidi"/>
                <w:sz w:val="20"/>
                <w:lang w:val="fr-FR"/>
              </w:rPr>
              <w:t>2014/26/UE</w:t>
            </w:r>
          </w:p>
        </w:tc>
      </w:tr>
      <w:tr w:rsidR="00AC4817" w:rsidRPr="00100E35" w14:paraId="3526FB42" w14:textId="77777777" w:rsidTr="00964C4C">
        <w:trPr>
          <w:trHeight w:val="1800"/>
        </w:trPr>
        <w:tc>
          <w:tcPr>
            <w:tcW w:w="1701" w:type="dxa"/>
            <w:vMerge w:val="restart"/>
            <w:vAlign w:val="center"/>
          </w:tcPr>
          <w:p w14:paraId="153F9A65"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522" w:type="dxa"/>
            <w:vAlign w:val="center"/>
          </w:tcPr>
          <w:p w14:paraId="4412CE03"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7394" w:type="dxa"/>
            <w:vAlign w:val="center"/>
          </w:tcPr>
          <w:p w14:paraId="20762135" w14:textId="77777777" w:rsidR="00AC4817" w:rsidRPr="00100E35" w:rsidRDefault="00AC4817" w:rsidP="00AC4817">
            <w:pPr>
              <w:widowControl w:val="0"/>
              <w:numPr>
                <w:ilvl w:val="0"/>
                <w:numId w:val="8"/>
              </w:numPr>
              <w:tabs>
                <w:tab w:val="left" w:pos="470"/>
              </w:tabs>
              <w:autoSpaceDE w:val="0"/>
              <w:autoSpaceDN w:val="0"/>
              <w:spacing w:before="27" w:after="240" w:line="225" w:lineRule="auto"/>
              <w:ind w:right="101"/>
              <w:jc w:val="both"/>
              <w:rPr>
                <w:rFonts w:asciiTheme="majorBidi" w:eastAsia="Times New Roman" w:hAnsiTheme="majorBidi" w:cstheme="majorBidi"/>
                <w:sz w:val="20"/>
                <w:lang w:val="fr-FR"/>
              </w:rPr>
            </w:pPr>
            <w:r w:rsidRPr="00100E35">
              <w:rPr>
                <w:rFonts w:asciiTheme="majorBidi" w:hAnsiTheme="majorBidi"/>
                <w:sz w:val="20"/>
                <w:lang w:val="fr-FR"/>
              </w:rPr>
              <w:t>Capacité limitée des organisations de gestion collective, les privant de données consolidées fiables.</w:t>
            </w:r>
          </w:p>
          <w:p w14:paraId="6EE4B91B" w14:textId="51A4D53B" w:rsidR="00AC4817" w:rsidRPr="00100E35" w:rsidRDefault="00AC4817" w:rsidP="00AC4817">
            <w:pPr>
              <w:widowControl w:val="0"/>
              <w:numPr>
                <w:ilvl w:val="0"/>
                <w:numId w:val="8"/>
              </w:numPr>
              <w:tabs>
                <w:tab w:val="left" w:pos="470"/>
              </w:tabs>
              <w:autoSpaceDE w:val="0"/>
              <w:autoSpaceDN w:val="0"/>
              <w:spacing w:before="21" w:after="240" w:line="235" w:lineRule="auto"/>
              <w:ind w:right="97"/>
              <w:jc w:val="both"/>
              <w:rPr>
                <w:rFonts w:asciiTheme="majorBidi" w:eastAsia="Times New Roman" w:hAnsiTheme="majorBidi" w:cstheme="majorBidi"/>
                <w:sz w:val="20"/>
                <w:lang w:val="fr-FR"/>
              </w:rPr>
            </w:pPr>
            <w:r w:rsidRPr="00100E35">
              <w:rPr>
                <w:rFonts w:asciiTheme="majorBidi" w:hAnsiTheme="majorBidi"/>
                <w:sz w:val="20"/>
                <w:lang w:val="fr-FR"/>
              </w:rPr>
              <w:t>Dans une perspective sectorielle, les organisations de gestion collective indonésiennes ne se sont pas encore suffisamment rapprochées des normes internationales établi</w:t>
            </w:r>
            <w:r w:rsidR="007A1AE9" w:rsidRPr="00100E35">
              <w:rPr>
                <w:rFonts w:asciiTheme="majorBidi" w:hAnsiTheme="majorBidi"/>
                <w:sz w:val="20"/>
                <w:lang w:val="fr-FR"/>
              </w:rPr>
              <w:t>es</w:t>
            </w:r>
            <w:r w:rsidR="007A1AE9">
              <w:rPr>
                <w:rFonts w:asciiTheme="majorBidi" w:hAnsiTheme="majorBidi"/>
                <w:sz w:val="20"/>
                <w:lang w:val="fr-FR"/>
              </w:rPr>
              <w:t xml:space="preserve">.  </w:t>
            </w:r>
            <w:r w:rsidR="007A1AE9" w:rsidRPr="00100E35">
              <w:rPr>
                <w:rFonts w:asciiTheme="majorBidi" w:hAnsiTheme="majorBidi"/>
                <w:sz w:val="20"/>
                <w:lang w:val="fr-FR"/>
              </w:rPr>
              <w:t>Le</w:t>
            </w:r>
            <w:r w:rsidRPr="00100E35">
              <w:rPr>
                <w:rFonts w:asciiTheme="majorBidi" w:hAnsiTheme="majorBidi"/>
                <w:sz w:val="20"/>
                <w:lang w:val="fr-FR"/>
              </w:rPr>
              <w:t xml:space="preserve"> constat de cette lacune a donné la possibilité à des entités étrangères de devenir les représentantes des œuvres musicales indonésiennes au niveau régional dans la région Asie</w:t>
            </w:r>
            <w:r w:rsidR="00100E35">
              <w:rPr>
                <w:rFonts w:asciiTheme="majorBidi" w:hAnsiTheme="majorBidi"/>
                <w:sz w:val="20"/>
                <w:lang w:val="fr-FR"/>
              </w:rPr>
              <w:t>-</w:t>
            </w:r>
            <w:r w:rsidRPr="00100E35">
              <w:rPr>
                <w:rFonts w:asciiTheme="majorBidi" w:hAnsiTheme="majorBidi"/>
                <w:sz w:val="20"/>
                <w:lang w:val="fr-FR"/>
              </w:rPr>
              <w:t>Pacifique.</w:t>
            </w:r>
          </w:p>
        </w:tc>
        <w:tc>
          <w:tcPr>
            <w:tcW w:w="1580" w:type="dxa"/>
            <w:vAlign w:val="center"/>
          </w:tcPr>
          <w:p w14:paraId="579E2C41" w14:textId="77777777" w:rsidR="00AC4817" w:rsidRPr="00100E35" w:rsidRDefault="00AC4817" w:rsidP="00E76CEA">
            <w:pPr>
              <w:widowControl w:val="0"/>
              <w:autoSpaceDE w:val="0"/>
              <w:autoSpaceDN w:val="0"/>
              <w:ind w:left="97" w:right="97"/>
              <w:jc w:val="center"/>
              <w:rPr>
                <w:rFonts w:asciiTheme="majorBidi" w:eastAsia="Times New Roman" w:hAnsiTheme="majorBidi" w:cstheme="majorBidi"/>
                <w:sz w:val="20"/>
                <w:lang w:val="fr-FR"/>
              </w:rPr>
            </w:pPr>
            <w:r w:rsidRPr="00100E35">
              <w:rPr>
                <w:rFonts w:asciiTheme="majorBidi" w:hAnsiTheme="majorBidi"/>
                <w:sz w:val="20"/>
                <w:lang w:val="fr-FR"/>
              </w:rPr>
              <w:t>Indonésie, Asie</w:t>
            </w:r>
          </w:p>
        </w:tc>
        <w:tc>
          <w:tcPr>
            <w:tcW w:w="1907" w:type="dxa"/>
            <w:vAlign w:val="center"/>
          </w:tcPr>
          <w:p w14:paraId="6A14A5BC" w14:textId="77777777" w:rsidR="00AC4817" w:rsidRPr="00100E35" w:rsidRDefault="00AC4817" w:rsidP="00E76CEA">
            <w:pPr>
              <w:widowControl w:val="0"/>
              <w:autoSpaceDE w:val="0"/>
              <w:autoSpaceDN w:val="0"/>
              <w:ind w:left="205" w:right="195"/>
              <w:jc w:val="center"/>
              <w:rPr>
                <w:rFonts w:asciiTheme="majorBidi" w:eastAsia="Times New Roman" w:hAnsiTheme="majorBidi" w:cstheme="majorBidi"/>
                <w:sz w:val="20"/>
                <w:lang w:val="fr-FR"/>
              </w:rPr>
            </w:pPr>
            <w:r w:rsidRPr="00100E35">
              <w:rPr>
                <w:rFonts w:asciiTheme="majorBidi" w:hAnsiTheme="majorBidi"/>
                <w:sz w:val="20"/>
                <w:lang w:val="fr-FR"/>
              </w:rPr>
              <w:t>PP 56/2021</w:t>
            </w:r>
          </w:p>
        </w:tc>
      </w:tr>
      <w:tr w:rsidR="00AC4817" w:rsidRPr="00100E35" w14:paraId="4011E329" w14:textId="77777777" w:rsidTr="00964C4C">
        <w:trPr>
          <w:trHeight w:val="508"/>
        </w:trPr>
        <w:tc>
          <w:tcPr>
            <w:tcW w:w="1701" w:type="dxa"/>
            <w:vMerge/>
            <w:tcBorders>
              <w:top w:val="nil"/>
            </w:tcBorders>
            <w:vAlign w:val="center"/>
          </w:tcPr>
          <w:p w14:paraId="3381E446"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val="restart"/>
            <w:vAlign w:val="center"/>
          </w:tcPr>
          <w:p w14:paraId="191F2E58" w14:textId="77777777" w:rsidR="00AC4817" w:rsidRPr="00100E35" w:rsidRDefault="00AC4817" w:rsidP="00E76CEA">
            <w:pPr>
              <w:widowControl w:val="0"/>
              <w:autoSpaceDE w:val="0"/>
              <w:autoSpaceDN w:val="0"/>
              <w:ind w:left="162"/>
              <w:rPr>
                <w:rFonts w:asciiTheme="majorBidi" w:eastAsia="Times New Roman" w:hAnsiTheme="majorBidi" w:cstheme="majorBidi"/>
                <w:sz w:val="20"/>
                <w:lang w:val="fr-FR"/>
              </w:rPr>
            </w:pPr>
            <w:r w:rsidRPr="00100E35">
              <w:rPr>
                <w:rFonts w:asciiTheme="majorBidi" w:hAnsiTheme="majorBidi"/>
                <w:sz w:val="20"/>
                <w:lang w:val="fr-FR"/>
              </w:rPr>
              <w:t>Transparence</w:t>
            </w:r>
          </w:p>
        </w:tc>
        <w:tc>
          <w:tcPr>
            <w:tcW w:w="7394" w:type="dxa"/>
            <w:vAlign w:val="center"/>
          </w:tcPr>
          <w:p w14:paraId="5C41A26F" w14:textId="77777777" w:rsidR="00AC4817" w:rsidRPr="00100E35" w:rsidRDefault="00AC4817" w:rsidP="00E76CEA">
            <w:pPr>
              <w:widowControl w:val="0"/>
              <w:autoSpaceDE w:val="0"/>
              <w:autoSpaceDN w:val="0"/>
              <w:spacing w:line="254" w:lineRule="exact"/>
              <w:ind w:left="109"/>
              <w:rPr>
                <w:rFonts w:asciiTheme="majorBidi" w:eastAsia="Times New Roman" w:hAnsiTheme="majorBidi" w:cstheme="majorBidi"/>
                <w:sz w:val="20"/>
                <w:lang w:val="fr-FR"/>
              </w:rPr>
            </w:pPr>
            <w:r w:rsidRPr="00100E35">
              <w:rPr>
                <w:rFonts w:asciiTheme="majorBidi" w:hAnsiTheme="majorBidi"/>
                <w:sz w:val="20"/>
                <w:lang w:val="fr-FR"/>
              </w:rPr>
              <w:t>La fragmentation des répertoires complique le rapprochement des métadonnées sur les œuvres musicales, qui servent de base pour la collecte des redevances.</w:t>
            </w:r>
          </w:p>
        </w:tc>
        <w:tc>
          <w:tcPr>
            <w:tcW w:w="1580" w:type="dxa"/>
            <w:vAlign w:val="center"/>
          </w:tcPr>
          <w:p w14:paraId="5D016C91" w14:textId="00C37FA0"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Union</w:t>
            </w:r>
            <w:r w:rsidR="00964C4C">
              <w:rPr>
                <w:rFonts w:asciiTheme="majorBidi" w:hAnsiTheme="majorBidi"/>
                <w:sz w:val="20"/>
                <w:lang w:val="fr-FR"/>
              </w:rPr>
              <w:br/>
            </w:r>
            <w:r w:rsidRPr="00100E35">
              <w:rPr>
                <w:rFonts w:asciiTheme="majorBidi" w:hAnsiTheme="majorBidi"/>
                <w:sz w:val="20"/>
                <w:lang w:val="fr-FR"/>
              </w:rPr>
              <w:t>européenne</w:t>
            </w:r>
          </w:p>
        </w:tc>
        <w:tc>
          <w:tcPr>
            <w:tcW w:w="1907" w:type="dxa"/>
            <w:vAlign w:val="center"/>
          </w:tcPr>
          <w:p w14:paraId="1AAED444" w14:textId="5E2CE3E8"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Directives</w:t>
            </w:r>
            <w:r w:rsidR="00964C4C">
              <w:rPr>
                <w:rFonts w:asciiTheme="majorBidi" w:hAnsiTheme="majorBidi"/>
                <w:sz w:val="20"/>
                <w:lang w:val="fr-FR"/>
              </w:rPr>
              <w:br/>
            </w:r>
            <w:r w:rsidRPr="00100E35">
              <w:rPr>
                <w:rFonts w:asciiTheme="majorBidi" w:hAnsiTheme="majorBidi"/>
                <w:sz w:val="20"/>
                <w:lang w:val="fr-FR"/>
              </w:rPr>
              <w:t>2014/26/UE</w:t>
            </w:r>
          </w:p>
        </w:tc>
      </w:tr>
      <w:tr w:rsidR="00AC4817" w:rsidRPr="00100E35" w14:paraId="0BAFCA65" w14:textId="77777777" w:rsidTr="00964C4C">
        <w:trPr>
          <w:trHeight w:val="504"/>
        </w:trPr>
        <w:tc>
          <w:tcPr>
            <w:tcW w:w="1701" w:type="dxa"/>
            <w:vMerge/>
            <w:tcBorders>
              <w:top w:val="nil"/>
            </w:tcBorders>
            <w:vAlign w:val="center"/>
          </w:tcPr>
          <w:p w14:paraId="0944670D"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1522" w:type="dxa"/>
            <w:vMerge/>
            <w:tcBorders>
              <w:top w:val="nil"/>
            </w:tcBorders>
            <w:vAlign w:val="center"/>
          </w:tcPr>
          <w:p w14:paraId="20321852" w14:textId="77777777" w:rsidR="00AC4817" w:rsidRPr="00100E35" w:rsidRDefault="00AC4817" w:rsidP="00E76CEA">
            <w:pPr>
              <w:spacing w:before="180" w:after="240"/>
              <w:rPr>
                <w:rFonts w:asciiTheme="majorBidi" w:eastAsia="Aptos" w:hAnsiTheme="majorBidi" w:cstheme="majorBidi"/>
                <w:kern w:val="2"/>
                <w:sz w:val="20"/>
                <w:lang w:val="fr-FR" w:eastAsia="en-US"/>
                <w14:ligatures w14:val="standardContextual"/>
              </w:rPr>
            </w:pPr>
          </w:p>
        </w:tc>
        <w:tc>
          <w:tcPr>
            <w:tcW w:w="7394" w:type="dxa"/>
            <w:vAlign w:val="center"/>
          </w:tcPr>
          <w:p w14:paraId="3CDBB6EA" w14:textId="44AC21AD" w:rsidR="00AC4817" w:rsidRPr="00100E35" w:rsidRDefault="00AC4817" w:rsidP="00E76CEA">
            <w:pPr>
              <w:widowControl w:val="0"/>
              <w:autoSpaceDE w:val="0"/>
              <w:autoSpaceDN w:val="0"/>
              <w:spacing w:line="250" w:lineRule="exact"/>
              <w:ind w:left="109"/>
              <w:rPr>
                <w:rFonts w:asciiTheme="majorBidi" w:eastAsia="Times New Roman" w:hAnsiTheme="majorBidi" w:cstheme="majorBidi"/>
                <w:sz w:val="20"/>
                <w:lang w:val="fr-FR"/>
              </w:rPr>
            </w:pPr>
            <w:r w:rsidRPr="00100E35">
              <w:rPr>
                <w:rFonts w:asciiTheme="majorBidi" w:hAnsiTheme="majorBidi"/>
                <w:sz w:val="20"/>
                <w:lang w:val="fr-FR"/>
              </w:rPr>
              <w:t>Demande accrue en faveur de la création d</w:t>
            </w:r>
            <w:r w:rsidR="00100E35">
              <w:rPr>
                <w:rFonts w:asciiTheme="majorBidi" w:hAnsiTheme="majorBidi"/>
                <w:sz w:val="20"/>
                <w:lang w:val="fr-FR"/>
              </w:rPr>
              <w:t>’</w:t>
            </w:r>
            <w:r w:rsidRPr="00100E35">
              <w:rPr>
                <w:rFonts w:asciiTheme="majorBidi" w:hAnsiTheme="majorBidi"/>
                <w:sz w:val="20"/>
                <w:lang w:val="fr-FR"/>
              </w:rPr>
              <w:t>une base de données des œuvres musicales en accès libre comme le préconise l</w:t>
            </w:r>
            <w:r w:rsidR="00100E35">
              <w:rPr>
                <w:rFonts w:asciiTheme="majorBidi" w:hAnsiTheme="majorBidi"/>
                <w:sz w:val="20"/>
                <w:lang w:val="fr-FR"/>
              </w:rPr>
              <w:t>’</w:t>
            </w:r>
            <w:r w:rsidRPr="00100E35">
              <w:rPr>
                <w:rFonts w:asciiTheme="majorBidi" w:hAnsiTheme="majorBidi"/>
                <w:sz w:val="20"/>
                <w:lang w:val="fr-FR"/>
              </w:rPr>
              <w:t>Open Music Initiative</w:t>
            </w:r>
            <w:r w:rsidR="00964C4C">
              <w:rPr>
                <w:rFonts w:asciiTheme="majorBidi" w:hAnsiTheme="majorBidi"/>
                <w:sz w:val="20"/>
                <w:lang w:val="fr-FR"/>
              </w:rPr>
              <w:t>.</w:t>
            </w:r>
          </w:p>
        </w:tc>
        <w:tc>
          <w:tcPr>
            <w:tcW w:w="1580" w:type="dxa"/>
            <w:vAlign w:val="center"/>
          </w:tcPr>
          <w:p w14:paraId="54050087" w14:textId="70666ABD" w:rsidR="00AC4817" w:rsidRPr="00100E35" w:rsidRDefault="00AC4817" w:rsidP="00E76CEA">
            <w:pPr>
              <w:widowControl w:val="0"/>
              <w:autoSpaceDE w:val="0"/>
              <w:autoSpaceDN w:val="0"/>
              <w:spacing w:before="125"/>
              <w:ind w:left="97" w:right="96"/>
              <w:jc w:val="center"/>
              <w:rPr>
                <w:rFonts w:asciiTheme="majorBidi" w:eastAsia="Times New Roman" w:hAnsiTheme="majorBidi" w:cstheme="majorBidi"/>
                <w:sz w:val="20"/>
                <w:lang w:val="fr-FR"/>
              </w:rPr>
            </w:pPr>
            <w:r w:rsidRPr="00100E35">
              <w:rPr>
                <w:rFonts w:asciiTheme="majorBidi" w:hAnsiTheme="majorBidi"/>
                <w:sz w:val="20"/>
                <w:lang w:val="fr-FR"/>
              </w:rPr>
              <w:t>États</w:t>
            </w:r>
            <w:r w:rsidR="00100E35">
              <w:rPr>
                <w:rFonts w:asciiTheme="majorBidi" w:hAnsiTheme="majorBidi"/>
                <w:sz w:val="20"/>
                <w:lang w:val="fr-FR"/>
              </w:rPr>
              <w:t>-</w:t>
            </w:r>
            <w:r w:rsidRPr="00100E35">
              <w:rPr>
                <w:rFonts w:asciiTheme="majorBidi" w:hAnsiTheme="majorBidi"/>
                <w:sz w:val="20"/>
                <w:lang w:val="fr-FR"/>
              </w:rPr>
              <w:t>Unis d</w:t>
            </w:r>
            <w:r w:rsidR="00100E35">
              <w:rPr>
                <w:rFonts w:asciiTheme="majorBidi" w:hAnsiTheme="majorBidi"/>
                <w:sz w:val="20"/>
                <w:lang w:val="fr-FR"/>
              </w:rPr>
              <w:t>’</w:t>
            </w:r>
            <w:r w:rsidRPr="00100E35">
              <w:rPr>
                <w:rFonts w:asciiTheme="majorBidi" w:hAnsiTheme="majorBidi"/>
                <w:sz w:val="20"/>
                <w:lang w:val="fr-FR"/>
              </w:rPr>
              <w:t>Amérique</w:t>
            </w:r>
          </w:p>
        </w:tc>
        <w:tc>
          <w:tcPr>
            <w:tcW w:w="1907" w:type="dxa"/>
            <w:vAlign w:val="center"/>
          </w:tcPr>
          <w:p w14:paraId="5EF22CDC" w14:textId="0C5BA761" w:rsidR="00AC4817" w:rsidRPr="00100E35" w:rsidRDefault="00AC4817" w:rsidP="00E76CEA">
            <w:pPr>
              <w:widowControl w:val="0"/>
              <w:autoSpaceDE w:val="0"/>
              <w:autoSpaceDN w:val="0"/>
              <w:spacing w:before="125"/>
              <w:ind w:left="114" w:right="101"/>
              <w:jc w:val="center"/>
              <w:rPr>
                <w:rFonts w:asciiTheme="majorBidi" w:eastAsia="Times New Roman" w:hAnsiTheme="majorBidi" w:cstheme="majorBidi"/>
                <w:i/>
                <w:sz w:val="20"/>
                <w:lang w:val="fr-FR"/>
              </w:rPr>
            </w:pPr>
            <w:r w:rsidRPr="00100E35">
              <w:rPr>
                <w:rFonts w:asciiTheme="majorBidi" w:hAnsiTheme="majorBidi"/>
                <w:sz w:val="20"/>
                <w:lang w:val="fr-FR"/>
              </w:rPr>
              <w:t>Loi américaine sur le droit d</w:t>
            </w:r>
            <w:r w:rsidR="00100E35">
              <w:rPr>
                <w:rFonts w:asciiTheme="majorBidi" w:hAnsiTheme="majorBidi"/>
                <w:sz w:val="20"/>
                <w:lang w:val="fr-FR"/>
              </w:rPr>
              <w:t>’</w:t>
            </w:r>
            <w:r w:rsidRPr="00100E35">
              <w:rPr>
                <w:rFonts w:asciiTheme="majorBidi" w:hAnsiTheme="majorBidi"/>
                <w:sz w:val="20"/>
                <w:lang w:val="fr-FR"/>
              </w:rPr>
              <w:t>auteur</w:t>
            </w:r>
          </w:p>
        </w:tc>
      </w:tr>
      <w:tr w:rsidR="00AC4817" w:rsidRPr="00100E35" w14:paraId="4ED5C956" w14:textId="77777777" w:rsidTr="00964C4C">
        <w:trPr>
          <w:trHeight w:val="762"/>
        </w:trPr>
        <w:tc>
          <w:tcPr>
            <w:tcW w:w="1701" w:type="dxa"/>
            <w:vAlign w:val="center"/>
          </w:tcPr>
          <w:p w14:paraId="71F42954" w14:textId="768B0F47"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Disparités dans l</w:t>
            </w:r>
            <w:r w:rsidR="00100E35">
              <w:rPr>
                <w:rFonts w:asciiTheme="majorBidi" w:hAnsiTheme="majorBidi"/>
                <w:sz w:val="20"/>
                <w:lang w:val="fr-FR"/>
              </w:rPr>
              <w:t>’</w:t>
            </w:r>
            <w:r w:rsidRPr="00100E35">
              <w:rPr>
                <w:rFonts w:asciiTheme="majorBidi" w:hAnsiTheme="majorBidi"/>
                <w:sz w:val="20"/>
                <w:lang w:val="fr-FR"/>
              </w:rPr>
              <w:t>évaluation des redevances de droit d</w:t>
            </w:r>
            <w:r w:rsidR="00100E35">
              <w:rPr>
                <w:rFonts w:asciiTheme="majorBidi" w:hAnsiTheme="majorBidi"/>
                <w:sz w:val="20"/>
                <w:lang w:val="fr-FR"/>
              </w:rPr>
              <w:t>’</w:t>
            </w:r>
            <w:r w:rsidRPr="00100E35">
              <w:rPr>
                <w:rFonts w:asciiTheme="majorBidi" w:hAnsiTheme="majorBidi"/>
                <w:sz w:val="20"/>
                <w:lang w:val="fr-FR"/>
              </w:rPr>
              <w:t>auteur</w:t>
            </w:r>
          </w:p>
        </w:tc>
        <w:tc>
          <w:tcPr>
            <w:tcW w:w="1522" w:type="dxa"/>
            <w:vAlign w:val="center"/>
          </w:tcPr>
          <w:p w14:paraId="3EE274E6" w14:textId="77777777" w:rsidR="00AC4817" w:rsidRPr="00964C4C" w:rsidRDefault="00AC4817" w:rsidP="00964C4C">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Équité et inclusivité</w:t>
            </w:r>
          </w:p>
        </w:tc>
        <w:tc>
          <w:tcPr>
            <w:tcW w:w="7394" w:type="dxa"/>
            <w:vAlign w:val="center"/>
          </w:tcPr>
          <w:p w14:paraId="10AB7F4A" w14:textId="624B913F" w:rsidR="00AC4817" w:rsidRPr="00100E35" w:rsidRDefault="00AC4817" w:rsidP="00E76CEA">
            <w:pPr>
              <w:widowControl w:val="0"/>
              <w:autoSpaceDE w:val="0"/>
              <w:autoSpaceDN w:val="0"/>
              <w:spacing w:line="254" w:lineRule="exact"/>
              <w:ind w:left="109" w:right="99"/>
              <w:jc w:val="both"/>
              <w:rPr>
                <w:rFonts w:asciiTheme="majorBidi" w:eastAsia="Times New Roman" w:hAnsiTheme="majorBidi" w:cstheme="majorBidi"/>
                <w:sz w:val="20"/>
                <w:lang w:val="fr-FR"/>
              </w:rPr>
            </w:pPr>
            <w:r w:rsidRPr="00100E35">
              <w:rPr>
                <w:rFonts w:asciiTheme="majorBidi" w:hAnsiTheme="majorBidi"/>
                <w:sz w:val="20"/>
                <w:lang w:val="fr-FR"/>
              </w:rPr>
              <w:t>Absence de cadres réglementaires traitant spécifiquement de la question de l</w:t>
            </w:r>
            <w:r w:rsidR="00100E35">
              <w:rPr>
                <w:rFonts w:asciiTheme="majorBidi" w:hAnsiTheme="majorBidi"/>
                <w:sz w:val="20"/>
                <w:lang w:val="fr-FR"/>
              </w:rPr>
              <w:t>’</w:t>
            </w:r>
            <w:r w:rsidRPr="00100E35">
              <w:rPr>
                <w:rFonts w:asciiTheme="majorBidi" w:hAnsiTheme="majorBidi"/>
                <w:sz w:val="20"/>
                <w:lang w:val="fr-FR"/>
              </w:rPr>
              <w:t>écart de valeur entre les redevances perçues par les plateformes numériques et la part réellement encaissée par les créateurs.</w:t>
            </w:r>
          </w:p>
        </w:tc>
        <w:tc>
          <w:tcPr>
            <w:tcW w:w="1580" w:type="dxa"/>
            <w:vAlign w:val="center"/>
          </w:tcPr>
          <w:p w14:paraId="1E3EE44B" w14:textId="77777777" w:rsidR="00AC4817" w:rsidRPr="00100E35" w:rsidRDefault="00AC4817" w:rsidP="00E76CEA">
            <w:pPr>
              <w:widowControl w:val="0"/>
              <w:autoSpaceDE w:val="0"/>
              <w:autoSpaceDN w:val="0"/>
              <w:ind w:left="97" w:right="93"/>
              <w:jc w:val="center"/>
              <w:rPr>
                <w:rFonts w:asciiTheme="majorBidi" w:eastAsia="Times New Roman" w:hAnsiTheme="majorBidi" w:cstheme="majorBidi"/>
                <w:sz w:val="20"/>
                <w:lang w:val="fr-FR"/>
              </w:rPr>
            </w:pPr>
            <w:r w:rsidRPr="00100E35">
              <w:rPr>
                <w:rFonts w:asciiTheme="majorBidi" w:hAnsiTheme="majorBidi"/>
                <w:sz w:val="20"/>
                <w:lang w:val="fr-FR"/>
              </w:rPr>
              <w:t>Asie</w:t>
            </w:r>
          </w:p>
        </w:tc>
        <w:tc>
          <w:tcPr>
            <w:tcW w:w="1907" w:type="dxa"/>
            <w:vAlign w:val="center"/>
          </w:tcPr>
          <w:p w14:paraId="6DC8E3BD" w14:textId="77777777" w:rsidR="00AC4817" w:rsidRPr="00100E35" w:rsidRDefault="00AC4817" w:rsidP="00E76CEA">
            <w:pPr>
              <w:widowControl w:val="0"/>
              <w:autoSpaceDE w:val="0"/>
              <w:autoSpaceDN w:val="0"/>
              <w:ind w:left="202" w:right="195"/>
              <w:jc w:val="center"/>
              <w:rPr>
                <w:rFonts w:asciiTheme="majorBidi" w:eastAsia="Times New Roman" w:hAnsiTheme="majorBidi" w:cstheme="majorBidi"/>
                <w:sz w:val="20"/>
                <w:lang w:val="fr-FR"/>
              </w:rPr>
            </w:pPr>
            <w:r w:rsidRPr="00100E35">
              <w:rPr>
                <w:rFonts w:asciiTheme="majorBidi" w:hAnsiTheme="majorBidi"/>
                <w:sz w:val="20"/>
                <w:lang w:val="fr-FR"/>
              </w:rPr>
              <w:t>s.o.</w:t>
            </w:r>
          </w:p>
        </w:tc>
      </w:tr>
    </w:tbl>
    <w:p w14:paraId="7A99D5DC" w14:textId="77777777" w:rsidR="00AC4817" w:rsidRPr="00100E35" w:rsidRDefault="00AC4817" w:rsidP="00AC4817">
      <w:pPr>
        <w:spacing w:before="180" w:after="240"/>
        <w:rPr>
          <w:rFonts w:eastAsia="Aptos" w:cs="Noto Sans Display"/>
          <w:b/>
          <w:bCs/>
          <w:kern w:val="2"/>
          <w:szCs w:val="22"/>
          <w:lang w:val="fr-FR"/>
          <w14:ligatures w14:val="standardContextual"/>
        </w:rPr>
      </w:pPr>
      <w:r w:rsidRPr="00100E35">
        <w:rPr>
          <w:b/>
          <w:lang w:val="fr-FR"/>
        </w:rPr>
        <w:t>Références</w:t>
      </w:r>
    </w:p>
    <w:p w14:paraId="7AAE4F28" w14:textId="141D6247"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ARIPO. </w:t>
      </w:r>
      <w:r w:rsidR="0080246A">
        <w:rPr>
          <w:lang w:val="fr-FR"/>
        </w:rPr>
        <w:t xml:space="preserve"> </w:t>
      </w:r>
      <w:r w:rsidRPr="00100E35">
        <w:rPr>
          <w:lang w:val="fr-FR"/>
        </w:rPr>
        <w:t>“Rapport d</w:t>
      </w:r>
      <w:r w:rsidR="00100E35">
        <w:rPr>
          <w:lang w:val="fr-FR"/>
        </w:rPr>
        <w:t>’</w:t>
      </w:r>
      <w:r w:rsidRPr="00100E35">
        <w:rPr>
          <w:lang w:val="fr-FR"/>
        </w:rPr>
        <w:t>enquête en ligne de l</w:t>
      </w:r>
      <w:r w:rsidR="00100E35">
        <w:rPr>
          <w:lang w:val="fr-FR"/>
        </w:rPr>
        <w:t>’</w:t>
      </w:r>
      <w:r w:rsidRPr="00100E35">
        <w:rPr>
          <w:lang w:val="fr-FR"/>
        </w:rPr>
        <w:t xml:space="preserve">ARIPO sur les organisations de gestion collective”. </w:t>
      </w:r>
      <w:r w:rsidR="0080246A">
        <w:rPr>
          <w:lang w:val="fr-FR"/>
        </w:rPr>
        <w:t xml:space="preserve"> </w:t>
      </w:r>
      <w:r w:rsidRPr="00100E35">
        <w:rPr>
          <w:lang w:val="fr-FR"/>
        </w:rPr>
        <w:t>Harare, 2021.</w:t>
      </w:r>
      <w:r w:rsidR="0080246A">
        <w:rPr>
          <w:lang w:val="fr-FR"/>
        </w:rPr>
        <w:t xml:space="preserve"> </w:t>
      </w:r>
      <w:r w:rsidRPr="00100E35">
        <w:rPr>
          <w:lang w:val="fr-FR"/>
        </w:rPr>
        <w:t xml:space="preserve"> https://www.aripo.org/storage/copyright</w:t>
      </w:r>
      <w:r w:rsidR="00100E35">
        <w:rPr>
          <w:lang w:val="fr-FR"/>
        </w:rPr>
        <w:t>-</w:t>
      </w:r>
      <w:r w:rsidRPr="00100E35">
        <w:rPr>
          <w:lang w:val="fr-FR"/>
        </w:rPr>
        <w:t xml:space="preserve"> publication/1724743652_The ARIPO Online Collective Management Organizations Survey Report.pdf</w:t>
      </w:r>
    </w:p>
    <w:p w14:paraId="0C1FA3A7" w14:textId="64E8E002"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Calboli, Irene. </w:t>
      </w:r>
      <w:r w:rsidR="0080246A">
        <w:rPr>
          <w:lang w:val="fr-FR"/>
        </w:rPr>
        <w:t xml:space="preserve"> </w:t>
      </w:r>
      <w:r w:rsidRPr="00100E35">
        <w:rPr>
          <w:lang w:val="fr-FR"/>
        </w:rPr>
        <w:t>“Rapport sur le marché de la musique en ligne et les principaux modèles d</w:t>
      </w:r>
      <w:r w:rsidR="00100E35">
        <w:rPr>
          <w:lang w:val="fr-FR"/>
        </w:rPr>
        <w:t>’</w:t>
      </w:r>
      <w:r w:rsidRPr="00100E35">
        <w:rPr>
          <w:lang w:val="fr-FR"/>
        </w:rPr>
        <w:t>affaires en Asie</w:t>
      </w:r>
      <w:r w:rsidR="00100E35">
        <w:rPr>
          <w:lang w:val="fr-FR"/>
        </w:rPr>
        <w:t> :</w:t>
      </w:r>
      <w:r w:rsidRPr="00100E35">
        <w:rPr>
          <w:lang w:val="fr-FR"/>
        </w:rPr>
        <w:t xml:space="preserve"> aperçu et tendances générales”. </w:t>
      </w:r>
      <w:r w:rsidR="0080246A">
        <w:rPr>
          <w:lang w:val="fr-FR"/>
        </w:rPr>
        <w:t xml:space="preserve"> </w:t>
      </w:r>
      <w:r w:rsidRPr="00100E35">
        <w:rPr>
          <w:lang w:val="fr-FR"/>
        </w:rPr>
        <w:t>Genève, 2021.</w:t>
      </w:r>
      <w:r w:rsidR="0080246A">
        <w:rPr>
          <w:lang w:val="fr-FR"/>
        </w:rPr>
        <w:t xml:space="preserve"> </w:t>
      </w:r>
      <w:r w:rsidRPr="00100E35">
        <w:rPr>
          <w:lang w:val="fr-FR"/>
        </w:rPr>
        <w:t xml:space="preserve"> </w:t>
      </w:r>
      <w:hyperlink r:id="rId14" w:history="1">
        <w:r w:rsidRPr="00100E35">
          <w:rPr>
            <w:color w:val="467886"/>
            <w:u w:val="single"/>
            <w:lang w:val="fr-FR"/>
          </w:rPr>
          <w:t>https://www.wipo.int/meetings/fr/doc_details.jsp?doc_id=540737</w:t>
        </w:r>
      </w:hyperlink>
      <w:r w:rsidRPr="00100E35">
        <w:rPr>
          <w:lang w:val="fr-FR"/>
        </w:rPr>
        <w:t>.</w:t>
      </w:r>
    </w:p>
    <w:p w14:paraId="34D5E35C" w14:textId="2DF8757E"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Commission d</w:t>
      </w:r>
      <w:r w:rsidR="00100E35">
        <w:rPr>
          <w:lang w:val="fr-FR"/>
        </w:rPr>
        <w:t>’</w:t>
      </w:r>
      <w:r w:rsidRPr="00100E35">
        <w:rPr>
          <w:lang w:val="fr-FR"/>
        </w:rPr>
        <w:t>enquête</w:t>
      </w:r>
      <w:r w:rsidR="00100E35" w:rsidRPr="00100E35">
        <w:rPr>
          <w:lang w:val="fr-FR"/>
        </w:rPr>
        <w:t xml:space="preserve"> du</w:t>
      </w:r>
      <w:r w:rsidR="00100E35">
        <w:rPr>
          <w:lang w:val="fr-FR"/>
        </w:rPr>
        <w:t> </w:t>
      </w:r>
      <w:r w:rsidR="00100E35" w:rsidRPr="00100E35">
        <w:rPr>
          <w:lang w:val="fr-FR"/>
        </w:rPr>
        <w:t>DCM</w:t>
      </w:r>
      <w:r w:rsidRPr="00100E35">
        <w:rPr>
          <w:lang w:val="fr-FR"/>
        </w:rPr>
        <w:t xml:space="preserve">S. </w:t>
      </w:r>
      <w:r w:rsidR="0080246A">
        <w:rPr>
          <w:lang w:val="fr-FR"/>
        </w:rPr>
        <w:t xml:space="preserve"> </w:t>
      </w:r>
      <w:r w:rsidRPr="00100E35">
        <w:rPr>
          <w:lang w:val="fr-FR"/>
        </w:rPr>
        <w:t>“L</w:t>
      </w:r>
      <w:r w:rsidR="00100E35">
        <w:rPr>
          <w:lang w:val="fr-FR"/>
        </w:rPr>
        <w:t>’</w:t>
      </w:r>
      <w:r w:rsidRPr="00100E35">
        <w:rPr>
          <w:lang w:val="fr-FR"/>
        </w:rPr>
        <w:t xml:space="preserve">économie de la diffusion de musique en continu”. </w:t>
      </w:r>
      <w:r w:rsidR="0080246A">
        <w:rPr>
          <w:lang w:val="fr-FR"/>
        </w:rPr>
        <w:t xml:space="preserve"> </w:t>
      </w:r>
      <w:r w:rsidRPr="00100E35">
        <w:rPr>
          <w:i/>
          <w:lang w:val="fr-FR"/>
        </w:rPr>
        <w:t>Commission sur le numérique, la culture, les médias et le spo</w:t>
      </w:r>
      <w:r w:rsidR="007A1AE9" w:rsidRPr="00100E35">
        <w:rPr>
          <w:i/>
          <w:lang w:val="fr-FR"/>
        </w:rPr>
        <w:t>rt</w:t>
      </w:r>
      <w:r w:rsidR="007A1AE9">
        <w:rPr>
          <w:i/>
          <w:lang w:val="fr-FR"/>
        </w:rPr>
        <w:t xml:space="preserve">.  </w:t>
      </w:r>
      <w:r w:rsidR="007A1AE9" w:rsidRPr="00100E35">
        <w:rPr>
          <w:lang w:val="fr-FR"/>
        </w:rPr>
        <w:t>Lo</w:t>
      </w:r>
      <w:r w:rsidRPr="00100E35">
        <w:rPr>
          <w:lang w:val="fr-FR"/>
        </w:rPr>
        <w:t>ndres, 2021.</w:t>
      </w:r>
      <w:r w:rsidR="0080246A">
        <w:rPr>
          <w:lang w:val="fr-FR"/>
        </w:rPr>
        <w:t xml:space="preserve"> </w:t>
      </w:r>
      <w:r w:rsidRPr="00100E35">
        <w:rPr>
          <w:lang w:val="fr-FR"/>
        </w:rPr>
        <w:t xml:space="preserve"> </w:t>
      </w:r>
      <w:hyperlink r:id="rId15" w:history="1">
        <w:r w:rsidRPr="00100E35">
          <w:rPr>
            <w:color w:val="467886"/>
            <w:u w:val="single"/>
            <w:lang w:val="fr-FR"/>
          </w:rPr>
          <w:t>https://committees.parliament.uk/work/646/economics</w:t>
        </w:r>
        <w:r w:rsidR="00100E35">
          <w:rPr>
            <w:color w:val="467886"/>
            <w:u w:val="single"/>
            <w:lang w:val="fr-FR"/>
          </w:rPr>
          <w:t>-</w:t>
        </w:r>
        <w:r w:rsidRPr="00100E35">
          <w:rPr>
            <w:color w:val="467886"/>
            <w:u w:val="single"/>
            <w:lang w:val="fr-FR"/>
          </w:rPr>
          <w:t>of</w:t>
        </w:r>
        <w:r w:rsidR="00100E35">
          <w:rPr>
            <w:color w:val="467886"/>
            <w:u w:val="single"/>
            <w:lang w:val="fr-FR"/>
          </w:rPr>
          <w:t>-</w:t>
        </w:r>
        <w:r w:rsidRPr="00100E35">
          <w:rPr>
            <w:color w:val="467886"/>
            <w:u w:val="single"/>
            <w:lang w:val="fr-FR"/>
          </w:rPr>
          <w:t>music</w:t>
        </w:r>
        <w:r w:rsidR="00100E35">
          <w:rPr>
            <w:color w:val="467886"/>
            <w:u w:val="single"/>
            <w:lang w:val="fr-FR"/>
          </w:rPr>
          <w:t>-</w:t>
        </w:r>
        <w:r w:rsidRPr="00100E35">
          <w:rPr>
            <w:color w:val="467886"/>
            <w:u w:val="single"/>
            <w:lang w:val="fr-FR"/>
          </w:rPr>
          <w:t>streaming/publications/</w:t>
        </w:r>
      </w:hyperlink>
      <w:r w:rsidRPr="00100E35">
        <w:rPr>
          <w:lang w:val="fr-FR"/>
        </w:rPr>
        <w:t>.</w:t>
      </w:r>
    </w:p>
    <w:p w14:paraId="0C8001EA" w14:textId="6B6253C2"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Commission européenne. </w:t>
      </w:r>
      <w:r w:rsidR="0080246A">
        <w:rPr>
          <w:lang w:val="fr-FR"/>
        </w:rPr>
        <w:t xml:space="preserve"> </w:t>
      </w:r>
      <w:r w:rsidRPr="00100E35">
        <w:rPr>
          <w:lang w:val="fr-FR"/>
        </w:rPr>
        <w:t>“Rapport sur l</w:t>
      </w:r>
      <w:r w:rsidR="00100E35">
        <w:rPr>
          <w:lang w:val="fr-FR"/>
        </w:rPr>
        <w:t>’</w:t>
      </w:r>
      <w:r w:rsidRPr="00100E35">
        <w:rPr>
          <w:lang w:val="fr-FR"/>
        </w:rPr>
        <w:t>application de la directive 2014/26/UE concernant la gestion collective du droit d</w:t>
      </w:r>
      <w:r w:rsidR="00100E35">
        <w:rPr>
          <w:lang w:val="fr-FR"/>
        </w:rPr>
        <w:t>’</w:t>
      </w:r>
      <w:r w:rsidRPr="00100E35">
        <w:rPr>
          <w:lang w:val="fr-FR"/>
        </w:rPr>
        <w:t>auteur et des droits voisins et l</w:t>
      </w:r>
      <w:r w:rsidR="00100E35">
        <w:rPr>
          <w:lang w:val="fr-FR"/>
        </w:rPr>
        <w:t>’</w:t>
      </w:r>
      <w:r w:rsidRPr="00100E35">
        <w:rPr>
          <w:lang w:val="fr-FR"/>
        </w:rPr>
        <w:t xml:space="preserve">octroi de licences multiterritoriales de droits sur des œuvres musicales en vue de leur utilisation en ligne dans le marché intérieur”. </w:t>
      </w:r>
      <w:r w:rsidR="0080246A">
        <w:rPr>
          <w:lang w:val="fr-FR"/>
        </w:rPr>
        <w:t xml:space="preserve"> </w:t>
      </w:r>
      <w:r w:rsidRPr="00100E35">
        <w:rPr>
          <w:lang w:val="fr-FR"/>
        </w:rPr>
        <w:t>Bruxelles, 2021.</w:t>
      </w:r>
      <w:r w:rsidR="0080246A">
        <w:rPr>
          <w:lang w:val="fr-FR"/>
        </w:rPr>
        <w:t xml:space="preserve"> </w:t>
      </w:r>
      <w:r w:rsidRPr="00100E35">
        <w:rPr>
          <w:lang w:val="fr-FR"/>
        </w:rPr>
        <w:t xml:space="preserve"> https://ec.europa.eu/newsroom/dae/redirection/document/81237.</w:t>
      </w:r>
    </w:p>
    <w:p w14:paraId="25D6180B" w14:textId="6DF9E54A" w:rsidR="00AC4817" w:rsidRPr="00100E35" w:rsidRDefault="00AC4817" w:rsidP="00AC4817">
      <w:pPr>
        <w:spacing w:before="180" w:after="240"/>
        <w:rPr>
          <w:rFonts w:eastAsia="Aptos" w:cs="Noto Sans Display"/>
          <w:kern w:val="2"/>
          <w:szCs w:val="22"/>
          <w:lang w:val="fr-FR"/>
          <w14:ligatures w14:val="standardContextual"/>
        </w:rPr>
      </w:pPr>
      <w:r w:rsidRPr="00AB7351">
        <w:rPr>
          <w:lang w:val="en-US"/>
        </w:rPr>
        <w:t>Mendis, Dinusha.</w:t>
      </w:r>
      <w:r w:rsidR="0080246A" w:rsidRPr="00AB7351">
        <w:rPr>
          <w:lang w:val="en-US"/>
        </w:rPr>
        <w:t xml:space="preserve"> </w:t>
      </w:r>
      <w:r w:rsidRPr="00AB7351">
        <w:rPr>
          <w:lang w:val="en-US"/>
        </w:rPr>
        <w:t xml:space="preserve"> “An Analysis of Directive 2014 / 26 / EU on Collective Management of Copyright and Related Rights and Multi</w:t>
      </w:r>
      <w:r w:rsidR="00100E35" w:rsidRPr="00AB7351">
        <w:rPr>
          <w:lang w:val="en-US"/>
        </w:rPr>
        <w:t>-</w:t>
      </w:r>
      <w:r w:rsidRPr="00AB7351">
        <w:rPr>
          <w:lang w:val="en-US"/>
        </w:rPr>
        <w:t xml:space="preserve">Territorial Licensing of Rights in Musical Works for Online Use in the Internal Market”. </w:t>
      </w:r>
      <w:r w:rsidR="0080246A" w:rsidRPr="00AB7351">
        <w:rPr>
          <w:lang w:val="en-US"/>
        </w:rPr>
        <w:t xml:space="preserve"> </w:t>
      </w:r>
      <w:r w:rsidRPr="00100E35">
        <w:rPr>
          <w:i/>
          <w:lang w:val="fr-FR"/>
        </w:rPr>
        <w:t>Dans Eu Regulation of E</w:t>
      </w:r>
      <w:r w:rsidR="00100E35">
        <w:rPr>
          <w:i/>
          <w:lang w:val="fr-FR"/>
        </w:rPr>
        <w:t>-</w:t>
      </w:r>
      <w:r w:rsidRPr="00100E35">
        <w:rPr>
          <w:i/>
          <w:lang w:val="fr-FR"/>
        </w:rPr>
        <w:t>Commerce: A Commentary,</w:t>
      </w:r>
      <w:r w:rsidRPr="00100E35">
        <w:rPr>
          <w:lang w:val="fr-FR"/>
        </w:rPr>
        <w:t xml:space="preserve"> </w:t>
      </w:r>
      <w:r w:rsidR="007A1AE9" w:rsidRPr="00100E35">
        <w:rPr>
          <w:lang w:val="fr-FR"/>
        </w:rPr>
        <w:t>éd</w:t>
      </w:r>
      <w:r w:rsidR="007A1AE9">
        <w:rPr>
          <w:lang w:val="fr-FR"/>
        </w:rPr>
        <w:t xml:space="preserve">.  </w:t>
      </w:r>
      <w:r w:rsidR="007A1AE9" w:rsidRPr="00100E35">
        <w:rPr>
          <w:lang w:val="fr-FR"/>
        </w:rPr>
        <w:t>Ar</w:t>
      </w:r>
      <w:r w:rsidRPr="00100E35">
        <w:rPr>
          <w:lang w:val="fr-FR"/>
        </w:rPr>
        <w:t>no R.</w:t>
      </w:r>
      <w:r w:rsidR="0080246A">
        <w:rPr>
          <w:lang w:val="fr-FR"/>
        </w:rPr>
        <w:t> </w:t>
      </w:r>
      <w:r w:rsidRPr="00100E35">
        <w:rPr>
          <w:lang w:val="fr-FR"/>
        </w:rPr>
        <w:t>Lodder et Andrew D.</w:t>
      </w:r>
      <w:r w:rsidR="0080246A">
        <w:rPr>
          <w:lang w:val="fr-FR"/>
        </w:rPr>
        <w:t> </w:t>
      </w:r>
      <w:r w:rsidRPr="00100E35">
        <w:rPr>
          <w:lang w:val="fr-FR"/>
        </w:rPr>
        <w:t xml:space="preserve">Murray, </w:t>
      </w:r>
      <w:r w:rsidR="00100E35" w:rsidRPr="00100E35">
        <w:rPr>
          <w:lang w:val="fr-FR"/>
        </w:rPr>
        <w:t>pages</w:t>
      </w:r>
      <w:r w:rsidR="00100E35">
        <w:rPr>
          <w:lang w:val="fr-FR"/>
        </w:rPr>
        <w:t> </w:t>
      </w:r>
      <w:r w:rsidR="00100E35" w:rsidRPr="00100E35">
        <w:rPr>
          <w:lang w:val="fr-FR"/>
        </w:rPr>
        <w:t>2</w:t>
      </w:r>
      <w:r w:rsidRPr="00100E35">
        <w:rPr>
          <w:lang w:val="fr-FR"/>
        </w:rPr>
        <w:t>90</w:t>
      </w:r>
      <w:r w:rsidR="00100E35">
        <w:rPr>
          <w:lang w:val="fr-FR"/>
        </w:rPr>
        <w:t>-</w:t>
      </w:r>
      <w:r w:rsidRPr="00100E35">
        <w:rPr>
          <w:lang w:val="fr-FR"/>
        </w:rPr>
        <w:t xml:space="preserve">312. </w:t>
      </w:r>
      <w:r w:rsidR="0080246A">
        <w:rPr>
          <w:lang w:val="fr-FR"/>
        </w:rPr>
        <w:t xml:space="preserve"> </w:t>
      </w:r>
      <w:r w:rsidRPr="00100E35">
        <w:rPr>
          <w:lang w:val="fr-FR"/>
        </w:rPr>
        <w:t>Cheltenham</w:t>
      </w:r>
      <w:r w:rsidR="00100E35">
        <w:rPr>
          <w:lang w:val="fr-FR"/>
        </w:rPr>
        <w:t> :</w:t>
      </w:r>
      <w:r w:rsidRPr="00100E35">
        <w:rPr>
          <w:lang w:val="fr-FR"/>
        </w:rPr>
        <w:t xml:space="preserve"> Edward Elgar Publishing, 2017.</w:t>
      </w:r>
      <w:r w:rsidR="0080246A">
        <w:rPr>
          <w:lang w:val="fr-FR"/>
        </w:rPr>
        <w:t xml:space="preserve"> </w:t>
      </w:r>
      <w:r w:rsidRPr="00100E35">
        <w:rPr>
          <w:lang w:val="fr-FR"/>
        </w:rPr>
        <w:t xml:space="preserve"> https://doi.org/10.4337/9781785369346.00018.</w:t>
      </w:r>
    </w:p>
    <w:p w14:paraId="21653404" w14:textId="79476E38" w:rsidR="00AC4817" w:rsidRPr="00100E35" w:rsidRDefault="00AC4817" w:rsidP="00AC4817">
      <w:pPr>
        <w:spacing w:before="180" w:after="240"/>
        <w:rPr>
          <w:rFonts w:eastAsia="Aptos" w:cs="Noto Sans Display"/>
          <w:kern w:val="2"/>
          <w:szCs w:val="22"/>
          <w:lang w:val="fr-FR"/>
          <w14:ligatures w14:val="standardContextual"/>
        </w:rPr>
      </w:pPr>
      <w:r w:rsidRPr="00AB7351">
        <w:rPr>
          <w:lang w:val="en-US"/>
        </w:rPr>
        <w:t xml:space="preserve">Muikku, Jari. </w:t>
      </w:r>
      <w:r w:rsidR="0080246A" w:rsidRPr="00AB7351">
        <w:rPr>
          <w:lang w:val="en-US"/>
        </w:rPr>
        <w:t xml:space="preserve"> </w:t>
      </w:r>
      <w:r w:rsidRPr="00AB7351">
        <w:rPr>
          <w:lang w:val="en-US"/>
        </w:rPr>
        <w:t xml:space="preserve">“Pro Rata and User Centric Distribution Models: A Comparative Study”. </w:t>
      </w:r>
      <w:r w:rsidR="0080246A" w:rsidRPr="00AB7351">
        <w:rPr>
          <w:lang w:val="en-US"/>
        </w:rPr>
        <w:t xml:space="preserve"> </w:t>
      </w:r>
      <w:r w:rsidRPr="00100E35">
        <w:rPr>
          <w:i/>
          <w:lang w:val="fr-FR"/>
        </w:rPr>
        <w:t>Digital Media Finla</w:t>
      </w:r>
      <w:r w:rsidR="007A1AE9" w:rsidRPr="00100E35">
        <w:rPr>
          <w:i/>
          <w:lang w:val="fr-FR"/>
        </w:rPr>
        <w:t>nd</w:t>
      </w:r>
      <w:r w:rsidR="007A1AE9">
        <w:rPr>
          <w:i/>
          <w:lang w:val="fr-FR"/>
        </w:rPr>
        <w:t xml:space="preserve">.  </w:t>
      </w:r>
      <w:r w:rsidR="007A1AE9" w:rsidRPr="00100E35">
        <w:rPr>
          <w:lang w:val="fr-FR"/>
        </w:rPr>
        <w:t>He</w:t>
      </w:r>
      <w:r w:rsidRPr="00100E35">
        <w:rPr>
          <w:lang w:val="fr-FR"/>
        </w:rPr>
        <w:t>lsinki, 2017.</w:t>
      </w:r>
      <w:r w:rsidR="0080246A">
        <w:rPr>
          <w:lang w:val="fr-FR"/>
        </w:rPr>
        <w:t xml:space="preserve"> </w:t>
      </w:r>
      <w:r w:rsidRPr="00100E35">
        <w:rPr>
          <w:lang w:val="fr-FR"/>
        </w:rPr>
        <w:t xml:space="preserve"> </w:t>
      </w:r>
      <w:hyperlink r:id="rId16" w:history="1">
        <w:r w:rsidRPr="00100E35">
          <w:rPr>
            <w:color w:val="467886"/>
            <w:u w:val="single"/>
            <w:lang w:val="fr-FR"/>
          </w:rPr>
          <w:t>http://www.ifpi.org/downloads/GMR2017.pdf</w:t>
        </w:r>
      </w:hyperlink>
      <w:r w:rsidRPr="00100E35">
        <w:rPr>
          <w:lang w:val="fr-FR"/>
        </w:rPr>
        <w:t>.</w:t>
      </w:r>
    </w:p>
    <w:p w14:paraId="42894503" w14:textId="22FF8195"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Panay, Panos A., Alex Pentland et Thomas Hardjono. </w:t>
      </w:r>
      <w:r w:rsidR="0080246A">
        <w:rPr>
          <w:lang w:val="fr-FR"/>
        </w:rPr>
        <w:t xml:space="preserve"> </w:t>
      </w:r>
      <w:r w:rsidRPr="00100E35">
        <w:rPr>
          <w:lang w:val="fr-FR"/>
        </w:rPr>
        <w:t xml:space="preserve">“Why Success of the Music Modernization Act Depends on Open Standards”. </w:t>
      </w:r>
      <w:r w:rsidR="0080246A">
        <w:rPr>
          <w:lang w:val="fr-FR"/>
        </w:rPr>
        <w:t xml:space="preserve"> </w:t>
      </w:r>
      <w:r w:rsidRPr="00100E35">
        <w:rPr>
          <w:i/>
          <w:lang w:val="fr-FR"/>
        </w:rPr>
        <w:t>Open Music Initiative White Pap</w:t>
      </w:r>
      <w:r w:rsidR="007A1AE9" w:rsidRPr="00100E35">
        <w:rPr>
          <w:i/>
          <w:lang w:val="fr-FR"/>
        </w:rPr>
        <w:t>er</w:t>
      </w:r>
      <w:r w:rsidR="007A1AE9">
        <w:rPr>
          <w:i/>
          <w:lang w:val="fr-FR"/>
        </w:rPr>
        <w:t xml:space="preserve">.  </w:t>
      </w:r>
      <w:r w:rsidR="007A1AE9" w:rsidRPr="00100E35">
        <w:rPr>
          <w:lang w:val="fr-FR"/>
        </w:rPr>
        <w:t>Ca</w:t>
      </w:r>
      <w:r w:rsidRPr="00100E35">
        <w:rPr>
          <w:lang w:val="fr-FR"/>
        </w:rPr>
        <w:t>mbridge, MA, 2018.</w:t>
      </w:r>
      <w:r w:rsidR="0080246A">
        <w:rPr>
          <w:lang w:val="fr-FR"/>
        </w:rPr>
        <w:t xml:space="preserve"> </w:t>
      </w:r>
      <w:r w:rsidRPr="00100E35">
        <w:rPr>
          <w:lang w:val="fr-FR"/>
        </w:rPr>
        <w:t xml:space="preserve"> </w:t>
      </w:r>
      <w:hyperlink r:id="rId17" w:history="1">
        <w:r w:rsidRPr="00100E35">
          <w:rPr>
            <w:color w:val="467886"/>
            <w:u w:val="single"/>
            <w:lang w:val="fr-FR"/>
          </w:rPr>
          <w:t>https://www.billboard.com/articles/business/8482056/mma</w:t>
        </w:r>
        <w:r w:rsidR="00100E35">
          <w:rPr>
            <w:color w:val="467886"/>
            <w:u w:val="single"/>
            <w:lang w:val="fr-FR"/>
          </w:rPr>
          <w:t>-</w:t>
        </w:r>
        <w:r w:rsidRPr="00100E35">
          <w:rPr>
            <w:color w:val="467886"/>
            <w:u w:val="single"/>
            <w:lang w:val="fr-FR"/>
          </w:rPr>
          <w:t>op</w:t>
        </w:r>
        <w:r w:rsidR="00100E35">
          <w:rPr>
            <w:color w:val="467886"/>
            <w:u w:val="single"/>
            <w:lang w:val="fr-FR"/>
          </w:rPr>
          <w:t>-</w:t>
        </w:r>
        <w:r w:rsidRPr="00100E35">
          <w:rPr>
            <w:color w:val="467886"/>
            <w:u w:val="single"/>
            <w:lang w:val="fr-FR"/>
          </w:rPr>
          <w:t>ed</w:t>
        </w:r>
        <w:r w:rsidR="00100E35">
          <w:rPr>
            <w:color w:val="467886"/>
            <w:u w:val="single"/>
            <w:lang w:val="fr-FR"/>
          </w:rPr>
          <w:t>-</w:t>
        </w:r>
        <w:r w:rsidRPr="00100E35">
          <w:rPr>
            <w:color w:val="467886"/>
            <w:u w:val="single"/>
            <w:lang w:val="fr-FR"/>
          </w:rPr>
          <w:t>open</w:t>
        </w:r>
        <w:r w:rsidR="00100E35">
          <w:rPr>
            <w:color w:val="467886"/>
            <w:u w:val="single"/>
            <w:lang w:val="fr-FR"/>
          </w:rPr>
          <w:t>-</w:t>
        </w:r>
        <w:r w:rsidRPr="00100E35">
          <w:rPr>
            <w:color w:val="467886"/>
            <w:u w:val="single"/>
            <w:lang w:val="fr-FR"/>
          </w:rPr>
          <w:t>music</w:t>
        </w:r>
        <w:r w:rsidR="00100E35">
          <w:rPr>
            <w:color w:val="467886"/>
            <w:u w:val="single"/>
            <w:lang w:val="fr-FR"/>
          </w:rPr>
          <w:t>-</w:t>
        </w:r>
        <w:r w:rsidRPr="00100E35">
          <w:rPr>
            <w:color w:val="467886"/>
            <w:u w:val="single"/>
            <w:lang w:val="fr-FR"/>
          </w:rPr>
          <w:t>initiative</w:t>
        </w:r>
        <w:r w:rsidR="00100E35">
          <w:rPr>
            <w:color w:val="467886"/>
            <w:u w:val="single"/>
            <w:lang w:val="fr-FR"/>
          </w:rPr>
          <w:t>-</w:t>
        </w:r>
        <w:r w:rsidRPr="00100E35">
          <w:rPr>
            <w:color w:val="467886"/>
            <w:u w:val="single"/>
            <w:lang w:val="fr-FR"/>
          </w:rPr>
          <w:t>open</w:t>
        </w:r>
        <w:r w:rsidR="00100E35">
          <w:rPr>
            <w:color w:val="467886"/>
            <w:u w:val="single"/>
            <w:lang w:val="fr-FR"/>
          </w:rPr>
          <w:t>-</w:t>
        </w:r>
        <w:r w:rsidRPr="00100E35">
          <w:rPr>
            <w:color w:val="467886"/>
            <w:u w:val="single"/>
            <w:lang w:val="fr-FR"/>
          </w:rPr>
          <w:t>standards</w:t>
        </w:r>
      </w:hyperlink>
      <w:r w:rsidRPr="00100E35">
        <w:rPr>
          <w:lang w:val="fr-FR"/>
        </w:rPr>
        <w:t>.</w:t>
      </w:r>
    </w:p>
    <w:p w14:paraId="2729497A" w14:textId="06537963" w:rsidR="00AC4817" w:rsidRPr="00100E35" w:rsidRDefault="00AC4817" w:rsidP="00AC4817">
      <w:pPr>
        <w:spacing w:before="180" w:after="240"/>
        <w:rPr>
          <w:rFonts w:eastAsia="Aptos" w:cs="Noto Sans Display"/>
          <w:kern w:val="2"/>
          <w:szCs w:val="22"/>
          <w:lang w:val="fr-FR"/>
          <w14:ligatures w14:val="standardContextual"/>
        </w:rPr>
      </w:pPr>
      <w:r w:rsidRPr="00AB7351">
        <w:rPr>
          <w:lang w:val="en-US"/>
        </w:rPr>
        <w:t xml:space="preserve">Sganga, Caterina. </w:t>
      </w:r>
      <w:r w:rsidR="0080246A" w:rsidRPr="00AB7351">
        <w:rPr>
          <w:lang w:val="en-US"/>
        </w:rPr>
        <w:t xml:space="preserve"> </w:t>
      </w:r>
      <w:r w:rsidRPr="00AB7351">
        <w:rPr>
          <w:lang w:val="en-US"/>
        </w:rPr>
        <w:t xml:space="preserve">“Is There Still a Policy Agenda for EU Copyright Law?” </w:t>
      </w:r>
      <w:r w:rsidRPr="00100E35">
        <w:rPr>
          <w:i/>
          <w:lang w:val="fr-FR"/>
        </w:rPr>
        <w:t>IIC International Review of Intellectual Property and Competition Law</w:t>
      </w:r>
      <w:r w:rsidRPr="00100E35">
        <w:rPr>
          <w:lang w:val="fr-FR"/>
        </w:rPr>
        <w:t>, Volume 54, n°</w:t>
      </w:r>
      <w:r w:rsidR="0080246A">
        <w:rPr>
          <w:lang w:val="fr-FR"/>
        </w:rPr>
        <w:t> </w:t>
      </w:r>
      <w:r w:rsidRPr="00100E35">
        <w:rPr>
          <w:lang w:val="fr-FR"/>
        </w:rPr>
        <w:t>9 (2023)</w:t>
      </w:r>
      <w:r w:rsidR="00100E35">
        <w:rPr>
          <w:lang w:val="fr-FR"/>
        </w:rPr>
        <w:t> :</w:t>
      </w:r>
      <w:r w:rsidRPr="00100E35">
        <w:rPr>
          <w:lang w:val="fr-FR"/>
        </w:rPr>
        <w:t xml:space="preserve"> </w:t>
      </w:r>
      <w:r w:rsidR="00100E35" w:rsidRPr="00100E35">
        <w:rPr>
          <w:lang w:val="fr-FR"/>
        </w:rPr>
        <w:t>pages</w:t>
      </w:r>
      <w:r w:rsidR="00100E35">
        <w:rPr>
          <w:lang w:val="fr-FR"/>
        </w:rPr>
        <w:t> </w:t>
      </w:r>
      <w:r w:rsidR="00100E35" w:rsidRPr="00100E35">
        <w:rPr>
          <w:lang w:val="fr-FR"/>
        </w:rPr>
        <w:t>1</w:t>
      </w:r>
      <w:r w:rsidRPr="00100E35">
        <w:rPr>
          <w:lang w:val="fr-FR"/>
        </w:rPr>
        <w:t>407</w:t>
      </w:r>
      <w:r w:rsidR="00100E35">
        <w:rPr>
          <w:lang w:val="fr-FR"/>
        </w:rPr>
        <w:t>-</w:t>
      </w:r>
      <w:r w:rsidRPr="00100E35">
        <w:rPr>
          <w:lang w:val="fr-FR"/>
        </w:rPr>
        <w:t xml:space="preserve">1417, </w:t>
      </w:r>
      <w:hyperlink r:id="rId18" w:history="1">
        <w:r w:rsidRPr="00100E35">
          <w:rPr>
            <w:color w:val="467886"/>
            <w:u w:val="single"/>
            <w:lang w:val="fr-FR"/>
          </w:rPr>
          <w:t>https://doi.org/10.1093/ccc/tcad024</w:t>
        </w:r>
      </w:hyperlink>
      <w:r w:rsidRPr="00100E35">
        <w:rPr>
          <w:lang w:val="fr-FR"/>
        </w:rPr>
        <w:t>.</w:t>
      </w:r>
    </w:p>
    <w:p w14:paraId="75F48870" w14:textId="6C41C4F7"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Stern, Zoe. </w:t>
      </w:r>
      <w:r w:rsidR="0080246A">
        <w:rPr>
          <w:lang w:val="fr-FR"/>
        </w:rPr>
        <w:t xml:space="preserve"> </w:t>
      </w:r>
      <w:r w:rsidRPr="00100E35">
        <w:rPr>
          <w:lang w:val="fr-FR"/>
        </w:rPr>
        <w:t xml:space="preserve">“The Inequalities of Digital Music Streaming”. </w:t>
      </w:r>
      <w:r w:rsidR="0080246A">
        <w:rPr>
          <w:lang w:val="fr-FR"/>
        </w:rPr>
        <w:t xml:space="preserve"> </w:t>
      </w:r>
      <w:r w:rsidRPr="00100E35">
        <w:rPr>
          <w:lang w:val="fr-FR"/>
        </w:rPr>
        <w:t>The Regulatory Review, 2024.</w:t>
      </w:r>
      <w:r w:rsidR="0080246A">
        <w:rPr>
          <w:lang w:val="fr-FR"/>
        </w:rPr>
        <w:t xml:space="preserve"> </w:t>
      </w:r>
      <w:r w:rsidRPr="00100E35">
        <w:rPr>
          <w:lang w:val="fr-FR"/>
        </w:rPr>
        <w:t xml:space="preserve"> </w:t>
      </w:r>
      <w:hyperlink r:id="rId19" w:history="1">
        <w:r w:rsidRPr="00100E35">
          <w:rPr>
            <w:color w:val="467886"/>
            <w:u w:val="single"/>
            <w:lang w:val="fr-FR"/>
          </w:rPr>
          <w:t>https://www.theregreview.org/2024/05/30/stern</w:t>
        </w:r>
        <w:r w:rsidR="00100E35">
          <w:rPr>
            <w:color w:val="467886"/>
            <w:u w:val="single"/>
            <w:lang w:val="fr-FR"/>
          </w:rPr>
          <w:t>-</w:t>
        </w:r>
        <w:r w:rsidRPr="00100E35">
          <w:rPr>
            <w:color w:val="467886"/>
            <w:u w:val="single"/>
            <w:lang w:val="fr-FR"/>
          </w:rPr>
          <w:t>the</w:t>
        </w:r>
        <w:r w:rsidR="00100E35">
          <w:rPr>
            <w:color w:val="467886"/>
            <w:u w:val="single"/>
            <w:lang w:val="fr-FR"/>
          </w:rPr>
          <w:t>-</w:t>
        </w:r>
        <w:r w:rsidRPr="00100E35">
          <w:rPr>
            <w:color w:val="467886"/>
            <w:u w:val="single"/>
            <w:lang w:val="fr-FR"/>
          </w:rPr>
          <w:t>inequalities</w:t>
        </w:r>
        <w:r w:rsidR="00100E35">
          <w:rPr>
            <w:color w:val="467886"/>
            <w:u w:val="single"/>
            <w:lang w:val="fr-FR"/>
          </w:rPr>
          <w:t>-</w:t>
        </w:r>
        <w:r w:rsidRPr="00100E35">
          <w:rPr>
            <w:color w:val="467886"/>
            <w:u w:val="single"/>
            <w:lang w:val="fr-FR"/>
          </w:rPr>
          <w:t>of</w:t>
        </w:r>
        <w:r w:rsidR="00100E35">
          <w:rPr>
            <w:color w:val="467886"/>
            <w:u w:val="single"/>
            <w:lang w:val="fr-FR"/>
          </w:rPr>
          <w:t>-</w:t>
        </w:r>
        <w:r w:rsidRPr="00100E35">
          <w:rPr>
            <w:color w:val="467886"/>
            <w:u w:val="single"/>
            <w:lang w:val="fr-FR"/>
          </w:rPr>
          <w:t>digital</w:t>
        </w:r>
        <w:r w:rsidR="00100E35">
          <w:rPr>
            <w:color w:val="467886"/>
            <w:u w:val="single"/>
            <w:lang w:val="fr-FR"/>
          </w:rPr>
          <w:t>-</w:t>
        </w:r>
        <w:r w:rsidRPr="00100E35">
          <w:rPr>
            <w:color w:val="467886"/>
            <w:u w:val="single"/>
            <w:lang w:val="fr-FR"/>
          </w:rPr>
          <w:t xml:space="preserve"> music</w:t>
        </w:r>
        <w:r w:rsidR="00100E35">
          <w:rPr>
            <w:color w:val="467886"/>
            <w:u w:val="single"/>
            <w:lang w:val="fr-FR"/>
          </w:rPr>
          <w:t>-</w:t>
        </w:r>
        <w:r w:rsidRPr="00100E35">
          <w:rPr>
            <w:color w:val="467886"/>
            <w:u w:val="single"/>
            <w:lang w:val="fr-FR"/>
          </w:rPr>
          <w:t>streaming/</w:t>
        </w:r>
      </w:hyperlink>
      <w:r w:rsidRPr="00100E35">
        <w:rPr>
          <w:lang w:val="fr-FR"/>
        </w:rPr>
        <w:t>.</w:t>
      </w:r>
    </w:p>
    <w:p w14:paraId="41231697" w14:textId="77777777" w:rsidR="00AC4817" w:rsidRPr="00100E35" w:rsidRDefault="00AC4817" w:rsidP="00AC4817">
      <w:pPr>
        <w:spacing w:before="180" w:after="240"/>
        <w:rPr>
          <w:rFonts w:eastAsia="Aptos" w:cs="Noto Sans Display"/>
          <w:kern w:val="2"/>
          <w:szCs w:val="22"/>
          <w:lang w:val="fr-FR" w:eastAsia="en-US"/>
          <w14:ligatures w14:val="standardContextual"/>
        </w:rPr>
        <w:sectPr w:rsidR="00AC4817" w:rsidRPr="00100E35" w:rsidSect="00964C4C">
          <w:endnotePr>
            <w:numFmt w:val="decimal"/>
          </w:endnotePr>
          <w:pgSz w:w="16840" w:h="11907" w:orient="landscape" w:code="9"/>
          <w:pgMar w:top="1418" w:right="1814" w:bottom="1134" w:left="1418" w:header="510" w:footer="1021" w:gutter="0"/>
          <w:cols w:space="720"/>
          <w:titlePg/>
          <w:docGrid w:linePitch="360"/>
        </w:sectPr>
      </w:pPr>
    </w:p>
    <w:p w14:paraId="7A2679E4" w14:textId="74E53861" w:rsidR="00AC4817" w:rsidRPr="00100E35" w:rsidRDefault="00AC4817" w:rsidP="00AC4817">
      <w:pPr>
        <w:pStyle w:val="Heading3"/>
        <w:rPr>
          <w:color w:val="1F497D" w:themeColor="text2"/>
          <w:u w:val="none"/>
          <w:lang w:val="fr-FR"/>
        </w:rPr>
      </w:pPr>
      <w:bookmarkStart w:id="13" w:name="_Toc213431911"/>
      <w:r w:rsidRPr="00100E35">
        <w:rPr>
          <w:b/>
          <w:color w:val="1F497D" w:themeColor="text2"/>
          <w:u w:val="none"/>
          <w:lang w:val="fr-FR"/>
        </w:rPr>
        <w:t>Annexe II</w:t>
      </w:r>
      <w:r w:rsidR="00100E35">
        <w:rPr>
          <w:b/>
          <w:color w:val="1F497D" w:themeColor="text2"/>
          <w:u w:val="none"/>
          <w:lang w:val="fr-FR"/>
        </w:rPr>
        <w:t xml:space="preserve"> – </w:t>
      </w:r>
      <w:r w:rsidRPr="00100E35">
        <w:rPr>
          <w:color w:val="1F497D" w:themeColor="text2"/>
          <w:u w:val="none"/>
          <w:lang w:val="fr-FR"/>
        </w:rPr>
        <w:t>Illustration</w:t>
      </w:r>
      <w:r w:rsidR="00100E35">
        <w:rPr>
          <w:color w:val="1F497D" w:themeColor="text2"/>
          <w:u w:val="none"/>
          <w:lang w:val="fr-FR"/>
        </w:rPr>
        <w:t> :</w:t>
      </w:r>
      <w:r w:rsidRPr="00100E35">
        <w:rPr>
          <w:color w:val="1F497D" w:themeColor="text2"/>
          <w:u w:val="none"/>
          <w:lang w:val="fr-FR"/>
        </w:rPr>
        <w:t xml:space="preserve"> modèle au prorata et système de paiement centré sur l</w:t>
      </w:r>
      <w:r w:rsidR="00100E35">
        <w:rPr>
          <w:color w:val="1F497D" w:themeColor="text2"/>
          <w:u w:val="none"/>
          <w:lang w:val="fr-FR"/>
        </w:rPr>
        <w:t>’</w:t>
      </w:r>
      <w:r w:rsidRPr="00100E35">
        <w:rPr>
          <w:color w:val="1F497D" w:themeColor="text2"/>
          <w:u w:val="none"/>
          <w:lang w:val="fr-FR"/>
        </w:rPr>
        <w:t>utilisateur</w:t>
      </w:r>
      <w:bookmarkEnd w:id="13"/>
    </w:p>
    <w:p w14:paraId="311F1445" w14:textId="33B8FC0A" w:rsidR="00AC4817" w:rsidRPr="00100E35" w:rsidRDefault="00AC4817" w:rsidP="00964C4C">
      <w:pPr>
        <w:tabs>
          <w:tab w:val="left" w:pos="567"/>
        </w:tabs>
        <w:spacing w:before="180" w:after="240"/>
        <w:rPr>
          <w:rFonts w:eastAsia="Aptos" w:cs="Noto Sans Display"/>
          <w:b/>
          <w:bCs/>
          <w:kern w:val="2"/>
          <w:szCs w:val="22"/>
          <w:lang w:val="fr-FR"/>
          <w14:ligatures w14:val="standardContextual"/>
        </w:rPr>
      </w:pPr>
      <w:r w:rsidRPr="00100E35">
        <w:rPr>
          <w:b/>
          <w:lang w:val="fr-FR"/>
        </w:rPr>
        <w:t>A.</w:t>
      </w:r>
      <w:r w:rsidR="00964C4C">
        <w:rPr>
          <w:b/>
          <w:lang w:val="fr-FR"/>
        </w:rPr>
        <w:tab/>
      </w:r>
      <w:r w:rsidRPr="00100E35">
        <w:rPr>
          <w:b/>
          <w:i/>
          <w:lang w:val="fr-FR"/>
        </w:rPr>
        <w:t>Modèle au prorata</w:t>
      </w:r>
    </w:p>
    <w:p w14:paraId="10595909" w14:textId="3F4BDAE5"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Dans le modèle au prorata, toutes les recettes mensuelles sont mises en commun et réparties entre chaque titre de chanson en fonction du nombre total d</w:t>
      </w:r>
      <w:r w:rsidR="00100E35">
        <w:rPr>
          <w:lang w:val="fr-FR"/>
        </w:rPr>
        <w:t>’</w:t>
      </w:r>
      <w:r w:rsidRPr="00100E35">
        <w:rPr>
          <w:lang w:val="fr-FR"/>
        </w:rPr>
        <w:t>écout</w:t>
      </w:r>
      <w:r w:rsidR="007A1AE9" w:rsidRPr="00100E35">
        <w:rPr>
          <w:lang w:val="fr-FR"/>
        </w:rPr>
        <w:t>es</w:t>
      </w:r>
      <w:r w:rsidR="007A1AE9">
        <w:rPr>
          <w:lang w:val="fr-FR"/>
        </w:rPr>
        <w:t xml:space="preserve">.  </w:t>
      </w:r>
      <w:r w:rsidR="007A1AE9" w:rsidRPr="00100E35">
        <w:rPr>
          <w:lang w:val="fr-FR"/>
        </w:rPr>
        <w:t>La</w:t>
      </w:r>
      <w:r w:rsidRPr="00100E35">
        <w:rPr>
          <w:lang w:val="fr-FR"/>
        </w:rPr>
        <w:t xml:space="preserve"> formule permettant de calculer le modèle au prorata pour chaque titre est la suivante</w:t>
      </w:r>
      <w:r w:rsidR="00100E35">
        <w:rPr>
          <w:lang w:val="fr-FR"/>
        </w:rPr>
        <w:t> :</w:t>
      </w:r>
    </w:p>
    <w:p w14:paraId="4EB96A10" w14:textId="12CB63BD" w:rsidR="00AC4817" w:rsidRPr="00100E35" w:rsidRDefault="00AB7351" w:rsidP="00AC4817">
      <w:pPr>
        <w:spacing w:before="180" w:after="240"/>
        <w:rPr>
          <w:rFonts w:eastAsia="Aptos" w:cs="Noto Sans Display"/>
          <w:kern w:val="2"/>
          <w:szCs w:val="22"/>
          <w:lang w:val="fr-FR"/>
          <w14:ligatures w14:val="standardContextual"/>
        </w:rPr>
      </w:pPr>
      <m:oMathPara>
        <m:oMath>
          <m:f>
            <m:fPr>
              <m:ctrlPr>
                <w:rPr>
                  <w:rFonts w:ascii="Cambria Math" w:eastAsia="Aptos" w:hAnsi="Cambria Math" w:cs="Noto Sans Display"/>
                  <w:i/>
                  <w:kern w:val="2"/>
                  <w:szCs w:val="22"/>
                  <w:lang w:val="fr-FR" w:eastAsia="en-US"/>
                  <w14:ligatures w14:val="standardContextual"/>
                </w:rPr>
              </m:ctrlPr>
            </m:fPr>
            <m:num>
              <m:r>
                <w:rPr>
                  <w:rFonts w:ascii="Cambria Math" w:eastAsia="Aptos" w:hAnsi="Cambria Math" w:cs="Noto Sans Display"/>
                  <w:kern w:val="2"/>
                  <w:szCs w:val="22"/>
                  <w:lang w:val="fr-FR" w:eastAsia="en-US"/>
                  <w14:ligatures w14:val="standardContextual"/>
                </w:rPr>
                <m:t>Nombre total d’écoutes du morceau A</m:t>
              </m:r>
            </m:num>
            <m:den>
              <m:r>
                <w:rPr>
                  <w:rFonts w:ascii="Cambria Math" w:eastAsia="Aptos" w:hAnsi="Cambria Math" w:cs="Noto Sans Display"/>
                  <w:kern w:val="2"/>
                  <w:szCs w:val="22"/>
                  <w:lang w:val="fr-FR" w:eastAsia="en-US"/>
                  <w14:ligatures w14:val="standardContextual"/>
                </w:rPr>
                <m:t>Nombre total d’écoutes</m:t>
              </m:r>
            </m:den>
          </m:f>
          <m:r>
            <w:rPr>
              <w:rFonts w:ascii="Cambria Math" w:eastAsia="Aptos" w:hAnsi="Cambria Math" w:cs="Noto Sans Display"/>
              <w:kern w:val="2"/>
              <w:szCs w:val="22"/>
              <w:lang w:val="fr-FR" w:eastAsia="en-US"/>
              <w14:ligatures w14:val="standardContextual"/>
            </w:rPr>
            <m:t xml:space="preserve"> x Revenu total</m:t>
          </m:r>
        </m:oMath>
      </m:oMathPara>
    </w:p>
    <w:p w14:paraId="3A26BFB4" w14:textId="013638B4"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Par exemple, si le morceau A reçoit 100 écoutes, alors que le nombre total d</w:t>
      </w:r>
      <w:r w:rsidR="00100E35">
        <w:rPr>
          <w:lang w:val="fr-FR"/>
        </w:rPr>
        <w:t>’</w:t>
      </w:r>
      <w:r w:rsidRPr="00100E35">
        <w:rPr>
          <w:lang w:val="fr-FR"/>
        </w:rPr>
        <w:t>écoutes s</w:t>
      </w:r>
      <w:r w:rsidR="00100E35">
        <w:rPr>
          <w:lang w:val="fr-FR"/>
        </w:rPr>
        <w:t>’</w:t>
      </w:r>
      <w:r w:rsidRPr="00100E35">
        <w:rPr>
          <w:lang w:val="fr-FR"/>
        </w:rPr>
        <w:t>élève à 1 000 000 et que le revenu total après déduction des frais de service est de 500 millions de roupies indonésiennes (IDR), le montant alloué au titre A est calculé comme suit</w:t>
      </w:r>
      <w:r w:rsidR="00100E35">
        <w:rPr>
          <w:lang w:val="fr-FR"/>
        </w:rPr>
        <w:t> :</w:t>
      </w:r>
    </w:p>
    <w:p w14:paraId="7B9538B3" w14:textId="4CF50B21" w:rsidR="00AC4817" w:rsidRPr="00100E35" w:rsidRDefault="00AB7351" w:rsidP="00AC4817">
      <w:pPr>
        <w:spacing w:before="180" w:after="240"/>
        <w:rPr>
          <w:rFonts w:eastAsia="Aptos" w:cs="Noto Sans Display"/>
          <w:kern w:val="2"/>
          <w:szCs w:val="22"/>
          <w:lang w:val="fr-FR"/>
          <w14:ligatures w14:val="standardContextual"/>
        </w:rPr>
      </w:pPr>
      <m:oMathPara>
        <m:oMath>
          <m:f>
            <m:fPr>
              <m:ctrlPr>
                <w:rPr>
                  <w:rFonts w:ascii="Cambria Math" w:eastAsia="Aptos" w:hAnsi="Cambria Math" w:cs="Noto Sans Display"/>
                  <w:i/>
                  <w:kern w:val="2"/>
                  <w:szCs w:val="22"/>
                  <w:lang w:val="fr-FR" w:eastAsia="en-US"/>
                  <w14:ligatures w14:val="standardContextual"/>
                </w:rPr>
              </m:ctrlPr>
            </m:fPr>
            <m:num>
              <m:r>
                <w:rPr>
                  <w:rFonts w:ascii="Cambria Math" w:eastAsia="Aptos" w:hAnsi="Cambria Math" w:cs="Noto Sans Display"/>
                  <w:kern w:val="2"/>
                  <w:szCs w:val="22"/>
                  <w:lang w:val="fr-FR" w:eastAsia="en-US"/>
                  <w14:ligatures w14:val="standardContextual"/>
                </w:rPr>
                <m:t>100</m:t>
              </m:r>
            </m:num>
            <m:den>
              <m:r>
                <w:rPr>
                  <w:rFonts w:ascii="Cambria Math" w:eastAsia="Aptos" w:hAnsi="Cambria Math" w:cs="Noto Sans Display"/>
                  <w:kern w:val="2"/>
                  <w:szCs w:val="22"/>
                  <w:lang w:val="fr-FR" w:eastAsia="en-US"/>
                  <w14:ligatures w14:val="standardContextual"/>
                </w:rPr>
                <m:t>1 000 000</m:t>
              </m:r>
            </m:den>
          </m:f>
          <m:r>
            <w:rPr>
              <w:rFonts w:ascii="Cambria Math" w:eastAsia="Aptos" w:hAnsi="Cambria Math" w:cs="Noto Sans Display"/>
              <w:kern w:val="2"/>
              <w:szCs w:val="22"/>
              <w:lang w:val="fr-FR" w:eastAsia="en-US"/>
              <w14:ligatures w14:val="standardContextual"/>
            </w:rPr>
            <m:t xml:space="preserve"> x 500 000 000</m:t>
          </m:r>
        </m:oMath>
      </m:oMathPara>
    </w:p>
    <w:p w14:paraId="26AD22D7" w14:textId="20246EDC" w:rsidR="00AC4817" w:rsidRPr="00100E35" w:rsidRDefault="00AC4817" w:rsidP="00AC4817">
      <w:pPr>
        <w:spacing w:before="180" w:after="240"/>
        <w:rPr>
          <w:rFonts w:eastAsia="Aptos" w:cs="Noto Sans Display"/>
          <w:kern w:val="2"/>
          <w:szCs w:val="22"/>
          <w:lang w:val="fr-FR"/>
          <w14:ligatures w14:val="standardContextual"/>
        </w:rPr>
      </w:pPr>
      <m:oMathPara>
        <m:oMath>
          <m:r>
            <w:rPr>
              <w:rFonts w:ascii="Cambria Math" w:eastAsia="Aptos" w:hAnsi="Cambria Math" w:cs="Noto Sans Display"/>
              <w:kern w:val="2"/>
              <w:szCs w:val="22"/>
              <w:lang w:val="fr-FR" w:eastAsia="en-US"/>
              <w14:ligatures w14:val="standardContextual"/>
            </w:rPr>
            <m:t>0,0001 x 500 000 000=50 000</m:t>
          </m:r>
        </m:oMath>
      </m:oMathPara>
    </w:p>
    <w:p w14:paraId="5B1E56AA" w14:textId="77777777"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Le montant de 50 000 IDR est ensuite réparti entre les titulaires de droits du morceau A.</w:t>
      </w:r>
    </w:p>
    <w:p w14:paraId="35EF9951" w14:textId="2A725C16" w:rsidR="00AC4817" w:rsidRPr="00100E35" w:rsidRDefault="00AC4817" w:rsidP="00AC4817">
      <w:pPr>
        <w:spacing w:before="180" w:after="240"/>
        <w:rPr>
          <w:rFonts w:eastAsia="Aptos" w:cs="Noto Sans Display"/>
          <w:b/>
          <w:bCs/>
          <w:kern w:val="2"/>
          <w:szCs w:val="22"/>
          <w:lang w:val="fr-FR"/>
          <w14:ligatures w14:val="standardContextual"/>
        </w:rPr>
      </w:pPr>
      <w:r w:rsidRPr="00100E35">
        <w:rPr>
          <w:b/>
          <w:lang w:val="fr-FR"/>
        </w:rPr>
        <w:t>B.</w:t>
      </w:r>
      <w:r w:rsidR="00964C4C">
        <w:rPr>
          <w:b/>
          <w:lang w:val="fr-FR"/>
        </w:rPr>
        <w:tab/>
      </w:r>
      <w:r w:rsidRPr="00100E35">
        <w:rPr>
          <w:b/>
          <w:i/>
          <w:lang w:val="fr-FR"/>
        </w:rPr>
        <w:t>Système de paiement centré sur l</w:t>
      </w:r>
      <w:r w:rsidR="00100E35">
        <w:rPr>
          <w:b/>
          <w:i/>
          <w:lang w:val="fr-FR"/>
        </w:rPr>
        <w:t>’</w:t>
      </w:r>
      <w:r w:rsidRPr="00100E35">
        <w:rPr>
          <w:b/>
          <w:i/>
          <w:lang w:val="fr-FR"/>
        </w:rPr>
        <w:t>utilisateur</w:t>
      </w:r>
    </w:p>
    <w:p w14:paraId="43D97EEF" w14:textId="79E8DBC6"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Le calcul selon le modèle du système de paiement centré sur l</w:t>
      </w:r>
      <w:r w:rsidR="00100E35">
        <w:rPr>
          <w:lang w:val="fr-FR"/>
        </w:rPr>
        <w:t>’</w:t>
      </w:r>
      <w:r w:rsidRPr="00100E35">
        <w:rPr>
          <w:lang w:val="fr-FR"/>
        </w:rPr>
        <w:t>utilisateur est effectué sur la base des habitudes d</w:t>
      </w:r>
      <w:r w:rsidR="00100E35">
        <w:rPr>
          <w:lang w:val="fr-FR"/>
        </w:rPr>
        <w:t>’</w:t>
      </w:r>
      <w:r w:rsidRPr="00100E35">
        <w:rPr>
          <w:lang w:val="fr-FR"/>
        </w:rPr>
        <w:t>écoute de chaque indivi</w:t>
      </w:r>
      <w:r w:rsidR="007A1AE9" w:rsidRPr="00100E35">
        <w:rPr>
          <w:lang w:val="fr-FR"/>
        </w:rPr>
        <w:t>du</w:t>
      </w:r>
      <w:r w:rsidR="007A1AE9">
        <w:rPr>
          <w:lang w:val="fr-FR"/>
        </w:rPr>
        <w:t xml:space="preserve">.  </w:t>
      </w:r>
      <w:r w:rsidR="007A1AE9" w:rsidRPr="00100E35">
        <w:rPr>
          <w:lang w:val="fr-FR"/>
        </w:rPr>
        <w:t>La</w:t>
      </w:r>
      <w:r w:rsidRPr="00100E35">
        <w:rPr>
          <w:lang w:val="fr-FR"/>
        </w:rPr>
        <w:t xml:space="preserve"> formule pour calculer le montant selon le système de paiement centré sur l</w:t>
      </w:r>
      <w:r w:rsidR="00100E35">
        <w:rPr>
          <w:lang w:val="fr-FR"/>
        </w:rPr>
        <w:t>’</w:t>
      </w:r>
      <w:r w:rsidRPr="00100E35">
        <w:rPr>
          <w:lang w:val="fr-FR"/>
        </w:rPr>
        <w:t>utilisateur pour chaque titre est la suivante</w:t>
      </w:r>
      <w:r w:rsidR="00100E35">
        <w:rPr>
          <w:lang w:val="fr-FR"/>
        </w:rPr>
        <w:t> :</w:t>
      </w:r>
    </w:p>
    <w:p w14:paraId="09E76DBF" w14:textId="0C52E6B8" w:rsidR="00AC4817" w:rsidRPr="00100E35" w:rsidRDefault="00AB7351" w:rsidP="00AC4817">
      <w:pPr>
        <w:spacing w:before="180" w:after="240"/>
        <w:rPr>
          <w:rFonts w:eastAsia="Aptos" w:cs="Noto Sans Display"/>
          <w:kern w:val="2"/>
          <w:szCs w:val="22"/>
          <w:lang w:val="fr-FR"/>
          <w14:ligatures w14:val="standardContextual"/>
        </w:rPr>
      </w:pPr>
      <m:oMathPara>
        <m:oMath>
          <m:f>
            <m:fPr>
              <m:ctrlPr>
                <w:rPr>
                  <w:rFonts w:ascii="Cambria Math" w:eastAsia="Aptos" w:hAnsi="Cambria Math" w:cs="Noto Sans Display"/>
                  <w:i/>
                  <w:kern w:val="2"/>
                  <w:szCs w:val="22"/>
                  <w:lang w:val="fr-FR" w:eastAsia="en-US"/>
                  <w14:ligatures w14:val="standardContextual"/>
                </w:rPr>
              </m:ctrlPr>
            </m:fPr>
            <m:num>
              <m:r>
                <w:rPr>
                  <w:rFonts w:ascii="Cambria Math" w:eastAsia="Aptos" w:hAnsi="Cambria Math" w:cs="Noto Sans Display"/>
                  <w:kern w:val="2"/>
                  <w:szCs w:val="22"/>
                  <w:lang w:val="fr-FR" w:eastAsia="en-US"/>
                  <w14:ligatures w14:val="standardContextual"/>
                </w:rPr>
                <m:t>Nombre total d’écoutes du morceau A par l’utilisateur 1</m:t>
              </m:r>
            </m:num>
            <m:den>
              <m:r>
                <w:rPr>
                  <w:rFonts w:ascii="Cambria Math" w:eastAsia="Aptos" w:hAnsi="Cambria Math" w:cs="Noto Sans Display"/>
                  <w:kern w:val="2"/>
                  <w:szCs w:val="22"/>
                  <w:lang w:val="fr-FR" w:eastAsia="en-US"/>
                  <w14:ligatures w14:val="standardContextual"/>
                </w:rPr>
                <m:t>Nombre total d’écoutes de l’utilisateur 1</m:t>
              </m:r>
            </m:den>
          </m:f>
          <m:r>
            <w:rPr>
              <w:rFonts w:ascii="Cambria Math" w:eastAsia="Aptos" w:hAnsi="Cambria Math" w:cs="Noto Sans Display"/>
              <w:kern w:val="2"/>
              <w:szCs w:val="22"/>
              <w:lang w:val="fr-FR" w:eastAsia="en-US"/>
              <w14:ligatures w14:val="standardContextual"/>
            </w:rPr>
            <m:t xml:space="preserve"> x Revenu total de l’utilisateur 1</m:t>
          </m:r>
        </m:oMath>
      </m:oMathPara>
    </w:p>
    <w:p w14:paraId="0E69E07A" w14:textId="01E021CF"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Par exemple, si le nombre total d</w:t>
      </w:r>
      <w:r w:rsidR="00100E35">
        <w:rPr>
          <w:lang w:val="fr-FR"/>
        </w:rPr>
        <w:t>’</w:t>
      </w:r>
      <w:r w:rsidRPr="00100E35">
        <w:rPr>
          <w:lang w:val="fr-FR"/>
        </w:rPr>
        <w:t>écoutes de l</w:t>
      </w:r>
      <w:r w:rsidR="00100E35">
        <w:rPr>
          <w:lang w:val="fr-FR"/>
        </w:rPr>
        <w:t>’</w:t>
      </w:r>
      <w:r w:rsidRPr="00100E35">
        <w:rPr>
          <w:lang w:val="fr-FR"/>
        </w:rPr>
        <w:t>utilisateur 1 s</w:t>
      </w:r>
      <w:r w:rsidR="00100E35">
        <w:rPr>
          <w:lang w:val="fr-FR"/>
        </w:rPr>
        <w:t>’</w:t>
      </w:r>
      <w:r w:rsidRPr="00100E35">
        <w:rPr>
          <w:lang w:val="fr-FR"/>
        </w:rPr>
        <w:t>élève à 100, dont 25 pour le morceau A, et que les recettes générées par l</w:t>
      </w:r>
      <w:r w:rsidR="00100E35">
        <w:rPr>
          <w:lang w:val="fr-FR"/>
        </w:rPr>
        <w:t>’</w:t>
      </w:r>
      <w:r w:rsidRPr="00100E35">
        <w:rPr>
          <w:lang w:val="fr-FR"/>
        </w:rPr>
        <w:t>utilisateur 1 s</w:t>
      </w:r>
      <w:r w:rsidR="00100E35">
        <w:rPr>
          <w:lang w:val="fr-FR"/>
        </w:rPr>
        <w:t>’</w:t>
      </w:r>
      <w:r w:rsidRPr="00100E35">
        <w:rPr>
          <w:lang w:val="fr-FR"/>
        </w:rPr>
        <w:t>élèvent à 150 000 IDR, le montant alloué au morceau A est calculé comme suit</w:t>
      </w:r>
      <w:r w:rsidR="00100E35">
        <w:rPr>
          <w:lang w:val="fr-FR"/>
        </w:rPr>
        <w:t> :</w:t>
      </w:r>
    </w:p>
    <w:p w14:paraId="0ED5629E" w14:textId="5890A6B9" w:rsidR="00AC4817" w:rsidRPr="00100E35" w:rsidRDefault="00AB7351" w:rsidP="00AC4817">
      <w:pPr>
        <w:spacing w:before="180" w:after="240"/>
        <w:rPr>
          <w:rFonts w:eastAsia="Aptos" w:cs="Noto Sans Display"/>
          <w:kern w:val="2"/>
          <w:szCs w:val="22"/>
          <w:lang w:val="fr-FR"/>
          <w14:ligatures w14:val="standardContextual"/>
        </w:rPr>
      </w:pPr>
      <m:oMathPara>
        <m:oMath>
          <m:f>
            <m:fPr>
              <m:ctrlPr>
                <w:rPr>
                  <w:rFonts w:ascii="Cambria Math" w:eastAsia="Aptos" w:hAnsi="Cambria Math" w:cs="Noto Sans Display"/>
                  <w:i/>
                  <w:kern w:val="2"/>
                  <w:szCs w:val="22"/>
                  <w:lang w:val="fr-FR" w:eastAsia="en-US"/>
                  <w14:ligatures w14:val="standardContextual"/>
                </w:rPr>
              </m:ctrlPr>
            </m:fPr>
            <m:num>
              <m:r>
                <w:rPr>
                  <w:rFonts w:ascii="Cambria Math" w:eastAsia="Aptos" w:hAnsi="Cambria Math" w:cs="Noto Sans Display"/>
                  <w:kern w:val="2"/>
                  <w:szCs w:val="22"/>
                  <w:lang w:val="fr-FR" w:eastAsia="en-US"/>
                  <w14:ligatures w14:val="standardContextual"/>
                </w:rPr>
                <m:t>25</m:t>
              </m:r>
            </m:num>
            <m:den>
              <m:r>
                <w:rPr>
                  <w:rFonts w:ascii="Cambria Math" w:eastAsia="Aptos" w:hAnsi="Cambria Math" w:cs="Noto Sans Display"/>
                  <w:kern w:val="2"/>
                  <w:szCs w:val="22"/>
                  <w:lang w:val="fr-FR" w:eastAsia="en-US"/>
                  <w14:ligatures w14:val="standardContextual"/>
                </w:rPr>
                <m:t>100</m:t>
              </m:r>
            </m:den>
          </m:f>
          <m:r>
            <w:rPr>
              <w:rFonts w:ascii="Cambria Math" w:eastAsia="Aptos" w:hAnsi="Cambria Math" w:cs="Noto Sans Display"/>
              <w:kern w:val="2"/>
              <w:szCs w:val="22"/>
              <w:lang w:val="fr-FR" w:eastAsia="en-US"/>
              <w14:ligatures w14:val="standardContextual"/>
            </w:rPr>
            <m:t xml:space="preserve"> x 150 000</m:t>
          </m:r>
        </m:oMath>
      </m:oMathPara>
    </w:p>
    <w:p w14:paraId="2B350704" w14:textId="4737250C" w:rsidR="00AC4817" w:rsidRPr="00100E35" w:rsidRDefault="00AC4817" w:rsidP="00AC4817">
      <w:pPr>
        <w:spacing w:before="180" w:after="240"/>
        <w:rPr>
          <w:rFonts w:eastAsia="Aptos" w:cs="Noto Sans Display"/>
          <w:kern w:val="2"/>
          <w:szCs w:val="22"/>
          <w:lang w:val="fr-FR"/>
          <w14:ligatures w14:val="standardContextual"/>
        </w:rPr>
      </w:pPr>
      <m:oMathPara>
        <m:oMath>
          <m:r>
            <w:rPr>
              <w:rFonts w:ascii="Cambria Math" w:eastAsia="Aptos" w:hAnsi="Cambria Math" w:cs="Noto Sans Display"/>
              <w:kern w:val="2"/>
              <w:szCs w:val="22"/>
              <w:lang w:val="fr-FR" w:eastAsia="en-US"/>
              <w14:ligatures w14:val="standardContextual"/>
            </w:rPr>
            <m:t>0,25 x 200 000=37 500</m:t>
          </m:r>
        </m:oMath>
      </m:oMathPara>
    </w:p>
    <w:p w14:paraId="2C5AE019" w14:textId="77777777"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Le montant de </w:t>
      </w:r>
      <w:r w:rsidRPr="00100E35">
        <w:rPr>
          <w:b/>
          <w:lang w:val="fr-FR"/>
        </w:rPr>
        <w:t>37 500 IDR</w:t>
      </w:r>
      <w:r w:rsidRPr="00100E35">
        <w:rPr>
          <w:lang w:val="fr-FR"/>
        </w:rPr>
        <w:t xml:space="preserve"> est ensuite réparti entre les titulaires de droits du morceau A.</w:t>
      </w:r>
    </w:p>
    <w:p w14:paraId="3553E90A" w14:textId="77777777" w:rsidR="00AC4817" w:rsidRPr="00100E35" w:rsidRDefault="00AC4817" w:rsidP="00AC4817">
      <w:pPr>
        <w:spacing w:before="180" w:after="240"/>
        <w:rPr>
          <w:rFonts w:eastAsia="Aptos" w:cs="Noto Sans Display"/>
          <w:b/>
          <w:bCs/>
          <w:kern w:val="2"/>
          <w:szCs w:val="22"/>
          <w:lang w:val="fr-FR"/>
          <w14:ligatures w14:val="standardContextual"/>
        </w:rPr>
      </w:pPr>
      <w:r w:rsidRPr="00100E35">
        <w:rPr>
          <w:b/>
          <w:lang w:val="fr-FR"/>
        </w:rPr>
        <w:t>Références</w:t>
      </w:r>
    </w:p>
    <w:p w14:paraId="6F1FE2D2" w14:textId="31DCC0E1" w:rsidR="00AC4817" w:rsidRPr="00100E35" w:rsidRDefault="00AC4817" w:rsidP="00AC4817">
      <w:pPr>
        <w:spacing w:before="180" w:after="240"/>
        <w:rPr>
          <w:rFonts w:eastAsia="Aptos" w:cs="Noto Sans Display"/>
          <w:kern w:val="2"/>
          <w:szCs w:val="22"/>
          <w:lang w:val="fr-FR"/>
          <w14:ligatures w14:val="standardContextual"/>
        </w:rPr>
      </w:pPr>
      <w:r w:rsidRPr="00AB7351">
        <w:rPr>
          <w:lang w:val="en-US"/>
        </w:rPr>
        <w:t xml:space="preserve">Muikku, Jari. </w:t>
      </w:r>
      <w:r w:rsidR="0080246A" w:rsidRPr="00AB7351">
        <w:rPr>
          <w:lang w:val="en-US"/>
        </w:rPr>
        <w:t xml:space="preserve"> </w:t>
      </w:r>
      <w:r w:rsidRPr="00AB7351">
        <w:rPr>
          <w:lang w:val="en-US"/>
        </w:rPr>
        <w:t xml:space="preserve">“Pro Rata and User Centric Distribution Models: A Comparative Study”. </w:t>
      </w:r>
      <w:r w:rsidR="0080246A" w:rsidRPr="00AB7351">
        <w:rPr>
          <w:lang w:val="en-US"/>
        </w:rPr>
        <w:t xml:space="preserve"> </w:t>
      </w:r>
      <w:r w:rsidRPr="00100E35">
        <w:rPr>
          <w:i/>
          <w:lang w:val="fr-FR"/>
        </w:rPr>
        <w:t>Digital Media Finla</w:t>
      </w:r>
      <w:r w:rsidR="007A1AE9" w:rsidRPr="00100E35">
        <w:rPr>
          <w:i/>
          <w:lang w:val="fr-FR"/>
        </w:rPr>
        <w:t>nd</w:t>
      </w:r>
      <w:r w:rsidR="007A1AE9">
        <w:rPr>
          <w:i/>
          <w:lang w:val="fr-FR"/>
        </w:rPr>
        <w:t xml:space="preserve">.  </w:t>
      </w:r>
      <w:r w:rsidR="007A1AE9" w:rsidRPr="00100E35">
        <w:rPr>
          <w:lang w:val="fr-FR"/>
        </w:rPr>
        <w:t>He</w:t>
      </w:r>
      <w:r w:rsidRPr="00100E35">
        <w:rPr>
          <w:lang w:val="fr-FR"/>
        </w:rPr>
        <w:t>lsinki, 2017.</w:t>
      </w:r>
      <w:r w:rsidR="0080246A">
        <w:rPr>
          <w:lang w:val="fr-FR"/>
        </w:rPr>
        <w:t xml:space="preserve"> </w:t>
      </w:r>
      <w:r w:rsidRPr="00100E35">
        <w:rPr>
          <w:lang w:val="fr-FR"/>
        </w:rPr>
        <w:t xml:space="preserve"> </w:t>
      </w:r>
      <w:hyperlink r:id="rId20" w:history="1">
        <w:r w:rsidRPr="00100E35">
          <w:rPr>
            <w:color w:val="467886"/>
            <w:u w:val="single"/>
            <w:lang w:val="fr-FR"/>
          </w:rPr>
          <w:t>http://www.ifpi.org/downloads/GMR2017.pdf</w:t>
        </w:r>
      </w:hyperlink>
      <w:r w:rsidRPr="00100E35">
        <w:rPr>
          <w:lang w:val="fr-FR"/>
        </w:rPr>
        <w:t>.</w:t>
      </w:r>
    </w:p>
    <w:p w14:paraId="354D895A" w14:textId="77777777" w:rsidR="00AC4817" w:rsidRPr="00100E35" w:rsidRDefault="00AC4817" w:rsidP="00AC4817">
      <w:pPr>
        <w:spacing w:before="180" w:after="240"/>
        <w:rPr>
          <w:rFonts w:eastAsia="Aptos" w:cs="Noto Sans Display"/>
          <w:kern w:val="2"/>
          <w:szCs w:val="22"/>
          <w:lang w:val="fr-FR" w:eastAsia="en-US"/>
          <w14:ligatures w14:val="standardContextual"/>
        </w:rPr>
        <w:sectPr w:rsidR="00AC4817" w:rsidRPr="00100E35" w:rsidSect="00AD3CB9">
          <w:endnotePr>
            <w:numFmt w:val="decimal"/>
          </w:endnotePr>
          <w:pgSz w:w="11907" w:h="16840" w:code="9"/>
          <w:pgMar w:top="567" w:right="1134" w:bottom="1418" w:left="1418" w:header="510" w:footer="1021" w:gutter="0"/>
          <w:cols w:space="720"/>
          <w:titlePg/>
          <w:docGrid w:linePitch="360"/>
        </w:sectPr>
      </w:pPr>
    </w:p>
    <w:p w14:paraId="7A9B0D4B" w14:textId="04990317" w:rsidR="00AC4817" w:rsidRPr="00100E35" w:rsidRDefault="00AC4817" w:rsidP="00AC4817">
      <w:pPr>
        <w:pStyle w:val="Heading3"/>
        <w:rPr>
          <w:color w:val="1F497D" w:themeColor="text2"/>
          <w:u w:val="none"/>
          <w:lang w:val="fr-FR"/>
        </w:rPr>
      </w:pPr>
      <w:bookmarkStart w:id="14" w:name="_Toc213431912"/>
      <w:r w:rsidRPr="00100E35">
        <w:rPr>
          <w:b/>
          <w:color w:val="1F497D" w:themeColor="text2"/>
          <w:u w:val="none"/>
          <w:lang w:val="fr-FR"/>
        </w:rPr>
        <w:t>Annexe III</w:t>
      </w:r>
      <w:r w:rsidR="00100E35">
        <w:rPr>
          <w:b/>
          <w:color w:val="1F497D" w:themeColor="text2"/>
          <w:u w:val="none"/>
          <w:lang w:val="fr-FR"/>
        </w:rPr>
        <w:t xml:space="preserve"> – </w:t>
      </w:r>
      <w:r w:rsidRPr="00100E35">
        <w:rPr>
          <w:color w:val="1F497D" w:themeColor="text2"/>
          <w:u w:val="none"/>
          <w:lang w:val="fr-FR"/>
        </w:rPr>
        <w:t>Recensement des problématiques nationales et régionales en ce qui concerne la gouvernance du droit d</w:t>
      </w:r>
      <w:r w:rsidR="00100E35">
        <w:rPr>
          <w:color w:val="1F497D" w:themeColor="text2"/>
          <w:u w:val="none"/>
          <w:lang w:val="fr-FR"/>
        </w:rPr>
        <w:t>’</w:t>
      </w:r>
      <w:r w:rsidRPr="00100E35">
        <w:rPr>
          <w:color w:val="1F497D" w:themeColor="text2"/>
          <w:u w:val="none"/>
          <w:lang w:val="fr-FR"/>
        </w:rPr>
        <w:t>auteur entre les entreprises de plateformes numériques et les sociétés de presse.</w:t>
      </w:r>
      <w:bookmarkEnd w:id="14"/>
    </w:p>
    <w:tbl>
      <w:tblPr>
        <w:tblW w:w="146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0"/>
        <w:gridCol w:w="6665"/>
        <w:gridCol w:w="1441"/>
        <w:gridCol w:w="2959"/>
      </w:tblGrid>
      <w:tr w:rsidR="00AC4817" w:rsidRPr="00100E35" w14:paraId="28AB3F10" w14:textId="77777777" w:rsidTr="00B4555B">
        <w:trPr>
          <w:trHeight w:val="253"/>
        </w:trPr>
        <w:tc>
          <w:tcPr>
            <w:tcW w:w="1839" w:type="dxa"/>
            <w:shd w:val="clear" w:color="auto" w:fill="D9D9D9"/>
          </w:tcPr>
          <w:p w14:paraId="295A0104" w14:textId="77777777" w:rsidR="00AC4817" w:rsidRPr="00100E35" w:rsidRDefault="00AC4817" w:rsidP="0033238B">
            <w:pPr>
              <w:widowControl w:val="0"/>
              <w:autoSpaceDE w:val="0"/>
              <w:autoSpaceDN w:val="0"/>
              <w:spacing w:before="1" w:line="233" w:lineRule="exact"/>
              <w:jc w:val="center"/>
              <w:rPr>
                <w:rFonts w:asciiTheme="majorBidi" w:eastAsia="Times New Roman" w:hAnsiTheme="majorBidi" w:cstheme="majorBidi"/>
                <w:b/>
                <w:spacing w:val="-2"/>
                <w:sz w:val="20"/>
                <w:lang w:val="fr-FR"/>
              </w:rPr>
            </w:pPr>
            <w:r w:rsidRPr="00100E35">
              <w:rPr>
                <w:rFonts w:asciiTheme="majorBidi" w:hAnsiTheme="majorBidi"/>
                <w:b/>
                <w:sz w:val="20"/>
                <w:lang w:val="fr-FR"/>
              </w:rPr>
              <w:t>Questions clés</w:t>
            </w:r>
          </w:p>
        </w:tc>
        <w:tc>
          <w:tcPr>
            <w:tcW w:w="1700" w:type="dxa"/>
            <w:shd w:val="clear" w:color="auto" w:fill="D9D9D9"/>
          </w:tcPr>
          <w:p w14:paraId="7CE5B936" w14:textId="77777777" w:rsidR="00AC4817" w:rsidRPr="00100E35" w:rsidRDefault="00AC4817" w:rsidP="00E76CEA">
            <w:pPr>
              <w:widowControl w:val="0"/>
              <w:autoSpaceDE w:val="0"/>
              <w:autoSpaceDN w:val="0"/>
              <w:spacing w:before="1" w:line="233" w:lineRule="exact"/>
              <w:ind w:left="527"/>
              <w:rPr>
                <w:rFonts w:asciiTheme="majorBidi" w:eastAsia="Times New Roman" w:hAnsiTheme="majorBidi" w:cstheme="majorBidi"/>
                <w:b/>
                <w:spacing w:val="-2"/>
                <w:sz w:val="20"/>
                <w:lang w:val="fr-FR"/>
              </w:rPr>
            </w:pPr>
            <w:r w:rsidRPr="00100E35">
              <w:rPr>
                <w:rFonts w:asciiTheme="majorBidi" w:hAnsiTheme="majorBidi"/>
                <w:b/>
                <w:sz w:val="20"/>
                <w:lang w:val="fr-FR"/>
              </w:rPr>
              <w:t>Aspect</w:t>
            </w:r>
          </w:p>
        </w:tc>
        <w:tc>
          <w:tcPr>
            <w:tcW w:w="6665" w:type="dxa"/>
            <w:shd w:val="clear" w:color="auto" w:fill="D9D9D9"/>
          </w:tcPr>
          <w:p w14:paraId="13FF46C1" w14:textId="77777777" w:rsidR="00AC4817" w:rsidRPr="00100E35" w:rsidRDefault="00AC4817" w:rsidP="00E76CEA">
            <w:pPr>
              <w:widowControl w:val="0"/>
              <w:autoSpaceDE w:val="0"/>
              <w:autoSpaceDN w:val="0"/>
              <w:spacing w:before="1" w:line="233" w:lineRule="exact"/>
              <w:ind w:left="2242" w:right="2229"/>
              <w:jc w:val="center"/>
              <w:rPr>
                <w:rFonts w:asciiTheme="majorBidi" w:eastAsia="Times New Roman" w:hAnsiTheme="majorBidi" w:cstheme="majorBidi"/>
                <w:b/>
                <w:sz w:val="20"/>
                <w:lang w:val="fr-FR"/>
              </w:rPr>
            </w:pPr>
            <w:r w:rsidRPr="00100E35">
              <w:rPr>
                <w:rFonts w:asciiTheme="majorBidi" w:hAnsiTheme="majorBidi"/>
                <w:b/>
                <w:sz w:val="20"/>
                <w:lang w:val="fr-FR"/>
              </w:rPr>
              <w:t>Identification du problème</w:t>
            </w:r>
          </w:p>
        </w:tc>
        <w:tc>
          <w:tcPr>
            <w:tcW w:w="1441" w:type="dxa"/>
            <w:shd w:val="clear" w:color="auto" w:fill="D9D9D9"/>
          </w:tcPr>
          <w:p w14:paraId="434A1096" w14:textId="77777777" w:rsidR="00AC4817" w:rsidRPr="00100E35" w:rsidRDefault="00AC4817" w:rsidP="00E76CEA">
            <w:pPr>
              <w:widowControl w:val="0"/>
              <w:autoSpaceDE w:val="0"/>
              <w:autoSpaceDN w:val="0"/>
              <w:spacing w:before="1" w:line="233" w:lineRule="exact"/>
              <w:ind w:left="147" w:right="134"/>
              <w:jc w:val="center"/>
              <w:rPr>
                <w:rFonts w:asciiTheme="majorBidi" w:eastAsia="Times New Roman" w:hAnsiTheme="majorBidi" w:cstheme="majorBidi"/>
                <w:b/>
                <w:sz w:val="20"/>
                <w:lang w:val="fr-FR"/>
              </w:rPr>
            </w:pPr>
            <w:r w:rsidRPr="00100E35">
              <w:rPr>
                <w:rFonts w:asciiTheme="majorBidi" w:hAnsiTheme="majorBidi"/>
                <w:b/>
                <w:sz w:val="20"/>
                <w:lang w:val="fr-FR"/>
              </w:rPr>
              <w:t>Région</w:t>
            </w:r>
          </w:p>
        </w:tc>
        <w:tc>
          <w:tcPr>
            <w:tcW w:w="2959" w:type="dxa"/>
            <w:shd w:val="clear" w:color="auto" w:fill="D9D9D9"/>
          </w:tcPr>
          <w:p w14:paraId="0B6B265C" w14:textId="77777777" w:rsidR="00AC4817" w:rsidRPr="00100E35" w:rsidRDefault="00AC4817" w:rsidP="0033238B">
            <w:pPr>
              <w:widowControl w:val="0"/>
              <w:autoSpaceDE w:val="0"/>
              <w:autoSpaceDN w:val="0"/>
              <w:spacing w:before="1" w:line="233" w:lineRule="exact"/>
              <w:jc w:val="center"/>
              <w:rPr>
                <w:rFonts w:asciiTheme="majorBidi" w:eastAsia="Times New Roman" w:hAnsiTheme="majorBidi" w:cstheme="majorBidi"/>
                <w:b/>
                <w:sz w:val="20"/>
                <w:lang w:val="fr-FR"/>
              </w:rPr>
            </w:pPr>
            <w:r w:rsidRPr="00100E35">
              <w:rPr>
                <w:rFonts w:asciiTheme="majorBidi" w:hAnsiTheme="majorBidi"/>
                <w:b/>
                <w:sz w:val="20"/>
                <w:lang w:val="fr-FR"/>
              </w:rPr>
              <w:t>Réglementation en vigueur</w:t>
            </w:r>
          </w:p>
        </w:tc>
      </w:tr>
      <w:tr w:rsidR="00AC4817" w:rsidRPr="00100E35" w14:paraId="0C1A802D" w14:textId="77777777" w:rsidTr="00B4555B">
        <w:trPr>
          <w:trHeight w:val="259"/>
        </w:trPr>
        <w:tc>
          <w:tcPr>
            <w:tcW w:w="1839" w:type="dxa"/>
            <w:tcBorders>
              <w:bottom w:val="nil"/>
            </w:tcBorders>
          </w:tcPr>
          <w:p w14:paraId="4C9EFFA9"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bottom w:val="nil"/>
            </w:tcBorders>
          </w:tcPr>
          <w:p w14:paraId="0AC2CEBD"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bottom w:val="nil"/>
            </w:tcBorders>
          </w:tcPr>
          <w:p w14:paraId="6E81E20D" w14:textId="11A1B1C4" w:rsidR="00AC4817" w:rsidRPr="00100E35" w:rsidRDefault="00AC4817" w:rsidP="00E76CEA">
            <w:pPr>
              <w:widowControl w:val="0"/>
              <w:autoSpaceDE w:val="0"/>
              <w:autoSpaceDN w:val="0"/>
              <w:spacing w:before="1" w:line="238" w:lineRule="exact"/>
              <w:ind w:left="109"/>
              <w:rPr>
                <w:rFonts w:asciiTheme="majorBidi" w:eastAsia="Times New Roman" w:hAnsiTheme="majorBidi" w:cstheme="majorBidi"/>
                <w:sz w:val="20"/>
                <w:lang w:val="fr-FR"/>
              </w:rPr>
            </w:pPr>
            <w:r w:rsidRPr="00100E35">
              <w:rPr>
                <w:rFonts w:asciiTheme="majorBidi" w:hAnsiTheme="majorBidi"/>
                <w:sz w:val="20"/>
                <w:lang w:val="fr-FR"/>
              </w:rPr>
              <w:t>L</w:t>
            </w:r>
            <w:r w:rsidR="00100E35">
              <w:rPr>
                <w:rFonts w:asciiTheme="majorBidi" w:hAnsiTheme="majorBidi"/>
                <w:sz w:val="20"/>
                <w:lang w:val="fr-FR"/>
              </w:rPr>
              <w:t>’</w:t>
            </w:r>
            <w:r w:rsidRPr="00100E35">
              <w:rPr>
                <w:rFonts w:asciiTheme="majorBidi" w:hAnsiTheme="majorBidi"/>
                <w:sz w:val="20"/>
                <w:lang w:val="fr-FR"/>
              </w:rPr>
              <w:t>Indonésie reconnaît le concept de “droits de l</w:t>
            </w:r>
            <w:r w:rsidR="00100E35">
              <w:rPr>
                <w:rFonts w:asciiTheme="majorBidi" w:hAnsiTheme="majorBidi"/>
                <w:sz w:val="20"/>
                <w:lang w:val="fr-FR"/>
              </w:rPr>
              <w:t>’</w:t>
            </w:r>
            <w:r w:rsidRPr="00100E35">
              <w:rPr>
                <w:rFonts w:asciiTheme="majorBidi" w:hAnsiTheme="majorBidi"/>
                <w:sz w:val="20"/>
                <w:lang w:val="fr-FR"/>
              </w:rPr>
              <w:t>éditeur”, mais n</w:t>
            </w:r>
            <w:r w:rsidR="00100E35">
              <w:rPr>
                <w:rFonts w:asciiTheme="majorBidi" w:hAnsiTheme="majorBidi"/>
                <w:sz w:val="20"/>
                <w:lang w:val="fr-FR"/>
              </w:rPr>
              <w:t>’</w:t>
            </w:r>
            <w:r w:rsidRPr="00100E35">
              <w:rPr>
                <w:rFonts w:asciiTheme="majorBidi" w:hAnsiTheme="majorBidi"/>
                <w:sz w:val="20"/>
                <w:lang w:val="fr-FR"/>
              </w:rPr>
              <w:t>a pas</w:t>
            </w:r>
          </w:p>
        </w:tc>
        <w:tc>
          <w:tcPr>
            <w:tcW w:w="1441" w:type="dxa"/>
            <w:tcBorders>
              <w:bottom w:val="nil"/>
            </w:tcBorders>
          </w:tcPr>
          <w:p w14:paraId="07CA122C"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2959" w:type="dxa"/>
            <w:tcBorders>
              <w:bottom w:val="nil"/>
            </w:tcBorders>
          </w:tcPr>
          <w:p w14:paraId="6E27E8CA"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r>
      <w:tr w:rsidR="00AC4817" w:rsidRPr="00100E35" w14:paraId="7B7900A6" w14:textId="77777777" w:rsidTr="00B4555B">
        <w:trPr>
          <w:trHeight w:val="437"/>
        </w:trPr>
        <w:tc>
          <w:tcPr>
            <w:tcW w:w="1839" w:type="dxa"/>
            <w:tcBorders>
              <w:top w:val="nil"/>
              <w:bottom w:val="nil"/>
            </w:tcBorders>
          </w:tcPr>
          <w:p w14:paraId="6FB3FC50"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66E36B37"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top w:val="nil"/>
              <w:bottom w:val="nil"/>
            </w:tcBorders>
          </w:tcPr>
          <w:p w14:paraId="3D951B63" w14:textId="381B47E0"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rPr>
            </w:pPr>
            <w:r w:rsidRPr="00100E35">
              <w:rPr>
                <w:rFonts w:asciiTheme="majorBidi" w:hAnsiTheme="majorBidi"/>
                <w:sz w:val="20"/>
                <w:lang w:val="fr-FR"/>
              </w:rPr>
              <w:t>mis en place de gouvernance pour le paiement des redevances sur le droit d</w:t>
            </w:r>
            <w:r w:rsidR="00100E35">
              <w:rPr>
                <w:rFonts w:asciiTheme="majorBidi" w:hAnsiTheme="majorBidi"/>
                <w:sz w:val="20"/>
                <w:lang w:val="fr-FR"/>
              </w:rPr>
              <w:t>’</w:t>
            </w:r>
            <w:r w:rsidRPr="00100E35">
              <w:rPr>
                <w:rFonts w:asciiTheme="majorBidi" w:hAnsiTheme="majorBidi"/>
                <w:sz w:val="20"/>
                <w:lang w:val="fr-FR"/>
              </w:rPr>
              <w:t>auteur des œuvres journalistiqu</w:t>
            </w:r>
            <w:r w:rsidR="007A1AE9" w:rsidRPr="00100E35">
              <w:rPr>
                <w:rFonts w:asciiTheme="majorBidi" w:hAnsiTheme="majorBidi"/>
                <w:sz w:val="20"/>
                <w:lang w:val="fr-FR"/>
              </w:rPr>
              <w:t>es</w:t>
            </w:r>
            <w:r w:rsidR="007A1AE9">
              <w:rPr>
                <w:rFonts w:asciiTheme="majorBidi" w:hAnsiTheme="majorBidi"/>
                <w:sz w:val="20"/>
                <w:lang w:val="fr-FR"/>
              </w:rPr>
              <w:t xml:space="preserve">.  </w:t>
            </w:r>
            <w:r w:rsidR="007A1AE9" w:rsidRPr="00100E35">
              <w:rPr>
                <w:rFonts w:asciiTheme="majorBidi" w:hAnsiTheme="majorBidi"/>
                <w:sz w:val="20"/>
                <w:lang w:val="fr-FR"/>
              </w:rPr>
              <w:t>Le</w:t>
            </w:r>
            <w:r w:rsidRPr="00100E35">
              <w:rPr>
                <w:rFonts w:asciiTheme="majorBidi" w:hAnsiTheme="majorBidi"/>
                <w:sz w:val="20"/>
                <w:lang w:val="fr-FR"/>
              </w:rPr>
              <w:t xml:space="preserve"> règlement présidentiel n°</w:t>
            </w:r>
            <w:r w:rsidR="0080246A">
              <w:rPr>
                <w:rFonts w:asciiTheme="majorBidi" w:hAnsiTheme="majorBidi"/>
                <w:sz w:val="20"/>
                <w:lang w:val="fr-FR"/>
              </w:rPr>
              <w:t> </w:t>
            </w:r>
            <w:r w:rsidRPr="00100E35">
              <w:rPr>
                <w:rFonts w:asciiTheme="majorBidi" w:hAnsiTheme="majorBidi"/>
                <w:sz w:val="20"/>
                <w:lang w:val="fr-FR"/>
              </w:rPr>
              <w:t>32/2024 régit la coopération entre les entreprises de plateformes numériques et les sociétés de pres</w:t>
            </w:r>
            <w:r w:rsidR="007A1AE9" w:rsidRPr="00100E35">
              <w:rPr>
                <w:rFonts w:asciiTheme="majorBidi" w:hAnsiTheme="majorBidi"/>
                <w:sz w:val="20"/>
                <w:lang w:val="fr-FR"/>
              </w:rPr>
              <w:t>se</w:t>
            </w:r>
            <w:r w:rsidR="007A1AE9">
              <w:rPr>
                <w:rFonts w:asciiTheme="majorBidi" w:hAnsiTheme="majorBidi"/>
                <w:sz w:val="20"/>
                <w:lang w:val="fr-FR"/>
              </w:rPr>
              <w:t xml:space="preserve">.  </w:t>
            </w:r>
            <w:r w:rsidR="007A1AE9" w:rsidRPr="00100E35">
              <w:rPr>
                <w:rFonts w:asciiTheme="majorBidi" w:hAnsiTheme="majorBidi"/>
                <w:sz w:val="20"/>
                <w:lang w:val="fr-FR"/>
              </w:rPr>
              <w:t>L</w:t>
            </w:r>
            <w:r w:rsidR="007A1AE9">
              <w:rPr>
                <w:rFonts w:asciiTheme="majorBidi" w:hAnsiTheme="majorBidi"/>
                <w:sz w:val="20"/>
                <w:lang w:val="fr-FR"/>
              </w:rPr>
              <w:t>’</w:t>
            </w:r>
            <w:r w:rsidR="007A1AE9" w:rsidRPr="00100E35">
              <w:rPr>
                <w:rFonts w:asciiTheme="majorBidi" w:hAnsiTheme="majorBidi"/>
                <w:sz w:val="20"/>
                <w:lang w:val="fr-FR"/>
              </w:rPr>
              <w:t>a</w:t>
            </w:r>
            <w:r w:rsidRPr="00100E35">
              <w:rPr>
                <w:rFonts w:asciiTheme="majorBidi" w:hAnsiTheme="majorBidi"/>
                <w:sz w:val="20"/>
                <w:lang w:val="fr-FR"/>
              </w:rPr>
              <w:t>linéa 2 de l</w:t>
            </w:r>
            <w:r w:rsidR="00100E35">
              <w:rPr>
                <w:rFonts w:asciiTheme="majorBidi" w:hAnsiTheme="majorBidi"/>
                <w:sz w:val="20"/>
                <w:lang w:val="fr-FR"/>
              </w:rPr>
              <w:t>’</w:t>
            </w:r>
            <w:r w:rsidRPr="00100E35">
              <w:rPr>
                <w:rFonts w:asciiTheme="majorBidi" w:hAnsiTheme="majorBidi"/>
                <w:sz w:val="20"/>
                <w:lang w:val="fr-FR"/>
              </w:rPr>
              <w:t>article 7 stipule que cette coopération peut prendre la forme de licences payantes, de partage des revenus, de partage des données agrégées des utilisateurs sur les actualités et</w:t>
            </w:r>
          </w:p>
        </w:tc>
        <w:tc>
          <w:tcPr>
            <w:tcW w:w="1441" w:type="dxa"/>
            <w:tcBorders>
              <w:top w:val="nil"/>
              <w:bottom w:val="nil"/>
            </w:tcBorders>
          </w:tcPr>
          <w:p w14:paraId="1C4868DA" w14:textId="77777777" w:rsidR="00AC4817" w:rsidRPr="0033238B" w:rsidRDefault="00AC4817" w:rsidP="0033238B">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Indonésie</w:t>
            </w:r>
          </w:p>
        </w:tc>
        <w:tc>
          <w:tcPr>
            <w:tcW w:w="2959" w:type="dxa"/>
            <w:tcBorders>
              <w:top w:val="nil"/>
              <w:bottom w:val="nil"/>
            </w:tcBorders>
          </w:tcPr>
          <w:p w14:paraId="20EB3C67" w14:textId="09A140B5" w:rsidR="00AC4817" w:rsidRPr="00100E35" w:rsidRDefault="00AC4817" w:rsidP="00E76CEA">
            <w:pPr>
              <w:widowControl w:val="0"/>
              <w:tabs>
                <w:tab w:val="left" w:pos="1883"/>
              </w:tabs>
              <w:autoSpaceDE w:val="0"/>
              <w:autoSpaceDN w:val="0"/>
              <w:ind w:left="108" w:right="94"/>
              <w:jc w:val="both"/>
              <w:rPr>
                <w:rFonts w:asciiTheme="majorBidi" w:eastAsia="Times New Roman" w:hAnsiTheme="majorBidi" w:cstheme="majorBidi"/>
                <w:sz w:val="20"/>
                <w:lang w:val="fr-FR"/>
              </w:rPr>
            </w:pPr>
            <w:r w:rsidRPr="00100E35">
              <w:rPr>
                <w:rFonts w:asciiTheme="majorBidi" w:hAnsiTheme="majorBidi"/>
                <w:sz w:val="20"/>
                <w:lang w:val="fr-FR"/>
              </w:rPr>
              <w:t>Règlement présidentiel n°</w:t>
            </w:r>
            <w:r w:rsidR="0080246A">
              <w:rPr>
                <w:rFonts w:asciiTheme="majorBidi" w:hAnsiTheme="majorBidi"/>
                <w:sz w:val="20"/>
                <w:lang w:val="fr-FR"/>
              </w:rPr>
              <w:t> </w:t>
            </w:r>
            <w:r w:rsidRPr="00100E35">
              <w:rPr>
                <w:rFonts w:asciiTheme="majorBidi" w:hAnsiTheme="majorBidi"/>
                <w:sz w:val="20"/>
                <w:lang w:val="fr-FR"/>
              </w:rPr>
              <w:t>32 de 2024 sur la responsabilité des entreprises numériques dans le soutien à un journalisme de qualité.</w:t>
            </w:r>
          </w:p>
        </w:tc>
      </w:tr>
      <w:tr w:rsidR="00AC4817" w:rsidRPr="00100E35" w14:paraId="11D878DD" w14:textId="77777777" w:rsidTr="00B4555B">
        <w:trPr>
          <w:trHeight w:val="249"/>
        </w:trPr>
        <w:tc>
          <w:tcPr>
            <w:tcW w:w="1839" w:type="dxa"/>
            <w:tcBorders>
              <w:top w:val="nil"/>
              <w:bottom w:val="nil"/>
            </w:tcBorders>
          </w:tcPr>
          <w:p w14:paraId="6C1ADA36"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5D3237D6"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top w:val="nil"/>
            </w:tcBorders>
          </w:tcPr>
          <w:p w14:paraId="6A94EE12" w14:textId="1D1612A6" w:rsidR="00AC4817" w:rsidRPr="00100E35" w:rsidRDefault="00AC4817" w:rsidP="00E76CEA">
            <w:pPr>
              <w:widowControl w:val="0"/>
              <w:autoSpaceDE w:val="0"/>
              <w:autoSpaceDN w:val="0"/>
              <w:spacing w:line="230" w:lineRule="exact"/>
              <w:ind w:left="109"/>
              <w:rPr>
                <w:rFonts w:asciiTheme="majorBidi" w:eastAsia="Times New Roman" w:hAnsiTheme="majorBidi" w:cstheme="majorBidi"/>
                <w:sz w:val="20"/>
                <w:lang w:val="fr-FR"/>
              </w:rPr>
            </w:pPr>
            <w:r w:rsidRPr="00100E35">
              <w:rPr>
                <w:rFonts w:asciiTheme="majorBidi" w:hAnsiTheme="majorBidi"/>
                <w:sz w:val="20"/>
                <w:lang w:val="fr-FR"/>
              </w:rPr>
              <w:t>d</w:t>
            </w:r>
            <w:r w:rsidR="00100E35">
              <w:rPr>
                <w:rFonts w:asciiTheme="majorBidi" w:hAnsiTheme="majorBidi"/>
                <w:sz w:val="20"/>
                <w:lang w:val="fr-FR"/>
              </w:rPr>
              <w:t>’</w:t>
            </w:r>
            <w:r w:rsidRPr="00100E35">
              <w:rPr>
                <w:rFonts w:asciiTheme="majorBidi" w:hAnsiTheme="majorBidi"/>
                <w:sz w:val="20"/>
                <w:lang w:val="fr-FR"/>
              </w:rPr>
              <w:t>autres formes convenues d</w:t>
            </w:r>
            <w:r w:rsidR="00100E35">
              <w:rPr>
                <w:rFonts w:asciiTheme="majorBidi" w:hAnsiTheme="majorBidi"/>
                <w:sz w:val="20"/>
                <w:lang w:val="fr-FR"/>
              </w:rPr>
              <w:t>’</w:t>
            </w:r>
            <w:r w:rsidRPr="00100E35">
              <w:rPr>
                <w:rFonts w:asciiTheme="majorBidi" w:hAnsiTheme="majorBidi"/>
                <w:sz w:val="20"/>
                <w:lang w:val="fr-FR"/>
              </w:rPr>
              <w:t>un commun accord.</w:t>
            </w:r>
          </w:p>
        </w:tc>
        <w:tc>
          <w:tcPr>
            <w:tcW w:w="1441" w:type="dxa"/>
            <w:tcBorders>
              <w:top w:val="nil"/>
            </w:tcBorders>
          </w:tcPr>
          <w:p w14:paraId="6E7E26DE"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2959" w:type="dxa"/>
            <w:tcBorders>
              <w:top w:val="nil"/>
            </w:tcBorders>
          </w:tcPr>
          <w:p w14:paraId="78A5F5ED"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r>
      <w:tr w:rsidR="00AC4817" w:rsidRPr="00100E35" w14:paraId="6C394607" w14:textId="77777777" w:rsidTr="00B4555B">
        <w:trPr>
          <w:trHeight w:val="1017"/>
        </w:trPr>
        <w:tc>
          <w:tcPr>
            <w:tcW w:w="1839" w:type="dxa"/>
            <w:tcBorders>
              <w:top w:val="nil"/>
              <w:bottom w:val="nil"/>
            </w:tcBorders>
          </w:tcPr>
          <w:p w14:paraId="38A18230"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270C455A"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bottom w:val="nil"/>
            </w:tcBorders>
          </w:tcPr>
          <w:p w14:paraId="1CCD6657" w14:textId="24E894FE" w:rsidR="00AC4817" w:rsidRPr="00100E35" w:rsidRDefault="00AC4817" w:rsidP="00E76CEA">
            <w:pPr>
              <w:widowControl w:val="0"/>
              <w:autoSpaceDE w:val="0"/>
              <w:autoSpaceDN w:val="0"/>
              <w:spacing w:before="1"/>
              <w:ind w:left="109"/>
              <w:rPr>
                <w:rFonts w:asciiTheme="majorBidi" w:eastAsia="Times New Roman" w:hAnsiTheme="majorBidi" w:cstheme="majorBidi"/>
                <w:sz w:val="20"/>
                <w:lang w:val="fr-FR"/>
              </w:rPr>
            </w:pPr>
            <w:r w:rsidRPr="00100E35">
              <w:rPr>
                <w:rFonts w:asciiTheme="majorBidi" w:hAnsiTheme="majorBidi"/>
                <w:sz w:val="20"/>
                <w:lang w:val="fr-FR"/>
              </w:rPr>
              <w:t>L</w:t>
            </w:r>
            <w:r w:rsidR="00100E35">
              <w:rPr>
                <w:rFonts w:asciiTheme="majorBidi" w:hAnsiTheme="majorBidi"/>
                <w:sz w:val="20"/>
                <w:lang w:val="fr-FR"/>
              </w:rPr>
              <w:t>’</w:t>
            </w:r>
            <w:r w:rsidRPr="00100E35">
              <w:rPr>
                <w:rFonts w:asciiTheme="majorBidi" w:hAnsiTheme="majorBidi"/>
                <w:sz w:val="20"/>
                <w:lang w:val="fr-FR"/>
              </w:rPr>
              <w:t>Union européenne confère des “droits aux éditeurs de publications de presse” au titre de l</w:t>
            </w:r>
            <w:r w:rsidR="00100E35">
              <w:rPr>
                <w:rFonts w:asciiTheme="majorBidi" w:hAnsiTheme="majorBidi"/>
                <w:sz w:val="20"/>
                <w:lang w:val="fr-FR"/>
              </w:rPr>
              <w:t>’</w:t>
            </w:r>
            <w:r w:rsidRPr="00100E35">
              <w:rPr>
                <w:rFonts w:asciiTheme="majorBidi" w:hAnsiTheme="majorBidi"/>
                <w:sz w:val="20"/>
                <w:lang w:val="fr-FR"/>
              </w:rPr>
              <w:t>article 15 de la directive DSM et exige que les auteurs/journalistes perçoivent une part équitable des revenus tirés de la concession de licenc</w:t>
            </w:r>
            <w:r w:rsidR="007A1AE9" w:rsidRPr="00100E35">
              <w:rPr>
                <w:rFonts w:asciiTheme="majorBidi" w:hAnsiTheme="majorBidi"/>
                <w:sz w:val="20"/>
                <w:lang w:val="fr-FR"/>
              </w:rPr>
              <w:t>es</w:t>
            </w:r>
            <w:r w:rsidR="007A1AE9">
              <w:rPr>
                <w:rFonts w:asciiTheme="majorBidi" w:hAnsiTheme="majorBidi"/>
                <w:sz w:val="20"/>
                <w:lang w:val="fr-FR"/>
              </w:rPr>
              <w:t xml:space="preserve">.  </w:t>
            </w:r>
            <w:r w:rsidR="007A1AE9" w:rsidRPr="00100E35">
              <w:rPr>
                <w:rFonts w:asciiTheme="majorBidi" w:hAnsiTheme="majorBidi"/>
                <w:sz w:val="20"/>
                <w:lang w:val="fr-FR"/>
              </w:rPr>
              <w:t>Ce</w:t>
            </w:r>
            <w:r w:rsidRPr="00100E35">
              <w:rPr>
                <w:rFonts w:asciiTheme="majorBidi" w:hAnsiTheme="majorBidi"/>
                <w:sz w:val="20"/>
                <w:lang w:val="fr-FR"/>
              </w:rPr>
              <w:t>pendant, les interprétations de cet article varient, donnant lieu à différents mécanismes de mise en œuvre et de gouvernance</w:t>
            </w:r>
          </w:p>
        </w:tc>
        <w:tc>
          <w:tcPr>
            <w:tcW w:w="1441" w:type="dxa"/>
            <w:tcBorders>
              <w:bottom w:val="nil"/>
            </w:tcBorders>
          </w:tcPr>
          <w:p w14:paraId="0EDBC684" w14:textId="77777777" w:rsidR="00AC4817" w:rsidRPr="0033238B" w:rsidRDefault="00AC4817" w:rsidP="0033238B">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Union européenne</w:t>
            </w:r>
          </w:p>
        </w:tc>
        <w:tc>
          <w:tcPr>
            <w:tcW w:w="2959" w:type="dxa"/>
            <w:tcBorders>
              <w:bottom w:val="nil"/>
            </w:tcBorders>
          </w:tcPr>
          <w:p w14:paraId="205B5E31" w14:textId="00D96AAA" w:rsidR="00AC4817" w:rsidRPr="00100E35" w:rsidRDefault="00AC4817" w:rsidP="00E76CEA">
            <w:pPr>
              <w:widowControl w:val="0"/>
              <w:tabs>
                <w:tab w:val="left" w:pos="597"/>
                <w:tab w:val="left" w:pos="1445"/>
                <w:tab w:val="left" w:pos="2213"/>
              </w:tabs>
              <w:autoSpaceDE w:val="0"/>
              <w:autoSpaceDN w:val="0"/>
              <w:spacing w:line="237" w:lineRule="auto"/>
              <w:ind w:left="109" w:right="92"/>
              <w:jc w:val="both"/>
              <w:rPr>
                <w:rFonts w:asciiTheme="majorBidi" w:eastAsia="Times New Roman" w:hAnsiTheme="majorBidi" w:cstheme="majorBidi"/>
                <w:sz w:val="20"/>
                <w:lang w:val="fr-FR"/>
              </w:rPr>
            </w:pPr>
            <w:r w:rsidRPr="00100E35">
              <w:rPr>
                <w:rFonts w:asciiTheme="majorBidi" w:hAnsiTheme="majorBidi"/>
                <w:sz w:val="20"/>
                <w:lang w:val="fr-FR"/>
              </w:rPr>
              <w:t>Directive de l</w:t>
            </w:r>
            <w:r w:rsidR="00100E35">
              <w:rPr>
                <w:rFonts w:asciiTheme="majorBidi" w:hAnsiTheme="majorBidi"/>
                <w:sz w:val="20"/>
                <w:lang w:val="fr-FR"/>
              </w:rPr>
              <w:t>’</w:t>
            </w:r>
            <w:r w:rsidRPr="00100E35">
              <w:rPr>
                <w:rFonts w:asciiTheme="majorBidi" w:hAnsiTheme="majorBidi"/>
                <w:sz w:val="20"/>
                <w:lang w:val="fr-FR"/>
              </w:rPr>
              <w:t>UE sur le droit d</w:t>
            </w:r>
            <w:r w:rsidR="00100E35">
              <w:rPr>
                <w:rFonts w:asciiTheme="majorBidi" w:hAnsiTheme="majorBidi"/>
                <w:sz w:val="20"/>
                <w:lang w:val="fr-FR"/>
              </w:rPr>
              <w:t>’</w:t>
            </w:r>
            <w:r w:rsidRPr="00100E35">
              <w:rPr>
                <w:rFonts w:asciiTheme="majorBidi" w:hAnsiTheme="majorBidi"/>
                <w:sz w:val="20"/>
                <w:lang w:val="fr-FR"/>
              </w:rPr>
              <w:t>auteur dans le marché unique numérique (2019/790)</w:t>
            </w:r>
          </w:p>
        </w:tc>
      </w:tr>
      <w:tr w:rsidR="00AC4817" w:rsidRPr="00100E35" w14:paraId="1C6FD6B0" w14:textId="77777777" w:rsidTr="00B4555B">
        <w:trPr>
          <w:trHeight w:val="249"/>
        </w:trPr>
        <w:tc>
          <w:tcPr>
            <w:tcW w:w="1839" w:type="dxa"/>
            <w:tcBorders>
              <w:top w:val="nil"/>
              <w:bottom w:val="nil"/>
            </w:tcBorders>
          </w:tcPr>
          <w:p w14:paraId="6C407EA4"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01473C6A"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top w:val="nil"/>
            </w:tcBorders>
          </w:tcPr>
          <w:p w14:paraId="24E5521A" w14:textId="77777777" w:rsidR="00AC4817" w:rsidRPr="00100E35" w:rsidRDefault="00AC4817" w:rsidP="00E76CEA">
            <w:pPr>
              <w:widowControl w:val="0"/>
              <w:autoSpaceDE w:val="0"/>
              <w:autoSpaceDN w:val="0"/>
              <w:spacing w:line="230" w:lineRule="exact"/>
              <w:ind w:left="109"/>
              <w:rPr>
                <w:rFonts w:asciiTheme="majorBidi" w:eastAsia="Times New Roman" w:hAnsiTheme="majorBidi" w:cstheme="majorBidi"/>
                <w:sz w:val="20"/>
                <w:lang w:val="fr-FR"/>
              </w:rPr>
            </w:pPr>
            <w:r w:rsidRPr="00100E35">
              <w:rPr>
                <w:rFonts w:asciiTheme="majorBidi" w:hAnsiTheme="majorBidi"/>
                <w:sz w:val="20"/>
                <w:lang w:val="fr-FR"/>
              </w:rPr>
              <w:t>selon les États membres.</w:t>
            </w:r>
          </w:p>
        </w:tc>
        <w:tc>
          <w:tcPr>
            <w:tcW w:w="1441" w:type="dxa"/>
            <w:tcBorders>
              <w:top w:val="nil"/>
            </w:tcBorders>
          </w:tcPr>
          <w:p w14:paraId="0C8B6DA4"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2959" w:type="dxa"/>
            <w:tcBorders>
              <w:top w:val="nil"/>
            </w:tcBorders>
          </w:tcPr>
          <w:p w14:paraId="5BF9E26A" w14:textId="77777777"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eastAsia="en-US"/>
              </w:rPr>
            </w:pPr>
          </w:p>
        </w:tc>
      </w:tr>
      <w:tr w:rsidR="00AC4817" w:rsidRPr="00100E35" w14:paraId="1ECE862F" w14:textId="77777777" w:rsidTr="00B4555B">
        <w:trPr>
          <w:trHeight w:val="758"/>
        </w:trPr>
        <w:tc>
          <w:tcPr>
            <w:tcW w:w="1839" w:type="dxa"/>
            <w:vMerge w:val="restart"/>
            <w:tcBorders>
              <w:top w:val="nil"/>
              <w:bottom w:val="nil"/>
            </w:tcBorders>
          </w:tcPr>
          <w:p w14:paraId="098BD563" w14:textId="77777777" w:rsidR="00AC4817" w:rsidRPr="0033238B" w:rsidRDefault="00AC4817" w:rsidP="0033238B">
            <w:pPr>
              <w:widowControl w:val="0"/>
              <w:autoSpaceDE w:val="0"/>
              <w:autoSpaceDN w:val="0"/>
              <w:spacing w:before="1"/>
              <w:ind w:left="110" w:right="129"/>
              <w:rPr>
                <w:rFonts w:asciiTheme="majorBidi" w:hAnsiTheme="majorBidi"/>
                <w:sz w:val="20"/>
                <w:lang w:val="fr-FR"/>
              </w:rPr>
            </w:pPr>
            <w:r w:rsidRPr="00100E35">
              <w:rPr>
                <w:rFonts w:asciiTheme="majorBidi" w:hAnsiTheme="majorBidi"/>
                <w:sz w:val="20"/>
                <w:lang w:val="fr-FR"/>
              </w:rPr>
              <w:t>La gouvernance de la collecte et de la distribution des redevances pour les œuvres journalistiques</w:t>
            </w:r>
          </w:p>
        </w:tc>
        <w:tc>
          <w:tcPr>
            <w:tcW w:w="1700" w:type="dxa"/>
            <w:vMerge w:val="restart"/>
            <w:tcBorders>
              <w:top w:val="nil"/>
              <w:bottom w:val="nil"/>
            </w:tcBorders>
          </w:tcPr>
          <w:p w14:paraId="5485FA53" w14:textId="77777777" w:rsidR="00AC4817" w:rsidRPr="0033238B" w:rsidRDefault="00AC4817" w:rsidP="0033238B">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Équité et transparence</w:t>
            </w:r>
          </w:p>
        </w:tc>
        <w:tc>
          <w:tcPr>
            <w:tcW w:w="6665" w:type="dxa"/>
          </w:tcPr>
          <w:p w14:paraId="32E1274F" w14:textId="67A0E4F1" w:rsidR="00AC4817" w:rsidRPr="00100E35" w:rsidRDefault="00AC4817" w:rsidP="00E76CEA">
            <w:pPr>
              <w:widowControl w:val="0"/>
              <w:autoSpaceDE w:val="0"/>
              <w:autoSpaceDN w:val="0"/>
              <w:spacing w:line="242" w:lineRule="auto"/>
              <w:ind w:left="109"/>
              <w:rPr>
                <w:rFonts w:asciiTheme="majorBidi" w:eastAsia="Times New Roman" w:hAnsiTheme="majorBidi" w:cstheme="majorBidi"/>
                <w:sz w:val="20"/>
                <w:lang w:val="fr-FR"/>
              </w:rPr>
            </w:pPr>
            <w:r w:rsidRPr="00100E35">
              <w:rPr>
                <w:rFonts w:asciiTheme="majorBidi" w:hAnsiTheme="majorBidi"/>
                <w:sz w:val="20"/>
                <w:lang w:val="fr-FR"/>
              </w:rPr>
              <w:t>En Australie, le News Media Bargaining Code a créé un déséquilibre entre les grands groupes de presse et les plus petites sociétés régionales/rurales en ce qui concerne l</w:t>
            </w:r>
            <w:r w:rsidR="00100E35">
              <w:rPr>
                <w:rFonts w:asciiTheme="majorBidi" w:hAnsiTheme="majorBidi"/>
                <w:sz w:val="20"/>
                <w:lang w:val="fr-FR"/>
              </w:rPr>
              <w:t>’</w:t>
            </w:r>
            <w:r w:rsidRPr="00100E35">
              <w:rPr>
                <w:rFonts w:asciiTheme="majorBidi" w:hAnsiTheme="majorBidi"/>
                <w:sz w:val="20"/>
                <w:lang w:val="fr-FR"/>
              </w:rPr>
              <w:t>obtention de contrats commerciaux avec Google et Meta.</w:t>
            </w:r>
          </w:p>
        </w:tc>
        <w:tc>
          <w:tcPr>
            <w:tcW w:w="1441" w:type="dxa"/>
          </w:tcPr>
          <w:p w14:paraId="02ADBD6C" w14:textId="77777777" w:rsidR="00AC4817" w:rsidRPr="0033238B" w:rsidRDefault="00AC4817" w:rsidP="0033238B">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Australie</w:t>
            </w:r>
          </w:p>
        </w:tc>
        <w:tc>
          <w:tcPr>
            <w:tcW w:w="2959" w:type="dxa"/>
          </w:tcPr>
          <w:p w14:paraId="5E4882CB" w14:textId="77777777"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rPr>
            </w:pPr>
            <w:r w:rsidRPr="00100E35">
              <w:rPr>
                <w:rFonts w:asciiTheme="majorBidi" w:hAnsiTheme="majorBidi"/>
                <w:sz w:val="20"/>
                <w:lang w:val="fr-FR"/>
              </w:rPr>
              <w:t>News Media Bargaining Code (NMBC) 2021.</w:t>
            </w:r>
          </w:p>
        </w:tc>
      </w:tr>
      <w:tr w:rsidR="00AC4817" w:rsidRPr="00100E35" w14:paraId="5285CF5C" w14:textId="77777777" w:rsidTr="00B4555B">
        <w:trPr>
          <w:trHeight w:val="1295"/>
        </w:trPr>
        <w:tc>
          <w:tcPr>
            <w:tcW w:w="1839" w:type="dxa"/>
            <w:vMerge/>
            <w:tcBorders>
              <w:top w:val="nil"/>
              <w:bottom w:val="nil"/>
            </w:tcBorders>
          </w:tcPr>
          <w:p w14:paraId="73FE7AC9"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vMerge/>
            <w:tcBorders>
              <w:top w:val="nil"/>
              <w:bottom w:val="nil"/>
            </w:tcBorders>
          </w:tcPr>
          <w:p w14:paraId="04B95654"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Pr>
          <w:p w14:paraId="553177CE" w14:textId="0F3FFB86" w:rsidR="00AC4817" w:rsidRPr="00100E35" w:rsidRDefault="00AC4817" w:rsidP="00AC4817">
            <w:pPr>
              <w:widowControl w:val="0"/>
              <w:numPr>
                <w:ilvl w:val="0"/>
                <w:numId w:val="9"/>
              </w:numPr>
              <w:tabs>
                <w:tab w:val="left" w:pos="470"/>
              </w:tabs>
              <w:autoSpaceDE w:val="0"/>
              <w:autoSpaceDN w:val="0"/>
              <w:spacing w:before="26" w:line="225" w:lineRule="auto"/>
              <w:ind w:right="96"/>
              <w:rPr>
                <w:rFonts w:asciiTheme="majorBidi" w:eastAsia="Times New Roman" w:hAnsiTheme="majorBidi" w:cstheme="majorBidi"/>
                <w:sz w:val="20"/>
                <w:lang w:val="fr-FR"/>
              </w:rPr>
            </w:pPr>
            <w:r w:rsidRPr="00100E35">
              <w:rPr>
                <w:rFonts w:asciiTheme="majorBidi" w:hAnsiTheme="majorBidi"/>
                <w:sz w:val="20"/>
                <w:lang w:val="fr-FR"/>
              </w:rPr>
              <w:t>En 2014, l</w:t>
            </w:r>
            <w:r w:rsidR="00100E35">
              <w:rPr>
                <w:rFonts w:asciiTheme="majorBidi" w:hAnsiTheme="majorBidi"/>
                <w:sz w:val="20"/>
                <w:lang w:val="fr-FR"/>
              </w:rPr>
              <w:t>’</w:t>
            </w:r>
            <w:r w:rsidRPr="00100E35">
              <w:rPr>
                <w:rFonts w:asciiTheme="majorBidi" w:hAnsiTheme="majorBidi"/>
                <w:sz w:val="20"/>
                <w:lang w:val="fr-FR"/>
              </w:rPr>
              <w:t>Espagne a introduit une “taxe sur les liens”, qui a poussé Google à fermer l</w:t>
            </w:r>
            <w:r w:rsidR="00100E35">
              <w:rPr>
                <w:rFonts w:asciiTheme="majorBidi" w:hAnsiTheme="majorBidi"/>
                <w:sz w:val="20"/>
                <w:lang w:val="fr-FR"/>
              </w:rPr>
              <w:t>’</w:t>
            </w:r>
            <w:r w:rsidRPr="00100E35">
              <w:rPr>
                <w:rFonts w:asciiTheme="majorBidi" w:hAnsiTheme="majorBidi"/>
                <w:sz w:val="20"/>
                <w:lang w:val="fr-FR"/>
              </w:rPr>
              <w:t>accès à Google News pendant plusieurs années.</w:t>
            </w:r>
          </w:p>
          <w:p w14:paraId="65CE08E1" w14:textId="374A23B2" w:rsidR="00AC4817" w:rsidRPr="00100E35" w:rsidRDefault="00AC4817" w:rsidP="00AC4817">
            <w:pPr>
              <w:widowControl w:val="0"/>
              <w:numPr>
                <w:ilvl w:val="0"/>
                <w:numId w:val="9"/>
              </w:numPr>
              <w:tabs>
                <w:tab w:val="left" w:pos="470"/>
              </w:tabs>
              <w:autoSpaceDE w:val="0"/>
              <w:autoSpaceDN w:val="0"/>
              <w:spacing w:before="33" w:line="220" w:lineRule="auto"/>
              <w:ind w:right="95"/>
              <w:rPr>
                <w:rFonts w:asciiTheme="majorBidi" w:eastAsia="Times New Roman" w:hAnsiTheme="majorBidi" w:cstheme="majorBidi"/>
                <w:sz w:val="20"/>
                <w:lang w:val="fr-FR"/>
              </w:rPr>
            </w:pPr>
            <w:r w:rsidRPr="00100E35">
              <w:rPr>
                <w:rFonts w:asciiTheme="majorBidi" w:hAnsiTheme="majorBidi"/>
                <w:sz w:val="20"/>
                <w:lang w:val="fr-FR"/>
              </w:rPr>
              <w:t>Des études indiquent une baisse de la consommation d</w:t>
            </w:r>
            <w:r w:rsidR="00100E35">
              <w:rPr>
                <w:rFonts w:asciiTheme="majorBidi" w:hAnsiTheme="majorBidi"/>
                <w:sz w:val="20"/>
                <w:lang w:val="fr-FR"/>
              </w:rPr>
              <w:t>’</w:t>
            </w:r>
            <w:r w:rsidRPr="00100E35">
              <w:rPr>
                <w:rFonts w:asciiTheme="majorBidi" w:hAnsiTheme="majorBidi"/>
                <w:sz w:val="20"/>
                <w:lang w:val="fr-FR"/>
              </w:rPr>
              <w:t>actualités après l</w:t>
            </w:r>
            <w:r w:rsidR="00100E35">
              <w:rPr>
                <w:rFonts w:asciiTheme="majorBidi" w:hAnsiTheme="majorBidi"/>
                <w:sz w:val="20"/>
                <w:lang w:val="fr-FR"/>
              </w:rPr>
              <w:t>’</w:t>
            </w:r>
            <w:r w:rsidRPr="00100E35">
              <w:rPr>
                <w:rFonts w:asciiTheme="majorBidi" w:hAnsiTheme="majorBidi"/>
                <w:sz w:val="20"/>
                <w:lang w:val="fr-FR"/>
              </w:rPr>
              <w:t>introduction de la taxe sur les liens, pénalisant les plus petites sociétés de médias qui sont tributaires du nombre de visiteurs et des recettes publicitaires.</w:t>
            </w:r>
          </w:p>
        </w:tc>
        <w:tc>
          <w:tcPr>
            <w:tcW w:w="1441" w:type="dxa"/>
          </w:tcPr>
          <w:p w14:paraId="2C3780EC" w14:textId="77777777" w:rsidR="00AC4817" w:rsidRPr="0033238B" w:rsidRDefault="00AC4817" w:rsidP="0033238B">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Espagne</w:t>
            </w:r>
          </w:p>
        </w:tc>
        <w:tc>
          <w:tcPr>
            <w:tcW w:w="2959" w:type="dxa"/>
          </w:tcPr>
          <w:p w14:paraId="6859A7C3" w14:textId="77777777"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rPr>
            </w:pPr>
            <w:r w:rsidRPr="00100E35">
              <w:rPr>
                <w:rFonts w:asciiTheme="majorBidi" w:hAnsiTheme="majorBidi"/>
                <w:sz w:val="20"/>
                <w:lang w:val="fr-FR"/>
              </w:rPr>
              <w:t>Asociación de Editores de Diarios de España (AEDE), dans le cadre de la loi sur la propriété intellectuelle de 2014</w:t>
            </w:r>
          </w:p>
        </w:tc>
      </w:tr>
      <w:tr w:rsidR="00AC4817" w:rsidRPr="00100E35" w14:paraId="011CACA8" w14:textId="77777777" w:rsidTr="00B4555B">
        <w:trPr>
          <w:trHeight w:val="254"/>
        </w:trPr>
        <w:tc>
          <w:tcPr>
            <w:tcW w:w="1839" w:type="dxa"/>
            <w:tcBorders>
              <w:top w:val="nil"/>
              <w:bottom w:val="nil"/>
            </w:tcBorders>
          </w:tcPr>
          <w:p w14:paraId="7270EF5C"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719B8EAF"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bottom w:val="nil"/>
            </w:tcBorders>
          </w:tcPr>
          <w:p w14:paraId="77BDCFEC" w14:textId="5A2BC86E" w:rsidR="00AC4817" w:rsidRPr="00100E35" w:rsidRDefault="00AC4817" w:rsidP="00E76CEA">
            <w:pPr>
              <w:widowControl w:val="0"/>
              <w:autoSpaceDE w:val="0"/>
              <w:autoSpaceDN w:val="0"/>
              <w:spacing w:before="1" w:line="233" w:lineRule="exact"/>
              <w:ind w:left="109"/>
              <w:rPr>
                <w:rFonts w:asciiTheme="majorBidi" w:eastAsia="Times New Roman" w:hAnsiTheme="majorBidi" w:cstheme="majorBidi"/>
                <w:sz w:val="20"/>
                <w:lang w:val="fr-FR"/>
              </w:rPr>
            </w:pPr>
            <w:r w:rsidRPr="00100E35">
              <w:rPr>
                <w:rFonts w:asciiTheme="majorBidi" w:hAnsiTheme="majorBidi"/>
                <w:sz w:val="20"/>
                <w:lang w:val="fr-FR"/>
              </w:rPr>
              <w:t xml:space="preserve">Les algorithmes des principales plateformes numériques (Google, Meta, X) </w:t>
            </w:r>
          </w:p>
        </w:tc>
        <w:tc>
          <w:tcPr>
            <w:tcW w:w="1441" w:type="dxa"/>
            <w:tcBorders>
              <w:bottom w:val="nil"/>
            </w:tcBorders>
          </w:tcPr>
          <w:p w14:paraId="47DE96C8"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2959" w:type="dxa"/>
            <w:vMerge w:val="restart"/>
          </w:tcPr>
          <w:p w14:paraId="414B4ED9" w14:textId="77777777"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eastAsia="en-US"/>
              </w:rPr>
            </w:pPr>
          </w:p>
        </w:tc>
      </w:tr>
      <w:tr w:rsidR="00AC4817" w:rsidRPr="00100E35" w14:paraId="6B44DF51" w14:textId="77777777" w:rsidTr="00B4555B">
        <w:trPr>
          <w:trHeight w:val="494"/>
        </w:trPr>
        <w:tc>
          <w:tcPr>
            <w:tcW w:w="1839" w:type="dxa"/>
            <w:tcBorders>
              <w:top w:val="nil"/>
              <w:bottom w:val="nil"/>
            </w:tcBorders>
          </w:tcPr>
          <w:p w14:paraId="441869FF"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77A7219E"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top w:val="nil"/>
            </w:tcBorders>
          </w:tcPr>
          <w:p w14:paraId="61C1A8BA" w14:textId="29A9CE6B" w:rsidR="00AC4817" w:rsidRPr="00100E35" w:rsidRDefault="0033238B" w:rsidP="00E76CEA">
            <w:pPr>
              <w:widowControl w:val="0"/>
              <w:autoSpaceDE w:val="0"/>
              <w:autoSpaceDN w:val="0"/>
              <w:spacing w:line="243" w:lineRule="exact"/>
              <w:ind w:left="109"/>
              <w:rPr>
                <w:rFonts w:asciiTheme="majorBidi" w:eastAsia="Times New Roman" w:hAnsiTheme="majorBidi" w:cstheme="majorBidi"/>
                <w:sz w:val="20"/>
                <w:lang w:val="fr-FR"/>
              </w:rPr>
            </w:pPr>
            <w:r w:rsidRPr="00100E35">
              <w:rPr>
                <w:rFonts w:asciiTheme="majorBidi" w:hAnsiTheme="majorBidi"/>
                <w:sz w:val="20"/>
                <w:lang w:val="fr-FR"/>
              </w:rPr>
              <w:t xml:space="preserve">dominent </w:t>
            </w:r>
            <w:r w:rsidR="00AC4817" w:rsidRPr="00100E35">
              <w:rPr>
                <w:rFonts w:asciiTheme="majorBidi" w:hAnsiTheme="majorBidi"/>
                <w:sz w:val="20"/>
                <w:lang w:val="fr-FR"/>
              </w:rPr>
              <w:t>les actualités mondiales en Afrique du Sud et sous</w:t>
            </w:r>
            <w:r w:rsidR="00100E35">
              <w:rPr>
                <w:rFonts w:asciiTheme="majorBidi" w:hAnsiTheme="majorBidi"/>
                <w:sz w:val="20"/>
                <w:lang w:val="fr-FR"/>
              </w:rPr>
              <w:t>-</w:t>
            </w:r>
            <w:r w:rsidR="00AC4817" w:rsidRPr="00100E35">
              <w:rPr>
                <w:rFonts w:asciiTheme="majorBidi" w:hAnsiTheme="majorBidi"/>
                <w:sz w:val="20"/>
                <w:lang w:val="fr-FR"/>
              </w:rPr>
              <w:t>représentent les communautés et les médias locaux.</w:t>
            </w:r>
          </w:p>
        </w:tc>
        <w:tc>
          <w:tcPr>
            <w:tcW w:w="1441" w:type="dxa"/>
            <w:tcBorders>
              <w:top w:val="nil"/>
            </w:tcBorders>
          </w:tcPr>
          <w:p w14:paraId="5D72CB00" w14:textId="77777777" w:rsidR="00AC4817" w:rsidRPr="0033238B" w:rsidRDefault="00AC4817" w:rsidP="0033238B">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Afrique du Sud</w:t>
            </w:r>
          </w:p>
        </w:tc>
        <w:tc>
          <w:tcPr>
            <w:tcW w:w="2959" w:type="dxa"/>
            <w:vMerge/>
            <w:tcBorders>
              <w:top w:val="nil"/>
            </w:tcBorders>
          </w:tcPr>
          <w:p w14:paraId="17E29A44" w14:textId="77777777"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eastAsia="en-US"/>
              </w:rPr>
            </w:pPr>
          </w:p>
        </w:tc>
      </w:tr>
      <w:tr w:rsidR="00AC4817" w:rsidRPr="00100E35" w14:paraId="295DC574" w14:textId="77777777" w:rsidTr="00B4555B">
        <w:trPr>
          <w:trHeight w:val="278"/>
        </w:trPr>
        <w:tc>
          <w:tcPr>
            <w:tcW w:w="1839" w:type="dxa"/>
            <w:tcBorders>
              <w:top w:val="nil"/>
              <w:bottom w:val="nil"/>
            </w:tcBorders>
          </w:tcPr>
          <w:p w14:paraId="4C38249B"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20E123A7"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tcBorders>
              <w:bottom w:val="nil"/>
            </w:tcBorders>
          </w:tcPr>
          <w:p w14:paraId="7821933C" w14:textId="54C3EADB" w:rsidR="00AC4817" w:rsidRPr="00100E35" w:rsidRDefault="00AC4817" w:rsidP="00E76CEA">
            <w:pPr>
              <w:widowControl w:val="0"/>
              <w:autoSpaceDE w:val="0"/>
              <w:autoSpaceDN w:val="0"/>
              <w:spacing w:line="259" w:lineRule="exact"/>
              <w:ind w:left="109"/>
              <w:rPr>
                <w:rFonts w:asciiTheme="majorBidi" w:eastAsia="Times New Roman" w:hAnsiTheme="majorBidi" w:cstheme="majorBidi"/>
                <w:sz w:val="20"/>
                <w:lang w:val="fr-FR"/>
              </w:rPr>
            </w:pPr>
            <w:r w:rsidRPr="00100E35">
              <w:rPr>
                <w:rFonts w:asciiTheme="majorBidi" w:hAnsiTheme="majorBidi"/>
                <w:color w:val="0A0A03"/>
                <w:sz w:val="20"/>
                <w:lang w:val="fr-FR"/>
              </w:rPr>
              <w:t>La dynamique entre les titulaires de droits d</w:t>
            </w:r>
            <w:r w:rsidR="00100E35">
              <w:rPr>
                <w:rFonts w:asciiTheme="majorBidi" w:hAnsiTheme="majorBidi"/>
                <w:color w:val="0A0A03"/>
                <w:sz w:val="20"/>
                <w:lang w:val="fr-FR"/>
              </w:rPr>
              <w:t>’</w:t>
            </w:r>
            <w:r w:rsidRPr="00100E35">
              <w:rPr>
                <w:rFonts w:asciiTheme="majorBidi" w:hAnsiTheme="majorBidi"/>
                <w:color w:val="0A0A03"/>
                <w:sz w:val="20"/>
                <w:lang w:val="fr-FR"/>
              </w:rPr>
              <w:t xml:space="preserve">auteur et les logiciels de recherche </w:t>
            </w:r>
          </w:p>
        </w:tc>
        <w:tc>
          <w:tcPr>
            <w:tcW w:w="1441" w:type="dxa"/>
            <w:tcBorders>
              <w:bottom w:val="nil"/>
            </w:tcBorders>
          </w:tcPr>
          <w:p w14:paraId="3B1A4F45"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2959" w:type="dxa"/>
            <w:tcBorders>
              <w:bottom w:val="nil"/>
            </w:tcBorders>
          </w:tcPr>
          <w:p w14:paraId="7B5FE83F" w14:textId="77777777"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eastAsia="en-US"/>
              </w:rPr>
            </w:pPr>
          </w:p>
        </w:tc>
      </w:tr>
      <w:tr w:rsidR="00AC4817" w:rsidRPr="00100E35" w14:paraId="2DAFA4FB" w14:textId="77777777" w:rsidTr="00B4555B">
        <w:trPr>
          <w:trHeight w:val="1104"/>
        </w:trPr>
        <w:tc>
          <w:tcPr>
            <w:tcW w:w="1839" w:type="dxa"/>
            <w:tcBorders>
              <w:top w:val="nil"/>
              <w:bottom w:val="nil"/>
            </w:tcBorders>
          </w:tcPr>
          <w:p w14:paraId="0D6CC3B1"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bottom w:val="nil"/>
            </w:tcBorders>
          </w:tcPr>
          <w:p w14:paraId="209C1AE5"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vMerge w:val="restart"/>
            <w:tcBorders>
              <w:top w:val="nil"/>
            </w:tcBorders>
          </w:tcPr>
          <w:p w14:paraId="1FC08282" w14:textId="0A3C9899" w:rsidR="00AC4817" w:rsidRPr="00100E35" w:rsidRDefault="0033238B" w:rsidP="00E76CEA">
            <w:pPr>
              <w:widowControl w:val="0"/>
              <w:autoSpaceDE w:val="0"/>
              <w:autoSpaceDN w:val="0"/>
              <w:ind w:left="109" w:right="97"/>
              <w:jc w:val="both"/>
              <w:rPr>
                <w:rFonts w:asciiTheme="majorBidi" w:eastAsia="Times New Roman" w:hAnsiTheme="majorBidi" w:cstheme="majorBidi"/>
                <w:sz w:val="20"/>
                <w:lang w:val="fr-FR"/>
              </w:rPr>
            </w:pPr>
            <w:r w:rsidRPr="00100E35">
              <w:rPr>
                <w:rFonts w:asciiTheme="majorBidi" w:hAnsiTheme="majorBidi"/>
                <w:color w:val="0A0A03"/>
                <w:sz w:val="20"/>
                <w:lang w:val="fr-FR"/>
              </w:rPr>
              <w:t xml:space="preserve">de données </w:t>
            </w:r>
            <w:r w:rsidR="00AC4817" w:rsidRPr="00100E35">
              <w:rPr>
                <w:rFonts w:asciiTheme="majorBidi" w:hAnsiTheme="majorBidi"/>
                <w:color w:val="0A0A03"/>
                <w:sz w:val="20"/>
                <w:lang w:val="fr-FR"/>
              </w:rPr>
              <w:t>par intelligence artificielle</w:t>
            </w:r>
            <w:r w:rsidR="00100E35">
              <w:rPr>
                <w:rFonts w:asciiTheme="majorBidi" w:hAnsiTheme="majorBidi"/>
                <w:color w:val="0A0A03"/>
                <w:sz w:val="20"/>
                <w:lang w:val="fr-FR"/>
              </w:rPr>
              <w:t> :</w:t>
            </w:r>
            <w:r w:rsidR="00AC4817" w:rsidRPr="00100E35">
              <w:rPr>
                <w:rFonts w:asciiTheme="majorBidi" w:hAnsiTheme="majorBidi"/>
                <w:color w:val="0A0A03"/>
                <w:sz w:val="20"/>
                <w:lang w:val="fr-FR"/>
              </w:rPr>
              <w:t xml:space="preserve"> Asahi Shimbun Co. et Nikkei Inc. ont poursuivi Perplexity AI Inc. devant le Tribunal de district de Tok</w:t>
            </w:r>
            <w:r w:rsidR="007A1AE9" w:rsidRPr="00100E35">
              <w:rPr>
                <w:rFonts w:asciiTheme="majorBidi" w:hAnsiTheme="majorBidi"/>
                <w:color w:val="0A0A03"/>
                <w:sz w:val="20"/>
                <w:lang w:val="fr-FR"/>
              </w:rPr>
              <w:t>yo</w:t>
            </w:r>
            <w:r w:rsidR="007A1AE9">
              <w:rPr>
                <w:rFonts w:asciiTheme="majorBidi" w:hAnsiTheme="majorBidi"/>
                <w:color w:val="0A0A03"/>
                <w:sz w:val="20"/>
                <w:lang w:val="fr-FR"/>
              </w:rPr>
              <w:t xml:space="preserve">.  </w:t>
            </w:r>
            <w:r w:rsidR="007A1AE9" w:rsidRPr="00100E35">
              <w:rPr>
                <w:rFonts w:asciiTheme="majorBidi" w:hAnsiTheme="majorBidi"/>
                <w:color w:val="0A0A03"/>
                <w:sz w:val="20"/>
                <w:lang w:val="fr-FR"/>
              </w:rPr>
              <w:t>Pe</w:t>
            </w:r>
            <w:r w:rsidR="00AC4817" w:rsidRPr="00100E35">
              <w:rPr>
                <w:rFonts w:asciiTheme="majorBidi" w:hAnsiTheme="majorBidi"/>
                <w:color w:val="0A0A03"/>
                <w:sz w:val="20"/>
                <w:lang w:val="fr-FR"/>
              </w:rPr>
              <w:t>rplexity AI était accusée d</w:t>
            </w:r>
            <w:r w:rsidR="00100E35">
              <w:rPr>
                <w:rFonts w:asciiTheme="majorBidi" w:hAnsiTheme="majorBidi"/>
                <w:color w:val="0A0A03"/>
                <w:sz w:val="20"/>
                <w:lang w:val="fr-FR"/>
              </w:rPr>
              <w:t>’</w:t>
            </w:r>
            <w:r w:rsidR="00AC4817" w:rsidRPr="00100E35">
              <w:rPr>
                <w:rFonts w:asciiTheme="majorBidi" w:hAnsiTheme="majorBidi"/>
                <w:color w:val="0A0A03"/>
                <w:sz w:val="20"/>
                <w:lang w:val="fr-FR"/>
              </w:rPr>
              <w:t>avoir copié sans autorisation des articles publiés par ces deux</w:t>
            </w:r>
            <w:r w:rsidR="0080246A">
              <w:rPr>
                <w:rFonts w:asciiTheme="majorBidi" w:hAnsiTheme="majorBidi"/>
                <w:color w:val="0A0A03"/>
                <w:sz w:val="20"/>
                <w:lang w:val="fr-FR"/>
              </w:rPr>
              <w:t> </w:t>
            </w:r>
            <w:r w:rsidR="00AC4817" w:rsidRPr="00100E35">
              <w:rPr>
                <w:rFonts w:asciiTheme="majorBidi" w:hAnsiTheme="majorBidi"/>
                <w:color w:val="0A0A03"/>
                <w:sz w:val="20"/>
                <w:lang w:val="fr-FR"/>
              </w:rPr>
              <w:t>sociétés de presse et de les avoir utilisés dans le cadre de l</w:t>
            </w:r>
            <w:r w:rsidR="00100E35">
              <w:rPr>
                <w:rFonts w:asciiTheme="majorBidi" w:hAnsiTheme="majorBidi"/>
                <w:color w:val="0A0A03"/>
                <w:sz w:val="20"/>
                <w:lang w:val="fr-FR"/>
              </w:rPr>
              <w:t>’</w:t>
            </w:r>
            <w:r w:rsidR="00AC4817" w:rsidRPr="00100E35">
              <w:rPr>
                <w:rFonts w:asciiTheme="majorBidi" w:hAnsiTheme="majorBidi"/>
                <w:color w:val="0A0A03"/>
                <w:sz w:val="20"/>
                <w:lang w:val="fr-FR"/>
              </w:rPr>
              <w:t>IA générative de l</w:t>
            </w:r>
            <w:r w:rsidR="00100E35">
              <w:rPr>
                <w:rFonts w:asciiTheme="majorBidi" w:hAnsiTheme="majorBidi"/>
                <w:color w:val="0A0A03"/>
                <w:sz w:val="20"/>
                <w:lang w:val="fr-FR"/>
              </w:rPr>
              <w:t>’</w:t>
            </w:r>
            <w:r w:rsidR="00AC4817" w:rsidRPr="00100E35">
              <w:rPr>
                <w:rFonts w:asciiTheme="majorBidi" w:hAnsiTheme="majorBidi"/>
                <w:color w:val="0A0A03"/>
                <w:sz w:val="20"/>
                <w:lang w:val="fr-FR"/>
              </w:rPr>
              <w:t>entreprise.</w:t>
            </w:r>
          </w:p>
        </w:tc>
        <w:tc>
          <w:tcPr>
            <w:tcW w:w="1441" w:type="dxa"/>
            <w:tcBorders>
              <w:top w:val="nil"/>
              <w:bottom w:val="nil"/>
            </w:tcBorders>
          </w:tcPr>
          <w:p w14:paraId="375B7B5C" w14:textId="77777777" w:rsidR="00AC4817" w:rsidRPr="00100E35" w:rsidRDefault="00AC4817" w:rsidP="00E76CEA">
            <w:pPr>
              <w:widowControl w:val="0"/>
              <w:autoSpaceDE w:val="0"/>
              <w:autoSpaceDN w:val="0"/>
              <w:spacing w:before="147"/>
              <w:ind w:left="141" w:right="135"/>
              <w:jc w:val="center"/>
              <w:rPr>
                <w:rFonts w:asciiTheme="majorBidi" w:eastAsia="Times New Roman" w:hAnsiTheme="majorBidi" w:cstheme="majorBidi"/>
                <w:sz w:val="20"/>
                <w:lang w:val="fr-FR"/>
              </w:rPr>
            </w:pPr>
            <w:r w:rsidRPr="00100E35">
              <w:rPr>
                <w:rFonts w:asciiTheme="majorBidi" w:hAnsiTheme="majorBidi"/>
                <w:sz w:val="20"/>
                <w:lang w:val="fr-FR"/>
              </w:rPr>
              <w:t>Japon</w:t>
            </w:r>
          </w:p>
        </w:tc>
        <w:tc>
          <w:tcPr>
            <w:tcW w:w="2959" w:type="dxa"/>
            <w:tcBorders>
              <w:top w:val="nil"/>
              <w:bottom w:val="nil"/>
            </w:tcBorders>
          </w:tcPr>
          <w:p w14:paraId="4B9852DC" w14:textId="79E1304D" w:rsidR="00AC4817" w:rsidRPr="00100E35" w:rsidRDefault="00AC4817" w:rsidP="00E76CEA">
            <w:pPr>
              <w:widowControl w:val="0"/>
              <w:autoSpaceDE w:val="0"/>
              <w:autoSpaceDN w:val="0"/>
              <w:ind w:left="109" w:right="92"/>
              <w:rPr>
                <w:rFonts w:asciiTheme="majorBidi" w:eastAsia="Times New Roman" w:hAnsiTheme="majorBidi" w:cstheme="majorBidi"/>
                <w:sz w:val="20"/>
                <w:lang w:val="fr-FR"/>
              </w:rPr>
            </w:pPr>
            <w:r w:rsidRPr="00100E35">
              <w:rPr>
                <w:rFonts w:asciiTheme="majorBidi" w:hAnsiTheme="majorBidi"/>
                <w:sz w:val="20"/>
                <w:lang w:val="fr-FR"/>
              </w:rPr>
              <w:t>著作権法</w:t>
            </w:r>
            <w:r w:rsidRPr="00100E35">
              <w:rPr>
                <w:rFonts w:asciiTheme="majorBidi" w:hAnsiTheme="majorBidi"/>
                <w:sz w:val="20"/>
                <w:lang w:val="fr-FR"/>
              </w:rPr>
              <w:t>/Loi japonaise sur le droit d</w:t>
            </w:r>
            <w:r w:rsidR="00100E35">
              <w:rPr>
                <w:rFonts w:asciiTheme="majorBidi" w:hAnsiTheme="majorBidi"/>
                <w:sz w:val="20"/>
                <w:lang w:val="fr-FR"/>
              </w:rPr>
              <w:t>’</w:t>
            </w:r>
            <w:r w:rsidRPr="00100E35">
              <w:rPr>
                <w:rFonts w:asciiTheme="majorBidi" w:hAnsiTheme="majorBidi"/>
                <w:sz w:val="20"/>
                <w:lang w:val="fr-FR"/>
              </w:rPr>
              <w:t>auteur (dernière modification en 2018)</w:t>
            </w:r>
          </w:p>
        </w:tc>
      </w:tr>
      <w:tr w:rsidR="00AC4817" w:rsidRPr="00100E35" w14:paraId="43CF0149" w14:textId="77777777" w:rsidTr="00B4555B">
        <w:trPr>
          <w:trHeight w:val="272"/>
        </w:trPr>
        <w:tc>
          <w:tcPr>
            <w:tcW w:w="1839" w:type="dxa"/>
            <w:tcBorders>
              <w:top w:val="nil"/>
            </w:tcBorders>
          </w:tcPr>
          <w:p w14:paraId="4658E99B"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tcBorders>
              <w:top w:val="nil"/>
            </w:tcBorders>
          </w:tcPr>
          <w:p w14:paraId="5C06B088"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6665" w:type="dxa"/>
            <w:vMerge/>
          </w:tcPr>
          <w:p w14:paraId="07AF275A" w14:textId="77777777" w:rsidR="00AC4817" w:rsidRPr="00100E35" w:rsidRDefault="00AC4817" w:rsidP="00E76CEA">
            <w:pPr>
              <w:widowControl w:val="0"/>
              <w:autoSpaceDE w:val="0"/>
              <w:autoSpaceDN w:val="0"/>
              <w:spacing w:line="253" w:lineRule="exact"/>
              <w:ind w:left="109"/>
              <w:rPr>
                <w:rFonts w:asciiTheme="majorBidi" w:eastAsia="Times New Roman" w:hAnsiTheme="majorBidi" w:cstheme="majorBidi"/>
                <w:sz w:val="20"/>
                <w:lang w:val="fr-FR" w:eastAsia="en-US"/>
              </w:rPr>
            </w:pPr>
          </w:p>
        </w:tc>
        <w:tc>
          <w:tcPr>
            <w:tcW w:w="1441" w:type="dxa"/>
            <w:tcBorders>
              <w:top w:val="nil"/>
            </w:tcBorders>
          </w:tcPr>
          <w:p w14:paraId="65856848"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2959" w:type="dxa"/>
            <w:tcBorders>
              <w:top w:val="nil"/>
            </w:tcBorders>
          </w:tcPr>
          <w:p w14:paraId="49FE8206" w14:textId="77777777" w:rsidR="00AC4817" w:rsidRPr="00100E35" w:rsidRDefault="00AC4817" w:rsidP="00E76CEA">
            <w:pPr>
              <w:widowControl w:val="0"/>
              <w:autoSpaceDE w:val="0"/>
              <w:autoSpaceDN w:val="0"/>
              <w:ind w:left="109" w:right="92"/>
              <w:jc w:val="both"/>
              <w:rPr>
                <w:rFonts w:asciiTheme="majorBidi" w:eastAsia="Times New Roman" w:hAnsiTheme="majorBidi" w:cstheme="majorBidi"/>
                <w:sz w:val="20"/>
                <w:lang w:val="fr-FR" w:eastAsia="en-US"/>
              </w:rPr>
            </w:pPr>
          </w:p>
        </w:tc>
      </w:tr>
    </w:tbl>
    <w:p w14:paraId="777136F1" w14:textId="77777777" w:rsidR="00AC4817" w:rsidRPr="00100E35" w:rsidRDefault="00AC4817" w:rsidP="00AC4817">
      <w:pPr>
        <w:widowControl w:val="0"/>
        <w:autoSpaceDE w:val="0"/>
        <w:autoSpaceDN w:val="0"/>
        <w:spacing w:before="4"/>
        <w:rPr>
          <w:rFonts w:asciiTheme="majorBidi" w:eastAsia="Times New Roman" w:hAnsiTheme="majorBidi" w:cstheme="majorBidi"/>
          <w:sz w:val="20"/>
          <w:lang w:val="fr-FR"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0"/>
        <w:gridCol w:w="6665"/>
        <w:gridCol w:w="1441"/>
        <w:gridCol w:w="2959"/>
      </w:tblGrid>
      <w:tr w:rsidR="00AC4817" w:rsidRPr="00100E35" w14:paraId="16C47A99" w14:textId="77777777" w:rsidTr="00E76CEA">
        <w:trPr>
          <w:trHeight w:val="254"/>
        </w:trPr>
        <w:tc>
          <w:tcPr>
            <w:tcW w:w="1839" w:type="dxa"/>
            <w:shd w:val="clear" w:color="auto" w:fill="D9D9D9"/>
          </w:tcPr>
          <w:p w14:paraId="4D55AB32" w14:textId="77777777" w:rsidR="00AC4817" w:rsidRPr="0033238B" w:rsidRDefault="00AC4817" w:rsidP="0033238B">
            <w:pPr>
              <w:widowControl w:val="0"/>
              <w:autoSpaceDE w:val="0"/>
              <w:autoSpaceDN w:val="0"/>
              <w:spacing w:before="1" w:line="233" w:lineRule="exact"/>
              <w:jc w:val="center"/>
              <w:rPr>
                <w:rFonts w:asciiTheme="majorBidi" w:hAnsiTheme="majorBidi"/>
                <w:b/>
                <w:sz w:val="20"/>
                <w:lang w:val="fr-FR"/>
              </w:rPr>
            </w:pPr>
            <w:r w:rsidRPr="00100E35">
              <w:rPr>
                <w:rFonts w:asciiTheme="majorBidi" w:hAnsiTheme="majorBidi"/>
                <w:b/>
                <w:sz w:val="20"/>
                <w:lang w:val="fr-FR"/>
              </w:rPr>
              <w:t>Questions clés</w:t>
            </w:r>
          </w:p>
        </w:tc>
        <w:tc>
          <w:tcPr>
            <w:tcW w:w="1700" w:type="dxa"/>
            <w:shd w:val="clear" w:color="auto" w:fill="D9D9D9"/>
          </w:tcPr>
          <w:p w14:paraId="6A956984" w14:textId="77777777" w:rsidR="00AC4817" w:rsidRPr="00100E35" w:rsidRDefault="00AC4817" w:rsidP="00E76CEA">
            <w:pPr>
              <w:widowControl w:val="0"/>
              <w:autoSpaceDE w:val="0"/>
              <w:autoSpaceDN w:val="0"/>
              <w:spacing w:before="1" w:line="233" w:lineRule="exact"/>
              <w:ind w:left="527"/>
              <w:rPr>
                <w:rFonts w:asciiTheme="majorBidi" w:eastAsia="Times New Roman" w:hAnsiTheme="majorBidi" w:cstheme="majorBidi"/>
                <w:b/>
                <w:sz w:val="20"/>
                <w:lang w:val="fr-FR"/>
              </w:rPr>
            </w:pPr>
            <w:r w:rsidRPr="00100E35">
              <w:rPr>
                <w:rFonts w:asciiTheme="majorBidi" w:hAnsiTheme="majorBidi"/>
                <w:b/>
                <w:sz w:val="20"/>
                <w:lang w:val="fr-FR"/>
              </w:rPr>
              <w:t>Aspect</w:t>
            </w:r>
          </w:p>
        </w:tc>
        <w:tc>
          <w:tcPr>
            <w:tcW w:w="6665" w:type="dxa"/>
            <w:shd w:val="clear" w:color="auto" w:fill="D9D9D9"/>
          </w:tcPr>
          <w:p w14:paraId="00FDCA51" w14:textId="77777777" w:rsidR="00AC4817" w:rsidRPr="00100E35" w:rsidRDefault="00AC4817" w:rsidP="00E76CEA">
            <w:pPr>
              <w:widowControl w:val="0"/>
              <w:autoSpaceDE w:val="0"/>
              <w:autoSpaceDN w:val="0"/>
              <w:spacing w:before="1" w:line="233" w:lineRule="exact"/>
              <w:ind w:left="2242" w:right="2229"/>
              <w:jc w:val="center"/>
              <w:rPr>
                <w:rFonts w:asciiTheme="majorBidi" w:eastAsia="Times New Roman" w:hAnsiTheme="majorBidi" w:cstheme="majorBidi"/>
                <w:b/>
                <w:sz w:val="20"/>
                <w:lang w:val="fr-FR"/>
              </w:rPr>
            </w:pPr>
            <w:r w:rsidRPr="00100E35">
              <w:rPr>
                <w:rFonts w:asciiTheme="majorBidi" w:hAnsiTheme="majorBidi"/>
                <w:b/>
                <w:sz w:val="20"/>
                <w:lang w:val="fr-FR"/>
              </w:rPr>
              <w:t>Identification du problème</w:t>
            </w:r>
          </w:p>
        </w:tc>
        <w:tc>
          <w:tcPr>
            <w:tcW w:w="1441" w:type="dxa"/>
            <w:shd w:val="clear" w:color="auto" w:fill="D9D9D9"/>
          </w:tcPr>
          <w:p w14:paraId="23474557" w14:textId="77777777" w:rsidR="00AC4817" w:rsidRPr="00100E35" w:rsidRDefault="00AC4817" w:rsidP="00E76CEA">
            <w:pPr>
              <w:widowControl w:val="0"/>
              <w:autoSpaceDE w:val="0"/>
              <w:autoSpaceDN w:val="0"/>
              <w:spacing w:before="1" w:line="233" w:lineRule="exact"/>
              <w:ind w:left="147" w:right="134"/>
              <w:jc w:val="center"/>
              <w:rPr>
                <w:rFonts w:asciiTheme="majorBidi" w:eastAsia="Times New Roman" w:hAnsiTheme="majorBidi" w:cstheme="majorBidi"/>
                <w:b/>
                <w:sz w:val="20"/>
                <w:lang w:val="fr-FR"/>
              </w:rPr>
            </w:pPr>
            <w:r w:rsidRPr="00100E35">
              <w:rPr>
                <w:rFonts w:asciiTheme="majorBidi" w:hAnsiTheme="majorBidi"/>
                <w:b/>
                <w:sz w:val="20"/>
                <w:lang w:val="fr-FR"/>
              </w:rPr>
              <w:t>Région</w:t>
            </w:r>
          </w:p>
        </w:tc>
        <w:tc>
          <w:tcPr>
            <w:tcW w:w="2959" w:type="dxa"/>
            <w:shd w:val="clear" w:color="auto" w:fill="D9D9D9"/>
          </w:tcPr>
          <w:p w14:paraId="003BF221" w14:textId="77777777" w:rsidR="00AC4817" w:rsidRPr="0033238B" w:rsidRDefault="00AC4817" w:rsidP="0033238B">
            <w:pPr>
              <w:widowControl w:val="0"/>
              <w:autoSpaceDE w:val="0"/>
              <w:autoSpaceDN w:val="0"/>
              <w:spacing w:before="1" w:line="233" w:lineRule="exact"/>
              <w:jc w:val="center"/>
              <w:rPr>
                <w:rFonts w:asciiTheme="majorBidi" w:hAnsiTheme="majorBidi"/>
                <w:b/>
                <w:sz w:val="20"/>
                <w:lang w:val="fr-FR"/>
              </w:rPr>
            </w:pPr>
            <w:r w:rsidRPr="00100E35">
              <w:rPr>
                <w:rFonts w:asciiTheme="majorBidi" w:hAnsiTheme="majorBidi"/>
                <w:b/>
                <w:sz w:val="20"/>
                <w:lang w:val="fr-FR"/>
              </w:rPr>
              <w:t>Réglementation en vigueur</w:t>
            </w:r>
          </w:p>
        </w:tc>
      </w:tr>
      <w:tr w:rsidR="00AC4817" w:rsidRPr="00100E35" w14:paraId="2BBD6663" w14:textId="77777777" w:rsidTr="00E76CEA">
        <w:trPr>
          <w:trHeight w:val="1262"/>
        </w:trPr>
        <w:tc>
          <w:tcPr>
            <w:tcW w:w="1839" w:type="dxa"/>
            <w:vMerge w:val="restart"/>
          </w:tcPr>
          <w:p w14:paraId="0AA00DED"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vMerge w:val="restart"/>
          </w:tcPr>
          <w:p w14:paraId="3942E820" w14:textId="77777777" w:rsidR="00AC4817" w:rsidRPr="0033238B" w:rsidRDefault="00AC4817" w:rsidP="0033238B">
            <w:pPr>
              <w:widowControl w:val="0"/>
              <w:autoSpaceDE w:val="0"/>
              <w:autoSpaceDN w:val="0"/>
              <w:spacing w:before="2"/>
              <w:jc w:val="center"/>
              <w:rPr>
                <w:rFonts w:asciiTheme="majorBidi" w:hAnsiTheme="majorBidi"/>
                <w:sz w:val="20"/>
                <w:lang w:val="fr-FR"/>
              </w:rPr>
            </w:pPr>
            <w:r w:rsidRPr="00100E35">
              <w:rPr>
                <w:rFonts w:asciiTheme="majorBidi" w:hAnsiTheme="majorBidi"/>
                <w:sz w:val="20"/>
                <w:lang w:val="fr-FR"/>
              </w:rPr>
              <w:t>Transparence</w:t>
            </w:r>
          </w:p>
        </w:tc>
        <w:tc>
          <w:tcPr>
            <w:tcW w:w="6665" w:type="dxa"/>
          </w:tcPr>
          <w:p w14:paraId="56CFEFA8" w14:textId="3EF9A1C0" w:rsidR="00AC4817" w:rsidRPr="00100E35" w:rsidRDefault="00AC4817" w:rsidP="00E76CEA">
            <w:pPr>
              <w:widowControl w:val="0"/>
              <w:autoSpaceDE w:val="0"/>
              <w:autoSpaceDN w:val="0"/>
              <w:ind w:left="109" w:right="97"/>
              <w:jc w:val="both"/>
              <w:rPr>
                <w:rFonts w:asciiTheme="majorBidi" w:eastAsia="Times New Roman" w:hAnsiTheme="majorBidi" w:cstheme="majorBidi"/>
                <w:sz w:val="20"/>
                <w:lang w:val="fr-FR"/>
              </w:rPr>
            </w:pPr>
            <w:r w:rsidRPr="00100E35">
              <w:rPr>
                <w:rFonts w:asciiTheme="majorBidi" w:hAnsiTheme="majorBidi"/>
                <w:sz w:val="20"/>
                <w:lang w:val="fr-FR"/>
              </w:rPr>
              <w:t>Le règlement présidentiel n°</w:t>
            </w:r>
            <w:r w:rsidR="0080246A">
              <w:rPr>
                <w:rFonts w:asciiTheme="majorBidi" w:hAnsiTheme="majorBidi"/>
                <w:sz w:val="20"/>
                <w:lang w:val="fr-FR"/>
              </w:rPr>
              <w:t> </w:t>
            </w:r>
            <w:r w:rsidRPr="00100E35">
              <w:rPr>
                <w:rFonts w:asciiTheme="majorBidi" w:hAnsiTheme="majorBidi"/>
                <w:sz w:val="20"/>
                <w:lang w:val="fr-FR"/>
              </w:rPr>
              <w:t>32/2024 ne traite pas des procédures ni du cadre des obligations relatives à l</w:t>
            </w:r>
            <w:r w:rsidR="00100E35">
              <w:rPr>
                <w:rFonts w:asciiTheme="majorBidi" w:hAnsiTheme="majorBidi"/>
                <w:sz w:val="20"/>
                <w:lang w:val="fr-FR"/>
              </w:rPr>
              <w:t>’</w:t>
            </w:r>
            <w:r w:rsidRPr="00100E35">
              <w:rPr>
                <w:rFonts w:asciiTheme="majorBidi" w:hAnsiTheme="majorBidi"/>
                <w:sz w:val="20"/>
                <w:lang w:val="fr-FR"/>
              </w:rPr>
              <w:t>exercice des droits sur les œuvres journalistiques que les plateformes numériques ont envers les sociétés de presse.</w:t>
            </w:r>
          </w:p>
        </w:tc>
        <w:tc>
          <w:tcPr>
            <w:tcW w:w="1441" w:type="dxa"/>
          </w:tcPr>
          <w:p w14:paraId="0229D41B" w14:textId="77777777" w:rsidR="00AC4817" w:rsidRPr="00100E35" w:rsidRDefault="00AC4817" w:rsidP="00E76CEA">
            <w:pPr>
              <w:widowControl w:val="0"/>
              <w:autoSpaceDE w:val="0"/>
              <w:autoSpaceDN w:val="0"/>
              <w:spacing w:before="1"/>
              <w:ind w:left="143" w:right="135"/>
              <w:jc w:val="center"/>
              <w:rPr>
                <w:rFonts w:asciiTheme="majorBidi" w:eastAsia="Times New Roman" w:hAnsiTheme="majorBidi" w:cstheme="majorBidi"/>
                <w:sz w:val="20"/>
                <w:lang w:val="fr-FR"/>
              </w:rPr>
            </w:pPr>
            <w:r w:rsidRPr="00100E35">
              <w:rPr>
                <w:rFonts w:asciiTheme="majorBidi" w:hAnsiTheme="majorBidi"/>
                <w:sz w:val="20"/>
                <w:lang w:val="fr-FR"/>
              </w:rPr>
              <w:t>Indonésie</w:t>
            </w:r>
          </w:p>
        </w:tc>
        <w:tc>
          <w:tcPr>
            <w:tcW w:w="2959" w:type="dxa"/>
          </w:tcPr>
          <w:p w14:paraId="19BABBA5" w14:textId="09BF1F11" w:rsidR="00AC4817" w:rsidRPr="00100E35" w:rsidRDefault="00AC4817" w:rsidP="00E76CEA">
            <w:pPr>
              <w:widowControl w:val="0"/>
              <w:tabs>
                <w:tab w:val="left" w:pos="1883"/>
              </w:tabs>
              <w:autoSpaceDE w:val="0"/>
              <w:autoSpaceDN w:val="0"/>
              <w:spacing w:before="1"/>
              <w:ind w:left="108" w:right="94"/>
              <w:jc w:val="both"/>
              <w:rPr>
                <w:rFonts w:asciiTheme="majorBidi" w:eastAsia="Times New Roman" w:hAnsiTheme="majorBidi" w:cstheme="majorBidi"/>
                <w:sz w:val="20"/>
                <w:lang w:val="fr-FR"/>
              </w:rPr>
            </w:pPr>
            <w:r w:rsidRPr="00100E35">
              <w:rPr>
                <w:rFonts w:asciiTheme="majorBidi" w:hAnsiTheme="majorBidi"/>
                <w:sz w:val="20"/>
                <w:lang w:val="fr-FR"/>
              </w:rPr>
              <w:t>Règlement présidentiel n°</w:t>
            </w:r>
            <w:r w:rsidR="0080246A">
              <w:rPr>
                <w:rFonts w:asciiTheme="majorBidi" w:hAnsiTheme="majorBidi"/>
                <w:sz w:val="20"/>
                <w:lang w:val="fr-FR"/>
              </w:rPr>
              <w:t> </w:t>
            </w:r>
            <w:r w:rsidRPr="00100E35">
              <w:rPr>
                <w:rFonts w:asciiTheme="majorBidi" w:hAnsiTheme="majorBidi"/>
                <w:sz w:val="20"/>
                <w:lang w:val="fr-FR"/>
              </w:rPr>
              <w:t>32 de 2024 sur la responsabilité des entreprises numériques dans le soutien à un journalisme de qualité.</w:t>
            </w:r>
          </w:p>
        </w:tc>
      </w:tr>
      <w:tr w:rsidR="00AC4817" w:rsidRPr="00100E35" w14:paraId="58690F84" w14:textId="77777777" w:rsidTr="00E76CEA">
        <w:trPr>
          <w:trHeight w:val="1522"/>
        </w:trPr>
        <w:tc>
          <w:tcPr>
            <w:tcW w:w="1839" w:type="dxa"/>
            <w:vMerge/>
            <w:tcBorders>
              <w:top w:val="nil"/>
            </w:tcBorders>
          </w:tcPr>
          <w:p w14:paraId="1C0DAC59" w14:textId="77777777" w:rsidR="00AC4817" w:rsidRPr="00100E35" w:rsidRDefault="00AC4817" w:rsidP="00E76CEA">
            <w:pPr>
              <w:widowControl w:val="0"/>
              <w:autoSpaceDE w:val="0"/>
              <w:autoSpaceDN w:val="0"/>
              <w:rPr>
                <w:rFonts w:asciiTheme="majorBidi" w:eastAsia="Times New Roman" w:hAnsiTheme="majorBidi" w:cstheme="majorBidi"/>
                <w:sz w:val="20"/>
                <w:lang w:val="fr-FR" w:eastAsia="en-US"/>
              </w:rPr>
            </w:pPr>
          </w:p>
        </w:tc>
        <w:tc>
          <w:tcPr>
            <w:tcW w:w="1700" w:type="dxa"/>
            <w:vMerge/>
            <w:tcBorders>
              <w:top w:val="nil"/>
            </w:tcBorders>
          </w:tcPr>
          <w:p w14:paraId="539997A4" w14:textId="77777777" w:rsidR="00AC4817" w:rsidRPr="00100E35" w:rsidRDefault="00AC4817" w:rsidP="0033238B">
            <w:pPr>
              <w:widowControl w:val="0"/>
              <w:autoSpaceDE w:val="0"/>
              <w:autoSpaceDN w:val="0"/>
              <w:spacing w:before="2"/>
              <w:rPr>
                <w:rFonts w:asciiTheme="majorBidi" w:eastAsia="Times New Roman" w:hAnsiTheme="majorBidi" w:cstheme="majorBidi"/>
                <w:sz w:val="20"/>
                <w:lang w:val="fr-FR" w:eastAsia="en-US"/>
              </w:rPr>
            </w:pPr>
          </w:p>
        </w:tc>
        <w:tc>
          <w:tcPr>
            <w:tcW w:w="6665" w:type="dxa"/>
          </w:tcPr>
          <w:p w14:paraId="465B4917" w14:textId="782581C3" w:rsidR="00AC4817" w:rsidRPr="00100E35" w:rsidRDefault="00AC4817" w:rsidP="00E76CEA">
            <w:pPr>
              <w:widowControl w:val="0"/>
              <w:autoSpaceDE w:val="0"/>
              <w:autoSpaceDN w:val="0"/>
              <w:spacing w:before="1"/>
              <w:ind w:left="109" w:right="95"/>
              <w:jc w:val="both"/>
              <w:rPr>
                <w:rFonts w:asciiTheme="majorBidi" w:eastAsia="Times New Roman" w:hAnsiTheme="majorBidi" w:cstheme="majorBidi"/>
                <w:sz w:val="20"/>
                <w:lang w:val="fr-FR"/>
              </w:rPr>
            </w:pPr>
            <w:r w:rsidRPr="00100E35">
              <w:rPr>
                <w:rFonts w:asciiTheme="majorBidi" w:hAnsiTheme="majorBidi"/>
                <w:sz w:val="20"/>
                <w:lang w:val="fr-FR"/>
              </w:rPr>
              <w:t>La transparence en matière de partage des revenus entre les sociétés de presse et les journalistes reste inégale entre les États membres de l</w:t>
            </w:r>
            <w:r w:rsidR="00100E35">
              <w:rPr>
                <w:rFonts w:asciiTheme="majorBidi" w:hAnsiTheme="majorBidi"/>
                <w:sz w:val="20"/>
                <w:lang w:val="fr-FR"/>
              </w:rPr>
              <w:t>’</w:t>
            </w:r>
            <w:r w:rsidRPr="00100E35">
              <w:rPr>
                <w:rFonts w:asciiTheme="majorBidi" w:hAnsiTheme="majorBidi"/>
                <w:sz w:val="20"/>
                <w:lang w:val="fr-FR"/>
              </w:rPr>
              <w:t xml:space="preserve">UE. </w:t>
            </w:r>
            <w:r w:rsidR="0080246A">
              <w:rPr>
                <w:rFonts w:asciiTheme="majorBidi" w:hAnsiTheme="majorBidi"/>
                <w:sz w:val="20"/>
                <w:lang w:val="fr-FR"/>
              </w:rPr>
              <w:t xml:space="preserve"> </w:t>
            </w:r>
            <w:r w:rsidRPr="00100E35">
              <w:rPr>
                <w:rFonts w:asciiTheme="majorBidi" w:hAnsiTheme="majorBidi"/>
                <w:sz w:val="20"/>
                <w:lang w:val="fr-FR"/>
              </w:rPr>
              <w:t>Bien que les directives européennes exigent une “part équitable” pour les journalistes, dans la pratique, le montant et les mécanismes de partage des revenus avec les reporters (</w:t>
            </w:r>
            <w:r w:rsidR="00100E35">
              <w:rPr>
                <w:rFonts w:asciiTheme="majorBidi" w:hAnsiTheme="majorBidi"/>
                <w:sz w:val="20"/>
                <w:lang w:val="fr-FR"/>
              </w:rPr>
              <w:t>y compris</w:t>
            </w:r>
            <w:r w:rsidRPr="00100E35">
              <w:rPr>
                <w:rFonts w:asciiTheme="majorBidi" w:hAnsiTheme="majorBidi"/>
                <w:sz w:val="20"/>
                <w:lang w:val="fr-FR"/>
              </w:rPr>
              <w:t xml:space="preserve"> les contributeurs/travailleurs indépendants) ne sont souvent pas publiés ou font l</w:t>
            </w:r>
            <w:r w:rsidR="00100E35">
              <w:rPr>
                <w:rFonts w:asciiTheme="majorBidi" w:hAnsiTheme="majorBidi"/>
                <w:sz w:val="20"/>
                <w:lang w:val="fr-FR"/>
              </w:rPr>
              <w:t>’</w:t>
            </w:r>
            <w:r w:rsidRPr="00100E35">
              <w:rPr>
                <w:rFonts w:asciiTheme="majorBidi" w:hAnsiTheme="majorBidi"/>
                <w:sz w:val="20"/>
                <w:lang w:val="fr-FR"/>
              </w:rPr>
              <w:t>objet de négociations individuelles, ce qui laisse peu de marge de manœuvre aux associations pour exercer un contrôle.</w:t>
            </w:r>
          </w:p>
        </w:tc>
        <w:tc>
          <w:tcPr>
            <w:tcW w:w="1441" w:type="dxa"/>
          </w:tcPr>
          <w:p w14:paraId="370FE161" w14:textId="77777777" w:rsidR="00AC4817" w:rsidRPr="0033238B" w:rsidRDefault="00AC4817" w:rsidP="0033238B">
            <w:pPr>
              <w:widowControl w:val="0"/>
              <w:autoSpaceDE w:val="0"/>
              <w:autoSpaceDN w:val="0"/>
              <w:spacing w:before="1"/>
              <w:jc w:val="center"/>
              <w:rPr>
                <w:rFonts w:asciiTheme="majorBidi" w:hAnsiTheme="majorBidi"/>
                <w:sz w:val="20"/>
                <w:lang w:val="fr-FR"/>
              </w:rPr>
            </w:pPr>
            <w:r w:rsidRPr="00100E35">
              <w:rPr>
                <w:rFonts w:asciiTheme="majorBidi" w:hAnsiTheme="majorBidi"/>
                <w:sz w:val="20"/>
                <w:lang w:val="fr-FR"/>
              </w:rPr>
              <w:t>Union européenne</w:t>
            </w:r>
          </w:p>
        </w:tc>
        <w:tc>
          <w:tcPr>
            <w:tcW w:w="2959" w:type="dxa"/>
          </w:tcPr>
          <w:p w14:paraId="774620E6" w14:textId="5FDEEA94" w:rsidR="00AC4817" w:rsidRPr="00100E35" w:rsidRDefault="00AC4817" w:rsidP="00E76CEA">
            <w:pPr>
              <w:widowControl w:val="0"/>
              <w:autoSpaceDE w:val="0"/>
              <w:autoSpaceDN w:val="0"/>
              <w:spacing w:before="1"/>
              <w:ind w:left="108" w:right="94"/>
              <w:jc w:val="both"/>
              <w:rPr>
                <w:rFonts w:asciiTheme="majorBidi" w:eastAsia="Times New Roman" w:hAnsiTheme="majorBidi" w:cstheme="majorBidi"/>
                <w:sz w:val="20"/>
                <w:lang w:val="fr-FR"/>
              </w:rPr>
            </w:pPr>
            <w:r w:rsidRPr="00100E35">
              <w:rPr>
                <w:rFonts w:asciiTheme="majorBidi" w:hAnsiTheme="majorBidi"/>
                <w:sz w:val="20"/>
                <w:lang w:val="fr-FR"/>
              </w:rPr>
              <w:t>Directive de l</w:t>
            </w:r>
            <w:r w:rsidR="00100E35">
              <w:rPr>
                <w:rFonts w:asciiTheme="majorBidi" w:hAnsiTheme="majorBidi"/>
                <w:sz w:val="20"/>
                <w:lang w:val="fr-FR"/>
              </w:rPr>
              <w:t>’</w:t>
            </w:r>
            <w:r w:rsidRPr="00100E35">
              <w:rPr>
                <w:rFonts w:asciiTheme="majorBidi" w:hAnsiTheme="majorBidi"/>
                <w:sz w:val="20"/>
                <w:lang w:val="fr-FR"/>
              </w:rPr>
              <w:t>UE sur le droit d</w:t>
            </w:r>
            <w:r w:rsidR="00100E35">
              <w:rPr>
                <w:rFonts w:asciiTheme="majorBidi" w:hAnsiTheme="majorBidi"/>
                <w:sz w:val="20"/>
                <w:lang w:val="fr-FR"/>
              </w:rPr>
              <w:t>’</w:t>
            </w:r>
            <w:r w:rsidRPr="00100E35">
              <w:rPr>
                <w:rFonts w:asciiTheme="majorBidi" w:hAnsiTheme="majorBidi"/>
                <w:sz w:val="20"/>
                <w:lang w:val="fr-FR"/>
              </w:rPr>
              <w:t>auteur dans le marché unique numérique (2019/790)</w:t>
            </w:r>
          </w:p>
        </w:tc>
      </w:tr>
      <w:tr w:rsidR="00AC4817" w:rsidRPr="00100E35" w14:paraId="74F015FF" w14:textId="77777777" w:rsidTr="00E76CEA">
        <w:trPr>
          <w:trHeight w:val="1262"/>
        </w:trPr>
        <w:tc>
          <w:tcPr>
            <w:tcW w:w="1839" w:type="dxa"/>
          </w:tcPr>
          <w:p w14:paraId="51850D73" w14:textId="77777777" w:rsidR="00AC4817" w:rsidRPr="00100E35" w:rsidRDefault="00AC4817" w:rsidP="00E76CEA">
            <w:pPr>
              <w:widowControl w:val="0"/>
              <w:autoSpaceDE w:val="0"/>
              <w:autoSpaceDN w:val="0"/>
              <w:spacing w:before="1"/>
              <w:ind w:left="110" w:right="129"/>
              <w:rPr>
                <w:rFonts w:asciiTheme="majorBidi" w:eastAsia="Times New Roman" w:hAnsiTheme="majorBidi" w:cstheme="majorBidi"/>
                <w:sz w:val="20"/>
                <w:lang w:val="fr-FR"/>
              </w:rPr>
            </w:pPr>
            <w:r w:rsidRPr="00100E35">
              <w:rPr>
                <w:rFonts w:asciiTheme="majorBidi" w:hAnsiTheme="majorBidi"/>
                <w:sz w:val="20"/>
                <w:lang w:val="fr-FR"/>
              </w:rPr>
              <w:t>Le système de distribution des redevances</w:t>
            </w:r>
          </w:p>
        </w:tc>
        <w:tc>
          <w:tcPr>
            <w:tcW w:w="1700" w:type="dxa"/>
          </w:tcPr>
          <w:p w14:paraId="7861CE17" w14:textId="77777777" w:rsidR="00AC4817" w:rsidRPr="0033238B" w:rsidRDefault="00AC4817" w:rsidP="0033238B">
            <w:pPr>
              <w:widowControl w:val="0"/>
              <w:autoSpaceDE w:val="0"/>
              <w:autoSpaceDN w:val="0"/>
              <w:spacing w:before="2"/>
              <w:ind w:left="113" w:right="113"/>
              <w:jc w:val="center"/>
              <w:rPr>
                <w:rFonts w:asciiTheme="majorBidi" w:hAnsiTheme="majorBidi"/>
                <w:sz w:val="20"/>
                <w:lang w:val="fr-FR"/>
              </w:rPr>
            </w:pPr>
            <w:r w:rsidRPr="00100E35">
              <w:rPr>
                <w:rFonts w:asciiTheme="majorBidi" w:hAnsiTheme="majorBidi"/>
                <w:sz w:val="20"/>
                <w:lang w:val="fr-FR"/>
              </w:rPr>
              <w:t>Équité et inclusivité</w:t>
            </w:r>
          </w:p>
        </w:tc>
        <w:tc>
          <w:tcPr>
            <w:tcW w:w="6665" w:type="dxa"/>
          </w:tcPr>
          <w:p w14:paraId="5B2C35F9" w14:textId="04177A43" w:rsidR="00AC4817" w:rsidRPr="00100E35" w:rsidRDefault="00AC4817" w:rsidP="00E76CEA">
            <w:pPr>
              <w:widowControl w:val="0"/>
              <w:autoSpaceDE w:val="0"/>
              <w:autoSpaceDN w:val="0"/>
              <w:spacing w:before="1"/>
              <w:ind w:left="109" w:right="96"/>
              <w:jc w:val="both"/>
              <w:rPr>
                <w:rFonts w:asciiTheme="majorBidi" w:eastAsia="Times New Roman" w:hAnsiTheme="majorBidi" w:cstheme="majorBidi"/>
                <w:sz w:val="20"/>
                <w:lang w:val="fr-FR"/>
              </w:rPr>
            </w:pPr>
            <w:r w:rsidRPr="00100E35">
              <w:rPr>
                <w:rFonts w:asciiTheme="majorBidi" w:hAnsiTheme="majorBidi"/>
                <w:sz w:val="20"/>
                <w:lang w:val="fr-FR"/>
              </w:rPr>
              <w:t>Le règlement présidentiel n°</w:t>
            </w:r>
            <w:r w:rsidR="0080246A">
              <w:rPr>
                <w:rFonts w:asciiTheme="majorBidi" w:hAnsiTheme="majorBidi"/>
                <w:sz w:val="20"/>
                <w:lang w:val="fr-FR"/>
              </w:rPr>
              <w:t> </w:t>
            </w:r>
            <w:r w:rsidRPr="00100E35">
              <w:rPr>
                <w:rFonts w:asciiTheme="majorBidi" w:hAnsiTheme="majorBidi"/>
                <w:sz w:val="20"/>
                <w:lang w:val="fr-FR"/>
              </w:rPr>
              <w:t>32/2024 impose aux plateformes de ne pas commercialiser les nouvelles et d</w:t>
            </w:r>
            <w:r w:rsidR="00100E35">
              <w:rPr>
                <w:rFonts w:asciiTheme="majorBidi" w:hAnsiTheme="majorBidi"/>
                <w:sz w:val="20"/>
                <w:lang w:val="fr-FR"/>
              </w:rPr>
              <w:t>’</w:t>
            </w:r>
            <w:r w:rsidRPr="00100E35">
              <w:rPr>
                <w:rFonts w:asciiTheme="majorBidi" w:hAnsiTheme="majorBidi"/>
                <w:sz w:val="20"/>
                <w:lang w:val="fr-FR"/>
              </w:rPr>
              <w:t>entamer des négociations, mais il ne fixe pas de formule de redevances ni de part minimale pour les journalistes/travailleurs indépendants.</w:t>
            </w:r>
          </w:p>
        </w:tc>
        <w:tc>
          <w:tcPr>
            <w:tcW w:w="1441" w:type="dxa"/>
          </w:tcPr>
          <w:p w14:paraId="4A1F87C5" w14:textId="77777777" w:rsidR="00AC4817" w:rsidRPr="00100E35" w:rsidRDefault="00AC4817" w:rsidP="00E76CEA">
            <w:pPr>
              <w:widowControl w:val="0"/>
              <w:autoSpaceDE w:val="0"/>
              <w:autoSpaceDN w:val="0"/>
              <w:ind w:left="143" w:right="135"/>
              <w:jc w:val="center"/>
              <w:rPr>
                <w:rFonts w:asciiTheme="majorBidi" w:eastAsia="Times New Roman" w:hAnsiTheme="majorBidi" w:cstheme="majorBidi"/>
                <w:sz w:val="20"/>
                <w:lang w:val="fr-FR"/>
              </w:rPr>
            </w:pPr>
            <w:r w:rsidRPr="00100E35">
              <w:rPr>
                <w:rFonts w:asciiTheme="majorBidi" w:hAnsiTheme="majorBidi"/>
                <w:sz w:val="20"/>
                <w:lang w:val="fr-FR"/>
              </w:rPr>
              <w:t>Indonésie</w:t>
            </w:r>
          </w:p>
        </w:tc>
        <w:tc>
          <w:tcPr>
            <w:tcW w:w="2959" w:type="dxa"/>
          </w:tcPr>
          <w:p w14:paraId="36A86323" w14:textId="13BA20D4" w:rsidR="00AC4817" w:rsidRPr="00100E35" w:rsidRDefault="00AC4817" w:rsidP="00E76CEA">
            <w:pPr>
              <w:widowControl w:val="0"/>
              <w:tabs>
                <w:tab w:val="left" w:pos="1883"/>
              </w:tabs>
              <w:autoSpaceDE w:val="0"/>
              <w:autoSpaceDN w:val="0"/>
              <w:spacing w:line="242" w:lineRule="auto"/>
              <w:ind w:left="108" w:right="94"/>
              <w:jc w:val="both"/>
              <w:rPr>
                <w:rFonts w:asciiTheme="majorBidi" w:eastAsia="Times New Roman" w:hAnsiTheme="majorBidi" w:cstheme="majorBidi"/>
                <w:sz w:val="20"/>
                <w:lang w:val="fr-FR"/>
              </w:rPr>
            </w:pPr>
            <w:r w:rsidRPr="00100E35">
              <w:rPr>
                <w:rFonts w:asciiTheme="majorBidi" w:hAnsiTheme="majorBidi"/>
                <w:sz w:val="20"/>
                <w:lang w:val="fr-FR"/>
              </w:rPr>
              <w:t>Règlement présidentiel n°</w:t>
            </w:r>
            <w:r w:rsidR="0080246A">
              <w:rPr>
                <w:rFonts w:asciiTheme="majorBidi" w:hAnsiTheme="majorBidi"/>
                <w:sz w:val="20"/>
                <w:lang w:val="fr-FR"/>
              </w:rPr>
              <w:t> </w:t>
            </w:r>
            <w:r w:rsidRPr="00100E35">
              <w:rPr>
                <w:rFonts w:asciiTheme="majorBidi" w:hAnsiTheme="majorBidi"/>
                <w:sz w:val="20"/>
                <w:lang w:val="fr-FR"/>
              </w:rPr>
              <w:t>32 de 2024 sur la responsabilité des entreprises numériques dans le soutien à un journalisme de qualité.</w:t>
            </w:r>
          </w:p>
        </w:tc>
      </w:tr>
      <w:tr w:rsidR="00AC4817" w:rsidRPr="00100E35" w14:paraId="42B25D71" w14:textId="77777777" w:rsidTr="00E76CEA">
        <w:trPr>
          <w:trHeight w:val="1008"/>
        </w:trPr>
        <w:tc>
          <w:tcPr>
            <w:tcW w:w="1839" w:type="dxa"/>
          </w:tcPr>
          <w:p w14:paraId="3988C123" w14:textId="668A193D" w:rsidR="00AC4817" w:rsidRPr="00100E35" w:rsidRDefault="00AC4817" w:rsidP="00E76CEA">
            <w:pPr>
              <w:widowControl w:val="0"/>
              <w:autoSpaceDE w:val="0"/>
              <w:autoSpaceDN w:val="0"/>
              <w:spacing w:before="121"/>
              <w:ind w:left="110" w:right="129"/>
              <w:rPr>
                <w:rFonts w:asciiTheme="majorBidi" w:eastAsia="Times New Roman" w:hAnsiTheme="majorBidi" w:cstheme="majorBidi"/>
                <w:sz w:val="20"/>
                <w:lang w:val="fr-FR"/>
              </w:rPr>
            </w:pPr>
            <w:r w:rsidRPr="00100E35">
              <w:rPr>
                <w:rFonts w:asciiTheme="majorBidi" w:hAnsiTheme="majorBidi"/>
                <w:sz w:val="20"/>
                <w:lang w:val="fr-FR"/>
              </w:rPr>
              <w:t>La centralisation de la gestion des données sur le droit d</w:t>
            </w:r>
            <w:r w:rsidR="00100E35">
              <w:rPr>
                <w:rFonts w:asciiTheme="majorBidi" w:hAnsiTheme="majorBidi"/>
                <w:sz w:val="20"/>
                <w:lang w:val="fr-FR"/>
              </w:rPr>
              <w:t>’</w:t>
            </w:r>
            <w:r w:rsidRPr="00100E35">
              <w:rPr>
                <w:rFonts w:asciiTheme="majorBidi" w:hAnsiTheme="majorBidi"/>
                <w:sz w:val="20"/>
                <w:lang w:val="fr-FR"/>
              </w:rPr>
              <w:t>auteur</w:t>
            </w:r>
          </w:p>
        </w:tc>
        <w:tc>
          <w:tcPr>
            <w:tcW w:w="1700" w:type="dxa"/>
          </w:tcPr>
          <w:p w14:paraId="4E662BF6" w14:textId="77777777" w:rsidR="00AC4817" w:rsidRPr="0033238B" w:rsidRDefault="00AC4817" w:rsidP="0033238B">
            <w:pPr>
              <w:widowControl w:val="0"/>
              <w:autoSpaceDE w:val="0"/>
              <w:autoSpaceDN w:val="0"/>
              <w:spacing w:before="2"/>
              <w:ind w:left="113" w:right="113"/>
              <w:jc w:val="center"/>
              <w:rPr>
                <w:rFonts w:asciiTheme="majorBidi" w:hAnsiTheme="majorBidi"/>
                <w:sz w:val="20"/>
                <w:lang w:val="fr-FR"/>
              </w:rPr>
            </w:pPr>
            <w:r w:rsidRPr="00100E35">
              <w:rPr>
                <w:rFonts w:asciiTheme="majorBidi" w:hAnsiTheme="majorBidi"/>
                <w:sz w:val="20"/>
                <w:lang w:val="fr-FR"/>
              </w:rPr>
              <w:t>Équité et inclusivité</w:t>
            </w:r>
          </w:p>
        </w:tc>
        <w:tc>
          <w:tcPr>
            <w:tcW w:w="6665" w:type="dxa"/>
          </w:tcPr>
          <w:p w14:paraId="40B16AD0" w14:textId="7E2B2DAF" w:rsidR="00AC4817" w:rsidRPr="00100E35" w:rsidRDefault="00AC4817" w:rsidP="00E76CEA">
            <w:pPr>
              <w:widowControl w:val="0"/>
              <w:autoSpaceDE w:val="0"/>
              <w:autoSpaceDN w:val="0"/>
              <w:ind w:left="109" w:right="96"/>
              <w:jc w:val="both"/>
              <w:rPr>
                <w:rFonts w:asciiTheme="majorBidi" w:eastAsia="Times New Roman" w:hAnsiTheme="majorBidi" w:cstheme="majorBidi"/>
                <w:sz w:val="20"/>
                <w:lang w:val="fr-FR"/>
              </w:rPr>
            </w:pPr>
            <w:r w:rsidRPr="00100E35">
              <w:rPr>
                <w:rFonts w:asciiTheme="majorBidi" w:hAnsiTheme="majorBidi"/>
                <w:sz w:val="20"/>
                <w:lang w:val="fr-FR"/>
              </w:rPr>
              <w:t>Il n</w:t>
            </w:r>
            <w:r w:rsidR="00100E35">
              <w:rPr>
                <w:rFonts w:asciiTheme="majorBidi" w:hAnsiTheme="majorBidi"/>
                <w:sz w:val="20"/>
                <w:lang w:val="fr-FR"/>
              </w:rPr>
              <w:t>’</w:t>
            </w:r>
            <w:r w:rsidRPr="00100E35">
              <w:rPr>
                <w:rFonts w:asciiTheme="majorBidi" w:hAnsiTheme="majorBidi"/>
                <w:sz w:val="20"/>
                <w:lang w:val="fr-FR"/>
              </w:rPr>
              <w:t>existe pas de système global ou centralisé traitant spécifiquement du droit d</w:t>
            </w:r>
            <w:r w:rsidR="00100E35">
              <w:rPr>
                <w:rFonts w:asciiTheme="majorBidi" w:hAnsiTheme="majorBidi"/>
                <w:sz w:val="20"/>
                <w:lang w:val="fr-FR"/>
              </w:rPr>
              <w:t>’</w:t>
            </w:r>
            <w:r w:rsidRPr="00100E35">
              <w:rPr>
                <w:rFonts w:asciiTheme="majorBidi" w:hAnsiTheme="majorBidi"/>
                <w:sz w:val="20"/>
                <w:lang w:val="fr-FR"/>
              </w:rPr>
              <w:t>auteur des journalistes dans le mon</w:t>
            </w:r>
            <w:r w:rsidR="007A1AE9" w:rsidRPr="00100E35">
              <w:rPr>
                <w:rFonts w:asciiTheme="majorBidi" w:hAnsiTheme="majorBidi"/>
                <w:sz w:val="20"/>
                <w:lang w:val="fr-FR"/>
              </w:rPr>
              <w:t>de</w:t>
            </w:r>
            <w:r w:rsidR="007A1AE9">
              <w:rPr>
                <w:rFonts w:asciiTheme="majorBidi" w:hAnsiTheme="majorBidi"/>
                <w:sz w:val="20"/>
                <w:lang w:val="fr-FR"/>
              </w:rPr>
              <w:t xml:space="preserve">.  </w:t>
            </w:r>
            <w:r w:rsidR="007A1AE9" w:rsidRPr="00100E35">
              <w:rPr>
                <w:rFonts w:asciiTheme="majorBidi" w:hAnsiTheme="majorBidi"/>
                <w:sz w:val="20"/>
                <w:lang w:val="fr-FR"/>
              </w:rPr>
              <w:t xml:space="preserve">À </w:t>
            </w:r>
            <w:r w:rsidRPr="00100E35">
              <w:rPr>
                <w:rFonts w:asciiTheme="majorBidi" w:hAnsiTheme="majorBidi"/>
                <w:sz w:val="20"/>
                <w:lang w:val="fr-FR"/>
              </w:rPr>
              <w:t>l</w:t>
            </w:r>
            <w:r w:rsidR="00100E35">
              <w:rPr>
                <w:rFonts w:asciiTheme="majorBidi" w:hAnsiTheme="majorBidi"/>
                <w:sz w:val="20"/>
                <w:lang w:val="fr-FR"/>
              </w:rPr>
              <w:t>’</w:t>
            </w:r>
            <w:r w:rsidRPr="00100E35">
              <w:rPr>
                <w:rFonts w:asciiTheme="majorBidi" w:hAnsiTheme="majorBidi"/>
                <w:sz w:val="20"/>
                <w:lang w:val="fr-FR"/>
              </w:rPr>
              <w:t>heure actuelle, aucune base de données internationale ne gère ni ne stocke les données sur le droit d</w:t>
            </w:r>
            <w:r w:rsidR="00100E35">
              <w:rPr>
                <w:rFonts w:asciiTheme="majorBidi" w:hAnsiTheme="majorBidi"/>
                <w:sz w:val="20"/>
                <w:lang w:val="fr-FR"/>
              </w:rPr>
              <w:t>’</w:t>
            </w:r>
            <w:r w:rsidRPr="00100E35">
              <w:rPr>
                <w:rFonts w:asciiTheme="majorBidi" w:hAnsiTheme="majorBidi"/>
                <w:sz w:val="20"/>
                <w:lang w:val="fr-FR"/>
              </w:rPr>
              <w:t>auteur concernant exclusivement les œuvres journalistiques</w:t>
            </w:r>
          </w:p>
          <w:p w14:paraId="715B7D5C" w14:textId="71DA5089" w:rsidR="00AC4817" w:rsidRPr="00100E35" w:rsidRDefault="00AC4817" w:rsidP="00E76CEA">
            <w:pPr>
              <w:widowControl w:val="0"/>
              <w:autoSpaceDE w:val="0"/>
              <w:autoSpaceDN w:val="0"/>
              <w:spacing w:line="233" w:lineRule="exact"/>
              <w:ind w:left="109"/>
              <w:jc w:val="both"/>
              <w:rPr>
                <w:rFonts w:asciiTheme="majorBidi" w:eastAsia="Times New Roman" w:hAnsiTheme="majorBidi" w:cstheme="majorBidi"/>
                <w:sz w:val="20"/>
                <w:lang w:val="fr-FR"/>
              </w:rPr>
            </w:pPr>
            <w:r w:rsidRPr="00100E35">
              <w:rPr>
                <w:rFonts w:asciiTheme="majorBidi" w:hAnsiTheme="majorBidi"/>
                <w:sz w:val="20"/>
                <w:lang w:val="fr-FR"/>
              </w:rPr>
              <w:t>à l</w:t>
            </w:r>
            <w:r w:rsidR="00100E35">
              <w:rPr>
                <w:rFonts w:asciiTheme="majorBidi" w:hAnsiTheme="majorBidi"/>
                <w:sz w:val="20"/>
                <w:lang w:val="fr-FR"/>
              </w:rPr>
              <w:t>’</w:t>
            </w:r>
            <w:r w:rsidRPr="00100E35">
              <w:rPr>
                <w:rFonts w:asciiTheme="majorBidi" w:hAnsiTheme="majorBidi"/>
                <w:sz w:val="20"/>
                <w:lang w:val="fr-FR"/>
              </w:rPr>
              <w:t>échelle mondiale.</w:t>
            </w:r>
          </w:p>
        </w:tc>
        <w:tc>
          <w:tcPr>
            <w:tcW w:w="1441" w:type="dxa"/>
          </w:tcPr>
          <w:p w14:paraId="5DE51D6B" w14:textId="77777777" w:rsidR="00AC4817" w:rsidRPr="00100E35" w:rsidRDefault="00AC4817" w:rsidP="00E76CEA">
            <w:pPr>
              <w:widowControl w:val="0"/>
              <w:autoSpaceDE w:val="0"/>
              <w:autoSpaceDN w:val="0"/>
              <w:spacing w:before="121"/>
              <w:ind w:left="123" w:right="112" w:firstLine="1"/>
              <w:jc w:val="center"/>
              <w:rPr>
                <w:rFonts w:asciiTheme="majorBidi" w:eastAsia="Times New Roman" w:hAnsiTheme="majorBidi" w:cstheme="majorBidi"/>
                <w:sz w:val="20"/>
                <w:lang w:val="fr-FR"/>
              </w:rPr>
            </w:pPr>
            <w:r w:rsidRPr="00100E35">
              <w:rPr>
                <w:rFonts w:asciiTheme="majorBidi" w:hAnsiTheme="majorBidi"/>
                <w:sz w:val="20"/>
                <w:lang w:val="fr-FR"/>
              </w:rPr>
              <w:t>Pas de renvoi particulier.</w:t>
            </w:r>
          </w:p>
        </w:tc>
        <w:tc>
          <w:tcPr>
            <w:tcW w:w="2959" w:type="dxa"/>
          </w:tcPr>
          <w:p w14:paraId="39A67A66" w14:textId="77777777" w:rsidR="00AC4817" w:rsidRPr="00100E35" w:rsidRDefault="00AC4817" w:rsidP="00E76CEA">
            <w:pPr>
              <w:widowControl w:val="0"/>
              <w:autoSpaceDE w:val="0"/>
              <w:autoSpaceDN w:val="0"/>
              <w:spacing w:line="237" w:lineRule="auto"/>
              <w:ind w:left="108"/>
              <w:rPr>
                <w:rFonts w:asciiTheme="majorBidi" w:eastAsia="Times New Roman" w:hAnsiTheme="majorBidi" w:cstheme="majorBidi"/>
                <w:sz w:val="20"/>
                <w:lang w:val="fr-FR"/>
              </w:rPr>
            </w:pPr>
            <w:r w:rsidRPr="00100E35">
              <w:rPr>
                <w:rFonts w:asciiTheme="majorBidi" w:hAnsiTheme="majorBidi"/>
                <w:sz w:val="20"/>
                <w:lang w:val="fr-FR"/>
              </w:rPr>
              <w:t>Pas de renvoi particulier.</w:t>
            </w:r>
          </w:p>
        </w:tc>
      </w:tr>
      <w:tr w:rsidR="00AC4817" w:rsidRPr="00100E35" w14:paraId="68D49243" w14:textId="77777777" w:rsidTr="00E76CEA">
        <w:trPr>
          <w:trHeight w:val="758"/>
        </w:trPr>
        <w:tc>
          <w:tcPr>
            <w:tcW w:w="1839" w:type="dxa"/>
          </w:tcPr>
          <w:p w14:paraId="4FB78F57" w14:textId="2862EFDD" w:rsidR="00AC4817" w:rsidRPr="00100E35" w:rsidRDefault="00AC4817" w:rsidP="00E76CEA">
            <w:pPr>
              <w:widowControl w:val="0"/>
              <w:autoSpaceDE w:val="0"/>
              <w:autoSpaceDN w:val="0"/>
              <w:spacing w:before="1"/>
              <w:ind w:left="110"/>
              <w:rPr>
                <w:rFonts w:asciiTheme="majorBidi" w:eastAsia="Times New Roman" w:hAnsiTheme="majorBidi" w:cstheme="majorBidi"/>
                <w:sz w:val="20"/>
                <w:lang w:val="fr-FR"/>
              </w:rPr>
            </w:pPr>
            <w:r w:rsidRPr="00100E35">
              <w:rPr>
                <w:rFonts w:asciiTheme="majorBidi" w:hAnsiTheme="majorBidi"/>
                <w:sz w:val="20"/>
                <w:lang w:val="fr-FR"/>
              </w:rPr>
              <w:t>Les disparités dans l</w:t>
            </w:r>
            <w:r w:rsidR="00100E35">
              <w:rPr>
                <w:rFonts w:asciiTheme="majorBidi" w:hAnsiTheme="majorBidi"/>
                <w:sz w:val="20"/>
                <w:lang w:val="fr-FR"/>
              </w:rPr>
              <w:t>’</w:t>
            </w:r>
            <w:r w:rsidRPr="00100E35">
              <w:rPr>
                <w:rFonts w:asciiTheme="majorBidi" w:hAnsiTheme="majorBidi"/>
                <w:sz w:val="20"/>
                <w:lang w:val="fr-FR"/>
              </w:rPr>
              <w:t>évaluation des redevances de droit d</w:t>
            </w:r>
            <w:r w:rsidR="00100E35">
              <w:rPr>
                <w:rFonts w:asciiTheme="majorBidi" w:hAnsiTheme="majorBidi"/>
                <w:sz w:val="20"/>
                <w:lang w:val="fr-FR"/>
              </w:rPr>
              <w:t>’</w:t>
            </w:r>
            <w:r w:rsidRPr="00100E35">
              <w:rPr>
                <w:rFonts w:asciiTheme="majorBidi" w:hAnsiTheme="majorBidi"/>
                <w:sz w:val="20"/>
                <w:lang w:val="fr-FR"/>
              </w:rPr>
              <w:t>auteur</w:t>
            </w:r>
          </w:p>
        </w:tc>
        <w:tc>
          <w:tcPr>
            <w:tcW w:w="1700" w:type="dxa"/>
          </w:tcPr>
          <w:p w14:paraId="5002EDE5" w14:textId="77777777" w:rsidR="00AC4817" w:rsidRPr="0033238B" w:rsidRDefault="00AC4817" w:rsidP="0033238B">
            <w:pPr>
              <w:widowControl w:val="0"/>
              <w:autoSpaceDE w:val="0"/>
              <w:autoSpaceDN w:val="0"/>
              <w:spacing w:before="2"/>
              <w:ind w:left="113" w:right="113"/>
              <w:jc w:val="center"/>
              <w:rPr>
                <w:rFonts w:asciiTheme="majorBidi" w:hAnsiTheme="majorBidi"/>
                <w:sz w:val="20"/>
                <w:lang w:val="fr-FR"/>
              </w:rPr>
            </w:pPr>
            <w:r w:rsidRPr="00100E35">
              <w:rPr>
                <w:rFonts w:asciiTheme="majorBidi" w:hAnsiTheme="majorBidi"/>
                <w:sz w:val="20"/>
                <w:lang w:val="fr-FR"/>
              </w:rPr>
              <w:t>Équité et inclusivité</w:t>
            </w:r>
          </w:p>
        </w:tc>
        <w:tc>
          <w:tcPr>
            <w:tcW w:w="6665" w:type="dxa"/>
          </w:tcPr>
          <w:p w14:paraId="1B6D5C9C" w14:textId="4E8C8202" w:rsidR="00AC4817" w:rsidRPr="00100E35" w:rsidRDefault="00AC4817" w:rsidP="00E76CEA">
            <w:pPr>
              <w:widowControl w:val="0"/>
              <w:autoSpaceDE w:val="0"/>
              <w:autoSpaceDN w:val="0"/>
              <w:spacing w:before="126"/>
              <w:ind w:left="109"/>
              <w:rPr>
                <w:rFonts w:asciiTheme="majorBidi" w:eastAsia="Times New Roman" w:hAnsiTheme="majorBidi" w:cstheme="majorBidi"/>
                <w:sz w:val="20"/>
                <w:lang w:val="fr-FR"/>
              </w:rPr>
            </w:pPr>
            <w:r w:rsidRPr="00100E35">
              <w:rPr>
                <w:rFonts w:asciiTheme="majorBidi" w:hAnsiTheme="majorBidi"/>
                <w:sz w:val="20"/>
                <w:lang w:val="fr-FR"/>
              </w:rPr>
              <w:t>Il n</w:t>
            </w:r>
            <w:r w:rsidR="00100E35">
              <w:rPr>
                <w:rFonts w:asciiTheme="majorBidi" w:hAnsiTheme="majorBidi"/>
                <w:sz w:val="20"/>
                <w:lang w:val="fr-FR"/>
              </w:rPr>
              <w:t>’</w:t>
            </w:r>
            <w:r w:rsidRPr="00100E35">
              <w:rPr>
                <w:rFonts w:asciiTheme="majorBidi" w:hAnsiTheme="majorBidi"/>
                <w:sz w:val="20"/>
                <w:lang w:val="fr-FR"/>
              </w:rPr>
              <w:t>existe pour l</w:t>
            </w:r>
            <w:r w:rsidR="00100E35">
              <w:rPr>
                <w:rFonts w:asciiTheme="majorBidi" w:hAnsiTheme="majorBidi"/>
                <w:sz w:val="20"/>
                <w:lang w:val="fr-FR"/>
              </w:rPr>
              <w:t>’</w:t>
            </w:r>
            <w:r w:rsidRPr="00100E35">
              <w:rPr>
                <w:rFonts w:asciiTheme="majorBidi" w:hAnsiTheme="majorBidi"/>
                <w:sz w:val="20"/>
                <w:lang w:val="fr-FR"/>
              </w:rPr>
              <w:t>heure pas de réglementation spécifique, mais une valeur est attribuée aux œuvres journalistiques, en particulier au sein des entreprises de médias.</w:t>
            </w:r>
          </w:p>
        </w:tc>
        <w:tc>
          <w:tcPr>
            <w:tcW w:w="1441" w:type="dxa"/>
          </w:tcPr>
          <w:p w14:paraId="4D868E29" w14:textId="77777777" w:rsidR="00AC4817" w:rsidRPr="00100E35" w:rsidRDefault="00AC4817" w:rsidP="00E76CEA">
            <w:pPr>
              <w:widowControl w:val="0"/>
              <w:autoSpaceDE w:val="0"/>
              <w:autoSpaceDN w:val="0"/>
              <w:spacing w:before="1"/>
              <w:ind w:left="145" w:right="135"/>
              <w:jc w:val="center"/>
              <w:rPr>
                <w:rFonts w:asciiTheme="majorBidi" w:eastAsia="Times New Roman" w:hAnsiTheme="majorBidi" w:cstheme="majorBidi"/>
                <w:sz w:val="20"/>
                <w:lang w:val="fr-FR"/>
              </w:rPr>
            </w:pPr>
            <w:r w:rsidRPr="00100E35">
              <w:rPr>
                <w:rFonts w:asciiTheme="majorBidi" w:hAnsiTheme="majorBidi"/>
                <w:sz w:val="20"/>
                <w:lang w:val="fr-FR"/>
              </w:rPr>
              <w:t>Pas de renvoi particulier.</w:t>
            </w:r>
          </w:p>
        </w:tc>
        <w:tc>
          <w:tcPr>
            <w:tcW w:w="2959" w:type="dxa"/>
          </w:tcPr>
          <w:p w14:paraId="3E088B4B" w14:textId="77777777" w:rsidR="00AC4817" w:rsidRPr="00100E35" w:rsidRDefault="00AC4817" w:rsidP="00E76CEA">
            <w:pPr>
              <w:widowControl w:val="0"/>
              <w:autoSpaceDE w:val="0"/>
              <w:autoSpaceDN w:val="0"/>
              <w:spacing w:before="126"/>
              <w:ind w:left="108"/>
              <w:rPr>
                <w:rFonts w:asciiTheme="majorBidi" w:eastAsia="Times New Roman" w:hAnsiTheme="majorBidi" w:cstheme="majorBidi"/>
                <w:sz w:val="20"/>
                <w:lang w:val="fr-FR"/>
              </w:rPr>
            </w:pPr>
            <w:r w:rsidRPr="00100E35">
              <w:rPr>
                <w:rFonts w:asciiTheme="majorBidi" w:hAnsiTheme="majorBidi"/>
                <w:sz w:val="20"/>
                <w:lang w:val="fr-FR"/>
              </w:rPr>
              <w:t>Pas de renvoi particulier.</w:t>
            </w:r>
          </w:p>
        </w:tc>
      </w:tr>
    </w:tbl>
    <w:p w14:paraId="3DFC0243" w14:textId="77777777" w:rsidR="00AC4817" w:rsidRPr="00100E35" w:rsidRDefault="00AC4817" w:rsidP="00AC4817">
      <w:pPr>
        <w:rPr>
          <w:rFonts w:eastAsia="Aptos" w:cs="Noto Sans Display"/>
          <w:b/>
          <w:bCs/>
          <w:kern w:val="2"/>
          <w:szCs w:val="22"/>
          <w:lang w:val="fr-FR"/>
          <w14:ligatures w14:val="standardContextual"/>
        </w:rPr>
      </w:pPr>
      <w:r w:rsidRPr="00100E35">
        <w:rPr>
          <w:lang w:val="fr-FR"/>
        </w:rPr>
        <w:br w:type="page"/>
      </w:r>
    </w:p>
    <w:p w14:paraId="07EF89BA" w14:textId="77777777" w:rsidR="00AC4817" w:rsidRPr="00100E35" w:rsidRDefault="00AC4817" w:rsidP="00AC4817">
      <w:pPr>
        <w:spacing w:before="180" w:after="240"/>
        <w:rPr>
          <w:rFonts w:eastAsia="Aptos" w:cs="Noto Sans Display"/>
          <w:b/>
          <w:bCs/>
          <w:kern w:val="2"/>
          <w:szCs w:val="22"/>
          <w:lang w:val="fr-FR"/>
          <w14:ligatures w14:val="standardContextual"/>
        </w:rPr>
      </w:pPr>
      <w:r w:rsidRPr="00100E35">
        <w:rPr>
          <w:b/>
          <w:lang w:val="fr-FR"/>
        </w:rPr>
        <w:t>Références</w:t>
      </w:r>
    </w:p>
    <w:p w14:paraId="0B835FB1" w14:textId="44DD09FB" w:rsidR="00AC4817" w:rsidRPr="00100E35" w:rsidRDefault="00AC4817" w:rsidP="00AC4817">
      <w:pPr>
        <w:spacing w:before="180" w:after="240"/>
        <w:rPr>
          <w:rFonts w:eastAsia="Aptos" w:cs="Noto Sans Display"/>
          <w:kern w:val="2"/>
          <w:szCs w:val="22"/>
          <w:lang w:val="fr-FR"/>
          <w14:ligatures w14:val="standardContextual"/>
        </w:rPr>
      </w:pPr>
      <w:r w:rsidRPr="00AB7351">
        <w:rPr>
          <w:lang w:val="en-US"/>
        </w:rPr>
        <w:t xml:space="preserve">Bossio, Diana, Andrea Carson et James Meese. </w:t>
      </w:r>
      <w:r w:rsidR="0080246A" w:rsidRPr="00AB7351">
        <w:rPr>
          <w:lang w:val="en-US"/>
        </w:rPr>
        <w:t xml:space="preserve"> </w:t>
      </w:r>
      <w:r w:rsidRPr="00AB7351">
        <w:rPr>
          <w:lang w:val="en-US"/>
        </w:rPr>
        <w:t xml:space="preserve">“A Different Playbook for the Same Outcome? </w:t>
      </w:r>
      <w:r w:rsidR="0080246A" w:rsidRPr="00AB7351">
        <w:rPr>
          <w:lang w:val="en-US"/>
        </w:rPr>
        <w:t xml:space="preserve"> </w:t>
      </w:r>
      <w:r w:rsidRPr="00100E35">
        <w:rPr>
          <w:lang w:val="fr-FR"/>
        </w:rPr>
        <w:t>Examining Google</w:t>
      </w:r>
      <w:r w:rsidR="00100E35">
        <w:rPr>
          <w:lang w:val="fr-FR"/>
        </w:rPr>
        <w:t>’</w:t>
      </w:r>
      <w:r w:rsidRPr="00100E35">
        <w:rPr>
          <w:lang w:val="fr-FR"/>
        </w:rPr>
        <w:t>s and Meta</w:t>
      </w:r>
      <w:r w:rsidR="00100E35">
        <w:rPr>
          <w:lang w:val="fr-FR"/>
        </w:rPr>
        <w:t>’</w:t>
      </w:r>
      <w:r w:rsidRPr="00100E35">
        <w:rPr>
          <w:lang w:val="fr-FR"/>
        </w:rPr>
        <w:t>s Strategic Responses to Australia</w:t>
      </w:r>
      <w:r w:rsidR="00100E35">
        <w:rPr>
          <w:lang w:val="fr-FR"/>
        </w:rPr>
        <w:t>’</w:t>
      </w:r>
      <w:r w:rsidRPr="00100E35">
        <w:rPr>
          <w:lang w:val="fr-FR"/>
        </w:rPr>
        <w:t xml:space="preserve">s News Media Bargaining Code”. </w:t>
      </w:r>
      <w:r w:rsidR="0080246A">
        <w:rPr>
          <w:lang w:val="fr-FR"/>
        </w:rPr>
        <w:t xml:space="preserve"> </w:t>
      </w:r>
      <w:r w:rsidRPr="00100E35">
        <w:rPr>
          <w:i/>
          <w:lang w:val="fr-FR"/>
        </w:rPr>
        <w:t>New Media &amp; Society</w:t>
      </w:r>
      <w:r w:rsidRPr="00100E35">
        <w:rPr>
          <w:lang w:val="fr-FR"/>
        </w:rPr>
        <w:t>, Volume 27, n°</w:t>
      </w:r>
      <w:r w:rsidR="0080246A">
        <w:rPr>
          <w:lang w:val="fr-FR"/>
        </w:rPr>
        <w:t> </w:t>
      </w:r>
      <w:r w:rsidRPr="00100E35">
        <w:rPr>
          <w:lang w:val="fr-FR"/>
        </w:rPr>
        <w:t>7 (5 juillet 2025)</w:t>
      </w:r>
      <w:r w:rsidR="00100E35">
        <w:rPr>
          <w:lang w:val="fr-FR"/>
        </w:rPr>
        <w:t> :</w:t>
      </w:r>
      <w:r w:rsidRPr="00100E35">
        <w:rPr>
          <w:lang w:val="fr-FR"/>
        </w:rPr>
        <w:t xml:space="preserve"> </w:t>
      </w:r>
      <w:r w:rsidR="00100E35" w:rsidRPr="00100E35">
        <w:rPr>
          <w:lang w:val="fr-FR"/>
        </w:rPr>
        <w:t>pages</w:t>
      </w:r>
      <w:r w:rsidR="00100E35">
        <w:rPr>
          <w:lang w:val="fr-FR"/>
        </w:rPr>
        <w:t> </w:t>
      </w:r>
      <w:r w:rsidR="00100E35" w:rsidRPr="00100E35">
        <w:rPr>
          <w:lang w:val="fr-FR"/>
        </w:rPr>
        <w:t>3</w:t>
      </w:r>
      <w:r w:rsidRPr="00100E35">
        <w:rPr>
          <w:lang w:val="fr-FR"/>
        </w:rPr>
        <w:t>890</w:t>
      </w:r>
      <w:r w:rsidR="00100E35">
        <w:rPr>
          <w:lang w:val="fr-FR"/>
        </w:rPr>
        <w:t>-</w:t>
      </w:r>
      <w:r w:rsidRPr="00100E35">
        <w:rPr>
          <w:lang w:val="fr-FR"/>
        </w:rPr>
        <w:t>3910.</w:t>
      </w:r>
      <w:r w:rsidR="0080246A">
        <w:rPr>
          <w:lang w:val="fr-FR"/>
        </w:rPr>
        <w:t xml:space="preserve"> </w:t>
      </w:r>
      <w:r w:rsidRPr="00100E35">
        <w:rPr>
          <w:lang w:val="fr-FR"/>
        </w:rPr>
        <w:t xml:space="preserve"> </w:t>
      </w:r>
      <w:hyperlink r:id="rId21" w:history="1">
        <w:r w:rsidRPr="00100E35">
          <w:rPr>
            <w:color w:val="467886"/>
            <w:u w:val="single"/>
            <w:lang w:val="fr-FR"/>
          </w:rPr>
          <w:t>https://doi.org/10.1177/14614448241232296</w:t>
        </w:r>
      </w:hyperlink>
      <w:r w:rsidRPr="00100E35">
        <w:rPr>
          <w:lang w:val="fr-FR"/>
        </w:rPr>
        <w:t>.</w:t>
      </w:r>
    </w:p>
    <w:p w14:paraId="49FAC8D7" w14:textId="71F34736"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Dludla, Nqobile. </w:t>
      </w:r>
      <w:r w:rsidR="0080246A">
        <w:rPr>
          <w:lang w:val="fr-FR"/>
        </w:rPr>
        <w:t xml:space="preserve"> </w:t>
      </w:r>
      <w:r w:rsidRPr="00100E35">
        <w:rPr>
          <w:lang w:val="fr-FR"/>
        </w:rPr>
        <w:t>“Google, Meta Face Penalties for Anti</w:t>
      </w:r>
      <w:r w:rsidR="00100E35">
        <w:rPr>
          <w:lang w:val="fr-FR"/>
        </w:rPr>
        <w:t>-</w:t>
      </w:r>
      <w:r w:rsidRPr="00100E35">
        <w:rPr>
          <w:lang w:val="fr-FR"/>
        </w:rPr>
        <w:t xml:space="preserve">Competitive Behaviour towards South African News Media“. </w:t>
      </w:r>
      <w:r w:rsidR="0080246A">
        <w:rPr>
          <w:lang w:val="fr-FR"/>
        </w:rPr>
        <w:t xml:space="preserve"> </w:t>
      </w:r>
      <w:r w:rsidRPr="00100E35">
        <w:rPr>
          <w:lang w:val="fr-FR"/>
        </w:rPr>
        <w:t>Reuters.com, 2025.</w:t>
      </w:r>
      <w:r w:rsidR="0080246A">
        <w:rPr>
          <w:lang w:val="fr-FR"/>
        </w:rPr>
        <w:t xml:space="preserve"> </w:t>
      </w:r>
      <w:r w:rsidRPr="00100E35">
        <w:rPr>
          <w:lang w:val="fr-FR"/>
        </w:rPr>
        <w:t xml:space="preserve"> https://www.reuters.com/technology/google</w:t>
      </w:r>
      <w:r w:rsidR="00100E35">
        <w:rPr>
          <w:lang w:val="fr-FR"/>
        </w:rPr>
        <w:t>-</w:t>
      </w:r>
      <w:r w:rsidRPr="00100E35">
        <w:rPr>
          <w:lang w:val="fr-FR"/>
        </w:rPr>
        <w:t>meta</w:t>
      </w:r>
      <w:r w:rsidR="00100E35">
        <w:rPr>
          <w:lang w:val="fr-FR"/>
        </w:rPr>
        <w:t>-</w:t>
      </w:r>
      <w:r w:rsidRPr="00100E35">
        <w:rPr>
          <w:lang w:val="fr-FR"/>
        </w:rPr>
        <w:t>face</w:t>
      </w:r>
      <w:r w:rsidR="00100E35">
        <w:rPr>
          <w:lang w:val="fr-FR"/>
        </w:rPr>
        <w:t>-</w:t>
      </w:r>
      <w:r w:rsidRPr="00100E35">
        <w:rPr>
          <w:lang w:val="fr-FR"/>
        </w:rPr>
        <w:t>penalties</w:t>
      </w:r>
      <w:r w:rsidR="00100E35">
        <w:rPr>
          <w:lang w:val="fr-FR"/>
        </w:rPr>
        <w:t>-</w:t>
      </w:r>
      <w:r w:rsidRPr="00100E35">
        <w:rPr>
          <w:lang w:val="fr-FR"/>
        </w:rPr>
        <w:t>anti</w:t>
      </w:r>
      <w:r w:rsidR="00100E35">
        <w:rPr>
          <w:lang w:val="fr-FR"/>
        </w:rPr>
        <w:t>-</w:t>
      </w:r>
      <w:r w:rsidRPr="00100E35">
        <w:rPr>
          <w:lang w:val="fr-FR"/>
        </w:rPr>
        <w:t>competitive</w:t>
      </w:r>
      <w:r w:rsidR="00100E35">
        <w:rPr>
          <w:lang w:val="fr-FR"/>
        </w:rPr>
        <w:t>-</w:t>
      </w:r>
      <w:r w:rsidRPr="00100E35">
        <w:rPr>
          <w:lang w:val="fr-FR"/>
        </w:rPr>
        <w:t>behaviour</w:t>
      </w:r>
      <w:r w:rsidR="00100E35">
        <w:rPr>
          <w:lang w:val="fr-FR"/>
        </w:rPr>
        <w:t>-</w:t>
      </w:r>
      <w:r w:rsidRPr="00100E35">
        <w:rPr>
          <w:lang w:val="fr-FR"/>
        </w:rPr>
        <w:t>towards</w:t>
      </w:r>
      <w:r w:rsidR="00100E35">
        <w:rPr>
          <w:lang w:val="fr-FR"/>
        </w:rPr>
        <w:t>-</w:t>
      </w:r>
      <w:r w:rsidRPr="00100E35">
        <w:rPr>
          <w:lang w:val="fr-FR"/>
        </w:rPr>
        <w:t>south</w:t>
      </w:r>
      <w:r w:rsidR="00100E35">
        <w:rPr>
          <w:lang w:val="fr-FR"/>
        </w:rPr>
        <w:t>-</w:t>
      </w:r>
      <w:r w:rsidRPr="00100E35">
        <w:rPr>
          <w:lang w:val="fr-FR"/>
        </w:rPr>
        <w:t>african</w:t>
      </w:r>
      <w:r w:rsidR="00100E35">
        <w:rPr>
          <w:lang w:val="fr-FR"/>
        </w:rPr>
        <w:t>-</w:t>
      </w:r>
      <w:r w:rsidRPr="00100E35">
        <w:rPr>
          <w:lang w:val="fr-FR"/>
        </w:rPr>
        <w:t>news</w:t>
      </w:r>
      <w:r w:rsidR="00100E35">
        <w:rPr>
          <w:lang w:val="fr-FR"/>
        </w:rPr>
        <w:t>-</w:t>
      </w:r>
      <w:r w:rsidRPr="00100E35">
        <w:rPr>
          <w:lang w:val="fr-FR"/>
        </w:rPr>
        <w:t>2025</w:t>
      </w:r>
      <w:r w:rsidR="00100E35">
        <w:rPr>
          <w:lang w:val="fr-FR"/>
        </w:rPr>
        <w:t>-</w:t>
      </w:r>
      <w:r w:rsidRPr="00100E35">
        <w:rPr>
          <w:lang w:val="fr-FR"/>
        </w:rPr>
        <w:t>02</w:t>
      </w:r>
      <w:r w:rsidR="00100E35">
        <w:rPr>
          <w:lang w:val="fr-FR"/>
        </w:rPr>
        <w:t>-</w:t>
      </w:r>
      <w:r w:rsidRPr="00100E35">
        <w:rPr>
          <w:lang w:val="fr-FR"/>
        </w:rPr>
        <w:t xml:space="preserve">24/?utm_source, </w:t>
      </w:r>
      <w:hyperlink r:id="rId22" w:history="1">
        <w:r w:rsidRPr="00100E35">
          <w:rPr>
            <w:color w:val="467886"/>
            <w:u w:val="single"/>
            <w:lang w:val="fr-FR"/>
          </w:rPr>
          <w:t>https://mg.co.za/news/2025</w:t>
        </w:r>
        <w:r w:rsidR="00100E35">
          <w:rPr>
            <w:color w:val="467886"/>
            <w:u w:val="single"/>
            <w:lang w:val="fr-FR"/>
          </w:rPr>
          <w:t>-</w:t>
        </w:r>
        <w:r w:rsidRPr="00100E35">
          <w:rPr>
            <w:color w:val="467886"/>
            <w:u w:val="single"/>
            <w:lang w:val="fr-FR"/>
          </w:rPr>
          <w:t>02</w:t>
        </w:r>
        <w:r w:rsidR="00100E35">
          <w:rPr>
            <w:color w:val="467886"/>
            <w:u w:val="single"/>
            <w:lang w:val="fr-FR"/>
          </w:rPr>
          <w:t>-</w:t>
        </w:r>
        <w:r w:rsidRPr="00100E35">
          <w:rPr>
            <w:color w:val="467886"/>
            <w:u w:val="single"/>
            <w:lang w:val="fr-FR"/>
          </w:rPr>
          <w:t>24</w:t>
        </w:r>
        <w:r w:rsidR="00100E35">
          <w:rPr>
            <w:color w:val="467886"/>
            <w:u w:val="single"/>
            <w:lang w:val="fr-FR"/>
          </w:rPr>
          <w:t>-</w:t>
        </w:r>
        <w:r w:rsidRPr="00100E35">
          <w:rPr>
            <w:color w:val="467886"/>
            <w:u w:val="single"/>
            <w:lang w:val="fr-FR"/>
          </w:rPr>
          <w:t>google</w:t>
        </w:r>
        <w:r w:rsidR="00100E35">
          <w:rPr>
            <w:color w:val="467886"/>
            <w:u w:val="single"/>
            <w:lang w:val="fr-FR"/>
          </w:rPr>
          <w:t>-</w:t>
        </w:r>
        <w:r w:rsidRPr="00100E35">
          <w:rPr>
            <w:color w:val="467886"/>
            <w:u w:val="single"/>
            <w:lang w:val="fr-FR"/>
          </w:rPr>
          <w:t>must</w:t>
        </w:r>
        <w:r w:rsidR="00100E35">
          <w:rPr>
            <w:color w:val="467886"/>
            <w:u w:val="single"/>
            <w:lang w:val="fr-FR"/>
          </w:rPr>
          <w:t>-</w:t>
        </w:r>
        <w:r w:rsidRPr="00100E35">
          <w:rPr>
            <w:color w:val="467886"/>
            <w:u w:val="single"/>
            <w:lang w:val="fr-FR"/>
          </w:rPr>
          <w:t>pay</w:t>
        </w:r>
        <w:r w:rsidR="00100E35">
          <w:rPr>
            <w:color w:val="467886"/>
            <w:u w:val="single"/>
            <w:lang w:val="fr-FR"/>
          </w:rPr>
          <w:t>-</w:t>
        </w:r>
        <w:r w:rsidRPr="00100E35">
          <w:rPr>
            <w:color w:val="467886"/>
            <w:u w:val="single"/>
            <w:lang w:val="fr-FR"/>
          </w:rPr>
          <w:t>sa</w:t>
        </w:r>
        <w:r w:rsidR="00100E35">
          <w:rPr>
            <w:color w:val="467886"/>
            <w:u w:val="single"/>
            <w:lang w:val="fr-FR"/>
          </w:rPr>
          <w:t>-</w:t>
        </w:r>
        <w:r w:rsidRPr="00100E35">
          <w:rPr>
            <w:color w:val="467886"/>
            <w:u w:val="single"/>
            <w:lang w:val="fr-FR"/>
          </w:rPr>
          <w:t>media</w:t>
        </w:r>
        <w:r w:rsidR="00100E35">
          <w:rPr>
            <w:color w:val="467886"/>
            <w:u w:val="single"/>
            <w:lang w:val="fr-FR"/>
          </w:rPr>
          <w:t>-</w:t>
        </w:r>
        <w:r w:rsidRPr="00100E35">
          <w:rPr>
            <w:color w:val="467886"/>
            <w:u w:val="single"/>
            <w:lang w:val="fr-FR"/>
          </w:rPr>
          <w:t>up</w:t>
        </w:r>
        <w:r w:rsidR="00100E35">
          <w:rPr>
            <w:color w:val="467886"/>
            <w:u w:val="single"/>
            <w:lang w:val="fr-FR"/>
          </w:rPr>
          <w:t>-</w:t>
        </w:r>
        <w:r w:rsidRPr="00100E35">
          <w:rPr>
            <w:color w:val="467886"/>
            <w:u w:val="single"/>
            <w:lang w:val="fr-FR"/>
          </w:rPr>
          <w:t>to</w:t>
        </w:r>
        <w:r w:rsidR="00100E35">
          <w:rPr>
            <w:color w:val="467886"/>
            <w:u w:val="single"/>
            <w:lang w:val="fr-FR"/>
          </w:rPr>
          <w:t>-</w:t>
        </w:r>
        <w:r w:rsidRPr="00100E35">
          <w:rPr>
            <w:color w:val="467886"/>
            <w:u w:val="single"/>
            <w:lang w:val="fr-FR"/>
          </w:rPr>
          <w:t>r500</w:t>
        </w:r>
        <w:r w:rsidR="00100E35">
          <w:rPr>
            <w:color w:val="467886"/>
            <w:u w:val="single"/>
            <w:lang w:val="fr-FR"/>
          </w:rPr>
          <w:t>-</w:t>
        </w:r>
        <w:r w:rsidRPr="00100E35">
          <w:rPr>
            <w:color w:val="467886"/>
            <w:u w:val="single"/>
            <w:lang w:val="fr-FR"/>
          </w:rPr>
          <w:t>million</w:t>
        </w:r>
        <w:r w:rsidR="00100E35">
          <w:rPr>
            <w:color w:val="467886"/>
            <w:u w:val="single"/>
            <w:lang w:val="fr-FR"/>
          </w:rPr>
          <w:t>-</w:t>
        </w:r>
        <w:r w:rsidRPr="00100E35">
          <w:rPr>
            <w:color w:val="467886"/>
            <w:u w:val="single"/>
            <w:lang w:val="fr-FR"/>
          </w:rPr>
          <w:t>says</w:t>
        </w:r>
        <w:r w:rsidR="00100E35">
          <w:rPr>
            <w:color w:val="467886"/>
            <w:u w:val="single"/>
            <w:lang w:val="fr-FR"/>
          </w:rPr>
          <w:t>-</w:t>
        </w:r>
        <w:r w:rsidRPr="00100E35">
          <w:rPr>
            <w:color w:val="467886"/>
            <w:u w:val="single"/>
            <w:lang w:val="fr-FR"/>
          </w:rPr>
          <w:t>competition</w:t>
        </w:r>
        <w:r w:rsidR="00100E35">
          <w:rPr>
            <w:color w:val="467886"/>
            <w:u w:val="single"/>
            <w:lang w:val="fr-FR"/>
          </w:rPr>
          <w:t>-</w:t>
        </w:r>
        <w:r w:rsidRPr="00100E35">
          <w:rPr>
            <w:color w:val="467886"/>
            <w:u w:val="single"/>
            <w:lang w:val="fr-FR"/>
          </w:rPr>
          <w:t>commission/?utm_source</w:t>
        </w:r>
      </w:hyperlink>
      <w:r w:rsidRPr="00100E35">
        <w:rPr>
          <w:lang w:val="fr-FR"/>
        </w:rPr>
        <w:t>.</w:t>
      </w:r>
    </w:p>
    <w:p w14:paraId="34F7BB25" w14:textId="1E6B7286" w:rsidR="00AC4817" w:rsidRPr="00100E35" w:rsidRDefault="00AC4817" w:rsidP="00AC4817">
      <w:pPr>
        <w:spacing w:before="180" w:after="240"/>
        <w:rPr>
          <w:rFonts w:eastAsia="Aptos" w:cs="Noto Sans Display"/>
          <w:kern w:val="2"/>
          <w:szCs w:val="22"/>
          <w:lang w:val="fr-FR"/>
          <w14:ligatures w14:val="standardContextual"/>
        </w:rPr>
      </w:pPr>
      <w:r w:rsidRPr="00AB7351">
        <w:rPr>
          <w:lang w:val="en-US"/>
        </w:rPr>
        <w:t xml:space="preserve">Furgal, Ula. </w:t>
      </w:r>
      <w:r w:rsidR="0080246A" w:rsidRPr="00AB7351">
        <w:rPr>
          <w:lang w:val="en-US"/>
        </w:rPr>
        <w:t xml:space="preserve"> </w:t>
      </w:r>
      <w:r w:rsidRPr="00AB7351">
        <w:rPr>
          <w:lang w:val="en-US"/>
        </w:rPr>
        <w:t>“The EU Press Publishers</w:t>
      </w:r>
      <w:r w:rsidR="00100E35" w:rsidRPr="00AB7351">
        <w:rPr>
          <w:lang w:val="en-US"/>
        </w:rPr>
        <w:t>’</w:t>
      </w:r>
      <w:r w:rsidRPr="00AB7351">
        <w:rPr>
          <w:lang w:val="en-US"/>
        </w:rPr>
        <w:t xml:space="preserve"> Right: Where Do Member States Stand?” </w:t>
      </w:r>
      <w:r w:rsidRPr="00100E35">
        <w:rPr>
          <w:i/>
          <w:lang w:val="fr-FR"/>
        </w:rPr>
        <w:t>Journal of Intellectual Property Law &amp; Practice</w:t>
      </w:r>
      <w:r w:rsidRPr="00100E35">
        <w:rPr>
          <w:lang w:val="fr-FR"/>
        </w:rPr>
        <w:t>, Volume 16, n° 8 (26 octobre 2021)</w:t>
      </w:r>
      <w:r w:rsidR="00100E35">
        <w:rPr>
          <w:lang w:val="fr-FR"/>
        </w:rPr>
        <w:t> :</w:t>
      </w:r>
      <w:r w:rsidRPr="00100E35">
        <w:rPr>
          <w:lang w:val="fr-FR"/>
        </w:rPr>
        <w:t xml:space="preserve"> </w:t>
      </w:r>
      <w:r w:rsidR="00100E35" w:rsidRPr="00100E35">
        <w:rPr>
          <w:lang w:val="fr-FR"/>
        </w:rPr>
        <w:t>pages</w:t>
      </w:r>
      <w:r w:rsidR="00100E35">
        <w:rPr>
          <w:lang w:val="fr-FR"/>
        </w:rPr>
        <w:t> </w:t>
      </w:r>
      <w:r w:rsidR="00100E35" w:rsidRPr="00100E35">
        <w:rPr>
          <w:lang w:val="fr-FR"/>
        </w:rPr>
        <w:t>8</w:t>
      </w:r>
      <w:r w:rsidRPr="00100E35">
        <w:rPr>
          <w:lang w:val="fr-FR"/>
        </w:rPr>
        <w:t>87</w:t>
      </w:r>
      <w:r w:rsidR="00100E35">
        <w:rPr>
          <w:lang w:val="fr-FR"/>
        </w:rPr>
        <w:t>-</w:t>
      </w:r>
      <w:r w:rsidRPr="00100E35">
        <w:rPr>
          <w:lang w:val="fr-FR"/>
        </w:rPr>
        <w:t xml:space="preserve">893, </w:t>
      </w:r>
      <w:hyperlink r:id="rId23" w:history="1">
        <w:r w:rsidRPr="00100E35">
          <w:rPr>
            <w:color w:val="467886"/>
            <w:u w:val="single"/>
            <w:lang w:val="fr-FR"/>
          </w:rPr>
          <w:t>https://doi.org/10.1093/jiplp/jpab105</w:t>
        </w:r>
      </w:hyperlink>
      <w:r w:rsidRPr="00100E35">
        <w:rPr>
          <w:lang w:val="fr-FR"/>
        </w:rPr>
        <w:t>.</w:t>
      </w:r>
    </w:p>
    <w:p w14:paraId="1ED34885" w14:textId="185A0CE3"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Goto, Ryota et Ryo Sanada. </w:t>
      </w:r>
      <w:r w:rsidR="0080246A">
        <w:rPr>
          <w:lang w:val="fr-FR"/>
        </w:rPr>
        <w:t xml:space="preserve"> </w:t>
      </w:r>
      <w:r w:rsidRPr="00100E35">
        <w:rPr>
          <w:lang w:val="fr-FR"/>
        </w:rPr>
        <w:t xml:space="preserve">“Asahi, Nikkei Sue Perplexity AI over Copyright Infringement”. </w:t>
      </w:r>
      <w:r w:rsidR="0080246A">
        <w:rPr>
          <w:lang w:val="fr-FR"/>
        </w:rPr>
        <w:t xml:space="preserve"> </w:t>
      </w:r>
      <w:r w:rsidRPr="00100E35">
        <w:rPr>
          <w:lang w:val="fr-FR"/>
        </w:rPr>
        <w:t>The Asahi Shimbun, 2025.</w:t>
      </w:r>
      <w:r w:rsidR="0080246A">
        <w:rPr>
          <w:lang w:val="fr-FR"/>
        </w:rPr>
        <w:t xml:space="preserve"> </w:t>
      </w:r>
      <w:r w:rsidRPr="00100E35">
        <w:rPr>
          <w:lang w:val="fr-FR"/>
        </w:rPr>
        <w:t xml:space="preserve"> </w:t>
      </w:r>
      <w:hyperlink r:id="rId24" w:history="1">
        <w:r w:rsidRPr="00100E35">
          <w:rPr>
            <w:color w:val="467886"/>
            <w:u w:val="single"/>
            <w:lang w:val="fr-FR"/>
          </w:rPr>
          <w:t>https://www.asahi.com/ajw/articles/15987899?utm_source</w:t>
        </w:r>
      </w:hyperlink>
      <w:r w:rsidRPr="00100E35">
        <w:rPr>
          <w:lang w:val="fr-FR"/>
        </w:rPr>
        <w:t>.</w:t>
      </w:r>
    </w:p>
    <w:p w14:paraId="2A91D422" w14:textId="7772BB43"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Humas Sekretariat Kabinet Republik Indonesia. </w:t>
      </w:r>
      <w:r w:rsidR="0080246A">
        <w:rPr>
          <w:lang w:val="fr-FR"/>
        </w:rPr>
        <w:t xml:space="preserve"> </w:t>
      </w:r>
      <w:r w:rsidRPr="00100E35">
        <w:rPr>
          <w:lang w:val="fr-FR"/>
        </w:rPr>
        <w:t xml:space="preserve">“Inilah Perpres 32/2024 Tentang Publisher Rights”. </w:t>
      </w:r>
      <w:r w:rsidR="0080246A">
        <w:rPr>
          <w:lang w:val="fr-FR"/>
        </w:rPr>
        <w:t xml:space="preserve"> </w:t>
      </w:r>
      <w:r w:rsidRPr="00100E35">
        <w:rPr>
          <w:lang w:val="fr-FR"/>
        </w:rPr>
        <w:t>Berita, 2024.</w:t>
      </w:r>
      <w:r w:rsidR="0080246A">
        <w:rPr>
          <w:lang w:val="fr-FR"/>
        </w:rPr>
        <w:t xml:space="preserve"> </w:t>
      </w:r>
      <w:r w:rsidRPr="00100E35">
        <w:rPr>
          <w:lang w:val="fr-FR"/>
        </w:rPr>
        <w:t xml:space="preserve"> </w:t>
      </w:r>
      <w:hyperlink r:id="rId25" w:history="1">
        <w:r w:rsidRPr="00100E35">
          <w:rPr>
            <w:color w:val="467886"/>
            <w:u w:val="single"/>
            <w:lang w:val="fr-FR"/>
          </w:rPr>
          <w:t>https://setkab.go.id/inilah</w:t>
        </w:r>
        <w:r w:rsidR="00100E35">
          <w:rPr>
            <w:color w:val="467886"/>
            <w:u w:val="single"/>
            <w:lang w:val="fr-FR"/>
          </w:rPr>
          <w:t>-</w:t>
        </w:r>
        <w:r w:rsidRPr="00100E35">
          <w:rPr>
            <w:color w:val="467886"/>
            <w:u w:val="single"/>
            <w:lang w:val="fr-FR"/>
          </w:rPr>
          <w:t>perpres</w:t>
        </w:r>
        <w:r w:rsidR="00100E35">
          <w:rPr>
            <w:color w:val="467886"/>
            <w:u w:val="single"/>
            <w:lang w:val="fr-FR"/>
          </w:rPr>
          <w:t>-</w:t>
        </w:r>
        <w:r w:rsidRPr="00100E35">
          <w:rPr>
            <w:color w:val="467886"/>
            <w:u w:val="single"/>
            <w:lang w:val="fr-FR"/>
          </w:rPr>
          <w:t>32</w:t>
        </w:r>
        <w:r w:rsidR="00100E35">
          <w:rPr>
            <w:color w:val="467886"/>
            <w:u w:val="single"/>
            <w:lang w:val="fr-FR"/>
          </w:rPr>
          <w:t>-</w:t>
        </w:r>
        <w:r w:rsidRPr="00100E35">
          <w:rPr>
            <w:color w:val="467886"/>
            <w:u w:val="single"/>
            <w:lang w:val="fr-FR"/>
          </w:rPr>
          <w:t>2024</w:t>
        </w:r>
        <w:r w:rsidR="00100E35">
          <w:rPr>
            <w:color w:val="467886"/>
            <w:u w:val="single"/>
            <w:lang w:val="fr-FR"/>
          </w:rPr>
          <w:t>-</w:t>
        </w:r>
        <w:r w:rsidRPr="00100E35">
          <w:rPr>
            <w:color w:val="467886"/>
            <w:u w:val="single"/>
            <w:lang w:val="fr-FR"/>
          </w:rPr>
          <w:t>tentang</w:t>
        </w:r>
        <w:r w:rsidR="00100E35">
          <w:rPr>
            <w:color w:val="467886"/>
            <w:u w:val="single"/>
            <w:lang w:val="fr-FR"/>
          </w:rPr>
          <w:t>-</w:t>
        </w:r>
        <w:r w:rsidRPr="00100E35">
          <w:rPr>
            <w:color w:val="467886"/>
            <w:u w:val="single"/>
            <w:lang w:val="fr-FR"/>
          </w:rPr>
          <w:t>publisher</w:t>
        </w:r>
        <w:r w:rsidR="00100E35">
          <w:rPr>
            <w:color w:val="467886"/>
            <w:u w:val="single"/>
            <w:lang w:val="fr-FR"/>
          </w:rPr>
          <w:t>-</w:t>
        </w:r>
        <w:r w:rsidRPr="00100E35">
          <w:rPr>
            <w:color w:val="467886"/>
            <w:u w:val="single"/>
            <w:lang w:val="fr-FR"/>
          </w:rPr>
          <w:t>rights/?utm_source</w:t>
        </w:r>
      </w:hyperlink>
      <w:r w:rsidRPr="00100E35">
        <w:rPr>
          <w:lang w:val="fr-FR"/>
        </w:rPr>
        <w:t>.</w:t>
      </w:r>
    </w:p>
    <w:p w14:paraId="3783F092" w14:textId="6125AF8C"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Majó</w:t>
      </w:r>
      <w:r w:rsidR="00100E35">
        <w:rPr>
          <w:lang w:val="fr-FR"/>
        </w:rPr>
        <w:t>-</w:t>
      </w:r>
      <w:r w:rsidRPr="00100E35">
        <w:rPr>
          <w:lang w:val="fr-FR"/>
        </w:rPr>
        <w:t>Vazquez, Silvia, Ana S.</w:t>
      </w:r>
      <w:r w:rsidR="0080246A">
        <w:rPr>
          <w:lang w:val="fr-FR"/>
        </w:rPr>
        <w:t> </w:t>
      </w:r>
      <w:r w:rsidRPr="00100E35">
        <w:rPr>
          <w:lang w:val="fr-FR"/>
        </w:rPr>
        <w:t>Cardenal et Sandra Gonzalez</w:t>
      </w:r>
      <w:r w:rsidR="00100E35">
        <w:rPr>
          <w:lang w:val="fr-FR"/>
        </w:rPr>
        <w:t>-</w:t>
      </w:r>
      <w:r w:rsidRPr="00100E35">
        <w:rPr>
          <w:lang w:val="fr-FR"/>
        </w:rPr>
        <w:t xml:space="preserve">Bailón. </w:t>
      </w:r>
      <w:r w:rsidR="0080246A">
        <w:rPr>
          <w:lang w:val="fr-FR"/>
        </w:rPr>
        <w:t xml:space="preserve"> </w:t>
      </w:r>
      <w:r w:rsidRPr="00AB7351">
        <w:rPr>
          <w:lang w:val="en-US"/>
        </w:rPr>
        <w:t xml:space="preserve">“Digital News Consumption and Copyright Intervention: Evidence from Spain Before and After the 2015 </w:t>
      </w:r>
      <w:r w:rsidR="00100E35" w:rsidRPr="00AB7351">
        <w:rPr>
          <w:lang w:val="en-US"/>
        </w:rPr>
        <w:t>‘</w:t>
      </w:r>
      <w:r w:rsidRPr="00AB7351">
        <w:rPr>
          <w:lang w:val="en-US"/>
        </w:rPr>
        <w:t>Link Tax</w:t>
      </w:r>
      <w:r w:rsidR="00100E35" w:rsidRPr="00AB7351">
        <w:rPr>
          <w:lang w:val="en-US"/>
        </w:rPr>
        <w:t>’</w:t>
      </w:r>
      <w:r w:rsidRPr="00AB7351">
        <w:rPr>
          <w:lang w:val="en-US"/>
        </w:rPr>
        <w:t xml:space="preserve">”. </w:t>
      </w:r>
      <w:r w:rsidR="0080246A" w:rsidRPr="00AB7351">
        <w:rPr>
          <w:lang w:val="en-US"/>
        </w:rPr>
        <w:t xml:space="preserve"> </w:t>
      </w:r>
      <w:r w:rsidRPr="00100E35">
        <w:rPr>
          <w:i/>
          <w:lang w:val="fr-FR"/>
        </w:rPr>
        <w:t>Journal of Computer</w:t>
      </w:r>
      <w:r w:rsidR="00100E35">
        <w:rPr>
          <w:i/>
          <w:lang w:val="fr-FR"/>
        </w:rPr>
        <w:t>-</w:t>
      </w:r>
      <w:r w:rsidRPr="00100E35">
        <w:rPr>
          <w:i/>
          <w:lang w:val="fr-FR"/>
        </w:rPr>
        <w:t xml:space="preserve">Mediated Communication, Volume </w:t>
      </w:r>
      <w:r w:rsidRPr="00100E35">
        <w:rPr>
          <w:lang w:val="fr-FR"/>
        </w:rPr>
        <w:t>22, n°</w:t>
      </w:r>
      <w:r w:rsidR="0080246A">
        <w:rPr>
          <w:lang w:val="fr-FR"/>
        </w:rPr>
        <w:t> </w:t>
      </w:r>
      <w:r w:rsidRPr="00100E35">
        <w:rPr>
          <w:lang w:val="fr-FR"/>
        </w:rPr>
        <w:t>5 (septembre 2017)</w:t>
      </w:r>
      <w:r w:rsidR="00100E35">
        <w:rPr>
          <w:lang w:val="fr-FR"/>
        </w:rPr>
        <w:t> :</w:t>
      </w:r>
      <w:r w:rsidRPr="00100E35">
        <w:rPr>
          <w:lang w:val="fr-FR"/>
        </w:rPr>
        <w:t xml:space="preserve"> </w:t>
      </w:r>
      <w:r w:rsidR="00100E35" w:rsidRPr="00100E35">
        <w:rPr>
          <w:lang w:val="fr-FR"/>
        </w:rPr>
        <w:t>pages</w:t>
      </w:r>
      <w:r w:rsidR="00100E35">
        <w:rPr>
          <w:lang w:val="fr-FR"/>
        </w:rPr>
        <w:t> </w:t>
      </w:r>
      <w:r w:rsidR="00100E35" w:rsidRPr="00100E35">
        <w:rPr>
          <w:lang w:val="fr-FR"/>
        </w:rPr>
        <w:t>2</w:t>
      </w:r>
      <w:r w:rsidRPr="00100E35">
        <w:rPr>
          <w:lang w:val="fr-FR"/>
        </w:rPr>
        <w:t>84</w:t>
      </w:r>
      <w:r w:rsidR="00100E35">
        <w:rPr>
          <w:lang w:val="fr-FR"/>
        </w:rPr>
        <w:t>-</w:t>
      </w:r>
      <w:r w:rsidRPr="00100E35">
        <w:rPr>
          <w:lang w:val="fr-FR"/>
        </w:rPr>
        <w:t>301.</w:t>
      </w:r>
      <w:r w:rsidR="0080246A">
        <w:rPr>
          <w:lang w:val="fr-FR"/>
        </w:rPr>
        <w:t xml:space="preserve"> </w:t>
      </w:r>
      <w:r w:rsidRPr="00100E35">
        <w:rPr>
          <w:lang w:val="fr-FR"/>
        </w:rPr>
        <w:t xml:space="preserve"> </w:t>
      </w:r>
      <w:hyperlink r:id="rId26" w:history="1">
        <w:r w:rsidRPr="00100E35">
          <w:rPr>
            <w:color w:val="467886"/>
            <w:u w:val="single"/>
            <w:lang w:val="fr-FR"/>
          </w:rPr>
          <w:t>https://doi.org/10.1111/jcc4.12196</w:t>
        </w:r>
      </w:hyperlink>
      <w:r w:rsidRPr="00100E35">
        <w:rPr>
          <w:lang w:val="fr-FR"/>
        </w:rPr>
        <w:t>.</w:t>
      </w:r>
    </w:p>
    <w:p w14:paraId="5BB0F12C" w14:textId="2903098D" w:rsidR="00AC4817" w:rsidRPr="00100E35" w:rsidRDefault="00AC4817" w:rsidP="00AC4817">
      <w:pPr>
        <w:spacing w:before="180" w:after="240"/>
        <w:rPr>
          <w:rFonts w:eastAsia="Aptos" w:cs="Noto Sans Display"/>
          <w:kern w:val="2"/>
          <w:szCs w:val="22"/>
          <w:lang w:val="fr-FR"/>
          <w14:ligatures w14:val="standardContextual"/>
        </w:rPr>
      </w:pPr>
      <w:r w:rsidRPr="00AB7351">
        <w:rPr>
          <w:lang w:val="en-US"/>
        </w:rPr>
        <w:t xml:space="preserve">Nobre, Teresa. </w:t>
      </w:r>
      <w:r w:rsidR="0080246A" w:rsidRPr="00AB7351">
        <w:rPr>
          <w:lang w:val="en-US"/>
        </w:rPr>
        <w:t xml:space="preserve"> </w:t>
      </w:r>
      <w:r w:rsidRPr="00AB7351">
        <w:rPr>
          <w:lang w:val="en-US"/>
        </w:rPr>
        <w:t>“The Post</w:t>
      </w:r>
      <w:r w:rsidR="00100E35" w:rsidRPr="00AB7351">
        <w:rPr>
          <w:lang w:val="en-US"/>
        </w:rPr>
        <w:t>-</w:t>
      </w:r>
      <w:r w:rsidRPr="00AB7351">
        <w:rPr>
          <w:lang w:val="en-US"/>
        </w:rPr>
        <w:t>DSM Copyright Report: The Press Publishers</w:t>
      </w:r>
      <w:r w:rsidR="00100E35" w:rsidRPr="00AB7351">
        <w:rPr>
          <w:lang w:val="en-US"/>
        </w:rPr>
        <w:t>’</w:t>
      </w:r>
      <w:r w:rsidRPr="00AB7351">
        <w:rPr>
          <w:lang w:val="en-US"/>
        </w:rPr>
        <w:t xml:space="preserve"> Right”. </w:t>
      </w:r>
      <w:r w:rsidR="0080246A" w:rsidRPr="00AB7351">
        <w:rPr>
          <w:lang w:val="en-US"/>
        </w:rPr>
        <w:t xml:space="preserve"> </w:t>
      </w:r>
      <w:r w:rsidRPr="00100E35">
        <w:rPr>
          <w:lang w:val="fr-FR"/>
        </w:rPr>
        <w:t>Communia, 2024.</w:t>
      </w:r>
      <w:r w:rsidR="0080246A">
        <w:rPr>
          <w:lang w:val="fr-FR"/>
        </w:rPr>
        <w:t xml:space="preserve"> </w:t>
      </w:r>
      <w:r w:rsidRPr="00100E35">
        <w:rPr>
          <w:lang w:val="fr-FR"/>
        </w:rPr>
        <w:t xml:space="preserve"> </w:t>
      </w:r>
      <w:hyperlink r:id="rId27" w:history="1">
        <w:r w:rsidRPr="00100E35">
          <w:rPr>
            <w:color w:val="467886"/>
            <w:u w:val="single"/>
            <w:lang w:val="fr-FR"/>
          </w:rPr>
          <w:t>https://communia</w:t>
        </w:r>
        <w:r w:rsidR="00100E35">
          <w:rPr>
            <w:color w:val="467886"/>
            <w:u w:val="single"/>
            <w:lang w:val="fr-FR"/>
          </w:rPr>
          <w:t>-</w:t>
        </w:r>
        <w:r w:rsidRPr="00100E35">
          <w:rPr>
            <w:color w:val="467886"/>
            <w:u w:val="single"/>
            <w:lang w:val="fr-FR"/>
          </w:rPr>
          <w:t>association.org/2024/02/19/the</w:t>
        </w:r>
        <w:r w:rsidR="00100E35">
          <w:rPr>
            <w:color w:val="467886"/>
            <w:u w:val="single"/>
            <w:lang w:val="fr-FR"/>
          </w:rPr>
          <w:t>-</w:t>
        </w:r>
        <w:r w:rsidRPr="00100E35">
          <w:rPr>
            <w:color w:val="467886"/>
            <w:u w:val="single"/>
            <w:lang w:val="fr-FR"/>
          </w:rPr>
          <w:t>post</w:t>
        </w:r>
        <w:r w:rsidR="00100E35">
          <w:rPr>
            <w:color w:val="467886"/>
            <w:u w:val="single"/>
            <w:lang w:val="fr-FR"/>
          </w:rPr>
          <w:t>-</w:t>
        </w:r>
        <w:r w:rsidRPr="00100E35">
          <w:rPr>
            <w:color w:val="467886"/>
            <w:u w:val="single"/>
            <w:lang w:val="fr-FR"/>
          </w:rPr>
          <w:t xml:space="preserve"> dsm</w:t>
        </w:r>
        <w:r w:rsidR="00100E35">
          <w:rPr>
            <w:color w:val="467886"/>
            <w:u w:val="single"/>
            <w:lang w:val="fr-FR"/>
          </w:rPr>
          <w:t>-</w:t>
        </w:r>
        <w:r w:rsidRPr="00100E35">
          <w:rPr>
            <w:color w:val="467886"/>
            <w:u w:val="single"/>
            <w:lang w:val="fr-FR"/>
          </w:rPr>
          <w:t>copyright</w:t>
        </w:r>
        <w:r w:rsidR="00100E35">
          <w:rPr>
            <w:color w:val="467886"/>
            <w:u w:val="single"/>
            <w:lang w:val="fr-FR"/>
          </w:rPr>
          <w:t>-</w:t>
        </w:r>
        <w:r w:rsidRPr="00100E35">
          <w:rPr>
            <w:color w:val="467886"/>
            <w:u w:val="single"/>
            <w:lang w:val="fr-FR"/>
          </w:rPr>
          <w:t>report</w:t>
        </w:r>
        <w:r w:rsidR="00100E35">
          <w:rPr>
            <w:color w:val="467886"/>
            <w:u w:val="single"/>
            <w:lang w:val="fr-FR"/>
          </w:rPr>
          <w:t>-</w:t>
        </w:r>
        <w:r w:rsidRPr="00100E35">
          <w:rPr>
            <w:color w:val="467886"/>
            <w:u w:val="single"/>
            <w:lang w:val="fr-FR"/>
          </w:rPr>
          <w:t>the</w:t>
        </w:r>
        <w:r w:rsidR="00100E35">
          <w:rPr>
            <w:color w:val="467886"/>
            <w:u w:val="single"/>
            <w:lang w:val="fr-FR"/>
          </w:rPr>
          <w:t>-</w:t>
        </w:r>
        <w:r w:rsidRPr="00100E35">
          <w:rPr>
            <w:color w:val="467886"/>
            <w:u w:val="single"/>
            <w:lang w:val="fr-FR"/>
          </w:rPr>
          <w:t>press</w:t>
        </w:r>
        <w:r w:rsidR="00100E35">
          <w:rPr>
            <w:color w:val="467886"/>
            <w:u w:val="single"/>
            <w:lang w:val="fr-FR"/>
          </w:rPr>
          <w:t>-</w:t>
        </w:r>
        <w:r w:rsidRPr="00100E35">
          <w:rPr>
            <w:color w:val="467886"/>
            <w:u w:val="single"/>
            <w:lang w:val="fr-FR"/>
          </w:rPr>
          <w:t>publishers</w:t>
        </w:r>
        <w:r w:rsidR="00100E35">
          <w:rPr>
            <w:color w:val="467886"/>
            <w:u w:val="single"/>
            <w:lang w:val="fr-FR"/>
          </w:rPr>
          <w:t>-</w:t>
        </w:r>
        <w:r w:rsidRPr="00100E35">
          <w:rPr>
            <w:color w:val="467886"/>
            <w:u w:val="single"/>
            <w:lang w:val="fr-FR"/>
          </w:rPr>
          <w:t>right/</w:t>
        </w:r>
      </w:hyperlink>
      <w:r w:rsidRPr="00100E35">
        <w:rPr>
          <w:lang w:val="fr-FR"/>
        </w:rPr>
        <w:t>.</w:t>
      </w:r>
    </w:p>
    <w:p w14:paraId="2E21008C" w14:textId="25AB65C9"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Olivi, Giangiacomo. </w:t>
      </w:r>
      <w:r w:rsidR="0080246A">
        <w:rPr>
          <w:lang w:val="fr-FR"/>
        </w:rPr>
        <w:t xml:space="preserve"> </w:t>
      </w:r>
      <w:r w:rsidRPr="00100E35">
        <w:rPr>
          <w:lang w:val="fr-FR"/>
        </w:rPr>
        <w:t xml:space="preserve">“The New EU Copyright Directive and the New Right for Press Publishers”. </w:t>
      </w:r>
      <w:r w:rsidR="0080246A">
        <w:rPr>
          <w:lang w:val="fr-FR"/>
        </w:rPr>
        <w:t xml:space="preserve"> </w:t>
      </w:r>
      <w:r w:rsidRPr="00100E35">
        <w:rPr>
          <w:lang w:val="fr-FR"/>
        </w:rPr>
        <w:t>Dentons, 2020.</w:t>
      </w:r>
      <w:r w:rsidR="0080246A">
        <w:rPr>
          <w:lang w:val="fr-FR"/>
        </w:rPr>
        <w:t xml:space="preserve"> </w:t>
      </w:r>
      <w:r w:rsidRPr="00100E35">
        <w:rPr>
          <w:lang w:val="fr-FR"/>
        </w:rPr>
        <w:t xml:space="preserve"> </w:t>
      </w:r>
      <w:hyperlink r:id="rId28" w:history="1">
        <w:r w:rsidRPr="00100E35">
          <w:rPr>
            <w:color w:val="467886"/>
            <w:u w:val="single"/>
            <w:lang w:val="fr-FR"/>
          </w:rPr>
          <w:t>https://www.dentons.com/en/insights/articles/2020/november/30/the</w:t>
        </w:r>
        <w:r w:rsidR="00100E35">
          <w:rPr>
            <w:color w:val="467886"/>
            <w:u w:val="single"/>
            <w:lang w:val="fr-FR"/>
          </w:rPr>
          <w:t>-</w:t>
        </w:r>
        <w:r w:rsidRPr="00100E35">
          <w:rPr>
            <w:color w:val="467886"/>
            <w:u w:val="single"/>
            <w:lang w:val="fr-FR"/>
          </w:rPr>
          <w:t>new</w:t>
        </w:r>
        <w:r w:rsidR="00100E35">
          <w:rPr>
            <w:color w:val="467886"/>
            <w:u w:val="single"/>
            <w:lang w:val="fr-FR"/>
          </w:rPr>
          <w:t>-</w:t>
        </w:r>
        <w:r w:rsidRPr="00100E35">
          <w:rPr>
            <w:color w:val="467886"/>
            <w:u w:val="single"/>
            <w:lang w:val="fr-FR"/>
          </w:rPr>
          <w:t>eu</w:t>
        </w:r>
        <w:r w:rsidR="00100E35">
          <w:rPr>
            <w:color w:val="467886"/>
            <w:u w:val="single"/>
            <w:lang w:val="fr-FR"/>
          </w:rPr>
          <w:t>-</w:t>
        </w:r>
        <w:r w:rsidRPr="00100E35">
          <w:rPr>
            <w:color w:val="467886"/>
            <w:u w:val="single"/>
            <w:lang w:val="fr-FR"/>
          </w:rPr>
          <w:t>copyright</w:t>
        </w:r>
        <w:r w:rsidR="00100E35">
          <w:rPr>
            <w:color w:val="467886"/>
            <w:u w:val="single"/>
            <w:lang w:val="fr-FR"/>
          </w:rPr>
          <w:t>-</w:t>
        </w:r>
        <w:r w:rsidRPr="00100E35">
          <w:rPr>
            <w:color w:val="467886"/>
            <w:u w:val="single"/>
            <w:lang w:val="fr-FR"/>
          </w:rPr>
          <w:t>directive</w:t>
        </w:r>
        <w:r w:rsidR="00100E35">
          <w:rPr>
            <w:color w:val="467886"/>
            <w:u w:val="single"/>
            <w:lang w:val="fr-FR"/>
          </w:rPr>
          <w:t>-</w:t>
        </w:r>
        <w:r w:rsidRPr="00100E35">
          <w:rPr>
            <w:color w:val="467886"/>
            <w:u w:val="single"/>
            <w:lang w:val="fr-FR"/>
          </w:rPr>
          <w:t>and</w:t>
        </w:r>
        <w:r w:rsidR="00100E35">
          <w:rPr>
            <w:color w:val="467886"/>
            <w:u w:val="single"/>
            <w:lang w:val="fr-FR"/>
          </w:rPr>
          <w:t>-</w:t>
        </w:r>
        <w:r w:rsidRPr="00100E35">
          <w:rPr>
            <w:color w:val="467886"/>
            <w:u w:val="single"/>
            <w:lang w:val="fr-FR"/>
          </w:rPr>
          <w:t>the</w:t>
        </w:r>
        <w:r w:rsidR="00100E35">
          <w:rPr>
            <w:color w:val="467886"/>
            <w:u w:val="single"/>
            <w:lang w:val="fr-FR"/>
          </w:rPr>
          <w:t>-</w:t>
        </w:r>
        <w:r w:rsidRPr="00100E35">
          <w:rPr>
            <w:color w:val="467886"/>
            <w:u w:val="single"/>
            <w:lang w:val="fr-FR"/>
          </w:rPr>
          <w:t>new</w:t>
        </w:r>
        <w:r w:rsidR="00100E35">
          <w:rPr>
            <w:color w:val="467886"/>
            <w:u w:val="single"/>
            <w:lang w:val="fr-FR"/>
          </w:rPr>
          <w:t>-</w:t>
        </w:r>
        <w:r w:rsidRPr="00100E35">
          <w:rPr>
            <w:color w:val="467886"/>
            <w:u w:val="single"/>
            <w:lang w:val="fr-FR"/>
          </w:rPr>
          <w:t>right</w:t>
        </w:r>
        <w:r w:rsidR="00100E35">
          <w:rPr>
            <w:color w:val="467886"/>
            <w:u w:val="single"/>
            <w:lang w:val="fr-FR"/>
          </w:rPr>
          <w:t>-</w:t>
        </w:r>
        <w:r w:rsidRPr="00100E35">
          <w:rPr>
            <w:color w:val="467886"/>
            <w:u w:val="single"/>
            <w:lang w:val="fr-FR"/>
          </w:rPr>
          <w:t>for</w:t>
        </w:r>
        <w:r w:rsidR="00100E35">
          <w:rPr>
            <w:color w:val="467886"/>
            <w:u w:val="single"/>
            <w:lang w:val="fr-FR"/>
          </w:rPr>
          <w:t>-</w:t>
        </w:r>
        <w:r w:rsidRPr="00100E35">
          <w:rPr>
            <w:color w:val="467886"/>
            <w:u w:val="single"/>
            <w:lang w:val="fr-FR"/>
          </w:rPr>
          <w:t>press</w:t>
        </w:r>
        <w:r w:rsidR="00100E35">
          <w:rPr>
            <w:color w:val="467886"/>
            <w:u w:val="single"/>
            <w:lang w:val="fr-FR"/>
          </w:rPr>
          <w:t>-</w:t>
        </w:r>
        <w:r w:rsidRPr="00100E35">
          <w:rPr>
            <w:color w:val="467886"/>
            <w:u w:val="single"/>
            <w:lang w:val="fr-FR"/>
          </w:rPr>
          <w:t>publishers?utm_source</w:t>
        </w:r>
      </w:hyperlink>
      <w:r w:rsidRPr="00100E35">
        <w:rPr>
          <w:lang w:val="fr-FR"/>
        </w:rPr>
        <w:t>.</w:t>
      </w:r>
    </w:p>
    <w:p w14:paraId="431ED35A" w14:textId="4F8CD352" w:rsidR="00AC4817" w:rsidRPr="00100E35" w:rsidRDefault="00AC4817" w:rsidP="00AC4817">
      <w:pPr>
        <w:spacing w:before="180" w:after="240"/>
        <w:rPr>
          <w:rFonts w:eastAsia="Aptos" w:cs="Noto Sans Display"/>
          <w:kern w:val="2"/>
          <w:szCs w:val="22"/>
          <w:lang w:val="fr-FR"/>
          <w14:ligatures w14:val="standardContextual"/>
        </w:rPr>
      </w:pPr>
      <w:r w:rsidRPr="00100E35">
        <w:rPr>
          <w:lang w:val="fr-FR"/>
        </w:rPr>
        <w:t xml:space="preserve">The Jiji Press. </w:t>
      </w:r>
      <w:r w:rsidR="0080246A">
        <w:rPr>
          <w:lang w:val="fr-FR"/>
        </w:rPr>
        <w:t xml:space="preserve"> </w:t>
      </w:r>
      <w:r w:rsidRPr="00100E35">
        <w:rPr>
          <w:lang w:val="fr-FR"/>
        </w:rPr>
        <w:t xml:space="preserve">“Asahi, Nikkei Sue U.S. AI Biz Perplexity over Copyright”. </w:t>
      </w:r>
      <w:r w:rsidR="0080246A">
        <w:rPr>
          <w:lang w:val="fr-FR"/>
        </w:rPr>
        <w:t xml:space="preserve"> </w:t>
      </w:r>
      <w:r w:rsidRPr="00100E35">
        <w:rPr>
          <w:lang w:val="fr-FR"/>
        </w:rPr>
        <w:t>Nippon.com, 2025.</w:t>
      </w:r>
      <w:r w:rsidR="0080246A">
        <w:rPr>
          <w:lang w:val="fr-FR"/>
        </w:rPr>
        <w:t xml:space="preserve"> </w:t>
      </w:r>
      <w:r w:rsidRPr="00100E35">
        <w:rPr>
          <w:lang w:val="fr-FR"/>
        </w:rPr>
        <w:t xml:space="preserve"> </w:t>
      </w:r>
      <w:hyperlink r:id="rId29" w:history="1">
        <w:r w:rsidRPr="00100E35">
          <w:rPr>
            <w:color w:val="467886"/>
            <w:u w:val="single"/>
            <w:lang w:val="fr-FR"/>
          </w:rPr>
          <w:t>https://www.nippon.com/en/news/yjj2025082600776/asahi</w:t>
        </w:r>
        <w:r w:rsidR="00100E35">
          <w:rPr>
            <w:color w:val="467886"/>
            <w:u w:val="single"/>
            <w:lang w:val="fr-FR"/>
          </w:rPr>
          <w:t>-</w:t>
        </w:r>
        <w:r w:rsidRPr="00100E35">
          <w:rPr>
            <w:color w:val="467886"/>
            <w:u w:val="single"/>
            <w:lang w:val="fr-FR"/>
          </w:rPr>
          <w:t>nikkei</w:t>
        </w:r>
        <w:r w:rsidR="00100E35">
          <w:rPr>
            <w:color w:val="467886"/>
            <w:u w:val="single"/>
            <w:lang w:val="fr-FR"/>
          </w:rPr>
          <w:t>-</w:t>
        </w:r>
        <w:r w:rsidRPr="00100E35">
          <w:rPr>
            <w:color w:val="467886"/>
            <w:u w:val="single"/>
            <w:lang w:val="fr-FR"/>
          </w:rPr>
          <w:t>sue</w:t>
        </w:r>
        <w:r w:rsidR="00100E35">
          <w:rPr>
            <w:color w:val="467886"/>
            <w:u w:val="single"/>
            <w:lang w:val="fr-FR"/>
          </w:rPr>
          <w:t>-</w:t>
        </w:r>
        <w:r w:rsidRPr="00100E35">
          <w:rPr>
            <w:color w:val="467886"/>
            <w:u w:val="single"/>
            <w:lang w:val="fr-FR"/>
          </w:rPr>
          <w:t>u</w:t>
        </w:r>
        <w:r w:rsidR="00100E35">
          <w:rPr>
            <w:color w:val="467886"/>
            <w:u w:val="single"/>
            <w:lang w:val="fr-FR"/>
          </w:rPr>
          <w:t>-</w:t>
        </w:r>
        <w:r w:rsidRPr="00100E35">
          <w:rPr>
            <w:color w:val="467886"/>
            <w:u w:val="single"/>
            <w:lang w:val="fr-FR"/>
          </w:rPr>
          <w:t>s</w:t>
        </w:r>
        <w:r w:rsidR="00100E35">
          <w:rPr>
            <w:color w:val="467886"/>
            <w:u w:val="single"/>
            <w:lang w:val="fr-FR"/>
          </w:rPr>
          <w:t>-</w:t>
        </w:r>
        <w:r w:rsidRPr="00100E35">
          <w:rPr>
            <w:color w:val="467886"/>
            <w:u w:val="single"/>
            <w:lang w:val="fr-FR"/>
          </w:rPr>
          <w:t>ai</w:t>
        </w:r>
        <w:r w:rsidR="00100E35">
          <w:rPr>
            <w:color w:val="467886"/>
            <w:u w:val="single"/>
            <w:lang w:val="fr-FR"/>
          </w:rPr>
          <w:t>-</w:t>
        </w:r>
        <w:r w:rsidRPr="00100E35">
          <w:rPr>
            <w:color w:val="467886"/>
            <w:u w:val="single"/>
            <w:lang w:val="fr-FR"/>
          </w:rPr>
          <w:t>biz</w:t>
        </w:r>
        <w:r w:rsidR="00100E35">
          <w:rPr>
            <w:color w:val="467886"/>
            <w:u w:val="single"/>
            <w:lang w:val="fr-FR"/>
          </w:rPr>
          <w:t>-</w:t>
        </w:r>
        <w:r w:rsidRPr="00100E35">
          <w:rPr>
            <w:color w:val="467886"/>
            <w:u w:val="single"/>
            <w:lang w:val="fr-FR"/>
          </w:rPr>
          <w:t>perplexity</w:t>
        </w:r>
        <w:r w:rsidR="00100E35">
          <w:rPr>
            <w:color w:val="467886"/>
            <w:u w:val="single"/>
            <w:lang w:val="fr-FR"/>
          </w:rPr>
          <w:t>-</w:t>
        </w:r>
        <w:r w:rsidRPr="00100E35">
          <w:rPr>
            <w:color w:val="467886"/>
            <w:u w:val="single"/>
            <w:lang w:val="fr-FR"/>
          </w:rPr>
          <w:t>over</w:t>
        </w:r>
        <w:r w:rsidR="00100E35">
          <w:rPr>
            <w:color w:val="467886"/>
            <w:u w:val="single"/>
            <w:lang w:val="fr-FR"/>
          </w:rPr>
          <w:t>-</w:t>
        </w:r>
        <w:r w:rsidRPr="00100E35">
          <w:rPr>
            <w:color w:val="467886"/>
            <w:u w:val="single"/>
            <w:lang w:val="fr-FR"/>
          </w:rPr>
          <w:t>copyright.html?utm_source</w:t>
        </w:r>
      </w:hyperlink>
      <w:bookmarkEnd w:id="12"/>
      <w:r w:rsidRPr="00100E35">
        <w:rPr>
          <w:lang w:val="fr-FR"/>
        </w:rPr>
        <w:t>.</w:t>
      </w:r>
    </w:p>
    <w:p w14:paraId="109EEB08" w14:textId="77777777" w:rsidR="00AC4817" w:rsidRPr="00100E35" w:rsidRDefault="00AC4817" w:rsidP="00AD3CB9">
      <w:pPr>
        <w:pStyle w:val="Endofdocument-Annex"/>
        <w:ind w:left="10069"/>
      </w:pPr>
      <w:r w:rsidRPr="00100E35">
        <w:t>[Fin du document]</w:t>
      </w:r>
    </w:p>
    <w:sectPr w:rsidR="00AC4817" w:rsidRPr="00100E35" w:rsidSect="0033238B">
      <w:headerReference w:type="default" r:id="rId30"/>
      <w:endnotePr>
        <w:numFmt w:val="decimal"/>
      </w:endnotePr>
      <w:pgSz w:w="16840" w:h="11907" w:orient="landscape" w:code="9"/>
      <w:pgMar w:top="1134" w:right="1418"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C5F4" w14:textId="77777777" w:rsidR="00AC4817" w:rsidRDefault="00AC4817">
      <w:r>
        <w:separator/>
      </w:r>
    </w:p>
  </w:endnote>
  <w:endnote w:type="continuationSeparator" w:id="0">
    <w:p w14:paraId="7DEA6C40" w14:textId="77777777" w:rsidR="00AC4817" w:rsidRPr="009D30E6" w:rsidRDefault="00AC4817" w:rsidP="00D45252">
      <w:pPr>
        <w:rPr>
          <w:sz w:val="17"/>
          <w:szCs w:val="17"/>
        </w:rPr>
      </w:pPr>
      <w:r w:rsidRPr="009D30E6">
        <w:rPr>
          <w:sz w:val="17"/>
          <w:szCs w:val="17"/>
        </w:rPr>
        <w:separator/>
      </w:r>
    </w:p>
    <w:p w14:paraId="2547BCFA" w14:textId="77777777" w:rsidR="00AC4817" w:rsidRPr="009D30E6" w:rsidRDefault="00AC4817" w:rsidP="00D45252">
      <w:pPr>
        <w:spacing w:after="60"/>
        <w:rPr>
          <w:sz w:val="17"/>
          <w:szCs w:val="17"/>
        </w:rPr>
      </w:pPr>
      <w:r w:rsidRPr="009D30E6">
        <w:rPr>
          <w:sz w:val="17"/>
          <w:szCs w:val="17"/>
        </w:rPr>
        <w:t>[Suite de la note de la page précédente]</w:t>
      </w:r>
    </w:p>
  </w:endnote>
  <w:endnote w:type="continuationNotice" w:id="1">
    <w:p w14:paraId="6F60FF9F" w14:textId="77777777" w:rsidR="00AC4817" w:rsidRPr="009D30E6" w:rsidRDefault="00AC4817" w:rsidP="009D30E6">
      <w:pPr>
        <w:spacing w:before="60"/>
        <w:jc w:val="right"/>
        <w:rPr>
          <w:sz w:val="17"/>
          <w:szCs w:val="17"/>
        </w:rPr>
      </w:pPr>
      <w:r w:rsidRPr="009D30E6">
        <w:rPr>
          <w:sz w:val="17"/>
          <w:szCs w:val="17"/>
        </w:rPr>
        <w:t>[Suite de la note page suivante]</w:t>
      </w:r>
    </w:p>
  </w:endnote>
  <w:endnote w:id="2">
    <w:p w14:paraId="14A4D532" w14:textId="7C999BAB" w:rsidR="00AC4817" w:rsidRPr="00EA0A6B" w:rsidRDefault="00AC4817" w:rsidP="00EA0A6B">
      <w:pPr>
        <w:tabs>
          <w:tab w:val="left" w:pos="567"/>
        </w:tabs>
        <w:spacing w:after="240"/>
        <w:jc w:val="both"/>
        <w:rPr>
          <w:b/>
          <w:bCs/>
          <w:sz w:val="18"/>
          <w:szCs w:val="18"/>
        </w:rPr>
      </w:pPr>
      <w:r w:rsidRPr="00EA0A6B">
        <w:rPr>
          <w:b/>
          <w:sz w:val="18"/>
          <w:szCs w:val="18"/>
        </w:rPr>
        <w:t>Notes de fin</w:t>
      </w:r>
    </w:p>
    <w:p w14:paraId="12939E68" w14:textId="08CA213D" w:rsidR="00AC4817" w:rsidRPr="00EA0A6B" w:rsidRDefault="00AC4817" w:rsidP="00EA0A6B">
      <w:pPr>
        <w:tabs>
          <w:tab w:val="left" w:pos="567"/>
        </w:tabs>
        <w:jc w:val="both"/>
        <w:rPr>
          <w:sz w:val="18"/>
          <w:szCs w:val="18"/>
        </w:rPr>
      </w:pPr>
      <w:r w:rsidRPr="00EA0A6B">
        <w:rPr>
          <w:rStyle w:val="EndnoteReference"/>
          <w:sz w:val="18"/>
          <w:szCs w:val="18"/>
        </w:rPr>
        <w:endnoteRef/>
      </w:r>
      <w:r w:rsidRPr="00EA0A6B">
        <w:rPr>
          <w:sz w:val="18"/>
          <w:szCs w:val="18"/>
        </w:rPr>
        <w:t xml:space="preserve"> </w:t>
      </w:r>
      <w:r w:rsidR="00EA0A6B">
        <w:rPr>
          <w:sz w:val="18"/>
          <w:szCs w:val="18"/>
        </w:rPr>
        <w:tab/>
      </w:r>
      <w:r w:rsidRPr="00EA0A6B">
        <w:rPr>
          <w:sz w:val="18"/>
          <w:szCs w:val="18"/>
        </w:rPr>
        <w:t>Les termes “musique” et “phonogrammes” sont utilisés de manière interchangeable dans le présent document pour désigner de manière générale les enregistrements sonores et leurs œuvres artistiques sous</w:t>
      </w:r>
      <w:r w:rsidR="00213D73" w:rsidRPr="00EA0A6B">
        <w:rPr>
          <w:sz w:val="18"/>
          <w:szCs w:val="18"/>
        </w:rPr>
        <w:t>-</w:t>
      </w:r>
      <w:r w:rsidRPr="00EA0A6B">
        <w:rPr>
          <w:sz w:val="18"/>
          <w:szCs w:val="18"/>
        </w:rPr>
        <w:t xml:space="preserve">jacentes. </w:t>
      </w:r>
      <w:r w:rsidR="0080246A" w:rsidRPr="00EA0A6B">
        <w:rPr>
          <w:sz w:val="18"/>
          <w:szCs w:val="18"/>
        </w:rPr>
        <w:t xml:space="preserve"> </w:t>
      </w:r>
      <w:r w:rsidRPr="00EA0A6B">
        <w:rPr>
          <w:sz w:val="18"/>
          <w:szCs w:val="18"/>
        </w:rPr>
        <w:t>Ceci est conforme aux précédents traités administrés par l</w:t>
      </w:r>
      <w:r w:rsidR="00213D73" w:rsidRPr="00EA0A6B">
        <w:rPr>
          <w:sz w:val="18"/>
          <w:szCs w:val="18"/>
        </w:rPr>
        <w:t>’</w:t>
      </w:r>
      <w:r w:rsidRPr="00EA0A6B">
        <w:rPr>
          <w:sz w:val="18"/>
          <w:szCs w:val="18"/>
        </w:rPr>
        <w:t>OMPI, qui établissent une distinction entre les phonogrammes (fixations des sons) et les œuvres artistiques tout en reconnaissant leur étroite interdépendance technique dans la gouvernance du droit d</w:t>
      </w:r>
      <w:r w:rsidR="00213D73" w:rsidRPr="00EA0A6B">
        <w:rPr>
          <w:sz w:val="18"/>
          <w:szCs w:val="18"/>
        </w:rPr>
        <w:t>’</w:t>
      </w:r>
      <w:r w:rsidRPr="00EA0A6B">
        <w:rPr>
          <w:sz w:val="18"/>
          <w:szCs w:val="18"/>
        </w:rPr>
        <w:t>auteur.</w:t>
      </w:r>
    </w:p>
  </w:endnote>
  <w:endnote w:id="3">
    <w:p w14:paraId="4430BAF2" w14:textId="4D69E08D"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Vialma, “</w:t>
      </w:r>
      <w:r w:rsidRPr="00EA0A6B">
        <w:rPr>
          <w:i/>
          <w:szCs w:val="18"/>
        </w:rPr>
        <w:t>Répartition des revenus et transformation dans la chaîne de valeur du streaming musical”,</w:t>
      </w:r>
      <w:r w:rsidRPr="00EA0A6B">
        <w:rPr>
          <w:szCs w:val="18"/>
        </w:rPr>
        <w:t xml:space="preserve"> </w:t>
      </w:r>
      <w:r w:rsidRPr="00EA0A6B">
        <w:rPr>
          <w:i/>
          <w:szCs w:val="18"/>
        </w:rPr>
        <w:t xml:space="preserve">Perspectives pour la diversité des expressions culturelles </w:t>
      </w:r>
      <w:r w:rsidRPr="00EA0A6B">
        <w:rPr>
          <w:szCs w:val="18"/>
        </w:rPr>
        <w:t>(Paris, 2022).</w:t>
      </w:r>
    </w:p>
  </w:endnote>
  <w:endnote w:id="4">
    <w:p w14:paraId="1C80B47A" w14:textId="71D84E52"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Rebecca Giblin et Cory Doctorow, “</w:t>
      </w:r>
      <w:r w:rsidRPr="00EA0A6B">
        <w:rPr>
          <w:i/>
          <w:szCs w:val="18"/>
        </w:rPr>
        <w:t>Streamers Use Playlists to Control the Music Industry”,</w:t>
      </w:r>
      <w:r w:rsidRPr="00EA0A6B">
        <w:rPr>
          <w:szCs w:val="18"/>
        </w:rPr>
        <w:t xml:space="preserve"> WIRED, octobre 2022, </w:t>
      </w:r>
      <w:hyperlink r:id="rId1" w:history="1">
        <w:r w:rsidRPr="00EA0A6B">
          <w:rPr>
            <w:rStyle w:val="Hyperlink1"/>
            <w:szCs w:val="18"/>
          </w:rPr>
          <w:t>https://www.wired.com/story/spotify</w:t>
        </w:r>
        <w:r w:rsidR="00213D73" w:rsidRPr="00EA0A6B">
          <w:rPr>
            <w:rStyle w:val="Hyperlink1"/>
            <w:szCs w:val="18"/>
          </w:rPr>
          <w:t>-</w:t>
        </w:r>
        <w:r w:rsidRPr="00EA0A6B">
          <w:rPr>
            <w:rStyle w:val="Hyperlink1"/>
            <w:szCs w:val="18"/>
          </w:rPr>
          <w:t>streaming</w:t>
        </w:r>
        <w:r w:rsidR="00213D73" w:rsidRPr="00EA0A6B">
          <w:rPr>
            <w:rStyle w:val="Hyperlink1"/>
            <w:szCs w:val="18"/>
          </w:rPr>
          <w:t>-</w:t>
        </w:r>
        <w:r w:rsidRPr="00EA0A6B">
          <w:rPr>
            <w:rStyle w:val="Hyperlink1"/>
            <w:szCs w:val="18"/>
          </w:rPr>
          <w:t>playlists</w:t>
        </w:r>
        <w:r w:rsidR="00213D73" w:rsidRPr="00EA0A6B">
          <w:rPr>
            <w:rStyle w:val="Hyperlink1"/>
            <w:szCs w:val="18"/>
          </w:rPr>
          <w:t>-</w:t>
        </w:r>
        <w:r w:rsidRPr="00EA0A6B">
          <w:rPr>
            <w:rStyle w:val="Hyperlink1"/>
            <w:szCs w:val="18"/>
          </w:rPr>
          <w:t>music/</w:t>
        </w:r>
      </w:hyperlink>
      <w:r w:rsidRPr="00EA0A6B">
        <w:rPr>
          <w:szCs w:val="18"/>
        </w:rPr>
        <w:t>.</w:t>
      </w:r>
    </w:p>
  </w:endnote>
  <w:endnote w:id="5">
    <w:p w14:paraId="109868A4" w14:textId="12419C79"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ARIPO, “</w:t>
      </w:r>
      <w:r w:rsidRPr="00EA0A6B">
        <w:rPr>
          <w:i/>
          <w:szCs w:val="18"/>
        </w:rPr>
        <w:t>Rapport d</w:t>
      </w:r>
      <w:r w:rsidR="00213D73" w:rsidRPr="00EA0A6B">
        <w:rPr>
          <w:i/>
          <w:szCs w:val="18"/>
        </w:rPr>
        <w:t>’</w:t>
      </w:r>
      <w:r w:rsidRPr="00EA0A6B">
        <w:rPr>
          <w:i/>
          <w:szCs w:val="18"/>
        </w:rPr>
        <w:t>enquête en ligne de l</w:t>
      </w:r>
      <w:r w:rsidR="00213D73" w:rsidRPr="00EA0A6B">
        <w:rPr>
          <w:i/>
          <w:szCs w:val="18"/>
        </w:rPr>
        <w:t>’</w:t>
      </w:r>
      <w:r w:rsidRPr="00EA0A6B">
        <w:rPr>
          <w:i/>
          <w:szCs w:val="18"/>
        </w:rPr>
        <w:t>ARIPO sur les organisations de gestion collective”</w:t>
      </w:r>
      <w:r w:rsidRPr="00EA0A6B">
        <w:rPr>
          <w:szCs w:val="18"/>
        </w:rPr>
        <w:t xml:space="preserve"> (Harare, 2021), </w:t>
      </w:r>
      <w:r w:rsidR="00213D73" w:rsidRPr="00EA0A6B">
        <w:rPr>
          <w:szCs w:val="18"/>
        </w:rPr>
        <w:t>pages 5</w:t>
      </w:r>
      <w:r w:rsidRPr="00EA0A6B">
        <w:rPr>
          <w:szCs w:val="18"/>
        </w:rPr>
        <w:t>1</w:t>
      </w:r>
      <w:r w:rsidR="00213D73" w:rsidRPr="00EA0A6B">
        <w:rPr>
          <w:szCs w:val="18"/>
        </w:rPr>
        <w:t>-</w:t>
      </w:r>
      <w:r w:rsidRPr="00EA0A6B">
        <w:rPr>
          <w:szCs w:val="18"/>
        </w:rPr>
        <w:t>52, https://www.aripo.org/storage/copyright</w:t>
      </w:r>
      <w:r w:rsidR="00213D73" w:rsidRPr="00EA0A6B">
        <w:rPr>
          <w:szCs w:val="18"/>
        </w:rPr>
        <w:t>-</w:t>
      </w:r>
      <w:r w:rsidRPr="00EA0A6B">
        <w:rPr>
          <w:szCs w:val="18"/>
        </w:rPr>
        <w:t>publication/1724743652_</w:t>
      </w:r>
      <w:r w:rsidRPr="00EA0A6B">
        <w:rPr>
          <w:i/>
          <w:szCs w:val="18"/>
        </w:rPr>
        <w:t>The ARIPO Online Collective Management Organizations Survey Report.pdf</w:t>
      </w:r>
      <w:r w:rsidRPr="00EA0A6B">
        <w:rPr>
          <w:szCs w:val="18"/>
        </w:rPr>
        <w:t>.</w:t>
      </w:r>
    </w:p>
  </w:endnote>
  <w:endnote w:id="6">
    <w:p w14:paraId="41F31785" w14:textId="7A1C8B05"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République de Colombie, “Trade</w:t>
      </w:r>
      <w:r w:rsidR="00213D73" w:rsidRPr="00EA0A6B">
        <w:rPr>
          <w:szCs w:val="18"/>
        </w:rPr>
        <w:t>-</w:t>
      </w:r>
      <w:r w:rsidRPr="00EA0A6B">
        <w:rPr>
          <w:szCs w:val="18"/>
        </w:rPr>
        <w:t xml:space="preserve">Related Figures of Intellectual Property at the WTO: The Case of IP Royalties at the Global Level”, (2025), </w:t>
      </w:r>
      <w:hyperlink r:id="rId2" w:history="1">
        <w:r w:rsidRPr="00EA0A6B">
          <w:rPr>
            <w:rStyle w:val="Hyperlink1"/>
            <w:szCs w:val="18"/>
          </w:rPr>
          <w:t>https://docs.wto.org/dol2fe/Pages/SS/directdoc.aspx?filename=Q:/IP/C/W721.pdf&amp;Open=True</w:t>
        </w:r>
      </w:hyperlink>
      <w:r w:rsidRPr="00EA0A6B">
        <w:rPr>
          <w:szCs w:val="18"/>
        </w:rPr>
        <w:t>.</w:t>
      </w:r>
    </w:p>
  </w:endnote>
  <w:endnote w:id="7">
    <w:p w14:paraId="25DA2F25" w14:textId="340E4072"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République de Colombie, 3</w:t>
      </w:r>
    </w:p>
  </w:endnote>
  <w:endnote w:id="8">
    <w:p w14:paraId="3E4F7283" w14:textId="21CB122F"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CISAC, “Rapport sur les collectes mondiales 2023”, </w:t>
      </w:r>
      <w:hyperlink r:id="rId3" w:history="1">
        <w:r w:rsidRPr="00EA0A6B">
          <w:rPr>
            <w:rStyle w:val="Hyperlink1"/>
            <w:szCs w:val="18"/>
          </w:rPr>
          <w:t>https://www.cisac.org/sites/main/files/files/2023</w:t>
        </w:r>
        <w:r w:rsidR="00213D73" w:rsidRPr="00EA0A6B">
          <w:rPr>
            <w:rStyle w:val="Hyperlink1"/>
            <w:szCs w:val="18"/>
          </w:rPr>
          <w:t>-</w:t>
        </w:r>
        <w:r w:rsidRPr="00EA0A6B">
          <w:rPr>
            <w:rStyle w:val="Hyperlink1"/>
            <w:szCs w:val="18"/>
          </w:rPr>
          <w:t>11/COM23</w:t>
        </w:r>
        <w:r w:rsidR="00213D73" w:rsidRPr="00EA0A6B">
          <w:rPr>
            <w:rStyle w:val="Hyperlink1"/>
            <w:szCs w:val="18"/>
          </w:rPr>
          <w:t>-</w:t>
        </w:r>
        <w:r w:rsidRPr="00EA0A6B">
          <w:rPr>
            <w:rStyle w:val="Hyperlink1"/>
            <w:szCs w:val="18"/>
          </w:rPr>
          <w:t>0846_CISAC_Global_Collections_Report_2023_for_2022_data_2023</w:t>
        </w:r>
        <w:r w:rsidR="00213D73" w:rsidRPr="00EA0A6B">
          <w:rPr>
            <w:rStyle w:val="Hyperlink1"/>
            <w:szCs w:val="18"/>
          </w:rPr>
          <w:t>-</w:t>
        </w:r>
        <w:r w:rsidRPr="00EA0A6B">
          <w:rPr>
            <w:rStyle w:val="Hyperlink1"/>
            <w:szCs w:val="18"/>
          </w:rPr>
          <w:t>10</w:t>
        </w:r>
        <w:r w:rsidR="00213D73" w:rsidRPr="00EA0A6B">
          <w:rPr>
            <w:rStyle w:val="Hyperlink1"/>
            <w:szCs w:val="18"/>
          </w:rPr>
          <w:t>-</w:t>
        </w:r>
        <w:r w:rsidRPr="00EA0A6B">
          <w:rPr>
            <w:rStyle w:val="Hyperlink1"/>
            <w:szCs w:val="18"/>
          </w:rPr>
          <w:t>26_EN%287%29.pdf</w:t>
        </w:r>
      </w:hyperlink>
      <w:r w:rsidRPr="00EA0A6B">
        <w:rPr>
          <w:szCs w:val="18"/>
        </w:rPr>
        <w:t>.</w:t>
      </w:r>
    </w:p>
  </w:endnote>
  <w:endnote w:id="9">
    <w:p w14:paraId="08E8DDCA" w14:textId="06855478"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Marie</w:t>
      </w:r>
      <w:r w:rsidR="00213D73" w:rsidRPr="00EA0A6B">
        <w:rPr>
          <w:szCs w:val="18"/>
        </w:rPr>
        <w:t>-</w:t>
      </w:r>
      <w:r w:rsidRPr="00EA0A6B">
        <w:rPr>
          <w:szCs w:val="18"/>
        </w:rPr>
        <w:t>Louise Gumuchian, “Streaming Subscriptions Boost 2023 Recorded Music Revenues</w:t>
      </w:r>
      <w:r w:rsidR="00213D73" w:rsidRPr="00EA0A6B">
        <w:rPr>
          <w:szCs w:val="18"/>
        </w:rPr>
        <w:t xml:space="preserve"> – </w:t>
      </w:r>
      <w:r w:rsidRPr="00EA0A6B">
        <w:rPr>
          <w:szCs w:val="18"/>
        </w:rPr>
        <w:t xml:space="preserve">Report”, Reuters.com, 2024, </w:t>
      </w:r>
      <w:hyperlink r:id="rId4" w:history="1">
        <w:r w:rsidRPr="00EA0A6B">
          <w:rPr>
            <w:rStyle w:val="Hyperlink1"/>
            <w:szCs w:val="18"/>
          </w:rPr>
          <w:t>https://www.reuters.com/business/media</w:t>
        </w:r>
        <w:r w:rsidR="00213D73" w:rsidRPr="00EA0A6B">
          <w:rPr>
            <w:rStyle w:val="Hyperlink1"/>
            <w:szCs w:val="18"/>
          </w:rPr>
          <w:t>-</w:t>
        </w:r>
        <w:r w:rsidRPr="00EA0A6B">
          <w:rPr>
            <w:rStyle w:val="Hyperlink1"/>
            <w:szCs w:val="18"/>
          </w:rPr>
          <w:t>telecom/streaming</w:t>
        </w:r>
        <w:r w:rsidR="00213D73" w:rsidRPr="00EA0A6B">
          <w:rPr>
            <w:rStyle w:val="Hyperlink1"/>
            <w:szCs w:val="18"/>
          </w:rPr>
          <w:t>-</w:t>
        </w:r>
        <w:r w:rsidRPr="00EA0A6B">
          <w:rPr>
            <w:rStyle w:val="Hyperlink1"/>
            <w:szCs w:val="18"/>
          </w:rPr>
          <w:t>subscriptions</w:t>
        </w:r>
        <w:r w:rsidR="00213D73" w:rsidRPr="00EA0A6B">
          <w:rPr>
            <w:rStyle w:val="Hyperlink1"/>
            <w:szCs w:val="18"/>
          </w:rPr>
          <w:t>-</w:t>
        </w:r>
        <w:r w:rsidRPr="00EA0A6B">
          <w:rPr>
            <w:rStyle w:val="Hyperlink1"/>
            <w:szCs w:val="18"/>
          </w:rPr>
          <w:t>boost</w:t>
        </w:r>
        <w:r w:rsidR="00213D73" w:rsidRPr="00EA0A6B">
          <w:rPr>
            <w:rStyle w:val="Hyperlink1"/>
            <w:szCs w:val="18"/>
          </w:rPr>
          <w:t>-</w:t>
        </w:r>
        <w:r w:rsidRPr="00EA0A6B">
          <w:rPr>
            <w:rStyle w:val="Hyperlink1"/>
            <w:szCs w:val="18"/>
          </w:rPr>
          <w:t>2023</w:t>
        </w:r>
        <w:r w:rsidR="00213D73" w:rsidRPr="00EA0A6B">
          <w:rPr>
            <w:rStyle w:val="Hyperlink1"/>
            <w:szCs w:val="18"/>
          </w:rPr>
          <w:t>-</w:t>
        </w:r>
        <w:r w:rsidRPr="00EA0A6B">
          <w:rPr>
            <w:rStyle w:val="Hyperlink1"/>
            <w:szCs w:val="18"/>
          </w:rPr>
          <w:t>recorded</w:t>
        </w:r>
        <w:r w:rsidR="00213D73" w:rsidRPr="00EA0A6B">
          <w:rPr>
            <w:rStyle w:val="Hyperlink1"/>
            <w:szCs w:val="18"/>
          </w:rPr>
          <w:t>-</w:t>
        </w:r>
        <w:r w:rsidRPr="00EA0A6B">
          <w:rPr>
            <w:rStyle w:val="Hyperlink1"/>
            <w:szCs w:val="18"/>
          </w:rPr>
          <w:t>music</w:t>
        </w:r>
        <w:r w:rsidR="00213D73" w:rsidRPr="00EA0A6B">
          <w:rPr>
            <w:rStyle w:val="Hyperlink1"/>
            <w:szCs w:val="18"/>
          </w:rPr>
          <w:t>-</w:t>
        </w:r>
        <w:r w:rsidRPr="00EA0A6B">
          <w:rPr>
            <w:rStyle w:val="Hyperlink1"/>
            <w:szCs w:val="18"/>
          </w:rPr>
          <w:t>revenues</w:t>
        </w:r>
        <w:r w:rsidR="00213D73" w:rsidRPr="00EA0A6B">
          <w:rPr>
            <w:rStyle w:val="Hyperlink1"/>
            <w:szCs w:val="18"/>
          </w:rPr>
          <w:t>-</w:t>
        </w:r>
        <w:r w:rsidRPr="00EA0A6B">
          <w:rPr>
            <w:rStyle w:val="Hyperlink1"/>
            <w:szCs w:val="18"/>
          </w:rPr>
          <w:t>report</w:t>
        </w:r>
        <w:r w:rsidR="00213D73" w:rsidRPr="00EA0A6B">
          <w:rPr>
            <w:rStyle w:val="Hyperlink1"/>
            <w:szCs w:val="18"/>
          </w:rPr>
          <w:t>-</w:t>
        </w:r>
        <w:r w:rsidRPr="00EA0A6B">
          <w:rPr>
            <w:rStyle w:val="Hyperlink1"/>
            <w:szCs w:val="18"/>
          </w:rPr>
          <w:t>2024</w:t>
        </w:r>
        <w:r w:rsidR="00213D73" w:rsidRPr="00EA0A6B">
          <w:rPr>
            <w:rStyle w:val="Hyperlink1"/>
            <w:szCs w:val="18"/>
          </w:rPr>
          <w:t>-</w:t>
        </w:r>
        <w:r w:rsidRPr="00EA0A6B">
          <w:rPr>
            <w:rStyle w:val="Hyperlink1"/>
            <w:szCs w:val="18"/>
          </w:rPr>
          <w:t>03</w:t>
        </w:r>
        <w:r w:rsidR="00213D73" w:rsidRPr="00EA0A6B">
          <w:rPr>
            <w:rStyle w:val="Hyperlink1"/>
            <w:szCs w:val="18"/>
          </w:rPr>
          <w:t>-</w:t>
        </w:r>
        <w:r w:rsidRPr="00EA0A6B">
          <w:rPr>
            <w:rStyle w:val="Hyperlink1"/>
            <w:szCs w:val="18"/>
          </w:rPr>
          <w:t>21/</w:t>
        </w:r>
      </w:hyperlink>
      <w:r w:rsidRPr="00EA0A6B">
        <w:rPr>
          <w:szCs w:val="18"/>
        </w:rPr>
        <w:t xml:space="preserve">; </w:t>
      </w:r>
      <w:r w:rsidR="0080246A" w:rsidRPr="00EA0A6B">
        <w:rPr>
          <w:szCs w:val="18"/>
        </w:rPr>
        <w:t xml:space="preserve"> </w:t>
      </w:r>
      <w:r w:rsidRPr="00EA0A6B">
        <w:rPr>
          <w:szCs w:val="18"/>
        </w:rPr>
        <w:t>IFPI, “IFPI Global Music Report</w:t>
      </w:r>
      <w:r w:rsidR="00213D73" w:rsidRPr="00EA0A6B">
        <w:rPr>
          <w:szCs w:val="18"/>
        </w:rPr>
        <w:t> :</w:t>
      </w:r>
      <w:r w:rsidRPr="00EA0A6B">
        <w:rPr>
          <w:szCs w:val="18"/>
        </w:rPr>
        <w:t xml:space="preserve"> Global Recorded Music Revenues Grew 10.2% In 2023”, News, consulté le 15 septembre 2025, </w:t>
      </w:r>
      <w:hyperlink r:id="rId5" w:history="1">
        <w:r w:rsidRPr="00EA0A6B">
          <w:rPr>
            <w:rStyle w:val="Hyperlink1"/>
            <w:szCs w:val="18"/>
          </w:rPr>
          <w:t>https://www.ifpi.org/ifpi</w:t>
        </w:r>
        <w:r w:rsidR="00213D73" w:rsidRPr="00EA0A6B">
          <w:rPr>
            <w:rStyle w:val="Hyperlink1"/>
            <w:szCs w:val="18"/>
          </w:rPr>
          <w:t>-</w:t>
        </w:r>
        <w:r w:rsidRPr="00EA0A6B">
          <w:rPr>
            <w:rStyle w:val="Hyperlink1"/>
            <w:szCs w:val="18"/>
          </w:rPr>
          <w:t>global</w:t>
        </w:r>
        <w:r w:rsidR="00213D73" w:rsidRPr="00EA0A6B">
          <w:rPr>
            <w:rStyle w:val="Hyperlink1"/>
            <w:szCs w:val="18"/>
          </w:rPr>
          <w:t>-</w:t>
        </w:r>
        <w:r w:rsidRPr="00EA0A6B">
          <w:rPr>
            <w:rStyle w:val="Hyperlink1"/>
            <w:szCs w:val="18"/>
          </w:rPr>
          <w:t>music</w:t>
        </w:r>
        <w:r w:rsidR="00213D73" w:rsidRPr="00EA0A6B">
          <w:rPr>
            <w:rStyle w:val="Hyperlink1"/>
            <w:szCs w:val="18"/>
          </w:rPr>
          <w:t>-</w:t>
        </w:r>
        <w:r w:rsidRPr="00EA0A6B">
          <w:rPr>
            <w:rStyle w:val="Hyperlink1"/>
            <w:szCs w:val="18"/>
          </w:rPr>
          <w:t>report</w:t>
        </w:r>
        <w:r w:rsidR="00213D73" w:rsidRPr="00EA0A6B">
          <w:rPr>
            <w:rStyle w:val="Hyperlink1"/>
            <w:szCs w:val="18"/>
          </w:rPr>
          <w:t>-</w:t>
        </w:r>
        <w:r w:rsidRPr="00EA0A6B">
          <w:rPr>
            <w:rStyle w:val="Hyperlink1"/>
            <w:szCs w:val="18"/>
          </w:rPr>
          <w:t>global</w:t>
        </w:r>
        <w:r w:rsidR="00213D73" w:rsidRPr="00EA0A6B">
          <w:rPr>
            <w:rStyle w:val="Hyperlink1"/>
            <w:szCs w:val="18"/>
          </w:rPr>
          <w:t>-</w:t>
        </w:r>
        <w:r w:rsidRPr="00EA0A6B">
          <w:rPr>
            <w:rStyle w:val="Hyperlink1"/>
            <w:szCs w:val="18"/>
          </w:rPr>
          <w:t>recorded</w:t>
        </w:r>
        <w:r w:rsidR="00213D73" w:rsidRPr="00EA0A6B">
          <w:rPr>
            <w:rStyle w:val="Hyperlink1"/>
            <w:szCs w:val="18"/>
          </w:rPr>
          <w:t>-</w:t>
        </w:r>
        <w:r w:rsidRPr="00EA0A6B">
          <w:rPr>
            <w:rStyle w:val="Hyperlink1"/>
            <w:szCs w:val="18"/>
          </w:rPr>
          <w:t>music</w:t>
        </w:r>
        <w:r w:rsidR="00213D73" w:rsidRPr="00EA0A6B">
          <w:rPr>
            <w:rStyle w:val="Hyperlink1"/>
            <w:szCs w:val="18"/>
          </w:rPr>
          <w:t>-</w:t>
        </w:r>
        <w:r w:rsidRPr="00EA0A6B">
          <w:rPr>
            <w:rStyle w:val="Hyperlink1"/>
            <w:szCs w:val="18"/>
          </w:rPr>
          <w:t>revenues</w:t>
        </w:r>
        <w:r w:rsidR="00213D73" w:rsidRPr="00EA0A6B">
          <w:rPr>
            <w:rStyle w:val="Hyperlink1"/>
            <w:szCs w:val="18"/>
          </w:rPr>
          <w:t>-</w:t>
        </w:r>
        <w:r w:rsidRPr="00EA0A6B">
          <w:rPr>
            <w:rStyle w:val="Hyperlink1"/>
            <w:szCs w:val="18"/>
          </w:rPr>
          <w:t>grew</w:t>
        </w:r>
        <w:r w:rsidR="00213D73" w:rsidRPr="00EA0A6B">
          <w:rPr>
            <w:rStyle w:val="Hyperlink1"/>
            <w:szCs w:val="18"/>
          </w:rPr>
          <w:t>-</w:t>
        </w:r>
        <w:r w:rsidRPr="00EA0A6B">
          <w:rPr>
            <w:rStyle w:val="Hyperlink1"/>
            <w:szCs w:val="18"/>
          </w:rPr>
          <w:t>10</w:t>
        </w:r>
        <w:r w:rsidR="00213D73" w:rsidRPr="00EA0A6B">
          <w:rPr>
            <w:rStyle w:val="Hyperlink1"/>
            <w:szCs w:val="18"/>
          </w:rPr>
          <w:t>-</w:t>
        </w:r>
        <w:r w:rsidRPr="00EA0A6B">
          <w:rPr>
            <w:rStyle w:val="Hyperlink1"/>
            <w:szCs w:val="18"/>
          </w:rPr>
          <w:t xml:space="preserve"> 2</w:t>
        </w:r>
        <w:r w:rsidR="00213D73" w:rsidRPr="00EA0A6B">
          <w:rPr>
            <w:rStyle w:val="Hyperlink1"/>
            <w:szCs w:val="18"/>
          </w:rPr>
          <w:t>-</w:t>
        </w:r>
        <w:r w:rsidRPr="00EA0A6B">
          <w:rPr>
            <w:rStyle w:val="Hyperlink1"/>
            <w:szCs w:val="18"/>
          </w:rPr>
          <w:t>in</w:t>
        </w:r>
        <w:r w:rsidR="00213D73" w:rsidRPr="00EA0A6B">
          <w:rPr>
            <w:rStyle w:val="Hyperlink1"/>
            <w:szCs w:val="18"/>
          </w:rPr>
          <w:t>-</w:t>
        </w:r>
        <w:r w:rsidRPr="00EA0A6B">
          <w:rPr>
            <w:rStyle w:val="Hyperlink1"/>
            <w:szCs w:val="18"/>
          </w:rPr>
          <w:t>2023/</w:t>
        </w:r>
      </w:hyperlink>
      <w:r w:rsidRPr="00EA0A6B">
        <w:rPr>
          <w:szCs w:val="18"/>
        </w:rPr>
        <w:t xml:space="preserve">; </w:t>
      </w:r>
      <w:r w:rsidR="0080246A" w:rsidRPr="00EA0A6B">
        <w:rPr>
          <w:szCs w:val="18"/>
        </w:rPr>
        <w:t xml:space="preserve"> </w:t>
      </w:r>
      <w:r w:rsidRPr="00EA0A6B">
        <w:rPr>
          <w:szCs w:val="18"/>
        </w:rPr>
        <w:t>Maria Sherman, “Spotify Paid $9 Billion in Royalties in 2023.</w:t>
      </w:r>
      <w:r w:rsidR="0080246A" w:rsidRPr="00EA0A6B">
        <w:rPr>
          <w:szCs w:val="18"/>
        </w:rPr>
        <w:t xml:space="preserve"> </w:t>
      </w:r>
      <w:r w:rsidRPr="00EA0A6B">
        <w:rPr>
          <w:szCs w:val="18"/>
        </w:rPr>
        <w:t xml:space="preserve"> Here</w:t>
      </w:r>
      <w:r w:rsidR="00213D73" w:rsidRPr="00EA0A6B">
        <w:rPr>
          <w:szCs w:val="18"/>
        </w:rPr>
        <w:t>’</w:t>
      </w:r>
      <w:r w:rsidRPr="00EA0A6B">
        <w:rPr>
          <w:szCs w:val="18"/>
        </w:rPr>
        <w:t xml:space="preserve">s What Fueled the Growth”, Associated Press, 2024, </w:t>
      </w:r>
      <w:hyperlink r:id="rId6" w:history="1">
        <w:r w:rsidRPr="00EA0A6B">
          <w:rPr>
            <w:rStyle w:val="Hyperlink1"/>
            <w:szCs w:val="18"/>
          </w:rPr>
          <w:t>https://apnews.com/article/spotify</w:t>
        </w:r>
        <w:r w:rsidR="00213D73" w:rsidRPr="00EA0A6B">
          <w:rPr>
            <w:rStyle w:val="Hyperlink1"/>
            <w:szCs w:val="18"/>
          </w:rPr>
          <w:t>-</w:t>
        </w:r>
        <w:r w:rsidRPr="00EA0A6B">
          <w:rPr>
            <w:rStyle w:val="Hyperlink1"/>
            <w:szCs w:val="18"/>
          </w:rPr>
          <w:t>loud</w:t>
        </w:r>
        <w:r w:rsidR="00213D73" w:rsidRPr="00EA0A6B">
          <w:rPr>
            <w:rStyle w:val="Hyperlink1"/>
            <w:szCs w:val="18"/>
          </w:rPr>
          <w:t>-</w:t>
        </w:r>
        <w:r w:rsidRPr="00EA0A6B">
          <w:rPr>
            <w:rStyle w:val="Hyperlink1"/>
            <w:szCs w:val="18"/>
          </w:rPr>
          <w:t>clear</w:t>
        </w:r>
        <w:r w:rsidR="00213D73" w:rsidRPr="00EA0A6B">
          <w:rPr>
            <w:rStyle w:val="Hyperlink1"/>
            <w:szCs w:val="18"/>
          </w:rPr>
          <w:t>-</w:t>
        </w:r>
        <w:r w:rsidRPr="00EA0A6B">
          <w:rPr>
            <w:rStyle w:val="Hyperlink1"/>
            <w:szCs w:val="18"/>
          </w:rPr>
          <w:t>report</w:t>
        </w:r>
        <w:r w:rsidR="00213D73" w:rsidRPr="00EA0A6B">
          <w:rPr>
            <w:rStyle w:val="Hyperlink1"/>
            <w:szCs w:val="18"/>
          </w:rPr>
          <w:t>-</w:t>
        </w:r>
        <w:r w:rsidRPr="00EA0A6B">
          <w:rPr>
            <w:rStyle w:val="Hyperlink1"/>
            <w:szCs w:val="18"/>
          </w:rPr>
          <w:t>8ddab5a6e03f65233b0f9ed80eb99e0c</w:t>
        </w:r>
      </w:hyperlink>
      <w:r w:rsidRPr="00EA0A6B">
        <w:rPr>
          <w:szCs w:val="18"/>
        </w:rPr>
        <w:t>.</w:t>
      </w:r>
    </w:p>
  </w:endnote>
  <w:endnote w:id="10">
    <w:p w14:paraId="68914BD2" w14:textId="44062655"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Ahmad Faishal Adnan, “LMKN Pantau Dan Evaluasi Skema SILM Terkait Royalti Lagu Dan Musik”, </w:t>
      </w:r>
      <w:r w:rsidRPr="00EA0A6B">
        <w:rPr>
          <w:i/>
          <w:szCs w:val="18"/>
        </w:rPr>
        <w:t>Antaranews.Com</w:t>
      </w:r>
      <w:r w:rsidRPr="00EA0A6B">
        <w:rPr>
          <w:szCs w:val="18"/>
        </w:rPr>
        <w:t xml:space="preserve">, mars 2023, </w:t>
      </w:r>
      <w:hyperlink r:id="rId7" w:history="1">
        <w:r w:rsidRPr="00EA0A6B">
          <w:rPr>
            <w:rStyle w:val="Hyperlink1"/>
            <w:szCs w:val="18"/>
          </w:rPr>
          <w:t>https://www.antaranews.com/berita/3430227/lmkn</w:t>
        </w:r>
        <w:r w:rsidR="00213D73" w:rsidRPr="00EA0A6B">
          <w:rPr>
            <w:rStyle w:val="Hyperlink1"/>
            <w:szCs w:val="18"/>
          </w:rPr>
          <w:t>-</w:t>
        </w:r>
        <w:r w:rsidRPr="00EA0A6B">
          <w:rPr>
            <w:rStyle w:val="Hyperlink1"/>
            <w:szCs w:val="18"/>
          </w:rPr>
          <w:t>pantau</w:t>
        </w:r>
        <w:r w:rsidR="00213D73" w:rsidRPr="00EA0A6B">
          <w:rPr>
            <w:rStyle w:val="Hyperlink1"/>
            <w:szCs w:val="18"/>
          </w:rPr>
          <w:t>-</w:t>
        </w:r>
        <w:r w:rsidRPr="00EA0A6B">
          <w:rPr>
            <w:rStyle w:val="Hyperlink1"/>
            <w:szCs w:val="18"/>
          </w:rPr>
          <w:t>dan</w:t>
        </w:r>
        <w:r w:rsidR="00213D73" w:rsidRPr="00EA0A6B">
          <w:rPr>
            <w:rStyle w:val="Hyperlink1"/>
            <w:szCs w:val="18"/>
          </w:rPr>
          <w:t>-</w:t>
        </w:r>
        <w:r w:rsidRPr="00EA0A6B">
          <w:rPr>
            <w:rStyle w:val="Hyperlink1"/>
            <w:szCs w:val="18"/>
          </w:rPr>
          <w:t>evaluasi</w:t>
        </w:r>
        <w:r w:rsidR="00213D73" w:rsidRPr="00EA0A6B">
          <w:rPr>
            <w:rStyle w:val="Hyperlink1"/>
            <w:szCs w:val="18"/>
          </w:rPr>
          <w:t>-</w:t>
        </w:r>
        <w:r w:rsidRPr="00EA0A6B">
          <w:rPr>
            <w:rStyle w:val="Hyperlink1"/>
            <w:szCs w:val="18"/>
          </w:rPr>
          <w:t>skema</w:t>
        </w:r>
        <w:r w:rsidR="00213D73" w:rsidRPr="00EA0A6B">
          <w:rPr>
            <w:rStyle w:val="Hyperlink1"/>
            <w:szCs w:val="18"/>
          </w:rPr>
          <w:t>-</w:t>
        </w:r>
        <w:r w:rsidRPr="00EA0A6B">
          <w:rPr>
            <w:rStyle w:val="Hyperlink1"/>
            <w:szCs w:val="18"/>
          </w:rPr>
          <w:t>silm</w:t>
        </w:r>
        <w:r w:rsidR="00213D73" w:rsidRPr="00EA0A6B">
          <w:rPr>
            <w:rStyle w:val="Hyperlink1"/>
            <w:szCs w:val="18"/>
          </w:rPr>
          <w:t>-</w:t>
        </w:r>
        <w:r w:rsidRPr="00EA0A6B">
          <w:rPr>
            <w:rStyle w:val="Hyperlink1"/>
            <w:szCs w:val="18"/>
          </w:rPr>
          <w:t>terkait</w:t>
        </w:r>
        <w:r w:rsidR="00213D73" w:rsidRPr="00EA0A6B">
          <w:rPr>
            <w:rStyle w:val="Hyperlink1"/>
            <w:szCs w:val="18"/>
          </w:rPr>
          <w:t>-</w:t>
        </w:r>
        <w:r w:rsidRPr="00EA0A6B">
          <w:rPr>
            <w:rStyle w:val="Hyperlink1"/>
            <w:szCs w:val="18"/>
          </w:rPr>
          <w:t>royalti</w:t>
        </w:r>
        <w:r w:rsidR="00213D73" w:rsidRPr="00EA0A6B">
          <w:rPr>
            <w:rStyle w:val="Hyperlink1"/>
            <w:szCs w:val="18"/>
          </w:rPr>
          <w:t>-</w:t>
        </w:r>
        <w:r w:rsidRPr="00EA0A6B">
          <w:rPr>
            <w:rStyle w:val="Hyperlink1"/>
            <w:szCs w:val="18"/>
          </w:rPr>
          <w:t>lagu</w:t>
        </w:r>
        <w:r w:rsidR="00213D73" w:rsidRPr="00EA0A6B">
          <w:rPr>
            <w:rStyle w:val="Hyperlink1"/>
            <w:szCs w:val="18"/>
          </w:rPr>
          <w:t>-</w:t>
        </w:r>
        <w:r w:rsidRPr="00EA0A6B">
          <w:rPr>
            <w:rStyle w:val="Hyperlink1"/>
            <w:szCs w:val="18"/>
          </w:rPr>
          <w:t>dan</w:t>
        </w:r>
        <w:r w:rsidR="00213D73" w:rsidRPr="00EA0A6B">
          <w:rPr>
            <w:rStyle w:val="Hyperlink1"/>
            <w:szCs w:val="18"/>
          </w:rPr>
          <w:t>-</w:t>
        </w:r>
        <w:r w:rsidRPr="00EA0A6B">
          <w:rPr>
            <w:rStyle w:val="Hyperlink1"/>
            <w:szCs w:val="18"/>
          </w:rPr>
          <w:t>musik</w:t>
        </w:r>
      </w:hyperlink>
      <w:r w:rsidRPr="00EA0A6B">
        <w:rPr>
          <w:szCs w:val="18"/>
        </w:rPr>
        <w:t>.</w:t>
      </w:r>
    </w:p>
  </w:endnote>
  <w:endnote w:id="11">
    <w:p w14:paraId="2916B565" w14:textId="3AF96132"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Tempo.co, “Transparansi Pembayaran Royalti, PDLM Milik DJKI Harus Terintegrasi Dengan SILM”, </w:t>
      </w:r>
      <w:r w:rsidRPr="00EA0A6B">
        <w:rPr>
          <w:i/>
          <w:szCs w:val="18"/>
        </w:rPr>
        <w:t>Tempo.Co</w:t>
      </w:r>
      <w:r w:rsidRPr="00EA0A6B">
        <w:rPr>
          <w:szCs w:val="18"/>
        </w:rPr>
        <w:t xml:space="preserve">, décembre 2022, </w:t>
      </w:r>
      <w:hyperlink r:id="rId8" w:history="1">
        <w:r w:rsidRPr="00EA0A6B">
          <w:rPr>
            <w:rStyle w:val="Hyperlink1"/>
            <w:szCs w:val="18"/>
          </w:rPr>
          <w:t>https://www.tempo.co/info</w:t>
        </w:r>
        <w:r w:rsidR="00213D73" w:rsidRPr="00EA0A6B">
          <w:rPr>
            <w:rStyle w:val="Hyperlink1"/>
            <w:szCs w:val="18"/>
          </w:rPr>
          <w:t>-</w:t>
        </w:r>
        <w:r w:rsidRPr="00EA0A6B">
          <w:rPr>
            <w:rStyle w:val="Hyperlink1"/>
            <w:szCs w:val="18"/>
          </w:rPr>
          <w:t>tempo/transparansi</w:t>
        </w:r>
        <w:r w:rsidR="00213D73" w:rsidRPr="00EA0A6B">
          <w:rPr>
            <w:rStyle w:val="Hyperlink1"/>
            <w:szCs w:val="18"/>
          </w:rPr>
          <w:t>-</w:t>
        </w:r>
        <w:r w:rsidRPr="00EA0A6B">
          <w:rPr>
            <w:rStyle w:val="Hyperlink1"/>
            <w:szCs w:val="18"/>
          </w:rPr>
          <w:t>pembayaran</w:t>
        </w:r>
        <w:r w:rsidR="00213D73" w:rsidRPr="00EA0A6B">
          <w:rPr>
            <w:rStyle w:val="Hyperlink1"/>
            <w:szCs w:val="18"/>
          </w:rPr>
          <w:t>-</w:t>
        </w:r>
        <w:r w:rsidRPr="00EA0A6B">
          <w:rPr>
            <w:rStyle w:val="Hyperlink1"/>
            <w:szCs w:val="18"/>
          </w:rPr>
          <w:t>royalti</w:t>
        </w:r>
        <w:r w:rsidR="00213D73" w:rsidRPr="00EA0A6B">
          <w:rPr>
            <w:rStyle w:val="Hyperlink1"/>
            <w:szCs w:val="18"/>
          </w:rPr>
          <w:t>-</w:t>
        </w:r>
        <w:r w:rsidRPr="00EA0A6B">
          <w:rPr>
            <w:rStyle w:val="Hyperlink1"/>
            <w:szCs w:val="18"/>
          </w:rPr>
          <w:t>pdlm</w:t>
        </w:r>
        <w:r w:rsidR="00213D73" w:rsidRPr="00EA0A6B">
          <w:rPr>
            <w:rStyle w:val="Hyperlink1"/>
            <w:szCs w:val="18"/>
          </w:rPr>
          <w:t>-</w:t>
        </w:r>
        <w:r w:rsidRPr="00EA0A6B">
          <w:rPr>
            <w:rStyle w:val="Hyperlink1"/>
            <w:szCs w:val="18"/>
          </w:rPr>
          <w:t>milik</w:t>
        </w:r>
        <w:r w:rsidR="00213D73" w:rsidRPr="00EA0A6B">
          <w:rPr>
            <w:rStyle w:val="Hyperlink1"/>
            <w:szCs w:val="18"/>
          </w:rPr>
          <w:t>-</w:t>
        </w:r>
        <w:r w:rsidRPr="00EA0A6B">
          <w:rPr>
            <w:rStyle w:val="Hyperlink1"/>
            <w:szCs w:val="18"/>
          </w:rPr>
          <w:t>djki</w:t>
        </w:r>
        <w:r w:rsidR="00213D73" w:rsidRPr="00EA0A6B">
          <w:rPr>
            <w:rStyle w:val="Hyperlink1"/>
            <w:szCs w:val="18"/>
          </w:rPr>
          <w:t>-</w:t>
        </w:r>
        <w:r w:rsidRPr="00EA0A6B">
          <w:rPr>
            <w:rStyle w:val="Hyperlink1"/>
            <w:szCs w:val="18"/>
          </w:rPr>
          <w:t>harus</w:t>
        </w:r>
        <w:r w:rsidR="00213D73" w:rsidRPr="00EA0A6B">
          <w:rPr>
            <w:rStyle w:val="Hyperlink1"/>
            <w:szCs w:val="18"/>
          </w:rPr>
          <w:t>-</w:t>
        </w:r>
        <w:r w:rsidRPr="00EA0A6B">
          <w:rPr>
            <w:rStyle w:val="Hyperlink1"/>
            <w:szCs w:val="18"/>
          </w:rPr>
          <w:t>terintegrasi</w:t>
        </w:r>
        <w:r w:rsidR="00213D73" w:rsidRPr="00EA0A6B">
          <w:rPr>
            <w:rStyle w:val="Hyperlink1"/>
            <w:szCs w:val="18"/>
          </w:rPr>
          <w:t>-</w:t>
        </w:r>
        <w:r w:rsidRPr="00EA0A6B">
          <w:rPr>
            <w:rStyle w:val="Hyperlink1"/>
            <w:szCs w:val="18"/>
          </w:rPr>
          <w:t xml:space="preserve"> dengan</w:t>
        </w:r>
        <w:r w:rsidR="00213D73" w:rsidRPr="00EA0A6B">
          <w:rPr>
            <w:rStyle w:val="Hyperlink1"/>
            <w:szCs w:val="18"/>
          </w:rPr>
          <w:t>-</w:t>
        </w:r>
        <w:r w:rsidRPr="00EA0A6B">
          <w:rPr>
            <w:rStyle w:val="Hyperlink1"/>
            <w:szCs w:val="18"/>
          </w:rPr>
          <w:t>silm</w:t>
        </w:r>
        <w:r w:rsidR="00213D73" w:rsidRPr="00EA0A6B">
          <w:rPr>
            <w:rStyle w:val="Hyperlink1"/>
            <w:szCs w:val="18"/>
          </w:rPr>
          <w:t>--</w:t>
        </w:r>
        <w:r w:rsidRPr="00EA0A6B">
          <w:rPr>
            <w:rStyle w:val="Hyperlink1"/>
            <w:szCs w:val="18"/>
          </w:rPr>
          <w:t>240980</w:t>
        </w:r>
      </w:hyperlink>
      <w:r w:rsidRPr="00EA0A6B">
        <w:rPr>
          <w:szCs w:val="18"/>
        </w:rPr>
        <w:t>.</w:t>
      </w:r>
    </w:p>
  </w:endnote>
  <w:endnote w:id="12">
    <w:p w14:paraId="6739B210" w14:textId="0C129E99"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PRS For Music, “</w:t>
      </w:r>
      <w:r w:rsidRPr="00EA0A6B">
        <w:rPr>
          <w:i/>
          <w:szCs w:val="18"/>
        </w:rPr>
        <w:t>From Repertoire to Royalties: The Role of a Collecting Society”,</w:t>
      </w:r>
      <w:r w:rsidRPr="00EA0A6B">
        <w:rPr>
          <w:szCs w:val="18"/>
        </w:rPr>
        <w:t xml:space="preserve"> 2012, </w:t>
      </w:r>
      <w:hyperlink r:id="rId9" w:history="1">
        <w:r w:rsidRPr="00EA0A6B">
          <w:rPr>
            <w:rStyle w:val="Hyperlink1"/>
            <w:szCs w:val="18"/>
          </w:rPr>
          <w:t>http://prsformusic.com/</w:t>
        </w:r>
        <w:r w:rsidR="00213D73" w:rsidRPr="00EA0A6B">
          <w:rPr>
            <w:rStyle w:val="Hyperlink1"/>
            <w:szCs w:val="18"/>
          </w:rPr>
          <w:t>-</w:t>
        </w:r>
        <w:r w:rsidRPr="00EA0A6B">
          <w:rPr>
            <w:rStyle w:val="Hyperlink1"/>
            <w:szCs w:val="18"/>
          </w:rPr>
          <w:t>/media/files/prs</w:t>
        </w:r>
        <w:r w:rsidR="00213D73" w:rsidRPr="00EA0A6B">
          <w:rPr>
            <w:rStyle w:val="Hyperlink1"/>
            <w:szCs w:val="18"/>
          </w:rPr>
          <w:t>-</w:t>
        </w:r>
        <w:r w:rsidRPr="00EA0A6B">
          <w:rPr>
            <w:rStyle w:val="Hyperlink1"/>
            <w:szCs w:val="18"/>
          </w:rPr>
          <w:t>for</w:t>
        </w:r>
        <w:r w:rsidR="00213D73" w:rsidRPr="00EA0A6B">
          <w:rPr>
            <w:rStyle w:val="Hyperlink1"/>
            <w:szCs w:val="18"/>
          </w:rPr>
          <w:t>-</w:t>
        </w:r>
        <w:r w:rsidRPr="00EA0A6B">
          <w:rPr>
            <w:rStyle w:val="Hyperlink1"/>
            <w:szCs w:val="18"/>
          </w:rPr>
          <w:t>music/licensing/repertoire_to_royalties</w:t>
        </w:r>
        <w:r w:rsidR="00213D73" w:rsidRPr="00EA0A6B">
          <w:rPr>
            <w:rStyle w:val="Hyperlink1"/>
            <w:szCs w:val="18"/>
          </w:rPr>
          <w:t>-</w:t>
        </w:r>
        <w:r w:rsidRPr="00EA0A6B">
          <w:rPr>
            <w:rStyle w:val="Hyperlink1"/>
            <w:szCs w:val="18"/>
          </w:rPr>
          <w:t>dec_2012</w:t>
        </w:r>
      </w:hyperlink>
      <w:r w:rsidRPr="00EA0A6B">
        <w:rPr>
          <w:szCs w:val="18"/>
        </w:rPr>
        <w:t>.</w:t>
      </w:r>
    </w:p>
  </w:endnote>
  <w:endnote w:id="13">
    <w:p w14:paraId="2B710FDE" w14:textId="415B087B"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PRS For Music.</w:t>
      </w:r>
    </w:p>
  </w:endnote>
  <w:endnote w:id="14">
    <w:p w14:paraId="2B7A7B63" w14:textId="5C6139AA"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Hammam Izzuddin, “LMKN Kaji Tarif Royalti Pemutaran Musik Untuk UMKM”, </w:t>
      </w:r>
      <w:r w:rsidRPr="00EA0A6B">
        <w:rPr>
          <w:i/>
          <w:szCs w:val="18"/>
        </w:rPr>
        <w:t>Tempo.Co</w:t>
      </w:r>
      <w:r w:rsidRPr="00EA0A6B">
        <w:rPr>
          <w:szCs w:val="18"/>
        </w:rPr>
        <w:t xml:space="preserve">, août 2025, </w:t>
      </w:r>
      <w:hyperlink r:id="rId10" w:history="1">
        <w:r w:rsidRPr="00EA0A6B">
          <w:rPr>
            <w:rStyle w:val="Hyperlink1"/>
            <w:szCs w:val="18"/>
          </w:rPr>
          <w:t>https://www.tempo.co/hukum/lmkn</w:t>
        </w:r>
        <w:r w:rsidR="00213D73" w:rsidRPr="00EA0A6B">
          <w:rPr>
            <w:rStyle w:val="Hyperlink1"/>
            <w:szCs w:val="18"/>
          </w:rPr>
          <w:t>-</w:t>
        </w:r>
        <w:r w:rsidRPr="00EA0A6B">
          <w:rPr>
            <w:rStyle w:val="Hyperlink1"/>
            <w:szCs w:val="18"/>
          </w:rPr>
          <w:t>kaji</w:t>
        </w:r>
        <w:r w:rsidR="00213D73" w:rsidRPr="00EA0A6B">
          <w:rPr>
            <w:rStyle w:val="Hyperlink1"/>
            <w:szCs w:val="18"/>
          </w:rPr>
          <w:t>-</w:t>
        </w:r>
        <w:r w:rsidRPr="00EA0A6B">
          <w:rPr>
            <w:rStyle w:val="Hyperlink1"/>
            <w:szCs w:val="18"/>
          </w:rPr>
          <w:t>tarif</w:t>
        </w:r>
        <w:r w:rsidR="00213D73" w:rsidRPr="00EA0A6B">
          <w:rPr>
            <w:rStyle w:val="Hyperlink1"/>
            <w:szCs w:val="18"/>
          </w:rPr>
          <w:t>-</w:t>
        </w:r>
        <w:r w:rsidRPr="00EA0A6B">
          <w:rPr>
            <w:rStyle w:val="Hyperlink1"/>
            <w:szCs w:val="18"/>
          </w:rPr>
          <w:t>royalti</w:t>
        </w:r>
        <w:r w:rsidR="00213D73" w:rsidRPr="00EA0A6B">
          <w:rPr>
            <w:rStyle w:val="Hyperlink1"/>
            <w:szCs w:val="18"/>
          </w:rPr>
          <w:t>-</w:t>
        </w:r>
        <w:r w:rsidRPr="00EA0A6B">
          <w:rPr>
            <w:rStyle w:val="Hyperlink1"/>
            <w:szCs w:val="18"/>
          </w:rPr>
          <w:t>pemutaran</w:t>
        </w:r>
        <w:r w:rsidR="00213D73" w:rsidRPr="00EA0A6B">
          <w:rPr>
            <w:rStyle w:val="Hyperlink1"/>
            <w:szCs w:val="18"/>
          </w:rPr>
          <w:t>-</w:t>
        </w:r>
        <w:r w:rsidRPr="00EA0A6B">
          <w:rPr>
            <w:rStyle w:val="Hyperlink1"/>
            <w:szCs w:val="18"/>
          </w:rPr>
          <w:t>musik</w:t>
        </w:r>
        <w:r w:rsidR="00213D73" w:rsidRPr="00EA0A6B">
          <w:rPr>
            <w:rStyle w:val="Hyperlink1"/>
            <w:szCs w:val="18"/>
          </w:rPr>
          <w:t>-</w:t>
        </w:r>
        <w:r w:rsidRPr="00EA0A6B">
          <w:rPr>
            <w:rStyle w:val="Hyperlink1"/>
            <w:szCs w:val="18"/>
          </w:rPr>
          <w:t>untuk</w:t>
        </w:r>
        <w:r w:rsidR="00213D73" w:rsidRPr="00EA0A6B">
          <w:rPr>
            <w:rStyle w:val="Hyperlink1"/>
            <w:szCs w:val="18"/>
          </w:rPr>
          <w:t>-</w:t>
        </w:r>
        <w:r w:rsidRPr="00EA0A6B">
          <w:rPr>
            <w:rStyle w:val="Hyperlink1"/>
            <w:szCs w:val="18"/>
          </w:rPr>
          <w:t>umkm</w:t>
        </w:r>
        <w:r w:rsidR="00213D73" w:rsidRPr="00EA0A6B">
          <w:rPr>
            <w:rStyle w:val="Hyperlink1"/>
            <w:szCs w:val="18"/>
          </w:rPr>
          <w:t>-</w:t>
        </w:r>
        <w:r w:rsidRPr="00EA0A6B">
          <w:rPr>
            <w:rStyle w:val="Hyperlink1"/>
            <w:szCs w:val="18"/>
          </w:rPr>
          <w:t>2057117</w:t>
        </w:r>
      </w:hyperlink>
      <w:r w:rsidRPr="00EA0A6B">
        <w:rPr>
          <w:szCs w:val="18"/>
        </w:rPr>
        <w:t>.</w:t>
      </w:r>
    </w:p>
  </w:endnote>
  <w:endnote w:id="15">
    <w:p w14:paraId="14DC403C" w14:textId="18EE0694"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Zhohorianis Asmara, “Tompi Mundur Dari WAMI Dan Gratiskan Lagunya”, </w:t>
      </w:r>
      <w:r w:rsidRPr="00EA0A6B">
        <w:rPr>
          <w:i/>
          <w:szCs w:val="18"/>
        </w:rPr>
        <w:t>RRI.Co.Id,</w:t>
      </w:r>
      <w:r w:rsidRPr="00EA0A6B">
        <w:rPr>
          <w:szCs w:val="18"/>
        </w:rPr>
        <w:t xml:space="preserve"> août 2025, </w:t>
      </w:r>
      <w:hyperlink r:id="rId11" w:history="1">
        <w:r w:rsidRPr="00EA0A6B">
          <w:rPr>
            <w:rStyle w:val="Hyperlink1"/>
            <w:szCs w:val="18"/>
          </w:rPr>
          <w:t>https://rri.co.id/hiburan/1765868/tompi</w:t>
        </w:r>
        <w:r w:rsidR="00213D73" w:rsidRPr="00EA0A6B">
          <w:rPr>
            <w:rStyle w:val="Hyperlink1"/>
            <w:szCs w:val="18"/>
          </w:rPr>
          <w:t>-</w:t>
        </w:r>
        <w:r w:rsidRPr="00EA0A6B">
          <w:rPr>
            <w:rStyle w:val="Hyperlink1"/>
            <w:szCs w:val="18"/>
          </w:rPr>
          <w:t>mundur</w:t>
        </w:r>
        <w:r w:rsidR="00213D73" w:rsidRPr="00EA0A6B">
          <w:rPr>
            <w:rStyle w:val="Hyperlink1"/>
            <w:szCs w:val="18"/>
          </w:rPr>
          <w:t>-</w:t>
        </w:r>
        <w:r w:rsidRPr="00EA0A6B">
          <w:rPr>
            <w:rStyle w:val="Hyperlink1"/>
            <w:szCs w:val="18"/>
          </w:rPr>
          <w:t>dari</w:t>
        </w:r>
        <w:r w:rsidR="00213D73" w:rsidRPr="00EA0A6B">
          <w:rPr>
            <w:rStyle w:val="Hyperlink1"/>
            <w:szCs w:val="18"/>
          </w:rPr>
          <w:t>-</w:t>
        </w:r>
        <w:r w:rsidRPr="00EA0A6B">
          <w:rPr>
            <w:rStyle w:val="Hyperlink1"/>
            <w:szCs w:val="18"/>
          </w:rPr>
          <w:t>wami</w:t>
        </w:r>
        <w:r w:rsidR="00213D73" w:rsidRPr="00EA0A6B">
          <w:rPr>
            <w:rStyle w:val="Hyperlink1"/>
            <w:szCs w:val="18"/>
          </w:rPr>
          <w:t>-</w:t>
        </w:r>
        <w:r w:rsidRPr="00EA0A6B">
          <w:rPr>
            <w:rStyle w:val="Hyperlink1"/>
            <w:szCs w:val="18"/>
          </w:rPr>
          <w:t>dan</w:t>
        </w:r>
        <w:r w:rsidR="00213D73" w:rsidRPr="00EA0A6B">
          <w:rPr>
            <w:rStyle w:val="Hyperlink1"/>
            <w:szCs w:val="18"/>
          </w:rPr>
          <w:t>-</w:t>
        </w:r>
        <w:r w:rsidRPr="00EA0A6B">
          <w:rPr>
            <w:rStyle w:val="Hyperlink1"/>
            <w:szCs w:val="18"/>
          </w:rPr>
          <w:t>gratiskan</w:t>
        </w:r>
        <w:r w:rsidR="00213D73" w:rsidRPr="00EA0A6B">
          <w:rPr>
            <w:rStyle w:val="Hyperlink1"/>
            <w:szCs w:val="18"/>
          </w:rPr>
          <w:t>-</w:t>
        </w:r>
        <w:r w:rsidRPr="00EA0A6B">
          <w:rPr>
            <w:rStyle w:val="Hyperlink1"/>
            <w:szCs w:val="18"/>
          </w:rPr>
          <w:t>lagunya</w:t>
        </w:r>
      </w:hyperlink>
      <w:r w:rsidRPr="00EA0A6B">
        <w:rPr>
          <w:szCs w:val="18"/>
        </w:rPr>
        <w:t xml:space="preserve">; </w:t>
      </w:r>
      <w:r w:rsidR="0080246A" w:rsidRPr="00EA0A6B">
        <w:rPr>
          <w:szCs w:val="18"/>
        </w:rPr>
        <w:t xml:space="preserve"> </w:t>
      </w:r>
      <w:r w:rsidRPr="00EA0A6B">
        <w:rPr>
          <w:szCs w:val="18"/>
        </w:rPr>
        <w:t xml:space="preserve">Raden Putri A Ginanjar, “Ari Lasso Ajukan Petisi Audit WAMI Imbas Kasus Royalti Musik”, </w:t>
      </w:r>
      <w:r w:rsidRPr="00EA0A6B">
        <w:rPr>
          <w:i/>
          <w:szCs w:val="18"/>
        </w:rPr>
        <w:t>Tempo.Co,</w:t>
      </w:r>
      <w:r w:rsidRPr="00EA0A6B">
        <w:rPr>
          <w:szCs w:val="18"/>
        </w:rPr>
        <w:t xml:space="preserve"> août 2025, </w:t>
      </w:r>
      <w:hyperlink r:id="rId12" w:history="1">
        <w:r w:rsidRPr="00EA0A6B">
          <w:rPr>
            <w:rStyle w:val="Hyperlink1"/>
            <w:szCs w:val="18"/>
          </w:rPr>
          <w:t>https://www.tempo.co/teroka/ari</w:t>
        </w:r>
        <w:r w:rsidR="00213D73" w:rsidRPr="00EA0A6B">
          <w:rPr>
            <w:rStyle w:val="Hyperlink1"/>
            <w:szCs w:val="18"/>
          </w:rPr>
          <w:t>-</w:t>
        </w:r>
        <w:r w:rsidRPr="00EA0A6B">
          <w:rPr>
            <w:rStyle w:val="Hyperlink1"/>
            <w:szCs w:val="18"/>
          </w:rPr>
          <w:t xml:space="preserve"> lasso</w:t>
        </w:r>
        <w:r w:rsidR="00213D73" w:rsidRPr="00EA0A6B">
          <w:rPr>
            <w:rStyle w:val="Hyperlink1"/>
            <w:szCs w:val="18"/>
          </w:rPr>
          <w:t>-</w:t>
        </w:r>
        <w:r w:rsidRPr="00EA0A6B">
          <w:rPr>
            <w:rStyle w:val="Hyperlink1"/>
            <w:szCs w:val="18"/>
          </w:rPr>
          <w:t>ajukan</w:t>
        </w:r>
        <w:r w:rsidR="00213D73" w:rsidRPr="00EA0A6B">
          <w:rPr>
            <w:rStyle w:val="Hyperlink1"/>
            <w:szCs w:val="18"/>
          </w:rPr>
          <w:t>-</w:t>
        </w:r>
        <w:r w:rsidRPr="00EA0A6B">
          <w:rPr>
            <w:rStyle w:val="Hyperlink1"/>
            <w:szCs w:val="18"/>
          </w:rPr>
          <w:t>petisi</w:t>
        </w:r>
        <w:r w:rsidR="00213D73" w:rsidRPr="00EA0A6B">
          <w:rPr>
            <w:rStyle w:val="Hyperlink1"/>
            <w:szCs w:val="18"/>
          </w:rPr>
          <w:t>-</w:t>
        </w:r>
        <w:r w:rsidRPr="00EA0A6B">
          <w:rPr>
            <w:rStyle w:val="Hyperlink1"/>
            <w:szCs w:val="18"/>
          </w:rPr>
          <w:t>audit</w:t>
        </w:r>
        <w:r w:rsidR="00213D73" w:rsidRPr="00EA0A6B">
          <w:rPr>
            <w:rStyle w:val="Hyperlink1"/>
            <w:szCs w:val="18"/>
          </w:rPr>
          <w:t>-</w:t>
        </w:r>
        <w:r w:rsidRPr="00EA0A6B">
          <w:rPr>
            <w:rStyle w:val="Hyperlink1"/>
            <w:szCs w:val="18"/>
          </w:rPr>
          <w:t>wami</w:t>
        </w:r>
        <w:r w:rsidR="00213D73" w:rsidRPr="00EA0A6B">
          <w:rPr>
            <w:rStyle w:val="Hyperlink1"/>
            <w:szCs w:val="18"/>
          </w:rPr>
          <w:t>-</w:t>
        </w:r>
        <w:r w:rsidRPr="00EA0A6B">
          <w:rPr>
            <w:rStyle w:val="Hyperlink1"/>
            <w:szCs w:val="18"/>
          </w:rPr>
          <w:t>imbas</w:t>
        </w:r>
        <w:r w:rsidR="00213D73" w:rsidRPr="00EA0A6B">
          <w:rPr>
            <w:rStyle w:val="Hyperlink1"/>
            <w:szCs w:val="18"/>
          </w:rPr>
          <w:t>-</w:t>
        </w:r>
        <w:r w:rsidRPr="00EA0A6B">
          <w:rPr>
            <w:rStyle w:val="Hyperlink1"/>
            <w:szCs w:val="18"/>
          </w:rPr>
          <w:t>kasus</w:t>
        </w:r>
        <w:r w:rsidR="00213D73" w:rsidRPr="00EA0A6B">
          <w:rPr>
            <w:rStyle w:val="Hyperlink1"/>
            <w:szCs w:val="18"/>
          </w:rPr>
          <w:t>-</w:t>
        </w:r>
        <w:r w:rsidRPr="00EA0A6B">
          <w:rPr>
            <w:rStyle w:val="Hyperlink1"/>
            <w:szCs w:val="18"/>
          </w:rPr>
          <w:t>royalti</w:t>
        </w:r>
        <w:r w:rsidR="00213D73" w:rsidRPr="00EA0A6B">
          <w:rPr>
            <w:rStyle w:val="Hyperlink1"/>
            <w:szCs w:val="18"/>
          </w:rPr>
          <w:t>-</w:t>
        </w:r>
        <w:r w:rsidRPr="00EA0A6B">
          <w:rPr>
            <w:rStyle w:val="Hyperlink1"/>
            <w:szCs w:val="18"/>
          </w:rPr>
          <w:t>musik</w:t>
        </w:r>
        <w:r w:rsidR="00213D73" w:rsidRPr="00EA0A6B">
          <w:rPr>
            <w:rStyle w:val="Hyperlink1"/>
            <w:szCs w:val="18"/>
          </w:rPr>
          <w:t>-</w:t>
        </w:r>
        <w:r w:rsidRPr="00EA0A6B">
          <w:rPr>
            <w:rStyle w:val="Hyperlink1"/>
            <w:szCs w:val="18"/>
          </w:rPr>
          <w:t>2058503</w:t>
        </w:r>
      </w:hyperlink>
      <w:r w:rsidRPr="00EA0A6B">
        <w:rPr>
          <w:szCs w:val="18"/>
        </w:rPr>
        <w:t>.</w:t>
      </w:r>
    </w:p>
  </w:endnote>
  <w:endnote w:id="16">
    <w:p w14:paraId="60990B45" w14:textId="7E7F0ABE"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CNN Indonesia, “Kronologi Perseteruan Ahmad Dhani Larang Once Bawa Lagu Dewa 19”, Cnnindonesia.Com, avril 2023, </w:t>
      </w:r>
      <w:hyperlink r:id="rId13" w:history="1">
        <w:r w:rsidRPr="00EA0A6B">
          <w:rPr>
            <w:rStyle w:val="Hyperlink1"/>
            <w:szCs w:val="18"/>
          </w:rPr>
          <w:t>https://www.cnnindonesia.com/hiburan/20230401070011</w:t>
        </w:r>
        <w:r w:rsidR="00213D73" w:rsidRPr="00EA0A6B">
          <w:rPr>
            <w:rStyle w:val="Hyperlink1"/>
            <w:szCs w:val="18"/>
          </w:rPr>
          <w:t>-</w:t>
        </w:r>
        <w:r w:rsidRPr="00EA0A6B">
          <w:rPr>
            <w:rStyle w:val="Hyperlink1"/>
            <w:szCs w:val="18"/>
          </w:rPr>
          <w:t>227</w:t>
        </w:r>
        <w:r w:rsidR="00213D73" w:rsidRPr="00EA0A6B">
          <w:rPr>
            <w:rStyle w:val="Hyperlink1"/>
            <w:szCs w:val="18"/>
          </w:rPr>
          <w:t>-</w:t>
        </w:r>
        <w:r w:rsidRPr="00EA0A6B">
          <w:rPr>
            <w:rStyle w:val="Hyperlink1"/>
            <w:szCs w:val="18"/>
          </w:rPr>
          <w:t>932161/kronologi</w:t>
        </w:r>
        <w:r w:rsidR="00213D73" w:rsidRPr="00EA0A6B">
          <w:rPr>
            <w:rStyle w:val="Hyperlink1"/>
            <w:szCs w:val="18"/>
          </w:rPr>
          <w:t>-</w:t>
        </w:r>
        <w:r w:rsidRPr="00EA0A6B">
          <w:rPr>
            <w:rStyle w:val="Hyperlink1"/>
            <w:szCs w:val="18"/>
          </w:rPr>
          <w:t>perseteruan</w:t>
        </w:r>
        <w:r w:rsidR="00213D73" w:rsidRPr="00EA0A6B">
          <w:rPr>
            <w:rStyle w:val="Hyperlink1"/>
            <w:szCs w:val="18"/>
          </w:rPr>
          <w:t>-</w:t>
        </w:r>
        <w:r w:rsidRPr="00EA0A6B">
          <w:rPr>
            <w:rStyle w:val="Hyperlink1"/>
            <w:szCs w:val="18"/>
          </w:rPr>
          <w:t>ahmad</w:t>
        </w:r>
        <w:r w:rsidR="00213D73" w:rsidRPr="00EA0A6B">
          <w:rPr>
            <w:rStyle w:val="Hyperlink1"/>
            <w:szCs w:val="18"/>
          </w:rPr>
          <w:t>-</w:t>
        </w:r>
        <w:r w:rsidRPr="00EA0A6B">
          <w:rPr>
            <w:rStyle w:val="Hyperlink1"/>
            <w:szCs w:val="18"/>
          </w:rPr>
          <w:t>dhani</w:t>
        </w:r>
        <w:r w:rsidR="00213D73" w:rsidRPr="00EA0A6B">
          <w:rPr>
            <w:rStyle w:val="Hyperlink1"/>
            <w:szCs w:val="18"/>
          </w:rPr>
          <w:t>-</w:t>
        </w:r>
        <w:r w:rsidRPr="00EA0A6B">
          <w:rPr>
            <w:rStyle w:val="Hyperlink1"/>
            <w:szCs w:val="18"/>
          </w:rPr>
          <w:t xml:space="preserve"> larang</w:t>
        </w:r>
        <w:r w:rsidR="00213D73" w:rsidRPr="00EA0A6B">
          <w:rPr>
            <w:rStyle w:val="Hyperlink1"/>
            <w:szCs w:val="18"/>
          </w:rPr>
          <w:t>-</w:t>
        </w:r>
        <w:r w:rsidRPr="00EA0A6B">
          <w:rPr>
            <w:rStyle w:val="Hyperlink1"/>
            <w:szCs w:val="18"/>
          </w:rPr>
          <w:t>once</w:t>
        </w:r>
        <w:r w:rsidR="00213D73" w:rsidRPr="00EA0A6B">
          <w:rPr>
            <w:rStyle w:val="Hyperlink1"/>
            <w:szCs w:val="18"/>
          </w:rPr>
          <w:t>-</w:t>
        </w:r>
        <w:r w:rsidRPr="00EA0A6B">
          <w:rPr>
            <w:rStyle w:val="Hyperlink1"/>
            <w:szCs w:val="18"/>
          </w:rPr>
          <w:t>bawa</w:t>
        </w:r>
        <w:r w:rsidR="00213D73" w:rsidRPr="00EA0A6B">
          <w:rPr>
            <w:rStyle w:val="Hyperlink1"/>
            <w:szCs w:val="18"/>
          </w:rPr>
          <w:t>-</w:t>
        </w:r>
        <w:r w:rsidRPr="00EA0A6B">
          <w:rPr>
            <w:rStyle w:val="Hyperlink1"/>
            <w:szCs w:val="18"/>
          </w:rPr>
          <w:t>lagu</w:t>
        </w:r>
        <w:r w:rsidR="00213D73" w:rsidRPr="00EA0A6B">
          <w:rPr>
            <w:rStyle w:val="Hyperlink1"/>
            <w:szCs w:val="18"/>
          </w:rPr>
          <w:t>-</w:t>
        </w:r>
        <w:r w:rsidRPr="00EA0A6B">
          <w:rPr>
            <w:rStyle w:val="Hyperlink1"/>
            <w:szCs w:val="18"/>
          </w:rPr>
          <w:t>dewa</w:t>
        </w:r>
        <w:r w:rsidR="00213D73" w:rsidRPr="00EA0A6B">
          <w:rPr>
            <w:rStyle w:val="Hyperlink1"/>
            <w:szCs w:val="18"/>
          </w:rPr>
          <w:t>-</w:t>
        </w:r>
        <w:r w:rsidRPr="00EA0A6B">
          <w:rPr>
            <w:rStyle w:val="Hyperlink1"/>
            <w:szCs w:val="18"/>
          </w:rPr>
          <w:t>19</w:t>
        </w:r>
      </w:hyperlink>
      <w:r w:rsidRPr="00EA0A6B">
        <w:rPr>
          <w:szCs w:val="18"/>
        </w:rPr>
        <w:t>.</w:t>
      </w:r>
    </w:p>
  </w:endnote>
  <w:endnote w:id="17">
    <w:p w14:paraId="6A524F39" w14:textId="6ACC16F4"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OMPI, </w:t>
      </w:r>
      <w:r w:rsidRPr="00EA0A6B">
        <w:rPr>
          <w:i/>
          <w:szCs w:val="18"/>
        </w:rPr>
        <w:t>Boîte à outils de l</w:t>
      </w:r>
      <w:r w:rsidR="00213D73" w:rsidRPr="00EA0A6B">
        <w:rPr>
          <w:i/>
          <w:szCs w:val="18"/>
        </w:rPr>
        <w:t>’</w:t>
      </w:r>
      <w:r w:rsidRPr="00EA0A6B">
        <w:rPr>
          <w:i/>
          <w:szCs w:val="18"/>
        </w:rPr>
        <w:t>OMPI relative aux bonnes pratiques à l</w:t>
      </w:r>
      <w:r w:rsidR="00213D73" w:rsidRPr="00EA0A6B">
        <w:rPr>
          <w:i/>
          <w:szCs w:val="18"/>
        </w:rPr>
        <w:t>’</w:t>
      </w:r>
      <w:r w:rsidRPr="00EA0A6B">
        <w:rPr>
          <w:i/>
          <w:szCs w:val="18"/>
        </w:rPr>
        <w:t>intention des organismes de gestion collective (Boîte à outils)</w:t>
      </w:r>
      <w:r w:rsidRPr="00EA0A6B">
        <w:rPr>
          <w:szCs w:val="18"/>
        </w:rPr>
        <w:t xml:space="preserve"> (Genève</w:t>
      </w:r>
      <w:r w:rsidR="00213D73" w:rsidRPr="00EA0A6B">
        <w:rPr>
          <w:szCs w:val="18"/>
        </w:rPr>
        <w:t> :</w:t>
      </w:r>
      <w:r w:rsidRPr="00EA0A6B">
        <w:rPr>
          <w:szCs w:val="18"/>
        </w:rPr>
        <w:t xml:space="preserve"> OMPI, 2025), page 7, </w:t>
      </w:r>
      <w:hyperlink r:id="rId14" w:history="1">
        <w:r w:rsidRPr="00EA0A6B">
          <w:rPr>
            <w:rStyle w:val="Hyperlink1"/>
            <w:szCs w:val="18"/>
          </w:rPr>
          <w:t>https://www.wipo.int/edocs/pubdocs/fr/wipo</w:t>
        </w:r>
        <w:r w:rsidR="00213D73" w:rsidRPr="00EA0A6B">
          <w:rPr>
            <w:rStyle w:val="Hyperlink1"/>
            <w:szCs w:val="18"/>
          </w:rPr>
          <w:t>-</w:t>
        </w:r>
        <w:r w:rsidRPr="00EA0A6B">
          <w:rPr>
            <w:rStyle w:val="Hyperlink1"/>
            <w:szCs w:val="18"/>
          </w:rPr>
          <w:t>pub</w:t>
        </w:r>
        <w:r w:rsidR="00213D73" w:rsidRPr="00EA0A6B">
          <w:rPr>
            <w:rStyle w:val="Hyperlink1"/>
            <w:szCs w:val="18"/>
          </w:rPr>
          <w:t>-</w:t>
        </w:r>
        <w:r w:rsidRPr="00EA0A6B">
          <w:rPr>
            <w:rStyle w:val="Hyperlink1"/>
            <w:szCs w:val="18"/>
          </w:rPr>
          <w:t>cr</w:t>
        </w:r>
        <w:r w:rsidR="00213D73" w:rsidRPr="00EA0A6B">
          <w:rPr>
            <w:rStyle w:val="Hyperlink1"/>
            <w:szCs w:val="18"/>
          </w:rPr>
          <w:t>-</w:t>
        </w:r>
        <w:r w:rsidRPr="00EA0A6B">
          <w:rPr>
            <w:rStyle w:val="Hyperlink1"/>
            <w:szCs w:val="18"/>
          </w:rPr>
          <w:t>cmotoolkit</w:t>
        </w:r>
        <w:r w:rsidR="00213D73" w:rsidRPr="00EA0A6B">
          <w:rPr>
            <w:rStyle w:val="Hyperlink1"/>
            <w:szCs w:val="18"/>
          </w:rPr>
          <w:t>-</w:t>
        </w:r>
        <w:r w:rsidRPr="00EA0A6B">
          <w:rPr>
            <w:rStyle w:val="Hyperlink1"/>
            <w:szCs w:val="18"/>
          </w:rPr>
          <w:t>2025</w:t>
        </w:r>
        <w:r w:rsidR="00213D73" w:rsidRPr="00EA0A6B">
          <w:rPr>
            <w:rStyle w:val="Hyperlink1"/>
            <w:szCs w:val="18"/>
          </w:rPr>
          <w:t>-</w:t>
        </w:r>
        <w:r w:rsidRPr="00EA0A6B">
          <w:rPr>
            <w:rStyle w:val="Hyperlink1"/>
            <w:szCs w:val="18"/>
          </w:rPr>
          <w:t>fr</w:t>
        </w:r>
        <w:r w:rsidR="00213D73" w:rsidRPr="00EA0A6B">
          <w:rPr>
            <w:rStyle w:val="Hyperlink1"/>
            <w:szCs w:val="18"/>
          </w:rPr>
          <w:t>-</w:t>
        </w:r>
        <w:r w:rsidRPr="00EA0A6B">
          <w:rPr>
            <w:rStyle w:val="Hyperlink1"/>
            <w:szCs w:val="18"/>
          </w:rPr>
          <w:t>wipo</w:t>
        </w:r>
        <w:r w:rsidR="00213D73" w:rsidRPr="00EA0A6B">
          <w:rPr>
            <w:rStyle w:val="Hyperlink1"/>
            <w:szCs w:val="18"/>
          </w:rPr>
          <w:t>-</w:t>
        </w:r>
        <w:r w:rsidRPr="00EA0A6B">
          <w:rPr>
            <w:rStyle w:val="Hyperlink1"/>
            <w:szCs w:val="18"/>
          </w:rPr>
          <w:t>good</w:t>
        </w:r>
        <w:r w:rsidR="00213D73" w:rsidRPr="00EA0A6B">
          <w:rPr>
            <w:rStyle w:val="Hyperlink1"/>
            <w:szCs w:val="18"/>
          </w:rPr>
          <w:t>-</w:t>
        </w:r>
        <w:r w:rsidRPr="00EA0A6B">
          <w:rPr>
            <w:rStyle w:val="Hyperlink1"/>
            <w:szCs w:val="18"/>
          </w:rPr>
          <w:t>practice</w:t>
        </w:r>
        <w:r w:rsidR="00213D73" w:rsidRPr="00EA0A6B">
          <w:rPr>
            <w:rStyle w:val="Hyperlink1"/>
            <w:szCs w:val="18"/>
          </w:rPr>
          <w:t>-</w:t>
        </w:r>
        <w:r w:rsidRPr="00EA0A6B">
          <w:rPr>
            <w:rStyle w:val="Hyperlink1"/>
            <w:szCs w:val="18"/>
          </w:rPr>
          <w:t>toolkit</w:t>
        </w:r>
        <w:r w:rsidR="00213D73" w:rsidRPr="00EA0A6B">
          <w:rPr>
            <w:rStyle w:val="Hyperlink1"/>
            <w:szCs w:val="18"/>
          </w:rPr>
          <w:t>-</w:t>
        </w:r>
        <w:r w:rsidRPr="00EA0A6B">
          <w:rPr>
            <w:rStyle w:val="Hyperlink1"/>
            <w:szCs w:val="18"/>
          </w:rPr>
          <w:t>for</w:t>
        </w:r>
        <w:r w:rsidR="00213D73" w:rsidRPr="00EA0A6B">
          <w:rPr>
            <w:rStyle w:val="Hyperlink1"/>
            <w:szCs w:val="18"/>
          </w:rPr>
          <w:t>-</w:t>
        </w:r>
        <w:r w:rsidRPr="00EA0A6B">
          <w:rPr>
            <w:rStyle w:val="Hyperlink1"/>
            <w:szCs w:val="18"/>
          </w:rPr>
          <w:t>collective</w:t>
        </w:r>
        <w:r w:rsidR="00213D73" w:rsidRPr="00EA0A6B">
          <w:rPr>
            <w:rStyle w:val="Hyperlink1"/>
            <w:szCs w:val="18"/>
          </w:rPr>
          <w:t>-</w:t>
        </w:r>
        <w:r w:rsidRPr="00EA0A6B">
          <w:rPr>
            <w:rStyle w:val="Hyperlink1"/>
            <w:szCs w:val="18"/>
          </w:rPr>
          <w:t>management</w:t>
        </w:r>
        <w:r w:rsidR="00213D73" w:rsidRPr="00EA0A6B">
          <w:rPr>
            <w:rStyle w:val="Hyperlink1"/>
            <w:szCs w:val="18"/>
          </w:rPr>
          <w:t>-</w:t>
        </w:r>
        <w:r w:rsidRPr="00EA0A6B">
          <w:rPr>
            <w:rStyle w:val="Hyperlink1"/>
            <w:szCs w:val="18"/>
          </w:rPr>
          <w:t>organizations</w:t>
        </w:r>
        <w:r w:rsidR="00213D73" w:rsidRPr="00EA0A6B">
          <w:rPr>
            <w:rStyle w:val="Hyperlink1"/>
            <w:szCs w:val="18"/>
          </w:rPr>
          <w:t>-</w:t>
        </w:r>
        <w:r w:rsidRPr="00EA0A6B">
          <w:rPr>
            <w:rStyle w:val="Hyperlink1"/>
            <w:szCs w:val="18"/>
          </w:rPr>
          <w:t>the</w:t>
        </w:r>
        <w:r w:rsidR="00213D73" w:rsidRPr="00EA0A6B">
          <w:rPr>
            <w:rStyle w:val="Hyperlink1"/>
            <w:szCs w:val="18"/>
          </w:rPr>
          <w:t>-</w:t>
        </w:r>
        <w:r w:rsidRPr="00EA0A6B">
          <w:rPr>
            <w:rStyle w:val="Hyperlink1"/>
            <w:szCs w:val="18"/>
          </w:rPr>
          <w:t>toolkit.pdf</w:t>
        </w:r>
      </w:hyperlink>
      <w:r w:rsidRPr="00EA0A6B">
        <w:rPr>
          <w:szCs w:val="18"/>
        </w:rPr>
        <w:t>.</w:t>
      </w:r>
    </w:p>
  </w:endnote>
  <w:endnote w:id="18">
    <w:p w14:paraId="72B632E4" w14:textId="32997944"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Wale Adedeji, “</w:t>
      </w:r>
      <w:r w:rsidRPr="00EA0A6B">
        <w:rPr>
          <w:i/>
          <w:szCs w:val="18"/>
        </w:rPr>
        <w:t>Copyright Policy and the Nigerian Music Industry in the Era of Digitalisation”, Journal of Legal Anthropology</w:t>
      </w:r>
      <w:r w:rsidRPr="00EA0A6B">
        <w:rPr>
          <w:szCs w:val="18"/>
        </w:rPr>
        <w:t xml:space="preserve"> 7, n°</w:t>
      </w:r>
      <w:r w:rsidR="0080246A" w:rsidRPr="00EA0A6B">
        <w:rPr>
          <w:szCs w:val="18"/>
        </w:rPr>
        <w:t> </w:t>
      </w:r>
      <w:r w:rsidRPr="00EA0A6B">
        <w:rPr>
          <w:szCs w:val="18"/>
        </w:rPr>
        <w:t>2 (1</w:t>
      </w:r>
      <w:r w:rsidRPr="00EA0A6B">
        <w:rPr>
          <w:szCs w:val="18"/>
          <w:vertAlign w:val="superscript"/>
        </w:rPr>
        <w:t>er</w:t>
      </w:r>
      <w:r w:rsidR="007A1AE9" w:rsidRPr="00EA0A6B">
        <w:rPr>
          <w:szCs w:val="18"/>
        </w:rPr>
        <w:t> </w:t>
      </w:r>
      <w:r w:rsidRPr="00EA0A6B">
        <w:rPr>
          <w:szCs w:val="18"/>
        </w:rPr>
        <w:t>décembre 2023)</w:t>
      </w:r>
      <w:r w:rsidR="00213D73" w:rsidRPr="00EA0A6B">
        <w:rPr>
          <w:szCs w:val="18"/>
        </w:rPr>
        <w:t> :</w:t>
      </w:r>
      <w:r w:rsidRPr="00EA0A6B">
        <w:rPr>
          <w:szCs w:val="18"/>
        </w:rPr>
        <w:t xml:space="preserve"> </w:t>
      </w:r>
      <w:r w:rsidR="00213D73" w:rsidRPr="00EA0A6B">
        <w:rPr>
          <w:szCs w:val="18"/>
        </w:rPr>
        <w:t>pages 1</w:t>
      </w:r>
      <w:r w:rsidRPr="00EA0A6B">
        <w:rPr>
          <w:szCs w:val="18"/>
        </w:rPr>
        <w:t>3</w:t>
      </w:r>
      <w:r w:rsidR="00213D73" w:rsidRPr="00EA0A6B">
        <w:rPr>
          <w:szCs w:val="18"/>
        </w:rPr>
        <w:t>-</w:t>
      </w:r>
      <w:r w:rsidRPr="00EA0A6B">
        <w:rPr>
          <w:szCs w:val="18"/>
        </w:rPr>
        <w:t xml:space="preserve">41, </w:t>
      </w:r>
      <w:hyperlink r:id="rId15" w:history="1">
        <w:r w:rsidRPr="00EA0A6B">
          <w:rPr>
            <w:rStyle w:val="Hyperlink1"/>
            <w:szCs w:val="18"/>
          </w:rPr>
          <w:t>https://doi.org/10.3167/jla.2023.070202</w:t>
        </w:r>
      </w:hyperlink>
      <w:r w:rsidRPr="00EA0A6B">
        <w:rPr>
          <w:szCs w:val="18"/>
        </w:rPr>
        <w:t>.</w:t>
      </w:r>
    </w:p>
  </w:endnote>
  <w:endnote w:id="19">
    <w:p w14:paraId="52CB5854" w14:textId="44CDEB76"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Peter Drahos, “</w:t>
      </w:r>
      <w:r w:rsidRPr="00EA0A6B">
        <w:rPr>
          <w:i/>
          <w:szCs w:val="18"/>
        </w:rPr>
        <w:t>GLOBAL PROPERTY RIGHTS IN INFORMATION: The Story of TRIPS at the GATT”, Prometheus</w:t>
      </w:r>
      <w:r w:rsidRPr="00EA0A6B">
        <w:rPr>
          <w:szCs w:val="18"/>
        </w:rPr>
        <w:t xml:space="preserve"> 13, n°</w:t>
      </w:r>
      <w:r w:rsidR="0080246A" w:rsidRPr="00EA0A6B">
        <w:rPr>
          <w:szCs w:val="18"/>
        </w:rPr>
        <w:t> </w:t>
      </w:r>
      <w:r w:rsidRPr="00EA0A6B">
        <w:rPr>
          <w:szCs w:val="18"/>
        </w:rPr>
        <w:t>1 (1</w:t>
      </w:r>
      <w:r w:rsidRPr="00EA0A6B">
        <w:rPr>
          <w:szCs w:val="18"/>
          <w:vertAlign w:val="superscript"/>
        </w:rPr>
        <w:t>er</w:t>
      </w:r>
      <w:r w:rsidR="007A1AE9" w:rsidRPr="00EA0A6B">
        <w:rPr>
          <w:szCs w:val="18"/>
        </w:rPr>
        <w:t> </w:t>
      </w:r>
      <w:r w:rsidRPr="00EA0A6B">
        <w:rPr>
          <w:szCs w:val="18"/>
        </w:rPr>
        <w:t xml:space="preserve">juin 1995), </w:t>
      </w:r>
      <w:hyperlink r:id="rId16" w:history="1">
        <w:r w:rsidRPr="00EA0A6B">
          <w:rPr>
            <w:rStyle w:val="Hyperlink1"/>
            <w:szCs w:val="18"/>
          </w:rPr>
          <w:t>https://doi.org/10.1080/08109029508629187</w:t>
        </w:r>
      </w:hyperlink>
      <w:r w:rsidRPr="00EA0A6B">
        <w:rPr>
          <w:szCs w:val="18"/>
        </w:rPr>
        <w:t>.</w:t>
      </w:r>
    </w:p>
  </w:endnote>
  <w:endnote w:id="20">
    <w:p w14:paraId="5E085FF6" w14:textId="2ACEEBD4" w:rsidR="00AC4817" w:rsidRPr="00EA0A6B" w:rsidRDefault="00AC4817" w:rsidP="00EA0A6B">
      <w:pPr>
        <w:pStyle w:val="EndnoteText"/>
        <w:tabs>
          <w:tab w:val="left" w:pos="567"/>
        </w:tabs>
        <w:jc w:val="both"/>
        <w:rPr>
          <w:i/>
          <w:iCs/>
          <w:szCs w:val="18"/>
        </w:rPr>
      </w:pPr>
      <w:r w:rsidRPr="00EA0A6B">
        <w:rPr>
          <w:rStyle w:val="EndnoteReference"/>
          <w:szCs w:val="18"/>
        </w:rPr>
        <w:endnoteRef/>
      </w:r>
      <w:r w:rsidRPr="00EA0A6B">
        <w:rPr>
          <w:szCs w:val="18"/>
        </w:rPr>
        <w:t xml:space="preserve"> </w:t>
      </w:r>
      <w:r w:rsidR="00EA0A6B">
        <w:rPr>
          <w:szCs w:val="18"/>
        </w:rPr>
        <w:tab/>
      </w:r>
      <w:r w:rsidRPr="00EA0A6B">
        <w:rPr>
          <w:szCs w:val="18"/>
        </w:rPr>
        <w:t>Adedeji, “</w:t>
      </w:r>
      <w:r w:rsidRPr="00EA0A6B">
        <w:rPr>
          <w:i/>
          <w:szCs w:val="18"/>
        </w:rPr>
        <w:t>Copyright Policy and the Nigerian Music Industry in the Era of Digitalisation”.</w:t>
      </w:r>
    </w:p>
  </w:endnote>
  <w:endnote w:id="21">
    <w:p w14:paraId="02564B38" w14:textId="5F39F550"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Shantel Teixeira, “Digitization and Globalization: Where Is the African Music Industry?” (Boston</w:t>
      </w:r>
      <w:r w:rsidR="00213D73" w:rsidRPr="00EA0A6B">
        <w:rPr>
          <w:szCs w:val="18"/>
        </w:rPr>
        <w:t> :</w:t>
      </w:r>
      <w:r w:rsidRPr="00EA0A6B">
        <w:rPr>
          <w:szCs w:val="18"/>
        </w:rPr>
        <w:t xml:space="preserve"> Music Business Journal</w:t>
      </w:r>
      <w:r w:rsidR="00213D73" w:rsidRPr="00EA0A6B">
        <w:rPr>
          <w:szCs w:val="18"/>
        </w:rPr>
        <w:t xml:space="preserve"> – </w:t>
      </w:r>
      <w:r w:rsidRPr="00EA0A6B">
        <w:rPr>
          <w:szCs w:val="18"/>
        </w:rPr>
        <w:t xml:space="preserve">Berklee College of Music, 2023), </w:t>
      </w:r>
      <w:hyperlink r:id="rId17" w:history="1">
        <w:r w:rsidRPr="00EA0A6B">
          <w:rPr>
            <w:rStyle w:val="Hyperlink1"/>
            <w:szCs w:val="18"/>
          </w:rPr>
          <w:t>https://www.thembj.org/2023/06/digitization</w:t>
        </w:r>
        <w:r w:rsidR="00213D73" w:rsidRPr="00EA0A6B">
          <w:rPr>
            <w:rStyle w:val="Hyperlink1"/>
            <w:szCs w:val="18"/>
          </w:rPr>
          <w:t>-</w:t>
        </w:r>
        <w:r w:rsidRPr="00EA0A6B">
          <w:rPr>
            <w:rStyle w:val="Hyperlink1"/>
            <w:szCs w:val="18"/>
          </w:rPr>
          <w:t>and</w:t>
        </w:r>
        <w:r w:rsidR="00213D73" w:rsidRPr="00EA0A6B">
          <w:rPr>
            <w:rStyle w:val="Hyperlink1"/>
            <w:szCs w:val="18"/>
          </w:rPr>
          <w:t>-</w:t>
        </w:r>
        <w:r w:rsidRPr="00EA0A6B">
          <w:rPr>
            <w:rStyle w:val="Hyperlink1"/>
            <w:szCs w:val="18"/>
          </w:rPr>
          <w:t>globalization</w:t>
        </w:r>
        <w:r w:rsidR="00213D73" w:rsidRPr="00EA0A6B">
          <w:rPr>
            <w:rStyle w:val="Hyperlink1"/>
            <w:szCs w:val="18"/>
          </w:rPr>
          <w:t>-</w:t>
        </w:r>
        <w:r w:rsidRPr="00EA0A6B">
          <w:rPr>
            <w:rStyle w:val="Hyperlink1"/>
            <w:szCs w:val="18"/>
          </w:rPr>
          <w:t>where</w:t>
        </w:r>
        <w:r w:rsidR="00213D73" w:rsidRPr="00EA0A6B">
          <w:rPr>
            <w:rStyle w:val="Hyperlink1"/>
            <w:szCs w:val="18"/>
          </w:rPr>
          <w:t>-</w:t>
        </w:r>
        <w:r w:rsidRPr="00EA0A6B">
          <w:rPr>
            <w:rStyle w:val="Hyperlink1"/>
            <w:szCs w:val="18"/>
          </w:rPr>
          <w:t>is</w:t>
        </w:r>
        <w:r w:rsidR="00213D73" w:rsidRPr="00EA0A6B">
          <w:rPr>
            <w:rStyle w:val="Hyperlink1"/>
            <w:szCs w:val="18"/>
          </w:rPr>
          <w:t>-</w:t>
        </w:r>
        <w:r w:rsidRPr="00EA0A6B">
          <w:rPr>
            <w:rStyle w:val="Hyperlink1"/>
            <w:szCs w:val="18"/>
          </w:rPr>
          <w:t>the</w:t>
        </w:r>
        <w:r w:rsidR="00213D73" w:rsidRPr="00EA0A6B">
          <w:rPr>
            <w:rStyle w:val="Hyperlink1"/>
            <w:szCs w:val="18"/>
          </w:rPr>
          <w:t>-</w:t>
        </w:r>
        <w:r w:rsidRPr="00EA0A6B">
          <w:rPr>
            <w:rStyle w:val="Hyperlink1"/>
            <w:szCs w:val="18"/>
          </w:rPr>
          <w:t xml:space="preserve"> african</w:t>
        </w:r>
        <w:r w:rsidR="00213D73" w:rsidRPr="00EA0A6B">
          <w:rPr>
            <w:rStyle w:val="Hyperlink1"/>
            <w:szCs w:val="18"/>
          </w:rPr>
          <w:t>-</w:t>
        </w:r>
        <w:r w:rsidRPr="00EA0A6B">
          <w:rPr>
            <w:rStyle w:val="Hyperlink1"/>
            <w:szCs w:val="18"/>
          </w:rPr>
          <w:t>music</w:t>
        </w:r>
        <w:r w:rsidR="00213D73" w:rsidRPr="00EA0A6B">
          <w:rPr>
            <w:rStyle w:val="Hyperlink1"/>
            <w:szCs w:val="18"/>
          </w:rPr>
          <w:t>-</w:t>
        </w:r>
        <w:r w:rsidRPr="00EA0A6B">
          <w:rPr>
            <w:rStyle w:val="Hyperlink1"/>
            <w:szCs w:val="18"/>
          </w:rPr>
          <w:t>industry/</w:t>
        </w:r>
      </w:hyperlink>
      <w:r w:rsidRPr="00EA0A6B">
        <w:rPr>
          <w:szCs w:val="18"/>
        </w:rPr>
        <w:t>.</w:t>
      </w:r>
    </w:p>
  </w:endnote>
  <w:endnote w:id="22">
    <w:p w14:paraId="43905792" w14:textId="4D84DAF9"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Voir Teixeira.</w:t>
      </w:r>
    </w:p>
  </w:endnote>
  <w:endnote w:id="23">
    <w:p w14:paraId="137C46AC" w14:textId="7CD16549"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Dinusha Mendis, “</w:t>
      </w:r>
      <w:r w:rsidRPr="00EA0A6B">
        <w:rPr>
          <w:i/>
          <w:szCs w:val="18"/>
        </w:rPr>
        <w:t>An Analysis of Directive 2014 / 26 / EU on Collective Management of Copyright and Related Rights and Multi</w:t>
      </w:r>
      <w:r w:rsidR="00213D73" w:rsidRPr="00EA0A6B">
        <w:rPr>
          <w:i/>
          <w:szCs w:val="18"/>
        </w:rPr>
        <w:t>-</w:t>
      </w:r>
      <w:r w:rsidRPr="00EA0A6B">
        <w:rPr>
          <w:i/>
          <w:szCs w:val="18"/>
        </w:rPr>
        <w:t>Territorial Licensing of Rights in Musical Works for Online Use in the Internal Market”, dans Eu Regulation of E</w:t>
      </w:r>
      <w:r w:rsidR="00213D73" w:rsidRPr="00EA0A6B">
        <w:rPr>
          <w:i/>
          <w:szCs w:val="18"/>
        </w:rPr>
        <w:t>-</w:t>
      </w:r>
      <w:r w:rsidRPr="00EA0A6B">
        <w:rPr>
          <w:i/>
          <w:szCs w:val="18"/>
        </w:rPr>
        <w:t>Commerce: A Commentary,</w:t>
      </w:r>
      <w:r w:rsidRPr="00EA0A6B">
        <w:rPr>
          <w:szCs w:val="18"/>
        </w:rPr>
        <w:t xml:space="preserve"> ed. Arno R.</w:t>
      </w:r>
      <w:r w:rsidR="0080246A" w:rsidRPr="00EA0A6B">
        <w:rPr>
          <w:szCs w:val="18"/>
        </w:rPr>
        <w:t> </w:t>
      </w:r>
      <w:r w:rsidRPr="00EA0A6B">
        <w:rPr>
          <w:szCs w:val="18"/>
        </w:rPr>
        <w:t>Lodder et Andrew D.</w:t>
      </w:r>
      <w:r w:rsidR="0080246A" w:rsidRPr="00EA0A6B">
        <w:rPr>
          <w:szCs w:val="18"/>
        </w:rPr>
        <w:t> </w:t>
      </w:r>
      <w:r w:rsidRPr="00EA0A6B">
        <w:rPr>
          <w:szCs w:val="18"/>
        </w:rPr>
        <w:t>Murray (Cheltenham</w:t>
      </w:r>
      <w:r w:rsidR="00213D73" w:rsidRPr="00EA0A6B">
        <w:rPr>
          <w:szCs w:val="18"/>
        </w:rPr>
        <w:t> :</w:t>
      </w:r>
      <w:r w:rsidRPr="00EA0A6B">
        <w:rPr>
          <w:szCs w:val="18"/>
        </w:rPr>
        <w:t xml:space="preserve"> Edward Elgar Publishing, 2017), </w:t>
      </w:r>
      <w:r w:rsidR="00213D73" w:rsidRPr="00EA0A6B">
        <w:rPr>
          <w:szCs w:val="18"/>
        </w:rPr>
        <w:t>pages 3</w:t>
      </w:r>
      <w:r w:rsidRPr="00EA0A6B">
        <w:rPr>
          <w:szCs w:val="18"/>
        </w:rPr>
        <w:t>06</w:t>
      </w:r>
      <w:r w:rsidR="00213D73" w:rsidRPr="00EA0A6B">
        <w:rPr>
          <w:szCs w:val="18"/>
        </w:rPr>
        <w:t>-</w:t>
      </w:r>
      <w:r w:rsidRPr="00EA0A6B">
        <w:rPr>
          <w:szCs w:val="18"/>
        </w:rPr>
        <w:t xml:space="preserve">7, </w:t>
      </w:r>
      <w:hyperlink r:id="rId18" w:history="1">
        <w:r w:rsidRPr="00EA0A6B">
          <w:rPr>
            <w:rStyle w:val="Hyperlink1"/>
            <w:szCs w:val="18"/>
          </w:rPr>
          <w:t>https://doi.org/10.4337/9781785369346.00018</w:t>
        </w:r>
      </w:hyperlink>
      <w:r w:rsidRPr="00EA0A6B">
        <w:rPr>
          <w:szCs w:val="18"/>
        </w:rPr>
        <w:t>.</w:t>
      </w:r>
    </w:p>
  </w:endnote>
  <w:endnote w:id="24">
    <w:p w14:paraId="21AFFBAB" w14:textId="082791C4"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i/>
          <w:szCs w:val="18"/>
        </w:rPr>
        <w:t>Keitseng Nkah Monyatsi, “Survey on the Status of Collective Management Organizations in ARIPO Member States”,</w:t>
      </w:r>
      <w:r w:rsidRPr="00EA0A6B">
        <w:rPr>
          <w:szCs w:val="18"/>
        </w:rPr>
        <w:t xml:space="preserve"> 2014.</w:t>
      </w:r>
    </w:p>
  </w:endnote>
  <w:endnote w:id="25">
    <w:p w14:paraId="77569806" w14:textId="710FC393"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Joseph Wangui, </w:t>
      </w:r>
      <w:r w:rsidRPr="00EA0A6B">
        <w:rPr>
          <w:i/>
          <w:szCs w:val="18"/>
        </w:rPr>
        <w:t>“Copyright Board Deregisters 3 Royalty Collection Groups”, Daily Nation</w:t>
      </w:r>
      <w:r w:rsidRPr="00EA0A6B">
        <w:rPr>
          <w:szCs w:val="18"/>
        </w:rPr>
        <w:t xml:space="preserve">, 2021, </w:t>
      </w:r>
      <w:hyperlink r:id="rId19" w:history="1">
        <w:r w:rsidRPr="00EA0A6B">
          <w:rPr>
            <w:rStyle w:val="Hyperlink1"/>
            <w:szCs w:val="18"/>
          </w:rPr>
          <w:t>https://nation.africa/kenya/business/kecobo</w:t>
        </w:r>
        <w:r w:rsidR="00213D73" w:rsidRPr="00EA0A6B">
          <w:rPr>
            <w:rStyle w:val="Hyperlink1"/>
            <w:szCs w:val="18"/>
          </w:rPr>
          <w:t>-</w:t>
        </w:r>
        <w:r w:rsidRPr="00EA0A6B">
          <w:rPr>
            <w:rStyle w:val="Hyperlink1"/>
            <w:szCs w:val="18"/>
          </w:rPr>
          <w:t>deregisters</w:t>
        </w:r>
        <w:r w:rsidR="00213D73" w:rsidRPr="00EA0A6B">
          <w:rPr>
            <w:rStyle w:val="Hyperlink1"/>
            <w:szCs w:val="18"/>
          </w:rPr>
          <w:t>-</w:t>
        </w:r>
        <w:r w:rsidRPr="00EA0A6B">
          <w:rPr>
            <w:rStyle w:val="Hyperlink1"/>
            <w:szCs w:val="18"/>
          </w:rPr>
          <w:t>3</w:t>
        </w:r>
        <w:r w:rsidR="00213D73" w:rsidRPr="00EA0A6B">
          <w:rPr>
            <w:rStyle w:val="Hyperlink1"/>
            <w:szCs w:val="18"/>
          </w:rPr>
          <w:t>-</w:t>
        </w:r>
        <w:r w:rsidRPr="00EA0A6B">
          <w:rPr>
            <w:rStyle w:val="Hyperlink1"/>
            <w:szCs w:val="18"/>
          </w:rPr>
          <w:t>royalty</w:t>
        </w:r>
        <w:r w:rsidR="00213D73" w:rsidRPr="00EA0A6B">
          <w:rPr>
            <w:rStyle w:val="Hyperlink1"/>
            <w:szCs w:val="18"/>
          </w:rPr>
          <w:t>-</w:t>
        </w:r>
        <w:r w:rsidRPr="00EA0A6B">
          <w:rPr>
            <w:rStyle w:val="Hyperlink1"/>
            <w:szCs w:val="18"/>
          </w:rPr>
          <w:t>collection</w:t>
        </w:r>
        <w:r w:rsidR="00213D73" w:rsidRPr="00EA0A6B">
          <w:rPr>
            <w:rStyle w:val="Hyperlink1"/>
            <w:szCs w:val="18"/>
          </w:rPr>
          <w:t>-</w:t>
        </w:r>
        <w:r w:rsidRPr="00EA0A6B">
          <w:rPr>
            <w:rStyle w:val="Hyperlink1"/>
            <w:szCs w:val="18"/>
          </w:rPr>
          <w:t>groups</w:t>
        </w:r>
        <w:r w:rsidR="00213D73" w:rsidRPr="00EA0A6B">
          <w:rPr>
            <w:rStyle w:val="Hyperlink1"/>
            <w:szCs w:val="18"/>
          </w:rPr>
          <w:t>-</w:t>
        </w:r>
        <w:r w:rsidRPr="00EA0A6B">
          <w:rPr>
            <w:rStyle w:val="Hyperlink1"/>
            <w:szCs w:val="18"/>
          </w:rPr>
          <w:t>3523056?utm_source.com</w:t>
        </w:r>
      </w:hyperlink>
      <w:r w:rsidRPr="00EA0A6B">
        <w:rPr>
          <w:szCs w:val="18"/>
        </w:rPr>
        <w:t>.</w:t>
      </w:r>
    </w:p>
  </w:endnote>
  <w:endnote w:id="26">
    <w:p w14:paraId="50131444" w14:textId="04CEC129"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ARIPO, “</w:t>
      </w:r>
      <w:r w:rsidRPr="00EA0A6B">
        <w:rPr>
          <w:i/>
          <w:szCs w:val="18"/>
        </w:rPr>
        <w:t>Rapport d</w:t>
      </w:r>
      <w:r w:rsidR="00213D73" w:rsidRPr="00EA0A6B">
        <w:rPr>
          <w:i/>
          <w:szCs w:val="18"/>
        </w:rPr>
        <w:t>’</w:t>
      </w:r>
      <w:r w:rsidRPr="00EA0A6B">
        <w:rPr>
          <w:i/>
          <w:szCs w:val="18"/>
        </w:rPr>
        <w:t>enquête en ligne de l</w:t>
      </w:r>
      <w:r w:rsidR="00213D73" w:rsidRPr="00EA0A6B">
        <w:rPr>
          <w:i/>
          <w:szCs w:val="18"/>
        </w:rPr>
        <w:t>’</w:t>
      </w:r>
      <w:r w:rsidRPr="00EA0A6B">
        <w:rPr>
          <w:i/>
          <w:szCs w:val="18"/>
        </w:rPr>
        <w:t>ARIPO sur les organisations de gestion collective”.</w:t>
      </w:r>
    </w:p>
  </w:endnote>
  <w:endnote w:id="27">
    <w:p w14:paraId="06FD58BC" w14:textId="0AD504F5"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Agnese Krivade, “</w:t>
      </w:r>
      <w:r w:rsidRPr="00EA0A6B">
        <w:rPr>
          <w:i/>
          <w:szCs w:val="18"/>
        </w:rPr>
        <w:t>Diffusion de musique en continu</w:t>
      </w:r>
      <w:r w:rsidR="00213D73" w:rsidRPr="00EA0A6B">
        <w:rPr>
          <w:i/>
          <w:szCs w:val="18"/>
        </w:rPr>
        <w:t> :</w:t>
      </w:r>
      <w:r w:rsidRPr="00EA0A6B">
        <w:rPr>
          <w:i/>
          <w:szCs w:val="18"/>
        </w:rPr>
        <w:t xml:space="preserve"> l</w:t>
      </w:r>
      <w:r w:rsidR="00213D73" w:rsidRPr="00EA0A6B">
        <w:rPr>
          <w:i/>
          <w:szCs w:val="18"/>
        </w:rPr>
        <w:t>’</w:t>
      </w:r>
      <w:r w:rsidRPr="00EA0A6B">
        <w:rPr>
          <w:i/>
          <w:szCs w:val="18"/>
        </w:rPr>
        <w:t>UE doit garantir un salaire juste pour les artistes et des algorithmes équitables”,</w:t>
      </w:r>
      <w:r w:rsidRPr="00EA0A6B">
        <w:rPr>
          <w:szCs w:val="18"/>
        </w:rPr>
        <w:t xml:space="preserve"> Parlement européen, 2024, </w:t>
      </w:r>
      <w:hyperlink r:id="rId20" w:history="1">
        <w:r w:rsidRPr="00EA0A6B">
          <w:rPr>
            <w:rStyle w:val="Hyperlink1"/>
            <w:szCs w:val="18"/>
          </w:rPr>
          <w:t>https://www.europarl.europa.eu/news/fr/press</w:t>
        </w:r>
        <w:r w:rsidR="00213D73" w:rsidRPr="00EA0A6B">
          <w:rPr>
            <w:rStyle w:val="Hyperlink1"/>
            <w:szCs w:val="18"/>
          </w:rPr>
          <w:t>-</w:t>
        </w:r>
        <w:r w:rsidRPr="00EA0A6B">
          <w:rPr>
            <w:rStyle w:val="Hyperlink1"/>
            <w:szCs w:val="18"/>
          </w:rPr>
          <w:t>room/20240112IPR16773/diffusion</w:t>
        </w:r>
        <w:r w:rsidR="00213D73" w:rsidRPr="00EA0A6B">
          <w:rPr>
            <w:rStyle w:val="Hyperlink1"/>
            <w:szCs w:val="18"/>
          </w:rPr>
          <w:t>-</w:t>
        </w:r>
        <w:r w:rsidRPr="00EA0A6B">
          <w:rPr>
            <w:rStyle w:val="Hyperlink1"/>
            <w:szCs w:val="18"/>
          </w:rPr>
          <w:t>de</w:t>
        </w:r>
        <w:r w:rsidR="00213D73" w:rsidRPr="00EA0A6B">
          <w:rPr>
            <w:rStyle w:val="Hyperlink1"/>
            <w:szCs w:val="18"/>
          </w:rPr>
          <w:t>-</w:t>
        </w:r>
        <w:r w:rsidRPr="00EA0A6B">
          <w:rPr>
            <w:rStyle w:val="Hyperlink1"/>
            <w:szCs w:val="18"/>
          </w:rPr>
          <w:t>musique</w:t>
        </w:r>
        <w:r w:rsidR="00213D73" w:rsidRPr="00EA0A6B">
          <w:rPr>
            <w:rStyle w:val="Hyperlink1"/>
            <w:szCs w:val="18"/>
          </w:rPr>
          <w:t>-</w:t>
        </w:r>
        <w:r w:rsidRPr="00EA0A6B">
          <w:rPr>
            <w:rStyle w:val="Hyperlink1"/>
            <w:szCs w:val="18"/>
          </w:rPr>
          <w:t>garantir</w:t>
        </w:r>
        <w:r w:rsidR="00213D73" w:rsidRPr="00EA0A6B">
          <w:rPr>
            <w:rStyle w:val="Hyperlink1"/>
            <w:szCs w:val="18"/>
          </w:rPr>
          <w:t>-</w:t>
        </w:r>
        <w:r w:rsidRPr="00EA0A6B">
          <w:rPr>
            <w:rStyle w:val="Hyperlink1"/>
            <w:szCs w:val="18"/>
          </w:rPr>
          <w:t>un</w:t>
        </w:r>
        <w:r w:rsidR="00213D73" w:rsidRPr="00EA0A6B">
          <w:rPr>
            <w:rStyle w:val="Hyperlink1"/>
            <w:szCs w:val="18"/>
          </w:rPr>
          <w:t>-</w:t>
        </w:r>
        <w:r w:rsidRPr="00EA0A6B">
          <w:rPr>
            <w:rStyle w:val="Hyperlink1"/>
            <w:szCs w:val="18"/>
          </w:rPr>
          <w:t>salaire</w:t>
        </w:r>
        <w:r w:rsidR="00213D73" w:rsidRPr="00EA0A6B">
          <w:rPr>
            <w:rStyle w:val="Hyperlink1"/>
            <w:szCs w:val="18"/>
          </w:rPr>
          <w:t>-</w:t>
        </w:r>
        <w:r w:rsidRPr="00EA0A6B">
          <w:rPr>
            <w:rStyle w:val="Hyperlink1"/>
            <w:szCs w:val="18"/>
          </w:rPr>
          <w:t>et</w:t>
        </w:r>
        <w:r w:rsidR="00213D73" w:rsidRPr="00EA0A6B">
          <w:rPr>
            <w:rStyle w:val="Hyperlink1"/>
            <w:szCs w:val="18"/>
          </w:rPr>
          <w:t>-</w:t>
        </w:r>
        <w:r w:rsidRPr="00EA0A6B">
          <w:rPr>
            <w:rStyle w:val="Hyperlink1"/>
            <w:szCs w:val="18"/>
          </w:rPr>
          <w:t>des</w:t>
        </w:r>
        <w:r w:rsidR="00213D73" w:rsidRPr="00EA0A6B">
          <w:rPr>
            <w:rStyle w:val="Hyperlink1"/>
            <w:szCs w:val="18"/>
          </w:rPr>
          <w:t>-</w:t>
        </w:r>
        <w:r w:rsidRPr="00EA0A6B">
          <w:rPr>
            <w:rStyle w:val="Hyperlink1"/>
            <w:szCs w:val="18"/>
          </w:rPr>
          <w:t>algorithmes</w:t>
        </w:r>
        <w:r w:rsidR="00213D73" w:rsidRPr="00EA0A6B">
          <w:rPr>
            <w:rStyle w:val="Hyperlink1"/>
            <w:szCs w:val="18"/>
          </w:rPr>
          <w:t>-</w:t>
        </w:r>
        <w:r w:rsidRPr="00EA0A6B">
          <w:rPr>
            <w:rStyle w:val="Hyperlink1"/>
            <w:szCs w:val="18"/>
          </w:rPr>
          <w:t>equitables</w:t>
        </w:r>
      </w:hyperlink>
      <w:r w:rsidRPr="00EA0A6B">
        <w:rPr>
          <w:szCs w:val="18"/>
        </w:rPr>
        <w:t>.</w:t>
      </w:r>
    </w:p>
  </w:endnote>
  <w:endnote w:id="28">
    <w:p w14:paraId="4041EA94" w14:textId="292BF449" w:rsidR="00AC4817" w:rsidRPr="00EA0A6B" w:rsidRDefault="00AC4817" w:rsidP="00EA0A6B">
      <w:pPr>
        <w:tabs>
          <w:tab w:val="left" w:pos="567"/>
        </w:tabs>
        <w:jc w:val="both"/>
        <w:rPr>
          <w:sz w:val="18"/>
          <w:szCs w:val="18"/>
        </w:rPr>
      </w:pPr>
      <w:r w:rsidRPr="00EA0A6B">
        <w:rPr>
          <w:rStyle w:val="EndnoteReference"/>
          <w:sz w:val="18"/>
          <w:szCs w:val="18"/>
        </w:rPr>
        <w:endnoteRef/>
      </w:r>
      <w:r w:rsidRPr="00EA0A6B">
        <w:rPr>
          <w:sz w:val="18"/>
          <w:szCs w:val="18"/>
        </w:rPr>
        <w:t xml:space="preserve"> </w:t>
      </w:r>
      <w:r w:rsidR="00EA0A6B">
        <w:rPr>
          <w:sz w:val="18"/>
          <w:szCs w:val="18"/>
        </w:rPr>
        <w:tab/>
      </w:r>
      <w:r w:rsidRPr="00EA0A6B">
        <w:rPr>
          <w:sz w:val="18"/>
          <w:szCs w:val="18"/>
        </w:rPr>
        <w:t>ARIPO, “</w:t>
      </w:r>
      <w:r w:rsidRPr="00EA0A6B">
        <w:rPr>
          <w:i/>
          <w:sz w:val="18"/>
          <w:szCs w:val="18"/>
        </w:rPr>
        <w:t>Rapport d</w:t>
      </w:r>
      <w:r w:rsidR="00213D73" w:rsidRPr="00EA0A6B">
        <w:rPr>
          <w:i/>
          <w:sz w:val="18"/>
          <w:szCs w:val="18"/>
        </w:rPr>
        <w:t>’</w:t>
      </w:r>
      <w:r w:rsidRPr="00EA0A6B">
        <w:rPr>
          <w:i/>
          <w:sz w:val="18"/>
          <w:szCs w:val="18"/>
        </w:rPr>
        <w:t>enquête en ligne de l</w:t>
      </w:r>
      <w:r w:rsidR="00213D73" w:rsidRPr="00EA0A6B">
        <w:rPr>
          <w:i/>
          <w:sz w:val="18"/>
          <w:szCs w:val="18"/>
        </w:rPr>
        <w:t>’</w:t>
      </w:r>
      <w:r w:rsidRPr="00EA0A6B">
        <w:rPr>
          <w:i/>
          <w:sz w:val="18"/>
          <w:szCs w:val="18"/>
        </w:rPr>
        <w:t>ARIPO sur les organisations de gestion collective”.</w:t>
      </w:r>
    </w:p>
  </w:endnote>
  <w:endnote w:id="29">
    <w:p w14:paraId="3BD11824" w14:textId="164760B9"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Martin Kretschmer, “</w:t>
      </w:r>
      <w:r w:rsidRPr="00EA0A6B">
        <w:rPr>
          <w:i/>
          <w:szCs w:val="18"/>
        </w:rPr>
        <w:t>Copyright and Contract Law: Regulating User Contracts: The State of the Art and a Research Agenda”, Journal of Intellectual Property Law 18</w:t>
      </w:r>
      <w:r w:rsidRPr="00EA0A6B">
        <w:rPr>
          <w:szCs w:val="18"/>
        </w:rPr>
        <w:t>, n°</w:t>
      </w:r>
      <w:r w:rsidR="0080246A" w:rsidRPr="00EA0A6B">
        <w:rPr>
          <w:szCs w:val="18"/>
        </w:rPr>
        <w:t> </w:t>
      </w:r>
      <w:r w:rsidRPr="00EA0A6B">
        <w:rPr>
          <w:szCs w:val="18"/>
        </w:rPr>
        <w:t>1 (2010)</w:t>
      </w:r>
      <w:r w:rsidR="00213D73" w:rsidRPr="00EA0A6B">
        <w:rPr>
          <w:szCs w:val="18"/>
        </w:rPr>
        <w:t> :</w:t>
      </w:r>
      <w:r w:rsidRPr="00EA0A6B">
        <w:rPr>
          <w:szCs w:val="18"/>
        </w:rPr>
        <w:t xml:space="preserve"> page 144, </w:t>
      </w:r>
      <w:hyperlink r:id="rId21" w:history="1">
        <w:r w:rsidRPr="00EA0A6B">
          <w:rPr>
            <w:rStyle w:val="Hyperlink1"/>
            <w:szCs w:val="18"/>
          </w:rPr>
          <w:t>https://digitalcommons.law.uga.edu/jipl/vol18/iss1/5/</w:t>
        </w:r>
      </w:hyperlink>
      <w:r w:rsidRPr="00EA0A6B">
        <w:rPr>
          <w:szCs w:val="18"/>
        </w:rPr>
        <w:t>.</w:t>
      </w:r>
    </w:p>
  </w:endnote>
  <w:endnote w:id="30">
    <w:p w14:paraId="5F97F7E4" w14:textId="4B5668A1"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Déclaration des participants à la réunion de réflexion sur la collecte de données pour l</w:t>
      </w:r>
      <w:r w:rsidR="00213D73" w:rsidRPr="00EA0A6B">
        <w:rPr>
          <w:szCs w:val="18"/>
        </w:rPr>
        <w:t>’</w:t>
      </w:r>
      <w:r w:rsidRPr="00EA0A6B">
        <w:rPr>
          <w:szCs w:val="18"/>
        </w:rPr>
        <w:t>étude initiale de la proposition de l</w:t>
      </w:r>
      <w:r w:rsidR="00213D73" w:rsidRPr="00EA0A6B">
        <w:rPr>
          <w:szCs w:val="18"/>
        </w:rPr>
        <w:t>’</w:t>
      </w:r>
      <w:r w:rsidRPr="00EA0A6B">
        <w:rPr>
          <w:szCs w:val="18"/>
        </w:rPr>
        <w:t>Indonésie, organisée par BSK Hukum le 8 septembre 2025.</w:t>
      </w:r>
    </w:p>
  </w:endnote>
  <w:endnote w:id="31">
    <w:p w14:paraId="640DC55C" w14:textId="23088B8F"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On trouvera plus d</w:t>
      </w:r>
      <w:r w:rsidR="00213D73" w:rsidRPr="00EA0A6B">
        <w:rPr>
          <w:szCs w:val="18"/>
        </w:rPr>
        <w:t>’</w:t>
      </w:r>
      <w:r w:rsidRPr="00EA0A6B">
        <w:rPr>
          <w:szCs w:val="18"/>
        </w:rPr>
        <w:t xml:space="preserve">informations sur les spécificités du </w:t>
      </w:r>
      <w:r w:rsidRPr="00EA0A6B">
        <w:rPr>
          <w:i/>
          <w:szCs w:val="18"/>
        </w:rPr>
        <w:t>modèle au prorata et du système centré sur l</w:t>
      </w:r>
      <w:r w:rsidR="00213D73" w:rsidRPr="00EA0A6B">
        <w:rPr>
          <w:i/>
          <w:szCs w:val="18"/>
        </w:rPr>
        <w:t>’</w:t>
      </w:r>
      <w:r w:rsidRPr="00EA0A6B">
        <w:rPr>
          <w:i/>
          <w:szCs w:val="18"/>
        </w:rPr>
        <w:t>utilisateur</w:t>
      </w:r>
      <w:r w:rsidRPr="00EA0A6B">
        <w:rPr>
          <w:szCs w:val="18"/>
        </w:rPr>
        <w:t xml:space="preserve"> à l</w:t>
      </w:r>
      <w:r w:rsidR="00213D73" w:rsidRPr="00EA0A6B">
        <w:rPr>
          <w:szCs w:val="18"/>
        </w:rPr>
        <w:t>’</w:t>
      </w:r>
      <w:r w:rsidR="00EA0A6B">
        <w:rPr>
          <w:b/>
          <w:szCs w:val="18"/>
        </w:rPr>
        <w:t>annexe</w:t>
      </w:r>
      <w:r w:rsidRPr="00EA0A6B">
        <w:rPr>
          <w:b/>
          <w:szCs w:val="18"/>
        </w:rPr>
        <w:t> II</w:t>
      </w:r>
      <w:r w:rsidRPr="00EA0A6B">
        <w:rPr>
          <w:szCs w:val="18"/>
        </w:rPr>
        <w:t xml:space="preserve"> du présent document.</w:t>
      </w:r>
    </w:p>
  </w:endnote>
  <w:endnote w:id="32">
    <w:p w14:paraId="7F594AF6" w14:textId="015D3E7F"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Zoe Stern, </w:t>
      </w:r>
      <w:r w:rsidRPr="00EA0A6B">
        <w:rPr>
          <w:i/>
          <w:szCs w:val="18"/>
        </w:rPr>
        <w:t>“The Inequalities of Digital Music Streaming”, The Regulatory Review</w:t>
      </w:r>
      <w:r w:rsidRPr="00EA0A6B">
        <w:rPr>
          <w:szCs w:val="18"/>
        </w:rPr>
        <w:t xml:space="preserve">, 2024, </w:t>
      </w:r>
      <w:hyperlink r:id="rId22" w:history="1">
        <w:r w:rsidRPr="00EA0A6B">
          <w:rPr>
            <w:rStyle w:val="Hyperlink1"/>
            <w:szCs w:val="18"/>
          </w:rPr>
          <w:t>https://www.theregreview.org/2024/05/30/stern</w:t>
        </w:r>
        <w:r w:rsidR="00213D73" w:rsidRPr="00EA0A6B">
          <w:rPr>
            <w:rStyle w:val="Hyperlink1"/>
            <w:szCs w:val="18"/>
          </w:rPr>
          <w:t>-</w:t>
        </w:r>
        <w:r w:rsidRPr="00EA0A6B">
          <w:rPr>
            <w:rStyle w:val="Hyperlink1"/>
            <w:szCs w:val="18"/>
          </w:rPr>
          <w:t>the</w:t>
        </w:r>
        <w:r w:rsidR="00213D73" w:rsidRPr="00EA0A6B">
          <w:rPr>
            <w:rStyle w:val="Hyperlink1"/>
            <w:szCs w:val="18"/>
          </w:rPr>
          <w:t>-</w:t>
        </w:r>
        <w:r w:rsidRPr="00EA0A6B">
          <w:rPr>
            <w:rStyle w:val="Hyperlink1"/>
            <w:szCs w:val="18"/>
          </w:rPr>
          <w:t>inequalities</w:t>
        </w:r>
        <w:r w:rsidR="00213D73" w:rsidRPr="00EA0A6B">
          <w:rPr>
            <w:rStyle w:val="Hyperlink1"/>
            <w:szCs w:val="18"/>
          </w:rPr>
          <w:t>-</w:t>
        </w:r>
        <w:r w:rsidRPr="00EA0A6B">
          <w:rPr>
            <w:rStyle w:val="Hyperlink1"/>
            <w:szCs w:val="18"/>
          </w:rPr>
          <w:t>of</w:t>
        </w:r>
        <w:r w:rsidR="00213D73" w:rsidRPr="00EA0A6B">
          <w:rPr>
            <w:rStyle w:val="Hyperlink1"/>
            <w:szCs w:val="18"/>
          </w:rPr>
          <w:t>-</w:t>
        </w:r>
        <w:r w:rsidRPr="00EA0A6B">
          <w:rPr>
            <w:rStyle w:val="Hyperlink1"/>
            <w:szCs w:val="18"/>
          </w:rPr>
          <w:t>digital</w:t>
        </w:r>
        <w:r w:rsidR="00213D73" w:rsidRPr="00EA0A6B">
          <w:rPr>
            <w:rStyle w:val="Hyperlink1"/>
            <w:szCs w:val="18"/>
          </w:rPr>
          <w:t>-</w:t>
        </w:r>
        <w:r w:rsidRPr="00EA0A6B">
          <w:rPr>
            <w:rStyle w:val="Hyperlink1"/>
            <w:szCs w:val="18"/>
          </w:rPr>
          <w:t>music</w:t>
        </w:r>
        <w:r w:rsidR="00213D73" w:rsidRPr="00EA0A6B">
          <w:rPr>
            <w:rStyle w:val="Hyperlink1"/>
            <w:szCs w:val="18"/>
          </w:rPr>
          <w:t>-</w:t>
        </w:r>
        <w:r w:rsidRPr="00EA0A6B">
          <w:rPr>
            <w:rStyle w:val="Hyperlink1"/>
            <w:szCs w:val="18"/>
          </w:rPr>
          <w:t>streaming/</w:t>
        </w:r>
      </w:hyperlink>
      <w:r w:rsidRPr="00EA0A6B">
        <w:rPr>
          <w:szCs w:val="18"/>
        </w:rPr>
        <w:t xml:space="preserve">; </w:t>
      </w:r>
      <w:r w:rsidR="0080246A" w:rsidRPr="00EA0A6B">
        <w:rPr>
          <w:szCs w:val="18"/>
        </w:rPr>
        <w:t xml:space="preserve"> </w:t>
      </w:r>
      <w:r w:rsidRPr="00EA0A6B">
        <w:rPr>
          <w:szCs w:val="18"/>
        </w:rPr>
        <w:t xml:space="preserve">Jari Muikku, </w:t>
      </w:r>
      <w:r w:rsidRPr="00EA0A6B">
        <w:rPr>
          <w:i/>
          <w:szCs w:val="18"/>
        </w:rPr>
        <w:t>“Pro Rata and User Centric Distribution Models: A Comparative Study”, Digital Media Finland</w:t>
      </w:r>
      <w:r w:rsidRPr="00EA0A6B">
        <w:rPr>
          <w:szCs w:val="18"/>
        </w:rPr>
        <w:t xml:space="preserve"> (Helsinki, 2017), </w:t>
      </w:r>
      <w:hyperlink r:id="rId23" w:history="1">
        <w:r w:rsidRPr="00EA0A6B">
          <w:rPr>
            <w:rStyle w:val="Hyperlink1"/>
            <w:szCs w:val="18"/>
          </w:rPr>
          <w:t>http://www.ifpi.org/downloads/GMR2017.pdf</w:t>
        </w:r>
      </w:hyperlink>
      <w:r w:rsidRPr="00EA0A6B">
        <w:rPr>
          <w:szCs w:val="18"/>
        </w:rPr>
        <w:t xml:space="preserve">; </w:t>
      </w:r>
      <w:r w:rsidR="0080246A" w:rsidRPr="00EA0A6B">
        <w:rPr>
          <w:szCs w:val="18"/>
        </w:rPr>
        <w:t xml:space="preserve"> </w:t>
      </w:r>
      <w:r w:rsidRPr="00EA0A6B">
        <w:rPr>
          <w:szCs w:val="18"/>
        </w:rPr>
        <w:t>enquête de la commission du Parlement britannique sur le numérique, la culture, les médias et le sport sur l</w:t>
      </w:r>
      <w:r w:rsidR="00213D73" w:rsidRPr="00EA0A6B">
        <w:rPr>
          <w:szCs w:val="18"/>
        </w:rPr>
        <w:t>’</w:t>
      </w:r>
      <w:r w:rsidRPr="00EA0A6B">
        <w:rPr>
          <w:szCs w:val="18"/>
        </w:rPr>
        <w:t xml:space="preserve">économie de la diffusion de musique en continu, </w:t>
      </w:r>
      <w:r w:rsidRPr="00EA0A6B">
        <w:rPr>
          <w:i/>
          <w:szCs w:val="18"/>
        </w:rPr>
        <w:t>“Economics of Music Streaming”</w:t>
      </w:r>
      <w:r w:rsidRPr="00EA0A6B">
        <w:rPr>
          <w:szCs w:val="18"/>
        </w:rPr>
        <w:t xml:space="preserve"> (Londres, 2021), </w:t>
      </w:r>
      <w:hyperlink r:id="rId24" w:history="1">
        <w:r w:rsidRPr="00EA0A6B">
          <w:rPr>
            <w:rStyle w:val="Hyperlink1"/>
            <w:szCs w:val="18"/>
          </w:rPr>
          <w:t>https://committees.parliament.uk/work/646/economics</w:t>
        </w:r>
        <w:r w:rsidR="00213D73" w:rsidRPr="00EA0A6B">
          <w:rPr>
            <w:rStyle w:val="Hyperlink1"/>
            <w:szCs w:val="18"/>
          </w:rPr>
          <w:t>-</w:t>
        </w:r>
        <w:r w:rsidRPr="00EA0A6B">
          <w:rPr>
            <w:rStyle w:val="Hyperlink1"/>
            <w:szCs w:val="18"/>
          </w:rPr>
          <w:t>of</w:t>
        </w:r>
        <w:r w:rsidR="00213D73" w:rsidRPr="00EA0A6B">
          <w:rPr>
            <w:rStyle w:val="Hyperlink1"/>
            <w:szCs w:val="18"/>
          </w:rPr>
          <w:t>-</w:t>
        </w:r>
        <w:r w:rsidRPr="00EA0A6B">
          <w:rPr>
            <w:rStyle w:val="Hyperlink1"/>
            <w:szCs w:val="18"/>
          </w:rPr>
          <w:t>music</w:t>
        </w:r>
        <w:r w:rsidR="00213D73" w:rsidRPr="00EA0A6B">
          <w:rPr>
            <w:rStyle w:val="Hyperlink1"/>
            <w:szCs w:val="18"/>
          </w:rPr>
          <w:t>-</w:t>
        </w:r>
        <w:r w:rsidRPr="00EA0A6B">
          <w:rPr>
            <w:rStyle w:val="Hyperlink1"/>
            <w:szCs w:val="18"/>
          </w:rPr>
          <w:t xml:space="preserve"> streaming/publications/</w:t>
        </w:r>
      </w:hyperlink>
      <w:r w:rsidRPr="00EA0A6B">
        <w:rPr>
          <w:szCs w:val="18"/>
        </w:rPr>
        <w:t>.</w:t>
      </w:r>
    </w:p>
  </w:endnote>
  <w:endnote w:id="33">
    <w:p w14:paraId="1F9DB8D4" w14:textId="71334EA6"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Le répertoire mondial de</w:t>
      </w:r>
      <w:r w:rsidR="00213D73" w:rsidRPr="00EA0A6B">
        <w:rPr>
          <w:szCs w:val="18"/>
        </w:rPr>
        <w:t xml:space="preserve"> la CIS</w:t>
      </w:r>
      <w:r w:rsidRPr="00EA0A6B">
        <w:rPr>
          <w:szCs w:val="18"/>
        </w:rPr>
        <w:t>AC fonctionne comme une base de données centralisée qui gère les données relatives au droit d</w:t>
      </w:r>
      <w:r w:rsidR="00213D73" w:rsidRPr="00EA0A6B">
        <w:rPr>
          <w:szCs w:val="18"/>
        </w:rPr>
        <w:t>’</w:t>
      </w:r>
      <w:r w:rsidRPr="00EA0A6B">
        <w:rPr>
          <w:szCs w:val="18"/>
        </w:rPr>
        <w:t>auteur pour le compte de ses membres.</w:t>
      </w:r>
    </w:p>
  </w:endnote>
  <w:endnote w:id="34">
    <w:p w14:paraId="00C8616E" w14:textId="585D1F34"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Étude réalisée par un participant affilié à l</w:t>
      </w:r>
      <w:r w:rsidR="00213D73" w:rsidRPr="00EA0A6B">
        <w:rPr>
          <w:szCs w:val="18"/>
        </w:rPr>
        <w:t>’</w:t>
      </w:r>
      <w:r w:rsidRPr="00EA0A6B">
        <w:rPr>
          <w:szCs w:val="18"/>
        </w:rPr>
        <w:t>Alliance des créateurs de musique de l</w:t>
      </w:r>
      <w:r w:rsidR="00213D73" w:rsidRPr="00EA0A6B">
        <w:rPr>
          <w:szCs w:val="18"/>
        </w:rPr>
        <w:t>’</w:t>
      </w:r>
      <w:r w:rsidRPr="00EA0A6B">
        <w:rPr>
          <w:szCs w:val="18"/>
        </w:rPr>
        <w:t>Asie</w:t>
      </w:r>
      <w:r w:rsidR="00213D73" w:rsidRPr="00EA0A6B">
        <w:rPr>
          <w:szCs w:val="18"/>
        </w:rPr>
        <w:t>-</w:t>
      </w:r>
      <w:r w:rsidRPr="00EA0A6B">
        <w:rPr>
          <w:szCs w:val="18"/>
        </w:rPr>
        <w:t>Pacifique, présentée à la réunion de réflexion autour de la proposition de l</w:t>
      </w:r>
      <w:r w:rsidR="00213D73" w:rsidRPr="00EA0A6B">
        <w:rPr>
          <w:szCs w:val="18"/>
        </w:rPr>
        <w:t>’</w:t>
      </w:r>
      <w:r w:rsidRPr="00EA0A6B">
        <w:rPr>
          <w:szCs w:val="18"/>
        </w:rPr>
        <w:t>Indonésie, organisée par BPSDM Hukum le 28 août 2025.</w:t>
      </w:r>
    </w:p>
  </w:endnote>
  <w:endnote w:id="35">
    <w:p w14:paraId="224E6638" w14:textId="0782FEA9"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Étude réalisée par un participant affilié à l</w:t>
      </w:r>
      <w:r w:rsidR="00213D73" w:rsidRPr="00EA0A6B">
        <w:rPr>
          <w:szCs w:val="18"/>
        </w:rPr>
        <w:t>’</w:t>
      </w:r>
      <w:r w:rsidRPr="00EA0A6B">
        <w:rPr>
          <w:szCs w:val="18"/>
        </w:rPr>
        <w:t>Alliance des créateurs de musique de l</w:t>
      </w:r>
      <w:r w:rsidR="00213D73" w:rsidRPr="00EA0A6B">
        <w:rPr>
          <w:szCs w:val="18"/>
        </w:rPr>
        <w:t>’</w:t>
      </w:r>
      <w:r w:rsidRPr="00EA0A6B">
        <w:rPr>
          <w:szCs w:val="18"/>
        </w:rPr>
        <w:t>Asie</w:t>
      </w:r>
      <w:r w:rsidR="00213D73" w:rsidRPr="00EA0A6B">
        <w:rPr>
          <w:szCs w:val="18"/>
        </w:rPr>
        <w:t>-</w:t>
      </w:r>
      <w:r w:rsidRPr="00EA0A6B">
        <w:rPr>
          <w:szCs w:val="18"/>
        </w:rPr>
        <w:t>Pacifique, présentée à la réunion de réflexion autour de la proposition de l</w:t>
      </w:r>
      <w:r w:rsidR="00213D73" w:rsidRPr="00EA0A6B">
        <w:rPr>
          <w:szCs w:val="18"/>
        </w:rPr>
        <w:t>’</w:t>
      </w:r>
      <w:r w:rsidRPr="00EA0A6B">
        <w:rPr>
          <w:szCs w:val="18"/>
        </w:rPr>
        <w:t>Indonésie, organisée par BPSDM Hukum le 28 août 2025.</w:t>
      </w:r>
    </w:p>
  </w:endnote>
  <w:endnote w:id="36">
    <w:p w14:paraId="34B44118" w14:textId="47705B08"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Panos A.</w:t>
      </w:r>
      <w:r w:rsidR="0080246A" w:rsidRPr="00EA0A6B">
        <w:rPr>
          <w:szCs w:val="18"/>
        </w:rPr>
        <w:t> </w:t>
      </w:r>
      <w:r w:rsidRPr="00EA0A6B">
        <w:rPr>
          <w:szCs w:val="18"/>
        </w:rPr>
        <w:t>Panay, Alex Pentland et Thomas Hardjono, “</w:t>
      </w:r>
      <w:r w:rsidRPr="00EA0A6B">
        <w:rPr>
          <w:i/>
          <w:szCs w:val="18"/>
        </w:rPr>
        <w:t>Why Success of the Music Modernization Act Depends on Open Standards”, Open Music Initiative White Paper</w:t>
      </w:r>
      <w:r w:rsidRPr="00EA0A6B">
        <w:rPr>
          <w:szCs w:val="18"/>
        </w:rPr>
        <w:t xml:space="preserve"> (Cambridge, MA, 2018), </w:t>
      </w:r>
      <w:hyperlink r:id="rId25" w:history="1">
        <w:r w:rsidRPr="00EA0A6B">
          <w:rPr>
            <w:rStyle w:val="Hyperlink1"/>
            <w:szCs w:val="18"/>
          </w:rPr>
          <w:t>https://www.billboard.com/articles/business/8482056/mma</w:t>
        </w:r>
        <w:r w:rsidR="00213D73" w:rsidRPr="00EA0A6B">
          <w:rPr>
            <w:rStyle w:val="Hyperlink1"/>
            <w:szCs w:val="18"/>
          </w:rPr>
          <w:t>-</w:t>
        </w:r>
        <w:r w:rsidRPr="00EA0A6B">
          <w:rPr>
            <w:rStyle w:val="Hyperlink1"/>
            <w:szCs w:val="18"/>
          </w:rPr>
          <w:t>op</w:t>
        </w:r>
        <w:r w:rsidR="00213D73" w:rsidRPr="00EA0A6B">
          <w:rPr>
            <w:rStyle w:val="Hyperlink1"/>
            <w:szCs w:val="18"/>
          </w:rPr>
          <w:t>-</w:t>
        </w:r>
        <w:r w:rsidRPr="00EA0A6B">
          <w:rPr>
            <w:rStyle w:val="Hyperlink1"/>
            <w:szCs w:val="18"/>
          </w:rPr>
          <w:t>ed</w:t>
        </w:r>
        <w:r w:rsidR="00213D73" w:rsidRPr="00EA0A6B">
          <w:rPr>
            <w:rStyle w:val="Hyperlink1"/>
            <w:szCs w:val="18"/>
          </w:rPr>
          <w:t>-</w:t>
        </w:r>
        <w:r w:rsidRPr="00EA0A6B">
          <w:rPr>
            <w:rStyle w:val="Hyperlink1"/>
            <w:szCs w:val="18"/>
          </w:rPr>
          <w:t>open</w:t>
        </w:r>
        <w:r w:rsidR="00213D73" w:rsidRPr="00EA0A6B">
          <w:rPr>
            <w:rStyle w:val="Hyperlink1"/>
            <w:szCs w:val="18"/>
          </w:rPr>
          <w:t>-</w:t>
        </w:r>
        <w:r w:rsidRPr="00EA0A6B">
          <w:rPr>
            <w:rStyle w:val="Hyperlink1"/>
            <w:szCs w:val="18"/>
          </w:rPr>
          <w:t>music</w:t>
        </w:r>
        <w:r w:rsidR="00213D73" w:rsidRPr="00EA0A6B">
          <w:rPr>
            <w:rStyle w:val="Hyperlink1"/>
            <w:szCs w:val="18"/>
          </w:rPr>
          <w:t>-</w:t>
        </w:r>
        <w:r w:rsidRPr="00EA0A6B">
          <w:rPr>
            <w:rStyle w:val="Hyperlink1"/>
            <w:szCs w:val="18"/>
          </w:rPr>
          <w:t>initiative</w:t>
        </w:r>
        <w:r w:rsidR="00213D73" w:rsidRPr="00EA0A6B">
          <w:rPr>
            <w:rStyle w:val="Hyperlink1"/>
            <w:szCs w:val="18"/>
          </w:rPr>
          <w:t>-</w:t>
        </w:r>
        <w:r w:rsidRPr="00EA0A6B">
          <w:rPr>
            <w:rStyle w:val="Hyperlink1"/>
            <w:szCs w:val="18"/>
          </w:rPr>
          <w:t>open</w:t>
        </w:r>
        <w:r w:rsidR="00213D73" w:rsidRPr="00EA0A6B">
          <w:rPr>
            <w:rStyle w:val="Hyperlink1"/>
            <w:szCs w:val="18"/>
          </w:rPr>
          <w:t>-</w:t>
        </w:r>
        <w:r w:rsidRPr="00EA0A6B">
          <w:rPr>
            <w:rStyle w:val="Hyperlink1"/>
            <w:szCs w:val="18"/>
          </w:rPr>
          <w:t>standards</w:t>
        </w:r>
      </w:hyperlink>
      <w:r w:rsidRPr="00EA0A6B">
        <w:rPr>
          <w:szCs w:val="18"/>
        </w:rPr>
        <w:t>.</w:t>
      </w:r>
    </w:p>
  </w:endnote>
  <w:endnote w:id="37">
    <w:p w14:paraId="02321764" w14:textId="3C61203E"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Panay, Pentland et Hardjono;</w:t>
      </w:r>
      <w:r w:rsidR="0080246A" w:rsidRPr="00EA0A6B">
        <w:rPr>
          <w:szCs w:val="18"/>
        </w:rPr>
        <w:t xml:space="preserve"> </w:t>
      </w:r>
      <w:r w:rsidRPr="00EA0A6B">
        <w:rPr>
          <w:szCs w:val="18"/>
        </w:rPr>
        <w:t xml:space="preserve"> Commission européenne, </w:t>
      </w:r>
      <w:r w:rsidRPr="00EA0A6B">
        <w:rPr>
          <w:i/>
          <w:szCs w:val="18"/>
        </w:rPr>
        <w:t>“Rapport sur l</w:t>
      </w:r>
      <w:r w:rsidR="00213D73" w:rsidRPr="00EA0A6B">
        <w:rPr>
          <w:i/>
          <w:szCs w:val="18"/>
        </w:rPr>
        <w:t>’</w:t>
      </w:r>
      <w:r w:rsidRPr="00EA0A6B">
        <w:rPr>
          <w:i/>
          <w:szCs w:val="18"/>
        </w:rPr>
        <w:t>application de la directive 2014/26/UE concernant la gestion collective du droit d</w:t>
      </w:r>
      <w:r w:rsidR="00213D73" w:rsidRPr="00EA0A6B">
        <w:rPr>
          <w:i/>
          <w:szCs w:val="18"/>
        </w:rPr>
        <w:t>’</w:t>
      </w:r>
      <w:r w:rsidRPr="00EA0A6B">
        <w:rPr>
          <w:i/>
          <w:szCs w:val="18"/>
        </w:rPr>
        <w:t>auteur et des droits voisins et l</w:t>
      </w:r>
      <w:r w:rsidR="00213D73" w:rsidRPr="00EA0A6B">
        <w:rPr>
          <w:i/>
          <w:szCs w:val="18"/>
        </w:rPr>
        <w:t>’</w:t>
      </w:r>
      <w:r w:rsidRPr="00EA0A6B">
        <w:rPr>
          <w:i/>
          <w:szCs w:val="18"/>
        </w:rPr>
        <w:t>octroi de licences multiterritoriales de droits sur des œuvres musicales en vue de leur utilisation en ligne dans le marché intérieur”</w:t>
      </w:r>
      <w:r w:rsidRPr="00EA0A6B">
        <w:rPr>
          <w:szCs w:val="18"/>
        </w:rPr>
        <w:t xml:space="preserve"> (Bruxelles, 2021), </w:t>
      </w:r>
      <w:hyperlink r:id="rId26" w:history="1">
        <w:r w:rsidRPr="00EA0A6B">
          <w:rPr>
            <w:rStyle w:val="Hyperlink1"/>
            <w:szCs w:val="18"/>
          </w:rPr>
          <w:t>https://ec.europa.eu/newsroom/dae/redirection/document/81237</w:t>
        </w:r>
      </w:hyperlink>
      <w:r w:rsidRPr="00EA0A6B">
        <w:rPr>
          <w:szCs w:val="18"/>
        </w:rPr>
        <w:t>.</w:t>
      </w:r>
    </w:p>
  </w:endnote>
  <w:endnote w:id="38">
    <w:p w14:paraId="56B8151B" w14:textId="751EB84C"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Mark Isherwood, “Global Repertoire Database – World International Property Organisation</w:t>
      </w:r>
      <w:r w:rsidR="00213D73" w:rsidRPr="00EA0A6B">
        <w:rPr>
          <w:szCs w:val="18"/>
        </w:rPr>
        <w:t> :</w:t>
      </w:r>
      <w:r w:rsidRPr="00EA0A6B">
        <w:rPr>
          <w:szCs w:val="18"/>
        </w:rPr>
        <w:t xml:space="preserve"> Copyright Documentation and Infrastructure”, 2011, </w:t>
      </w:r>
      <w:hyperlink r:id="rId27" w:history="1">
        <w:r w:rsidRPr="00EA0A6B">
          <w:rPr>
            <w:rStyle w:val="Hyperlink1"/>
            <w:szCs w:val="18"/>
          </w:rPr>
          <w:t>https://www.wipo.int/meetings/en/2011/wipo_cr_doc_ge_11/pdf/isherwood_grd.pdf</w:t>
        </w:r>
      </w:hyperlink>
      <w:r w:rsidRPr="00EA0A6B">
        <w:rPr>
          <w:szCs w:val="18"/>
        </w:rPr>
        <w:t>.</w:t>
      </w:r>
    </w:p>
  </w:endnote>
  <w:endnote w:id="39">
    <w:p w14:paraId="6F0E90BA" w14:textId="36912A48" w:rsidR="00AC4817" w:rsidRPr="00EA0A6B" w:rsidRDefault="00AC4817" w:rsidP="00EA0A6B">
      <w:pPr>
        <w:tabs>
          <w:tab w:val="left" w:pos="567"/>
        </w:tabs>
        <w:jc w:val="both"/>
        <w:rPr>
          <w:sz w:val="18"/>
          <w:szCs w:val="18"/>
        </w:rPr>
      </w:pPr>
      <w:r w:rsidRPr="00EA0A6B">
        <w:rPr>
          <w:rStyle w:val="EndnoteReference"/>
          <w:sz w:val="18"/>
          <w:szCs w:val="18"/>
        </w:rPr>
        <w:endnoteRef/>
      </w:r>
      <w:r w:rsidRPr="00EA0A6B">
        <w:rPr>
          <w:sz w:val="18"/>
          <w:szCs w:val="18"/>
        </w:rPr>
        <w:t xml:space="preserve"> </w:t>
      </w:r>
      <w:r w:rsidR="00EA0A6B">
        <w:rPr>
          <w:sz w:val="18"/>
          <w:szCs w:val="18"/>
        </w:rPr>
        <w:tab/>
      </w:r>
      <w:r w:rsidRPr="00EA0A6B">
        <w:rPr>
          <w:sz w:val="18"/>
          <w:szCs w:val="18"/>
        </w:rPr>
        <w:t>Un système informatique qui facilite la gestion des données et de la documentation sur le droit d</w:t>
      </w:r>
      <w:r w:rsidR="00213D73" w:rsidRPr="00EA0A6B">
        <w:rPr>
          <w:sz w:val="18"/>
          <w:szCs w:val="18"/>
        </w:rPr>
        <w:t>’</w:t>
      </w:r>
      <w:r w:rsidRPr="00EA0A6B">
        <w:rPr>
          <w:sz w:val="18"/>
          <w:szCs w:val="18"/>
        </w:rPr>
        <w:t xml:space="preserve">auteur et la distribution des redevances. </w:t>
      </w:r>
      <w:r w:rsidR="0080246A" w:rsidRPr="00EA0A6B">
        <w:rPr>
          <w:sz w:val="18"/>
          <w:szCs w:val="18"/>
        </w:rPr>
        <w:t xml:space="preserve"> </w:t>
      </w:r>
      <w:r w:rsidRPr="00EA0A6B">
        <w:rPr>
          <w:sz w:val="18"/>
          <w:szCs w:val="18"/>
        </w:rPr>
        <w:t xml:space="preserve">Voir le Groupe des </w:t>
      </w:r>
      <w:r w:rsidR="00213D73" w:rsidRPr="00EA0A6B">
        <w:rPr>
          <w:sz w:val="18"/>
          <w:szCs w:val="18"/>
        </w:rPr>
        <w:t>Nations Unies</w:t>
      </w:r>
      <w:r w:rsidRPr="00EA0A6B">
        <w:rPr>
          <w:sz w:val="18"/>
          <w:szCs w:val="18"/>
        </w:rPr>
        <w:t xml:space="preserve"> pour l</w:t>
      </w:r>
      <w:r w:rsidR="00213D73" w:rsidRPr="00EA0A6B">
        <w:rPr>
          <w:sz w:val="18"/>
          <w:szCs w:val="18"/>
        </w:rPr>
        <w:t>’</w:t>
      </w:r>
      <w:r w:rsidRPr="00EA0A6B">
        <w:rPr>
          <w:sz w:val="18"/>
          <w:szCs w:val="18"/>
        </w:rPr>
        <w:t>évaluation (UNEG), “Pre</w:t>
      </w:r>
      <w:r w:rsidR="00213D73" w:rsidRPr="00EA0A6B">
        <w:rPr>
          <w:sz w:val="18"/>
          <w:szCs w:val="18"/>
        </w:rPr>
        <w:t>-</w:t>
      </w:r>
      <w:r w:rsidRPr="00EA0A6B">
        <w:rPr>
          <w:sz w:val="18"/>
          <w:szCs w:val="18"/>
        </w:rPr>
        <w:t xml:space="preserve">Evaluation Review of WIPO Connect” (New York, 2024), </w:t>
      </w:r>
      <w:hyperlink r:id="rId28" w:history="1">
        <w:r w:rsidRPr="00EA0A6B">
          <w:rPr>
            <w:rStyle w:val="Hyperlink1"/>
            <w:sz w:val="18"/>
            <w:szCs w:val="18"/>
          </w:rPr>
          <w:t>https://www.unevaluation.org/sites/default/files/member_publications/evaluation</w:t>
        </w:r>
        <w:r w:rsidR="00213D73" w:rsidRPr="00EA0A6B">
          <w:rPr>
            <w:rStyle w:val="Hyperlink1"/>
            <w:sz w:val="18"/>
            <w:szCs w:val="18"/>
          </w:rPr>
          <w:t>-</w:t>
        </w:r>
        <w:r w:rsidRPr="00EA0A6B">
          <w:rPr>
            <w:rStyle w:val="Hyperlink1"/>
            <w:sz w:val="18"/>
            <w:szCs w:val="18"/>
          </w:rPr>
          <w:t>report</w:t>
        </w:r>
        <w:r w:rsidR="00213D73" w:rsidRPr="00EA0A6B">
          <w:rPr>
            <w:rStyle w:val="Hyperlink1"/>
            <w:sz w:val="18"/>
            <w:szCs w:val="18"/>
          </w:rPr>
          <w:t>-</w:t>
        </w:r>
        <w:r w:rsidRPr="00EA0A6B">
          <w:rPr>
            <w:rStyle w:val="Hyperlink1"/>
            <w:sz w:val="18"/>
            <w:szCs w:val="18"/>
          </w:rPr>
          <w:t>wipo</w:t>
        </w:r>
        <w:r w:rsidR="00213D73" w:rsidRPr="00EA0A6B">
          <w:rPr>
            <w:rStyle w:val="Hyperlink1"/>
            <w:sz w:val="18"/>
            <w:szCs w:val="18"/>
          </w:rPr>
          <w:t>-</w:t>
        </w:r>
        <w:r w:rsidRPr="00EA0A6B">
          <w:rPr>
            <w:rStyle w:val="Hyperlink1"/>
            <w:sz w:val="18"/>
            <w:szCs w:val="18"/>
          </w:rPr>
          <w:t xml:space="preserve"> connect_1730473099.pdf</w:t>
        </w:r>
      </w:hyperlink>
      <w:r w:rsidRPr="00EA0A6B">
        <w:rPr>
          <w:sz w:val="18"/>
          <w:szCs w:val="18"/>
        </w:rPr>
        <w:t>.</w:t>
      </w:r>
    </w:p>
  </w:endnote>
  <w:endnote w:id="40">
    <w:p w14:paraId="1CD3158D" w14:textId="7A0FCA91"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CISAC, “L</w:t>
      </w:r>
      <w:r w:rsidR="00213D73" w:rsidRPr="00EA0A6B">
        <w:rPr>
          <w:szCs w:val="18"/>
        </w:rPr>
        <w:t>’</w:t>
      </w:r>
      <w:r w:rsidRPr="00EA0A6B">
        <w:rPr>
          <w:szCs w:val="18"/>
        </w:rPr>
        <w:t>OMPI et</w:t>
      </w:r>
      <w:r w:rsidR="00213D73" w:rsidRPr="00EA0A6B">
        <w:rPr>
          <w:szCs w:val="18"/>
        </w:rPr>
        <w:t xml:space="preserve"> la CIS</w:t>
      </w:r>
      <w:r w:rsidRPr="00EA0A6B">
        <w:rPr>
          <w:szCs w:val="18"/>
        </w:rPr>
        <w:t>AC annoncent un nouvel accord sur les données figurant dans les répertoires à l</w:t>
      </w:r>
      <w:r w:rsidR="00213D73" w:rsidRPr="00EA0A6B">
        <w:rPr>
          <w:szCs w:val="18"/>
        </w:rPr>
        <w:t>’</w:t>
      </w:r>
      <w:r w:rsidRPr="00EA0A6B">
        <w:rPr>
          <w:szCs w:val="18"/>
        </w:rPr>
        <w:t xml:space="preserve">appui des organisations de gestion collective”, Newsroom, 2020, </w:t>
      </w:r>
      <w:hyperlink r:id="rId29" w:history="1">
        <w:r w:rsidRPr="00EA0A6B">
          <w:rPr>
            <w:rStyle w:val="Hyperlink1"/>
            <w:szCs w:val="18"/>
          </w:rPr>
          <w:t>https://www.cisac.org/fr/Actus</w:t>
        </w:r>
        <w:r w:rsidR="00213D73" w:rsidRPr="00EA0A6B">
          <w:rPr>
            <w:rStyle w:val="Hyperlink1"/>
            <w:szCs w:val="18"/>
          </w:rPr>
          <w:t>-</w:t>
        </w:r>
        <w:r w:rsidRPr="00EA0A6B">
          <w:rPr>
            <w:rStyle w:val="Hyperlink1"/>
            <w:szCs w:val="18"/>
          </w:rPr>
          <w:t>Media/news</w:t>
        </w:r>
        <w:r w:rsidR="00213D73" w:rsidRPr="00EA0A6B">
          <w:rPr>
            <w:rStyle w:val="Hyperlink1"/>
            <w:szCs w:val="18"/>
          </w:rPr>
          <w:t>-</w:t>
        </w:r>
        <w:r w:rsidRPr="00EA0A6B">
          <w:rPr>
            <w:rStyle w:val="Hyperlink1"/>
            <w:szCs w:val="18"/>
          </w:rPr>
          <w:t>releases/lompi</w:t>
        </w:r>
        <w:r w:rsidR="00213D73" w:rsidRPr="00EA0A6B">
          <w:rPr>
            <w:rStyle w:val="Hyperlink1"/>
            <w:szCs w:val="18"/>
          </w:rPr>
          <w:t>-</w:t>
        </w:r>
        <w:r w:rsidRPr="00EA0A6B">
          <w:rPr>
            <w:rStyle w:val="Hyperlink1"/>
            <w:szCs w:val="18"/>
          </w:rPr>
          <w:t>et</w:t>
        </w:r>
        <w:r w:rsidR="00213D73" w:rsidRPr="00EA0A6B">
          <w:rPr>
            <w:rStyle w:val="Hyperlink1"/>
            <w:szCs w:val="18"/>
          </w:rPr>
          <w:t>-</w:t>
        </w:r>
        <w:r w:rsidRPr="00EA0A6B">
          <w:rPr>
            <w:rStyle w:val="Hyperlink1"/>
            <w:szCs w:val="18"/>
          </w:rPr>
          <w:t>la</w:t>
        </w:r>
        <w:r w:rsidR="00213D73" w:rsidRPr="00EA0A6B">
          <w:rPr>
            <w:rStyle w:val="Hyperlink1"/>
            <w:szCs w:val="18"/>
          </w:rPr>
          <w:t>-</w:t>
        </w:r>
        <w:r w:rsidRPr="00EA0A6B">
          <w:rPr>
            <w:rStyle w:val="Hyperlink1"/>
            <w:szCs w:val="18"/>
          </w:rPr>
          <w:t>cisac</w:t>
        </w:r>
        <w:r w:rsidR="00213D73" w:rsidRPr="00EA0A6B">
          <w:rPr>
            <w:rStyle w:val="Hyperlink1"/>
            <w:szCs w:val="18"/>
          </w:rPr>
          <w:t>-</w:t>
        </w:r>
        <w:r w:rsidRPr="00EA0A6B">
          <w:rPr>
            <w:rStyle w:val="Hyperlink1"/>
            <w:szCs w:val="18"/>
          </w:rPr>
          <w:t>annoncent</w:t>
        </w:r>
        <w:r w:rsidR="00213D73" w:rsidRPr="00EA0A6B">
          <w:rPr>
            <w:rStyle w:val="Hyperlink1"/>
            <w:szCs w:val="18"/>
          </w:rPr>
          <w:t>-</w:t>
        </w:r>
        <w:r w:rsidRPr="00EA0A6B">
          <w:rPr>
            <w:rStyle w:val="Hyperlink1"/>
            <w:szCs w:val="18"/>
          </w:rPr>
          <w:t>un</w:t>
        </w:r>
        <w:r w:rsidR="00213D73" w:rsidRPr="00EA0A6B">
          <w:rPr>
            <w:rStyle w:val="Hyperlink1"/>
            <w:szCs w:val="18"/>
          </w:rPr>
          <w:t>-</w:t>
        </w:r>
        <w:r w:rsidRPr="00EA0A6B">
          <w:rPr>
            <w:rStyle w:val="Hyperlink1"/>
            <w:szCs w:val="18"/>
          </w:rPr>
          <w:t>nouvel</w:t>
        </w:r>
        <w:r w:rsidR="00213D73" w:rsidRPr="00EA0A6B">
          <w:rPr>
            <w:rStyle w:val="Hyperlink1"/>
            <w:szCs w:val="18"/>
          </w:rPr>
          <w:t>-</w:t>
        </w:r>
        <w:r w:rsidRPr="00EA0A6B">
          <w:rPr>
            <w:rStyle w:val="Hyperlink1"/>
            <w:szCs w:val="18"/>
          </w:rPr>
          <w:t>accord</w:t>
        </w:r>
        <w:r w:rsidR="00213D73" w:rsidRPr="00EA0A6B">
          <w:rPr>
            <w:rStyle w:val="Hyperlink1"/>
            <w:szCs w:val="18"/>
          </w:rPr>
          <w:t>-</w:t>
        </w:r>
        <w:r w:rsidRPr="00EA0A6B">
          <w:rPr>
            <w:rStyle w:val="Hyperlink1"/>
            <w:szCs w:val="18"/>
          </w:rPr>
          <w:t>sur</w:t>
        </w:r>
        <w:r w:rsidR="00213D73" w:rsidRPr="00EA0A6B">
          <w:rPr>
            <w:rStyle w:val="Hyperlink1"/>
            <w:szCs w:val="18"/>
          </w:rPr>
          <w:t>-</w:t>
        </w:r>
        <w:r w:rsidRPr="00EA0A6B">
          <w:rPr>
            <w:rStyle w:val="Hyperlink1"/>
            <w:szCs w:val="18"/>
          </w:rPr>
          <w:t>les</w:t>
        </w:r>
        <w:r w:rsidR="00213D73" w:rsidRPr="00EA0A6B">
          <w:rPr>
            <w:rStyle w:val="Hyperlink1"/>
            <w:szCs w:val="18"/>
          </w:rPr>
          <w:t>-</w:t>
        </w:r>
        <w:r w:rsidRPr="00EA0A6B">
          <w:rPr>
            <w:rStyle w:val="Hyperlink1"/>
            <w:szCs w:val="18"/>
          </w:rPr>
          <w:t>donnees</w:t>
        </w:r>
        <w:r w:rsidR="00213D73" w:rsidRPr="00EA0A6B">
          <w:rPr>
            <w:rStyle w:val="Hyperlink1"/>
            <w:szCs w:val="18"/>
          </w:rPr>
          <w:t>-</w:t>
        </w:r>
        <w:r w:rsidRPr="00EA0A6B">
          <w:rPr>
            <w:rStyle w:val="Hyperlink1"/>
            <w:szCs w:val="18"/>
          </w:rPr>
          <w:t>figurant</w:t>
        </w:r>
      </w:hyperlink>
      <w:r w:rsidRPr="00EA0A6B">
        <w:rPr>
          <w:szCs w:val="18"/>
        </w:rPr>
        <w:t>.</w:t>
      </w:r>
    </w:p>
  </w:endnote>
  <w:endnote w:id="41">
    <w:p w14:paraId="68EE7DF0" w14:textId="4ADB28A4"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Déclaration des participants à la réunion de réflexion sur la collecte de données pour l</w:t>
      </w:r>
      <w:r w:rsidR="00213D73" w:rsidRPr="00EA0A6B">
        <w:rPr>
          <w:szCs w:val="18"/>
        </w:rPr>
        <w:t>’</w:t>
      </w:r>
      <w:r w:rsidRPr="00EA0A6B">
        <w:rPr>
          <w:szCs w:val="18"/>
        </w:rPr>
        <w:t>étude initiale de la proposition de l</w:t>
      </w:r>
      <w:r w:rsidR="00213D73" w:rsidRPr="00EA0A6B">
        <w:rPr>
          <w:szCs w:val="18"/>
        </w:rPr>
        <w:t>’</w:t>
      </w:r>
      <w:r w:rsidRPr="00EA0A6B">
        <w:rPr>
          <w:szCs w:val="18"/>
        </w:rPr>
        <w:t>Indonésie, organisée par BSK Hukum le 8 septembre 2025.</w:t>
      </w:r>
    </w:p>
  </w:endnote>
  <w:endnote w:id="42">
    <w:p w14:paraId="2062577A" w14:textId="54B3011B"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Le projet de base de données du répertoire mondial semble toutefois avoir été abandonné.</w:t>
      </w:r>
      <w:r w:rsidR="0080246A" w:rsidRPr="00EA0A6B">
        <w:rPr>
          <w:szCs w:val="18"/>
        </w:rPr>
        <w:t xml:space="preserve"> </w:t>
      </w:r>
      <w:r w:rsidRPr="00EA0A6B">
        <w:rPr>
          <w:szCs w:val="18"/>
        </w:rPr>
        <w:t xml:space="preserve"> Paul Resnikoff, “Global Repertoire Database Declared a Global Failure”, Digital Music News, 2024, </w:t>
      </w:r>
      <w:hyperlink r:id="rId30" w:history="1">
        <w:r w:rsidRPr="00EA0A6B">
          <w:rPr>
            <w:rStyle w:val="Hyperlink1"/>
            <w:szCs w:val="18"/>
          </w:rPr>
          <w:t>https://www.digitalmusicnews.com/2014/07/10/global</w:t>
        </w:r>
        <w:r w:rsidR="00213D73" w:rsidRPr="00EA0A6B">
          <w:rPr>
            <w:rStyle w:val="Hyperlink1"/>
            <w:szCs w:val="18"/>
          </w:rPr>
          <w:t>-</w:t>
        </w:r>
        <w:r w:rsidRPr="00EA0A6B">
          <w:rPr>
            <w:rStyle w:val="Hyperlink1"/>
            <w:szCs w:val="18"/>
          </w:rPr>
          <w:t>repertoire</w:t>
        </w:r>
        <w:r w:rsidR="00213D73" w:rsidRPr="00EA0A6B">
          <w:rPr>
            <w:rStyle w:val="Hyperlink1"/>
            <w:szCs w:val="18"/>
          </w:rPr>
          <w:t>-</w:t>
        </w:r>
        <w:r w:rsidRPr="00EA0A6B">
          <w:rPr>
            <w:rStyle w:val="Hyperlink1"/>
            <w:szCs w:val="18"/>
          </w:rPr>
          <w:t>database</w:t>
        </w:r>
        <w:r w:rsidR="00213D73" w:rsidRPr="00EA0A6B">
          <w:rPr>
            <w:rStyle w:val="Hyperlink1"/>
            <w:szCs w:val="18"/>
          </w:rPr>
          <w:t>-</w:t>
        </w:r>
        <w:r w:rsidRPr="00EA0A6B">
          <w:rPr>
            <w:rStyle w:val="Hyperlink1"/>
            <w:szCs w:val="18"/>
          </w:rPr>
          <w:t xml:space="preserve"> declared</w:t>
        </w:r>
        <w:r w:rsidR="00213D73" w:rsidRPr="00EA0A6B">
          <w:rPr>
            <w:rStyle w:val="Hyperlink1"/>
            <w:szCs w:val="18"/>
          </w:rPr>
          <w:t>-</w:t>
        </w:r>
        <w:r w:rsidRPr="00EA0A6B">
          <w:rPr>
            <w:rStyle w:val="Hyperlink1"/>
            <w:szCs w:val="18"/>
          </w:rPr>
          <w:t>global</w:t>
        </w:r>
        <w:r w:rsidR="00213D73" w:rsidRPr="00EA0A6B">
          <w:rPr>
            <w:rStyle w:val="Hyperlink1"/>
            <w:szCs w:val="18"/>
          </w:rPr>
          <w:t>-</w:t>
        </w:r>
        <w:r w:rsidRPr="00EA0A6B">
          <w:rPr>
            <w:rStyle w:val="Hyperlink1"/>
            <w:szCs w:val="18"/>
          </w:rPr>
          <w:t>failure/</w:t>
        </w:r>
      </w:hyperlink>
      <w:r w:rsidRPr="00EA0A6B">
        <w:rPr>
          <w:szCs w:val="18"/>
        </w:rPr>
        <w:t>.</w:t>
      </w:r>
    </w:p>
  </w:endnote>
  <w:endnote w:id="43">
    <w:p w14:paraId="77C29D63" w14:textId="723E475E"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Darci Sprengel, </w:t>
      </w:r>
      <w:r w:rsidRPr="00EA0A6B">
        <w:rPr>
          <w:i/>
          <w:szCs w:val="18"/>
        </w:rPr>
        <w:t>“Imperial Lag: Some Spatial</w:t>
      </w:r>
      <w:r w:rsidR="00213D73" w:rsidRPr="00EA0A6B">
        <w:rPr>
          <w:i/>
          <w:szCs w:val="18"/>
        </w:rPr>
        <w:t>-</w:t>
      </w:r>
      <w:r w:rsidRPr="00EA0A6B">
        <w:rPr>
          <w:i/>
          <w:szCs w:val="18"/>
        </w:rPr>
        <w:t>Temporal Politics of Music Streaming</w:t>
      </w:r>
      <w:r w:rsidR="00213D73" w:rsidRPr="00EA0A6B">
        <w:rPr>
          <w:i/>
          <w:szCs w:val="18"/>
        </w:rPr>
        <w:t>’</w:t>
      </w:r>
      <w:r w:rsidRPr="00EA0A6B">
        <w:rPr>
          <w:i/>
          <w:szCs w:val="18"/>
        </w:rPr>
        <w:t>s Global Expansion”, Communication, Culture &amp; Critique</w:t>
      </w:r>
      <w:r w:rsidRPr="00EA0A6B">
        <w:rPr>
          <w:szCs w:val="18"/>
        </w:rPr>
        <w:t>,Volume 16, n°</w:t>
      </w:r>
      <w:r w:rsidR="0080246A" w:rsidRPr="00EA0A6B">
        <w:rPr>
          <w:szCs w:val="18"/>
        </w:rPr>
        <w:t> </w:t>
      </w:r>
      <w:r w:rsidRPr="00EA0A6B">
        <w:rPr>
          <w:szCs w:val="18"/>
        </w:rPr>
        <w:t>4 (4 décembre 2023)</w:t>
      </w:r>
      <w:r w:rsidR="00213D73" w:rsidRPr="00EA0A6B">
        <w:rPr>
          <w:szCs w:val="18"/>
        </w:rPr>
        <w:t> :</w:t>
      </w:r>
      <w:r w:rsidRPr="00EA0A6B">
        <w:rPr>
          <w:szCs w:val="18"/>
        </w:rPr>
        <w:t xml:space="preserve"> </w:t>
      </w:r>
      <w:r w:rsidR="00213D73" w:rsidRPr="00EA0A6B">
        <w:rPr>
          <w:szCs w:val="18"/>
        </w:rPr>
        <w:t>pages 2</w:t>
      </w:r>
      <w:r w:rsidRPr="00EA0A6B">
        <w:rPr>
          <w:szCs w:val="18"/>
        </w:rPr>
        <w:t>43</w:t>
      </w:r>
      <w:r w:rsidR="00213D73" w:rsidRPr="00EA0A6B">
        <w:rPr>
          <w:szCs w:val="18"/>
        </w:rPr>
        <w:t>-</w:t>
      </w:r>
      <w:r w:rsidRPr="00EA0A6B">
        <w:rPr>
          <w:szCs w:val="18"/>
        </w:rPr>
        <w:t xml:space="preserve">49, </w:t>
      </w:r>
      <w:hyperlink r:id="rId31" w:history="1">
        <w:r w:rsidRPr="00EA0A6B">
          <w:rPr>
            <w:rStyle w:val="Hyperlink1"/>
            <w:szCs w:val="18"/>
          </w:rPr>
          <w:t>https://doi.org/10.1093/ccc/tcad024</w:t>
        </w:r>
      </w:hyperlink>
      <w:r w:rsidRPr="00EA0A6B">
        <w:rPr>
          <w:szCs w:val="18"/>
        </w:rPr>
        <w:t>.</w:t>
      </w:r>
    </w:p>
  </w:endnote>
  <w:endnote w:id="44">
    <w:p w14:paraId="001CD668" w14:textId="5A44C3D4"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Arthur Bernstein, Naoki Sekine et Dick Weissman, </w:t>
      </w:r>
      <w:r w:rsidRPr="00EA0A6B">
        <w:rPr>
          <w:i/>
          <w:szCs w:val="18"/>
        </w:rPr>
        <w:t>The Global Music Industry: Three Perspectives</w:t>
      </w:r>
      <w:r w:rsidRPr="00EA0A6B">
        <w:rPr>
          <w:szCs w:val="18"/>
        </w:rPr>
        <w:t>, 1re édition (New</w:t>
      </w:r>
      <w:r w:rsidR="0080246A" w:rsidRPr="00EA0A6B">
        <w:rPr>
          <w:szCs w:val="18"/>
        </w:rPr>
        <w:t> </w:t>
      </w:r>
      <w:r w:rsidRPr="00EA0A6B">
        <w:rPr>
          <w:szCs w:val="18"/>
        </w:rPr>
        <w:t>York</w:t>
      </w:r>
      <w:r w:rsidR="00213D73" w:rsidRPr="00EA0A6B">
        <w:rPr>
          <w:szCs w:val="18"/>
        </w:rPr>
        <w:t> :</w:t>
      </w:r>
      <w:r w:rsidRPr="00EA0A6B">
        <w:rPr>
          <w:szCs w:val="18"/>
        </w:rPr>
        <w:t xml:space="preserve"> Routledge, 2013).</w:t>
      </w:r>
    </w:p>
  </w:endnote>
  <w:endnote w:id="45">
    <w:p w14:paraId="6D59F592" w14:textId="1B197E66"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Ce concept est expressément consacré dans des instruments juridiques, notamment à l</w:t>
      </w:r>
      <w:r w:rsidR="00213D73" w:rsidRPr="00EA0A6B">
        <w:rPr>
          <w:szCs w:val="18"/>
        </w:rPr>
        <w:t>’</w:t>
      </w:r>
      <w:r w:rsidRPr="00EA0A6B">
        <w:rPr>
          <w:szCs w:val="18"/>
        </w:rPr>
        <w:t>article 15 de la directive UE n°</w:t>
      </w:r>
      <w:r w:rsidR="0080246A" w:rsidRPr="00EA0A6B">
        <w:rPr>
          <w:szCs w:val="18"/>
        </w:rPr>
        <w:t> </w:t>
      </w:r>
      <w:r w:rsidRPr="00EA0A6B">
        <w:rPr>
          <w:szCs w:val="18"/>
        </w:rPr>
        <w:t>2019/790 du Parlement européen et du Conseil du 17 avril 2019 sur le droit d</w:t>
      </w:r>
      <w:r w:rsidR="00213D73" w:rsidRPr="00EA0A6B">
        <w:rPr>
          <w:szCs w:val="18"/>
        </w:rPr>
        <w:t>’</w:t>
      </w:r>
      <w:r w:rsidRPr="00EA0A6B">
        <w:rPr>
          <w:szCs w:val="18"/>
        </w:rPr>
        <w:t xml:space="preserve">auteur et les droits voisins dans le marché unique numérique (directive DSM). </w:t>
      </w:r>
      <w:r w:rsidR="0080246A" w:rsidRPr="00EA0A6B">
        <w:rPr>
          <w:szCs w:val="18"/>
        </w:rPr>
        <w:t xml:space="preserve"> </w:t>
      </w:r>
      <w:r w:rsidRPr="00EA0A6B">
        <w:rPr>
          <w:szCs w:val="18"/>
        </w:rPr>
        <w:t>En Indonésie, la base normative qui régit la protection de ces droits est le règlement présidentiel n°</w:t>
      </w:r>
      <w:r w:rsidR="0080246A" w:rsidRPr="00EA0A6B">
        <w:rPr>
          <w:szCs w:val="18"/>
        </w:rPr>
        <w:t> </w:t>
      </w:r>
      <w:r w:rsidRPr="00EA0A6B">
        <w:rPr>
          <w:szCs w:val="18"/>
        </w:rPr>
        <w:t>32 de 2024.</w:t>
      </w:r>
    </w:p>
  </w:endnote>
  <w:endnote w:id="46">
    <w:p w14:paraId="2F2EDF2C" w14:textId="3C12D57D" w:rsidR="00AC4817" w:rsidRPr="00EA0A6B" w:rsidRDefault="00AC4817" w:rsidP="00EA0A6B">
      <w:pPr>
        <w:pStyle w:val="EndnoteText"/>
        <w:tabs>
          <w:tab w:val="left" w:pos="567"/>
        </w:tabs>
        <w:jc w:val="both"/>
        <w:rPr>
          <w:szCs w:val="18"/>
        </w:rPr>
      </w:pPr>
      <w:r w:rsidRPr="00EA0A6B">
        <w:rPr>
          <w:rStyle w:val="EndnoteReference"/>
          <w:szCs w:val="18"/>
        </w:rPr>
        <w:endnoteRef/>
      </w:r>
      <w:r w:rsidRPr="00EA0A6B">
        <w:rPr>
          <w:szCs w:val="18"/>
        </w:rPr>
        <w:t xml:space="preserve"> </w:t>
      </w:r>
      <w:r w:rsidR="00EA0A6B">
        <w:rPr>
          <w:szCs w:val="18"/>
        </w:rPr>
        <w:tab/>
      </w:r>
      <w:r w:rsidRPr="00EA0A6B">
        <w:rPr>
          <w:szCs w:val="18"/>
        </w:rPr>
        <w:t xml:space="preserve">Mayumi Negishi, “Nikkei and Asahi Shimbun Sue Perplexity AI over Alleged Copyright Violations”, The Japan Times, 2025, </w:t>
      </w:r>
      <w:hyperlink r:id="rId32" w:history="1">
        <w:r w:rsidRPr="00EA0A6B">
          <w:rPr>
            <w:rStyle w:val="Hyperlink1"/>
            <w:szCs w:val="18"/>
          </w:rPr>
          <w:t>https://www.japantimes.co.jp/news/2025/08/26/japan/crime</w:t>
        </w:r>
        <w:r w:rsidR="00213D73" w:rsidRPr="00EA0A6B">
          <w:rPr>
            <w:rStyle w:val="Hyperlink1"/>
            <w:szCs w:val="18"/>
          </w:rPr>
          <w:t>-</w:t>
        </w:r>
        <w:r w:rsidRPr="00EA0A6B">
          <w:rPr>
            <w:rStyle w:val="Hyperlink1"/>
            <w:szCs w:val="18"/>
          </w:rPr>
          <w:t>legal/japan</w:t>
        </w:r>
        <w:r w:rsidR="00213D73" w:rsidRPr="00EA0A6B">
          <w:rPr>
            <w:rStyle w:val="Hyperlink1"/>
            <w:szCs w:val="18"/>
          </w:rPr>
          <w:t>-</w:t>
        </w:r>
        <w:r w:rsidRPr="00EA0A6B">
          <w:rPr>
            <w:rStyle w:val="Hyperlink1"/>
            <w:szCs w:val="18"/>
          </w:rPr>
          <w:t>newspapers</w:t>
        </w:r>
        <w:r w:rsidR="00213D73" w:rsidRPr="00EA0A6B">
          <w:rPr>
            <w:rStyle w:val="Hyperlink1"/>
            <w:szCs w:val="18"/>
          </w:rPr>
          <w:t>-</w:t>
        </w:r>
        <w:r w:rsidRPr="00EA0A6B">
          <w:rPr>
            <w:rStyle w:val="Hyperlink1"/>
            <w:szCs w:val="18"/>
          </w:rPr>
          <w:t>sue</w:t>
        </w:r>
        <w:r w:rsidR="00213D73" w:rsidRPr="00EA0A6B">
          <w:rPr>
            <w:rStyle w:val="Hyperlink1"/>
            <w:szCs w:val="18"/>
          </w:rPr>
          <w:t>-</w:t>
        </w:r>
        <w:r w:rsidRPr="00EA0A6B">
          <w:rPr>
            <w:rStyle w:val="Hyperlink1"/>
            <w:szCs w:val="18"/>
          </w:rPr>
          <w:t>ai</w:t>
        </w:r>
        <w:r w:rsidR="00213D73" w:rsidRPr="00EA0A6B">
          <w:rPr>
            <w:rStyle w:val="Hyperlink1"/>
            <w:szCs w:val="18"/>
          </w:rPr>
          <w:t>-</w:t>
        </w:r>
        <w:r w:rsidRPr="00EA0A6B">
          <w:rPr>
            <w:rStyle w:val="Hyperlink1"/>
            <w:szCs w:val="18"/>
          </w:rPr>
          <w:t>startup/</w:t>
        </w:r>
      </w:hyperlink>
      <w:r w:rsidRPr="00EA0A6B">
        <w:rPr>
          <w:szCs w:val="18"/>
        </w:rPr>
        <w:t>.</w:t>
      </w:r>
    </w:p>
  </w:endnote>
  <w:endnote w:id="47">
    <w:p w14:paraId="343469E3" w14:textId="3994EC5C" w:rsidR="00AC4817" w:rsidRPr="00EA0A6B" w:rsidRDefault="00AC4817" w:rsidP="00EA0A6B">
      <w:pPr>
        <w:tabs>
          <w:tab w:val="left" w:pos="567"/>
        </w:tabs>
        <w:jc w:val="both"/>
        <w:rPr>
          <w:sz w:val="18"/>
          <w:szCs w:val="18"/>
        </w:rPr>
      </w:pPr>
      <w:r w:rsidRPr="00EA0A6B">
        <w:rPr>
          <w:rStyle w:val="EndnoteReference"/>
          <w:sz w:val="18"/>
          <w:szCs w:val="18"/>
        </w:rPr>
        <w:endnoteRef/>
      </w:r>
      <w:r w:rsidRPr="00EA0A6B">
        <w:rPr>
          <w:sz w:val="18"/>
          <w:szCs w:val="18"/>
        </w:rPr>
        <w:t xml:space="preserve"> </w:t>
      </w:r>
      <w:r w:rsidR="00EA0A6B">
        <w:rPr>
          <w:sz w:val="18"/>
          <w:szCs w:val="18"/>
        </w:rPr>
        <w:tab/>
      </w:r>
      <w:r w:rsidRPr="00EA0A6B">
        <w:rPr>
          <w:sz w:val="18"/>
          <w:szCs w:val="18"/>
        </w:rPr>
        <w:t>Sur la base des informations officielles du Ministère indonésien des affaires étrangères, l</w:t>
      </w:r>
      <w:r w:rsidR="00213D73" w:rsidRPr="00EA0A6B">
        <w:rPr>
          <w:sz w:val="18"/>
          <w:szCs w:val="18"/>
        </w:rPr>
        <w:t>’</w:t>
      </w:r>
      <w:r w:rsidRPr="00EA0A6B">
        <w:rPr>
          <w:sz w:val="18"/>
          <w:szCs w:val="18"/>
        </w:rPr>
        <w:t xml:space="preserve">OMPI élabore actuellement une convention internationale sur la radiodiffusion. </w:t>
      </w:r>
      <w:r w:rsidR="0080246A" w:rsidRPr="00EA0A6B">
        <w:rPr>
          <w:sz w:val="18"/>
          <w:szCs w:val="18"/>
        </w:rPr>
        <w:t xml:space="preserve"> </w:t>
      </w:r>
      <w:r w:rsidRPr="00EA0A6B">
        <w:rPr>
          <w:sz w:val="18"/>
          <w:szCs w:val="18"/>
        </w:rPr>
        <w:t>Dans ce cadre, le Ministère des affaires étrangères recommande que l</w:t>
      </w:r>
      <w:r w:rsidR="00213D73" w:rsidRPr="00EA0A6B">
        <w:rPr>
          <w:sz w:val="18"/>
          <w:szCs w:val="18"/>
        </w:rPr>
        <w:t>’</w:t>
      </w:r>
      <w:r w:rsidRPr="00EA0A6B">
        <w:rPr>
          <w:sz w:val="18"/>
          <w:szCs w:val="18"/>
        </w:rPr>
        <w:t>exécution technique de ce programme dans les instances internationales se fasse via les mécanismes de l</w:t>
      </w:r>
      <w:r w:rsidR="00213D73" w:rsidRPr="00EA0A6B">
        <w:rPr>
          <w:sz w:val="18"/>
          <w:szCs w:val="18"/>
        </w:rPr>
        <w:t>’</w:t>
      </w:r>
      <w:r w:rsidRPr="00EA0A6B">
        <w:rPr>
          <w:sz w:val="18"/>
          <w:szCs w:val="18"/>
        </w:rPr>
        <w:t xml:space="preserve">OMPI. </w:t>
      </w:r>
      <w:r w:rsidR="0080246A" w:rsidRPr="00EA0A6B">
        <w:rPr>
          <w:sz w:val="18"/>
          <w:szCs w:val="18"/>
        </w:rPr>
        <w:t xml:space="preserve"> </w:t>
      </w:r>
      <w:r w:rsidRPr="00EA0A6B">
        <w:rPr>
          <w:sz w:val="18"/>
          <w:szCs w:val="18"/>
        </w:rPr>
        <w:t>Nous comprenons que la rédaction d</w:t>
      </w:r>
      <w:r w:rsidR="00213D73" w:rsidRPr="00EA0A6B">
        <w:rPr>
          <w:sz w:val="18"/>
          <w:szCs w:val="18"/>
        </w:rPr>
        <w:t>’</w:t>
      </w:r>
      <w:r w:rsidRPr="00EA0A6B">
        <w:rPr>
          <w:sz w:val="18"/>
          <w:szCs w:val="18"/>
        </w:rPr>
        <w:t>un traité international s</w:t>
      </w:r>
      <w:r w:rsidR="00213D73" w:rsidRPr="00EA0A6B">
        <w:rPr>
          <w:sz w:val="18"/>
          <w:szCs w:val="18"/>
        </w:rPr>
        <w:t>’</w:t>
      </w:r>
      <w:r w:rsidRPr="00EA0A6B">
        <w:rPr>
          <w:sz w:val="18"/>
          <w:szCs w:val="18"/>
        </w:rPr>
        <w:t>inscrit dans la durée;</w:t>
      </w:r>
      <w:r w:rsidR="0080246A" w:rsidRPr="00EA0A6B">
        <w:rPr>
          <w:sz w:val="18"/>
          <w:szCs w:val="18"/>
        </w:rPr>
        <w:t xml:space="preserve"> </w:t>
      </w:r>
      <w:r w:rsidRPr="00EA0A6B">
        <w:rPr>
          <w:sz w:val="18"/>
          <w:szCs w:val="18"/>
        </w:rPr>
        <w:t xml:space="preserve"> c</w:t>
      </w:r>
      <w:r w:rsidR="00213D73" w:rsidRPr="00EA0A6B">
        <w:rPr>
          <w:sz w:val="18"/>
          <w:szCs w:val="18"/>
        </w:rPr>
        <w:t>’</w:t>
      </w:r>
      <w:r w:rsidRPr="00EA0A6B">
        <w:rPr>
          <w:sz w:val="18"/>
          <w:szCs w:val="18"/>
        </w:rPr>
        <w:t>est pourquoi des évaluations périodiques sont nécessaires, notamment pour vérifier l</w:t>
      </w:r>
      <w:r w:rsidR="00213D73" w:rsidRPr="00EA0A6B">
        <w:rPr>
          <w:sz w:val="18"/>
          <w:szCs w:val="18"/>
        </w:rPr>
        <w:t>’</w:t>
      </w:r>
      <w:r w:rsidRPr="00EA0A6B">
        <w:rPr>
          <w:sz w:val="18"/>
          <w:szCs w:val="18"/>
        </w:rPr>
        <w:t xml:space="preserve">alignement avec les politiques et les documents de planification nationaux, </w:t>
      </w:r>
      <w:r w:rsidR="00213D73" w:rsidRPr="00EA0A6B">
        <w:rPr>
          <w:sz w:val="18"/>
          <w:szCs w:val="18"/>
        </w:rPr>
        <w:t>y compris</w:t>
      </w:r>
      <w:r w:rsidRPr="00EA0A6B">
        <w:rPr>
          <w:sz w:val="18"/>
          <w:szCs w:val="18"/>
        </w:rPr>
        <w:t xml:space="preserve"> l</w:t>
      </w:r>
      <w:r w:rsidR="00213D73" w:rsidRPr="00EA0A6B">
        <w:rPr>
          <w:sz w:val="18"/>
          <w:szCs w:val="18"/>
        </w:rPr>
        <w:t>’</w:t>
      </w:r>
      <w:r w:rsidRPr="00EA0A6B">
        <w:rPr>
          <w:sz w:val="18"/>
          <w:szCs w:val="18"/>
        </w:rPr>
        <w:t>allocation du budget et des ressources.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DBFB" w14:textId="77777777" w:rsidR="00AC4817" w:rsidRPr="000C43F7" w:rsidRDefault="00AC4817" w:rsidP="000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1EA5" w14:textId="77777777" w:rsidR="00AC4817" w:rsidRDefault="00AC4817">
      <w:r>
        <w:separator/>
      </w:r>
    </w:p>
  </w:footnote>
  <w:footnote w:type="continuationSeparator" w:id="0">
    <w:p w14:paraId="52B54A3F" w14:textId="77777777" w:rsidR="00AC4817" w:rsidRDefault="00AC4817" w:rsidP="007461F1">
      <w:r>
        <w:separator/>
      </w:r>
    </w:p>
    <w:p w14:paraId="0FEE3F16" w14:textId="77777777" w:rsidR="00AC4817" w:rsidRPr="009D30E6" w:rsidRDefault="00AC4817" w:rsidP="007461F1">
      <w:pPr>
        <w:spacing w:after="60"/>
        <w:rPr>
          <w:sz w:val="17"/>
          <w:szCs w:val="17"/>
        </w:rPr>
      </w:pPr>
      <w:r w:rsidRPr="009D30E6">
        <w:rPr>
          <w:sz w:val="17"/>
          <w:szCs w:val="17"/>
        </w:rPr>
        <w:t>[Suite de la note de la page précédente]</w:t>
      </w:r>
    </w:p>
  </w:footnote>
  <w:footnote w:type="continuationNotice" w:id="1">
    <w:p w14:paraId="39045420" w14:textId="77777777" w:rsidR="00AC4817" w:rsidRPr="009D30E6" w:rsidRDefault="00AC481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159" w14:textId="77777777" w:rsidR="00AC4817" w:rsidRDefault="00AC4817" w:rsidP="00477D6B">
    <w:pPr>
      <w:jc w:val="right"/>
    </w:pPr>
    <w:r>
      <w:t>SCCR/47/6</w:t>
    </w:r>
  </w:p>
  <w:p w14:paraId="583BE561" w14:textId="77777777" w:rsidR="00AC4817" w:rsidRDefault="00AC4817" w:rsidP="00477D6B">
    <w:pPr>
      <w:jc w:val="right"/>
    </w:pPr>
    <w:r>
      <w:t>page </w:t>
    </w:r>
    <w:r>
      <w:fldChar w:fldCharType="begin"/>
    </w:r>
    <w:r>
      <w:instrText xml:space="preserve"> PAGE  \* MERGEFORMAT </w:instrText>
    </w:r>
    <w:r>
      <w:fldChar w:fldCharType="separate"/>
    </w:r>
    <w:r>
      <w:t>2</w:t>
    </w:r>
    <w:r>
      <w:fldChar w:fldCharType="end"/>
    </w:r>
  </w:p>
  <w:p w14:paraId="0CDB901C" w14:textId="77777777" w:rsidR="00AC4817" w:rsidRDefault="00AC4817" w:rsidP="00477D6B">
    <w:pPr>
      <w:jc w:val="right"/>
    </w:pPr>
  </w:p>
  <w:p w14:paraId="5E343BCA" w14:textId="77777777" w:rsidR="00AC4817" w:rsidRDefault="00AC481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1C3C" w14:textId="77777777" w:rsidR="008030AA" w:rsidRDefault="008030AA" w:rsidP="00477D6B">
    <w:pPr>
      <w:jc w:val="right"/>
    </w:pPr>
    <w:r>
      <w:t>SCCR/47/6</w:t>
    </w:r>
  </w:p>
  <w:p w14:paraId="2919587A" w14:textId="0AF9FFF8" w:rsidR="008030AA" w:rsidRDefault="008030AA" w:rsidP="008030AA">
    <w:pPr>
      <w:spacing w:after="480"/>
      <w:jc w:val="right"/>
    </w:pPr>
    <w:r>
      <w:t>page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03E5" w14:textId="4F36BC0D" w:rsidR="008030AA" w:rsidRDefault="008030AA" w:rsidP="008030AA">
    <w:pPr>
      <w:pStyle w:val="Header"/>
      <w:jc w:val="right"/>
      <w:rPr>
        <w:lang w:val="fr-FR"/>
      </w:rPr>
    </w:pPr>
    <w:r>
      <w:rPr>
        <w:lang w:val="fr-FR"/>
      </w:rPr>
      <w:t>SCCR/47/6</w:t>
    </w:r>
  </w:p>
  <w:p w14:paraId="7F14AF0D" w14:textId="60D9B8DD" w:rsidR="008030AA" w:rsidRPr="008030AA" w:rsidRDefault="008030AA" w:rsidP="008030AA">
    <w:pPr>
      <w:pStyle w:val="Header"/>
      <w:spacing w:after="480"/>
      <w:jc w:val="right"/>
      <w:rPr>
        <w:lang w:val="fr-FR"/>
      </w:rPr>
    </w:pPr>
    <w:r>
      <w:rPr>
        <w:lang w:val="fr-FR"/>
      </w:rPr>
      <w:t>page </w:t>
    </w:r>
    <w:r w:rsidRPr="008030AA">
      <w:rPr>
        <w:lang w:val="fr-FR"/>
      </w:rPr>
      <w:fldChar w:fldCharType="begin"/>
    </w:r>
    <w:r w:rsidRPr="008030AA">
      <w:rPr>
        <w:lang w:val="fr-FR"/>
      </w:rPr>
      <w:instrText xml:space="preserve"> PAGE   \* MERGEFORMAT </w:instrText>
    </w:r>
    <w:r w:rsidRPr="008030AA">
      <w:rPr>
        <w:lang w:val="fr-FR"/>
      </w:rPr>
      <w:fldChar w:fldCharType="separate"/>
    </w:r>
    <w:r w:rsidRPr="008030AA">
      <w:rPr>
        <w:noProof/>
        <w:lang w:val="fr-FR"/>
      </w:rPr>
      <w:t>1</w:t>
    </w:r>
    <w:r w:rsidRPr="008030AA">
      <w:rPr>
        <w:noProof/>
        <w:lang w:val="fr-F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89FB" w14:textId="258F6A25" w:rsidR="00F16975" w:rsidRDefault="00AC4817" w:rsidP="00477D6B">
    <w:pPr>
      <w:jc w:val="right"/>
    </w:pPr>
    <w:bookmarkStart w:id="15" w:name="Code2"/>
    <w:bookmarkEnd w:id="15"/>
    <w:r>
      <w:t>SCCR/47/6</w:t>
    </w:r>
  </w:p>
  <w:p w14:paraId="7BC936C6"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444B58"/>
    <w:multiLevelType w:val="hybridMultilevel"/>
    <w:tmpl w:val="D0084D78"/>
    <w:lvl w:ilvl="0" w:tplc="0C1AAE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9E0F80"/>
    <w:multiLevelType w:val="hybridMultilevel"/>
    <w:tmpl w:val="8E2E0242"/>
    <w:lvl w:ilvl="0" w:tplc="FDE846C8">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CE74E72E">
      <w:numFmt w:val="bullet"/>
      <w:lvlText w:val="•"/>
      <w:lvlJc w:val="left"/>
      <w:pPr>
        <w:ind w:left="1152" w:hanging="360"/>
      </w:pPr>
      <w:rPr>
        <w:rFonts w:hint="default"/>
        <w:lang w:val="en-US" w:eastAsia="en-US" w:bidi="ar-SA"/>
      </w:rPr>
    </w:lvl>
    <w:lvl w:ilvl="2" w:tplc="7F7C2ED6">
      <w:numFmt w:val="bullet"/>
      <w:lvlText w:val="•"/>
      <w:lvlJc w:val="left"/>
      <w:pPr>
        <w:ind w:left="1844" w:hanging="360"/>
      </w:pPr>
      <w:rPr>
        <w:rFonts w:hint="default"/>
        <w:lang w:val="en-US" w:eastAsia="en-US" w:bidi="ar-SA"/>
      </w:rPr>
    </w:lvl>
    <w:lvl w:ilvl="3" w:tplc="4B16F1BA">
      <w:numFmt w:val="bullet"/>
      <w:lvlText w:val="•"/>
      <w:lvlJc w:val="left"/>
      <w:pPr>
        <w:ind w:left="2537" w:hanging="360"/>
      </w:pPr>
      <w:rPr>
        <w:rFonts w:hint="default"/>
        <w:lang w:val="en-US" w:eastAsia="en-US" w:bidi="ar-SA"/>
      </w:rPr>
    </w:lvl>
    <w:lvl w:ilvl="4" w:tplc="00E25AFC">
      <w:numFmt w:val="bullet"/>
      <w:lvlText w:val="•"/>
      <w:lvlJc w:val="left"/>
      <w:pPr>
        <w:ind w:left="3229" w:hanging="360"/>
      </w:pPr>
      <w:rPr>
        <w:rFonts w:hint="default"/>
        <w:lang w:val="en-US" w:eastAsia="en-US" w:bidi="ar-SA"/>
      </w:rPr>
    </w:lvl>
    <w:lvl w:ilvl="5" w:tplc="DB0E5378">
      <w:numFmt w:val="bullet"/>
      <w:lvlText w:val="•"/>
      <w:lvlJc w:val="left"/>
      <w:pPr>
        <w:ind w:left="3922" w:hanging="360"/>
      </w:pPr>
      <w:rPr>
        <w:rFonts w:hint="default"/>
        <w:lang w:val="en-US" w:eastAsia="en-US" w:bidi="ar-SA"/>
      </w:rPr>
    </w:lvl>
    <w:lvl w:ilvl="6" w:tplc="9670D4A2">
      <w:numFmt w:val="bullet"/>
      <w:lvlText w:val="•"/>
      <w:lvlJc w:val="left"/>
      <w:pPr>
        <w:ind w:left="4614" w:hanging="360"/>
      </w:pPr>
      <w:rPr>
        <w:rFonts w:hint="default"/>
        <w:lang w:val="en-US" w:eastAsia="en-US" w:bidi="ar-SA"/>
      </w:rPr>
    </w:lvl>
    <w:lvl w:ilvl="7" w:tplc="E83001F2">
      <w:numFmt w:val="bullet"/>
      <w:lvlText w:val="•"/>
      <w:lvlJc w:val="left"/>
      <w:pPr>
        <w:ind w:left="5306" w:hanging="360"/>
      </w:pPr>
      <w:rPr>
        <w:rFonts w:hint="default"/>
        <w:lang w:val="en-US" w:eastAsia="en-US" w:bidi="ar-SA"/>
      </w:rPr>
    </w:lvl>
    <w:lvl w:ilvl="8" w:tplc="FA10EC98">
      <w:numFmt w:val="bullet"/>
      <w:lvlText w:val="•"/>
      <w:lvlJc w:val="left"/>
      <w:pPr>
        <w:ind w:left="5999" w:hanging="360"/>
      </w:pPr>
      <w:rPr>
        <w:rFonts w:hint="default"/>
        <w:lang w:val="en-US" w:eastAsia="en-US" w:bidi="ar-SA"/>
      </w:rPr>
    </w:lvl>
  </w:abstractNum>
  <w:abstractNum w:abstractNumId="8" w15:restartNumberingAfterBreak="0">
    <w:nsid w:val="6F3E6461"/>
    <w:multiLevelType w:val="hybridMultilevel"/>
    <w:tmpl w:val="03DA1F20"/>
    <w:lvl w:ilvl="0" w:tplc="8914342C">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E56E3508">
      <w:numFmt w:val="bullet"/>
      <w:lvlText w:val="•"/>
      <w:lvlJc w:val="left"/>
      <w:pPr>
        <w:ind w:left="1079" w:hanging="360"/>
      </w:pPr>
      <w:rPr>
        <w:rFonts w:hint="default"/>
        <w:lang w:val="en-US" w:eastAsia="en-US" w:bidi="ar-SA"/>
      </w:rPr>
    </w:lvl>
    <w:lvl w:ilvl="2" w:tplc="C8E49122">
      <w:numFmt w:val="bullet"/>
      <w:lvlText w:val="•"/>
      <w:lvlJc w:val="left"/>
      <w:pPr>
        <w:ind w:left="1699" w:hanging="360"/>
      </w:pPr>
      <w:rPr>
        <w:rFonts w:hint="default"/>
        <w:lang w:val="en-US" w:eastAsia="en-US" w:bidi="ar-SA"/>
      </w:rPr>
    </w:lvl>
    <w:lvl w:ilvl="3" w:tplc="56B25528">
      <w:numFmt w:val="bullet"/>
      <w:lvlText w:val="•"/>
      <w:lvlJc w:val="left"/>
      <w:pPr>
        <w:ind w:left="2318" w:hanging="360"/>
      </w:pPr>
      <w:rPr>
        <w:rFonts w:hint="default"/>
        <w:lang w:val="en-US" w:eastAsia="en-US" w:bidi="ar-SA"/>
      </w:rPr>
    </w:lvl>
    <w:lvl w:ilvl="4" w:tplc="51DA7CFC">
      <w:numFmt w:val="bullet"/>
      <w:lvlText w:val="•"/>
      <w:lvlJc w:val="left"/>
      <w:pPr>
        <w:ind w:left="2938" w:hanging="360"/>
      </w:pPr>
      <w:rPr>
        <w:rFonts w:hint="default"/>
        <w:lang w:val="en-US" w:eastAsia="en-US" w:bidi="ar-SA"/>
      </w:rPr>
    </w:lvl>
    <w:lvl w:ilvl="5" w:tplc="32F670E6">
      <w:numFmt w:val="bullet"/>
      <w:lvlText w:val="•"/>
      <w:lvlJc w:val="left"/>
      <w:pPr>
        <w:ind w:left="3557" w:hanging="360"/>
      </w:pPr>
      <w:rPr>
        <w:rFonts w:hint="default"/>
        <w:lang w:val="en-US" w:eastAsia="en-US" w:bidi="ar-SA"/>
      </w:rPr>
    </w:lvl>
    <w:lvl w:ilvl="6" w:tplc="CB96D260">
      <w:numFmt w:val="bullet"/>
      <w:lvlText w:val="•"/>
      <w:lvlJc w:val="left"/>
      <w:pPr>
        <w:ind w:left="4177" w:hanging="360"/>
      </w:pPr>
      <w:rPr>
        <w:rFonts w:hint="default"/>
        <w:lang w:val="en-US" w:eastAsia="en-US" w:bidi="ar-SA"/>
      </w:rPr>
    </w:lvl>
    <w:lvl w:ilvl="7" w:tplc="4F30595A">
      <w:numFmt w:val="bullet"/>
      <w:lvlText w:val="•"/>
      <w:lvlJc w:val="left"/>
      <w:pPr>
        <w:ind w:left="4796" w:hanging="360"/>
      </w:pPr>
      <w:rPr>
        <w:rFonts w:hint="default"/>
        <w:lang w:val="en-US" w:eastAsia="en-US" w:bidi="ar-SA"/>
      </w:rPr>
    </w:lvl>
    <w:lvl w:ilvl="8" w:tplc="3CA25FBA">
      <w:numFmt w:val="bullet"/>
      <w:lvlText w:val="•"/>
      <w:lvlJc w:val="left"/>
      <w:pPr>
        <w:ind w:left="5416" w:hanging="360"/>
      </w:pPr>
      <w:rPr>
        <w:rFonts w:hint="default"/>
        <w:lang w:val="en-US" w:eastAsia="en-US" w:bidi="ar-SA"/>
      </w:rPr>
    </w:lvl>
  </w:abstractNum>
  <w:num w:numId="1" w16cid:durableId="385185916">
    <w:abstractNumId w:val="2"/>
  </w:num>
  <w:num w:numId="2" w16cid:durableId="1922137027">
    <w:abstractNumId w:val="5"/>
  </w:num>
  <w:num w:numId="3" w16cid:durableId="1708218136">
    <w:abstractNumId w:val="0"/>
  </w:num>
  <w:num w:numId="4" w16cid:durableId="329069435">
    <w:abstractNumId w:val="6"/>
  </w:num>
  <w:num w:numId="5" w16cid:durableId="49499015">
    <w:abstractNumId w:val="1"/>
  </w:num>
  <w:num w:numId="6" w16cid:durableId="2136636949">
    <w:abstractNumId w:val="3"/>
  </w:num>
  <w:num w:numId="7" w16cid:durableId="704333231">
    <w:abstractNumId w:val="4"/>
  </w:num>
  <w:num w:numId="8" w16cid:durableId="2099203837">
    <w:abstractNumId w:val="7"/>
  </w:num>
  <w:num w:numId="9" w16cid:durableId="1380201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17"/>
    <w:rsid w:val="00011B7D"/>
    <w:rsid w:val="00075432"/>
    <w:rsid w:val="000F5E56"/>
    <w:rsid w:val="00100E35"/>
    <w:rsid w:val="00130DF9"/>
    <w:rsid w:val="001362EE"/>
    <w:rsid w:val="001832A6"/>
    <w:rsid w:val="00195C6E"/>
    <w:rsid w:val="001B266A"/>
    <w:rsid w:val="001D3D56"/>
    <w:rsid w:val="001F091D"/>
    <w:rsid w:val="00213D73"/>
    <w:rsid w:val="00240654"/>
    <w:rsid w:val="002634C4"/>
    <w:rsid w:val="002D4918"/>
    <w:rsid w:val="002E4D1A"/>
    <w:rsid w:val="002F16BC"/>
    <w:rsid w:val="002F4E68"/>
    <w:rsid w:val="00315FCA"/>
    <w:rsid w:val="0033238B"/>
    <w:rsid w:val="003845C1"/>
    <w:rsid w:val="00396D6C"/>
    <w:rsid w:val="003A1BCD"/>
    <w:rsid w:val="004008A2"/>
    <w:rsid w:val="004025DF"/>
    <w:rsid w:val="00423E3E"/>
    <w:rsid w:val="00427AF4"/>
    <w:rsid w:val="00456117"/>
    <w:rsid w:val="004647DA"/>
    <w:rsid w:val="00477D6B"/>
    <w:rsid w:val="004D6471"/>
    <w:rsid w:val="004F4E31"/>
    <w:rsid w:val="00525B63"/>
    <w:rsid w:val="00547476"/>
    <w:rsid w:val="00561DB8"/>
    <w:rsid w:val="00567A4C"/>
    <w:rsid w:val="005A73EA"/>
    <w:rsid w:val="005E6516"/>
    <w:rsid w:val="00605827"/>
    <w:rsid w:val="00676936"/>
    <w:rsid w:val="0068487B"/>
    <w:rsid w:val="006B0DB5"/>
    <w:rsid w:val="006E4243"/>
    <w:rsid w:val="007461F1"/>
    <w:rsid w:val="0076654B"/>
    <w:rsid w:val="007A1AE9"/>
    <w:rsid w:val="007A27EA"/>
    <w:rsid w:val="007D6961"/>
    <w:rsid w:val="007F07CB"/>
    <w:rsid w:val="0080246A"/>
    <w:rsid w:val="00802EF1"/>
    <w:rsid w:val="008030AA"/>
    <w:rsid w:val="00810CEF"/>
    <w:rsid w:val="0081208D"/>
    <w:rsid w:val="00842A13"/>
    <w:rsid w:val="008B2CC1"/>
    <w:rsid w:val="008E5402"/>
    <w:rsid w:val="008E7930"/>
    <w:rsid w:val="0090731E"/>
    <w:rsid w:val="009463E5"/>
    <w:rsid w:val="00964C4C"/>
    <w:rsid w:val="00966A22"/>
    <w:rsid w:val="00974CD6"/>
    <w:rsid w:val="00975481"/>
    <w:rsid w:val="009D30E6"/>
    <w:rsid w:val="009E3F6F"/>
    <w:rsid w:val="009F28F0"/>
    <w:rsid w:val="009F499F"/>
    <w:rsid w:val="00A02BD3"/>
    <w:rsid w:val="00AB7351"/>
    <w:rsid w:val="00AC0AE4"/>
    <w:rsid w:val="00AC2EBA"/>
    <w:rsid w:val="00AC4817"/>
    <w:rsid w:val="00AD3CB9"/>
    <w:rsid w:val="00AD61DB"/>
    <w:rsid w:val="00B4555B"/>
    <w:rsid w:val="00B53C85"/>
    <w:rsid w:val="00B5731A"/>
    <w:rsid w:val="00B87BCF"/>
    <w:rsid w:val="00BA62D4"/>
    <w:rsid w:val="00BC5F87"/>
    <w:rsid w:val="00C40E15"/>
    <w:rsid w:val="00C42181"/>
    <w:rsid w:val="00C664C8"/>
    <w:rsid w:val="00C76A79"/>
    <w:rsid w:val="00CA15F5"/>
    <w:rsid w:val="00CA68B1"/>
    <w:rsid w:val="00CF0460"/>
    <w:rsid w:val="00D45252"/>
    <w:rsid w:val="00D55C00"/>
    <w:rsid w:val="00D71B4D"/>
    <w:rsid w:val="00D75C1E"/>
    <w:rsid w:val="00D93D55"/>
    <w:rsid w:val="00DB0349"/>
    <w:rsid w:val="00DC4A0D"/>
    <w:rsid w:val="00DD6A16"/>
    <w:rsid w:val="00E0091A"/>
    <w:rsid w:val="00E203AA"/>
    <w:rsid w:val="00E527A5"/>
    <w:rsid w:val="00E76456"/>
    <w:rsid w:val="00E97651"/>
    <w:rsid w:val="00EA0A6B"/>
    <w:rsid w:val="00EE71CB"/>
    <w:rsid w:val="00F16975"/>
    <w:rsid w:val="00F66152"/>
    <w:rsid w:val="00FA139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CB5A3"/>
  <w15:docId w15:val="{1C78E260-7D75-4D53-91FA-EA25E8E7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link w:val="EndnoteTextChar"/>
    <w:uiPriority w:val="99"/>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00E3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Heading51">
    <w:name w:val="Heading 51"/>
    <w:basedOn w:val="Normal"/>
    <w:next w:val="Normal"/>
    <w:uiPriority w:val="9"/>
    <w:unhideWhenUsed/>
    <w:qFormat/>
    <w:rsid w:val="00AC4817"/>
    <w:pPr>
      <w:keepNext/>
      <w:keepLines/>
      <w:spacing w:before="180" w:after="240"/>
      <w:outlineLvl w:val="4"/>
    </w:pPr>
    <w:rPr>
      <w:rFonts w:eastAsia="Yu Gothic Light" w:cs="Noto Sans Display"/>
      <w:b/>
      <w:kern w:val="2"/>
      <w:szCs w:val="22"/>
      <w:lang w:val="fr-FR" w:eastAsia="en-US"/>
      <w14:ligatures w14:val="standardContextual"/>
    </w:rPr>
  </w:style>
  <w:style w:type="character" w:customStyle="1" w:styleId="Heading3Char">
    <w:name w:val="Heading 3 Char"/>
    <w:basedOn w:val="DefaultParagraphFont"/>
    <w:link w:val="Heading3"/>
    <w:uiPriority w:val="9"/>
    <w:rsid w:val="00AC4817"/>
    <w:rPr>
      <w:rFonts w:ascii="Arial" w:eastAsia="SimSun" w:hAnsi="Arial" w:cs="Arial"/>
      <w:bCs/>
      <w:sz w:val="22"/>
      <w:szCs w:val="26"/>
      <w:u w:val="single"/>
      <w:lang w:eastAsia="zh-CN"/>
    </w:rPr>
  </w:style>
  <w:style w:type="character" w:customStyle="1" w:styleId="FooterChar">
    <w:name w:val="Footer Char"/>
    <w:basedOn w:val="DefaultParagraphFont"/>
    <w:link w:val="Footer"/>
    <w:uiPriority w:val="99"/>
    <w:rsid w:val="00AC4817"/>
    <w:rPr>
      <w:rFonts w:ascii="Arial" w:eastAsia="SimSun" w:hAnsi="Arial" w:cs="Arial"/>
      <w:sz w:val="22"/>
      <w:lang w:eastAsia="zh-CN"/>
    </w:rPr>
  </w:style>
  <w:style w:type="character" w:customStyle="1" w:styleId="EndnoteTextChar">
    <w:name w:val="Endnote Text Char"/>
    <w:basedOn w:val="DefaultParagraphFont"/>
    <w:link w:val="EndnoteText"/>
    <w:uiPriority w:val="99"/>
    <w:semiHidden/>
    <w:rsid w:val="00AC4817"/>
    <w:rPr>
      <w:rFonts w:ascii="Arial" w:eastAsia="SimSun" w:hAnsi="Arial" w:cs="Arial"/>
      <w:sz w:val="18"/>
      <w:lang w:eastAsia="zh-CN"/>
    </w:rPr>
  </w:style>
  <w:style w:type="character" w:styleId="EndnoteReference">
    <w:name w:val="endnote reference"/>
    <w:basedOn w:val="DefaultParagraphFont"/>
    <w:uiPriority w:val="99"/>
    <w:semiHidden/>
    <w:unhideWhenUsed/>
    <w:rsid w:val="00AC4817"/>
    <w:rPr>
      <w:vertAlign w:val="superscript"/>
    </w:rPr>
  </w:style>
  <w:style w:type="character" w:customStyle="1" w:styleId="Hyperlink1">
    <w:name w:val="Hyperlink1"/>
    <w:basedOn w:val="DefaultParagraphFont"/>
    <w:uiPriority w:val="99"/>
    <w:unhideWhenUsed/>
    <w:rsid w:val="00AC4817"/>
    <w:rPr>
      <w:color w:val="467886"/>
      <w:u w:val="single"/>
    </w:rPr>
  </w:style>
  <w:style w:type="paragraph" w:styleId="TOC1">
    <w:name w:val="toc 1"/>
    <w:basedOn w:val="Normal"/>
    <w:next w:val="Normal"/>
    <w:autoRedefine/>
    <w:uiPriority w:val="39"/>
    <w:unhideWhenUsed/>
    <w:rsid w:val="00AC4817"/>
    <w:pPr>
      <w:tabs>
        <w:tab w:val="right" w:leader="dot" w:pos="9019"/>
      </w:tabs>
      <w:spacing w:after="100"/>
    </w:pPr>
    <w:rPr>
      <w:rFonts w:eastAsia="Aptos" w:cs="Noto Sans Display"/>
      <w:b/>
      <w:bCs/>
      <w:color w:val="1F497D" w:themeColor="text2"/>
      <w:kern w:val="2"/>
      <w:szCs w:val="22"/>
      <w:lang w:val="fr-FR" w:eastAsia="en-US"/>
      <w14:ligatures w14:val="standardContextual"/>
    </w:rPr>
  </w:style>
  <w:style w:type="character" w:styleId="Hyperlink">
    <w:name w:val="Hyperlink"/>
    <w:basedOn w:val="DefaultParagraphFont"/>
    <w:uiPriority w:val="99"/>
    <w:unhideWhenUsed/>
    <w:rsid w:val="007A1AE9"/>
    <w:rPr>
      <w:color w:val="0000FF" w:themeColor="hyperlink"/>
      <w:u w:val="single"/>
    </w:rPr>
  </w:style>
  <w:style w:type="paragraph" w:styleId="TOC3">
    <w:name w:val="toc 3"/>
    <w:basedOn w:val="Normal"/>
    <w:next w:val="Normal"/>
    <w:autoRedefine/>
    <w:uiPriority w:val="39"/>
    <w:unhideWhenUsed/>
    <w:rsid w:val="00B5731A"/>
    <w:pPr>
      <w:tabs>
        <w:tab w:val="right" w:leader="dot" w:pos="9345"/>
      </w:tabs>
      <w:spacing w:after="100"/>
    </w:pPr>
  </w:style>
  <w:style w:type="paragraph" w:styleId="ListParagraph">
    <w:name w:val="List Paragraph"/>
    <w:basedOn w:val="Normal"/>
    <w:uiPriority w:val="34"/>
    <w:qFormat/>
    <w:rsid w:val="00964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1007/s40319-023-01365-0" TargetMode="External"/><Relationship Id="rId26" Type="http://schemas.openxmlformats.org/officeDocument/2006/relationships/hyperlink" Target="https://doi.org/10.1111/jcc4.12196" TargetMode="External"/><Relationship Id="rId3" Type="http://schemas.openxmlformats.org/officeDocument/2006/relationships/styles" Target="styles.xml"/><Relationship Id="rId21" Type="http://schemas.openxmlformats.org/officeDocument/2006/relationships/hyperlink" Target="https://doi.org/10.1177/1461444824123229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billboard.com/articles/business/8482056/mma-op-ed-open-music-initiative-open-standards" TargetMode="External"/><Relationship Id="rId25" Type="http://schemas.openxmlformats.org/officeDocument/2006/relationships/hyperlink" Target="https://setkab.go.id/inilah-perpres-32-2024-tentang-publisher-rights/?utm_source" TargetMode="External"/><Relationship Id="rId2" Type="http://schemas.openxmlformats.org/officeDocument/2006/relationships/numbering" Target="numbering.xml"/><Relationship Id="rId16" Type="http://schemas.openxmlformats.org/officeDocument/2006/relationships/hyperlink" Target="http://www.ifpi.org/downloads/GMR2017.pdf" TargetMode="External"/><Relationship Id="rId20" Type="http://schemas.openxmlformats.org/officeDocument/2006/relationships/hyperlink" Target="http://www.ifpi.org/downloads/GMR2017.pdf" TargetMode="External"/><Relationship Id="rId29" Type="http://schemas.openxmlformats.org/officeDocument/2006/relationships/hyperlink" Target="https://www.nippon.com/en/news/yjj2025082600776/asahi-nikkei-sue-u-s-ai-biz-perplexity-over-copyright.html?utm_sour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sahi.com/ajw/articles/15987899?utm_sou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ittees.parliament.uk/work/646/economics-of-music-streaming/publications/" TargetMode="External"/><Relationship Id="rId23" Type="http://schemas.openxmlformats.org/officeDocument/2006/relationships/hyperlink" Target="https://doi.org/10.1093/jiplp/jpab105" TargetMode="External"/><Relationship Id="rId28" Type="http://schemas.openxmlformats.org/officeDocument/2006/relationships/hyperlink" Target="https://www.dentons.com/en/insights/articles/2020/november/30/the-new-eu-copyright-directive-and-the-new-right-for-press-publishers?utm_source" TargetMode="External"/><Relationship Id="rId10" Type="http://schemas.openxmlformats.org/officeDocument/2006/relationships/image" Target="media/image2.jpeg"/><Relationship Id="rId19" Type="http://schemas.openxmlformats.org/officeDocument/2006/relationships/hyperlink" Target="https://www.theregreview.org/2024/05/30/stern-the-inequalities-of-digital-%20music-stream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meetings/fr/doc_details.jsp?doc_id=540737" TargetMode="External"/><Relationship Id="rId22" Type="http://schemas.openxmlformats.org/officeDocument/2006/relationships/hyperlink" Target="https://mg.co.za/news/2025-02-24-google-must-pay-sa-media-up-to-r500-million-says-competition-commission/?utm_source" TargetMode="External"/><Relationship Id="rId27" Type="http://schemas.openxmlformats.org/officeDocument/2006/relationships/hyperlink" Target="https://communia-association.org/2024/02/19/the-post-%20dsm-copyright-report-the-press-publishers-right/" TargetMode="External"/><Relationship Id="rId30" Type="http://schemas.openxmlformats.org/officeDocument/2006/relationships/header" Target="header4.xml"/></Relationships>
</file>

<file path=word/_rels/endnotes.xml.rels><?xml version="1.0" encoding="UTF-8" standalone="yes"?>
<Relationships xmlns="http://schemas.openxmlformats.org/package/2006/relationships"><Relationship Id="rId8" Type="http://schemas.openxmlformats.org/officeDocument/2006/relationships/hyperlink" Target="https://www.tempo.co/info-tempo/transparansi-pembayaran-royalti-pdlm-milik-djki-harus-terintegrasi-%20dengan-silm--240980" TargetMode="External"/><Relationship Id="rId13" Type="http://schemas.openxmlformats.org/officeDocument/2006/relationships/hyperlink" Target="https://www.cnnindonesia.com/hiburan/20230401070011-227-932161/kronologi-perseteruan-ahmad-dhani-%20larang-once-bawa-lagu-dewa-19" TargetMode="External"/><Relationship Id="rId18" Type="http://schemas.openxmlformats.org/officeDocument/2006/relationships/hyperlink" Target="https://doi.org/10.4337/9781785369346.00018" TargetMode="External"/><Relationship Id="rId26" Type="http://schemas.openxmlformats.org/officeDocument/2006/relationships/hyperlink" Target="https://ec.europa.eu/newsroom/dae/redirection/document/81237" TargetMode="External"/><Relationship Id="rId3" Type="http://schemas.openxmlformats.org/officeDocument/2006/relationships/hyperlink" Target="https://www.cisac.org/fr/services/etudes-et-recherches/rapport-sur-les-collectes-mondiales-2023" TargetMode="External"/><Relationship Id="rId21" Type="http://schemas.openxmlformats.org/officeDocument/2006/relationships/hyperlink" Target="https://digitalcommons.law.uga.edu/jipl/vol18/iss1/5/" TargetMode="External"/><Relationship Id="rId7" Type="http://schemas.openxmlformats.org/officeDocument/2006/relationships/hyperlink" Target="https://www.antaranews.com/berita/3430227/lmkn-pantau-dan-evaluasi-skema-silm-terkait-royalti-lagu-dan-musik" TargetMode="External"/><Relationship Id="rId12" Type="http://schemas.openxmlformats.org/officeDocument/2006/relationships/hyperlink" Target="https://www.tempo.co/teroka/ari-%20lasso-ajukan-petisi-audit-wami-imbas-kasus-royalti-musik-2058503" TargetMode="External"/><Relationship Id="rId17" Type="http://schemas.openxmlformats.org/officeDocument/2006/relationships/hyperlink" Target="https://www.thembj.org/2023/06/digitization-and-globalization-where-is-the-%20african-music-industry/" TargetMode="External"/><Relationship Id="rId25" Type="http://schemas.openxmlformats.org/officeDocument/2006/relationships/hyperlink" Target="https://www.billboard.com/articles/business/8482056/mma-op-ed-open-music-initiative-open-standards" TargetMode="External"/><Relationship Id="rId2" Type="http://schemas.openxmlformats.org/officeDocument/2006/relationships/hyperlink" Target="https://docs.wto.org/dol2fe/Pages/SS/directdoc.aspx?filename=Q:/IP/C/W721.pdf&amp;Open=True" TargetMode="External"/><Relationship Id="rId16" Type="http://schemas.openxmlformats.org/officeDocument/2006/relationships/hyperlink" Target="https://doi.org/10.1080/08109029508629187" TargetMode="External"/><Relationship Id="rId20" Type="http://schemas.openxmlformats.org/officeDocument/2006/relationships/hyperlink" Target="https://www.europarl.europa.eu/news/fr/press-room/20240112IPR16773/diffusion-de-musique-garantir-un-salaire-et-des-algorithmes-equitables" TargetMode="External"/><Relationship Id="rId29" Type="http://schemas.openxmlformats.org/officeDocument/2006/relationships/hyperlink" Target="https://www.cisac.org/fr/Actus-Media/news-releases/lompi-et-la-cisac-annoncent-un-nouvel-accord-sur-les-donnees-figurant" TargetMode="External"/><Relationship Id="rId1" Type="http://schemas.openxmlformats.org/officeDocument/2006/relationships/hyperlink" Target="https://www.wired.com/story/spotify-streaming-playlists-music/" TargetMode="External"/><Relationship Id="rId6" Type="http://schemas.openxmlformats.org/officeDocument/2006/relationships/hyperlink" Target="https://apnews.com/article/spotify-loud-clear-report-8ddab5a6e03f65233b0f9ed80eb99e0c" TargetMode="External"/><Relationship Id="rId11" Type="http://schemas.openxmlformats.org/officeDocument/2006/relationships/hyperlink" Target="https://rri.co.id/hiburan/1765868/tompi-mundur-dari-wami-dan-gratiskan-lagunya" TargetMode="External"/><Relationship Id="rId24" Type="http://schemas.openxmlformats.org/officeDocument/2006/relationships/hyperlink" Target="https://committees.parliament.uk/work/646/economics-of-music-%20streaming/publications/" TargetMode="External"/><Relationship Id="rId32" Type="http://schemas.openxmlformats.org/officeDocument/2006/relationships/hyperlink" Target="https://www.japantimes.co.jp/news/2025/08/26/japan/crime-legal/japan-newspapers-sue-ai-startup/" TargetMode="External"/><Relationship Id="rId5" Type="http://schemas.openxmlformats.org/officeDocument/2006/relationships/hyperlink" Target="https://www.ifpi.org/ifpi-global-music-report-global-recorded-music-revenues-grew-10-%202-in-2023/" TargetMode="External"/><Relationship Id="rId15" Type="http://schemas.openxmlformats.org/officeDocument/2006/relationships/hyperlink" Target="https://doi.org/10.3167/jla.2023.070202" TargetMode="External"/><Relationship Id="rId23" Type="http://schemas.openxmlformats.org/officeDocument/2006/relationships/hyperlink" Target="http://www.ifpi.org/downloads/GMR2017.pdf" TargetMode="External"/><Relationship Id="rId28" Type="http://schemas.openxmlformats.org/officeDocument/2006/relationships/hyperlink" Target="https://www.unevaluation.org/sites/default/files/member_publications/evaluation-report-wipo-%20connect_1730473099.pdf" TargetMode="External"/><Relationship Id="rId10" Type="http://schemas.openxmlformats.org/officeDocument/2006/relationships/hyperlink" Target="https://www.tempo.co/hukum/lmkn-kaji-tarif-royalti-pemutaran-musik-untuk-umkm-2057117" TargetMode="External"/><Relationship Id="rId19" Type="http://schemas.openxmlformats.org/officeDocument/2006/relationships/hyperlink" Target="https://nation.africa/kenya/business/kecobo-deregisters-3-royalty-collection-groups-3523056?utm_source.com" TargetMode="External"/><Relationship Id="rId31" Type="http://schemas.openxmlformats.org/officeDocument/2006/relationships/hyperlink" Target="https://doi.org/10.1093/ccc/tcad024" TargetMode="External"/><Relationship Id="rId4" Type="http://schemas.openxmlformats.org/officeDocument/2006/relationships/hyperlink" Target="https://www.reuters.com/business/media-telecom/streaming-subscriptions-boost-2023-recorded-music-revenues-report-2024-03-21/" TargetMode="External"/><Relationship Id="rId9" Type="http://schemas.openxmlformats.org/officeDocument/2006/relationships/hyperlink" Target="http://prsformusic.com/-/media/files/prs-for-music/licensing/repertoire_to_royalties-dec_2012" TargetMode="External"/><Relationship Id="rId14" Type="http://schemas.openxmlformats.org/officeDocument/2006/relationships/hyperlink" Target="https://www.wipo.int/edocs/pubdocs/fr/wipo-pub-cr-cmotoolkit-2025-fr-wipo-good-practice-toolkit-for-collective-management-organizations-the-toolkit.pdf" TargetMode="External"/><Relationship Id="rId22" Type="http://schemas.openxmlformats.org/officeDocument/2006/relationships/hyperlink" Target="https://www.theregreview.org/2024/05/30/stern-the-inequalities-of-digital-music-streaming/" TargetMode="External"/><Relationship Id="rId27" Type="http://schemas.openxmlformats.org/officeDocument/2006/relationships/hyperlink" Target="https://www.wipo.int/meetings/en/2011/wipo_cr_doc_ge_11/pdf/isherwood_grd.pdf" TargetMode="External"/><Relationship Id="rId30" Type="http://schemas.openxmlformats.org/officeDocument/2006/relationships/hyperlink" Target="https://www.digitalmusicnews.com/2014/07/10/global-repertoire-database-%20declared-global-fail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C9B1-3861-4145-8D1E-D9481ED9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(F)</Template>
  <TotalTime>0</TotalTime>
  <Pages>3</Pages>
  <Words>9129</Words>
  <Characters>52586</Characters>
  <Application>Microsoft Office Word</Application>
  <DocSecurity>0</DocSecurity>
  <Lines>1813</Lines>
  <Paragraphs>1763</Paragraphs>
  <ScaleCrop>false</ScaleCrop>
  <HeadingPairs>
    <vt:vector size="2" baseType="variant">
      <vt:variant>
        <vt:lpstr>Title</vt:lpstr>
      </vt:variant>
      <vt:variant>
        <vt:i4>1</vt:i4>
      </vt:variant>
    </vt:vector>
  </HeadingPairs>
  <TitlesOfParts>
    <vt:vector size="1" baseType="lpstr">
      <vt:lpstr>SCCR/47/6</vt:lpstr>
    </vt:vector>
  </TitlesOfParts>
  <Company>WIPO</Company>
  <LinksUpToDate>false</LinksUpToDate>
  <CharactersWithSpaces>59952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SCCR/47/6</dc:title>
  <dc:creator>OLIVIÉ Karen</dc:creator>
  <cp:keywords>FOR OFFICIAL USE ONLY</cp:keywords>
  <cp:lastModifiedBy>HAIZEL Francesca</cp:lastModifiedBy>
  <cp:revision>2</cp:revision>
  <cp:lastPrinted>2011-05-19T12:37:00Z</cp:lastPrinted>
  <dcterms:created xsi:type="dcterms:W3CDTF">2025-11-10T08:47:00Z</dcterms:created>
  <dcterms:modified xsi:type="dcterms:W3CDTF">2025-11-10T08:47:00Z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