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218A" w14:textId="77777777" w:rsidR="008B2CC1" w:rsidRPr="007F3768" w:rsidRDefault="00DB0349" w:rsidP="007F3768">
      <w:pPr>
        <w:spacing w:after="120"/>
        <w:jc w:val="right"/>
        <w:rPr>
          <w:lang w:val="fr-FR"/>
        </w:rPr>
      </w:pPr>
      <w:r w:rsidRPr="007F3768">
        <w:rPr>
          <w:noProof/>
          <w:lang w:val="fr-FR" w:eastAsia="en-US"/>
        </w:rPr>
        <w:drawing>
          <wp:inline distT="0" distB="0" distL="0" distR="0" wp14:anchorId="68DACDFB" wp14:editId="2D1CF74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7F3768">
        <w:rPr>
          <w:rFonts w:ascii="Arial Black" w:hAnsi="Arial Black"/>
          <w:caps/>
          <w:noProof/>
          <w:sz w:val="15"/>
          <w:szCs w:val="15"/>
          <w:lang w:val="fr-FR" w:eastAsia="en-US"/>
        </w:rPr>
        <mc:AlternateContent>
          <mc:Choice Requires="wps">
            <w:drawing>
              <wp:inline distT="0" distB="0" distL="0" distR="0" wp14:anchorId="4B47BB4E" wp14:editId="19E98EF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E5843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D55D4C" w14:textId="527930DE" w:rsidR="008B2CC1" w:rsidRPr="007F3768" w:rsidRDefault="00456117" w:rsidP="007F3768">
      <w:pPr>
        <w:jc w:val="right"/>
        <w:rPr>
          <w:rFonts w:ascii="Arial Black" w:hAnsi="Arial Black"/>
          <w:caps/>
          <w:sz w:val="15"/>
          <w:szCs w:val="15"/>
          <w:lang w:val="fr-FR"/>
        </w:rPr>
      </w:pPr>
      <w:r w:rsidRPr="007F3768">
        <w:rPr>
          <w:rFonts w:ascii="Arial Black" w:hAnsi="Arial Black"/>
          <w:caps/>
          <w:sz w:val="15"/>
          <w:szCs w:val="15"/>
          <w:lang w:val="fr-FR"/>
        </w:rPr>
        <w:t>SCCR/4</w:t>
      </w:r>
      <w:r w:rsidR="00AC2EBA" w:rsidRPr="007F3768">
        <w:rPr>
          <w:rFonts w:ascii="Arial Black" w:hAnsi="Arial Black"/>
          <w:caps/>
          <w:sz w:val="15"/>
          <w:szCs w:val="15"/>
          <w:lang w:val="fr-FR"/>
        </w:rPr>
        <w:t>7</w:t>
      </w:r>
      <w:r w:rsidR="00D55C00" w:rsidRPr="007F3768">
        <w:rPr>
          <w:rFonts w:ascii="Arial Black" w:hAnsi="Arial Black"/>
          <w:caps/>
          <w:sz w:val="15"/>
          <w:szCs w:val="15"/>
          <w:lang w:val="fr-FR"/>
        </w:rPr>
        <w:t>/</w:t>
      </w:r>
      <w:bookmarkStart w:id="0" w:name="Code"/>
      <w:bookmarkEnd w:id="0"/>
      <w:r w:rsidR="00807B43" w:rsidRPr="007F3768">
        <w:rPr>
          <w:rFonts w:ascii="Arial Black" w:hAnsi="Arial Black"/>
          <w:caps/>
          <w:sz w:val="15"/>
          <w:szCs w:val="15"/>
          <w:lang w:val="fr-FR"/>
        </w:rPr>
        <w:t>5</w:t>
      </w:r>
    </w:p>
    <w:p w14:paraId="04690A9C" w14:textId="0FBBE533" w:rsidR="008B2CC1" w:rsidRPr="007F3768" w:rsidRDefault="00DB0349" w:rsidP="007F3768">
      <w:pPr>
        <w:jc w:val="right"/>
        <w:rPr>
          <w:rFonts w:ascii="Arial Black" w:hAnsi="Arial Black"/>
          <w:caps/>
          <w:sz w:val="15"/>
          <w:szCs w:val="15"/>
          <w:lang w:val="fr-FR"/>
        </w:rPr>
      </w:pPr>
      <w:r w:rsidRPr="007F3768">
        <w:rPr>
          <w:rFonts w:ascii="Arial Black" w:hAnsi="Arial Black"/>
          <w:caps/>
          <w:sz w:val="15"/>
          <w:szCs w:val="15"/>
          <w:lang w:val="fr-FR"/>
        </w:rPr>
        <w:t>Original</w:t>
      </w:r>
      <w:r w:rsidR="00A94A66" w:rsidRPr="007F3768">
        <w:rPr>
          <w:rFonts w:ascii="Arial Black" w:hAnsi="Arial Black"/>
          <w:caps/>
          <w:sz w:val="15"/>
          <w:szCs w:val="15"/>
          <w:lang w:val="fr-FR"/>
        </w:rPr>
        <w:t> :</w:t>
      </w:r>
      <w:r w:rsidRPr="007F3768">
        <w:rPr>
          <w:rFonts w:ascii="Arial Black" w:hAnsi="Arial Black"/>
          <w:caps/>
          <w:sz w:val="15"/>
          <w:szCs w:val="15"/>
          <w:lang w:val="fr-FR"/>
        </w:rPr>
        <w:t xml:space="preserve"> </w:t>
      </w:r>
      <w:bookmarkStart w:id="1" w:name="Original"/>
      <w:r w:rsidR="00807B43" w:rsidRPr="007F3768">
        <w:rPr>
          <w:rFonts w:ascii="Arial Black" w:hAnsi="Arial Black"/>
          <w:caps/>
          <w:sz w:val="15"/>
          <w:szCs w:val="15"/>
          <w:lang w:val="fr-FR"/>
        </w:rPr>
        <w:t>anglais</w:t>
      </w:r>
    </w:p>
    <w:bookmarkEnd w:id="1"/>
    <w:p w14:paraId="4CC8C445" w14:textId="63C280EA" w:rsidR="008B2CC1" w:rsidRPr="007F3768" w:rsidRDefault="00DB0349" w:rsidP="007F3768">
      <w:pPr>
        <w:spacing w:after="1200"/>
        <w:jc w:val="right"/>
        <w:rPr>
          <w:rFonts w:ascii="Arial Black" w:hAnsi="Arial Black"/>
          <w:caps/>
          <w:sz w:val="15"/>
          <w:szCs w:val="15"/>
          <w:lang w:val="fr-FR"/>
        </w:rPr>
      </w:pPr>
      <w:r w:rsidRPr="007F3768">
        <w:rPr>
          <w:rFonts w:ascii="Arial Black" w:hAnsi="Arial Black"/>
          <w:caps/>
          <w:sz w:val="15"/>
          <w:szCs w:val="15"/>
          <w:lang w:val="fr-FR"/>
        </w:rPr>
        <w:t>date</w:t>
      </w:r>
      <w:r w:rsidR="00A94A66" w:rsidRPr="007F3768">
        <w:rPr>
          <w:rFonts w:ascii="Arial Black" w:hAnsi="Arial Black"/>
          <w:caps/>
          <w:sz w:val="15"/>
          <w:szCs w:val="15"/>
          <w:lang w:val="fr-FR"/>
        </w:rPr>
        <w:t> :</w:t>
      </w:r>
      <w:r w:rsidRPr="007F3768">
        <w:rPr>
          <w:rFonts w:ascii="Arial Black" w:hAnsi="Arial Black"/>
          <w:caps/>
          <w:sz w:val="15"/>
          <w:szCs w:val="15"/>
          <w:lang w:val="fr-FR"/>
        </w:rPr>
        <w:t xml:space="preserve"> </w:t>
      </w:r>
      <w:bookmarkStart w:id="2" w:name="Date"/>
      <w:r w:rsidR="00807B43" w:rsidRPr="007F3768">
        <w:rPr>
          <w:rFonts w:ascii="Arial Black" w:hAnsi="Arial Black"/>
          <w:caps/>
          <w:sz w:val="15"/>
          <w:szCs w:val="15"/>
          <w:lang w:val="fr-FR"/>
        </w:rPr>
        <w:t>7 octobre 2025</w:t>
      </w:r>
    </w:p>
    <w:bookmarkEnd w:id="2"/>
    <w:p w14:paraId="4D1E7919" w14:textId="518FEA2B" w:rsidR="00C40E15" w:rsidRPr="007F3768" w:rsidRDefault="00D55C00" w:rsidP="007F3768">
      <w:pPr>
        <w:spacing w:after="480"/>
        <w:rPr>
          <w:b/>
          <w:sz w:val="28"/>
          <w:szCs w:val="28"/>
          <w:lang w:val="fr-FR"/>
        </w:rPr>
      </w:pPr>
      <w:r w:rsidRPr="007F3768">
        <w:rPr>
          <w:b/>
          <w:sz w:val="28"/>
          <w:szCs w:val="28"/>
          <w:lang w:val="fr-FR"/>
        </w:rPr>
        <w:t>Comité permanent du droit d</w:t>
      </w:r>
      <w:r w:rsidR="00A94A66" w:rsidRPr="007F3768">
        <w:rPr>
          <w:b/>
          <w:sz w:val="28"/>
          <w:szCs w:val="28"/>
          <w:lang w:val="fr-FR"/>
        </w:rPr>
        <w:t>’</w:t>
      </w:r>
      <w:r w:rsidRPr="007F3768">
        <w:rPr>
          <w:b/>
          <w:sz w:val="28"/>
          <w:szCs w:val="28"/>
          <w:lang w:val="fr-FR"/>
        </w:rPr>
        <w:t>auteur et des droits connexes</w:t>
      </w:r>
    </w:p>
    <w:p w14:paraId="25189724" w14:textId="7F380D6D" w:rsidR="008B2CC1" w:rsidRPr="007F3768" w:rsidRDefault="00D55C00" w:rsidP="007F3768">
      <w:pPr>
        <w:rPr>
          <w:b/>
          <w:sz w:val="24"/>
          <w:szCs w:val="24"/>
          <w:lang w:val="fr-FR"/>
        </w:rPr>
      </w:pPr>
      <w:r w:rsidRPr="007F3768">
        <w:rPr>
          <w:b/>
          <w:sz w:val="24"/>
          <w:szCs w:val="24"/>
          <w:lang w:val="fr-FR"/>
        </w:rPr>
        <w:t>Quarante</w:t>
      </w:r>
      <w:r w:rsidR="007F3768">
        <w:rPr>
          <w:b/>
          <w:sz w:val="24"/>
          <w:szCs w:val="24"/>
          <w:lang w:val="fr-FR"/>
        </w:rPr>
        <w:noBreakHyphen/>
      </w:r>
      <w:r w:rsidR="001F091D" w:rsidRPr="007F3768">
        <w:rPr>
          <w:b/>
          <w:sz w:val="24"/>
          <w:szCs w:val="24"/>
          <w:lang w:val="fr-FR"/>
        </w:rPr>
        <w:t>s</w:t>
      </w:r>
      <w:r w:rsidR="00AC2EBA" w:rsidRPr="007F3768">
        <w:rPr>
          <w:b/>
          <w:sz w:val="24"/>
          <w:szCs w:val="24"/>
          <w:lang w:val="fr-FR"/>
        </w:rPr>
        <w:t>ept</w:t>
      </w:r>
      <w:r w:rsidR="00A94A66" w:rsidRPr="007F3768">
        <w:rPr>
          <w:b/>
          <w:sz w:val="24"/>
          <w:szCs w:val="24"/>
          <w:lang w:val="fr-FR"/>
        </w:rPr>
        <w:t>ième session</w:t>
      </w:r>
    </w:p>
    <w:p w14:paraId="3B6AF880" w14:textId="098252B7" w:rsidR="008B2CC1" w:rsidRPr="007F3768" w:rsidRDefault="00D55C00" w:rsidP="007F3768">
      <w:pPr>
        <w:spacing w:after="720"/>
        <w:rPr>
          <w:b/>
          <w:sz w:val="24"/>
          <w:szCs w:val="24"/>
          <w:lang w:val="fr-FR"/>
        </w:rPr>
      </w:pPr>
      <w:r w:rsidRPr="007F3768">
        <w:rPr>
          <w:b/>
          <w:sz w:val="24"/>
          <w:szCs w:val="24"/>
          <w:lang w:val="fr-FR"/>
        </w:rPr>
        <w:t>Genève,</w:t>
      </w:r>
      <w:r w:rsidR="00A94A66" w:rsidRPr="007F3768">
        <w:rPr>
          <w:b/>
          <w:sz w:val="24"/>
          <w:szCs w:val="24"/>
          <w:lang w:val="fr-FR"/>
        </w:rPr>
        <w:t xml:space="preserve"> 1</w:t>
      </w:r>
      <w:r w:rsidR="00A94A66" w:rsidRPr="007F3768">
        <w:rPr>
          <w:b/>
          <w:sz w:val="24"/>
          <w:szCs w:val="24"/>
          <w:vertAlign w:val="superscript"/>
          <w:lang w:val="fr-FR"/>
        </w:rPr>
        <w:t>er</w:t>
      </w:r>
      <w:r w:rsidR="00A94A66" w:rsidRPr="007F3768">
        <w:rPr>
          <w:b/>
          <w:sz w:val="24"/>
          <w:szCs w:val="24"/>
          <w:lang w:val="fr-FR"/>
        </w:rPr>
        <w:t> </w:t>
      </w:r>
      <w:r w:rsidR="00456117" w:rsidRPr="007F3768">
        <w:rPr>
          <w:b/>
          <w:sz w:val="24"/>
          <w:szCs w:val="24"/>
          <w:lang w:val="fr-FR"/>
        </w:rPr>
        <w:t xml:space="preserve">– </w:t>
      </w:r>
      <w:r w:rsidR="00AC2EBA" w:rsidRPr="007F3768">
        <w:rPr>
          <w:b/>
          <w:sz w:val="24"/>
          <w:szCs w:val="24"/>
          <w:lang w:val="fr-FR"/>
        </w:rPr>
        <w:t>5</w:t>
      </w:r>
      <w:r w:rsidR="00DC4A0D" w:rsidRPr="007F3768">
        <w:rPr>
          <w:b/>
          <w:sz w:val="24"/>
          <w:szCs w:val="24"/>
          <w:lang w:val="fr-FR"/>
        </w:rPr>
        <w:t> </w:t>
      </w:r>
      <w:r w:rsidR="00AC2EBA" w:rsidRPr="007F3768">
        <w:rPr>
          <w:b/>
          <w:sz w:val="24"/>
          <w:szCs w:val="24"/>
          <w:lang w:val="fr-FR"/>
        </w:rPr>
        <w:t>décembre </w:t>
      </w:r>
      <w:r w:rsidR="00456117" w:rsidRPr="007F3768">
        <w:rPr>
          <w:b/>
          <w:sz w:val="24"/>
          <w:szCs w:val="24"/>
          <w:lang w:val="fr-FR"/>
        </w:rPr>
        <w:t>202</w:t>
      </w:r>
      <w:r w:rsidR="001F091D" w:rsidRPr="007F3768">
        <w:rPr>
          <w:b/>
          <w:sz w:val="24"/>
          <w:szCs w:val="24"/>
          <w:lang w:val="fr-FR"/>
        </w:rPr>
        <w:t>5</w:t>
      </w:r>
    </w:p>
    <w:p w14:paraId="11CC17BA" w14:textId="24239334" w:rsidR="008B2CC1" w:rsidRPr="007F3768" w:rsidRDefault="00807B43" w:rsidP="007F3768">
      <w:pPr>
        <w:spacing w:after="360"/>
        <w:rPr>
          <w:caps/>
          <w:sz w:val="24"/>
          <w:lang w:val="fr-FR"/>
        </w:rPr>
      </w:pPr>
      <w:bookmarkStart w:id="3" w:name="TitleOfDoc"/>
      <w:r w:rsidRPr="007F3768">
        <w:rPr>
          <w:caps/>
          <w:sz w:val="24"/>
          <w:lang w:val="fr-FR"/>
        </w:rPr>
        <w:t>Proposition relative aux limitations et exceptions</w:t>
      </w:r>
    </w:p>
    <w:p w14:paraId="5DB6EA26" w14:textId="26F8A3AD" w:rsidR="00525B63" w:rsidRPr="007F3768" w:rsidRDefault="00807B43" w:rsidP="007F3768">
      <w:pPr>
        <w:spacing w:after="960"/>
        <w:rPr>
          <w:i/>
          <w:iCs/>
          <w:lang w:val="fr-FR"/>
        </w:rPr>
      </w:pPr>
      <w:bookmarkStart w:id="4" w:name="Prepared"/>
      <w:bookmarkEnd w:id="3"/>
      <w:r w:rsidRPr="007F3768">
        <w:rPr>
          <w:i/>
          <w:iCs/>
          <w:lang w:val="fr-FR"/>
        </w:rPr>
        <w:t>établie par le groupe des pays africains</w:t>
      </w:r>
    </w:p>
    <w:bookmarkEnd w:id="4"/>
    <w:p w14:paraId="4D419AC1" w14:textId="2BABF718" w:rsidR="00807B43" w:rsidRPr="007F3768" w:rsidRDefault="00807B43" w:rsidP="007F3768">
      <w:pPr>
        <w:rPr>
          <w:lang w:val="fr-FR"/>
        </w:rPr>
      </w:pPr>
      <w:r w:rsidRPr="007F3768">
        <w:rPr>
          <w:lang w:val="fr-FR"/>
        </w:rPr>
        <w:br w:type="page"/>
      </w:r>
    </w:p>
    <w:p w14:paraId="5E5382C3" w14:textId="05BE4A8A" w:rsidR="00807B43" w:rsidRPr="007F3768" w:rsidRDefault="00807B43" w:rsidP="007F3768">
      <w:pPr>
        <w:rPr>
          <w:rFonts w:eastAsia="Times New Roman" w:cs="Times New Roman"/>
          <w:i/>
          <w:iCs/>
          <w:lang w:val="fr-FR"/>
        </w:rPr>
      </w:pPr>
      <w:r w:rsidRPr="007F3768">
        <w:rPr>
          <w:i/>
          <w:lang w:val="fr-FR"/>
        </w:rPr>
        <w:lastRenderedPageBreak/>
        <w:t>Note liminaire</w:t>
      </w:r>
      <w:r w:rsidR="00A94A66" w:rsidRPr="007F3768">
        <w:rPr>
          <w:i/>
          <w:lang w:val="fr-FR"/>
        </w:rPr>
        <w:t> :</w:t>
      </w:r>
    </w:p>
    <w:p w14:paraId="44CC55AC" w14:textId="77777777" w:rsidR="00807B43" w:rsidRPr="007F3768" w:rsidRDefault="00807B43" w:rsidP="007F3768">
      <w:pPr>
        <w:rPr>
          <w:rFonts w:eastAsia="Times New Roman" w:cs="Times New Roman"/>
          <w:i/>
          <w:iCs/>
          <w:lang w:val="fr-FR"/>
        </w:rPr>
      </w:pPr>
    </w:p>
    <w:p w14:paraId="6DFF715C" w14:textId="4976E93E" w:rsidR="00807B43" w:rsidRPr="007F3768" w:rsidRDefault="00807B43" w:rsidP="007F3768">
      <w:pPr>
        <w:rPr>
          <w:rFonts w:eastAsia="Times New Roman" w:cs="Times New Roman"/>
          <w:lang w:val="fr-FR"/>
        </w:rPr>
      </w:pPr>
      <w:r w:rsidRPr="007F3768">
        <w:rPr>
          <w:lang w:val="fr-FR"/>
        </w:rPr>
        <w:tab/>
        <w:t>La question des limitations et exceptions relatives aux œuvres protégées par le droit d</w:t>
      </w:r>
      <w:r w:rsidR="00A94A66" w:rsidRPr="007F3768">
        <w:rPr>
          <w:lang w:val="fr-FR"/>
        </w:rPr>
        <w:t>’</w:t>
      </w:r>
      <w:r w:rsidRPr="007F3768">
        <w:rPr>
          <w:lang w:val="fr-FR"/>
        </w:rPr>
        <w:t>auteur est examinée au sein de l</w:t>
      </w:r>
      <w:r w:rsidR="00A94A66" w:rsidRPr="007F3768">
        <w:rPr>
          <w:lang w:val="fr-FR"/>
        </w:rPr>
        <w:t>’</w:t>
      </w:r>
      <w:r w:rsidRPr="007F3768">
        <w:rPr>
          <w:lang w:val="fr-FR"/>
        </w:rPr>
        <w:t xml:space="preserve">Organisation Mondiale de la Propriété Intellectuelle </w:t>
      </w:r>
      <w:r w:rsidR="00A94A66" w:rsidRPr="007F3768">
        <w:rPr>
          <w:lang w:val="fr-FR"/>
        </w:rPr>
        <w:t>depuis 2004</w:t>
      </w:r>
      <w:r w:rsidRPr="007F3768">
        <w:rPr>
          <w:lang w:val="fr-FR"/>
        </w:rPr>
        <w:t>.  Elle a été inscrite à l</w:t>
      </w:r>
      <w:r w:rsidR="00A94A66" w:rsidRPr="007F3768">
        <w:rPr>
          <w:lang w:val="fr-FR"/>
        </w:rPr>
        <w:t>’</w:t>
      </w:r>
      <w:r w:rsidRPr="007F3768">
        <w:rPr>
          <w:lang w:val="fr-FR"/>
        </w:rPr>
        <w:t>ordre du jour du Comité permanent du droit d</w:t>
      </w:r>
      <w:r w:rsidR="00A94A66" w:rsidRPr="007F3768">
        <w:rPr>
          <w:lang w:val="fr-FR"/>
        </w:rPr>
        <w:t>’</w:t>
      </w:r>
      <w:r w:rsidRPr="007F3768">
        <w:rPr>
          <w:lang w:val="fr-FR"/>
        </w:rPr>
        <w:t>auteur et des droits connexes (SCCR) lors des délibérations tenues à l</w:t>
      </w:r>
      <w:r w:rsidR="00A94A66" w:rsidRPr="007F3768">
        <w:rPr>
          <w:lang w:val="fr-FR"/>
        </w:rPr>
        <w:t>’</w:t>
      </w:r>
      <w:proofErr w:type="spellStart"/>
      <w:r w:rsidRPr="007F3768">
        <w:rPr>
          <w:lang w:val="fr-FR"/>
        </w:rPr>
        <w:t>OMPI</w:t>
      </w:r>
      <w:proofErr w:type="spellEnd"/>
      <w:r w:rsidRPr="007F3768">
        <w:rPr>
          <w:lang w:val="fr-FR"/>
        </w:rPr>
        <w:t xml:space="preserve"> en vue de l</w:t>
      </w:r>
      <w:r w:rsidR="00A94A66" w:rsidRPr="007F3768">
        <w:rPr>
          <w:lang w:val="fr-FR"/>
        </w:rPr>
        <w:t>’</w:t>
      </w:r>
      <w:r w:rsidRPr="007F3768">
        <w:rPr>
          <w:lang w:val="fr-FR"/>
        </w:rPr>
        <w:t>élaboration d</w:t>
      </w:r>
      <w:r w:rsidR="00A94A66" w:rsidRPr="007F3768">
        <w:rPr>
          <w:lang w:val="fr-FR"/>
        </w:rPr>
        <w:t>’</w:t>
      </w:r>
      <w:r w:rsidRPr="007F3768">
        <w:rPr>
          <w:lang w:val="fr-FR"/>
        </w:rPr>
        <w:t>un plan d</w:t>
      </w:r>
      <w:r w:rsidR="00A94A66" w:rsidRPr="007F3768">
        <w:rPr>
          <w:lang w:val="fr-FR"/>
        </w:rPr>
        <w:t>’</w:t>
      </w:r>
      <w:r w:rsidRPr="007F3768">
        <w:rPr>
          <w:lang w:val="fr-FR"/>
        </w:rPr>
        <w:t xml:space="preserve">action pour le développement (adopté </w:t>
      </w:r>
      <w:r w:rsidR="00A94A66" w:rsidRPr="007F3768">
        <w:rPr>
          <w:lang w:val="fr-FR"/>
        </w:rPr>
        <w:t>en 2007</w:t>
      </w:r>
      <w:r w:rsidRPr="007F3768">
        <w:rPr>
          <w:lang w:val="fr-FR"/>
        </w:rPr>
        <w:t>).</w:t>
      </w:r>
    </w:p>
    <w:p w14:paraId="7BACDA5E" w14:textId="77777777" w:rsidR="00807B43" w:rsidRPr="007F3768" w:rsidRDefault="00807B43" w:rsidP="007F3768">
      <w:pPr>
        <w:rPr>
          <w:rFonts w:eastAsia="Times New Roman" w:cs="Times New Roman"/>
          <w:lang w:val="fr-FR"/>
        </w:rPr>
      </w:pPr>
    </w:p>
    <w:p w14:paraId="31424368" w14:textId="61B57060" w:rsidR="00807B43" w:rsidRPr="007F3768" w:rsidRDefault="00807B43" w:rsidP="007F3768">
      <w:pPr>
        <w:rPr>
          <w:rFonts w:eastAsia="Times New Roman" w:cs="Times New Roman"/>
          <w:lang w:val="fr-FR"/>
        </w:rPr>
      </w:pPr>
      <w:r w:rsidRPr="007F3768">
        <w:rPr>
          <w:lang w:val="fr-FR"/>
        </w:rPr>
        <w:tab/>
        <w:t>Le groupe des pays africains est de longue date le principal demandeur de limitations et d</w:t>
      </w:r>
      <w:r w:rsidR="00A94A66" w:rsidRPr="007F3768">
        <w:rPr>
          <w:lang w:val="fr-FR"/>
        </w:rPr>
        <w:t>’</w:t>
      </w:r>
      <w:r w:rsidRPr="007F3768">
        <w:rPr>
          <w:lang w:val="fr-FR"/>
        </w:rPr>
        <w:t>exceptions, aux côtés d</w:t>
      </w:r>
      <w:r w:rsidR="00A94A66" w:rsidRPr="007F3768">
        <w:rPr>
          <w:lang w:val="fr-FR"/>
        </w:rPr>
        <w:t>’</w:t>
      </w:r>
      <w:r w:rsidRPr="007F3768">
        <w:rPr>
          <w:lang w:val="fr-FR"/>
        </w:rPr>
        <w:t>autres grands pays en développement (tels que l</w:t>
      </w:r>
      <w:r w:rsidR="00A94A66" w:rsidRPr="007F3768">
        <w:rPr>
          <w:lang w:val="fr-FR"/>
        </w:rPr>
        <w:t>’</w:t>
      </w:r>
      <w:r w:rsidRPr="007F3768">
        <w:rPr>
          <w:lang w:val="fr-FR"/>
        </w:rPr>
        <w:t>Inde, le Pakistan, l</w:t>
      </w:r>
      <w:r w:rsidR="00A94A66" w:rsidRPr="007F3768">
        <w:rPr>
          <w:lang w:val="fr-FR"/>
        </w:rPr>
        <w:t>’</w:t>
      </w:r>
      <w:r w:rsidRPr="007F3768">
        <w:rPr>
          <w:lang w:val="fr-FR"/>
        </w:rPr>
        <w:t>Iran, l</w:t>
      </w:r>
      <w:r w:rsidR="00A94A66" w:rsidRPr="007F3768">
        <w:rPr>
          <w:lang w:val="fr-FR"/>
        </w:rPr>
        <w:t>’</w:t>
      </w:r>
      <w:r w:rsidRPr="007F3768">
        <w:rPr>
          <w:lang w:val="fr-FR"/>
        </w:rPr>
        <w:t>Indonésie et le Brésil).  À titre d</w:t>
      </w:r>
      <w:r w:rsidR="00A94A66" w:rsidRPr="007F3768">
        <w:rPr>
          <w:lang w:val="fr-FR"/>
        </w:rPr>
        <w:t>’</w:t>
      </w:r>
      <w:r w:rsidRPr="007F3768">
        <w:rPr>
          <w:lang w:val="fr-FR"/>
        </w:rPr>
        <w:t>exemple, le groupe a présenté les premières propositions de traité complet sur les limitations et exceptions en faveur des bibliothèques et des services d</w:t>
      </w:r>
      <w:r w:rsidR="00A94A66" w:rsidRPr="007F3768">
        <w:rPr>
          <w:lang w:val="fr-FR"/>
        </w:rPr>
        <w:t>’</w:t>
      </w:r>
      <w:r w:rsidRPr="007F3768">
        <w:rPr>
          <w:lang w:val="fr-FR"/>
        </w:rPr>
        <w:t>archives, des établissements d</w:t>
      </w:r>
      <w:r w:rsidR="00A94A66" w:rsidRPr="007F3768">
        <w:rPr>
          <w:lang w:val="fr-FR"/>
        </w:rPr>
        <w:t>’</w:t>
      </w:r>
      <w:r w:rsidRPr="007F3768">
        <w:rPr>
          <w:lang w:val="fr-FR"/>
        </w:rPr>
        <w:t>enseignement et des personnes handicapées (</w:t>
      </w:r>
      <w:hyperlink r:id="rId8">
        <w:r w:rsidRPr="007F3768">
          <w:rPr>
            <w:rStyle w:val="Hyperlink"/>
            <w:lang w:val="fr-FR"/>
          </w:rPr>
          <w:t>SCCR/20/11</w:t>
        </w:r>
      </w:hyperlink>
      <w:r w:rsidRPr="007F3768">
        <w:rPr>
          <w:lang w:val="fr-FR"/>
        </w:rPr>
        <w:t xml:space="preserve"> et </w:t>
      </w:r>
      <w:hyperlink r:id="rId9">
        <w:r w:rsidRPr="007F3768">
          <w:rPr>
            <w:rStyle w:val="Hyperlink"/>
            <w:lang w:val="fr-FR"/>
          </w:rPr>
          <w:t>SCCR/22/12</w:t>
        </w:r>
      </w:hyperlink>
      <w:r w:rsidRPr="007F3768">
        <w:rPr>
          <w:lang w:val="fr-FR"/>
        </w:rPr>
        <w:t>), et a été l</w:t>
      </w:r>
      <w:r w:rsidR="00A94A66" w:rsidRPr="007F3768">
        <w:rPr>
          <w:lang w:val="fr-FR"/>
        </w:rPr>
        <w:t>’</w:t>
      </w:r>
      <w:r w:rsidRPr="007F3768">
        <w:rPr>
          <w:lang w:val="fr-FR"/>
        </w:rPr>
        <w:t>un des moteurs du Traité de Marrakech visant à faciliter l</w:t>
      </w:r>
      <w:r w:rsidR="00A94A66" w:rsidRPr="007F3768">
        <w:rPr>
          <w:lang w:val="fr-FR"/>
        </w:rPr>
        <w:t>’</w:t>
      </w:r>
      <w:r w:rsidRPr="007F3768">
        <w:rPr>
          <w:lang w:val="fr-FR"/>
        </w:rPr>
        <w:t>accès des aveugles, des déficients visuels et des personnes ayant d</w:t>
      </w:r>
      <w:r w:rsidR="00A94A66" w:rsidRPr="007F3768">
        <w:rPr>
          <w:lang w:val="fr-FR"/>
        </w:rPr>
        <w:t>’</w:t>
      </w:r>
      <w:r w:rsidRPr="007F3768">
        <w:rPr>
          <w:lang w:val="fr-FR"/>
        </w:rPr>
        <w:t xml:space="preserve">autres difficultés de lecture des textes imprimés aux œuvres publiées, adopté </w:t>
      </w:r>
      <w:r w:rsidR="00A94A66" w:rsidRPr="007F3768">
        <w:rPr>
          <w:lang w:val="fr-FR"/>
        </w:rPr>
        <w:t>en 2013</w:t>
      </w:r>
      <w:r w:rsidRPr="007F3768">
        <w:rPr>
          <w:lang w:val="fr-FR"/>
        </w:rPr>
        <w:t>.  À la suite de l</w:t>
      </w:r>
      <w:r w:rsidR="00A94A66" w:rsidRPr="007F3768">
        <w:rPr>
          <w:lang w:val="fr-FR"/>
        </w:rPr>
        <w:t>’</w:t>
      </w:r>
      <w:r w:rsidRPr="007F3768">
        <w:rPr>
          <w:lang w:val="fr-FR"/>
        </w:rPr>
        <w:t>adoption de ce traité, les travaux</w:t>
      </w:r>
      <w:r w:rsidR="00A94A66" w:rsidRPr="007F3768">
        <w:rPr>
          <w:lang w:val="fr-FR"/>
        </w:rPr>
        <w:t xml:space="preserve"> du SCC</w:t>
      </w:r>
      <w:r w:rsidRPr="007F3768">
        <w:rPr>
          <w:lang w:val="fr-FR"/>
        </w:rPr>
        <w:t>R se sont orientés vers les limitations et exceptions en faveur d</w:t>
      </w:r>
      <w:r w:rsidR="00A94A66" w:rsidRPr="007F3768">
        <w:rPr>
          <w:lang w:val="fr-FR"/>
        </w:rPr>
        <w:t>’</w:t>
      </w:r>
      <w:r w:rsidRPr="007F3768">
        <w:rPr>
          <w:lang w:val="fr-FR"/>
        </w:rPr>
        <w:t>autres bénéficiaires (bibliothèques et services d</w:t>
      </w:r>
      <w:r w:rsidR="00A94A66" w:rsidRPr="007F3768">
        <w:rPr>
          <w:lang w:val="fr-FR"/>
        </w:rPr>
        <w:t>’</w:t>
      </w:r>
      <w:r w:rsidRPr="007F3768">
        <w:rPr>
          <w:lang w:val="fr-FR"/>
        </w:rPr>
        <w:t>archives, établissements d</w:t>
      </w:r>
      <w:r w:rsidR="00A94A66" w:rsidRPr="007F3768">
        <w:rPr>
          <w:lang w:val="fr-FR"/>
        </w:rPr>
        <w:t>’</w:t>
      </w:r>
      <w:r w:rsidRPr="007F3768">
        <w:rPr>
          <w:lang w:val="fr-FR"/>
        </w:rPr>
        <w:t>enseignement et de recherche, et personnes ayant d</w:t>
      </w:r>
      <w:r w:rsidR="00A94A66" w:rsidRPr="007F3768">
        <w:rPr>
          <w:lang w:val="fr-FR"/>
        </w:rPr>
        <w:t>’</w:t>
      </w:r>
      <w:r w:rsidRPr="007F3768">
        <w:rPr>
          <w:lang w:val="fr-FR"/>
        </w:rPr>
        <w:t>autres handicaps) qui n</w:t>
      </w:r>
      <w:r w:rsidR="00A94A66" w:rsidRPr="007F3768">
        <w:rPr>
          <w:lang w:val="fr-FR"/>
        </w:rPr>
        <w:t>’</w:t>
      </w:r>
      <w:r w:rsidRPr="007F3768">
        <w:rPr>
          <w:lang w:val="fr-FR"/>
        </w:rPr>
        <w:t>étaient pas couverts par le Traité de Marrakech.</w:t>
      </w:r>
    </w:p>
    <w:p w14:paraId="5620BEFA" w14:textId="77777777" w:rsidR="00807B43" w:rsidRPr="007F3768" w:rsidRDefault="00807B43" w:rsidP="007F3768">
      <w:pPr>
        <w:rPr>
          <w:rFonts w:eastAsia="Times New Roman" w:cs="Times New Roman"/>
          <w:lang w:val="fr-FR"/>
        </w:rPr>
      </w:pPr>
    </w:p>
    <w:p w14:paraId="414B60A0" w14:textId="39E63C7B" w:rsidR="00807B43" w:rsidRPr="007F3768" w:rsidRDefault="00807B43" w:rsidP="007F3768">
      <w:pPr>
        <w:rPr>
          <w:rFonts w:eastAsia="Times New Roman" w:cs="Times New Roman"/>
          <w:lang w:val="fr-FR"/>
        </w:rPr>
      </w:pPr>
      <w:r w:rsidRPr="007F3768">
        <w:rPr>
          <w:lang w:val="fr-FR"/>
        </w:rPr>
        <w:tab/>
        <w:t>La poursuite des travaux sur les limitations et exceptions s</w:t>
      </w:r>
      <w:r w:rsidR="00A94A66" w:rsidRPr="007F3768">
        <w:rPr>
          <w:lang w:val="fr-FR"/>
        </w:rPr>
        <w:t>’</w:t>
      </w:r>
      <w:r w:rsidRPr="007F3768">
        <w:rPr>
          <w:lang w:val="fr-FR"/>
        </w:rPr>
        <w:t>est appuyée sur une recommandation formulée par l</w:t>
      </w:r>
      <w:r w:rsidR="00A94A66" w:rsidRPr="007F3768">
        <w:rPr>
          <w:lang w:val="fr-FR"/>
        </w:rPr>
        <w:t>’</w:t>
      </w:r>
      <w:r w:rsidRPr="007F3768">
        <w:rPr>
          <w:lang w:val="fr-FR"/>
        </w:rPr>
        <w:t xml:space="preserve">Assemblée générale </w:t>
      </w:r>
      <w:r w:rsidR="00A94A66" w:rsidRPr="007F3768">
        <w:rPr>
          <w:lang w:val="fr-FR"/>
        </w:rPr>
        <w:t>en 2012</w:t>
      </w:r>
      <w:r w:rsidRPr="007F3768">
        <w:rPr>
          <w:lang w:val="fr-FR"/>
        </w:rPr>
        <w:t xml:space="preserve"> visant à “</w:t>
      </w:r>
      <w:r w:rsidRPr="007F3768">
        <w:rPr>
          <w:i/>
          <w:lang w:val="fr-FR"/>
        </w:rPr>
        <w:t>poursuivre les discussions en vue de l</w:t>
      </w:r>
      <w:r w:rsidR="00A94A66" w:rsidRPr="007F3768">
        <w:rPr>
          <w:i/>
          <w:lang w:val="fr-FR"/>
        </w:rPr>
        <w:t>’</w:t>
      </w:r>
      <w:r w:rsidRPr="007F3768">
        <w:rPr>
          <w:i/>
          <w:lang w:val="fr-FR"/>
        </w:rPr>
        <w:t>élaboration d</w:t>
      </w:r>
      <w:r w:rsidR="00A94A66" w:rsidRPr="007F3768">
        <w:rPr>
          <w:i/>
          <w:lang w:val="fr-FR"/>
        </w:rPr>
        <w:t>’</w:t>
      </w:r>
      <w:r w:rsidRPr="007F3768">
        <w:rPr>
          <w:i/>
          <w:lang w:val="fr-FR"/>
        </w:rPr>
        <w:t>un ou plusieurs instruments juridiques internationaux appropriés (qu</w:t>
      </w:r>
      <w:r w:rsidR="00A94A66" w:rsidRPr="007F3768">
        <w:rPr>
          <w:i/>
          <w:lang w:val="fr-FR"/>
        </w:rPr>
        <w:t>’</w:t>
      </w:r>
      <w:r w:rsidRPr="007F3768">
        <w:rPr>
          <w:i/>
          <w:lang w:val="fr-FR"/>
        </w:rPr>
        <w:t>il s</w:t>
      </w:r>
      <w:r w:rsidR="00A94A66" w:rsidRPr="007F3768">
        <w:rPr>
          <w:i/>
          <w:lang w:val="fr-FR"/>
        </w:rPr>
        <w:t>’</w:t>
      </w:r>
      <w:r w:rsidRPr="007F3768">
        <w:rPr>
          <w:i/>
          <w:lang w:val="fr-FR"/>
        </w:rPr>
        <w:t>agisse d</w:t>
      </w:r>
      <w:r w:rsidR="00A94A66" w:rsidRPr="007F3768">
        <w:rPr>
          <w:i/>
          <w:lang w:val="fr-FR"/>
        </w:rPr>
        <w:t>’</w:t>
      </w:r>
      <w:r w:rsidRPr="007F3768">
        <w:rPr>
          <w:i/>
          <w:lang w:val="fr-FR"/>
        </w:rPr>
        <w:t>une loi type, d</w:t>
      </w:r>
      <w:r w:rsidR="00A94A66" w:rsidRPr="007F3768">
        <w:rPr>
          <w:i/>
          <w:lang w:val="fr-FR"/>
        </w:rPr>
        <w:t>’</w:t>
      </w:r>
      <w:r w:rsidRPr="007F3768">
        <w:rPr>
          <w:i/>
          <w:lang w:val="fr-FR"/>
        </w:rPr>
        <w:t>une recommandation commune, d</w:t>
      </w:r>
      <w:r w:rsidR="00A94A66" w:rsidRPr="007F3768">
        <w:rPr>
          <w:i/>
          <w:lang w:val="fr-FR"/>
        </w:rPr>
        <w:t>’</w:t>
      </w:r>
      <w:r w:rsidRPr="007F3768">
        <w:rPr>
          <w:i/>
          <w:lang w:val="fr-FR"/>
        </w:rPr>
        <w:t>un traité ou de tout autre instrument)</w:t>
      </w:r>
      <w:r w:rsidRPr="007F3768">
        <w:rPr>
          <w:lang w:val="fr-FR"/>
        </w:rPr>
        <w:t>” en faveur des bibliothèques et services d</w:t>
      </w:r>
      <w:r w:rsidR="00A94A66" w:rsidRPr="007F3768">
        <w:rPr>
          <w:lang w:val="fr-FR"/>
        </w:rPr>
        <w:t>’</w:t>
      </w:r>
      <w:r w:rsidRPr="007F3768">
        <w:rPr>
          <w:lang w:val="fr-FR"/>
        </w:rPr>
        <w:t>archives, des établissements d</w:t>
      </w:r>
      <w:r w:rsidR="00A94A66" w:rsidRPr="007F3768">
        <w:rPr>
          <w:lang w:val="fr-FR"/>
        </w:rPr>
        <w:t>’</w:t>
      </w:r>
      <w:r w:rsidRPr="007F3768">
        <w:rPr>
          <w:lang w:val="fr-FR"/>
        </w:rPr>
        <w:t>enseignement et de recherche, et des personnes ayant d</w:t>
      </w:r>
      <w:r w:rsidR="00A94A66" w:rsidRPr="007F3768">
        <w:rPr>
          <w:lang w:val="fr-FR"/>
        </w:rPr>
        <w:t>’</w:t>
      </w:r>
      <w:r w:rsidRPr="007F3768">
        <w:rPr>
          <w:lang w:val="fr-FR"/>
        </w:rPr>
        <w:t>autres handicaps (</w:t>
      </w:r>
      <w:proofErr w:type="spellStart"/>
      <w:r>
        <w:fldChar w:fldCharType="begin"/>
      </w:r>
      <w:r>
        <w:instrText>HYPERLINK "https://www.wipo.int/edocs/mdocs/govbody/fr/wo_ga_41/wo_ga_41_14.pdf" \h</w:instrText>
      </w:r>
      <w:r>
        <w:fldChar w:fldCharType="separate"/>
      </w:r>
      <w:r w:rsidRPr="007F3768">
        <w:rPr>
          <w:rStyle w:val="Hyperlink"/>
          <w:lang w:val="fr-FR"/>
        </w:rPr>
        <w:t>WO</w:t>
      </w:r>
      <w:proofErr w:type="spellEnd"/>
      <w:r w:rsidRPr="007F3768">
        <w:rPr>
          <w:rStyle w:val="Hyperlink"/>
          <w:lang w:val="fr-FR"/>
        </w:rPr>
        <w:t>/GA/41/14</w:t>
      </w:r>
      <w:r>
        <w:fldChar w:fldCharType="end"/>
      </w:r>
      <w:r w:rsidRPr="007F3768">
        <w:rPr>
          <w:lang w:val="fr-FR"/>
        </w:rPr>
        <w:t>).</w:t>
      </w:r>
    </w:p>
    <w:p w14:paraId="03C6B1DF" w14:textId="77777777" w:rsidR="00807B43" w:rsidRPr="007F3768" w:rsidRDefault="00807B43" w:rsidP="007F3768">
      <w:pPr>
        <w:rPr>
          <w:rFonts w:eastAsia="Times New Roman" w:cs="Times New Roman"/>
          <w:lang w:val="fr-FR"/>
        </w:rPr>
      </w:pPr>
    </w:p>
    <w:p w14:paraId="78A26005" w14:textId="4DCC2F86" w:rsidR="00807B43" w:rsidRPr="007F3768" w:rsidRDefault="00807B43" w:rsidP="007F3768">
      <w:pPr>
        <w:rPr>
          <w:rFonts w:eastAsia="Times New Roman" w:cs="Times New Roman"/>
          <w:lang w:val="fr-FR"/>
        </w:rPr>
      </w:pPr>
      <w:r w:rsidRPr="007F3768">
        <w:rPr>
          <w:lang w:val="fr-FR"/>
        </w:rPr>
        <w:tab/>
      </w:r>
      <w:r w:rsidR="00A94A66" w:rsidRPr="007F3768">
        <w:rPr>
          <w:lang w:val="fr-FR"/>
        </w:rPr>
        <w:t>En 2022</w:t>
      </w:r>
      <w:r w:rsidRPr="007F3768">
        <w:rPr>
          <w:lang w:val="fr-FR"/>
        </w:rPr>
        <w:t>, le groupe des pays africains a présenté une proposition de programme de travail sur les limitations et exceptions afin d</w:t>
      </w:r>
      <w:r w:rsidR="00A94A66" w:rsidRPr="007F3768">
        <w:rPr>
          <w:lang w:val="fr-FR"/>
        </w:rPr>
        <w:t>’</w:t>
      </w:r>
      <w:r w:rsidRPr="007F3768">
        <w:rPr>
          <w:lang w:val="fr-FR"/>
        </w:rPr>
        <w:t>accélérer les discussio</w:t>
      </w:r>
      <w:r w:rsidR="00F42729" w:rsidRPr="007F3768">
        <w:rPr>
          <w:lang w:val="fr-FR"/>
        </w:rPr>
        <w:t>ns.  En</w:t>
      </w:r>
      <w:r w:rsidR="00A94A66" w:rsidRPr="007F3768">
        <w:rPr>
          <w:lang w:val="fr-FR"/>
        </w:rPr>
        <w:t> 2023</w:t>
      </w:r>
      <w:r w:rsidRPr="007F3768">
        <w:rPr>
          <w:lang w:val="fr-FR"/>
        </w:rPr>
        <w:t>, la proposition a été adoptée par le comité (</w:t>
      </w:r>
      <w:hyperlink r:id="rId10">
        <w:r w:rsidRPr="007F3768">
          <w:rPr>
            <w:rStyle w:val="Hyperlink"/>
            <w:lang w:val="fr-FR"/>
          </w:rPr>
          <w:t>SCCR/43/8</w:t>
        </w:r>
        <w:r w:rsidR="00F42729" w:rsidRPr="007F3768">
          <w:rPr>
            <w:rStyle w:val="Hyperlink"/>
            <w:lang w:val="fr-FR"/>
          </w:rPr>
          <w:t> </w:t>
        </w:r>
        <w:proofErr w:type="spellStart"/>
        <w:r w:rsidRPr="007F3768">
          <w:rPr>
            <w:rStyle w:val="Hyperlink"/>
            <w:lang w:val="fr-FR"/>
          </w:rPr>
          <w:t>R</w:t>
        </w:r>
        <w:r w:rsidR="00F42729" w:rsidRPr="007F3768">
          <w:rPr>
            <w:rStyle w:val="Hyperlink"/>
            <w:lang w:val="fr-FR"/>
          </w:rPr>
          <w:t>ev</w:t>
        </w:r>
        <w:proofErr w:type="spellEnd"/>
        <w:r w:rsidRPr="007F3768">
          <w:rPr>
            <w:rStyle w:val="Hyperlink"/>
            <w:lang w:val="fr-FR"/>
          </w:rPr>
          <w:t>.</w:t>
        </w:r>
      </w:hyperlink>
      <w:r w:rsidRPr="007F3768">
        <w:rPr>
          <w:lang w:val="fr-FR"/>
        </w:rPr>
        <w:t>), et indique ce qui suit</w:t>
      </w:r>
      <w:r w:rsidR="00A94A66" w:rsidRPr="007F3768">
        <w:rPr>
          <w:lang w:val="fr-FR"/>
        </w:rPr>
        <w:t> :</w:t>
      </w:r>
    </w:p>
    <w:p w14:paraId="3BAC4624" w14:textId="39524AA7" w:rsidR="00A94A66" w:rsidRPr="007F3768" w:rsidRDefault="00807B43" w:rsidP="00A8508F">
      <w:pPr>
        <w:numPr>
          <w:ilvl w:val="0"/>
          <w:numId w:val="7"/>
        </w:numPr>
        <w:tabs>
          <w:tab w:val="clear" w:pos="720"/>
          <w:tab w:val="num" w:pos="1134"/>
        </w:tabs>
        <w:suppressAutoHyphens/>
        <w:ind w:left="1134" w:hanging="567"/>
        <w:rPr>
          <w:lang w:val="fr-FR"/>
        </w:rPr>
      </w:pPr>
      <w:r w:rsidRPr="007F3768">
        <w:rPr>
          <w:lang w:val="fr-FR"/>
        </w:rPr>
        <w:t>“À la vingt</w:t>
      </w:r>
      <w:r w:rsidR="00A94A66" w:rsidRPr="007F3768">
        <w:rPr>
          <w:lang w:val="fr-FR"/>
        </w:rPr>
        <w:t>ième session</w:t>
      </w:r>
      <w:r w:rsidRPr="007F3768">
        <w:rPr>
          <w:lang w:val="fr-FR"/>
        </w:rPr>
        <w:t xml:space="preserve"> du Comité permanent du droit d</w:t>
      </w:r>
      <w:r w:rsidR="00A94A66" w:rsidRPr="007F3768">
        <w:rPr>
          <w:lang w:val="fr-FR"/>
        </w:rPr>
        <w:t>’</w:t>
      </w:r>
      <w:r w:rsidRPr="007F3768">
        <w:rPr>
          <w:lang w:val="fr-FR"/>
        </w:rPr>
        <w:t>auteur et des droits connexes (SCCR), le groupe des pays africains a proposé un projet de traité de l</w:t>
      </w:r>
      <w:r w:rsidR="00A94A66" w:rsidRPr="007F3768">
        <w:rPr>
          <w:lang w:val="fr-FR"/>
        </w:rPr>
        <w:t>’</w:t>
      </w:r>
      <w:proofErr w:type="spellStart"/>
      <w:r w:rsidRPr="007F3768">
        <w:rPr>
          <w:lang w:val="fr-FR"/>
        </w:rPr>
        <w:t>OMPI</w:t>
      </w:r>
      <w:proofErr w:type="spellEnd"/>
      <w:r w:rsidRPr="007F3768">
        <w:rPr>
          <w:lang w:val="fr-FR"/>
        </w:rPr>
        <w:t xml:space="preserve"> sur les exceptions et limitations en faveur des personnes handicapées, des établissements d</w:t>
      </w:r>
      <w:r w:rsidR="00A94A66" w:rsidRPr="007F3768">
        <w:rPr>
          <w:lang w:val="fr-FR"/>
        </w:rPr>
        <w:t>’</w:t>
      </w:r>
      <w:r w:rsidRPr="007F3768">
        <w:rPr>
          <w:lang w:val="fr-FR"/>
        </w:rPr>
        <w:t>enseignement et de recherche, des bibliothèques et des services d</w:t>
      </w:r>
      <w:r w:rsidR="00A94A66" w:rsidRPr="007F3768">
        <w:rPr>
          <w:lang w:val="fr-FR"/>
        </w:rPr>
        <w:t>’</w:t>
      </w:r>
      <w:r w:rsidRPr="007F3768">
        <w:rPr>
          <w:lang w:val="fr-FR"/>
        </w:rPr>
        <w:t>archiv</w:t>
      </w:r>
      <w:r w:rsidR="00F42729" w:rsidRPr="007F3768">
        <w:rPr>
          <w:lang w:val="fr-FR"/>
        </w:rPr>
        <w:t>es.  Le</w:t>
      </w:r>
      <w:r w:rsidRPr="007F3768">
        <w:rPr>
          <w:lang w:val="fr-FR"/>
        </w:rPr>
        <w:t xml:space="preserve"> groupe des pays africains estime que</w:t>
      </w:r>
      <w:r w:rsidR="00A94A66" w:rsidRPr="007F3768">
        <w:rPr>
          <w:lang w:val="fr-FR"/>
        </w:rPr>
        <w:t xml:space="preserve"> le SCC</w:t>
      </w:r>
      <w:r w:rsidRPr="007F3768">
        <w:rPr>
          <w:lang w:val="fr-FR"/>
        </w:rPr>
        <w:t>R devrait continuer de s</w:t>
      </w:r>
      <w:r w:rsidR="00A94A66" w:rsidRPr="007F3768">
        <w:rPr>
          <w:lang w:val="fr-FR"/>
        </w:rPr>
        <w:t>’</w:t>
      </w:r>
      <w:r w:rsidRPr="007F3768">
        <w:rPr>
          <w:lang w:val="fr-FR"/>
        </w:rPr>
        <w:t>appuyer sur les travaux réalisés jusqu</w:t>
      </w:r>
      <w:r w:rsidR="00A94A66" w:rsidRPr="007F3768">
        <w:rPr>
          <w:lang w:val="fr-FR"/>
        </w:rPr>
        <w:t>’</w:t>
      </w:r>
      <w:r w:rsidRPr="007F3768">
        <w:rPr>
          <w:lang w:val="fr-FR"/>
        </w:rPr>
        <w:t>à présent et passer à un système du droit d</w:t>
      </w:r>
      <w:r w:rsidR="00A94A66" w:rsidRPr="007F3768">
        <w:rPr>
          <w:lang w:val="fr-FR"/>
        </w:rPr>
        <w:t>’</w:t>
      </w:r>
      <w:r w:rsidRPr="007F3768">
        <w:rPr>
          <w:lang w:val="fr-FR"/>
        </w:rPr>
        <w:t>auteur juste et équilibré qui soutient la créativité et fait avancer l</w:t>
      </w:r>
      <w:r w:rsidR="00A94A66" w:rsidRPr="007F3768">
        <w:rPr>
          <w:lang w:val="fr-FR"/>
        </w:rPr>
        <w:t>’</w:t>
      </w:r>
      <w:r w:rsidRPr="007F3768">
        <w:rPr>
          <w:lang w:val="fr-FR"/>
        </w:rPr>
        <w:t>intérêt public, notamment en favorisant l</w:t>
      </w:r>
      <w:r w:rsidR="00A94A66" w:rsidRPr="007F3768">
        <w:rPr>
          <w:lang w:val="fr-FR"/>
        </w:rPr>
        <w:t>’</w:t>
      </w:r>
      <w:r w:rsidRPr="007F3768">
        <w:rPr>
          <w:lang w:val="fr-FR"/>
        </w:rPr>
        <w:t>accès numérique à l</w:t>
      </w:r>
      <w:r w:rsidR="00A94A66" w:rsidRPr="007F3768">
        <w:rPr>
          <w:lang w:val="fr-FR"/>
        </w:rPr>
        <w:t>’</w:t>
      </w:r>
      <w:r w:rsidRPr="007F3768">
        <w:rPr>
          <w:lang w:val="fr-FR"/>
        </w:rPr>
        <w:t>éducation et à la recherche, ainsi qu</w:t>
      </w:r>
      <w:r w:rsidR="00A94A66" w:rsidRPr="007F3768">
        <w:rPr>
          <w:lang w:val="fr-FR"/>
        </w:rPr>
        <w:t>’</w:t>
      </w:r>
      <w:r w:rsidRPr="007F3768">
        <w:rPr>
          <w:lang w:val="fr-FR"/>
        </w:rPr>
        <w:t>au patrimoine cultur</w:t>
      </w:r>
      <w:r w:rsidR="00F42729" w:rsidRPr="007F3768">
        <w:rPr>
          <w:lang w:val="fr-FR"/>
        </w:rPr>
        <w:t>el.  Le</w:t>
      </w:r>
      <w:r w:rsidRPr="007F3768">
        <w:rPr>
          <w:lang w:val="fr-FR"/>
        </w:rPr>
        <w:t xml:space="preserve"> groupe des pays africains soumet le présent projet de programme de travail comme contribution aux travaux</w:t>
      </w:r>
      <w:r w:rsidR="00A94A66" w:rsidRPr="007F3768">
        <w:rPr>
          <w:lang w:val="fr-FR"/>
        </w:rPr>
        <w:t xml:space="preserve"> du SCC</w:t>
      </w:r>
      <w:r w:rsidRPr="007F3768">
        <w:rPr>
          <w:lang w:val="fr-FR"/>
        </w:rPr>
        <w:t>R dans le domaine des exceptions et limitations”.</w:t>
      </w:r>
    </w:p>
    <w:p w14:paraId="31E3F1D3" w14:textId="4654A87F" w:rsidR="00807B43" w:rsidRPr="007F3768" w:rsidRDefault="00807B43" w:rsidP="00A8508F">
      <w:pPr>
        <w:numPr>
          <w:ilvl w:val="0"/>
          <w:numId w:val="7"/>
        </w:numPr>
        <w:tabs>
          <w:tab w:val="clear" w:pos="720"/>
          <w:tab w:val="num" w:pos="1134"/>
        </w:tabs>
        <w:suppressAutoHyphens/>
        <w:ind w:left="1134" w:hanging="567"/>
        <w:rPr>
          <w:rFonts w:eastAsia="Times New Roman" w:cs="Times New Roman"/>
          <w:lang w:val="fr-FR"/>
        </w:rPr>
      </w:pPr>
      <w:r w:rsidRPr="007F3768">
        <w:rPr>
          <w:lang w:val="fr-FR"/>
        </w:rPr>
        <w:t>Elle réaffirme le mandat de l</w:t>
      </w:r>
      <w:r w:rsidR="00A94A66" w:rsidRPr="007F3768">
        <w:rPr>
          <w:lang w:val="fr-FR"/>
        </w:rPr>
        <w:t>’</w:t>
      </w:r>
      <w:r w:rsidRPr="007F3768">
        <w:rPr>
          <w:lang w:val="fr-FR"/>
        </w:rPr>
        <w:t xml:space="preserve">Assemblée générale </w:t>
      </w:r>
      <w:r w:rsidR="00A94A66" w:rsidRPr="007F3768">
        <w:rPr>
          <w:lang w:val="fr-FR"/>
        </w:rPr>
        <w:t>de 2021 :</w:t>
      </w:r>
      <w:r w:rsidRPr="007F3768">
        <w:rPr>
          <w:lang w:val="fr-FR"/>
        </w:rPr>
        <w:t xml:space="preserve"> “</w:t>
      </w:r>
      <w:r w:rsidRPr="007F3768">
        <w:rPr>
          <w:i/>
          <w:lang w:val="fr-FR"/>
        </w:rPr>
        <w:t>Sur cette base, le programme de travail proposé ci</w:t>
      </w:r>
      <w:r w:rsidR="007F3768">
        <w:rPr>
          <w:i/>
          <w:lang w:val="fr-FR"/>
        </w:rPr>
        <w:noBreakHyphen/>
      </w:r>
      <w:r w:rsidRPr="007F3768">
        <w:rPr>
          <w:i/>
          <w:lang w:val="fr-FR"/>
        </w:rPr>
        <w:t>dessous définit les mesures concrètes et pratiques que le comité pourrait prendre afin de fournir des conseils et un appui aux États membres à court terme, tout en lui permettant d</w:t>
      </w:r>
      <w:r w:rsidR="00A94A66" w:rsidRPr="007F3768">
        <w:rPr>
          <w:i/>
          <w:lang w:val="fr-FR"/>
        </w:rPr>
        <w:t>’</w:t>
      </w:r>
      <w:r w:rsidRPr="007F3768">
        <w:rPr>
          <w:i/>
          <w:lang w:val="fr-FR"/>
        </w:rPr>
        <w:t>œuvrer à l</w:t>
      </w:r>
      <w:r w:rsidR="00A94A66" w:rsidRPr="007F3768">
        <w:rPr>
          <w:i/>
          <w:lang w:val="fr-FR"/>
        </w:rPr>
        <w:t>’</w:t>
      </w:r>
      <w:r w:rsidRPr="007F3768">
        <w:rPr>
          <w:i/>
          <w:lang w:val="fr-FR"/>
        </w:rPr>
        <w:t>adoption d</w:t>
      </w:r>
      <w:r w:rsidR="00A94A66" w:rsidRPr="007F3768">
        <w:rPr>
          <w:i/>
          <w:lang w:val="fr-FR"/>
        </w:rPr>
        <w:t>’</w:t>
      </w:r>
      <w:r w:rsidRPr="007F3768">
        <w:rPr>
          <w:i/>
          <w:lang w:val="fr-FR"/>
        </w:rPr>
        <w:t>un ou plusieurs instruments juridiques internationaux appropriés sur les exceptions et les limitations</w:t>
      </w:r>
      <w:r w:rsidRPr="007F3768">
        <w:rPr>
          <w:lang w:val="fr-FR"/>
        </w:rPr>
        <w:t>”.</w:t>
      </w:r>
    </w:p>
    <w:p w14:paraId="10C0EDE4" w14:textId="77777777" w:rsidR="00807B43" w:rsidRPr="007F3768" w:rsidRDefault="00807B43" w:rsidP="00A8508F">
      <w:pPr>
        <w:rPr>
          <w:rFonts w:eastAsia="Times New Roman" w:cs="Times New Roman"/>
          <w:lang w:val="fr-FR"/>
        </w:rPr>
      </w:pPr>
    </w:p>
    <w:p w14:paraId="54730D2F" w14:textId="4012CA1B" w:rsidR="00807B43" w:rsidRPr="007F3768" w:rsidRDefault="00807B43" w:rsidP="007F3768">
      <w:pPr>
        <w:rPr>
          <w:rFonts w:eastAsia="Times New Roman" w:cs="Times New Roman"/>
          <w:lang w:val="fr-FR"/>
        </w:rPr>
      </w:pPr>
      <w:r w:rsidRPr="007F3768">
        <w:rPr>
          <w:lang w:val="fr-FR"/>
        </w:rPr>
        <w:tab/>
        <w:t xml:space="preserve">En </w:t>
      </w:r>
      <w:r w:rsidR="00A94A66" w:rsidRPr="007F3768">
        <w:rPr>
          <w:lang w:val="fr-FR"/>
        </w:rPr>
        <w:t>novembre 20</w:t>
      </w:r>
      <w:r w:rsidRPr="007F3768">
        <w:rPr>
          <w:lang w:val="fr-FR"/>
        </w:rPr>
        <w:t>23, le groupe des pays africains a présenté un “</w:t>
      </w:r>
      <w:r w:rsidRPr="007F3768">
        <w:rPr>
          <w:i/>
          <w:lang w:val="fr-FR"/>
        </w:rPr>
        <w:t>Projet de proposition pour la mise en œuvre du programme de travail sur les exceptions et limitations, adopté à la quarante</w:t>
      </w:r>
      <w:r w:rsidR="007F3768">
        <w:rPr>
          <w:i/>
          <w:lang w:val="fr-FR"/>
        </w:rPr>
        <w:noBreakHyphen/>
      </w:r>
      <w:r w:rsidRPr="007F3768">
        <w:rPr>
          <w:i/>
          <w:lang w:val="fr-FR"/>
        </w:rPr>
        <w:t>trois</w:t>
      </w:r>
      <w:r w:rsidR="00A94A66" w:rsidRPr="007F3768">
        <w:rPr>
          <w:i/>
          <w:lang w:val="fr-FR"/>
        </w:rPr>
        <w:t>ième session du SCC</w:t>
      </w:r>
      <w:r w:rsidRPr="007F3768">
        <w:rPr>
          <w:i/>
          <w:lang w:val="fr-FR"/>
        </w:rPr>
        <w:t>R de l</w:t>
      </w:r>
      <w:r w:rsidR="00A94A66" w:rsidRPr="007F3768">
        <w:rPr>
          <w:i/>
          <w:lang w:val="fr-FR"/>
        </w:rPr>
        <w:t>’</w:t>
      </w:r>
      <w:proofErr w:type="spellStart"/>
      <w:r w:rsidRPr="007F3768">
        <w:rPr>
          <w:i/>
          <w:lang w:val="fr-FR"/>
        </w:rPr>
        <w:t>OMPI</w:t>
      </w:r>
      <w:proofErr w:type="spellEnd"/>
      <w:r w:rsidRPr="007F3768">
        <w:rPr>
          <w:lang w:val="fr-FR"/>
        </w:rPr>
        <w:t xml:space="preserve">”, qui définit un processus et une méthodologie détaillés pour la mise en œuvre, </w:t>
      </w:r>
      <w:r w:rsidR="00A94A66" w:rsidRPr="007F3768">
        <w:rPr>
          <w:lang w:val="fr-FR"/>
        </w:rPr>
        <w:t>y compris</w:t>
      </w:r>
      <w:r w:rsidRPr="007F3768">
        <w:rPr>
          <w:lang w:val="fr-FR"/>
        </w:rPr>
        <w:t xml:space="preserve"> des propositions spécifiques pour la création de </w:t>
      </w:r>
      <w:r w:rsidRPr="007F3768">
        <w:rPr>
          <w:lang w:val="fr-FR"/>
        </w:rPr>
        <w:lastRenderedPageBreak/>
        <w:t>groupes de travail composés d</w:t>
      </w:r>
      <w:r w:rsidR="00A94A66" w:rsidRPr="007F3768">
        <w:rPr>
          <w:lang w:val="fr-FR"/>
        </w:rPr>
        <w:t>’</w:t>
      </w:r>
      <w:r w:rsidRPr="007F3768">
        <w:rPr>
          <w:lang w:val="fr-FR"/>
        </w:rPr>
        <w:t>États membres qui se réuniraient entre les sessions du comité afin de traiter les questions prioritaires et d</w:t>
      </w:r>
      <w:r w:rsidR="00A94A66" w:rsidRPr="007F3768">
        <w:rPr>
          <w:lang w:val="fr-FR"/>
        </w:rPr>
        <w:t>’</w:t>
      </w:r>
      <w:r w:rsidRPr="007F3768">
        <w:rPr>
          <w:lang w:val="fr-FR"/>
        </w:rPr>
        <w:t>élaborer des propositions de texte (</w:t>
      </w:r>
      <w:hyperlink r:id="rId11">
        <w:r w:rsidRPr="007F3768">
          <w:rPr>
            <w:rStyle w:val="Hyperlink"/>
            <w:lang w:val="fr-FR"/>
          </w:rPr>
          <w:t>SCCR/44/6</w:t>
        </w:r>
      </w:hyperlink>
      <w:r w:rsidRPr="007F3768">
        <w:rPr>
          <w:lang w:val="fr-FR"/>
        </w:rPr>
        <w:t>).</w:t>
      </w:r>
    </w:p>
    <w:p w14:paraId="5CCD973E" w14:textId="77777777" w:rsidR="00807B43" w:rsidRPr="007F3768" w:rsidRDefault="00807B43" w:rsidP="007F3768">
      <w:pPr>
        <w:rPr>
          <w:rFonts w:eastAsia="Times New Roman" w:cs="Times New Roman"/>
          <w:lang w:val="fr-FR"/>
        </w:rPr>
      </w:pPr>
    </w:p>
    <w:p w14:paraId="56301730" w14:textId="10C6A197" w:rsidR="00807B43" w:rsidRPr="007F3768" w:rsidRDefault="00807B43" w:rsidP="007F3768">
      <w:pPr>
        <w:rPr>
          <w:rFonts w:eastAsia="Times New Roman" w:cs="Times New Roman"/>
          <w:lang w:val="fr-FR"/>
        </w:rPr>
      </w:pPr>
      <w:r w:rsidRPr="007F3768">
        <w:rPr>
          <w:lang w:val="fr-FR"/>
        </w:rPr>
        <w:tab/>
        <w:t>Le présent projet d</w:t>
      </w:r>
      <w:r w:rsidR="00A94A66" w:rsidRPr="007F3768">
        <w:rPr>
          <w:lang w:val="fr-FR"/>
        </w:rPr>
        <w:t>’</w:t>
      </w:r>
      <w:r w:rsidRPr="007F3768">
        <w:rPr>
          <w:lang w:val="fr-FR"/>
        </w:rPr>
        <w:t>instrument est une contribution aux négociations sur la base d</w:t>
      </w:r>
      <w:r w:rsidR="00A94A66" w:rsidRPr="007F3768">
        <w:rPr>
          <w:lang w:val="fr-FR"/>
        </w:rPr>
        <w:t>’</w:t>
      </w:r>
      <w:r w:rsidRPr="007F3768">
        <w:rPr>
          <w:lang w:val="fr-FR"/>
        </w:rPr>
        <w:t>un texte concernant les limitations et exceptions.</w:t>
      </w:r>
      <w:r w:rsidRPr="007F3768">
        <w:rPr>
          <w:lang w:val="fr-FR"/>
        </w:rPr>
        <w:br w:type="page"/>
      </w:r>
    </w:p>
    <w:p w14:paraId="0DF67B56" w14:textId="77777777" w:rsidR="00807B43" w:rsidRPr="007F3768" w:rsidRDefault="00807B43" w:rsidP="007F3768">
      <w:pPr>
        <w:rPr>
          <w:rFonts w:ascii="Times New Roman" w:eastAsia="Times New Roman" w:hAnsi="Times New Roman" w:cs="Times New Roman"/>
          <w:sz w:val="24"/>
          <w:szCs w:val="24"/>
          <w:lang w:val="fr-FR"/>
        </w:rPr>
      </w:pPr>
    </w:p>
    <w:p w14:paraId="43E63F20" w14:textId="77777777" w:rsidR="00807B43" w:rsidRPr="007F3768" w:rsidRDefault="00807B43" w:rsidP="007F3768">
      <w:pPr>
        <w:rPr>
          <w:rFonts w:ascii="Times New Roman" w:eastAsia="Times New Roman" w:hAnsi="Times New Roman" w:cs="Times New Roman"/>
          <w:sz w:val="24"/>
          <w:szCs w:val="24"/>
          <w:lang w:val="fr-FR"/>
        </w:rPr>
      </w:pPr>
    </w:p>
    <w:sdt>
      <w:sdtPr>
        <w:rPr>
          <w:rFonts w:asciiTheme="minorHAnsi" w:eastAsiaTheme="minorHAnsi" w:hAnsiTheme="minorHAnsi"/>
          <w:b w:val="0"/>
          <w:bCs w:val="0"/>
          <w:sz w:val="22"/>
          <w:szCs w:val="22"/>
        </w:rPr>
        <w:id w:val="-705866702"/>
        <w:docPartObj>
          <w:docPartGallery w:val="Table of Contents"/>
          <w:docPartUnique/>
        </w:docPartObj>
      </w:sdtPr>
      <w:sdtEndPr>
        <w:rPr>
          <w:rFonts w:ascii="Arial" w:hAnsi="Arial"/>
        </w:rPr>
      </w:sdtEndPr>
      <w:sdtContent>
        <w:p w14:paraId="731080E5" w14:textId="63EED3A4" w:rsidR="00807B43" w:rsidRPr="007F3768" w:rsidRDefault="00807B43" w:rsidP="007F3768">
          <w:pPr>
            <w:pStyle w:val="TOCHeading"/>
            <w:jc w:val="center"/>
            <w:rPr>
              <w:rFonts w:ascii="Arial" w:hAnsi="Arial"/>
              <w:b w:val="0"/>
              <w:bCs w:val="0"/>
              <w:sz w:val="22"/>
              <w:szCs w:val="22"/>
            </w:rPr>
          </w:pPr>
          <w:r w:rsidRPr="007F3768">
            <w:rPr>
              <w:rFonts w:ascii="Arial" w:hAnsi="Arial"/>
              <w:b w:val="0"/>
              <w:sz w:val="22"/>
            </w:rPr>
            <w:t>Projet d</w:t>
          </w:r>
          <w:r w:rsidR="00A94A66" w:rsidRPr="007F3768">
            <w:rPr>
              <w:rFonts w:ascii="Arial" w:hAnsi="Arial"/>
              <w:b w:val="0"/>
              <w:sz w:val="22"/>
            </w:rPr>
            <w:t>’</w:t>
          </w:r>
          <w:r w:rsidRPr="007F3768">
            <w:rPr>
              <w:rFonts w:ascii="Arial" w:hAnsi="Arial"/>
              <w:b w:val="0"/>
              <w:sz w:val="22"/>
            </w:rPr>
            <w:t>instrument</w:t>
          </w:r>
          <w:r w:rsidRPr="007F3768">
            <w:rPr>
              <w:rFonts w:ascii="Arial" w:hAnsi="Arial"/>
              <w:b w:val="0"/>
              <w:sz w:val="22"/>
            </w:rPr>
            <w:br/>
            <w:t>sur les limitations et exceptions en faveur des bibliothèques, des services d</w:t>
          </w:r>
          <w:r w:rsidR="00A94A66" w:rsidRPr="007F3768">
            <w:rPr>
              <w:rFonts w:ascii="Arial" w:hAnsi="Arial"/>
              <w:b w:val="0"/>
              <w:sz w:val="22"/>
            </w:rPr>
            <w:t>’</w:t>
          </w:r>
          <w:r w:rsidRPr="007F3768">
            <w:rPr>
              <w:rFonts w:ascii="Arial" w:hAnsi="Arial"/>
              <w:b w:val="0"/>
              <w:sz w:val="22"/>
            </w:rPr>
            <w:t>archives, des musées, des établissements d</w:t>
          </w:r>
          <w:r w:rsidR="00A94A66" w:rsidRPr="007F3768">
            <w:rPr>
              <w:rFonts w:ascii="Arial" w:hAnsi="Arial"/>
              <w:b w:val="0"/>
              <w:sz w:val="22"/>
            </w:rPr>
            <w:t>’</w:t>
          </w:r>
          <w:r w:rsidRPr="007F3768">
            <w:rPr>
              <w:rFonts w:ascii="Arial" w:hAnsi="Arial"/>
              <w:b w:val="0"/>
              <w:sz w:val="22"/>
            </w:rPr>
            <w:t>enseignement et de recherche et des personnes handicapées</w:t>
          </w:r>
          <w:r w:rsidRPr="007F3768">
            <w:rPr>
              <w:rFonts w:ascii="Arial" w:hAnsi="Arial"/>
              <w:b w:val="0"/>
              <w:sz w:val="22"/>
            </w:rPr>
            <w:br/>
          </w:r>
          <w:r w:rsidRPr="007F3768">
            <w:rPr>
              <w:rFonts w:ascii="Arial" w:hAnsi="Arial"/>
              <w:b w:val="0"/>
              <w:sz w:val="22"/>
            </w:rPr>
            <w:br/>
            <w:t>Table des matières</w:t>
          </w:r>
        </w:p>
        <w:p w14:paraId="176CFC6C" w14:textId="41DB3179" w:rsidR="00A8508F" w:rsidRDefault="00807B43">
          <w:pPr>
            <w:pStyle w:val="TOC1"/>
            <w:rPr>
              <w:rFonts w:eastAsiaTheme="minorEastAsia" w:cstheme="minorBidi"/>
              <w:noProof/>
              <w:kern w:val="2"/>
              <w:sz w:val="24"/>
              <w:szCs w:val="24"/>
              <w:lang w:val="en-US"/>
              <w14:ligatures w14:val="standardContextual"/>
            </w:rPr>
          </w:pPr>
          <w:r w:rsidRPr="007F3768">
            <w:fldChar w:fldCharType="begin"/>
          </w:r>
          <w:r w:rsidRPr="007F3768">
            <w:rPr>
              <w:rStyle w:val="IndexLink"/>
            </w:rPr>
            <w:instrText xml:space="preserve"> TOC \f \o "1-9" \h</w:instrText>
          </w:r>
          <w:r w:rsidRPr="007F3768">
            <w:rPr>
              <w:rStyle w:val="IndexLink"/>
              <w:rFonts w:asciiTheme="minorHAnsi" w:hAnsiTheme="minorHAnsi"/>
            </w:rPr>
            <w:fldChar w:fldCharType="separate"/>
          </w:r>
          <w:hyperlink w:anchor="_Toc213248991" w:history="1">
            <w:r w:rsidR="00A8508F" w:rsidRPr="000F5F70">
              <w:rPr>
                <w:rStyle w:val="Hyperlink"/>
                <w:noProof/>
              </w:rPr>
              <w:t>Préambule</w:t>
            </w:r>
            <w:r w:rsidR="00A8508F">
              <w:rPr>
                <w:noProof/>
              </w:rPr>
              <w:tab/>
            </w:r>
            <w:r w:rsidR="00A8508F">
              <w:rPr>
                <w:noProof/>
              </w:rPr>
              <w:fldChar w:fldCharType="begin"/>
            </w:r>
            <w:r w:rsidR="00A8508F">
              <w:rPr>
                <w:noProof/>
              </w:rPr>
              <w:instrText xml:space="preserve"> PAGEREF _Toc213248991 \h </w:instrText>
            </w:r>
            <w:r w:rsidR="00A8508F">
              <w:rPr>
                <w:noProof/>
              </w:rPr>
            </w:r>
            <w:r w:rsidR="00A8508F">
              <w:rPr>
                <w:noProof/>
              </w:rPr>
              <w:fldChar w:fldCharType="separate"/>
            </w:r>
            <w:r w:rsidR="006D7029">
              <w:rPr>
                <w:noProof/>
              </w:rPr>
              <w:t>6</w:t>
            </w:r>
            <w:r w:rsidR="00A8508F">
              <w:rPr>
                <w:noProof/>
              </w:rPr>
              <w:fldChar w:fldCharType="end"/>
            </w:r>
          </w:hyperlink>
        </w:p>
        <w:p w14:paraId="4B1C7A2C" w14:textId="4FFFA807" w:rsidR="00A8508F" w:rsidRDefault="00A8508F">
          <w:pPr>
            <w:pStyle w:val="TOC1"/>
            <w:rPr>
              <w:rFonts w:eastAsiaTheme="minorEastAsia" w:cstheme="minorBidi"/>
              <w:noProof/>
              <w:kern w:val="2"/>
              <w:sz w:val="24"/>
              <w:szCs w:val="24"/>
              <w:lang w:val="en-US"/>
              <w14:ligatures w14:val="standardContextual"/>
            </w:rPr>
          </w:pPr>
          <w:hyperlink w:anchor="_Toc213248992" w:history="1">
            <w:r w:rsidRPr="000F5F70">
              <w:rPr>
                <w:rStyle w:val="Hyperlink"/>
                <w:noProof/>
              </w:rPr>
              <w:t>Article premier Relation avec d’autres instruments internationaux</w:t>
            </w:r>
            <w:r>
              <w:rPr>
                <w:noProof/>
              </w:rPr>
              <w:tab/>
            </w:r>
            <w:r>
              <w:rPr>
                <w:noProof/>
              </w:rPr>
              <w:fldChar w:fldCharType="begin"/>
            </w:r>
            <w:r>
              <w:rPr>
                <w:noProof/>
              </w:rPr>
              <w:instrText xml:space="preserve"> PAGEREF _Toc213248992 \h </w:instrText>
            </w:r>
            <w:r>
              <w:rPr>
                <w:noProof/>
              </w:rPr>
            </w:r>
            <w:r>
              <w:rPr>
                <w:noProof/>
              </w:rPr>
              <w:fldChar w:fldCharType="separate"/>
            </w:r>
            <w:r w:rsidR="006D7029">
              <w:rPr>
                <w:noProof/>
              </w:rPr>
              <w:t>12</w:t>
            </w:r>
            <w:r>
              <w:rPr>
                <w:noProof/>
              </w:rPr>
              <w:fldChar w:fldCharType="end"/>
            </w:r>
          </w:hyperlink>
        </w:p>
        <w:p w14:paraId="1E87DA01" w14:textId="042CADD7" w:rsidR="00A8508F" w:rsidRDefault="00A8508F">
          <w:pPr>
            <w:pStyle w:val="TOC1"/>
            <w:rPr>
              <w:rFonts w:eastAsiaTheme="minorEastAsia" w:cstheme="minorBidi"/>
              <w:noProof/>
              <w:kern w:val="2"/>
              <w:sz w:val="24"/>
              <w:szCs w:val="24"/>
              <w:lang w:val="en-US"/>
              <w14:ligatures w14:val="standardContextual"/>
            </w:rPr>
          </w:pPr>
          <w:hyperlink w:anchor="_Toc213248993" w:history="1">
            <w:r w:rsidRPr="000F5F70">
              <w:rPr>
                <w:rStyle w:val="Hyperlink"/>
                <w:noProof/>
              </w:rPr>
              <w:t>Article 2</w:t>
            </w:r>
            <w:r>
              <w:rPr>
                <w:noProof/>
              </w:rPr>
              <w:tab/>
            </w:r>
            <w:r>
              <w:rPr>
                <w:noProof/>
              </w:rPr>
              <w:fldChar w:fldCharType="begin"/>
            </w:r>
            <w:r>
              <w:rPr>
                <w:noProof/>
              </w:rPr>
              <w:instrText xml:space="preserve"> PAGEREF _Toc213248993 \h </w:instrText>
            </w:r>
            <w:r>
              <w:rPr>
                <w:noProof/>
              </w:rPr>
            </w:r>
            <w:r>
              <w:rPr>
                <w:noProof/>
              </w:rPr>
              <w:fldChar w:fldCharType="separate"/>
            </w:r>
            <w:r w:rsidR="006D7029">
              <w:rPr>
                <w:noProof/>
              </w:rPr>
              <w:t>14</w:t>
            </w:r>
            <w:r>
              <w:rPr>
                <w:noProof/>
              </w:rPr>
              <w:fldChar w:fldCharType="end"/>
            </w:r>
          </w:hyperlink>
        </w:p>
        <w:p w14:paraId="5CC3210B" w14:textId="76FE0FAB" w:rsidR="00A8508F" w:rsidRDefault="00A8508F">
          <w:pPr>
            <w:pStyle w:val="TOC1"/>
            <w:rPr>
              <w:rFonts w:eastAsiaTheme="minorEastAsia" w:cstheme="minorBidi"/>
              <w:noProof/>
              <w:kern w:val="2"/>
              <w:sz w:val="24"/>
              <w:szCs w:val="24"/>
              <w:lang w:val="en-US"/>
              <w14:ligatures w14:val="standardContextual"/>
            </w:rPr>
          </w:pPr>
          <w:hyperlink w:anchor="_Toc213248994" w:history="1">
            <w:r w:rsidRPr="000F5F70">
              <w:rPr>
                <w:rStyle w:val="Hyperlink"/>
                <w:noProof/>
              </w:rPr>
              <w:t>Étendue de la protection</w:t>
            </w:r>
            <w:r>
              <w:rPr>
                <w:noProof/>
              </w:rPr>
              <w:tab/>
            </w:r>
            <w:r>
              <w:rPr>
                <w:noProof/>
              </w:rPr>
              <w:fldChar w:fldCharType="begin"/>
            </w:r>
            <w:r>
              <w:rPr>
                <w:noProof/>
              </w:rPr>
              <w:instrText xml:space="preserve"> PAGEREF _Toc213248994 \h </w:instrText>
            </w:r>
            <w:r>
              <w:rPr>
                <w:noProof/>
              </w:rPr>
            </w:r>
            <w:r>
              <w:rPr>
                <w:noProof/>
              </w:rPr>
              <w:fldChar w:fldCharType="separate"/>
            </w:r>
            <w:r w:rsidR="006D7029">
              <w:rPr>
                <w:noProof/>
              </w:rPr>
              <w:t>14</w:t>
            </w:r>
            <w:r>
              <w:rPr>
                <w:noProof/>
              </w:rPr>
              <w:fldChar w:fldCharType="end"/>
            </w:r>
          </w:hyperlink>
        </w:p>
        <w:p w14:paraId="44D7842E" w14:textId="14E26001" w:rsidR="00A8508F" w:rsidRDefault="00A8508F">
          <w:pPr>
            <w:pStyle w:val="TOC1"/>
            <w:rPr>
              <w:rFonts w:eastAsiaTheme="minorEastAsia" w:cstheme="minorBidi"/>
              <w:noProof/>
              <w:kern w:val="2"/>
              <w:sz w:val="24"/>
              <w:szCs w:val="24"/>
              <w:lang w:val="en-US"/>
              <w14:ligatures w14:val="standardContextual"/>
            </w:rPr>
          </w:pPr>
          <w:hyperlink w:anchor="_Toc213248995" w:history="1">
            <w:r w:rsidRPr="000F5F70">
              <w:rPr>
                <w:rStyle w:val="Hyperlink"/>
                <w:noProof/>
              </w:rPr>
              <w:t>Article 4</w:t>
            </w:r>
            <w:r>
              <w:rPr>
                <w:noProof/>
              </w:rPr>
              <w:tab/>
            </w:r>
            <w:r>
              <w:rPr>
                <w:noProof/>
              </w:rPr>
              <w:fldChar w:fldCharType="begin"/>
            </w:r>
            <w:r>
              <w:rPr>
                <w:noProof/>
              </w:rPr>
              <w:instrText xml:space="preserve"> PAGEREF _Toc213248995 \h </w:instrText>
            </w:r>
            <w:r>
              <w:rPr>
                <w:noProof/>
              </w:rPr>
            </w:r>
            <w:r>
              <w:rPr>
                <w:noProof/>
              </w:rPr>
              <w:fldChar w:fldCharType="separate"/>
            </w:r>
            <w:r w:rsidR="006D7029">
              <w:rPr>
                <w:noProof/>
              </w:rPr>
              <w:t>20</w:t>
            </w:r>
            <w:r>
              <w:rPr>
                <w:noProof/>
              </w:rPr>
              <w:fldChar w:fldCharType="end"/>
            </w:r>
          </w:hyperlink>
        </w:p>
        <w:p w14:paraId="1AF6A2BE" w14:textId="08E7EAD5" w:rsidR="00A8508F" w:rsidRDefault="00A8508F">
          <w:pPr>
            <w:pStyle w:val="TOC1"/>
            <w:rPr>
              <w:rFonts w:eastAsiaTheme="minorEastAsia" w:cstheme="minorBidi"/>
              <w:noProof/>
              <w:kern w:val="2"/>
              <w:sz w:val="24"/>
              <w:szCs w:val="24"/>
              <w:lang w:val="en-US"/>
              <w14:ligatures w14:val="standardContextual"/>
            </w:rPr>
          </w:pPr>
          <w:hyperlink w:anchor="_Toc213248996" w:history="1">
            <w:r w:rsidRPr="000F5F70">
              <w:rPr>
                <w:rStyle w:val="Hyperlink"/>
                <w:noProof/>
              </w:rPr>
              <w:t>Utilisations autorisées à des fins d’enseignement et de recherche</w:t>
            </w:r>
            <w:r>
              <w:rPr>
                <w:noProof/>
              </w:rPr>
              <w:tab/>
            </w:r>
            <w:r>
              <w:rPr>
                <w:noProof/>
              </w:rPr>
              <w:fldChar w:fldCharType="begin"/>
            </w:r>
            <w:r>
              <w:rPr>
                <w:noProof/>
              </w:rPr>
              <w:instrText xml:space="preserve"> PAGEREF _Toc213248996 \h </w:instrText>
            </w:r>
            <w:r>
              <w:rPr>
                <w:noProof/>
              </w:rPr>
            </w:r>
            <w:r>
              <w:rPr>
                <w:noProof/>
              </w:rPr>
              <w:fldChar w:fldCharType="separate"/>
            </w:r>
            <w:r w:rsidR="006D7029">
              <w:rPr>
                <w:noProof/>
              </w:rPr>
              <w:t>20</w:t>
            </w:r>
            <w:r>
              <w:rPr>
                <w:noProof/>
              </w:rPr>
              <w:fldChar w:fldCharType="end"/>
            </w:r>
          </w:hyperlink>
        </w:p>
        <w:p w14:paraId="02CE1830" w14:textId="751E0A8C" w:rsidR="00A8508F" w:rsidRDefault="00A8508F">
          <w:pPr>
            <w:pStyle w:val="TOC1"/>
            <w:rPr>
              <w:rFonts w:eastAsiaTheme="minorEastAsia" w:cstheme="minorBidi"/>
              <w:noProof/>
              <w:kern w:val="2"/>
              <w:sz w:val="24"/>
              <w:szCs w:val="24"/>
              <w:lang w:val="en-US"/>
              <w14:ligatures w14:val="standardContextual"/>
            </w:rPr>
          </w:pPr>
          <w:hyperlink w:anchor="_Toc213248997" w:history="1">
            <w:r w:rsidRPr="000F5F70">
              <w:rPr>
                <w:rStyle w:val="Hyperlink"/>
                <w:noProof/>
              </w:rPr>
              <w:t>Article 5</w:t>
            </w:r>
            <w:r>
              <w:rPr>
                <w:noProof/>
              </w:rPr>
              <w:tab/>
            </w:r>
            <w:r>
              <w:rPr>
                <w:noProof/>
              </w:rPr>
              <w:fldChar w:fldCharType="begin"/>
            </w:r>
            <w:r>
              <w:rPr>
                <w:noProof/>
              </w:rPr>
              <w:instrText xml:space="preserve"> PAGEREF _Toc213248997 \h </w:instrText>
            </w:r>
            <w:r>
              <w:rPr>
                <w:noProof/>
              </w:rPr>
            </w:r>
            <w:r>
              <w:rPr>
                <w:noProof/>
              </w:rPr>
              <w:fldChar w:fldCharType="separate"/>
            </w:r>
            <w:r w:rsidR="006D7029">
              <w:rPr>
                <w:noProof/>
              </w:rPr>
              <w:t>30</w:t>
            </w:r>
            <w:r>
              <w:rPr>
                <w:noProof/>
              </w:rPr>
              <w:fldChar w:fldCharType="end"/>
            </w:r>
          </w:hyperlink>
        </w:p>
        <w:p w14:paraId="37828FA7" w14:textId="7B6E4A00" w:rsidR="00A8508F" w:rsidRDefault="00A8508F">
          <w:pPr>
            <w:pStyle w:val="TOC1"/>
            <w:rPr>
              <w:rFonts w:eastAsiaTheme="minorEastAsia" w:cstheme="minorBidi"/>
              <w:noProof/>
              <w:kern w:val="2"/>
              <w:sz w:val="24"/>
              <w:szCs w:val="24"/>
              <w:lang w:val="en-US"/>
              <w14:ligatures w14:val="standardContextual"/>
            </w:rPr>
          </w:pPr>
          <w:hyperlink w:anchor="_Toc213248998" w:history="1">
            <w:r w:rsidRPr="000F5F70">
              <w:rPr>
                <w:rStyle w:val="Hyperlink"/>
                <w:noProof/>
              </w:rPr>
              <w:t>Patrimoine culturel</w:t>
            </w:r>
            <w:r>
              <w:rPr>
                <w:noProof/>
              </w:rPr>
              <w:tab/>
            </w:r>
            <w:r>
              <w:rPr>
                <w:noProof/>
              </w:rPr>
              <w:fldChar w:fldCharType="begin"/>
            </w:r>
            <w:r>
              <w:rPr>
                <w:noProof/>
              </w:rPr>
              <w:instrText xml:space="preserve"> PAGEREF _Toc213248998 \h </w:instrText>
            </w:r>
            <w:r>
              <w:rPr>
                <w:noProof/>
              </w:rPr>
            </w:r>
            <w:r>
              <w:rPr>
                <w:noProof/>
              </w:rPr>
              <w:fldChar w:fldCharType="separate"/>
            </w:r>
            <w:r w:rsidR="006D7029">
              <w:rPr>
                <w:noProof/>
              </w:rPr>
              <w:t>30</w:t>
            </w:r>
            <w:r>
              <w:rPr>
                <w:noProof/>
              </w:rPr>
              <w:fldChar w:fldCharType="end"/>
            </w:r>
          </w:hyperlink>
        </w:p>
        <w:p w14:paraId="26CDC593" w14:textId="6BAC3590" w:rsidR="00A8508F" w:rsidRDefault="00A8508F">
          <w:pPr>
            <w:pStyle w:val="TOC1"/>
            <w:rPr>
              <w:rFonts w:eastAsiaTheme="minorEastAsia" w:cstheme="minorBidi"/>
              <w:noProof/>
              <w:kern w:val="2"/>
              <w:sz w:val="24"/>
              <w:szCs w:val="24"/>
              <w:lang w:val="en-US"/>
              <w14:ligatures w14:val="standardContextual"/>
            </w:rPr>
          </w:pPr>
          <w:hyperlink w:anchor="_Toc213248999" w:history="1">
            <w:r w:rsidRPr="000F5F70">
              <w:rPr>
                <w:rStyle w:val="Hyperlink"/>
                <w:noProof/>
              </w:rPr>
              <w:t>Article 6</w:t>
            </w:r>
            <w:r>
              <w:rPr>
                <w:noProof/>
              </w:rPr>
              <w:tab/>
            </w:r>
            <w:r>
              <w:rPr>
                <w:noProof/>
              </w:rPr>
              <w:fldChar w:fldCharType="begin"/>
            </w:r>
            <w:r>
              <w:rPr>
                <w:noProof/>
              </w:rPr>
              <w:instrText xml:space="preserve"> PAGEREF _Toc213248999 \h </w:instrText>
            </w:r>
            <w:r>
              <w:rPr>
                <w:noProof/>
              </w:rPr>
            </w:r>
            <w:r>
              <w:rPr>
                <w:noProof/>
              </w:rPr>
              <w:fldChar w:fldCharType="separate"/>
            </w:r>
            <w:r w:rsidR="006D7029">
              <w:rPr>
                <w:noProof/>
              </w:rPr>
              <w:t>34</w:t>
            </w:r>
            <w:r>
              <w:rPr>
                <w:noProof/>
              </w:rPr>
              <w:fldChar w:fldCharType="end"/>
            </w:r>
          </w:hyperlink>
        </w:p>
        <w:p w14:paraId="3F2162F5" w14:textId="20E2AD35" w:rsidR="00A8508F" w:rsidRDefault="00A8508F">
          <w:pPr>
            <w:pStyle w:val="TOC1"/>
            <w:rPr>
              <w:rFonts w:eastAsiaTheme="minorEastAsia" w:cstheme="minorBidi"/>
              <w:noProof/>
              <w:kern w:val="2"/>
              <w:sz w:val="24"/>
              <w:szCs w:val="24"/>
              <w:lang w:val="en-US"/>
              <w14:ligatures w14:val="standardContextual"/>
            </w:rPr>
          </w:pPr>
          <w:hyperlink w:anchor="_Toc213249000" w:history="1">
            <w:r w:rsidRPr="000F5F70">
              <w:rPr>
                <w:rStyle w:val="Hyperlink"/>
                <w:noProof/>
              </w:rPr>
              <w:t>Personnes handicapées</w:t>
            </w:r>
            <w:r>
              <w:rPr>
                <w:noProof/>
              </w:rPr>
              <w:tab/>
            </w:r>
            <w:r>
              <w:rPr>
                <w:noProof/>
              </w:rPr>
              <w:fldChar w:fldCharType="begin"/>
            </w:r>
            <w:r>
              <w:rPr>
                <w:noProof/>
              </w:rPr>
              <w:instrText xml:space="preserve"> PAGEREF _Toc213249000 \h </w:instrText>
            </w:r>
            <w:r>
              <w:rPr>
                <w:noProof/>
              </w:rPr>
            </w:r>
            <w:r>
              <w:rPr>
                <w:noProof/>
              </w:rPr>
              <w:fldChar w:fldCharType="separate"/>
            </w:r>
            <w:r w:rsidR="006D7029">
              <w:rPr>
                <w:noProof/>
              </w:rPr>
              <w:t>34</w:t>
            </w:r>
            <w:r>
              <w:rPr>
                <w:noProof/>
              </w:rPr>
              <w:fldChar w:fldCharType="end"/>
            </w:r>
          </w:hyperlink>
        </w:p>
        <w:p w14:paraId="7EDE2093" w14:textId="64F39A26" w:rsidR="00A8508F" w:rsidRDefault="00A8508F">
          <w:pPr>
            <w:pStyle w:val="TOC1"/>
            <w:rPr>
              <w:rFonts w:eastAsiaTheme="minorEastAsia" w:cstheme="minorBidi"/>
              <w:noProof/>
              <w:kern w:val="2"/>
              <w:sz w:val="24"/>
              <w:szCs w:val="24"/>
              <w:lang w:val="en-US"/>
              <w14:ligatures w14:val="standardContextual"/>
            </w:rPr>
          </w:pPr>
          <w:hyperlink w:anchor="_Toc213249001" w:history="1">
            <w:r w:rsidRPr="000F5F70">
              <w:rPr>
                <w:rStyle w:val="Hyperlink"/>
                <w:noProof/>
              </w:rPr>
              <w:t>Article 7</w:t>
            </w:r>
            <w:r>
              <w:rPr>
                <w:noProof/>
              </w:rPr>
              <w:tab/>
            </w:r>
            <w:r>
              <w:rPr>
                <w:noProof/>
              </w:rPr>
              <w:fldChar w:fldCharType="begin"/>
            </w:r>
            <w:r>
              <w:rPr>
                <w:noProof/>
              </w:rPr>
              <w:instrText xml:space="preserve"> PAGEREF _Toc213249001 \h </w:instrText>
            </w:r>
            <w:r>
              <w:rPr>
                <w:noProof/>
              </w:rPr>
            </w:r>
            <w:r>
              <w:rPr>
                <w:noProof/>
              </w:rPr>
              <w:fldChar w:fldCharType="separate"/>
            </w:r>
            <w:r w:rsidR="006D7029">
              <w:rPr>
                <w:noProof/>
              </w:rPr>
              <w:t>36</w:t>
            </w:r>
            <w:r>
              <w:rPr>
                <w:noProof/>
              </w:rPr>
              <w:fldChar w:fldCharType="end"/>
            </w:r>
          </w:hyperlink>
        </w:p>
        <w:p w14:paraId="2A94A3DC" w14:textId="22679AA1" w:rsidR="00A8508F" w:rsidRDefault="00A8508F">
          <w:pPr>
            <w:pStyle w:val="TOC1"/>
            <w:rPr>
              <w:rFonts w:eastAsiaTheme="minorEastAsia" w:cstheme="minorBidi"/>
              <w:noProof/>
              <w:kern w:val="2"/>
              <w:sz w:val="24"/>
              <w:szCs w:val="24"/>
              <w:lang w:val="en-US"/>
              <w14:ligatures w14:val="standardContextual"/>
            </w:rPr>
          </w:pPr>
          <w:hyperlink w:anchor="_Toc213249002" w:history="1">
            <w:r w:rsidRPr="000F5F70">
              <w:rPr>
                <w:rStyle w:val="Hyperlink"/>
                <w:noProof/>
              </w:rPr>
              <w:t>Utilisations transfrontières</w:t>
            </w:r>
            <w:r>
              <w:rPr>
                <w:noProof/>
              </w:rPr>
              <w:tab/>
            </w:r>
            <w:r>
              <w:rPr>
                <w:noProof/>
              </w:rPr>
              <w:fldChar w:fldCharType="begin"/>
            </w:r>
            <w:r>
              <w:rPr>
                <w:noProof/>
              </w:rPr>
              <w:instrText xml:space="preserve"> PAGEREF _Toc213249002 \h </w:instrText>
            </w:r>
            <w:r>
              <w:rPr>
                <w:noProof/>
              </w:rPr>
            </w:r>
            <w:r>
              <w:rPr>
                <w:noProof/>
              </w:rPr>
              <w:fldChar w:fldCharType="separate"/>
            </w:r>
            <w:r w:rsidR="006D7029">
              <w:rPr>
                <w:noProof/>
              </w:rPr>
              <w:t>36</w:t>
            </w:r>
            <w:r>
              <w:rPr>
                <w:noProof/>
              </w:rPr>
              <w:fldChar w:fldCharType="end"/>
            </w:r>
          </w:hyperlink>
        </w:p>
        <w:p w14:paraId="235EFD86" w14:textId="50A2EF65" w:rsidR="00A8508F" w:rsidRDefault="00A8508F">
          <w:pPr>
            <w:pStyle w:val="TOC1"/>
            <w:rPr>
              <w:rFonts w:eastAsiaTheme="minorEastAsia" w:cstheme="minorBidi"/>
              <w:noProof/>
              <w:kern w:val="2"/>
              <w:sz w:val="24"/>
              <w:szCs w:val="24"/>
              <w:lang w:val="en-US"/>
              <w14:ligatures w14:val="standardContextual"/>
            </w:rPr>
          </w:pPr>
          <w:hyperlink w:anchor="_Toc213249003" w:history="1">
            <w:r w:rsidRPr="000F5F70">
              <w:rPr>
                <w:rStyle w:val="Hyperlink"/>
                <w:noProof/>
              </w:rPr>
              <w:t>Article 8</w:t>
            </w:r>
            <w:r>
              <w:rPr>
                <w:noProof/>
              </w:rPr>
              <w:tab/>
            </w:r>
            <w:r>
              <w:rPr>
                <w:noProof/>
              </w:rPr>
              <w:fldChar w:fldCharType="begin"/>
            </w:r>
            <w:r>
              <w:rPr>
                <w:noProof/>
              </w:rPr>
              <w:instrText xml:space="preserve"> PAGEREF _Toc213249003 \h </w:instrText>
            </w:r>
            <w:r>
              <w:rPr>
                <w:noProof/>
              </w:rPr>
            </w:r>
            <w:r>
              <w:rPr>
                <w:noProof/>
              </w:rPr>
              <w:fldChar w:fldCharType="separate"/>
            </w:r>
            <w:r w:rsidR="006D7029">
              <w:rPr>
                <w:noProof/>
              </w:rPr>
              <w:t>38</w:t>
            </w:r>
            <w:r>
              <w:rPr>
                <w:noProof/>
              </w:rPr>
              <w:fldChar w:fldCharType="end"/>
            </w:r>
          </w:hyperlink>
        </w:p>
        <w:p w14:paraId="0E30C5EA" w14:textId="2459E270" w:rsidR="00A8508F" w:rsidRDefault="00A8508F">
          <w:pPr>
            <w:pStyle w:val="TOC1"/>
            <w:rPr>
              <w:rFonts w:eastAsiaTheme="minorEastAsia" w:cstheme="minorBidi"/>
              <w:noProof/>
              <w:kern w:val="2"/>
              <w:sz w:val="24"/>
              <w:szCs w:val="24"/>
              <w:lang w:val="en-US"/>
              <w14:ligatures w14:val="standardContextual"/>
            </w:rPr>
          </w:pPr>
          <w:hyperlink w:anchor="_Toc213249004" w:history="1">
            <w:r w:rsidRPr="000F5F70">
              <w:rPr>
                <w:rStyle w:val="Hyperlink"/>
                <w:noProof/>
              </w:rPr>
              <w:t>Utilisations soumises à rémunération</w:t>
            </w:r>
            <w:r>
              <w:rPr>
                <w:noProof/>
              </w:rPr>
              <w:tab/>
            </w:r>
            <w:r>
              <w:rPr>
                <w:noProof/>
              </w:rPr>
              <w:fldChar w:fldCharType="begin"/>
            </w:r>
            <w:r>
              <w:rPr>
                <w:noProof/>
              </w:rPr>
              <w:instrText xml:space="preserve"> PAGEREF _Toc213249004 \h </w:instrText>
            </w:r>
            <w:r>
              <w:rPr>
                <w:noProof/>
              </w:rPr>
            </w:r>
            <w:r>
              <w:rPr>
                <w:noProof/>
              </w:rPr>
              <w:fldChar w:fldCharType="separate"/>
            </w:r>
            <w:r w:rsidR="006D7029">
              <w:rPr>
                <w:noProof/>
              </w:rPr>
              <w:t>38</w:t>
            </w:r>
            <w:r>
              <w:rPr>
                <w:noProof/>
              </w:rPr>
              <w:fldChar w:fldCharType="end"/>
            </w:r>
          </w:hyperlink>
        </w:p>
        <w:p w14:paraId="00255962" w14:textId="388EA7E1" w:rsidR="00A8508F" w:rsidRDefault="00A8508F">
          <w:pPr>
            <w:pStyle w:val="TOC1"/>
            <w:rPr>
              <w:rFonts w:eastAsiaTheme="minorEastAsia" w:cstheme="minorBidi"/>
              <w:noProof/>
              <w:kern w:val="2"/>
              <w:sz w:val="24"/>
              <w:szCs w:val="24"/>
              <w:lang w:val="en-US"/>
              <w14:ligatures w14:val="standardContextual"/>
            </w:rPr>
          </w:pPr>
          <w:hyperlink w:anchor="_Toc213249005" w:history="1">
            <w:r w:rsidRPr="000F5F70">
              <w:rPr>
                <w:rStyle w:val="Hyperlink"/>
                <w:noProof/>
              </w:rPr>
              <w:t>Article 9</w:t>
            </w:r>
            <w:r>
              <w:rPr>
                <w:noProof/>
              </w:rPr>
              <w:tab/>
            </w:r>
            <w:r>
              <w:rPr>
                <w:noProof/>
              </w:rPr>
              <w:fldChar w:fldCharType="begin"/>
            </w:r>
            <w:r>
              <w:rPr>
                <w:noProof/>
              </w:rPr>
              <w:instrText xml:space="preserve"> PAGEREF _Toc213249005 \h </w:instrText>
            </w:r>
            <w:r>
              <w:rPr>
                <w:noProof/>
              </w:rPr>
            </w:r>
            <w:r>
              <w:rPr>
                <w:noProof/>
              </w:rPr>
              <w:fldChar w:fldCharType="separate"/>
            </w:r>
            <w:r w:rsidR="006D7029">
              <w:rPr>
                <w:noProof/>
              </w:rPr>
              <w:t>40</w:t>
            </w:r>
            <w:r>
              <w:rPr>
                <w:noProof/>
              </w:rPr>
              <w:fldChar w:fldCharType="end"/>
            </w:r>
          </w:hyperlink>
        </w:p>
        <w:p w14:paraId="33E2C0FF" w14:textId="42477D7A" w:rsidR="00A8508F" w:rsidRDefault="00A8508F">
          <w:pPr>
            <w:pStyle w:val="TOC1"/>
            <w:rPr>
              <w:rFonts w:eastAsiaTheme="minorEastAsia" w:cstheme="minorBidi"/>
              <w:noProof/>
              <w:kern w:val="2"/>
              <w:sz w:val="24"/>
              <w:szCs w:val="24"/>
              <w:lang w:val="en-US"/>
              <w14:ligatures w14:val="standardContextual"/>
            </w:rPr>
          </w:pPr>
          <w:hyperlink w:anchor="_Toc213249006" w:history="1">
            <w:r w:rsidRPr="000F5F70">
              <w:rPr>
                <w:rStyle w:val="Hyperlink"/>
                <w:noProof/>
              </w:rPr>
              <w:t>Protection contre l’ingérence contractuelle</w:t>
            </w:r>
            <w:r>
              <w:rPr>
                <w:noProof/>
              </w:rPr>
              <w:tab/>
            </w:r>
            <w:r>
              <w:rPr>
                <w:noProof/>
              </w:rPr>
              <w:fldChar w:fldCharType="begin"/>
            </w:r>
            <w:r>
              <w:rPr>
                <w:noProof/>
              </w:rPr>
              <w:instrText xml:space="preserve"> PAGEREF _Toc213249006 \h </w:instrText>
            </w:r>
            <w:r>
              <w:rPr>
                <w:noProof/>
              </w:rPr>
            </w:r>
            <w:r>
              <w:rPr>
                <w:noProof/>
              </w:rPr>
              <w:fldChar w:fldCharType="separate"/>
            </w:r>
            <w:r w:rsidR="006D7029">
              <w:rPr>
                <w:noProof/>
              </w:rPr>
              <w:t>40</w:t>
            </w:r>
            <w:r>
              <w:rPr>
                <w:noProof/>
              </w:rPr>
              <w:fldChar w:fldCharType="end"/>
            </w:r>
          </w:hyperlink>
        </w:p>
        <w:p w14:paraId="1D12B98D" w14:textId="57B5DC9E" w:rsidR="00A8508F" w:rsidRDefault="00A8508F">
          <w:pPr>
            <w:pStyle w:val="TOC1"/>
            <w:rPr>
              <w:rFonts w:eastAsiaTheme="minorEastAsia" w:cstheme="minorBidi"/>
              <w:noProof/>
              <w:kern w:val="2"/>
              <w:sz w:val="24"/>
              <w:szCs w:val="24"/>
              <w:lang w:val="en-US"/>
              <w14:ligatures w14:val="standardContextual"/>
            </w:rPr>
          </w:pPr>
          <w:hyperlink w:anchor="_Toc213249007" w:history="1">
            <w:r w:rsidRPr="000F5F70">
              <w:rPr>
                <w:rStyle w:val="Hyperlink"/>
                <w:noProof/>
              </w:rPr>
              <w:t>Article 10</w:t>
            </w:r>
            <w:r>
              <w:rPr>
                <w:noProof/>
              </w:rPr>
              <w:tab/>
            </w:r>
            <w:r>
              <w:rPr>
                <w:noProof/>
              </w:rPr>
              <w:fldChar w:fldCharType="begin"/>
            </w:r>
            <w:r>
              <w:rPr>
                <w:noProof/>
              </w:rPr>
              <w:instrText xml:space="preserve"> PAGEREF _Toc213249007 \h </w:instrText>
            </w:r>
            <w:r>
              <w:rPr>
                <w:noProof/>
              </w:rPr>
            </w:r>
            <w:r>
              <w:rPr>
                <w:noProof/>
              </w:rPr>
              <w:fldChar w:fldCharType="separate"/>
            </w:r>
            <w:r w:rsidR="006D7029">
              <w:rPr>
                <w:noProof/>
              </w:rPr>
              <w:t>42</w:t>
            </w:r>
            <w:r>
              <w:rPr>
                <w:noProof/>
              </w:rPr>
              <w:fldChar w:fldCharType="end"/>
            </w:r>
          </w:hyperlink>
        </w:p>
        <w:p w14:paraId="72651FF3" w14:textId="0C544C50" w:rsidR="00A8508F" w:rsidRDefault="00A8508F">
          <w:pPr>
            <w:pStyle w:val="TOC1"/>
            <w:rPr>
              <w:rFonts w:eastAsiaTheme="minorEastAsia" w:cstheme="minorBidi"/>
              <w:noProof/>
              <w:kern w:val="2"/>
              <w:sz w:val="24"/>
              <w:szCs w:val="24"/>
              <w:lang w:val="en-US"/>
              <w14:ligatures w14:val="standardContextual"/>
            </w:rPr>
          </w:pPr>
          <w:hyperlink w:anchor="_Toc213249008" w:history="1">
            <w:r w:rsidRPr="000F5F70">
              <w:rPr>
                <w:rStyle w:val="Hyperlink"/>
                <w:noProof/>
              </w:rPr>
              <w:t>Obligations concernant les mesures techniques de protection</w:t>
            </w:r>
            <w:r>
              <w:rPr>
                <w:noProof/>
              </w:rPr>
              <w:tab/>
            </w:r>
            <w:r>
              <w:rPr>
                <w:noProof/>
              </w:rPr>
              <w:fldChar w:fldCharType="begin"/>
            </w:r>
            <w:r>
              <w:rPr>
                <w:noProof/>
              </w:rPr>
              <w:instrText xml:space="preserve"> PAGEREF _Toc213249008 \h </w:instrText>
            </w:r>
            <w:r>
              <w:rPr>
                <w:noProof/>
              </w:rPr>
            </w:r>
            <w:r>
              <w:rPr>
                <w:noProof/>
              </w:rPr>
              <w:fldChar w:fldCharType="separate"/>
            </w:r>
            <w:r w:rsidR="006D7029">
              <w:rPr>
                <w:noProof/>
              </w:rPr>
              <w:t>42</w:t>
            </w:r>
            <w:r>
              <w:rPr>
                <w:noProof/>
              </w:rPr>
              <w:fldChar w:fldCharType="end"/>
            </w:r>
          </w:hyperlink>
        </w:p>
        <w:p w14:paraId="2C87A34A" w14:textId="2B557396" w:rsidR="00A8508F" w:rsidRDefault="00A8508F">
          <w:pPr>
            <w:pStyle w:val="TOC1"/>
            <w:rPr>
              <w:rFonts w:eastAsiaTheme="minorEastAsia" w:cstheme="minorBidi"/>
              <w:noProof/>
              <w:kern w:val="2"/>
              <w:sz w:val="24"/>
              <w:szCs w:val="24"/>
              <w:lang w:val="en-US"/>
              <w14:ligatures w14:val="standardContextual"/>
            </w:rPr>
          </w:pPr>
          <w:hyperlink w:anchor="_Toc213249009" w:history="1">
            <w:r w:rsidRPr="000F5F70">
              <w:rPr>
                <w:rStyle w:val="Hyperlink"/>
                <w:noProof/>
              </w:rPr>
              <w:t>Article 11</w:t>
            </w:r>
            <w:r>
              <w:rPr>
                <w:noProof/>
              </w:rPr>
              <w:tab/>
            </w:r>
            <w:r>
              <w:rPr>
                <w:noProof/>
              </w:rPr>
              <w:fldChar w:fldCharType="begin"/>
            </w:r>
            <w:r>
              <w:rPr>
                <w:noProof/>
              </w:rPr>
              <w:instrText xml:space="preserve"> PAGEREF _Toc213249009 \h </w:instrText>
            </w:r>
            <w:r>
              <w:rPr>
                <w:noProof/>
              </w:rPr>
            </w:r>
            <w:r>
              <w:rPr>
                <w:noProof/>
              </w:rPr>
              <w:fldChar w:fldCharType="separate"/>
            </w:r>
            <w:r w:rsidR="006D7029">
              <w:rPr>
                <w:noProof/>
              </w:rPr>
              <w:t>44</w:t>
            </w:r>
            <w:r>
              <w:rPr>
                <w:noProof/>
              </w:rPr>
              <w:fldChar w:fldCharType="end"/>
            </w:r>
          </w:hyperlink>
        </w:p>
        <w:p w14:paraId="6A902B04" w14:textId="06B96358" w:rsidR="00A8508F" w:rsidRDefault="00A8508F">
          <w:pPr>
            <w:pStyle w:val="TOC1"/>
            <w:rPr>
              <w:rFonts w:eastAsiaTheme="minorEastAsia" w:cstheme="minorBidi"/>
              <w:noProof/>
              <w:kern w:val="2"/>
              <w:sz w:val="24"/>
              <w:szCs w:val="24"/>
              <w:lang w:val="en-US"/>
              <w14:ligatures w14:val="standardContextual"/>
            </w:rPr>
          </w:pPr>
          <w:hyperlink w:anchor="_Toc213249010" w:history="1">
            <w:r w:rsidRPr="000F5F70">
              <w:rPr>
                <w:rStyle w:val="Hyperlink"/>
                <w:noProof/>
              </w:rPr>
              <w:t>Limitation de responsabilité</w:t>
            </w:r>
            <w:r>
              <w:rPr>
                <w:noProof/>
              </w:rPr>
              <w:tab/>
            </w:r>
            <w:r>
              <w:rPr>
                <w:noProof/>
              </w:rPr>
              <w:fldChar w:fldCharType="begin"/>
            </w:r>
            <w:r>
              <w:rPr>
                <w:noProof/>
              </w:rPr>
              <w:instrText xml:space="preserve"> PAGEREF _Toc213249010 \h </w:instrText>
            </w:r>
            <w:r>
              <w:rPr>
                <w:noProof/>
              </w:rPr>
            </w:r>
            <w:r>
              <w:rPr>
                <w:noProof/>
              </w:rPr>
              <w:fldChar w:fldCharType="separate"/>
            </w:r>
            <w:r w:rsidR="006D7029">
              <w:rPr>
                <w:noProof/>
              </w:rPr>
              <w:t>44</w:t>
            </w:r>
            <w:r>
              <w:rPr>
                <w:noProof/>
              </w:rPr>
              <w:fldChar w:fldCharType="end"/>
            </w:r>
          </w:hyperlink>
        </w:p>
        <w:p w14:paraId="37CF3030" w14:textId="306FEDC3" w:rsidR="00A8508F" w:rsidRDefault="00A8508F">
          <w:pPr>
            <w:pStyle w:val="TOC1"/>
            <w:rPr>
              <w:rFonts w:eastAsiaTheme="minorEastAsia" w:cstheme="minorBidi"/>
              <w:noProof/>
              <w:kern w:val="2"/>
              <w:sz w:val="24"/>
              <w:szCs w:val="24"/>
              <w:lang w:val="en-US"/>
              <w14:ligatures w14:val="standardContextual"/>
            </w:rPr>
          </w:pPr>
          <w:hyperlink w:anchor="_Toc213249011" w:history="1">
            <w:r w:rsidRPr="000F5F70">
              <w:rPr>
                <w:rStyle w:val="Hyperlink"/>
                <w:noProof/>
              </w:rPr>
              <w:t>Article 12</w:t>
            </w:r>
            <w:r>
              <w:rPr>
                <w:noProof/>
              </w:rPr>
              <w:tab/>
            </w:r>
            <w:r>
              <w:rPr>
                <w:noProof/>
              </w:rPr>
              <w:fldChar w:fldCharType="begin"/>
            </w:r>
            <w:r>
              <w:rPr>
                <w:noProof/>
              </w:rPr>
              <w:instrText xml:space="preserve"> PAGEREF _Toc213249011 \h </w:instrText>
            </w:r>
            <w:r>
              <w:rPr>
                <w:noProof/>
              </w:rPr>
            </w:r>
            <w:r>
              <w:rPr>
                <w:noProof/>
              </w:rPr>
              <w:fldChar w:fldCharType="separate"/>
            </w:r>
            <w:r w:rsidR="006D7029">
              <w:rPr>
                <w:noProof/>
              </w:rPr>
              <w:t>46</w:t>
            </w:r>
            <w:r>
              <w:rPr>
                <w:noProof/>
              </w:rPr>
              <w:fldChar w:fldCharType="end"/>
            </w:r>
          </w:hyperlink>
        </w:p>
        <w:p w14:paraId="22788552" w14:textId="5A15CBAD" w:rsidR="00A8508F" w:rsidRDefault="00A8508F">
          <w:pPr>
            <w:pStyle w:val="TOC1"/>
            <w:rPr>
              <w:rFonts w:eastAsiaTheme="minorEastAsia" w:cstheme="minorBidi"/>
              <w:noProof/>
              <w:kern w:val="2"/>
              <w:sz w:val="24"/>
              <w:szCs w:val="24"/>
              <w:lang w:val="en-US"/>
              <w14:ligatures w14:val="standardContextual"/>
            </w:rPr>
          </w:pPr>
          <w:hyperlink w:anchor="_Toc213249012" w:history="1">
            <w:r w:rsidRPr="000F5F70">
              <w:rPr>
                <w:rStyle w:val="Hyperlink"/>
                <w:noProof/>
              </w:rPr>
              <w:t>Interprétation du test en trois étapes</w:t>
            </w:r>
            <w:r>
              <w:rPr>
                <w:noProof/>
              </w:rPr>
              <w:tab/>
            </w:r>
            <w:r>
              <w:rPr>
                <w:noProof/>
              </w:rPr>
              <w:fldChar w:fldCharType="begin"/>
            </w:r>
            <w:r>
              <w:rPr>
                <w:noProof/>
              </w:rPr>
              <w:instrText xml:space="preserve"> PAGEREF _Toc213249012 \h </w:instrText>
            </w:r>
            <w:r>
              <w:rPr>
                <w:noProof/>
              </w:rPr>
            </w:r>
            <w:r>
              <w:rPr>
                <w:noProof/>
              </w:rPr>
              <w:fldChar w:fldCharType="separate"/>
            </w:r>
            <w:r w:rsidR="006D7029">
              <w:rPr>
                <w:noProof/>
              </w:rPr>
              <w:t>46</w:t>
            </w:r>
            <w:r>
              <w:rPr>
                <w:noProof/>
              </w:rPr>
              <w:fldChar w:fldCharType="end"/>
            </w:r>
          </w:hyperlink>
        </w:p>
        <w:p w14:paraId="72B799D2" w14:textId="049F5324" w:rsidR="00807B43" w:rsidRPr="007F3768" w:rsidRDefault="00807B43" w:rsidP="007F3768">
          <w:pPr>
            <w:pStyle w:val="TOC1"/>
            <w:tabs>
              <w:tab w:val="clear" w:pos="9360"/>
              <w:tab w:val="right" w:leader="dot" w:pos="9025"/>
            </w:tabs>
          </w:pPr>
          <w:r w:rsidRPr="007F3768">
            <w:fldChar w:fldCharType="end"/>
          </w:r>
        </w:p>
      </w:sdtContent>
    </w:sdt>
    <w:p w14:paraId="089513CA" w14:textId="77777777" w:rsidR="00807B43" w:rsidRPr="007F3768" w:rsidRDefault="00807B43" w:rsidP="007F3768">
      <w:pPr>
        <w:rPr>
          <w:rFonts w:eastAsia="Times New Roman" w:cs="Times New Roman"/>
          <w:i/>
          <w:iCs/>
          <w:sz w:val="24"/>
          <w:szCs w:val="24"/>
          <w:lang w:val="fr-FR"/>
        </w:rPr>
      </w:pPr>
      <w:r w:rsidRPr="007F3768">
        <w:rPr>
          <w:lang w:val="fr-FR"/>
        </w:rPr>
        <w:br w:type="page"/>
      </w:r>
    </w:p>
    <w:p w14:paraId="5A24E1A8" w14:textId="77777777" w:rsidR="00807B43" w:rsidRPr="007F3768" w:rsidRDefault="00807B43" w:rsidP="007F3768">
      <w:pPr>
        <w:rPr>
          <w:lang w:val="fr-FR"/>
        </w:rPr>
      </w:pPr>
      <w:r w:rsidRPr="007F3768">
        <w:rPr>
          <w:i/>
          <w:lang w:val="fr-FR"/>
        </w:rPr>
        <w:lastRenderedPageBreak/>
        <w:t>Notes explicatives relatives au préambule</w:t>
      </w:r>
    </w:p>
    <w:p w14:paraId="53F1C97D" w14:textId="77777777" w:rsidR="00807B43" w:rsidRPr="007F3768" w:rsidRDefault="00807B43" w:rsidP="007F3768">
      <w:pPr>
        <w:rPr>
          <w:lang w:val="fr-FR"/>
        </w:rPr>
      </w:pPr>
    </w:p>
    <w:p w14:paraId="7DCBA9FB" w14:textId="4698C881" w:rsidR="00807B43" w:rsidRPr="007F3768" w:rsidRDefault="00807B43" w:rsidP="007F3768">
      <w:pPr>
        <w:rPr>
          <w:lang w:val="fr-FR"/>
        </w:rPr>
      </w:pPr>
      <w:r w:rsidRPr="007F3768">
        <w:rPr>
          <w:lang w:val="fr-FR"/>
        </w:rPr>
        <w:t>0.01</w:t>
      </w:r>
      <w:r w:rsidRPr="007F3768">
        <w:rPr>
          <w:lang w:val="fr-FR"/>
        </w:rPr>
        <w:tab/>
        <w:t>Le</w:t>
      </w:r>
      <w:r w:rsidRPr="007F3768">
        <w:rPr>
          <w:i/>
          <w:lang w:val="fr-FR"/>
        </w:rPr>
        <w:t xml:space="preserve"> préambule</w:t>
      </w:r>
      <w:r w:rsidRPr="007F3768">
        <w:rPr>
          <w:lang w:val="fr-FR"/>
        </w:rPr>
        <w:t xml:space="preserve"> énonce l</w:t>
      </w:r>
      <w:r w:rsidR="00A94A66" w:rsidRPr="007F3768">
        <w:rPr>
          <w:lang w:val="fr-FR"/>
        </w:rPr>
        <w:t>’</w:t>
      </w:r>
      <w:r w:rsidRPr="007F3768">
        <w:rPr>
          <w:lang w:val="fr-FR"/>
        </w:rPr>
        <w:t>objectif de l</w:t>
      </w:r>
      <w:r w:rsidR="00A94A66" w:rsidRPr="007F3768">
        <w:rPr>
          <w:lang w:val="fr-FR"/>
        </w:rPr>
        <w:t>’</w:t>
      </w:r>
      <w:r w:rsidRPr="007F3768">
        <w:rPr>
          <w:lang w:val="fr-FR"/>
        </w:rPr>
        <w:t>instrume</w:t>
      </w:r>
      <w:r w:rsidR="00F42729" w:rsidRPr="007F3768">
        <w:rPr>
          <w:lang w:val="fr-FR"/>
        </w:rPr>
        <w:t>nt.  Il</w:t>
      </w:r>
      <w:r w:rsidRPr="007F3768">
        <w:rPr>
          <w:lang w:val="fr-FR"/>
        </w:rPr>
        <w:t xml:space="preserve"> s</w:t>
      </w:r>
      <w:r w:rsidR="00A94A66" w:rsidRPr="007F3768">
        <w:rPr>
          <w:lang w:val="fr-FR"/>
        </w:rPr>
        <w:t>’</w:t>
      </w:r>
      <w:r w:rsidRPr="007F3768">
        <w:rPr>
          <w:lang w:val="fr-FR"/>
        </w:rPr>
        <w:t>inspire des déclarations figurant dans le préambule du projet de traité de l</w:t>
      </w:r>
      <w:r w:rsidR="00A94A66" w:rsidRPr="007F3768">
        <w:rPr>
          <w:lang w:val="fr-FR"/>
        </w:rPr>
        <w:t>’</w:t>
      </w:r>
      <w:proofErr w:type="spellStart"/>
      <w:r w:rsidRPr="007F3768">
        <w:rPr>
          <w:lang w:val="fr-FR"/>
        </w:rPr>
        <w:t>OMPI</w:t>
      </w:r>
      <w:proofErr w:type="spellEnd"/>
      <w:r w:rsidRPr="007F3768">
        <w:rPr>
          <w:lang w:val="fr-FR"/>
        </w:rPr>
        <w:t xml:space="preserve"> sur les exceptions et limitations en faveur des personnes handicapées, des établissements d</w:t>
      </w:r>
      <w:r w:rsidR="00A94A66" w:rsidRPr="007F3768">
        <w:rPr>
          <w:lang w:val="fr-FR"/>
        </w:rPr>
        <w:t>’</w:t>
      </w:r>
      <w:r w:rsidRPr="007F3768">
        <w:rPr>
          <w:lang w:val="fr-FR"/>
        </w:rPr>
        <w:t>enseignement et de recherche, des bibliothèques et services d</w:t>
      </w:r>
      <w:r w:rsidR="00A94A66" w:rsidRPr="007F3768">
        <w:rPr>
          <w:lang w:val="fr-FR"/>
        </w:rPr>
        <w:t>’</w:t>
      </w:r>
      <w:r w:rsidRPr="007F3768">
        <w:rPr>
          <w:lang w:val="fr-FR"/>
        </w:rPr>
        <w:t xml:space="preserve">archives (voir le </w:t>
      </w:r>
      <w:r w:rsidR="00A94A66" w:rsidRPr="007F3768">
        <w:rPr>
          <w:lang w:val="fr-FR"/>
        </w:rPr>
        <w:t>document</w:t>
      </w:r>
      <w:r w:rsidR="007F3768">
        <w:rPr>
          <w:lang w:val="fr-FR"/>
        </w:rPr>
        <w:t> </w:t>
      </w:r>
      <w:r w:rsidR="00A94A66" w:rsidRPr="007F3768">
        <w:rPr>
          <w:lang w:val="fr-FR"/>
        </w:rPr>
        <w:t>SC</w:t>
      </w:r>
      <w:r w:rsidRPr="007F3768">
        <w:rPr>
          <w:lang w:val="fr-FR"/>
        </w:rPr>
        <w:t>CR/22/12, daté du 3 </w:t>
      </w:r>
      <w:r w:rsidR="00A94A66" w:rsidRPr="007F3768">
        <w:rPr>
          <w:lang w:val="fr-FR"/>
        </w:rPr>
        <w:t>juin 20</w:t>
      </w:r>
      <w:r w:rsidRPr="007F3768">
        <w:rPr>
          <w:lang w:val="fr-FR"/>
        </w:rPr>
        <w:t>11).</w:t>
      </w:r>
    </w:p>
    <w:p w14:paraId="0944FFC4" w14:textId="77777777" w:rsidR="00807B43" w:rsidRPr="007F3768" w:rsidRDefault="00807B43" w:rsidP="007F3768">
      <w:pPr>
        <w:rPr>
          <w:lang w:val="fr-FR"/>
        </w:rPr>
      </w:pPr>
    </w:p>
    <w:p w14:paraId="3714C62A" w14:textId="765DA001" w:rsidR="00807B43" w:rsidRPr="007F3768" w:rsidRDefault="00807B43" w:rsidP="007F3768">
      <w:pPr>
        <w:rPr>
          <w:lang w:val="fr-FR"/>
        </w:rPr>
      </w:pPr>
      <w:r w:rsidRPr="007F3768">
        <w:rPr>
          <w:lang w:val="fr-FR"/>
        </w:rPr>
        <w:t>0.02</w:t>
      </w:r>
      <w:r w:rsidRPr="007F3768">
        <w:rPr>
          <w:lang w:val="fr-FR"/>
        </w:rPr>
        <w:tab/>
        <w:t xml:space="preserve">Le </w:t>
      </w:r>
      <w:r w:rsidRPr="007F3768">
        <w:rPr>
          <w:i/>
          <w:lang w:val="fr-FR"/>
        </w:rPr>
        <w:t>premier alinéa</w:t>
      </w:r>
      <w:r w:rsidRPr="007F3768">
        <w:rPr>
          <w:lang w:val="fr-FR"/>
        </w:rPr>
        <w:t xml:space="preserve"> reconnaît la nécessité de concilier les droits des auteurs et l</w:t>
      </w:r>
      <w:r w:rsidR="00A94A66" w:rsidRPr="007F3768">
        <w:rPr>
          <w:lang w:val="fr-FR"/>
        </w:rPr>
        <w:t>’</w:t>
      </w:r>
      <w:r w:rsidRPr="007F3768">
        <w:rPr>
          <w:lang w:val="fr-FR"/>
        </w:rPr>
        <w:t>intérêt public général, notamment en matière d</w:t>
      </w:r>
      <w:r w:rsidR="00A94A66" w:rsidRPr="007F3768">
        <w:rPr>
          <w:lang w:val="fr-FR"/>
        </w:rPr>
        <w:t>’</w:t>
      </w:r>
      <w:r w:rsidRPr="007F3768">
        <w:rPr>
          <w:lang w:val="fr-FR"/>
        </w:rPr>
        <w:t>enseignement, de recherche et d</w:t>
      </w:r>
      <w:r w:rsidR="00A94A66" w:rsidRPr="007F3768">
        <w:rPr>
          <w:lang w:val="fr-FR"/>
        </w:rPr>
        <w:t>’</w:t>
      </w:r>
      <w:r w:rsidRPr="007F3768">
        <w:rPr>
          <w:lang w:val="fr-FR"/>
        </w:rPr>
        <w:t>accès à l</w:t>
      </w:r>
      <w:r w:rsidR="00A94A66" w:rsidRPr="007F3768">
        <w:rPr>
          <w:lang w:val="fr-FR"/>
        </w:rPr>
        <w:t>’</w:t>
      </w:r>
      <w:r w:rsidRPr="007F3768">
        <w:rPr>
          <w:lang w:val="fr-FR"/>
        </w:rPr>
        <w:t>information, reprenant ainsi les termes du préambule du Traité de l</w:t>
      </w:r>
      <w:r w:rsidR="00A94A66" w:rsidRPr="007F3768">
        <w:rPr>
          <w:lang w:val="fr-FR"/>
        </w:rPr>
        <w:t>’</w:t>
      </w:r>
      <w:proofErr w:type="spellStart"/>
      <w:r w:rsidRPr="007F3768">
        <w:rPr>
          <w:lang w:val="fr-FR"/>
        </w:rPr>
        <w:t>OMPI</w:t>
      </w:r>
      <w:proofErr w:type="spellEnd"/>
      <w:r w:rsidRPr="007F3768">
        <w:rPr>
          <w:lang w:val="fr-FR"/>
        </w:rPr>
        <w:t xml:space="preserve"> sur le droit d</w:t>
      </w:r>
      <w:r w:rsidR="00A94A66" w:rsidRPr="007F3768">
        <w:rPr>
          <w:lang w:val="fr-FR"/>
        </w:rPr>
        <w:t>’</w:t>
      </w:r>
      <w:r w:rsidRPr="007F3768">
        <w:rPr>
          <w:lang w:val="fr-FR"/>
        </w:rPr>
        <w:t>auteur.</w:t>
      </w:r>
    </w:p>
    <w:p w14:paraId="3303096F" w14:textId="77777777" w:rsidR="00807B43" w:rsidRPr="007F3768" w:rsidRDefault="00807B43" w:rsidP="007F3768">
      <w:pPr>
        <w:rPr>
          <w:lang w:val="fr-FR"/>
        </w:rPr>
      </w:pPr>
    </w:p>
    <w:p w14:paraId="168DA871" w14:textId="6882A6AF" w:rsidR="00807B43" w:rsidRPr="007F3768" w:rsidRDefault="00807B43" w:rsidP="007F3768">
      <w:pPr>
        <w:rPr>
          <w:lang w:val="fr-FR"/>
        </w:rPr>
      </w:pPr>
      <w:r w:rsidRPr="007F3768">
        <w:rPr>
          <w:lang w:val="fr-FR"/>
        </w:rPr>
        <w:t>0.03</w:t>
      </w:r>
      <w:r w:rsidRPr="007F3768">
        <w:rPr>
          <w:lang w:val="fr-FR"/>
        </w:rPr>
        <w:tab/>
        <w:t xml:space="preserve">Le </w:t>
      </w:r>
      <w:r w:rsidRPr="007F3768">
        <w:rPr>
          <w:i/>
          <w:lang w:val="fr-FR"/>
        </w:rPr>
        <w:t>deuxième alinéa</w:t>
      </w:r>
      <w:r w:rsidRPr="007F3768">
        <w:rPr>
          <w:lang w:val="fr-FR"/>
        </w:rPr>
        <w:t xml:space="preserve"> reconnaît l</w:t>
      </w:r>
      <w:r w:rsidR="00A94A66" w:rsidRPr="007F3768">
        <w:rPr>
          <w:lang w:val="fr-FR"/>
        </w:rPr>
        <w:t>’</w:t>
      </w:r>
      <w:r w:rsidRPr="007F3768">
        <w:rPr>
          <w:lang w:val="fr-FR"/>
        </w:rPr>
        <w:t>obligation de promouvoir la production de supports pédagogiques, de matériel de recherche et d</w:t>
      </w:r>
      <w:r w:rsidR="00A94A66" w:rsidRPr="007F3768">
        <w:rPr>
          <w:lang w:val="fr-FR"/>
        </w:rPr>
        <w:t>’</w:t>
      </w:r>
      <w:r w:rsidRPr="007F3768">
        <w:rPr>
          <w:lang w:val="fr-FR"/>
        </w:rPr>
        <w:t>éléments de patrimoine culturel, et l</w:t>
      </w:r>
      <w:r w:rsidR="00A94A66" w:rsidRPr="007F3768">
        <w:rPr>
          <w:lang w:val="fr-FR"/>
        </w:rPr>
        <w:t>’</w:t>
      </w:r>
      <w:r w:rsidRPr="007F3768">
        <w:rPr>
          <w:lang w:val="fr-FR"/>
        </w:rPr>
        <w:t>accès à ces derniers, qui découle des objectifs de développement durable de l</w:t>
      </w:r>
      <w:r w:rsidR="00A94A66" w:rsidRPr="007F3768">
        <w:rPr>
          <w:lang w:val="fr-FR"/>
        </w:rPr>
        <w:t>’</w:t>
      </w:r>
      <w:r w:rsidRPr="007F3768">
        <w:rPr>
          <w:lang w:val="fr-FR"/>
        </w:rPr>
        <w:t xml:space="preserve">Organisation des </w:t>
      </w:r>
      <w:r w:rsidR="00A94A66" w:rsidRPr="007F3768">
        <w:rPr>
          <w:lang w:val="fr-FR"/>
        </w:rPr>
        <w:t>Nations Unies</w:t>
      </w:r>
      <w:r w:rsidRPr="007F3768">
        <w:rPr>
          <w:lang w:val="fr-FR"/>
        </w:rPr>
        <w:t>, du Pacte international relatif aux droits économiques, sociaux et culturels et de l</w:t>
      </w:r>
      <w:r w:rsidR="00A94A66" w:rsidRPr="007F3768">
        <w:rPr>
          <w:lang w:val="fr-FR"/>
        </w:rPr>
        <w:t>’</w:t>
      </w:r>
      <w:r w:rsidRPr="007F3768">
        <w:rPr>
          <w:lang w:val="fr-FR"/>
        </w:rPr>
        <w:t>Accord sur les aspects des droits de propriété intellectuelle qui touchent au commerce.</w:t>
      </w:r>
    </w:p>
    <w:p w14:paraId="5383A49B" w14:textId="77777777" w:rsidR="00807B43" w:rsidRPr="007F3768" w:rsidRDefault="00807B43" w:rsidP="007F3768">
      <w:pPr>
        <w:rPr>
          <w:lang w:val="fr-FR"/>
        </w:rPr>
      </w:pPr>
    </w:p>
    <w:p w14:paraId="7C4EB8EE" w14:textId="77777777" w:rsidR="00807B43" w:rsidRPr="007F3768" w:rsidRDefault="00807B43" w:rsidP="007F3768">
      <w:pPr>
        <w:rPr>
          <w:lang w:val="fr-FR"/>
        </w:rPr>
      </w:pPr>
    </w:p>
    <w:p w14:paraId="73196E81" w14:textId="7FDACC3E" w:rsidR="00807B43" w:rsidRPr="007F3768" w:rsidRDefault="00807B43" w:rsidP="007F3768">
      <w:pPr>
        <w:jc w:val="right"/>
        <w:rPr>
          <w:lang w:val="fr-FR"/>
        </w:rPr>
      </w:pPr>
      <w:r w:rsidRPr="007F3768">
        <w:rPr>
          <w:lang w:val="fr-FR"/>
        </w:rPr>
        <w:t>[Suite des notes explicatives relatives au préambule, page </w:t>
      </w:r>
      <w:r w:rsidR="00A8508F">
        <w:rPr>
          <w:lang w:val="fr-FR"/>
        </w:rPr>
        <w:t>7</w:t>
      </w:r>
      <w:r w:rsidRPr="007F3768">
        <w:rPr>
          <w:lang w:val="fr-FR"/>
        </w:rPr>
        <w:t xml:space="preserve">] </w:t>
      </w:r>
      <w:r w:rsidRPr="007F3768">
        <w:rPr>
          <w:lang w:val="fr-FR"/>
        </w:rPr>
        <w:br w:type="page"/>
      </w:r>
    </w:p>
    <w:p w14:paraId="79322193" w14:textId="77777777" w:rsidR="00807B43" w:rsidRPr="007F3768" w:rsidRDefault="00807B43" w:rsidP="007F3768">
      <w:pPr>
        <w:pStyle w:val="Heading1"/>
        <w:spacing w:before="280" w:after="280"/>
        <w:rPr>
          <w:lang w:val="fr-FR"/>
        </w:rPr>
      </w:pPr>
      <w:bookmarkStart w:id="5" w:name="_Toc211506788"/>
      <w:bookmarkStart w:id="6" w:name="_Toc213248991"/>
      <w:r w:rsidRPr="007F3768">
        <w:rPr>
          <w:color w:val="000000"/>
          <w:lang w:val="fr-FR"/>
        </w:rPr>
        <w:lastRenderedPageBreak/>
        <w:t>Préambule</w:t>
      </w:r>
      <w:bookmarkEnd w:id="5"/>
      <w:bookmarkEnd w:id="6"/>
    </w:p>
    <w:p w14:paraId="133F0608" w14:textId="77777777" w:rsidR="00807B43" w:rsidRPr="007F3768" w:rsidRDefault="00807B43" w:rsidP="007F3768">
      <w:pPr>
        <w:rPr>
          <w:rFonts w:eastAsia="Times New Roman"/>
          <w:lang w:val="fr-FR"/>
        </w:rPr>
      </w:pPr>
    </w:p>
    <w:p w14:paraId="412E74ED" w14:textId="77777777" w:rsidR="00A94A66" w:rsidRPr="007F3768" w:rsidRDefault="00807B43" w:rsidP="007F3768">
      <w:pPr>
        <w:spacing w:line="480" w:lineRule="auto"/>
        <w:rPr>
          <w:color w:val="000000"/>
          <w:lang w:val="fr-FR"/>
        </w:rPr>
      </w:pPr>
      <w:r w:rsidRPr="007F3768">
        <w:rPr>
          <w:color w:val="000000"/>
          <w:lang w:val="fr-FR"/>
        </w:rPr>
        <w:t>Les parties contractantes,</w:t>
      </w:r>
    </w:p>
    <w:p w14:paraId="1E9A353D" w14:textId="252CC280" w:rsidR="00807B43" w:rsidRPr="007F3768" w:rsidRDefault="00807B43" w:rsidP="007F3768">
      <w:pPr>
        <w:spacing w:line="480" w:lineRule="auto"/>
        <w:rPr>
          <w:rFonts w:eastAsia="Times New Roman"/>
          <w:color w:val="000000"/>
          <w:lang w:val="fr-FR"/>
        </w:rPr>
      </w:pPr>
    </w:p>
    <w:p w14:paraId="304013C1" w14:textId="31413C05" w:rsidR="00A94A66" w:rsidRPr="007F3768" w:rsidRDefault="00807B43" w:rsidP="007F3768">
      <w:pPr>
        <w:spacing w:line="480" w:lineRule="auto"/>
        <w:rPr>
          <w:color w:val="000000"/>
          <w:lang w:val="fr-FR"/>
        </w:rPr>
      </w:pPr>
      <w:r w:rsidRPr="007F3768">
        <w:rPr>
          <w:i/>
          <w:color w:val="000000"/>
          <w:lang w:val="fr-FR"/>
        </w:rPr>
        <w:t>Reconnaissant</w:t>
      </w:r>
      <w:r w:rsidRPr="007F3768">
        <w:rPr>
          <w:color w:val="000000"/>
          <w:lang w:val="fr-FR"/>
        </w:rPr>
        <w:t xml:space="preserve"> la nécessité de maintenir un équilibre entre les droits des auteurs et l</w:t>
      </w:r>
      <w:r w:rsidR="00A94A66" w:rsidRPr="007F3768">
        <w:rPr>
          <w:color w:val="000000"/>
          <w:lang w:val="fr-FR"/>
        </w:rPr>
        <w:t>’</w:t>
      </w:r>
      <w:r w:rsidRPr="007F3768">
        <w:rPr>
          <w:color w:val="000000"/>
          <w:lang w:val="fr-FR"/>
        </w:rPr>
        <w:t>intérêt public général, notamment en matière d</w:t>
      </w:r>
      <w:r w:rsidR="00A94A66" w:rsidRPr="007F3768">
        <w:rPr>
          <w:color w:val="000000"/>
          <w:lang w:val="fr-FR"/>
        </w:rPr>
        <w:t>’</w:t>
      </w:r>
      <w:r w:rsidRPr="007F3768">
        <w:rPr>
          <w:color w:val="000000"/>
          <w:lang w:val="fr-FR"/>
        </w:rPr>
        <w:t>enseignement, de recherche et d</w:t>
      </w:r>
      <w:r w:rsidR="00A94A66" w:rsidRPr="007F3768">
        <w:rPr>
          <w:color w:val="000000"/>
          <w:lang w:val="fr-FR"/>
        </w:rPr>
        <w:t>’</w:t>
      </w:r>
      <w:r w:rsidRPr="007F3768">
        <w:rPr>
          <w:color w:val="000000"/>
          <w:lang w:val="fr-FR"/>
        </w:rPr>
        <w:t xml:space="preserve">accès à </w:t>
      </w:r>
      <w:proofErr w:type="gramStart"/>
      <w:r w:rsidRPr="007F3768">
        <w:rPr>
          <w:color w:val="000000"/>
          <w:lang w:val="fr-FR"/>
        </w:rPr>
        <w:t>l</w:t>
      </w:r>
      <w:r w:rsidR="00A94A66" w:rsidRPr="007F3768">
        <w:rPr>
          <w:color w:val="000000"/>
          <w:lang w:val="fr-FR"/>
        </w:rPr>
        <w:t>’</w:t>
      </w:r>
      <w:r w:rsidRPr="007F3768">
        <w:rPr>
          <w:color w:val="000000"/>
          <w:lang w:val="fr-FR"/>
        </w:rPr>
        <w:t>information;</w:t>
      </w:r>
      <w:proofErr w:type="gramEnd"/>
    </w:p>
    <w:p w14:paraId="1F0FCA67" w14:textId="2E488C6E" w:rsidR="00807B43" w:rsidRPr="007F3768" w:rsidRDefault="00807B43" w:rsidP="007F3768">
      <w:pPr>
        <w:spacing w:line="480" w:lineRule="auto"/>
        <w:rPr>
          <w:rFonts w:eastAsia="Times New Roman"/>
          <w:lang w:val="fr-FR"/>
        </w:rPr>
      </w:pPr>
    </w:p>
    <w:p w14:paraId="3BD4863E" w14:textId="6D7D728B" w:rsidR="00807B43" w:rsidRPr="007F3768" w:rsidRDefault="00807B43" w:rsidP="007F3768">
      <w:pPr>
        <w:spacing w:line="480" w:lineRule="auto"/>
        <w:rPr>
          <w:lang w:val="fr-FR"/>
        </w:rPr>
      </w:pPr>
      <w:r w:rsidRPr="007F3768">
        <w:rPr>
          <w:i/>
          <w:color w:val="000000"/>
          <w:lang w:val="fr-FR"/>
        </w:rPr>
        <w:t>Reconnaissant</w:t>
      </w:r>
      <w:r w:rsidRPr="007F3768">
        <w:rPr>
          <w:color w:val="000000"/>
          <w:lang w:val="fr-FR"/>
        </w:rPr>
        <w:t xml:space="preserve"> l</w:t>
      </w:r>
      <w:r w:rsidR="00A94A66" w:rsidRPr="007F3768">
        <w:rPr>
          <w:color w:val="000000"/>
          <w:lang w:val="fr-FR"/>
        </w:rPr>
        <w:t>’</w:t>
      </w:r>
      <w:r w:rsidRPr="007F3768">
        <w:rPr>
          <w:color w:val="000000"/>
          <w:lang w:val="fr-FR"/>
        </w:rPr>
        <w:t>obligation de promouvoir la production de supports pédagogiques, de matériel de recherche et d</w:t>
      </w:r>
      <w:r w:rsidR="00A94A66" w:rsidRPr="007F3768">
        <w:rPr>
          <w:color w:val="000000"/>
          <w:lang w:val="fr-FR"/>
        </w:rPr>
        <w:t>’</w:t>
      </w:r>
      <w:r w:rsidRPr="007F3768">
        <w:rPr>
          <w:color w:val="000000"/>
          <w:lang w:val="fr-FR"/>
        </w:rPr>
        <w:t>éléments de patrimoine culturel, et l</w:t>
      </w:r>
      <w:r w:rsidR="00A94A66" w:rsidRPr="007F3768">
        <w:rPr>
          <w:color w:val="000000"/>
          <w:lang w:val="fr-FR"/>
        </w:rPr>
        <w:t>’</w:t>
      </w:r>
      <w:r w:rsidRPr="007F3768">
        <w:rPr>
          <w:color w:val="000000"/>
          <w:lang w:val="fr-FR"/>
        </w:rPr>
        <w:t>accès à ces derniers, qui découle</w:t>
      </w:r>
      <w:r w:rsidR="00A94A66" w:rsidRPr="007F3768">
        <w:rPr>
          <w:color w:val="000000"/>
          <w:lang w:val="fr-FR"/>
        </w:rPr>
        <w:t> :</w:t>
      </w:r>
    </w:p>
    <w:p w14:paraId="632ED489" w14:textId="77777777" w:rsidR="00807B43" w:rsidRPr="007F3768" w:rsidRDefault="00807B43" w:rsidP="007F3768">
      <w:pPr>
        <w:spacing w:line="480" w:lineRule="auto"/>
        <w:rPr>
          <w:rFonts w:eastAsia="Times New Roman"/>
          <w:color w:val="000000"/>
          <w:lang w:val="fr-FR"/>
        </w:rPr>
      </w:pPr>
    </w:p>
    <w:p w14:paraId="169C67B6" w14:textId="3032CEB7" w:rsidR="00807B43" w:rsidRPr="007F3768" w:rsidRDefault="00807B43" w:rsidP="00A8508F">
      <w:pPr>
        <w:spacing w:line="480" w:lineRule="auto"/>
        <w:ind w:left="567"/>
        <w:rPr>
          <w:lang w:val="fr-FR"/>
        </w:rPr>
      </w:pPr>
      <w:r w:rsidRPr="007F3768">
        <w:rPr>
          <w:color w:val="000000"/>
          <w:lang w:val="fr-FR"/>
        </w:rPr>
        <w:t>– des objectifs de développement durable de l</w:t>
      </w:r>
      <w:r w:rsidR="00A94A66" w:rsidRPr="007F3768">
        <w:rPr>
          <w:color w:val="000000"/>
          <w:lang w:val="fr-FR"/>
        </w:rPr>
        <w:t>’</w:t>
      </w:r>
      <w:r w:rsidRPr="007F3768">
        <w:rPr>
          <w:color w:val="000000"/>
          <w:lang w:val="fr-FR"/>
        </w:rPr>
        <w:t xml:space="preserve">Organisation des </w:t>
      </w:r>
      <w:r w:rsidR="00A94A66" w:rsidRPr="007F3768">
        <w:rPr>
          <w:color w:val="000000"/>
          <w:lang w:val="fr-FR"/>
        </w:rPr>
        <w:t>Nations Unies</w:t>
      </w:r>
      <w:r w:rsidRPr="007F3768">
        <w:rPr>
          <w:color w:val="000000"/>
          <w:lang w:val="fr-FR"/>
        </w:rPr>
        <w:t xml:space="preserve"> (ONU), en particulier l</w:t>
      </w:r>
      <w:r w:rsidR="00A94A66" w:rsidRPr="007F3768">
        <w:rPr>
          <w:color w:val="000000"/>
          <w:lang w:val="fr-FR"/>
        </w:rPr>
        <w:t>’</w:t>
      </w:r>
      <w:r w:rsidRPr="007F3768">
        <w:rPr>
          <w:color w:val="000000"/>
          <w:lang w:val="fr-FR"/>
        </w:rPr>
        <w:t>objectif 4 “Éducation de qualité”, l</w:t>
      </w:r>
      <w:r w:rsidR="00A94A66" w:rsidRPr="007F3768">
        <w:rPr>
          <w:color w:val="000000"/>
          <w:lang w:val="fr-FR"/>
        </w:rPr>
        <w:t>’</w:t>
      </w:r>
      <w:r w:rsidRPr="007F3768">
        <w:rPr>
          <w:color w:val="000000"/>
          <w:lang w:val="fr-FR"/>
        </w:rPr>
        <w:t>objectif 5 “Égalité entre les sexes”, l</w:t>
      </w:r>
      <w:r w:rsidR="00A94A66" w:rsidRPr="007F3768">
        <w:rPr>
          <w:color w:val="000000"/>
          <w:lang w:val="fr-FR"/>
        </w:rPr>
        <w:t>’</w:t>
      </w:r>
      <w:r w:rsidRPr="007F3768">
        <w:rPr>
          <w:color w:val="000000"/>
          <w:lang w:val="fr-FR"/>
        </w:rPr>
        <w:t>objectif</w:t>
      </w:r>
      <w:r w:rsidR="00A8508F">
        <w:rPr>
          <w:color w:val="000000"/>
          <w:lang w:val="fr-FR"/>
        </w:rPr>
        <w:t> </w:t>
      </w:r>
      <w:r w:rsidRPr="007F3768">
        <w:rPr>
          <w:color w:val="000000"/>
          <w:lang w:val="fr-FR"/>
        </w:rPr>
        <w:t>9 “Industrie, innovation et infrastructure” et l</w:t>
      </w:r>
      <w:r w:rsidR="00A94A66" w:rsidRPr="007F3768">
        <w:rPr>
          <w:color w:val="000000"/>
          <w:lang w:val="fr-FR"/>
        </w:rPr>
        <w:t>’</w:t>
      </w:r>
      <w:r w:rsidRPr="007F3768">
        <w:rPr>
          <w:color w:val="000000"/>
          <w:lang w:val="fr-FR"/>
        </w:rPr>
        <w:t>objectif 10 “Inégalités réduites</w:t>
      </w:r>
      <w:proofErr w:type="gramStart"/>
      <w:r w:rsidRPr="007F3768">
        <w:rPr>
          <w:color w:val="000000"/>
          <w:lang w:val="fr-FR"/>
        </w:rPr>
        <w:t>”;</w:t>
      </w:r>
      <w:proofErr w:type="gramEnd"/>
    </w:p>
    <w:p w14:paraId="09435FBA" w14:textId="77777777" w:rsidR="00807B43" w:rsidRPr="007F3768" w:rsidRDefault="00807B43" w:rsidP="007F3768">
      <w:pPr>
        <w:spacing w:line="480" w:lineRule="auto"/>
        <w:rPr>
          <w:rFonts w:eastAsia="Times New Roman"/>
          <w:lang w:val="fr-FR"/>
        </w:rPr>
      </w:pPr>
    </w:p>
    <w:p w14:paraId="09A721AE" w14:textId="37C39F3C" w:rsidR="00A94A66" w:rsidRPr="007F3768" w:rsidRDefault="00807B43" w:rsidP="00A8508F">
      <w:pPr>
        <w:spacing w:line="480" w:lineRule="auto"/>
        <w:ind w:left="567"/>
        <w:rPr>
          <w:color w:val="000000"/>
          <w:lang w:val="fr-FR"/>
        </w:rPr>
      </w:pPr>
      <w:r w:rsidRPr="007F3768">
        <w:rPr>
          <w:color w:val="000000"/>
          <w:lang w:val="fr-FR"/>
        </w:rPr>
        <w:t>– du droit à l</w:t>
      </w:r>
      <w:r w:rsidR="00A94A66" w:rsidRPr="007F3768">
        <w:rPr>
          <w:color w:val="000000"/>
          <w:lang w:val="fr-FR"/>
        </w:rPr>
        <w:t>’</w:t>
      </w:r>
      <w:r w:rsidRPr="007F3768">
        <w:rPr>
          <w:color w:val="000000"/>
          <w:lang w:val="fr-FR"/>
        </w:rPr>
        <w:t xml:space="preserve">éducation visant au plein épanouissement de la personnalité humaine afin de permettre à toute personne de jouer un rôle utile dans une société </w:t>
      </w:r>
      <w:proofErr w:type="gramStart"/>
      <w:r w:rsidRPr="007F3768">
        <w:rPr>
          <w:color w:val="000000"/>
          <w:lang w:val="fr-FR"/>
        </w:rPr>
        <w:t>libre;</w:t>
      </w:r>
      <w:proofErr w:type="gramEnd"/>
    </w:p>
    <w:p w14:paraId="6289DD53" w14:textId="2542AB02" w:rsidR="00807B43" w:rsidRPr="007F3768" w:rsidRDefault="00807B43" w:rsidP="007F3768">
      <w:pPr>
        <w:spacing w:line="480" w:lineRule="auto"/>
        <w:rPr>
          <w:rFonts w:eastAsia="Times New Roman"/>
          <w:lang w:val="fr-FR"/>
        </w:rPr>
      </w:pPr>
    </w:p>
    <w:p w14:paraId="5DFC9563" w14:textId="0535B9AF" w:rsidR="00807B43" w:rsidRPr="007F3768" w:rsidRDefault="00807B43" w:rsidP="00A8508F">
      <w:pPr>
        <w:spacing w:line="480" w:lineRule="auto"/>
        <w:ind w:left="567"/>
        <w:rPr>
          <w:rFonts w:eastAsia="Times New Roman"/>
          <w:color w:val="000000"/>
          <w:lang w:val="fr-FR"/>
        </w:rPr>
      </w:pPr>
      <w:r w:rsidRPr="007F3768">
        <w:rPr>
          <w:color w:val="000000"/>
          <w:lang w:val="fr-FR"/>
        </w:rPr>
        <w:t>– du droit à la liberté d</w:t>
      </w:r>
      <w:r w:rsidR="00A94A66" w:rsidRPr="007F3768">
        <w:rPr>
          <w:color w:val="000000"/>
          <w:lang w:val="fr-FR"/>
        </w:rPr>
        <w:t>’</w:t>
      </w:r>
      <w:r w:rsidRPr="007F3768">
        <w:rPr>
          <w:color w:val="000000"/>
          <w:lang w:val="fr-FR"/>
        </w:rPr>
        <w:t xml:space="preserve">expression, qui comprend la liberté de rechercher, de recevoir et de répandre des informations et des idées de toute espèce, sans considération de frontières, sous une forme orale, écrite, imprimée ou artistique, ou par tout autre moyen de son </w:t>
      </w:r>
      <w:proofErr w:type="gramStart"/>
      <w:r w:rsidRPr="007F3768">
        <w:rPr>
          <w:color w:val="000000"/>
          <w:lang w:val="fr-FR"/>
        </w:rPr>
        <w:t>choix;</w:t>
      </w:r>
      <w:proofErr w:type="gramEnd"/>
    </w:p>
    <w:p w14:paraId="01F8C692" w14:textId="77777777" w:rsidR="00A8508F" w:rsidRDefault="00A8508F" w:rsidP="007F3768">
      <w:pPr>
        <w:spacing w:line="480" w:lineRule="auto"/>
        <w:ind w:left="720"/>
        <w:jc w:val="right"/>
        <w:rPr>
          <w:lang w:val="fr-FR"/>
        </w:rPr>
      </w:pPr>
    </w:p>
    <w:p w14:paraId="0829FF24" w14:textId="77777777" w:rsidR="00A8508F" w:rsidRDefault="00A8508F" w:rsidP="007F3768">
      <w:pPr>
        <w:spacing w:line="480" w:lineRule="auto"/>
        <w:ind w:left="720"/>
        <w:jc w:val="right"/>
        <w:rPr>
          <w:lang w:val="fr-FR"/>
        </w:rPr>
      </w:pPr>
    </w:p>
    <w:p w14:paraId="77D6910C" w14:textId="3FE67BD9" w:rsidR="00807B43" w:rsidRPr="007F3768" w:rsidRDefault="00807B43" w:rsidP="007F3768">
      <w:pPr>
        <w:spacing w:line="480" w:lineRule="auto"/>
        <w:ind w:left="720"/>
        <w:jc w:val="right"/>
        <w:rPr>
          <w:rFonts w:eastAsia="Times New Roman"/>
          <w:color w:val="000000"/>
          <w:lang w:val="fr-FR"/>
        </w:rPr>
      </w:pPr>
      <w:r w:rsidRPr="007F3768">
        <w:rPr>
          <w:lang w:val="fr-FR"/>
        </w:rPr>
        <w:t>[Suite du préambule, page </w:t>
      </w:r>
      <w:r w:rsidR="00A8508F">
        <w:rPr>
          <w:lang w:val="fr-FR"/>
        </w:rPr>
        <w:t>8</w:t>
      </w:r>
      <w:r w:rsidRPr="007F3768">
        <w:rPr>
          <w:lang w:val="fr-FR"/>
        </w:rPr>
        <w:t>]</w:t>
      </w:r>
    </w:p>
    <w:p w14:paraId="7EF2E923" w14:textId="77777777" w:rsidR="00A8508F" w:rsidRDefault="00A8508F">
      <w:pPr>
        <w:rPr>
          <w:lang w:val="fr-FR"/>
        </w:rPr>
      </w:pPr>
      <w:r>
        <w:rPr>
          <w:lang w:val="fr-FR"/>
        </w:rPr>
        <w:br w:type="page"/>
      </w:r>
    </w:p>
    <w:p w14:paraId="7E43858A" w14:textId="28311B59" w:rsidR="00807B43" w:rsidRPr="007F3768" w:rsidRDefault="00807B43" w:rsidP="007F3768">
      <w:pPr>
        <w:rPr>
          <w:lang w:val="fr-FR"/>
        </w:rPr>
      </w:pPr>
      <w:r w:rsidRPr="007F3768">
        <w:rPr>
          <w:lang w:val="fr-FR"/>
        </w:rPr>
        <w:lastRenderedPageBreak/>
        <w:t>0.04</w:t>
      </w:r>
      <w:r w:rsidRPr="007F3768">
        <w:rPr>
          <w:lang w:val="fr-FR"/>
        </w:rPr>
        <w:tab/>
        <w:t xml:space="preserve">Le </w:t>
      </w:r>
      <w:r w:rsidRPr="007F3768">
        <w:rPr>
          <w:i/>
          <w:lang w:val="fr-FR"/>
        </w:rPr>
        <w:t>troisième alinéa</w:t>
      </w:r>
      <w:r w:rsidRPr="007F3768">
        <w:rPr>
          <w:lang w:val="fr-FR"/>
        </w:rPr>
        <w:t xml:space="preserve"> rappelle que l</w:t>
      </w:r>
      <w:r w:rsidR="00A94A66" w:rsidRPr="007F3768">
        <w:rPr>
          <w:lang w:val="fr-FR"/>
        </w:rPr>
        <w:t>’</w:t>
      </w:r>
      <w:r w:rsidRPr="007F3768">
        <w:rPr>
          <w:lang w:val="fr-FR"/>
        </w:rPr>
        <w:t>ONU considère l</w:t>
      </w:r>
      <w:r w:rsidR="00A94A66" w:rsidRPr="007F3768">
        <w:rPr>
          <w:lang w:val="fr-FR"/>
        </w:rPr>
        <w:t>’</w:t>
      </w:r>
      <w:r w:rsidRPr="007F3768">
        <w:rPr>
          <w:lang w:val="fr-FR"/>
        </w:rPr>
        <w:t>éducation de qualité, l</w:t>
      </w:r>
      <w:r w:rsidR="00A94A66" w:rsidRPr="007F3768">
        <w:rPr>
          <w:lang w:val="fr-FR"/>
        </w:rPr>
        <w:t>’</w:t>
      </w:r>
      <w:r w:rsidRPr="007F3768">
        <w:rPr>
          <w:lang w:val="fr-FR"/>
        </w:rPr>
        <w:t>innovation et la réduction des inégalités comme des objectifs de développement durable.</w:t>
      </w:r>
    </w:p>
    <w:p w14:paraId="7F66F9C9" w14:textId="77777777" w:rsidR="00807B43" w:rsidRPr="007F3768" w:rsidRDefault="00807B43" w:rsidP="007F3768">
      <w:pPr>
        <w:rPr>
          <w:lang w:val="fr-FR"/>
        </w:rPr>
      </w:pPr>
    </w:p>
    <w:p w14:paraId="2C89A190" w14:textId="4E9AB86B" w:rsidR="00807B43" w:rsidRPr="007F3768" w:rsidRDefault="00807B43" w:rsidP="007F3768">
      <w:pPr>
        <w:rPr>
          <w:lang w:val="fr-FR"/>
        </w:rPr>
      </w:pPr>
      <w:r w:rsidRPr="007F3768">
        <w:rPr>
          <w:lang w:val="fr-FR"/>
        </w:rPr>
        <w:t>0.05</w:t>
      </w:r>
      <w:r w:rsidRPr="007F3768">
        <w:rPr>
          <w:lang w:val="fr-FR"/>
        </w:rPr>
        <w:tab/>
        <w:t xml:space="preserve">Le </w:t>
      </w:r>
      <w:r w:rsidRPr="007F3768">
        <w:rPr>
          <w:i/>
          <w:lang w:val="fr-FR"/>
        </w:rPr>
        <w:t>quatrième alinéa</w:t>
      </w:r>
      <w:r w:rsidRPr="007F3768">
        <w:rPr>
          <w:lang w:val="fr-FR"/>
        </w:rPr>
        <w:t xml:space="preserve"> rappelle l</w:t>
      </w:r>
      <w:r w:rsidR="00A94A66" w:rsidRPr="007F3768">
        <w:rPr>
          <w:lang w:val="fr-FR"/>
        </w:rPr>
        <w:t>’</w:t>
      </w:r>
      <w:r w:rsidRPr="007F3768">
        <w:rPr>
          <w:lang w:val="fr-FR"/>
        </w:rPr>
        <w:t>importance des recommandations du Plan d</w:t>
      </w:r>
      <w:r w:rsidR="00A94A66" w:rsidRPr="007F3768">
        <w:rPr>
          <w:lang w:val="fr-FR"/>
        </w:rPr>
        <w:t>’</w:t>
      </w:r>
      <w:r w:rsidRPr="007F3768">
        <w:rPr>
          <w:lang w:val="fr-FR"/>
        </w:rPr>
        <w:t>action pour le développement, qui visent à s</w:t>
      </w:r>
      <w:r w:rsidR="00A94A66" w:rsidRPr="007F3768">
        <w:rPr>
          <w:lang w:val="fr-FR"/>
        </w:rPr>
        <w:t>’</w:t>
      </w:r>
      <w:r w:rsidRPr="007F3768">
        <w:rPr>
          <w:lang w:val="fr-FR"/>
        </w:rPr>
        <w:t>assurer que les considérations relatives au développement fassent partie intégrante des travaux de l</w:t>
      </w:r>
      <w:r w:rsidR="00A94A66" w:rsidRPr="007F3768">
        <w:rPr>
          <w:lang w:val="fr-FR"/>
        </w:rPr>
        <w:t>’</w:t>
      </w:r>
      <w:r w:rsidRPr="007F3768">
        <w:rPr>
          <w:lang w:val="fr-FR"/>
        </w:rPr>
        <w:t>Organisation.</w:t>
      </w:r>
    </w:p>
    <w:p w14:paraId="3707C96F" w14:textId="77777777" w:rsidR="00807B43" w:rsidRPr="007F3768" w:rsidRDefault="00807B43" w:rsidP="007F3768">
      <w:pPr>
        <w:rPr>
          <w:lang w:val="fr-FR"/>
        </w:rPr>
      </w:pPr>
    </w:p>
    <w:p w14:paraId="40C78309" w14:textId="1B639E3F" w:rsidR="00807B43" w:rsidRPr="007F3768" w:rsidRDefault="00807B43" w:rsidP="007F3768">
      <w:pPr>
        <w:rPr>
          <w:lang w:val="fr-FR"/>
        </w:rPr>
      </w:pPr>
      <w:r w:rsidRPr="007F3768">
        <w:rPr>
          <w:lang w:val="fr-FR"/>
        </w:rPr>
        <w:t>0.06</w:t>
      </w:r>
      <w:r w:rsidRPr="007F3768">
        <w:rPr>
          <w:lang w:val="fr-FR"/>
        </w:rPr>
        <w:tab/>
        <w:t xml:space="preserve">Le </w:t>
      </w:r>
      <w:r w:rsidRPr="007F3768">
        <w:rPr>
          <w:i/>
          <w:lang w:val="fr-FR"/>
        </w:rPr>
        <w:t>cinquième alinéa</w:t>
      </w:r>
      <w:r w:rsidRPr="007F3768">
        <w:rPr>
          <w:lang w:val="fr-FR"/>
        </w:rPr>
        <w:t xml:space="preserve"> reconnaît que, en vertu des obligations en matière de droits humains, les États et la communauté internationale sont tenus d</w:t>
      </w:r>
      <w:r w:rsidR="00A94A66" w:rsidRPr="007F3768">
        <w:rPr>
          <w:lang w:val="fr-FR"/>
        </w:rPr>
        <w:t>’</w:t>
      </w:r>
      <w:r w:rsidRPr="007F3768">
        <w:rPr>
          <w:lang w:val="fr-FR"/>
        </w:rPr>
        <w:t>agir de manière positive pour protéger, respecter et remplir leurs mandats, notamment au moyen d</w:t>
      </w:r>
      <w:r w:rsidR="00A94A66" w:rsidRPr="007F3768">
        <w:rPr>
          <w:lang w:val="fr-FR"/>
        </w:rPr>
        <w:t>’</w:t>
      </w:r>
      <w:r w:rsidRPr="007F3768">
        <w:rPr>
          <w:lang w:val="fr-FR"/>
        </w:rPr>
        <w:t>instruments internationaux contraignants.</w:t>
      </w:r>
    </w:p>
    <w:p w14:paraId="40FAD6B2" w14:textId="77777777" w:rsidR="00807B43" w:rsidRPr="007F3768" w:rsidRDefault="00807B43" w:rsidP="007F3768">
      <w:pPr>
        <w:rPr>
          <w:rFonts w:eastAsia="Times New Roman" w:cs="Times New Roman"/>
          <w:lang w:val="fr-FR"/>
        </w:rPr>
      </w:pPr>
    </w:p>
    <w:p w14:paraId="720B501D" w14:textId="1317DBE4" w:rsidR="00807B43" w:rsidRPr="007F3768" w:rsidRDefault="00807B43" w:rsidP="007F3768">
      <w:pPr>
        <w:rPr>
          <w:rFonts w:eastAsia="Times New Roman" w:cs="Times New Roman"/>
          <w:lang w:val="fr-FR"/>
        </w:rPr>
      </w:pPr>
      <w:r w:rsidRPr="007F3768">
        <w:rPr>
          <w:lang w:val="fr-FR"/>
        </w:rPr>
        <w:t>0.07</w:t>
      </w:r>
      <w:r w:rsidRPr="007F3768">
        <w:rPr>
          <w:lang w:val="fr-FR"/>
        </w:rPr>
        <w:tab/>
        <w:t xml:space="preserve">Le </w:t>
      </w:r>
      <w:r w:rsidRPr="007F3768">
        <w:rPr>
          <w:i/>
          <w:lang w:val="fr-FR"/>
        </w:rPr>
        <w:t>sixième alinéa</w:t>
      </w:r>
      <w:r w:rsidRPr="007F3768">
        <w:rPr>
          <w:lang w:val="fr-FR"/>
        </w:rPr>
        <w:t xml:space="preserve"> souligne que les obligations en matière de droits humains visant à protéger le droit de toute personne à la protection des intérêts moraux et matériels découlant des productions scientifiques, littéraires et artistiques dont elle est l</w:t>
      </w:r>
      <w:r w:rsidR="00A94A66" w:rsidRPr="007F3768">
        <w:rPr>
          <w:lang w:val="fr-FR"/>
        </w:rPr>
        <w:t>’</w:t>
      </w:r>
      <w:r w:rsidRPr="007F3768">
        <w:rPr>
          <w:lang w:val="fr-FR"/>
        </w:rPr>
        <w:t>auteur doivent être conciliées avec d</w:t>
      </w:r>
      <w:r w:rsidR="00A94A66" w:rsidRPr="007F3768">
        <w:rPr>
          <w:lang w:val="fr-FR"/>
        </w:rPr>
        <w:t>’</w:t>
      </w:r>
      <w:r w:rsidRPr="007F3768">
        <w:rPr>
          <w:lang w:val="fr-FR"/>
        </w:rPr>
        <w:t>autres droits humains tels que le droit à l</w:t>
      </w:r>
      <w:r w:rsidR="00A94A66" w:rsidRPr="007F3768">
        <w:rPr>
          <w:lang w:val="fr-FR"/>
        </w:rPr>
        <w:t>’</w:t>
      </w:r>
      <w:r w:rsidRPr="007F3768">
        <w:rPr>
          <w:lang w:val="fr-FR"/>
        </w:rPr>
        <w:t>éducation, à la liberté d</w:t>
      </w:r>
      <w:r w:rsidR="00A94A66" w:rsidRPr="007F3768">
        <w:rPr>
          <w:lang w:val="fr-FR"/>
        </w:rPr>
        <w:t>’</w:t>
      </w:r>
      <w:r w:rsidRPr="007F3768">
        <w:rPr>
          <w:lang w:val="fr-FR"/>
        </w:rPr>
        <w:t>expression et à la participation à la vie culturelle.</w:t>
      </w:r>
    </w:p>
    <w:p w14:paraId="370D667E" w14:textId="77777777" w:rsidR="00807B43" w:rsidRPr="007F3768" w:rsidRDefault="00807B43" w:rsidP="007F3768">
      <w:pPr>
        <w:rPr>
          <w:rFonts w:eastAsia="Times New Roman" w:cs="Times New Roman"/>
          <w:lang w:val="fr-FR"/>
        </w:rPr>
      </w:pPr>
    </w:p>
    <w:p w14:paraId="1821B04A" w14:textId="77777777" w:rsidR="00807B43" w:rsidRPr="007F3768" w:rsidRDefault="00807B43" w:rsidP="007F3768">
      <w:pPr>
        <w:rPr>
          <w:rFonts w:eastAsia="Times New Roman" w:cs="Times New Roman"/>
          <w:lang w:val="fr-FR"/>
        </w:rPr>
      </w:pPr>
    </w:p>
    <w:p w14:paraId="5F74C96B" w14:textId="4993E153" w:rsidR="00807B43" w:rsidRPr="007F3768" w:rsidRDefault="00807B43" w:rsidP="007F3768">
      <w:pPr>
        <w:jc w:val="right"/>
        <w:rPr>
          <w:lang w:val="fr-FR"/>
        </w:rPr>
      </w:pPr>
      <w:r w:rsidRPr="007F3768">
        <w:rPr>
          <w:lang w:val="fr-FR"/>
        </w:rPr>
        <w:t>[Suite des notes explicatives relatives au préambule, page </w:t>
      </w:r>
      <w:r w:rsidR="00A8508F">
        <w:rPr>
          <w:lang w:val="fr-FR"/>
        </w:rPr>
        <w:t>9</w:t>
      </w:r>
      <w:r w:rsidRPr="007F3768">
        <w:rPr>
          <w:lang w:val="fr-FR"/>
        </w:rPr>
        <w:t>]</w:t>
      </w:r>
    </w:p>
    <w:p w14:paraId="1E5FF31A" w14:textId="77777777" w:rsidR="00807B43" w:rsidRPr="007F3768" w:rsidRDefault="00807B43" w:rsidP="007F3768">
      <w:pPr>
        <w:rPr>
          <w:lang w:val="fr-FR"/>
        </w:rPr>
      </w:pPr>
      <w:r w:rsidRPr="007F3768">
        <w:rPr>
          <w:lang w:val="fr-FR"/>
        </w:rPr>
        <w:br w:type="page"/>
      </w:r>
    </w:p>
    <w:p w14:paraId="4EF51718" w14:textId="74DBDF2A" w:rsidR="00A94A66" w:rsidRPr="007F3768" w:rsidRDefault="00807B43" w:rsidP="00A8508F">
      <w:pPr>
        <w:spacing w:line="480" w:lineRule="auto"/>
        <w:ind w:left="567"/>
        <w:rPr>
          <w:color w:val="000000"/>
          <w:lang w:val="fr-FR"/>
        </w:rPr>
      </w:pPr>
      <w:r w:rsidRPr="007F3768">
        <w:rPr>
          <w:color w:val="000000"/>
          <w:lang w:val="fr-FR"/>
        </w:rPr>
        <w:lastRenderedPageBreak/>
        <w:t xml:space="preserve">– le droit de prendre part librement à la vie culturelle de la communauté, </w:t>
      </w:r>
      <w:r w:rsidR="00A94A66" w:rsidRPr="007F3768">
        <w:rPr>
          <w:color w:val="000000"/>
          <w:lang w:val="fr-FR"/>
        </w:rPr>
        <w:t>y compris</w:t>
      </w:r>
      <w:r w:rsidRPr="007F3768">
        <w:rPr>
          <w:color w:val="000000"/>
          <w:lang w:val="fr-FR"/>
        </w:rPr>
        <w:t xml:space="preserve"> de jouir des arts et de participer au progrès scientifique et aux bienfaits qui en </w:t>
      </w:r>
      <w:proofErr w:type="gramStart"/>
      <w:r w:rsidRPr="007F3768">
        <w:rPr>
          <w:color w:val="000000"/>
          <w:lang w:val="fr-FR"/>
        </w:rPr>
        <w:t>résultent</w:t>
      </w:r>
      <w:r w:rsidR="00A8508F">
        <w:rPr>
          <w:color w:val="000000"/>
          <w:lang w:val="fr-FR"/>
        </w:rPr>
        <w:t xml:space="preserve">; </w:t>
      </w:r>
      <w:r w:rsidRPr="007F3768">
        <w:rPr>
          <w:color w:val="000000"/>
          <w:lang w:val="fr-FR"/>
        </w:rPr>
        <w:t xml:space="preserve"> et</w:t>
      </w:r>
      <w:proofErr w:type="gramEnd"/>
    </w:p>
    <w:p w14:paraId="27331383" w14:textId="6BC3BB4B" w:rsidR="00A94A66" w:rsidRPr="007F3768" w:rsidRDefault="00A94A66" w:rsidP="00A8508F">
      <w:pPr>
        <w:spacing w:line="480" w:lineRule="auto"/>
        <w:ind w:left="567"/>
        <w:rPr>
          <w:color w:val="000000"/>
          <w:lang w:val="fr-FR"/>
        </w:rPr>
      </w:pPr>
    </w:p>
    <w:p w14:paraId="541A945F" w14:textId="65B42C4C" w:rsidR="00807B43" w:rsidRPr="007F3768" w:rsidRDefault="00807B43" w:rsidP="00A8508F">
      <w:pPr>
        <w:spacing w:line="480" w:lineRule="auto"/>
        <w:ind w:left="567"/>
        <w:rPr>
          <w:rFonts w:eastAsia="Times New Roman"/>
          <w:color w:val="000000"/>
          <w:lang w:val="fr-FR"/>
        </w:rPr>
      </w:pPr>
      <w:r w:rsidRPr="007F3768">
        <w:rPr>
          <w:color w:val="000000"/>
          <w:lang w:val="fr-FR"/>
        </w:rPr>
        <w:t>– les objectifs des droits de propriété intellectuelle de contribuer à la promotion de l</w:t>
      </w:r>
      <w:r w:rsidR="00A94A66" w:rsidRPr="007F3768">
        <w:rPr>
          <w:color w:val="000000"/>
          <w:lang w:val="fr-FR"/>
        </w:rPr>
        <w:t>’</w:t>
      </w:r>
      <w:r w:rsidRPr="007F3768">
        <w:rPr>
          <w:color w:val="000000"/>
          <w:lang w:val="fr-FR"/>
        </w:rPr>
        <w:t>innovation technologique et au transfert et à la diffusion de la technologie, à l</w:t>
      </w:r>
      <w:r w:rsidR="00A94A66" w:rsidRPr="007F3768">
        <w:rPr>
          <w:color w:val="000000"/>
          <w:lang w:val="fr-FR"/>
        </w:rPr>
        <w:t>’</w:t>
      </w:r>
      <w:r w:rsidRPr="007F3768">
        <w:rPr>
          <w:color w:val="000000"/>
          <w:lang w:val="fr-FR"/>
        </w:rPr>
        <w:t>avantage mutuel de ceux qui génèrent et de ceux qui utilisent des connaissances techniques et d</w:t>
      </w:r>
      <w:r w:rsidR="00A94A66" w:rsidRPr="007F3768">
        <w:rPr>
          <w:color w:val="000000"/>
          <w:lang w:val="fr-FR"/>
        </w:rPr>
        <w:t>’</w:t>
      </w:r>
      <w:r w:rsidRPr="007F3768">
        <w:rPr>
          <w:color w:val="000000"/>
          <w:lang w:val="fr-FR"/>
        </w:rPr>
        <w:t>une manière propice au bien</w:t>
      </w:r>
      <w:r w:rsidR="007F3768">
        <w:rPr>
          <w:color w:val="000000"/>
          <w:lang w:val="fr-FR"/>
        </w:rPr>
        <w:noBreakHyphen/>
      </w:r>
      <w:r w:rsidRPr="007F3768">
        <w:rPr>
          <w:color w:val="000000"/>
          <w:lang w:val="fr-FR"/>
        </w:rPr>
        <w:t>être social et économique, et à assurer un équilibre de droits et d</w:t>
      </w:r>
      <w:r w:rsidR="00A94A66" w:rsidRPr="007F3768">
        <w:rPr>
          <w:color w:val="000000"/>
          <w:lang w:val="fr-FR"/>
        </w:rPr>
        <w:t>’</w:t>
      </w:r>
      <w:r w:rsidRPr="007F3768">
        <w:rPr>
          <w:color w:val="000000"/>
          <w:lang w:val="fr-FR"/>
        </w:rPr>
        <w:t>obligations.</w:t>
      </w:r>
    </w:p>
    <w:p w14:paraId="1ABADA47" w14:textId="77777777" w:rsidR="00807B43" w:rsidRPr="007F3768" w:rsidRDefault="00807B43" w:rsidP="00A8508F">
      <w:pPr>
        <w:spacing w:line="480" w:lineRule="auto"/>
        <w:ind w:left="567"/>
        <w:rPr>
          <w:rFonts w:eastAsia="Times New Roman"/>
          <w:color w:val="000000"/>
          <w:lang w:val="fr-FR"/>
        </w:rPr>
      </w:pPr>
    </w:p>
    <w:p w14:paraId="7A943711" w14:textId="0AA5F039" w:rsidR="00A94A66" w:rsidRPr="007F3768" w:rsidRDefault="00807B43" w:rsidP="007F3768">
      <w:pPr>
        <w:spacing w:line="480" w:lineRule="auto"/>
        <w:rPr>
          <w:color w:val="222222"/>
          <w:shd w:val="clear" w:color="auto" w:fill="FFFFFF"/>
          <w:lang w:val="fr-FR"/>
        </w:rPr>
      </w:pPr>
      <w:r w:rsidRPr="007F3768">
        <w:rPr>
          <w:i/>
          <w:color w:val="222222"/>
          <w:shd w:val="clear" w:color="auto" w:fill="FFFFFF"/>
          <w:lang w:val="fr-FR"/>
        </w:rPr>
        <w:t>Conscientes</w:t>
      </w:r>
      <w:r w:rsidRPr="007F3768">
        <w:rPr>
          <w:color w:val="222222"/>
          <w:shd w:val="clear" w:color="auto" w:fill="FFFFFF"/>
          <w:lang w:val="fr-FR"/>
        </w:rPr>
        <w:t xml:space="preserve"> que l</w:t>
      </w:r>
      <w:r w:rsidR="00A94A66" w:rsidRPr="007F3768">
        <w:rPr>
          <w:color w:val="222222"/>
          <w:shd w:val="clear" w:color="auto" w:fill="FFFFFF"/>
          <w:lang w:val="fr-FR"/>
        </w:rPr>
        <w:t>’</w:t>
      </w:r>
      <w:r w:rsidRPr="007F3768">
        <w:rPr>
          <w:color w:val="222222"/>
          <w:shd w:val="clear" w:color="auto" w:fill="FFFFFF"/>
          <w:lang w:val="fr-FR"/>
        </w:rPr>
        <w:t xml:space="preserve">Organisation des </w:t>
      </w:r>
      <w:r w:rsidR="00A94A66" w:rsidRPr="007F3768">
        <w:rPr>
          <w:color w:val="222222"/>
          <w:shd w:val="clear" w:color="auto" w:fill="FFFFFF"/>
          <w:lang w:val="fr-FR"/>
        </w:rPr>
        <w:t>Nations Unies</w:t>
      </w:r>
      <w:r w:rsidRPr="007F3768">
        <w:rPr>
          <w:color w:val="222222"/>
          <w:shd w:val="clear" w:color="auto" w:fill="FFFFFF"/>
          <w:lang w:val="fr-FR"/>
        </w:rPr>
        <w:t xml:space="preserve"> considère l</w:t>
      </w:r>
      <w:r w:rsidR="00A94A66" w:rsidRPr="007F3768">
        <w:rPr>
          <w:color w:val="222222"/>
          <w:shd w:val="clear" w:color="auto" w:fill="FFFFFF"/>
          <w:lang w:val="fr-FR"/>
        </w:rPr>
        <w:t>’</w:t>
      </w:r>
      <w:r w:rsidRPr="007F3768">
        <w:rPr>
          <w:color w:val="222222"/>
          <w:shd w:val="clear" w:color="auto" w:fill="FFFFFF"/>
          <w:lang w:val="fr-FR"/>
        </w:rPr>
        <w:t>éducation de qualité, l</w:t>
      </w:r>
      <w:r w:rsidR="00A94A66" w:rsidRPr="007F3768">
        <w:rPr>
          <w:color w:val="222222"/>
          <w:shd w:val="clear" w:color="auto" w:fill="FFFFFF"/>
          <w:lang w:val="fr-FR"/>
        </w:rPr>
        <w:t>’</w:t>
      </w:r>
      <w:r w:rsidRPr="007F3768">
        <w:rPr>
          <w:color w:val="222222"/>
          <w:shd w:val="clear" w:color="auto" w:fill="FFFFFF"/>
          <w:lang w:val="fr-FR"/>
        </w:rPr>
        <w:t xml:space="preserve">innovation et la réduction des inégalités comme des objectifs de développement </w:t>
      </w:r>
      <w:proofErr w:type="gramStart"/>
      <w:r w:rsidRPr="007F3768">
        <w:rPr>
          <w:color w:val="222222"/>
          <w:shd w:val="clear" w:color="auto" w:fill="FFFFFF"/>
          <w:lang w:val="fr-FR"/>
        </w:rPr>
        <w:t>durable;</w:t>
      </w:r>
      <w:proofErr w:type="gramEnd"/>
    </w:p>
    <w:p w14:paraId="029E05A7" w14:textId="2B83CE75" w:rsidR="00807B43" w:rsidRPr="007F3768" w:rsidRDefault="00807B43" w:rsidP="007F3768">
      <w:pPr>
        <w:spacing w:line="480" w:lineRule="auto"/>
        <w:rPr>
          <w:rFonts w:eastAsia="Times New Roman"/>
          <w:lang w:val="fr-FR"/>
        </w:rPr>
      </w:pPr>
    </w:p>
    <w:p w14:paraId="4F78066B" w14:textId="065145DD" w:rsidR="00807B43" w:rsidRPr="007F3768" w:rsidRDefault="00807B43" w:rsidP="007F3768">
      <w:pPr>
        <w:spacing w:line="480" w:lineRule="auto"/>
        <w:rPr>
          <w:lang w:val="fr-FR"/>
        </w:rPr>
      </w:pPr>
      <w:r w:rsidRPr="007F3768">
        <w:rPr>
          <w:i/>
          <w:lang w:val="fr-FR"/>
        </w:rPr>
        <w:t>Rappelant</w:t>
      </w:r>
      <w:r w:rsidRPr="007F3768">
        <w:rPr>
          <w:lang w:val="fr-FR"/>
        </w:rPr>
        <w:t xml:space="preserve"> l</w:t>
      </w:r>
      <w:r w:rsidR="00A94A66" w:rsidRPr="007F3768">
        <w:rPr>
          <w:lang w:val="fr-FR"/>
        </w:rPr>
        <w:t>’</w:t>
      </w:r>
      <w:r w:rsidRPr="007F3768">
        <w:rPr>
          <w:lang w:val="fr-FR"/>
        </w:rPr>
        <w:t>importance des recommandations du Plan d</w:t>
      </w:r>
      <w:r w:rsidR="00A94A66" w:rsidRPr="007F3768">
        <w:rPr>
          <w:lang w:val="fr-FR"/>
        </w:rPr>
        <w:t>’</w:t>
      </w:r>
      <w:r w:rsidRPr="007F3768">
        <w:rPr>
          <w:lang w:val="fr-FR"/>
        </w:rPr>
        <w:t>action pour le développement adoptées en 2007 par</w:t>
      </w:r>
      <w:r w:rsidR="00A8508F">
        <w:rPr>
          <w:lang w:val="fr-FR"/>
        </w:rPr>
        <w:t xml:space="preserve"> </w:t>
      </w:r>
      <w:r w:rsidRPr="007F3768">
        <w:rPr>
          <w:lang w:val="fr-FR"/>
        </w:rPr>
        <w:t>l</w:t>
      </w:r>
      <w:r w:rsidR="00A94A66" w:rsidRPr="007F3768">
        <w:rPr>
          <w:lang w:val="fr-FR"/>
        </w:rPr>
        <w:t>’</w:t>
      </w:r>
      <w:r w:rsidRPr="007F3768">
        <w:rPr>
          <w:lang w:val="fr-FR"/>
        </w:rPr>
        <w:t>Assemblée générale de l</w:t>
      </w:r>
      <w:r w:rsidR="00A94A66" w:rsidRPr="007F3768">
        <w:rPr>
          <w:lang w:val="fr-FR"/>
        </w:rPr>
        <w:t>’</w:t>
      </w:r>
      <w:r w:rsidRPr="007F3768">
        <w:rPr>
          <w:lang w:val="fr-FR"/>
        </w:rPr>
        <w:t>Organisation Mondiale de la Propriété Intellectuelle (</w:t>
      </w:r>
      <w:proofErr w:type="spellStart"/>
      <w:r w:rsidRPr="007F3768">
        <w:rPr>
          <w:lang w:val="fr-FR"/>
        </w:rPr>
        <w:t>OMPI</w:t>
      </w:r>
      <w:proofErr w:type="spellEnd"/>
      <w:r w:rsidRPr="007F3768">
        <w:rPr>
          <w:lang w:val="fr-FR"/>
        </w:rPr>
        <w:t>), qui visent à</w:t>
      </w:r>
      <w:r w:rsidR="00A8508F">
        <w:rPr>
          <w:lang w:val="fr-FR"/>
        </w:rPr>
        <w:t xml:space="preserve"> </w:t>
      </w:r>
      <w:r w:rsidRPr="007F3768">
        <w:rPr>
          <w:lang w:val="fr-FR"/>
        </w:rPr>
        <w:t>s</w:t>
      </w:r>
      <w:r w:rsidR="00A94A66" w:rsidRPr="007F3768">
        <w:rPr>
          <w:lang w:val="fr-FR"/>
        </w:rPr>
        <w:t>’</w:t>
      </w:r>
      <w:r w:rsidRPr="007F3768">
        <w:rPr>
          <w:lang w:val="fr-FR"/>
        </w:rPr>
        <w:t xml:space="preserve">assurer que les considérations relatives au développement fassent partie intégrante des travaux de </w:t>
      </w:r>
      <w:proofErr w:type="gramStart"/>
      <w:r w:rsidRPr="007F3768">
        <w:rPr>
          <w:lang w:val="fr-FR"/>
        </w:rPr>
        <w:t>l</w:t>
      </w:r>
      <w:r w:rsidR="00A94A66" w:rsidRPr="007F3768">
        <w:rPr>
          <w:lang w:val="fr-FR"/>
        </w:rPr>
        <w:t>’</w:t>
      </w:r>
      <w:r w:rsidRPr="007F3768">
        <w:rPr>
          <w:lang w:val="fr-FR"/>
        </w:rPr>
        <w:t>Organisation;</w:t>
      </w:r>
      <w:proofErr w:type="gramEnd"/>
    </w:p>
    <w:p w14:paraId="4A9B0530" w14:textId="77777777" w:rsidR="00807B43" w:rsidRPr="007F3768" w:rsidRDefault="00807B43" w:rsidP="007F3768">
      <w:pPr>
        <w:spacing w:line="480" w:lineRule="auto"/>
        <w:rPr>
          <w:rFonts w:eastAsia="Times New Roman"/>
          <w:lang w:val="fr-FR"/>
        </w:rPr>
      </w:pPr>
    </w:p>
    <w:p w14:paraId="520C1D95" w14:textId="2514AD86" w:rsidR="00A94A66" w:rsidRPr="007F3768" w:rsidRDefault="00807B43" w:rsidP="007F3768">
      <w:pPr>
        <w:spacing w:line="480" w:lineRule="auto"/>
        <w:rPr>
          <w:color w:val="000000"/>
          <w:lang w:val="fr-FR"/>
        </w:rPr>
      </w:pPr>
      <w:r w:rsidRPr="007F3768">
        <w:rPr>
          <w:i/>
          <w:color w:val="000000"/>
          <w:lang w:val="fr-FR"/>
        </w:rPr>
        <w:t>Reconnaissant</w:t>
      </w:r>
      <w:r w:rsidRPr="007F3768">
        <w:rPr>
          <w:color w:val="000000"/>
          <w:lang w:val="fr-FR"/>
        </w:rPr>
        <w:t xml:space="preserve"> que, en vertu des obligations en matière de droits humains, les États et les organisations internationales sont tenus d</w:t>
      </w:r>
      <w:r w:rsidR="00A94A66" w:rsidRPr="007F3768">
        <w:rPr>
          <w:color w:val="000000"/>
          <w:lang w:val="fr-FR"/>
        </w:rPr>
        <w:t>’</w:t>
      </w:r>
      <w:r w:rsidRPr="007F3768">
        <w:rPr>
          <w:color w:val="000000"/>
          <w:lang w:val="fr-FR"/>
        </w:rPr>
        <w:t>agir de manière positive, par des mesures législatives et autres, pour respecter, protéger et remplir leurs mandats, notamment au moyen d</w:t>
      </w:r>
      <w:r w:rsidR="00A94A66" w:rsidRPr="007F3768">
        <w:rPr>
          <w:color w:val="000000"/>
          <w:lang w:val="fr-FR"/>
        </w:rPr>
        <w:t>’</w:t>
      </w:r>
      <w:r w:rsidRPr="007F3768">
        <w:rPr>
          <w:color w:val="000000"/>
          <w:lang w:val="fr-FR"/>
        </w:rPr>
        <w:t xml:space="preserve">instruments internationaux </w:t>
      </w:r>
      <w:proofErr w:type="gramStart"/>
      <w:r w:rsidRPr="007F3768">
        <w:rPr>
          <w:color w:val="000000"/>
          <w:lang w:val="fr-FR"/>
        </w:rPr>
        <w:t>contraignants;</w:t>
      </w:r>
      <w:proofErr w:type="gramEnd"/>
    </w:p>
    <w:p w14:paraId="2C77C0D2" w14:textId="0A469D45" w:rsidR="00807B43" w:rsidRPr="007F3768" w:rsidRDefault="00807B43" w:rsidP="007F3768">
      <w:pPr>
        <w:spacing w:line="480" w:lineRule="auto"/>
        <w:rPr>
          <w:rFonts w:eastAsia="Times New Roman"/>
          <w:lang w:val="fr-FR"/>
        </w:rPr>
      </w:pPr>
    </w:p>
    <w:p w14:paraId="304DF15C" w14:textId="249DBD53" w:rsidR="00A94A66" w:rsidRPr="007F3768" w:rsidRDefault="00807B43" w:rsidP="007F3768">
      <w:pPr>
        <w:spacing w:line="480" w:lineRule="auto"/>
        <w:rPr>
          <w:color w:val="000000"/>
          <w:lang w:val="fr-FR"/>
        </w:rPr>
      </w:pPr>
      <w:r w:rsidRPr="007F3768">
        <w:rPr>
          <w:i/>
          <w:color w:val="000000"/>
          <w:lang w:val="fr-FR"/>
        </w:rPr>
        <w:t>Affirmant</w:t>
      </w:r>
      <w:r w:rsidRPr="007F3768">
        <w:rPr>
          <w:color w:val="000000"/>
          <w:lang w:val="fr-FR"/>
        </w:rPr>
        <w:t xml:space="preserve"> que les obligations en matière de droits humains visant à protéger le droit de toute personne à la protection des intérêts moraux et matériels découlant des productions scientifiques, littéraires et artistiques dont elle est l</w:t>
      </w:r>
      <w:r w:rsidR="00A94A66" w:rsidRPr="007F3768">
        <w:rPr>
          <w:color w:val="000000"/>
          <w:lang w:val="fr-FR"/>
        </w:rPr>
        <w:t>’</w:t>
      </w:r>
      <w:r w:rsidRPr="007F3768">
        <w:rPr>
          <w:color w:val="000000"/>
          <w:lang w:val="fr-FR"/>
        </w:rPr>
        <w:t>auteur sont soumises à des limitations et doivent être conciliées avec d</w:t>
      </w:r>
      <w:r w:rsidR="00A94A66" w:rsidRPr="007F3768">
        <w:rPr>
          <w:color w:val="000000"/>
          <w:lang w:val="fr-FR"/>
        </w:rPr>
        <w:t>’</w:t>
      </w:r>
      <w:r w:rsidRPr="007F3768">
        <w:rPr>
          <w:color w:val="000000"/>
          <w:lang w:val="fr-FR"/>
        </w:rPr>
        <w:t>autres droits humains tels que le droit à l</w:t>
      </w:r>
      <w:r w:rsidR="00A94A66" w:rsidRPr="007F3768">
        <w:rPr>
          <w:color w:val="000000"/>
          <w:lang w:val="fr-FR"/>
        </w:rPr>
        <w:t>’</w:t>
      </w:r>
      <w:r w:rsidRPr="007F3768">
        <w:rPr>
          <w:color w:val="000000"/>
          <w:lang w:val="fr-FR"/>
        </w:rPr>
        <w:t>éducation, à la liberté d</w:t>
      </w:r>
      <w:r w:rsidR="00A94A66" w:rsidRPr="007F3768">
        <w:rPr>
          <w:color w:val="000000"/>
          <w:lang w:val="fr-FR"/>
        </w:rPr>
        <w:t>’</w:t>
      </w:r>
      <w:r w:rsidRPr="007F3768">
        <w:rPr>
          <w:color w:val="000000"/>
          <w:lang w:val="fr-FR"/>
        </w:rPr>
        <w:t xml:space="preserve">expression et à la participation à la vie </w:t>
      </w:r>
      <w:proofErr w:type="gramStart"/>
      <w:r w:rsidRPr="007F3768">
        <w:rPr>
          <w:color w:val="000000"/>
          <w:lang w:val="fr-FR"/>
        </w:rPr>
        <w:t>culturelle</w:t>
      </w:r>
      <w:r w:rsidR="00A8508F">
        <w:rPr>
          <w:color w:val="000000"/>
          <w:lang w:val="fr-FR"/>
        </w:rPr>
        <w:t>;</w:t>
      </w:r>
      <w:proofErr w:type="gramEnd"/>
    </w:p>
    <w:p w14:paraId="1DF59201" w14:textId="697B8463" w:rsidR="00807B43" w:rsidRPr="007F3768" w:rsidRDefault="00807B43" w:rsidP="007F3768">
      <w:pPr>
        <w:spacing w:line="480" w:lineRule="auto"/>
        <w:jc w:val="right"/>
        <w:rPr>
          <w:rFonts w:eastAsia="Times New Roman"/>
          <w:lang w:val="fr-FR"/>
        </w:rPr>
      </w:pPr>
      <w:r w:rsidRPr="007F3768">
        <w:rPr>
          <w:lang w:val="fr-FR"/>
        </w:rPr>
        <w:t>[Suite du préambule, page </w:t>
      </w:r>
      <w:r w:rsidR="00A8508F">
        <w:rPr>
          <w:lang w:val="fr-FR"/>
        </w:rPr>
        <w:t>10</w:t>
      </w:r>
      <w:r w:rsidRPr="007F3768">
        <w:rPr>
          <w:lang w:val="fr-FR"/>
        </w:rPr>
        <w:t>]</w:t>
      </w:r>
      <w:r w:rsidRPr="007F3768">
        <w:rPr>
          <w:lang w:val="fr-FR"/>
        </w:rPr>
        <w:br w:type="page"/>
      </w:r>
    </w:p>
    <w:p w14:paraId="70EEEA81" w14:textId="0040CE1E" w:rsidR="00807B43" w:rsidRPr="007F3768" w:rsidRDefault="00807B43" w:rsidP="007F3768">
      <w:pPr>
        <w:rPr>
          <w:rFonts w:eastAsia="Times New Roman" w:cs="Times New Roman"/>
          <w:lang w:val="fr-FR"/>
        </w:rPr>
      </w:pPr>
      <w:r w:rsidRPr="007F3768">
        <w:rPr>
          <w:lang w:val="fr-FR"/>
        </w:rPr>
        <w:lastRenderedPageBreak/>
        <w:t>0.08</w:t>
      </w:r>
      <w:r w:rsidRPr="007F3768">
        <w:rPr>
          <w:lang w:val="fr-FR"/>
        </w:rPr>
        <w:tab/>
        <w:t xml:space="preserve">Le </w:t>
      </w:r>
      <w:r w:rsidRPr="007F3768">
        <w:rPr>
          <w:i/>
          <w:lang w:val="fr-FR"/>
        </w:rPr>
        <w:t xml:space="preserve">septième alinéa </w:t>
      </w:r>
      <w:r w:rsidRPr="007F3768">
        <w:rPr>
          <w:lang w:val="fr-FR"/>
        </w:rPr>
        <w:t>reconnaît la nécessité d</w:t>
      </w:r>
      <w:r w:rsidR="00A94A66" w:rsidRPr="007F3768">
        <w:rPr>
          <w:lang w:val="fr-FR"/>
        </w:rPr>
        <w:t>’</w:t>
      </w:r>
      <w:r w:rsidRPr="007F3768">
        <w:rPr>
          <w:lang w:val="fr-FR"/>
        </w:rPr>
        <w:t xml:space="preserve">une approche globale </w:t>
      </w:r>
      <w:r w:rsidR="00A94A66" w:rsidRPr="007F3768">
        <w:rPr>
          <w:lang w:val="fr-FR"/>
        </w:rPr>
        <w:t>à l’égard</w:t>
      </w:r>
      <w:r w:rsidRPr="007F3768">
        <w:rPr>
          <w:lang w:val="fr-FR"/>
        </w:rPr>
        <w:t xml:space="preserve"> des exceptions et limitations relatives au droit d</w:t>
      </w:r>
      <w:r w:rsidR="00A94A66" w:rsidRPr="007F3768">
        <w:rPr>
          <w:lang w:val="fr-FR"/>
        </w:rPr>
        <w:t>’</w:t>
      </w:r>
      <w:r w:rsidRPr="007F3768">
        <w:rPr>
          <w:lang w:val="fr-FR"/>
        </w:rPr>
        <w:t>auteur et d</w:t>
      </w:r>
      <w:r w:rsidR="00A94A66" w:rsidRPr="007F3768">
        <w:rPr>
          <w:lang w:val="fr-FR"/>
        </w:rPr>
        <w:t>’</w:t>
      </w:r>
      <w:r w:rsidRPr="007F3768">
        <w:rPr>
          <w:lang w:val="fr-FR"/>
        </w:rPr>
        <w:t>un minimum d</w:t>
      </w:r>
      <w:r w:rsidR="00A94A66" w:rsidRPr="007F3768">
        <w:rPr>
          <w:lang w:val="fr-FR"/>
        </w:rPr>
        <w:t>’</w:t>
      </w:r>
      <w:r w:rsidRPr="007F3768">
        <w:rPr>
          <w:lang w:val="fr-FR"/>
        </w:rPr>
        <w:t>harmonisation internationale des limitations et des exceptions, afin de garantir le flux d</w:t>
      </w:r>
      <w:r w:rsidR="00A94A66" w:rsidRPr="007F3768">
        <w:rPr>
          <w:lang w:val="fr-FR"/>
        </w:rPr>
        <w:t>’</w:t>
      </w:r>
      <w:r w:rsidRPr="007F3768">
        <w:rPr>
          <w:lang w:val="fr-FR"/>
        </w:rPr>
        <w:t>informations efficace et sans entraves essentiel à l</w:t>
      </w:r>
      <w:r w:rsidR="00A94A66" w:rsidRPr="007F3768">
        <w:rPr>
          <w:lang w:val="fr-FR"/>
        </w:rPr>
        <w:t>’</w:t>
      </w:r>
      <w:r w:rsidRPr="007F3768">
        <w:rPr>
          <w:lang w:val="fr-FR"/>
        </w:rPr>
        <w:t>égalité d</w:t>
      </w:r>
      <w:r w:rsidR="00A94A66" w:rsidRPr="007F3768">
        <w:rPr>
          <w:lang w:val="fr-FR"/>
        </w:rPr>
        <w:t>’</w:t>
      </w:r>
      <w:r w:rsidRPr="007F3768">
        <w:rPr>
          <w:lang w:val="fr-FR"/>
        </w:rPr>
        <w:t>accès à la recherche, aux idées et à l</w:t>
      </w:r>
      <w:r w:rsidR="00A94A66" w:rsidRPr="007F3768">
        <w:rPr>
          <w:lang w:val="fr-FR"/>
        </w:rPr>
        <w:t>’</w:t>
      </w:r>
      <w:r w:rsidRPr="007F3768">
        <w:rPr>
          <w:lang w:val="fr-FR"/>
        </w:rPr>
        <w:t>innovation au niveau mondial.</w:t>
      </w:r>
    </w:p>
    <w:p w14:paraId="18A75545" w14:textId="77777777" w:rsidR="00807B43" w:rsidRPr="007F3768" w:rsidRDefault="00807B43" w:rsidP="007F3768">
      <w:pPr>
        <w:rPr>
          <w:rFonts w:eastAsia="Times New Roman" w:cs="Times New Roman"/>
          <w:lang w:val="fr-FR"/>
        </w:rPr>
      </w:pPr>
    </w:p>
    <w:p w14:paraId="667EFC06" w14:textId="7F9786F7" w:rsidR="00807B43" w:rsidRPr="007F3768" w:rsidRDefault="00807B43" w:rsidP="007F3768">
      <w:pPr>
        <w:rPr>
          <w:rFonts w:eastAsia="Times New Roman" w:cs="Times New Roman"/>
          <w:lang w:val="fr-FR"/>
        </w:rPr>
      </w:pPr>
      <w:r w:rsidRPr="007F3768">
        <w:rPr>
          <w:lang w:val="fr-FR"/>
        </w:rPr>
        <w:t>0.09</w:t>
      </w:r>
      <w:r w:rsidRPr="007F3768">
        <w:rPr>
          <w:lang w:val="fr-FR"/>
        </w:rPr>
        <w:tab/>
        <w:t xml:space="preserve">Le </w:t>
      </w:r>
      <w:r w:rsidRPr="007F3768">
        <w:rPr>
          <w:i/>
          <w:lang w:val="fr-FR"/>
        </w:rPr>
        <w:t>huitième alinéa</w:t>
      </w:r>
      <w:r w:rsidRPr="007F3768">
        <w:rPr>
          <w:lang w:val="fr-FR"/>
        </w:rPr>
        <w:t xml:space="preserve"> reconnaît que les exceptions et limitations relatives au droit d</w:t>
      </w:r>
      <w:r w:rsidR="00A94A66" w:rsidRPr="007F3768">
        <w:rPr>
          <w:lang w:val="fr-FR"/>
        </w:rPr>
        <w:t>’</w:t>
      </w:r>
      <w:r w:rsidRPr="007F3768">
        <w:rPr>
          <w:lang w:val="fr-FR"/>
        </w:rPr>
        <w:t>auteur font progresser le savoir en préservant le patrimoine culturel, artistique et scientifique mondial et en assurant l</w:t>
      </w:r>
      <w:r w:rsidR="00A94A66" w:rsidRPr="007F3768">
        <w:rPr>
          <w:lang w:val="fr-FR"/>
        </w:rPr>
        <w:t>’</w:t>
      </w:r>
      <w:r w:rsidRPr="007F3768">
        <w:rPr>
          <w:lang w:val="fr-FR"/>
        </w:rPr>
        <w:t>accès à ce dernier.</w:t>
      </w:r>
    </w:p>
    <w:p w14:paraId="309768B8" w14:textId="77777777" w:rsidR="00807B43" w:rsidRPr="007F3768" w:rsidRDefault="00807B43" w:rsidP="007F3768">
      <w:pPr>
        <w:rPr>
          <w:rFonts w:eastAsia="Times New Roman" w:cs="Times New Roman"/>
          <w:i/>
          <w:iCs/>
          <w:lang w:val="fr-FR"/>
        </w:rPr>
      </w:pPr>
    </w:p>
    <w:p w14:paraId="3B991BF5" w14:textId="684ACA40" w:rsidR="00807B43" w:rsidRPr="007F3768" w:rsidRDefault="00807B43" w:rsidP="007F3768">
      <w:pPr>
        <w:rPr>
          <w:rFonts w:eastAsia="Times New Roman" w:cs="Times New Roman"/>
          <w:lang w:val="fr-FR"/>
        </w:rPr>
      </w:pPr>
      <w:r w:rsidRPr="007F3768">
        <w:rPr>
          <w:lang w:val="fr-FR"/>
        </w:rPr>
        <w:t>0.10</w:t>
      </w:r>
      <w:r w:rsidRPr="007F3768">
        <w:rPr>
          <w:lang w:val="fr-FR"/>
        </w:rPr>
        <w:tab/>
        <w:t xml:space="preserve">Le </w:t>
      </w:r>
      <w:r w:rsidRPr="007F3768">
        <w:rPr>
          <w:i/>
          <w:lang w:val="fr-FR"/>
        </w:rPr>
        <w:t>neuvième alinéa</w:t>
      </w:r>
      <w:r w:rsidRPr="007F3768">
        <w:rPr>
          <w:lang w:val="fr-FR"/>
        </w:rPr>
        <w:t xml:space="preserve"> reconnaît que le Traité de Marrakech visant à faciliter l</w:t>
      </w:r>
      <w:r w:rsidR="00A94A66" w:rsidRPr="007F3768">
        <w:rPr>
          <w:lang w:val="fr-FR"/>
        </w:rPr>
        <w:t>’</w:t>
      </w:r>
      <w:r w:rsidRPr="007F3768">
        <w:rPr>
          <w:lang w:val="fr-FR"/>
        </w:rPr>
        <w:t>accès des aveugles, des déficients visuels et des personnes ayant d</w:t>
      </w:r>
      <w:r w:rsidR="00A94A66" w:rsidRPr="007F3768">
        <w:rPr>
          <w:lang w:val="fr-FR"/>
        </w:rPr>
        <w:t>’</w:t>
      </w:r>
      <w:r w:rsidRPr="007F3768">
        <w:rPr>
          <w:lang w:val="fr-FR"/>
        </w:rPr>
        <w:t>autres difficultés de lecture des textes imprimés aux œuvres publiées ne s</w:t>
      </w:r>
      <w:r w:rsidR="00A94A66" w:rsidRPr="007F3768">
        <w:rPr>
          <w:lang w:val="fr-FR"/>
        </w:rPr>
        <w:t>’</w:t>
      </w:r>
      <w:r w:rsidRPr="007F3768">
        <w:rPr>
          <w:lang w:val="fr-FR"/>
        </w:rPr>
        <w:t>applique pas aux personnes atteintes d</w:t>
      </w:r>
      <w:r w:rsidR="00A94A66" w:rsidRPr="007F3768">
        <w:rPr>
          <w:lang w:val="fr-FR"/>
        </w:rPr>
        <w:t>’</w:t>
      </w:r>
      <w:r w:rsidRPr="007F3768">
        <w:rPr>
          <w:lang w:val="fr-FR"/>
        </w:rPr>
        <w:t>autres handicaps.</w:t>
      </w:r>
    </w:p>
    <w:p w14:paraId="7BD259EC" w14:textId="77777777" w:rsidR="00807B43" w:rsidRPr="007F3768" w:rsidRDefault="00807B43" w:rsidP="007F3768">
      <w:pPr>
        <w:rPr>
          <w:rFonts w:eastAsia="Times New Roman" w:cs="Times New Roman"/>
          <w:lang w:val="fr-FR"/>
        </w:rPr>
      </w:pPr>
    </w:p>
    <w:p w14:paraId="4FD09D5B" w14:textId="77777777" w:rsidR="00807B43" w:rsidRPr="007F3768" w:rsidRDefault="00807B43" w:rsidP="007F3768">
      <w:pPr>
        <w:rPr>
          <w:lang w:val="fr-FR"/>
        </w:rPr>
      </w:pPr>
    </w:p>
    <w:p w14:paraId="1131982F" w14:textId="77777777" w:rsidR="00807B43" w:rsidRPr="007F3768" w:rsidRDefault="00807B43" w:rsidP="007F3768">
      <w:pPr>
        <w:spacing w:line="480" w:lineRule="auto"/>
        <w:jc w:val="right"/>
        <w:rPr>
          <w:rFonts w:eastAsia="Times New Roman"/>
          <w:color w:val="000000"/>
          <w:lang w:val="fr-FR"/>
        </w:rPr>
      </w:pPr>
      <w:r w:rsidRPr="007F3768">
        <w:rPr>
          <w:color w:val="000000"/>
          <w:lang w:val="fr-FR"/>
        </w:rPr>
        <w:t>[Fin des notes explicatives relatives au préambule]</w:t>
      </w:r>
      <w:r w:rsidRPr="007F3768">
        <w:rPr>
          <w:lang w:val="fr-FR"/>
        </w:rPr>
        <w:br w:type="page"/>
      </w:r>
    </w:p>
    <w:p w14:paraId="654869C8" w14:textId="402745F6" w:rsidR="00807B43" w:rsidRPr="007F3768" w:rsidRDefault="00807B43" w:rsidP="007F3768">
      <w:pPr>
        <w:spacing w:line="480" w:lineRule="auto"/>
        <w:rPr>
          <w:lang w:val="fr-FR"/>
        </w:rPr>
      </w:pPr>
      <w:r w:rsidRPr="007F3768">
        <w:rPr>
          <w:i/>
          <w:color w:val="000000"/>
          <w:lang w:val="fr-FR"/>
        </w:rPr>
        <w:lastRenderedPageBreak/>
        <w:t>Reconnaissant</w:t>
      </w:r>
      <w:r w:rsidRPr="007F3768">
        <w:rPr>
          <w:color w:val="000000"/>
          <w:lang w:val="fr-FR"/>
        </w:rPr>
        <w:t xml:space="preserve"> la nécessité d</w:t>
      </w:r>
      <w:r w:rsidR="00A94A66" w:rsidRPr="007F3768">
        <w:rPr>
          <w:color w:val="000000"/>
          <w:lang w:val="fr-FR"/>
        </w:rPr>
        <w:t>’</w:t>
      </w:r>
      <w:r w:rsidRPr="007F3768">
        <w:rPr>
          <w:color w:val="000000"/>
          <w:lang w:val="fr-FR"/>
        </w:rPr>
        <w:t xml:space="preserve">une approche globale </w:t>
      </w:r>
      <w:r w:rsidR="00A94A66" w:rsidRPr="007F3768">
        <w:rPr>
          <w:color w:val="000000"/>
          <w:lang w:val="fr-FR"/>
        </w:rPr>
        <w:t>à l’égard</w:t>
      </w:r>
      <w:r w:rsidRPr="007F3768">
        <w:rPr>
          <w:color w:val="000000"/>
          <w:lang w:val="fr-FR"/>
        </w:rPr>
        <w:t xml:space="preserve"> des exceptions et des limitations relatives au droit d</w:t>
      </w:r>
      <w:r w:rsidR="00A94A66" w:rsidRPr="007F3768">
        <w:rPr>
          <w:color w:val="000000"/>
          <w:lang w:val="fr-FR"/>
        </w:rPr>
        <w:t>’</w:t>
      </w:r>
      <w:r w:rsidRPr="007F3768">
        <w:rPr>
          <w:color w:val="000000"/>
          <w:lang w:val="fr-FR"/>
        </w:rPr>
        <w:t>auteur et d</w:t>
      </w:r>
      <w:r w:rsidR="00A94A66" w:rsidRPr="007F3768">
        <w:rPr>
          <w:color w:val="000000"/>
          <w:lang w:val="fr-FR"/>
        </w:rPr>
        <w:t>’</w:t>
      </w:r>
      <w:r w:rsidRPr="007F3768">
        <w:rPr>
          <w:color w:val="000000"/>
          <w:lang w:val="fr-FR"/>
        </w:rPr>
        <w:t>un minimum d</w:t>
      </w:r>
      <w:r w:rsidR="00A94A66" w:rsidRPr="007F3768">
        <w:rPr>
          <w:color w:val="000000"/>
          <w:lang w:val="fr-FR"/>
        </w:rPr>
        <w:t>’</w:t>
      </w:r>
      <w:r w:rsidRPr="007F3768">
        <w:rPr>
          <w:color w:val="000000"/>
          <w:lang w:val="fr-FR"/>
        </w:rPr>
        <w:t>harmonisation internationale des limitations et des exceptions, afin de garantir le flux d</w:t>
      </w:r>
      <w:r w:rsidR="00A94A66" w:rsidRPr="007F3768">
        <w:rPr>
          <w:color w:val="000000"/>
          <w:lang w:val="fr-FR"/>
        </w:rPr>
        <w:t>’</w:t>
      </w:r>
      <w:r w:rsidRPr="007F3768">
        <w:rPr>
          <w:color w:val="000000"/>
          <w:lang w:val="fr-FR"/>
        </w:rPr>
        <w:t>informations efficace et sans entraves essentiel à l</w:t>
      </w:r>
      <w:r w:rsidR="00A94A66" w:rsidRPr="007F3768">
        <w:rPr>
          <w:color w:val="000000"/>
          <w:lang w:val="fr-FR"/>
        </w:rPr>
        <w:t>’</w:t>
      </w:r>
      <w:r w:rsidRPr="007F3768">
        <w:rPr>
          <w:color w:val="000000"/>
          <w:lang w:val="fr-FR"/>
        </w:rPr>
        <w:t>égalité d</w:t>
      </w:r>
      <w:r w:rsidR="00A94A66" w:rsidRPr="007F3768">
        <w:rPr>
          <w:color w:val="000000"/>
          <w:lang w:val="fr-FR"/>
        </w:rPr>
        <w:t>’</w:t>
      </w:r>
      <w:r w:rsidRPr="007F3768">
        <w:rPr>
          <w:color w:val="000000"/>
          <w:lang w:val="fr-FR"/>
        </w:rPr>
        <w:t>accès à la recherche, aux idées et à l</w:t>
      </w:r>
      <w:r w:rsidR="00A94A66" w:rsidRPr="007F3768">
        <w:rPr>
          <w:color w:val="000000"/>
          <w:lang w:val="fr-FR"/>
        </w:rPr>
        <w:t>’</w:t>
      </w:r>
      <w:r w:rsidRPr="007F3768">
        <w:rPr>
          <w:color w:val="000000"/>
          <w:lang w:val="fr-FR"/>
        </w:rPr>
        <w:t xml:space="preserve">innovation au niveau </w:t>
      </w:r>
      <w:proofErr w:type="gramStart"/>
      <w:r w:rsidRPr="007F3768">
        <w:rPr>
          <w:color w:val="000000"/>
          <w:lang w:val="fr-FR"/>
        </w:rPr>
        <w:t>mondial;</w:t>
      </w:r>
      <w:proofErr w:type="gramEnd"/>
    </w:p>
    <w:p w14:paraId="260EFA92" w14:textId="77777777" w:rsidR="00807B43" w:rsidRPr="007F3768" w:rsidRDefault="00807B43" w:rsidP="007F3768">
      <w:pPr>
        <w:rPr>
          <w:rFonts w:eastAsia="Times New Roman" w:cs="Times New Roman"/>
          <w:lang w:val="fr-FR"/>
        </w:rPr>
      </w:pPr>
    </w:p>
    <w:p w14:paraId="27AF6F82" w14:textId="19F67ED5" w:rsidR="00807B43" w:rsidRPr="007F3768" w:rsidRDefault="00807B43" w:rsidP="007F3768">
      <w:pPr>
        <w:spacing w:line="480" w:lineRule="auto"/>
        <w:rPr>
          <w:lang w:val="fr-FR"/>
        </w:rPr>
      </w:pPr>
      <w:r w:rsidRPr="007F3768">
        <w:rPr>
          <w:i/>
          <w:color w:val="000000"/>
          <w:lang w:val="fr-FR"/>
        </w:rPr>
        <w:t>Reconnaissant</w:t>
      </w:r>
      <w:r w:rsidRPr="007F3768">
        <w:rPr>
          <w:color w:val="000000"/>
          <w:lang w:val="fr-FR"/>
        </w:rPr>
        <w:t xml:space="preserve"> que les exceptions et limitations relatives au droit d</w:t>
      </w:r>
      <w:r w:rsidR="00A94A66" w:rsidRPr="007F3768">
        <w:rPr>
          <w:color w:val="000000"/>
          <w:lang w:val="fr-FR"/>
        </w:rPr>
        <w:t>’</w:t>
      </w:r>
      <w:r w:rsidRPr="007F3768">
        <w:rPr>
          <w:color w:val="000000"/>
          <w:lang w:val="fr-FR"/>
        </w:rPr>
        <w:t>auteur font progresser le savoir en préservant le patrimoine culturel, artistique et scientifique mondial et en assurant l</w:t>
      </w:r>
      <w:r w:rsidR="00A94A66" w:rsidRPr="007F3768">
        <w:rPr>
          <w:color w:val="000000"/>
          <w:lang w:val="fr-FR"/>
        </w:rPr>
        <w:t>’</w:t>
      </w:r>
      <w:r w:rsidRPr="007F3768">
        <w:rPr>
          <w:color w:val="000000"/>
          <w:lang w:val="fr-FR"/>
        </w:rPr>
        <w:t xml:space="preserve">accès à ce </w:t>
      </w:r>
      <w:proofErr w:type="gramStart"/>
      <w:r w:rsidRPr="007F3768">
        <w:rPr>
          <w:color w:val="000000"/>
          <w:lang w:val="fr-FR"/>
        </w:rPr>
        <w:t>dernier;</w:t>
      </w:r>
      <w:proofErr w:type="gramEnd"/>
    </w:p>
    <w:p w14:paraId="1055981C" w14:textId="77777777" w:rsidR="00807B43" w:rsidRPr="007F3768" w:rsidRDefault="00807B43" w:rsidP="007F3768">
      <w:pPr>
        <w:spacing w:line="480" w:lineRule="auto"/>
        <w:rPr>
          <w:rFonts w:eastAsia="Times New Roman"/>
          <w:color w:val="000000"/>
          <w:lang w:val="fr-FR"/>
        </w:rPr>
      </w:pPr>
    </w:p>
    <w:p w14:paraId="3EB92165" w14:textId="12B37EFC" w:rsidR="00807B43" w:rsidRPr="007F3768" w:rsidRDefault="00807B43" w:rsidP="007F3768">
      <w:pPr>
        <w:spacing w:line="480" w:lineRule="auto"/>
        <w:rPr>
          <w:lang w:val="fr-FR"/>
        </w:rPr>
      </w:pPr>
      <w:r w:rsidRPr="007F3768">
        <w:rPr>
          <w:i/>
          <w:color w:val="000000"/>
          <w:lang w:val="fr-FR"/>
        </w:rPr>
        <w:t>Conscientes</w:t>
      </w:r>
      <w:r w:rsidRPr="007F3768">
        <w:rPr>
          <w:color w:val="000000"/>
          <w:lang w:val="fr-FR"/>
        </w:rPr>
        <w:t xml:space="preserve"> que le Traité de Marrakech visant à faciliter l</w:t>
      </w:r>
      <w:r w:rsidR="00A94A66" w:rsidRPr="007F3768">
        <w:rPr>
          <w:color w:val="000000"/>
          <w:lang w:val="fr-FR"/>
        </w:rPr>
        <w:t>’</w:t>
      </w:r>
      <w:r w:rsidRPr="007F3768">
        <w:rPr>
          <w:color w:val="000000"/>
          <w:lang w:val="fr-FR"/>
        </w:rPr>
        <w:t>accès des aveugles, des déficients visuels et des personnes ayant d</w:t>
      </w:r>
      <w:r w:rsidR="00A94A66" w:rsidRPr="007F3768">
        <w:rPr>
          <w:color w:val="000000"/>
          <w:lang w:val="fr-FR"/>
        </w:rPr>
        <w:t>’</w:t>
      </w:r>
      <w:r w:rsidRPr="007F3768">
        <w:rPr>
          <w:color w:val="000000"/>
          <w:lang w:val="fr-FR"/>
        </w:rPr>
        <w:t>autres difficultés de lecture des textes imprimés aux œuvres publiées ne s</w:t>
      </w:r>
      <w:r w:rsidR="00A94A66" w:rsidRPr="007F3768">
        <w:rPr>
          <w:color w:val="000000"/>
          <w:lang w:val="fr-FR"/>
        </w:rPr>
        <w:t>’</w:t>
      </w:r>
      <w:r w:rsidRPr="007F3768">
        <w:rPr>
          <w:color w:val="000000"/>
          <w:lang w:val="fr-FR"/>
        </w:rPr>
        <w:t>applique pas aux personnes atteintes d</w:t>
      </w:r>
      <w:r w:rsidR="00A94A66" w:rsidRPr="007F3768">
        <w:rPr>
          <w:color w:val="000000"/>
          <w:lang w:val="fr-FR"/>
        </w:rPr>
        <w:t>’</w:t>
      </w:r>
      <w:r w:rsidRPr="007F3768">
        <w:rPr>
          <w:color w:val="000000"/>
          <w:lang w:val="fr-FR"/>
        </w:rPr>
        <w:t xml:space="preserve">autres </w:t>
      </w:r>
      <w:proofErr w:type="gramStart"/>
      <w:r w:rsidRPr="007F3768">
        <w:rPr>
          <w:color w:val="000000"/>
          <w:lang w:val="fr-FR"/>
        </w:rPr>
        <w:t>handicaps;</w:t>
      </w:r>
      <w:proofErr w:type="gramEnd"/>
    </w:p>
    <w:p w14:paraId="5F42F482" w14:textId="77777777" w:rsidR="00807B43" w:rsidRPr="007F3768" w:rsidRDefault="00807B43" w:rsidP="007F3768">
      <w:pPr>
        <w:spacing w:line="480" w:lineRule="auto"/>
        <w:rPr>
          <w:rFonts w:eastAsia="Times New Roman"/>
          <w:lang w:val="fr-FR"/>
        </w:rPr>
      </w:pPr>
    </w:p>
    <w:p w14:paraId="2F1DEBA0" w14:textId="095E1DFC" w:rsidR="00A94A66" w:rsidRPr="007F3768" w:rsidRDefault="00807B43" w:rsidP="007F3768">
      <w:pPr>
        <w:spacing w:line="480" w:lineRule="auto"/>
        <w:rPr>
          <w:color w:val="000000"/>
          <w:lang w:val="fr-FR"/>
        </w:rPr>
      </w:pPr>
      <w:r w:rsidRPr="007F3768">
        <w:rPr>
          <w:color w:val="000000"/>
          <w:lang w:val="fr-FR"/>
        </w:rPr>
        <w:t>Sont convenues de ce qui suit</w:t>
      </w:r>
      <w:r w:rsidR="00A94A66" w:rsidRPr="007F3768">
        <w:rPr>
          <w:color w:val="000000"/>
          <w:lang w:val="fr-FR"/>
        </w:rPr>
        <w:t> :</w:t>
      </w:r>
    </w:p>
    <w:p w14:paraId="0BAE29FC" w14:textId="3931307D" w:rsidR="00807B43" w:rsidRDefault="00807B43" w:rsidP="007F3768">
      <w:pPr>
        <w:rPr>
          <w:rFonts w:eastAsia="Times New Roman"/>
          <w:lang w:val="fr-FR"/>
        </w:rPr>
      </w:pPr>
    </w:p>
    <w:p w14:paraId="2EE670A8" w14:textId="77777777" w:rsidR="00A8508F" w:rsidRPr="007F3768" w:rsidRDefault="00A8508F" w:rsidP="007F3768">
      <w:pPr>
        <w:rPr>
          <w:rFonts w:eastAsia="Times New Roman"/>
          <w:lang w:val="fr-FR"/>
        </w:rPr>
      </w:pPr>
    </w:p>
    <w:p w14:paraId="338D5DAC" w14:textId="77777777" w:rsidR="00807B43" w:rsidRPr="007F3768" w:rsidRDefault="00807B43" w:rsidP="007F3768">
      <w:pPr>
        <w:jc w:val="right"/>
        <w:rPr>
          <w:rFonts w:eastAsia="Times New Roman"/>
          <w:lang w:val="fr-FR"/>
        </w:rPr>
      </w:pPr>
      <w:r w:rsidRPr="007F3768">
        <w:rPr>
          <w:lang w:val="fr-FR"/>
        </w:rPr>
        <w:t>[Fin du préambule]</w:t>
      </w:r>
      <w:r w:rsidRPr="007F3768">
        <w:rPr>
          <w:lang w:val="fr-FR"/>
        </w:rPr>
        <w:br w:type="page"/>
      </w:r>
    </w:p>
    <w:p w14:paraId="514F6101" w14:textId="2FDB5706" w:rsidR="00807B43" w:rsidRPr="007F3768" w:rsidRDefault="00807B43" w:rsidP="007F3768">
      <w:pPr>
        <w:spacing w:line="276" w:lineRule="auto"/>
        <w:rPr>
          <w:lang w:val="fr-FR"/>
        </w:rPr>
      </w:pPr>
      <w:r w:rsidRPr="007F3768">
        <w:rPr>
          <w:i/>
          <w:lang w:val="fr-FR"/>
        </w:rPr>
        <w:lastRenderedPageBreak/>
        <w:t>Notes explicatives relatives à l</w:t>
      </w:r>
      <w:r w:rsidR="00A94A66" w:rsidRPr="007F3768">
        <w:rPr>
          <w:i/>
          <w:lang w:val="fr-FR"/>
        </w:rPr>
        <w:t>’</w:t>
      </w:r>
      <w:r w:rsidRPr="007F3768">
        <w:rPr>
          <w:i/>
          <w:lang w:val="fr-FR"/>
        </w:rPr>
        <w:t>article premier</w:t>
      </w:r>
    </w:p>
    <w:p w14:paraId="6D49552D" w14:textId="77777777" w:rsidR="00807B43" w:rsidRPr="007F3768" w:rsidRDefault="00807B43" w:rsidP="007F3768">
      <w:pPr>
        <w:spacing w:line="276" w:lineRule="auto"/>
        <w:rPr>
          <w:rFonts w:eastAsia="Times New Roman"/>
          <w:i/>
          <w:iCs/>
          <w:lang w:val="fr-FR"/>
        </w:rPr>
      </w:pPr>
    </w:p>
    <w:p w14:paraId="31559C2E" w14:textId="743F6639" w:rsidR="00807B43" w:rsidRPr="007F3768" w:rsidRDefault="00807B43" w:rsidP="007F3768">
      <w:pPr>
        <w:spacing w:line="276" w:lineRule="auto"/>
        <w:rPr>
          <w:rFonts w:eastAsia="Times New Roman" w:cs="Times New Roman"/>
          <w:i/>
          <w:iCs/>
          <w:lang w:val="fr-FR"/>
        </w:rPr>
      </w:pPr>
      <w:r w:rsidRPr="007F3768">
        <w:rPr>
          <w:lang w:val="fr-FR"/>
        </w:rPr>
        <w:t>1.01</w:t>
      </w:r>
      <w:r w:rsidRPr="007F3768">
        <w:rPr>
          <w:lang w:val="fr-FR"/>
        </w:rPr>
        <w:tab/>
        <w:t>Les dispositions de l</w:t>
      </w:r>
      <w:r w:rsidR="00A94A66" w:rsidRPr="007F3768">
        <w:rPr>
          <w:lang w:val="fr-FR"/>
        </w:rPr>
        <w:t>’</w:t>
      </w:r>
      <w:r w:rsidRPr="007F3768">
        <w:rPr>
          <w:i/>
          <w:lang w:val="fr-FR"/>
        </w:rPr>
        <w:t>article premier</w:t>
      </w:r>
      <w:r w:rsidRPr="007F3768">
        <w:rPr>
          <w:lang w:val="fr-FR"/>
        </w:rPr>
        <w:t xml:space="preserve"> concernent la nature de l</w:t>
      </w:r>
      <w:r w:rsidR="00A94A66" w:rsidRPr="007F3768">
        <w:rPr>
          <w:lang w:val="fr-FR"/>
        </w:rPr>
        <w:t>’</w:t>
      </w:r>
      <w:r w:rsidRPr="007F3768">
        <w:rPr>
          <w:lang w:val="fr-FR"/>
        </w:rPr>
        <w:t>instrument et définissent sa relation avec les limitations et exceptions autorisées, le cas échéant, par d</w:t>
      </w:r>
      <w:r w:rsidR="00A94A66" w:rsidRPr="007F3768">
        <w:rPr>
          <w:lang w:val="fr-FR"/>
        </w:rPr>
        <w:t>’</w:t>
      </w:r>
      <w:r w:rsidRPr="007F3768">
        <w:rPr>
          <w:lang w:val="fr-FR"/>
        </w:rPr>
        <w:t xml:space="preserve">autres instruments, notamment la Convention de Berne pour la protection des œuvres littéraires et artistiques, 1886 (Convention de Berne); </w:t>
      </w:r>
      <w:r w:rsidR="00F309FC" w:rsidRPr="007F3768">
        <w:rPr>
          <w:lang w:val="fr-FR"/>
        </w:rPr>
        <w:t xml:space="preserve"> </w:t>
      </w:r>
      <w:r w:rsidRPr="007F3768">
        <w:rPr>
          <w:lang w:val="fr-FR"/>
        </w:rPr>
        <w:t>le Traité de l</w:t>
      </w:r>
      <w:r w:rsidR="00A94A66" w:rsidRPr="007F3768">
        <w:rPr>
          <w:lang w:val="fr-FR"/>
        </w:rPr>
        <w:t>’</w:t>
      </w:r>
      <w:proofErr w:type="spellStart"/>
      <w:r w:rsidRPr="007F3768">
        <w:rPr>
          <w:lang w:val="fr-FR"/>
        </w:rPr>
        <w:t>OMPI</w:t>
      </w:r>
      <w:proofErr w:type="spellEnd"/>
      <w:r w:rsidRPr="007F3768">
        <w:rPr>
          <w:lang w:val="fr-FR"/>
        </w:rPr>
        <w:t xml:space="preserve"> sur le droit d</w:t>
      </w:r>
      <w:r w:rsidR="00A94A66" w:rsidRPr="007F3768">
        <w:rPr>
          <w:lang w:val="fr-FR"/>
        </w:rPr>
        <w:t>’</w:t>
      </w:r>
      <w:r w:rsidRPr="007F3768">
        <w:rPr>
          <w:lang w:val="fr-FR"/>
        </w:rPr>
        <w:t>auteur, 1996 (</w:t>
      </w:r>
      <w:proofErr w:type="spellStart"/>
      <w:r w:rsidRPr="007F3768">
        <w:rPr>
          <w:lang w:val="fr-FR"/>
        </w:rPr>
        <w:t>WCT</w:t>
      </w:r>
      <w:proofErr w:type="spellEnd"/>
      <w:r w:rsidRPr="007F3768">
        <w:rPr>
          <w:lang w:val="fr-FR"/>
        </w:rPr>
        <w:t>);</w:t>
      </w:r>
      <w:r w:rsidR="00F309FC" w:rsidRPr="007F3768">
        <w:rPr>
          <w:lang w:val="fr-FR"/>
        </w:rPr>
        <w:t xml:space="preserve"> </w:t>
      </w:r>
      <w:r w:rsidRPr="007F3768">
        <w:rPr>
          <w:lang w:val="fr-FR"/>
        </w:rPr>
        <w:t xml:space="preserve"> la Convention de Rome pour la protection des artistes interprètes ou exécutants, des producteurs de phonogrammes et des organismes de radiodiffusion, 1961 (Convention de Rome); </w:t>
      </w:r>
      <w:r w:rsidR="00F309FC" w:rsidRPr="007F3768">
        <w:rPr>
          <w:lang w:val="fr-FR"/>
        </w:rPr>
        <w:t xml:space="preserve"> </w:t>
      </w:r>
      <w:r w:rsidRPr="007F3768">
        <w:rPr>
          <w:lang w:val="fr-FR"/>
        </w:rPr>
        <w:t>le Traité de l</w:t>
      </w:r>
      <w:r w:rsidR="00A94A66" w:rsidRPr="007F3768">
        <w:rPr>
          <w:lang w:val="fr-FR"/>
        </w:rPr>
        <w:t>’</w:t>
      </w:r>
      <w:proofErr w:type="spellStart"/>
      <w:r w:rsidRPr="007F3768">
        <w:rPr>
          <w:lang w:val="fr-FR"/>
        </w:rPr>
        <w:t>OMPI</w:t>
      </w:r>
      <w:proofErr w:type="spellEnd"/>
      <w:r w:rsidRPr="007F3768">
        <w:rPr>
          <w:lang w:val="fr-FR"/>
        </w:rPr>
        <w:t xml:space="preserve"> sur les interprétations et exécutions et les phonogrammes, 1996 (</w:t>
      </w:r>
      <w:proofErr w:type="spellStart"/>
      <w:r w:rsidRPr="007F3768">
        <w:rPr>
          <w:lang w:val="fr-FR"/>
        </w:rPr>
        <w:t>WPPT</w:t>
      </w:r>
      <w:proofErr w:type="spellEnd"/>
      <w:r w:rsidRPr="007F3768">
        <w:rPr>
          <w:lang w:val="fr-FR"/>
        </w:rPr>
        <w:t>);</w:t>
      </w:r>
      <w:r w:rsidR="00F309FC" w:rsidRPr="007F3768">
        <w:rPr>
          <w:lang w:val="fr-FR"/>
        </w:rPr>
        <w:t xml:space="preserve"> </w:t>
      </w:r>
      <w:r w:rsidRPr="007F3768">
        <w:rPr>
          <w:lang w:val="fr-FR"/>
        </w:rPr>
        <w:t xml:space="preserve"> l</w:t>
      </w:r>
      <w:r w:rsidR="00A94A66" w:rsidRPr="007F3768">
        <w:rPr>
          <w:lang w:val="fr-FR"/>
        </w:rPr>
        <w:t>’</w:t>
      </w:r>
      <w:r w:rsidRPr="007F3768">
        <w:rPr>
          <w:lang w:val="fr-FR"/>
        </w:rPr>
        <w:t>Accord de l</w:t>
      </w:r>
      <w:r w:rsidR="00A94A66" w:rsidRPr="007F3768">
        <w:rPr>
          <w:lang w:val="fr-FR"/>
        </w:rPr>
        <w:t>’</w:t>
      </w:r>
      <w:r w:rsidRPr="007F3768">
        <w:rPr>
          <w:lang w:val="fr-FR"/>
        </w:rPr>
        <w:t>OMC sur les aspects des droits de propriété intellectuelle qui touchent au commerce, 1994 (Accord sur</w:t>
      </w:r>
      <w:r w:rsidR="00A94A66" w:rsidRPr="007F3768">
        <w:rPr>
          <w:lang w:val="fr-FR"/>
        </w:rPr>
        <w:t xml:space="preserve"> les ADP</w:t>
      </w:r>
      <w:r w:rsidRPr="007F3768">
        <w:rPr>
          <w:lang w:val="fr-FR"/>
        </w:rPr>
        <w:t xml:space="preserve">IC); </w:t>
      </w:r>
      <w:r w:rsidR="00F309FC" w:rsidRPr="007F3768">
        <w:rPr>
          <w:lang w:val="fr-FR"/>
        </w:rPr>
        <w:t xml:space="preserve"> </w:t>
      </w:r>
      <w:r w:rsidRPr="007F3768">
        <w:rPr>
          <w:lang w:val="fr-FR"/>
        </w:rPr>
        <w:t>le Traité de Marrakech visant à faciliter l</w:t>
      </w:r>
      <w:r w:rsidR="00A94A66" w:rsidRPr="007F3768">
        <w:rPr>
          <w:lang w:val="fr-FR"/>
        </w:rPr>
        <w:t>’</w:t>
      </w:r>
      <w:r w:rsidRPr="007F3768">
        <w:rPr>
          <w:lang w:val="fr-FR"/>
        </w:rPr>
        <w:t>accès des aveugles, des déficients visuels et des personnes ayant d</w:t>
      </w:r>
      <w:r w:rsidR="00A94A66" w:rsidRPr="007F3768">
        <w:rPr>
          <w:lang w:val="fr-FR"/>
        </w:rPr>
        <w:t>’</w:t>
      </w:r>
      <w:r w:rsidRPr="007F3768">
        <w:rPr>
          <w:lang w:val="fr-FR"/>
        </w:rPr>
        <w:t xml:space="preserve">autres difficultés de lecture des textes imprimés aux œuvres publiées, 2013 (Traité de Marrakech); </w:t>
      </w:r>
      <w:r w:rsidR="00F309FC" w:rsidRPr="007F3768">
        <w:rPr>
          <w:lang w:val="fr-FR"/>
        </w:rPr>
        <w:t xml:space="preserve"> </w:t>
      </w:r>
      <w:r w:rsidRPr="007F3768">
        <w:rPr>
          <w:lang w:val="fr-FR"/>
        </w:rPr>
        <w:t>et le Traité de Beijing sur les interprétations et exécutions audiovisuelles, 2012 (Traité de Beijing).</w:t>
      </w:r>
    </w:p>
    <w:p w14:paraId="3C555BDD" w14:textId="77777777" w:rsidR="00807B43" w:rsidRPr="007F3768" w:rsidRDefault="00807B43" w:rsidP="007F3768">
      <w:pPr>
        <w:spacing w:line="276" w:lineRule="auto"/>
        <w:rPr>
          <w:rFonts w:eastAsia="Times New Roman"/>
          <w:lang w:val="fr-FR"/>
        </w:rPr>
      </w:pPr>
    </w:p>
    <w:p w14:paraId="31B20E3E" w14:textId="77777777" w:rsidR="00807B43" w:rsidRPr="007F3768" w:rsidRDefault="00807B43" w:rsidP="007F3768">
      <w:pPr>
        <w:spacing w:line="276" w:lineRule="auto"/>
        <w:rPr>
          <w:rFonts w:eastAsia="Times New Roman"/>
          <w:lang w:val="fr-FR"/>
        </w:rPr>
      </w:pPr>
    </w:p>
    <w:p w14:paraId="16D93C04" w14:textId="69CE10AE" w:rsidR="00807B43" w:rsidRPr="007F3768" w:rsidRDefault="00807B43" w:rsidP="007F3768">
      <w:pPr>
        <w:jc w:val="right"/>
        <w:rPr>
          <w:lang w:val="fr-FR"/>
        </w:rPr>
      </w:pPr>
      <w:r w:rsidRPr="007F3768">
        <w:rPr>
          <w:lang w:val="fr-FR"/>
        </w:rPr>
        <w:t>[Fin des notes explicatives relatives à l</w:t>
      </w:r>
      <w:r w:rsidR="00A94A66" w:rsidRPr="007F3768">
        <w:rPr>
          <w:lang w:val="fr-FR"/>
        </w:rPr>
        <w:t>’</w:t>
      </w:r>
      <w:r w:rsidRPr="007F3768">
        <w:rPr>
          <w:lang w:val="fr-FR"/>
        </w:rPr>
        <w:t>article premier]</w:t>
      </w:r>
      <w:r w:rsidRPr="007F3768">
        <w:rPr>
          <w:lang w:val="fr-FR"/>
        </w:rPr>
        <w:br w:type="page"/>
      </w:r>
    </w:p>
    <w:p w14:paraId="26E0109D" w14:textId="6839FC82" w:rsidR="00807B43" w:rsidRPr="007F3768" w:rsidRDefault="00807B43" w:rsidP="007F3768">
      <w:pPr>
        <w:pStyle w:val="Heading1"/>
        <w:spacing w:after="0"/>
        <w:rPr>
          <w:lang w:val="fr-FR"/>
        </w:rPr>
      </w:pPr>
      <w:bookmarkStart w:id="7" w:name="_Toc211506789"/>
      <w:bookmarkStart w:id="8" w:name="_Toc213248992"/>
      <w:r w:rsidRPr="007F3768">
        <w:rPr>
          <w:lang w:val="fr-FR"/>
        </w:rPr>
        <w:lastRenderedPageBreak/>
        <w:t>Article premier</w:t>
      </w:r>
      <w:r w:rsidRPr="007F3768">
        <w:rPr>
          <w:lang w:val="fr-FR"/>
        </w:rPr>
        <w:br/>
        <w:t>Relation avec d</w:t>
      </w:r>
      <w:r w:rsidR="00A94A66" w:rsidRPr="007F3768">
        <w:rPr>
          <w:lang w:val="fr-FR"/>
        </w:rPr>
        <w:t>’</w:t>
      </w:r>
      <w:r w:rsidRPr="007F3768">
        <w:rPr>
          <w:lang w:val="fr-FR"/>
        </w:rPr>
        <w:t>autres instruments internationaux</w:t>
      </w:r>
      <w:bookmarkEnd w:id="7"/>
      <w:bookmarkEnd w:id="8"/>
    </w:p>
    <w:p w14:paraId="7CEA227C" w14:textId="77777777" w:rsidR="00807B43" w:rsidRPr="007F3768" w:rsidRDefault="00807B43" w:rsidP="00A8508F">
      <w:pPr>
        <w:rPr>
          <w:rFonts w:eastAsia="Times New Roman"/>
          <w:lang w:val="fr-FR"/>
        </w:rPr>
      </w:pPr>
    </w:p>
    <w:p w14:paraId="3D39EBE1" w14:textId="3F419769" w:rsidR="00807B43" w:rsidRPr="007F3768" w:rsidRDefault="00807B43" w:rsidP="007F3768">
      <w:pPr>
        <w:spacing w:line="480" w:lineRule="auto"/>
        <w:rPr>
          <w:lang w:val="fr-FR"/>
        </w:rPr>
      </w:pPr>
      <w:r w:rsidRPr="007F3768">
        <w:rPr>
          <w:color w:val="000000"/>
          <w:lang w:val="fr-FR"/>
        </w:rPr>
        <w:t>1.</w:t>
      </w:r>
      <w:r w:rsidR="00F309FC" w:rsidRPr="007F3768">
        <w:rPr>
          <w:color w:val="000000"/>
          <w:lang w:val="fr-FR"/>
        </w:rPr>
        <w:t xml:space="preserve"> </w:t>
      </w:r>
      <w:r w:rsidRPr="007F3768">
        <w:rPr>
          <w:color w:val="000000"/>
          <w:lang w:val="fr-FR"/>
        </w:rPr>
        <w:t xml:space="preserve"> Aucune disposition du présent instrument ne réduit les limitations et exceptions autorisées, le cas échéant, par des instruments internationaux, en particulier</w:t>
      </w:r>
      <w:r w:rsidR="00A94A66" w:rsidRPr="007F3768">
        <w:rPr>
          <w:color w:val="000000"/>
          <w:lang w:val="fr-FR"/>
        </w:rPr>
        <w:t> :</w:t>
      </w:r>
    </w:p>
    <w:p w14:paraId="721AE1E3" w14:textId="77777777" w:rsidR="00807B43" w:rsidRPr="007F3768" w:rsidRDefault="00807B43" w:rsidP="007F3768">
      <w:pPr>
        <w:spacing w:line="480" w:lineRule="auto"/>
        <w:rPr>
          <w:rFonts w:eastAsia="Times New Roman"/>
          <w:lang w:val="fr-FR"/>
        </w:rPr>
      </w:pPr>
    </w:p>
    <w:p w14:paraId="0C58C8CA" w14:textId="77777777" w:rsidR="00807B43" w:rsidRPr="007F3768" w:rsidRDefault="00807B43" w:rsidP="00A8508F">
      <w:pPr>
        <w:spacing w:line="480" w:lineRule="auto"/>
        <w:ind w:left="567"/>
        <w:rPr>
          <w:lang w:val="fr-FR"/>
        </w:rPr>
      </w:pPr>
      <w:r w:rsidRPr="007F3768">
        <w:rPr>
          <w:color w:val="000000"/>
          <w:lang w:val="fr-FR"/>
        </w:rPr>
        <w:t>a) la Convention de Berne pour la protection des œuvres littéraires et artistiques, 1886, telle que modifiée (Convention de Berne</w:t>
      </w:r>
      <w:proofErr w:type="gramStart"/>
      <w:r w:rsidRPr="007F3768">
        <w:rPr>
          <w:color w:val="000000"/>
          <w:lang w:val="fr-FR"/>
        </w:rPr>
        <w:t>);</w:t>
      </w:r>
      <w:proofErr w:type="gramEnd"/>
    </w:p>
    <w:p w14:paraId="451BA2A8" w14:textId="77777777" w:rsidR="00807B43" w:rsidRPr="007F3768" w:rsidRDefault="00807B43" w:rsidP="00A8508F">
      <w:pPr>
        <w:spacing w:line="480" w:lineRule="auto"/>
        <w:ind w:left="567"/>
        <w:rPr>
          <w:rFonts w:eastAsia="Times New Roman"/>
          <w:lang w:val="fr-FR"/>
        </w:rPr>
      </w:pPr>
    </w:p>
    <w:p w14:paraId="503BE67D" w14:textId="6412AFEF" w:rsidR="00807B43" w:rsidRPr="007F3768" w:rsidRDefault="00807B43" w:rsidP="00A8508F">
      <w:pPr>
        <w:spacing w:line="480" w:lineRule="auto"/>
        <w:ind w:left="567"/>
        <w:rPr>
          <w:lang w:val="fr-FR"/>
        </w:rPr>
      </w:pPr>
      <w:r w:rsidRPr="007F3768">
        <w:rPr>
          <w:color w:val="000000"/>
          <w:lang w:val="fr-FR"/>
        </w:rPr>
        <w:t>b) le Traité de l</w:t>
      </w:r>
      <w:r w:rsidR="00A94A66" w:rsidRPr="007F3768">
        <w:rPr>
          <w:color w:val="000000"/>
          <w:lang w:val="fr-FR"/>
        </w:rPr>
        <w:t>’</w:t>
      </w:r>
      <w:proofErr w:type="spellStart"/>
      <w:r w:rsidRPr="007F3768">
        <w:rPr>
          <w:color w:val="000000"/>
          <w:lang w:val="fr-FR"/>
        </w:rPr>
        <w:t>OMPI</w:t>
      </w:r>
      <w:proofErr w:type="spellEnd"/>
      <w:r w:rsidRPr="007F3768">
        <w:rPr>
          <w:color w:val="000000"/>
          <w:lang w:val="fr-FR"/>
        </w:rPr>
        <w:t xml:space="preserve"> sur le droit d</w:t>
      </w:r>
      <w:r w:rsidR="00A94A66" w:rsidRPr="007F3768">
        <w:rPr>
          <w:color w:val="000000"/>
          <w:lang w:val="fr-FR"/>
        </w:rPr>
        <w:t>’</w:t>
      </w:r>
      <w:r w:rsidRPr="007F3768">
        <w:rPr>
          <w:color w:val="000000"/>
          <w:lang w:val="fr-FR"/>
        </w:rPr>
        <w:t>auteur, 1996 (</w:t>
      </w:r>
      <w:proofErr w:type="spellStart"/>
      <w:r w:rsidRPr="007F3768">
        <w:rPr>
          <w:color w:val="000000"/>
          <w:lang w:val="fr-FR"/>
        </w:rPr>
        <w:t>WCT</w:t>
      </w:r>
      <w:proofErr w:type="spellEnd"/>
      <w:proofErr w:type="gramStart"/>
      <w:r w:rsidRPr="007F3768">
        <w:rPr>
          <w:color w:val="000000"/>
          <w:lang w:val="fr-FR"/>
        </w:rPr>
        <w:t>);</w:t>
      </w:r>
      <w:proofErr w:type="gramEnd"/>
    </w:p>
    <w:p w14:paraId="250632FC" w14:textId="77777777" w:rsidR="00807B43" w:rsidRPr="007F3768" w:rsidRDefault="00807B43" w:rsidP="00A8508F">
      <w:pPr>
        <w:spacing w:line="480" w:lineRule="auto"/>
        <w:ind w:left="567"/>
        <w:rPr>
          <w:rFonts w:eastAsia="Times New Roman"/>
          <w:lang w:val="fr-FR"/>
        </w:rPr>
      </w:pPr>
    </w:p>
    <w:p w14:paraId="79DEC4C3" w14:textId="77777777" w:rsidR="00807B43" w:rsidRPr="007F3768" w:rsidRDefault="00807B43" w:rsidP="00A8508F">
      <w:pPr>
        <w:spacing w:line="480" w:lineRule="auto"/>
        <w:ind w:left="567"/>
        <w:rPr>
          <w:lang w:val="fr-FR"/>
        </w:rPr>
      </w:pPr>
      <w:r w:rsidRPr="007F3768">
        <w:rPr>
          <w:color w:val="000000"/>
          <w:lang w:val="fr-FR"/>
        </w:rPr>
        <w:t>c) la Convention de Rome pour la protection des artistes interprètes ou exécutants, des producteurs de phonogrammes et des organismes de radiodiffusion, 1961 (Convention de Rome</w:t>
      </w:r>
      <w:proofErr w:type="gramStart"/>
      <w:r w:rsidRPr="007F3768">
        <w:rPr>
          <w:color w:val="000000"/>
          <w:lang w:val="fr-FR"/>
        </w:rPr>
        <w:t>);</w:t>
      </w:r>
      <w:proofErr w:type="gramEnd"/>
    </w:p>
    <w:p w14:paraId="29E52627" w14:textId="77777777" w:rsidR="00A94A66" w:rsidRPr="007F3768" w:rsidRDefault="00A94A66" w:rsidP="00A8508F">
      <w:pPr>
        <w:spacing w:line="480" w:lineRule="auto"/>
        <w:ind w:left="567"/>
        <w:rPr>
          <w:color w:val="000000"/>
          <w:lang w:val="fr-FR"/>
        </w:rPr>
      </w:pPr>
    </w:p>
    <w:p w14:paraId="1D2FB682" w14:textId="27D6C76D" w:rsidR="00807B43" w:rsidRPr="007F3768" w:rsidRDefault="00807B43" w:rsidP="00A8508F">
      <w:pPr>
        <w:spacing w:line="480" w:lineRule="auto"/>
        <w:ind w:left="567"/>
        <w:rPr>
          <w:lang w:val="fr-FR"/>
        </w:rPr>
      </w:pPr>
      <w:r w:rsidRPr="007F3768">
        <w:rPr>
          <w:color w:val="000000"/>
          <w:lang w:val="fr-FR"/>
        </w:rPr>
        <w:t>d) le Traité de l</w:t>
      </w:r>
      <w:r w:rsidR="00A94A66" w:rsidRPr="007F3768">
        <w:rPr>
          <w:color w:val="000000"/>
          <w:lang w:val="fr-FR"/>
        </w:rPr>
        <w:t>’</w:t>
      </w:r>
      <w:proofErr w:type="spellStart"/>
      <w:r w:rsidRPr="007F3768">
        <w:rPr>
          <w:color w:val="000000"/>
          <w:lang w:val="fr-FR"/>
        </w:rPr>
        <w:t>OMPI</w:t>
      </w:r>
      <w:proofErr w:type="spellEnd"/>
      <w:r w:rsidRPr="007F3768">
        <w:rPr>
          <w:color w:val="000000"/>
          <w:lang w:val="fr-FR"/>
        </w:rPr>
        <w:t xml:space="preserve"> sur les interprétations et exécutions et les phonogrammes, 1996 (</w:t>
      </w:r>
      <w:proofErr w:type="spellStart"/>
      <w:r w:rsidRPr="007F3768">
        <w:rPr>
          <w:color w:val="000000"/>
          <w:lang w:val="fr-FR"/>
        </w:rPr>
        <w:t>WPPT</w:t>
      </w:r>
      <w:proofErr w:type="spellEnd"/>
      <w:proofErr w:type="gramStart"/>
      <w:r w:rsidRPr="007F3768">
        <w:rPr>
          <w:color w:val="000000"/>
          <w:lang w:val="fr-FR"/>
        </w:rPr>
        <w:t>);</w:t>
      </w:r>
      <w:proofErr w:type="gramEnd"/>
    </w:p>
    <w:p w14:paraId="56F57584" w14:textId="77777777" w:rsidR="00A94A66" w:rsidRPr="007F3768" w:rsidRDefault="00A94A66" w:rsidP="00A8508F">
      <w:pPr>
        <w:spacing w:line="480" w:lineRule="auto"/>
        <w:ind w:left="567"/>
        <w:rPr>
          <w:color w:val="000000"/>
          <w:lang w:val="fr-FR"/>
        </w:rPr>
      </w:pPr>
    </w:p>
    <w:p w14:paraId="2D99C35F" w14:textId="1B3D5FBE" w:rsidR="00807B43" w:rsidRPr="007F3768" w:rsidRDefault="00807B43" w:rsidP="00A8508F">
      <w:pPr>
        <w:spacing w:line="480" w:lineRule="auto"/>
        <w:ind w:left="567"/>
        <w:rPr>
          <w:lang w:val="fr-FR"/>
        </w:rPr>
      </w:pPr>
      <w:r w:rsidRPr="007F3768">
        <w:rPr>
          <w:color w:val="000000"/>
          <w:lang w:val="fr-FR"/>
        </w:rPr>
        <w:t>e) l</w:t>
      </w:r>
      <w:r w:rsidR="00A94A66" w:rsidRPr="007F3768">
        <w:rPr>
          <w:color w:val="000000"/>
          <w:lang w:val="fr-FR"/>
        </w:rPr>
        <w:t>’</w:t>
      </w:r>
      <w:r w:rsidRPr="007F3768">
        <w:rPr>
          <w:color w:val="000000"/>
          <w:lang w:val="fr-FR"/>
        </w:rPr>
        <w:t>Accord de l</w:t>
      </w:r>
      <w:r w:rsidR="00A94A66" w:rsidRPr="007F3768">
        <w:rPr>
          <w:color w:val="000000"/>
          <w:lang w:val="fr-FR"/>
        </w:rPr>
        <w:t>’</w:t>
      </w:r>
      <w:r w:rsidRPr="007F3768">
        <w:rPr>
          <w:color w:val="000000"/>
          <w:lang w:val="fr-FR"/>
        </w:rPr>
        <w:t>OMC sur les aspects des droits de propriété intellectuelle qui touchent au commerce, 1994 (Accord sur</w:t>
      </w:r>
      <w:r w:rsidR="00A94A66" w:rsidRPr="007F3768">
        <w:rPr>
          <w:color w:val="000000"/>
          <w:lang w:val="fr-FR"/>
        </w:rPr>
        <w:t xml:space="preserve"> les ADP</w:t>
      </w:r>
      <w:r w:rsidRPr="007F3768">
        <w:rPr>
          <w:color w:val="000000"/>
          <w:lang w:val="fr-FR"/>
        </w:rPr>
        <w:t>IC</w:t>
      </w:r>
      <w:proofErr w:type="gramStart"/>
      <w:r w:rsidRPr="007F3768">
        <w:rPr>
          <w:color w:val="000000"/>
          <w:lang w:val="fr-FR"/>
        </w:rPr>
        <w:t>);</w:t>
      </w:r>
      <w:proofErr w:type="gramEnd"/>
    </w:p>
    <w:p w14:paraId="21AA3082" w14:textId="77777777" w:rsidR="00A94A66" w:rsidRPr="007F3768" w:rsidRDefault="00A94A66" w:rsidP="00A8508F">
      <w:pPr>
        <w:spacing w:line="480" w:lineRule="auto"/>
        <w:ind w:left="567"/>
        <w:rPr>
          <w:color w:val="000000"/>
          <w:lang w:val="fr-FR"/>
        </w:rPr>
      </w:pPr>
    </w:p>
    <w:p w14:paraId="20E46F41" w14:textId="2460C9A7" w:rsidR="00A94A66" w:rsidRPr="007F3768" w:rsidRDefault="00807B43" w:rsidP="00A8508F">
      <w:pPr>
        <w:spacing w:line="480" w:lineRule="auto"/>
        <w:ind w:left="567"/>
        <w:rPr>
          <w:color w:val="000000"/>
          <w:lang w:val="fr-FR"/>
        </w:rPr>
      </w:pPr>
      <w:r w:rsidRPr="007F3768">
        <w:rPr>
          <w:color w:val="000000"/>
          <w:lang w:val="fr-FR"/>
        </w:rPr>
        <w:t>f) le Traité de Marrakech visant à faciliter l</w:t>
      </w:r>
      <w:r w:rsidR="00A94A66" w:rsidRPr="007F3768">
        <w:rPr>
          <w:color w:val="000000"/>
          <w:lang w:val="fr-FR"/>
        </w:rPr>
        <w:t>’</w:t>
      </w:r>
      <w:r w:rsidRPr="007F3768">
        <w:rPr>
          <w:color w:val="000000"/>
          <w:lang w:val="fr-FR"/>
        </w:rPr>
        <w:t>accès des aveugles, des déficients visuels et des personnes ayant d</w:t>
      </w:r>
      <w:r w:rsidR="00A94A66" w:rsidRPr="007F3768">
        <w:rPr>
          <w:color w:val="000000"/>
          <w:lang w:val="fr-FR"/>
        </w:rPr>
        <w:t>’</w:t>
      </w:r>
      <w:r w:rsidRPr="007F3768">
        <w:rPr>
          <w:color w:val="000000"/>
          <w:lang w:val="fr-FR"/>
        </w:rPr>
        <w:t>autres difficultés de lecture des textes imprimés aux œuvres publiées, 2013 (Traité de Marrakech</w:t>
      </w:r>
      <w:proofErr w:type="gramStart"/>
      <w:r w:rsidRPr="007F3768">
        <w:rPr>
          <w:color w:val="000000"/>
          <w:lang w:val="fr-FR"/>
        </w:rPr>
        <w:t>)</w:t>
      </w:r>
      <w:r w:rsidR="00A8508F">
        <w:rPr>
          <w:color w:val="000000"/>
          <w:lang w:val="fr-FR"/>
        </w:rPr>
        <w:t xml:space="preserve">; </w:t>
      </w:r>
      <w:r w:rsidRPr="007F3768">
        <w:rPr>
          <w:color w:val="000000"/>
          <w:lang w:val="fr-FR"/>
        </w:rPr>
        <w:t xml:space="preserve"> et</w:t>
      </w:r>
      <w:proofErr w:type="gramEnd"/>
    </w:p>
    <w:p w14:paraId="31208B7F" w14:textId="19139FC1" w:rsidR="00807B43" w:rsidRPr="007F3768" w:rsidRDefault="00807B43" w:rsidP="00A8508F">
      <w:pPr>
        <w:spacing w:line="480" w:lineRule="auto"/>
        <w:ind w:left="567"/>
        <w:rPr>
          <w:rFonts w:eastAsia="Times New Roman"/>
          <w:lang w:val="fr-FR"/>
        </w:rPr>
      </w:pPr>
    </w:p>
    <w:p w14:paraId="489449D3" w14:textId="77777777" w:rsidR="00807B43" w:rsidRPr="007F3768" w:rsidRDefault="00807B43" w:rsidP="00A8508F">
      <w:pPr>
        <w:spacing w:line="480" w:lineRule="auto"/>
        <w:ind w:left="567"/>
        <w:rPr>
          <w:lang w:val="fr-FR"/>
        </w:rPr>
      </w:pPr>
      <w:r w:rsidRPr="007F3768">
        <w:rPr>
          <w:color w:val="000000"/>
          <w:lang w:val="fr-FR"/>
        </w:rPr>
        <w:t>g) le Traité de Beijing sur les interprétations et exécutions audiovisuelles, 2012 (Traité de Beijing).</w:t>
      </w:r>
    </w:p>
    <w:p w14:paraId="7BE0F073" w14:textId="77777777" w:rsidR="00807B43" w:rsidRDefault="00807B43" w:rsidP="00A8508F">
      <w:pPr>
        <w:spacing w:line="480" w:lineRule="auto"/>
        <w:jc w:val="right"/>
        <w:rPr>
          <w:rFonts w:eastAsia="Times New Roman"/>
          <w:lang w:val="fr-FR"/>
        </w:rPr>
      </w:pPr>
    </w:p>
    <w:p w14:paraId="7F7572F2" w14:textId="5FE64567" w:rsidR="00807B43" w:rsidRPr="007F3768" w:rsidRDefault="00807B43" w:rsidP="007F3768">
      <w:pPr>
        <w:spacing w:line="480" w:lineRule="auto"/>
        <w:jc w:val="right"/>
        <w:rPr>
          <w:rFonts w:eastAsia="Times New Roman"/>
          <w:lang w:val="fr-FR"/>
        </w:rPr>
      </w:pPr>
      <w:r w:rsidRPr="007F3768">
        <w:rPr>
          <w:lang w:val="fr-FR"/>
        </w:rPr>
        <w:t>[Fin de l</w:t>
      </w:r>
      <w:r w:rsidR="00A94A66" w:rsidRPr="007F3768">
        <w:rPr>
          <w:lang w:val="fr-FR"/>
        </w:rPr>
        <w:t>’</w:t>
      </w:r>
      <w:r w:rsidRPr="007F3768">
        <w:rPr>
          <w:lang w:val="fr-FR"/>
        </w:rPr>
        <w:t>article premier]</w:t>
      </w:r>
      <w:r w:rsidRPr="007F3768">
        <w:rPr>
          <w:lang w:val="fr-FR"/>
        </w:rPr>
        <w:br w:type="page"/>
      </w:r>
    </w:p>
    <w:p w14:paraId="20981BDB" w14:textId="734E9556" w:rsidR="00807B43" w:rsidRPr="007F3768" w:rsidRDefault="00807B43" w:rsidP="007F3768">
      <w:pPr>
        <w:rPr>
          <w:rFonts w:eastAsia="Times New Roman"/>
          <w:i/>
          <w:iCs/>
          <w:lang w:val="fr-FR"/>
        </w:rPr>
      </w:pPr>
      <w:r w:rsidRPr="007F3768">
        <w:rPr>
          <w:i/>
          <w:lang w:val="fr-FR"/>
        </w:rPr>
        <w:lastRenderedPageBreak/>
        <w:t>Notes explicatives relatives à l</w:t>
      </w:r>
      <w:r w:rsidR="00A94A66" w:rsidRPr="007F3768">
        <w:rPr>
          <w:i/>
          <w:lang w:val="fr-FR"/>
        </w:rPr>
        <w:t>’</w:t>
      </w:r>
      <w:r w:rsidRPr="007F3768">
        <w:rPr>
          <w:i/>
          <w:lang w:val="fr-FR"/>
        </w:rPr>
        <w:t>article 2</w:t>
      </w:r>
    </w:p>
    <w:p w14:paraId="0671723C" w14:textId="77777777" w:rsidR="00807B43" w:rsidRPr="007F3768" w:rsidRDefault="00807B43" w:rsidP="007F3768">
      <w:pPr>
        <w:rPr>
          <w:rFonts w:eastAsia="Times New Roman"/>
          <w:i/>
          <w:iCs/>
          <w:lang w:val="fr-FR"/>
        </w:rPr>
      </w:pPr>
    </w:p>
    <w:p w14:paraId="49381AD3" w14:textId="73AC16D0" w:rsidR="00807B43" w:rsidRPr="007F3768" w:rsidRDefault="00807B43" w:rsidP="007F3768">
      <w:pPr>
        <w:rPr>
          <w:rFonts w:eastAsia="Times New Roman"/>
          <w:lang w:val="fr-FR"/>
        </w:rPr>
      </w:pPr>
      <w:r w:rsidRPr="007F3768">
        <w:rPr>
          <w:lang w:val="fr-FR"/>
        </w:rPr>
        <w:t>2.01</w:t>
      </w:r>
      <w:r w:rsidRPr="007F3768">
        <w:rPr>
          <w:lang w:val="fr-FR"/>
        </w:rPr>
        <w:tab/>
        <w:t>L</w:t>
      </w:r>
      <w:r w:rsidR="00A94A66" w:rsidRPr="007F3768">
        <w:rPr>
          <w:lang w:val="fr-FR"/>
        </w:rPr>
        <w:t>’</w:t>
      </w:r>
      <w:r w:rsidRPr="007F3768">
        <w:rPr>
          <w:i/>
          <w:lang w:val="fr-FR"/>
        </w:rPr>
        <w:t>article 2</w:t>
      </w:r>
      <w:r w:rsidRPr="007F3768">
        <w:rPr>
          <w:lang w:val="fr-FR"/>
        </w:rPr>
        <w:t xml:space="preserve"> définit les œuvres couvertes par l</w:t>
      </w:r>
      <w:r w:rsidR="00A94A66" w:rsidRPr="007F3768">
        <w:rPr>
          <w:lang w:val="fr-FR"/>
        </w:rPr>
        <w:t>’</w:t>
      </w:r>
      <w:r w:rsidRPr="007F3768">
        <w:rPr>
          <w:lang w:val="fr-FR"/>
        </w:rPr>
        <w:t>instrume</w:t>
      </w:r>
      <w:r w:rsidR="00F42729" w:rsidRPr="007F3768">
        <w:rPr>
          <w:lang w:val="fr-FR"/>
        </w:rPr>
        <w:t>nt.  Il</w:t>
      </w:r>
      <w:r w:rsidRPr="007F3768">
        <w:rPr>
          <w:lang w:val="fr-FR"/>
        </w:rPr>
        <w:t xml:space="preserve"> s</w:t>
      </w:r>
      <w:r w:rsidR="00A94A66" w:rsidRPr="007F3768">
        <w:rPr>
          <w:lang w:val="fr-FR"/>
        </w:rPr>
        <w:t>’</w:t>
      </w:r>
      <w:r w:rsidRPr="007F3768">
        <w:rPr>
          <w:lang w:val="fr-FR"/>
        </w:rPr>
        <w:t>applique à l</w:t>
      </w:r>
      <w:r w:rsidR="00A94A66" w:rsidRPr="007F3768">
        <w:rPr>
          <w:lang w:val="fr-FR"/>
        </w:rPr>
        <w:t>’</w:t>
      </w:r>
      <w:r w:rsidRPr="007F3768">
        <w:rPr>
          <w:lang w:val="fr-FR"/>
        </w:rPr>
        <w:t>utilisation d</w:t>
      </w:r>
      <w:r w:rsidR="00A94A66" w:rsidRPr="007F3768">
        <w:rPr>
          <w:lang w:val="fr-FR"/>
        </w:rPr>
        <w:t>’</w:t>
      </w:r>
      <w:r w:rsidRPr="007F3768">
        <w:rPr>
          <w:lang w:val="fr-FR"/>
        </w:rPr>
        <w:t>œuvres ou d</w:t>
      </w:r>
      <w:r w:rsidR="00A94A66" w:rsidRPr="007F3768">
        <w:rPr>
          <w:lang w:val="fr-FR"/>
        </w:rPr>
        <w:t>’</w:t>
      </w:r>
      <w:r w:rsidRPr="007F3768">
        <w:rPr>
          <w:lang w:val="fr-FR"/>
        </w:rPr>
        <w:t>autres objets publiés ou non publiés, sous quelque forme que ce soit.</w:t>
      </w:r>
    </w:p>
    <w:p w14:paraId="0869DEE2" w14:textId="77777777" w:rsidR="00807B43" w:rsidRPr="007F3768" w:rsidRDefault="00807B43" w:rsidP="007F3768">
      <w:pPr>
        <w:rPr>
          <w:rFonts w:eastAsia="Times New Roman"/>
          <w:lang w:val="fr-FR"/>
        </w:rPr>
      </w:pPr>
    </w:p>
    <w:p w14:paraId="6098297D" w14:textId="07A9837D" w:rsidR="00807B43" w:rsidRPr="007F3768" w:rsidRDefault="00807B43" w:rsidP="007F3768">
      <w:pPr>
        <w:rPr>
          <w:rFonts w:eastAsia="Times New Roman"/>
          <w:lang w:val="fr-FR"/>
        </w:rPr>
      </w:pPr>
      <w:r w:rsidRPr="007F3768">
        <w:rPr>
          <w:lang w:val="fr-FR"/>
        </w:rPr>
        <w:t>2.02</w:t>
      </w:r>
      <w:r w:rsidR="00F42729" w:rsidRPr="007F3768">
        <w:rPr>
          <w:lang w:val="fr-FR"/>
        </w:rPr>
        <w:tab/>
      </w:r>
      <w:r w:rsidRPr="007F3768">
        <w:rPr>
          <w:lang w:val="fr-FR"/>
        </w:rPr>
        <w:t>La disposition de l</w:t>
      </w:r>
      <w:r w:rsidR="00A94A66" w:rsidRPr="007F3768">
        <w:rPr>
          <w:lang w:val="fr-FR"/>
        </w:rPr>
        <w:t>’</w:t>
      </w:r>
      <w:r w:rsidRPr="007F3768">
        <w:rPr>
          <w:i/>
          <w:lang w:val="fr-FR"/>
        </w:rPr>
        <w:t>article 2</w:t>
      </w:r>
      <w:r w:rsidRPr="007F3768">
        <w:rPr>
          <w:lang w:val="fr-FR"/>
        </w:rPr>
        <w:t>, qui s</w:t>
      </w:r>
      <w:r w:rsidR="00A94A66" w:rsidRPr="007F3768">
        <w:rPr>
          <w:lang w:val="fr-FR"/>
        </w:rPr>
        <w:t>’</w:t>
      </w:r>
      <w:r w:rsidRPr="007F3768">
        <w:rPr>
          <w:lang w:val="fr-FR"/>
        </w:rPr>
        <w:t>applique aux “œuvres et autres objets”</w:t>
      </w:r>
      <w:r w:rsidRPr="007F3768">
        <w:rPr>
          <w:color w:val="000000"/>
          <w:lang w:val="fr-FR"/>
        </w:rPr>
        <w:t>, fait écho aux articles 3 à 8 de la directive (UE) 2019/790 et vise à clarifier l</w:t>
      </w:r>
      <w:r w:rsidR="00A94A66" w:rsidRPr="007F3768">
        <w:rPr>
          <w:color w:val="000000"/>
          <w:lang w:val="fr-FR"/>
        </w:rPr>
        <w:t>’</w:t>
      </w:r>
      <w:r w:rsidRPr="007F3768">
        <w:rPr>
          <w:color w:val="000000"/>
          <w:lang w:val="fr-FR"/>
        </w:rPr>
        <w:t>application des dispositions aux objets protégés par le droit d</w:t>
      </w:r>
      <w:r w:rsidR="00A94A66" w:rsidRPr="007F3768">
        <w:rPr>
          <w:color w:val="000000"/>
          <w:lang w:val="fr-FR"/>
        </w:rPr>
        <w:t>’</w:t>
      </w:r>
      <w:r w:rsidRPr="007F3768">
        <w:rPr>
          <w:color w:val="000000"/>
          <w:lang w:val="fr-FR"/>
        </w:rPr>
        <w:t xml:space="preserve">auteur ou les droits connexes, </w:t>
      </w:r>
      <w:r w:rsidR="00A94A66" w:rsidRPr="007F3768">
        <w:rPr>
          <w:color w:val="000000"/>
          <w:lang w:val="fr-FR"/>
        </w:rPr>
        <w:t>y compris</w:t>
      </w:r>
      <w:r w:rsidRPr="007F3768">
        <w:rPr>
          <w:color w:val="000000"/>
          <w:lang w:val="fr-FR"/>
        </w:rPr>
        <w:t xml:space="preserve"> les œuvres littéraires et artistiques, les phonogrammes, les fixations d</w:t>
      </w:r>
      <w:r w:rsidR="00A94A66" w:rsidRPr="007F3768">
        <w:rPr>
          <w:color w:val="000000"/>
          <w:lang w:val="fr-FR"/>
        </w:rPr>
        <w:t>’</w:t>
      </w:r>
      <w:r w:rsidRPr="007F3768">
        <w:rPr>
          <w:color w:val="000000"/>
          <w:lang w:val="fr-FR"/>
        </w:rPr>
        <w:t>interprétations ou d</w:t>
      </w:r>
      <w:r w:rsidR="00A94A66" w:rsidRPr="007F3768">
        <w:rPr>
          <w:color w:val="000000"/>
          <w:lang w:val="fr-FR"/>
        </w:rPr>
        <w:t>’</w:t>
      </w:r>
      <w:r w:rsidRPr="007F3768">
        <w:rPr>
          <w:color w:val="000000"/>
          <w:lang w:val="fr-FR"/>
        </w:rPr>
        <w:t>exécutions, de films et d</w:t>
      </w:r>
      <w:r w:rsidR="00A94A66" w:rsidRPr="007F3768">
        <w:rPr>
          <w:color w:val="000000"/>
          <w:lang w:val="fr-FR"/>
        </w:rPr>
        <w:t>’</w:t>
      </w:r>
      <w:r w:rsidRPr="007F3768">
        <w:rPr>
          <w:color w:val="000000"/>
          <w:lang w:val="fr-FR"/>
        </w:rPr>
        <w:t>émissions, les bases de données et les programmes d</w:t>
      </w:r>
      <w:r w:rsidR="00A94A66" w:rsidRPr="007F3768">
        <w:rPr>
          <w:color w:val="000000"/>
          <w:lang w:val="fr-FR"/>
        </w:rPr>
        <w:t>’</w:t>
      </w:r>
      <w:r w:rsidRPr="007F3768">
        <w:rPr>
          <w:color w:val="000000"/>
          <w:lang w:val="fr-FR"/>
        </w:rPr>
        <w:t>ordinateur.</w:t>
      </w:r>
    </w:p>
    <w:p w14:paraId="487C92C0" w14:textId="77777777" w:rsidR="00807B43" w:rsidRPr="007F3768" w:rsidRDefault="00807B43" w:rsidP="007F3768">
      <w:pPr>
        <w:rPr>
          <w:rFonts w:eastAsia="Times New Roman"/>
          <w:lang w:val="fr-FR"/>
        </w:rPr>
      </w:pPr>
    </w:p>
    <w:p w14:paraId="6E16B0A1" w14:textId="77777777" w:rsidR="00807B43" w:rsidRPr="007F3768" w:rsidRDefault="00807B43" w:rsidP="007F3768">
      <w:pPr>
        <w:rPr>
          <w:rFonts w:eastAsia="Times New Roman" w:cs="Calibri"/>
          <w:color w:val="000000"/>
          <w:lang w:val="fr-FR"/>
        </w:rPr>
      </w:pPr>
    </w:p>
    <w:p w14:paraId="77830B5E" w14:textId="6A7F8D13" w:rsidR="00807B43" w:rsidRPr="007F3768" w:rsidRDefault="00807B43" w:rsidP="007F3768">
      <w:pPr>
        <w:jc w:val="right"/>
        <w:rPr>
          <w:lang w:val="fr-FR"/>
        </w:rPr>
      </w:pPr>
      <w:r w:rsidRPr="007F3768">
        <w:rPr>
          <w:lang w:val="fr-FR"/>
        </w:rPr>
        <w:t>[Fin des notes explicatives relatives à l</w:t>
      </w:r>
      <w:r w:rsidR="00A94A66" w:rsidRPr="007F3768">
        <w:rPr>
          <w:lang w:val="fr-FR"/>
        </w:rPr>
        <w:t>’</w:t>
      </w:r>
      <w:r w:rsidRPr="007F3768">
        <w:rPr>
          <w:lang w:val="fr-FR"/>
        </w:rPr>
        <w:t>article 2]</w:t>
      </w:r>
      <w:r w:rsidRPr="007F3768">
        <w:rPr>
          <w:lang w:val="fr-FR"/>
        </w:rPr>
        <w:br w:type="page"/>
      </w:r>
    </w:p>
    <w:p w14:paraId="4296F6AF" w14:textId="77777777" w:rsidR="00807B43" w:rsidRPr="007F3768" w:rsidRDefault="00807B43" w:rsidP="007F3768">
      <w:pPr>
        <w:pStyle w:val="Heading1"/>
        <w:spacing w:after="0"/>
        <w:rPr>
          <w:lang w:val="fr-FR"/>
        </w:rPr>
      </w:pPr>
      <w:bookmarkStart w:id="9" w:name="_Toc211506790"/>
      <w:bookmarkStart w:id="10" w:name="_Toc213248993"/>
      <w:r w:rsidRPr="007F3768">
        <w:rPr>
          <w:lang w:val="fr-FR"/>
        </w:rPr>
        <w:lastRenderedPageBreak/>
        <w:t>Article 2</w:t>
      </w:r>
      <w:bookmarkEnd w:id="9"/>
      <w:bookmarkEnd w:id="10"/>
    </w:p>
    <w:p w14:paraId="3482789B" w14:textId="77777777" w:rsidR="00807B43" w:rsidRPr="007F3768" w:rsidRDefault="00807B43" w:rsidP="007F3768">
      <w:pPr>
        <w:pStyle w:val="Heading1"/>
        <w:spacing w:after="0"/>
        <w:rPr>
          <w:lang w:val="fr-FR"/>
        </w:rPr>
      </w:pPr>
      <w:bookmarkStart w:id="11" w:name="_Toc211506791"/>
      <w:bookmarkStart w:id="12" w:name="_Toc213248994"/>
      <w:r w:rsidRPr="007F3768">
        <w:rPr>
          <w:lang w:val="fr-FR"/>
        </w:rPr>
        <w:t>Étendue de la protection</w:t>
      </w:r>
      <w:bookmarkEnd w:id="11"/>
      <w:bookmarkEnd w:id="12"/>
    </w:p>
    <w:p w14:paraId="0C59B4C5" w14:textId="77777777" w:rsidR="00807B43" w:rsidRPr="007F3768" w:rsidRDefault="00807B43" w:rsidP="007F3768">
      <w:pPr>
        <w:rPr>
          <w:rFonts w:eastAsia="Times New Roman"/>
          <w:lang w:val="fr-FR"/>
        </w:rPr>
      </w:pPr>
    </w:p>
    <w:p w14:paraId="6878909A" w14:textId="7E9E75B6" w:rsidR="00807B43" w:rsidRPr="007F3768" w:rsidRDefault="00807B43" w:rsidP="007F3768">
      <w:pPr>
        <w:spacing w:line="480" w:lineRule="auto"/>
        <w:rPr>
          <w:rFonts w:eastAsia="Times New Roman"/>
          <w:color w:val="000000"/>
          <w:lang w:val="fr-FR"/>
        </w:rPr>
      </w:pPr>
      <w:r w:rsidRPr="007F3768">
        <w:rPr>
          <w:color w:val="000000"/>
          <w:lang w:val="fr-FR"/>
        </w:rPr>
        <w:t>Les dispositions du présent instrument s</w:t>
      </w:r>
      <w:r w:rsidR="00A94A66" w:rsidRPr="007F3768">
        <w:rPr>
          <w:color w:val="000000"/>
          <w:lang w:val="fr-FR"/>
        </w:rPr>
        <w:t>’</w:t>
      </w:r>
      <w:r w:rsidRPr="007F3768">
        <w:rPr>
          <w:color w:val="000000"/>
          <w:lang w:val="fr-FR"/>
        </w:rPr>
        <w:t>appliquent à l</w:t>
      </w:r>
      <w:r w:rsidR="00A94A66" w:rsidRPr="007F3768">
        <w:rPr>
          <w:color w:val="000000"/>
          <w:lang w:val="fr-FR"/>
        </w:rPr>
        <w:t>’</w:t>
      </w:r>
      <w:r w:rsidRPr="007F3768">
        <w:rPr>
          <w:color w:val="000000"/>
          <w:lang w:val="fr-FR"/>
        </w:rPr>
        <w:t>utilisation d</w:t>
      </w:r>
      <w:r w:rsidR="00A94A66" w:rsidRPr="007F3768">
        <w:rPr>
          <w:color w:val="000000"/>
          <w:lang w:val="fr-FR"/>
        </w:rPr>
        <w:t>’</w:t>
      </w:r>
      <w:r w:rsidRPr="007F3768">
        <w:rPr>
          <w:color w:val="000000"/>
          <w:lang w:val="fr-FR"/>
        </w:rPr>
        <w:t>œuvres ou d</w:t>
      </w:r>
      <w:r w:rsidR="00A94A66" w:rsidRPr="007F3768">
        <w:rPr>
          <w:color w:val="000000"/>
          <w:lang w:val="fr-FR"/>
        </w:rPr>
        <w:t>’</w:t>
      </w:r>
      <w:r w:rsidRPr="007F3768">
        <w:rPr>
          <w:color w:val="000000"/>
          <w:lang w:val="fr-FR"/>
        </w:rPr>
        <w:t>autres objets publiés ou non publiés, sous quelque forme que ce soit.</w:t>
      </w:r>
    </w:p>
    <w:p w14:paraId="74505622" w14:textId="77777777" w:rsidR="00807B43" w:rsidRDefault="00807B43" w:rsidP="002263FF">
      <w:pPr>
        <w:spacing w:line="480" w:lineRule="auto"/>
        <w:jc w:val="right"/>
        <w:rPr>
          <w:rFonts w:eastAsia="Times New Roman"/>
          <w:color w:val="000000"/>
          <w:lang w:val="fr-FR"/>
        </w:rPr>
      </w:pPr>
    </w:p>
    <w:p w14:paraId="2A48CF49" w14:textId="77777777" w:rsidR="002263FF" w:rsidRPr="007F3768" w:rsidRDefault="002263FF" w:rsidP="002263FF">
      <w:pPr>
        <w:spacing w:line="480" w:lineRule="auto"/>
        <w:jc w:val="right"/>
        <w:rPr>
          <w:rFonts w:eastAsia="Times New Roman"/>
          <w:color w:val="000000"/>
          <w:lang w:val="fr-FR"/>
        </w:rPr>
      </w:pPr>
    </w:p>
    <w:p w14:paraId="49054FA9" w14:textId="240C2780" w:rsidR="00807B43" w:rsidRPr="007F3768" w:rsidRDefault="00807B43" w:rsidP="007F3768">
      <w:pPr>
        <w:spacing w:line="480" w:lineRule="auto"/>
        <w:jc w:val="right"/>
        <w:rPr>
          <w:rFonts w:eastAsia="Times New Roman"/>
          <w:color w:val="000000"/>
          <w:lang w:val="fr-FR"/>
        </w:rPr>
      </w:pPr>
      <w:r w:rsidRPr="007F3768">
        <w:rPr>
          <w:color w:val="000000"/>
          <w:lang w:val="fr-FR"/>
        </w:rPr>
        <w:t>[Fin de l</w:t>
      </w:r>
      <w:r w:rsidR="00A94A66" w:rsidRPr="007F3768">
        <w:rPr>
          <w:color w:val="000000"/>
          <w:lang w:val="fr-FR"/>
        </w:rPr>
        <w:t>’</w:t>
      </w:r>
      <w:r w:rsidRPr="007F3768">
        <w:rPr>
          <w:color w:val="000000"/>
          <w:lang w:val="fr-FR"/>
        </w:rPr>
        <w:t>article 2]</w:t>
      </w:r>
      <w:r w:rsidRPr="007F3768">
        <w:rPr>
          <w:lang w:val="fr-FR"/>
        </w:rPr>
        <w:br w:type="page"/>
      </w:r>
    </w:p>
    <w:p w14:paraId="6BCDE33A" w14:textId="11B076EB" w:rsidR="00807B43" w:rsidRPr="007F3768" w:rsidRDefault="00807B43" w:rsidP="007F3768">
      <w:pPr>
        <w:rPr>
          <w:rFonts w:eastAsia="Times New Roman"/>
          <w:i/>
          <w:iCs/>
          <w:lang w:val="fr-FR"/>
        </w:rPr>
      </w:pPr>
      <w:r w:rsidRPr="007F3768">
        <w:rPr>
          <w:i/>
          <w:lang w:val="fr-FR"/>
        </w:rPr>
        <w:lastRenderedPageBreak/>
        <w:t>Notes explicatives relatives à l</w:t>
      </w:r>
      <w:r w:rsidR="00A94A66" w:rsidRPr="007F3768">
        <w:rPr>
          <w:i/>
          <w:lang w:val="fr-FR"/>
        </w:rPr>
        <w:t>’</w:t>
      </w:r>
      <w:r w:rsidRPr="007F3768">
        <w:rPr>
          <w:i/>
          <w:lang w:val="fr-FR"/>
        </w:rPr>
        <w:t>article 3</w:t>
      </w:r>
    </w:p>
    <w:p w14:paraId="54932A4B" w14:textId="77777777" w:rsidR="00807B43" w:rsidRPr="007F3768" w:rsidRDefault="00807B43" w:rsidP="007F3768">
      <w:pPr>
        <w:rPr>
          <w:rFonts w:eastAsia="Times New Roman"/>
          <w:i/>
          <w:iCs/>
          <w:lang w:val="fr-FR"/>
        </w:rPr>
      </w:pPr>
    </w:p>
    <w:p w14:paraId="2CCA73C3" w14:textId="32F6058E" w:rsidR="00807B43" w:rsidRPr="007F3768" w:rsidRDefault="00807B43" w:rsidP="007F3768">
      <w:pPr>
        <w:rPr>
          <w:rFonts w:eastAsia="Times New Roman"/>
          <w:lang w:val="fr-FR"/>
        </w:rPr>
      </w:pPr>
      <w:r w:rsidRPr="007F3768">
        <w:rPr>
          <w:lang w:val="fr-FR"/>
        </w:rPr>
        <w:t>3.01</w:t>
      </w:r>
      <w:r w:rsidRPr="007F3768">
        <w:rPr>
          <w:lang w:val="fr-FR"/>
        </w:rPr>
        <w:tab/>
        <w:t>Les dispositions de l</w:t>
      </w:r>
      <w:r w:rsidR="00A94A66" w:rsidRPr="007F3768">
        <w:rPr>
          <w:lang w:val="fr-FR"/>
        </w:rPr>
        <w:t>’</w:t>
      </w:r>
      <w:r w:rsidRPr="007F3768">
        <w:rPr>
          <w:i/>
          <w:lang w:val="fr-FR"/>
        </w:rPr>
        <w:t>article 3</w:t>
      </w:r>
      <w:r w:rsidRPr="007F3768">
        <w:rPr>
          <w:lang w:val="fr-FR"/>
        </w:rPr>
        <w:t xml:space="preserve"> sont formulées et structurées de façon à définir explicitement et sans ambiguïté le champ d</w:t>
      </w:r>
      <w:r w:rsidR="00A94A66" w:rsidRPr="007F3768">
        <w:rPr>
          <w:lang w:val="fr-FR"/>
        </w:rPr>
        <w:t>’</w:t>
      </w:r>
      <w:r w:rsidRPr="007F3768">
        <w:rPr>
          <w:lang w:val="fr-FR"/>
        </w:rPr>
        <w:t>application de l</w:t>
      </w:r>
      <w:r w:rsidR="00A94A66" w:rsidRPr="007F3768">
        <w:rPr>
          <w:lang w:val="fr-FR"/>
        </w:rPr>
        <w:t>’</w:t>
      </w:r>
      <w:r w:rsidRPr="007F3768">
        <w:rPr>
          <w:lang w:val="fr-FR"/>
        </w:rPr>
        <w:t>instrument (adoption d</w:t>
      </w:r>
      <w:r w:rsidR="00A94A66" w:rsidRPr="007F3768">
        <w:rPr>
          <w:lang w:val="fr-FR"/>
        </w:rPr>
        <w:t>’</w:t>
      </w:r>
      <w:r w:rsidRPr="007F3768">
        <w:rPr>
          <w:lang w:val="fr-FR"/>
        </w:rPr>
        <w:t>exceptions au niveau national).</w:t>
      </w:r>
    </w:p>
    <w:p w14:paraId="6DC7C49F" w14:textId="77777777" w:rsidR="00807B43" w:rsidRPr="007F3768" w:rsidRDefault="00807B43" w:rsidP="007F3768">
      <w:pPr>
        <w:rPr>
          <w:rFonts w:eastAsia="Times New Roman"/>
          <w:lang w:val="fr-FR"/>
        </w:rPr>
      </w:pPr>
    </w:p>
    <w:p w14:paraId="23CEFE3A" w14:textId="6F0D30B4" w:rsidR="00807B43" w:rsidRPr="007F3768" w:rsidRDefault="00807B43" w:rsidP="007F3768">
      <w:pPr>
        <w:rPr>
          <w:rFonts w:eastAsia="Times New Roman"/>
          <w:lang w:val="fr-FR"/>
        </w:rPr>
      </w:pPr>
      <w:r w:rsidRPr="007F3768">
        <w:rPr>
          <w:lang w:val="fr-FR"/>
        </w:rPr>
        <w:t>3.02</w:t>
      </w:r>
      <w:r w:rsidRPr="007F3768">
        <w:rPr>
          <w:lang w:val="fr-FR"/>
        </w:rPr>
        <w:tab/>
        <w:t xml:space="preserve">Le </w:t>
      </w:r>
      <w:r w:rsidRPr="007F3768">
        <w:rPr>
          <w:i/>
          <w:lang w:val="fr-FR"/>
        </w:rPr>
        <w:t>premier alinéa</w:t>
      </w:r>
      <w:r w:rsidRPr="007F3768">
        <w:rPr>
          <w:lang w:val="fr-FR"/>
        </w:rPr>
        <w:t xml:space="preserve"> fait obligation aux membres de garantir la réalisation du droit de recevoir une éducation et de mener des recherches grâce à des exceptions et limitations appropriées prévues dans leur législation nationale, conformément à leurs obligations internationales, en maintenant l</w:t>
      </w:r>
      <w:r w:rsidR="00A94A66" w:rsidRPr="007F3768">
        <w:rPr>
          <w:lang w:val="fr-FR"/>
        </w:rPr>
        <w:t>’</w:t>
      </w:r>
      <w:r w:rsidRPr="007F3768">
        <w:rPr>
          <w:lang w:val="fr-FR"/>
        </w:rPr>
        <w:t>équilibre entre les droits des auteurs et l</w:t>
      </w:r>
      <w:r w:rsidR="00A94A66" w:rsidRPr="007F3768">
        <w:rPr>
          <w:lang w:val="fr-FR"/>
        </w:rPr>
        <w:t>’</w:t>
      </w:r>
      <w:r w:rsidRPr="007F3768">
        <w:rPr>
          <w:lang w:val="fr-FR"/>
        </w:rPr>
        <w:t>intérêt public.</w:t>
      </w:r>
    </w:p>
    <w:p w14:paraId="56FBB14A" w14:textId="77777777" w:rsidR="00807B43" w:rsidRPr="007F3768" w:rsidRDefault="00807B43" w:rsidP="007F3768">
      <w:pPr>
        <w:rPr>
          <w:rFonts w:eastAsia="Times New Roman"/>
          <w:lang w:val="fr-FR"/>
        </w:rPr>
      </w:pPr>
    </w:p>
    <w:p w14:paraId="10CD42E5" w14:textId="088B6122" w:rsidR="00807B43" w:rsidRPr="007F3768" w:rsidRDefault="00807B43" w:rsidP="007F3768">
      <w:pPr>
        <w:rPr>
          <w:rFonts w:eastAsia="Times New Roman"/>
          <w:lang w:val="fr-FR"/>
        </w:rPr>
      </w:pPr>
      <w:r w:rsidRPr="007F3768">
        <w:rPr>
          <w:lang w:val="fr-FR"/>
        </w:rPr>
        <w:t>3.03</w:t>
      </w:r>
      <w:r w:rsidRPr="007F3768">
        <w:rPr>
          <w:lang w:val="fr-FR"/>
        </w:rPr>
        <w:tab/>
        <w:t xml:space="preserve">Le </w:t>
      </w:r>
      <w:r w:rsidRPr="007F3768">
        <w:rPr>
          <w:i/>
          <w:lang w:val="fr-FR"/>
        </w:rPr>
        <w:t>deuxième alinéa</w:t>
      </w:r>
      <w:r w:rsidRPr="007F3768">
        <w:rPr>
          <w:lang w:val="fr-FR"/>
        </w:rPr>
        <w:t xml:space="preserve"> définit une obligation générale de promouvoir l</w:t>
      </w:r>
      <w:r w:rsidR="00A94A66" w:rsidRPr="007F3768">
        <w:rPr>
          <w:lang w:val="fr-FR"/>
        </w:rPr>
        <w:t>’</w:t>
      </w:r>
      <w:r w:rsidRPr="007F3768">
        <w:rPr>
          <w:lang w:val="fr-FR"/>
        </w:rPr>
        <w:t>équilibre dans le droit d</w:t>
      </w:r>
      <w:r w:rsidR="00A94A66" w:rsidRPr="007F3768">
        <w:rPr>
          <w:lang w:val="fr-FR"/>
        </w:rPr>
        <w:t>’</w:t>
      </w:r>
      <w:r w:rsidRPr="007F3768">
        <w:rPr>
          <w:lang w:val="fr-FR"/>
        </w:rPr>
        <w:t>auteur par le recours à des limitations et exceptions adéquat</w:t>
      </w:r>
      <w:r w:rsidR="00F42729" w:rsidRPr="007F3768">
        <w:rPr>
          <w:lang w:val="fr-FR"/>
        </w:rPr>
        <w:t>es.  Ce</w:t>
      </w:r>
      <w:r w:rsidRPr="007F3768">
        <w:rPr>
          <w:lang w:val="fr-FR"/>
        </w:rPr>
        <w:t>tte obligation est incluse dans les accords commerciaux plurilatéraux, notamment à l</w:t>
      </w:r>
      <w:r w:rsidR="00A94A66" w:rsidRPr="007F3768">
        <w:rPr>
          <w:lang w:val="fr-FR"/>
        </w:rPr>
        <w:t>’</w:t>
      </w:r>
      <w:r w:rsidRPr="007F3768">
        <w:rPr>
          <w:lang w:val="fr-FR"/>
        </w:rPr>
        <w:t>article 11.18.3 de l</w:t>
      </w:r>
      <w:r w:rsidR="00A94A66" w:rsidRPr="007F3768">
        <w:rPr>
          <w:lang w:val="fr-FR"/>
        </w:rPr>
        <w:t>’</w:t>
      </w:r>
      <w:r w:rsidRPr="007F3768">
        <w:rPr>
          <w:lang w:val="fr-FR"/>
        </w:rPr>
        <w:t>accord sur le Partenariat économique global régional, qui dispose que “chaque partie s</w:t>
      </w:r>
      <w:r w:rsidR="00A94A66" w:rsidRPr="007F3768">
        <w:rPr>
          <w:lang w:val="fr-FR"/>
        </w:rPr>
        <w:t>’</w:t>
      </w:r>
      <w:r w:rsidRPr="007F3768">
        <w:rPr>
          <w:lang w:val="fr-FR"/>
        </w:rPr>
        <w:t>efforce d</w:t>
      </w:r>
      <w:r w:rsidR="00A94A66" w:rsidRPr="007F3768">
        <w:rPr>
          <w:lang w:val="fr-FR"/>
        </w:rPr>
        <w:t>’</w:t>
      </w:r>
      <w:r w:rsidRPr="007F3768">
        <w:rPr>
          <w:lang w:val="fr-FR"/>
        </w:rPr>
        <w:t>assurer un équilibre approprié dans son système de droit d</w:t>
      </w:r>
      <w:r w:rsidR="00A94A66" w:rsidRPr="007F3768">
        <w:rPr>
          <w:lang w:val="fr-FR"/>
        </w:rPr>
        <w:t>’</w:t>
      </w:r>
      <w:r w:rsidRPr="007F3768">
        <w:rPr>
          <w:lang w:val="fr-FR"/>
        </w:rPr>
        <w:t>auteur et de droits connexes, entre autres au moyen de limitations et d</w:t>
      </w:r>
      <w:r w:rsidR="00A94A66" w:rsidRPr="007F3768">
        <w:rPr>
          <w:lang w:val="fr-FR"/>
        </w:rPr>
        <w:t>’</w:t>
      </w:r>
      <w:r w:rsidRPr="007F3768">
        <w:rPr>
          <w:lang w:val="fr-FR"/>
        </w:rPr>
        <w:t>exceptions conformes au premier alinéa, à des fins légitimes, qui peuvent inclure l</w:t>
      </w:r>
      <w:r w:rsidR="00A94A66" w:rsidRPr="007F3768">
        <w:rPr>
          <w:lang w:val="fr-FR"/>
        </w:rPr>
        <w:t>’</w:t>
      </w:r>
      <w:r w:rsidRPr="007F3768">
        <w:rPr>
          <w:lang w:val="fr-FR"/>
        </w:rPr>
        <w:t>enseignement, la recherche, la critique, le commentaire, le reportage d</w:t>
      </w:r>
      <w:r w:rsidR="00A94A66" w:rsidRPr="007F3768">
        <w:rPr>
          <w:lang w:val="fr-FR"/>
        </w:rPr>
        <w:t>’</w:t>
      </w:r>
      <w:r w:rsidRPr="007F3768">
        <w:rPr>
          <w:lang w:val="fr-FR"/>
        </w:rPr>
        <w:t>actualité et la facilitation de l</w:t>
      </w:r>
      <w:r w:rsidR="00A94A66" w:rsidRPr="007F3768">
        <w:rPr>
          <w:lang w:val="fr-FR"/>
        </w:rPr>
        <w:t>’</w:t>
      </w:r>
      <w:r w:rsidRPr="007F3768">
        <w:rPr>
          <w:lang w:val="fr-FR"/>
        </w:rPr>
        <w:t>accès des personnes aveugles, ayant une déficience visuelle ou d</w:t>
      </w:r>
      <w:r w:rsidR="00A94A66" w:rsidRPr="007F3768">
        <w:rPr>
          <w:lang w:val="fr-FR"/>
        </w:rPr>
        <w:t>’</w:t>
      </w:r>
      <w:r w:rsidRPr="007F3768">
        <w:rPr>
          <w:lang w:val="fr-FR"/>
        </w:rPr>
        <w:t>autres difficultés de lecture des textes imprimés aux œuvres publiées”.</w:t>
      </w:r>
    </w:p>
    <w:p w14:paraId="2D8C0AF5" w14:textId="77777777" w:rsidR="00807B43" w:rsidRPr="007F3768" w:rsidRDefault="00807B43" w:rsidP="007F3768">
      <w:pPr>
        <w:rPr>
          <w:rFonts w:eastAsia="Times New Roman"/>
          <w:lang w:val="fr-FR"/>
        </w:rPr>
      </w:pPr>
    </w:p>
    <w:p w14:paraId="708D2295" w14:textId="5B514895" w:rsidR="00807B43" w:rsidRPr="007F3768" w:rsidRDefault="00807B43" w:rsidP="007F3768">
      <w:pPr>
        <w:rPr>
          <w:rFonts w:eastAsia="Times New Roman"/>
          <w:lang w:val="fr-FR"/>
        </w:rPr>
      </w:pPr>
      <w:r w:rsidRPr="007F3768">
        <w:rPr>
          <w:lang w:val="fr-FR"/>
        </w:rPr>
        <w:t>3.04</w:t>
      </w:r>
      <w:r w:rsidRPr="007F3768">
        <w:rPr>
          <w:lang w:val="fr-FR"/>
        </w:rPr>
        <w:tab/>
        <w:t xml:space="preserve">Le </w:t>
      </w:r>
      <w:r w:rsidRPr="007F3768">
        <w:rPr>
          <w:i/>
          <w:lang w:val="fr-FR"/>
        </w:rPr>
        <w:t>troisième alinéa</w:t>
      </w:r>
      <w:r w:rsidRPr="007F3768">
        <w:rPr>
          <w:lang w:val="fr-FR"/>
        </w:rPr>
        <w:t xml:space="preserve"> suit, </w:t>
      </w:r>
      <w:r w:rsidRPr="007F3768">
        <w:rPr>
          <w:i/>
          <w:lang w:val="fr-FR"/>
        </w:rPr>
        <w:t>mutatis mutandis</w:t>
      </w:r>
      <w:r w:rsidRPr="007F3768">
        <w:rPr>
          <w:lang w:val="fr-FR"/>
        </w:rPr>
        <w:t>, la proposition de l</w:t>
      </w:r>
      <w:r w:rsidR="00A94A66" w:rsidRPr="007F3768">
        <w:rPr>
          <w:lang w:val="fr-FR"/>
        </w:rPr>
        <w:t>’</w:t>
      </w:r>
      <w:r w:rsidRPr="007F3768">
        <w:rPr>
          <w:lang w:val="fr-FR"/>
        </w:rPr>
        <w:t>Équateur, du Pérou et de l</w:t>
      </w:r>
      <w:r w:rsidR="00A94A66" w:rsidRPr="007F3768">
        <w:rPr>
          <w:lang w:val="fr-FR"/>
        </w:rPr>
        <w:t>’</w:t>
      </w:r>
      <w:r w:rsidRPr="007F3768">
        <w:rPr>
          <w:lang w:val="fr-FR"/>
        </w:rPr>
        <w:t xml:space="preserve">Uruguay dans le </w:t>
      </w:r>
      <w:r w:rsidR="00A94A66" w:rsidRPr="007F3768">
        <w:rPr>
          <w:lang w:val="fr-FR"/>
        </w:rPr>
        <w:t>document</w:t>
      </w:r>
      <w:r w:rsidR="007F3768">
        <w:rPr>
          <w:lang w:val="fr-FR"/>
        </w:rPr>
        <w:t> </w:t>
      </w:r>
      <w:r w:rsidR="00A94A66" w:rsidRPr="007F3768">
        <w:rPr>
          <w:lang w:val="fr-FR"/>
        </w:rPr>
        <w:t>SC</w:t>
      </w:r>
      <w:r w:rsidRPr="007F3768">
        <w:rPr>
          <w:lang w:val="fr-FR"/>
        </w:rPr>
        <w:t>CR/26/4</w:t>
      </w:r>
      <w:r w:rsidR="00F309FC" w:rsidRPr="007F3768">
        <w:rPr>
          <w:lang w:val="fr-FR"/>
        </w:rPr>
        <w:t> </w:t>
      </w:r>
      <w:r w:rsidRPr="007F3768">
        <w:rPr>
          <w:lang w:val="fr-FR"/>
        </w:rPr>
        <w:t>Pr</w:t>
      </w:r>
      <w:r w:rsidR="00F42729" w:rsidRPr="007F3768">
        <w:rPr>
          <w:lang w:val="fr-FR"/>
        </w:rPr>
        <w:t>ov.  Co</w:t>
      </w:r>
      <w:r w:rsidRPr="007F3768">
        <w:rPr>
          <w:lang w:val="fr-FR"/>
        </w:rPr>
        <w:t>ncernant les obligations et propositions pour actualiser les exceptions, et la déclaration commune concernant l</w:t>
      </w:r>
      <w:r w:rsidR="00A94A66" w:rsidRPr="007F3768">
        <w:rPr>
          <w:lang w:val="fr-FR"/>
        </w:rPr>
        <w:t>’</w:t>
      </w:r>
      <w:r w:rsidRPr="007F3768">
        <w:rPr>
          <w:lang w:val="fr-FR"/>
        </w:rPr>
        <w:t>article 10</w:t>
      </w:r>
      <w:r w:rsidR="00A94A66" w:rsidRPr="007F3768">
        <w:rPr>
          <w:lang w:val="fr-FR"/>
        </w:rPr>
        <w:t xml:space="preserve"> du </w:t>
      </w:r>
      <w:proofErr w:type="spellStart"/>
      <w:r w:rsidR="00A94A66" w:rsidRPr="007F3768">
        <w:rPr>
          <w:lang w:val="fr-FR"/>
        </w:rPr>
        <w:t>WCT</w:t>
      </w:r>
      <w:proofErr w:type="spellEnd"/>
      <w:r w:rsidRPr="007F3768">
        <w:rPr>
          <w:lang w:val="fr-FR"/>
        </w:rPr>
        <w:t xml:space="preserve"> (note de bas de page 9).</w:t>
      </w:r>
    </w:p>
    <w:p w14:paraId="71749634" w14:textId="77777777" w:rsidR="00807B43" w:rsidRPr="007F3768" w:rsidRDefault="00807B43" w:rsidP="007F3768">
      <w:pPr>
        <w:rPr>
          <w:rFonts w:eastAsia="Times New Roman"/>
          <w:lang w:val="fr-FR"/>
        </w:rPr>
      </w:pPr>
    </w:p>
    <w:p w14:paraId="20B32E45" w14:textId="77777777" w:rsidR="00807B43" w:rsidRPr="007F3768" w:rsidRDefault="00807B43" w:rsidP="007F3768">
      <w:pPr>
        <w:rPr>
          <w:rFonts w:eastAsia="Times New Roman"/>
          <w:lang w:val="fr-FR"/>
        </w:rPr>
      </w:pPr>
    </w:p>
    <w:p w14:paraId="1502DDC4" w14:textId="040E9162" w:rsidR="00807B43" w:rsidRPr="007F3768" w:rsidRDefault="00807B43" w:rsidP="007F3768">
      <w:pPr>
        <w:jc w:val="right"/>
        <w:rPr>
          <w:lang w:val="fr-FR"/>
        </w:rPr>
      </w:pPr>
      <w:r w:rsidRPr="007F3768">
        <w:rPr>
          <w:lang w:val="fr-FR"/>
        </w:rPr>
        <w:t>[Suite des notes explicatives relatives à l</w:t>
      </w:r>
      <w:r w:rsidR="00A94A66" w:rsidRPr="007F3768">
        <w:rPr>
          <w:lang w:val="fr-FR"/>
        </w:rPr>
        <w:t>’</w:t>
      </w:r>
      <w:r w:rsidRPr="007F3768">
        <w:rPr>
          <w:lang w:val="fr-FR"/>
        </w:rPr>
        <w:t>article 3, page 1</w:t>
      </w:r>
      <w:r w:rsidR="002263FF">
        <w:rPr>
          <w:lang w:val="fr-FR"/>
        </w:rPr>
        <w:t>7</w:t>
      </w:r>
      <w:r w:rsidRPr="007F3768">
        <w:rPr>
          <w:lang w:val="fr-FR"/>
        </w:rPr>
        <w:t>]</w:t>
      </w:r>
      <w:r w:rsidRPr="007F3768">
        <w:rPr>
          <w:lang w:val="fr-FR"/>
        </w:rPr>
        <w:br w:type="page"/>
      </w:r>
    </w:p>
    <w:p w14:paraId="227AC565" w14:textId="77777777" w:rsidR="00807B43" w:rsidRPr="007F3768" w:rsidRDefault="00807B43" w:rsidP="002263FF">
      <w:pPr>
        <w:pStyle w:val="Heading1"/>
        <w:rPr>
          <w:lang w:val="fr-FR"/>
        </w:rPr>
      </w:pPr>
      <w:r w:rsidRPr="007F3768">
        <w:rPr>
          <w:lang w:val="fr-FR"/>
        </w:rPr>
        <w:lastRenderedPageBreak/>
        <w:t>Article 3</w:t>
      </w:r>
    </w:p>
    <w:p w14:paraId="5AF38716" w14:textId="623E10E3" w:rsidR="00807B43" w:rsidRPr="007F3768" w:rsidRDefault="00807B43" w:rsidP="002263FF">
      <w:pPr>
        <w:pStyle w:val="Heading1"/>
        <w:rPr>
          <w:lang w:val="fr-FR"/>
        </w:rPr>
      </w:pPr>
      <w:r w:rsidRPr="007F3768">
        <w:rPr>
          <w:lang w:val="fr-FR"/>
        </w:rPr>
        <w:t>Adoption d</w:t>
      </w:r>
      <w:r w:rsidR="00A94A66" w:rsidRPr="007F3768">
        <w:rPr>
          <w:lang w:val="fr-FR"/>
        </w:rPr>
        <w:t>’</w:t>
      </w:r>
      <w:r w:rsidRPr="007F3768">
        <w:rPr>
          <w:lang w:val="fr-FR"/>
        </w:rPr>
        <w:t>exceptions au niveau national</w:t>
      </w:r>
    </w:p>
    <w:p w14:paraId="4B923733" w14:textId="77777777" w:rsidR="00807B43" w:rsidRPr="007F3768" w:rsidRDefault="00807B43" w:rsidP="007F3768">
      <w:pPr>
        <w:rPr>
          <w:rFonts w:eastAsia="Times New Roman"/>
          <w:lang w:val="fr-FR"/>
        </w:rPr>
      </w:pPr>
    </w:p>
    <w:p w14:paraId="435C820F" w14:textId="724665FC" w:rsidR="00807B43" w:rsidRPr="007F3768" w:rsidRDefault="00807B43" w:rsidP="007F3768">
      <w:pPr>
        <w:spacing w:line="480" w:lineRule="auto"/>
        <w:rPr>
          <w:lang w:val="fr-FR"/>
        </w:rPr>
      </w:pPr>
      <w:r w:rsidRPr="007F3768">
        <w:rPr>
          <w:color w:val="000000"/>
          <w:lang w:val="fr-FR"/>
        </w:rPr>
        <w:t xml:space="preserve">1. </w:t>
      </w:r>
      <w:r w:rsidR="00F309FC" w:rsidRPr="007F3768">
        <w:rPr>
          <w:color w:val="000000"/>
          <w:lang w:val="fr-FR"/>
        </w:rPr>
        <w:t xml:space="preserve"> </w:t>
      </w:r>
      <w:r w:rsidRPr="007F3768">
        <w:rPr>
          <w:color w:val="000000"/>
          <w:lang w:val="fr-FR"/>
        </w:rPr>
        <w:t>Les parties contractantes prennent toutes les mesures appropriées pour respecter, protéger et réaliser le droit de recevoir une éducation et de mener des recherches grâce à des exceptions et limitations appropriées prévues dans leur législation nationale, conformément à leurs obligations internationales, en maintenant l</w:t>
      </w:r>
      <w:r w:rsidR="00A94A66" w:rsidRPr="007F3768">
        <w:rPr>
          <w:color w:val="000000"/>
          <w:lang w:val="fr-FR"/>
        </w:rPr>
        <w:t>’</w:t>
      </w:r>
      <w:r w:rsidRPr="007F3768">
        <w:rPr>
          <w:color w:val="000000"/>
          <w:lang w:val="fr-FR"/>
        </w:rPr>
        <w:t>équilibre entre les droits des auteurs et l</w:t>
      </w:r>
      <w:r w:rsidR="00A94A66" w:rsidRPr="007F3768">
        <w:rPr>
          <w:color w:val="000000"/>
          <w:lang w:val="fr-FR"/>
        </w:rPr>
        <w:t>’</w:t>
      </w:r>
      <w:r w:rsidRPr="007F3768">
        <w:rPr>
          <w:color w:val="000000"/>
          <w:lang w:val="fr-FR"/>
        </w:rPr>
        <w:t>intérêt public général.</w:t>
      </w:r>
    </w:p>
    <w:p w14:paraId="4EF64DD1" w14:textId="77777777" w:rsidR="00807B43" w:rsidRPr="007F3768" w:rsidRDefault="00807B43" w:rsidP="007F3768">
      <w:pPr>
        <w:spacing w:line="480" w:lineRule="auto"/>
        <w:rPr>
          <w:rFonts w:eastAsia="Times New Roman"/>
          <w:color w:val="000000"/>
          <w:lang w:val="fr-FR"/>
        </w:rPr>
      </w:pPr>
    </w:p>
    <w:p w14:paraId="5A1438FF" w14:textId="11C360D2" w:rsidR="00807B43" w:rsidRPr="007F3768" w:rsidRDefault="00807B43" w:rsidP="007F3768">
      <w:pPr>
        <w:spacing w:line="480" w:lineRule="auto"/>
        <w:rPr>
          <w:lang w:val="fr-FR"/>
        </w:rPr>
      </w:pPr>
      <w:r w:rsidRPr="007F3768">
        <w:rPr>
          <w:lang w:val="fr-FR"/>
        </w:rPr>
        <w:t xml:space="preserve">2. </w:t>
      </w:r>
      <w:r w:rsidR="00F309FC" w:rsidRPr="007F3768">
        <w:rPr>
          <w:lang w:val="fr-FR"/>
        </w:rPr>
        <w:t xml:space="preserve"> </w:t>
      </w:r>
      <w:r w:rsidRPr="007F3768">
        <w:rPr>
          <w:lang w:val="fr-FR"/>
        </w:rPr>
        <w:t>Les États membres assurent un équilibre approprié dans leur système de droit d</w:t>
      </w:r>
      <w:r w:rsidR="00A94A66" w:rsidRPr="007F3768">
        <w:rPr>
          <w:lang w:val="fr-FR"/>
        </w:rPr>
        <w:t>’</w:t>
      </w:r>
      <w:r w:rsidRPr="007F3768">
        <w:rPr>
          <w:lang w:val="fr-FR"/>
        </w:rPr>
        <w:t>auteur et de droits connexes au moyen de limitations et exceptions dans l</w:t>
      </w:r>
      <w:r w:rsidR="00A94A66" w:rsidRPr="007F3768">
        <w:rPr>
          <w:lang w:val="fr-FR"/>
        </w:rPr>
        <w:t>’</w:t>
      </w:r>
      <w:r w:rsidRPr="007F3768">
        <w:rPr>
          <w:lang w:val="fr-FR"/>
        </w:rPr>
        <w:t>intérêt public, notamment pour l</w:t>
      </w:r>
      <w:r w:rsidR="00A94A66" w:rsidRPr="007F3768">
        <w:rPr>
          <w:lang w:val="fr-FR"/>
        </w:rPr>
        <w:t>’</w:t>
      </w:r>
      <w:r w:rsidRPr="007F3768">
        <w:rPr>
          <w:lang w:val="fr-FR"/>
        </w:rPr>
        <w:t>enseignement, la recherche, la liberté d</w:t>
      </w:r>
      <w:r w:rsidR="00A94A66" w:rsidRPr="007F3768">
        <w:rPr>
          <w:lang w:val="fr-FR"/>
        </w:rPr>
        <w:t>’</w:t>
      </w:r>
      <w:r w:rsidRPr="007F3768">
        <w:rPr>
          <w:lang w:val="fr-FR"/>
        </w:rPr>
        <w:t xml:space="preserve">expression telle que la </w:t>
      </w:r>
      <w:r w:rsidRPr="007F3768">
        <w:rPr>
          <w:color w:val="000000"/>
          <w:lang w:val="fr-FR"/>
        </w:rPr>
        <w:t>citation, le commentaire, la critique, la revue, la caricature, la parodie et le pastiche</w:t>
      </w:r>
      <w:r w:rsidRPr="007F3768">
        <w:rPr>
          <w:lang w:val="fr-FR"/>
        </w:rPr>
        <w:t>, l</w:t>
      </w:r>
      <w:r w:rsidR="00A94A66" w:rsidRPr="007F3768">
        <w:rPr>
          <w:lang w:val="fr-FR"/>
        </w:rPr>
        <w:t>’</w:t>
      </w:r>
      <w:r w:rsidRPr="007F3768">
        <w:rPr>
          <w:lang w:val="fr-FR"/>
        </w:rPr>
        <w:t>accès à l</w:t>
      </w:r>
      <w:r w:rsidR="00A94A66" w:rsidRPr="007F3768">
        <w:rPr>
          <w:lang w:val="fr-FR"/>
        </w:rPr>
        <w:t>’</w:t>
      </w:r>
      <w:r w:rsidRPr="007F3768">
        <w:rPr>
          <w:lang w:val="fr-FR"/>
        </w:rPr>
        <w:t>information et le reportage d</w:t>
      </w:r>
      <w:r w:rsidR="00A94A66" w:rsidRPr="007F3768">
        <w:rPr>
          <w:lang w:val="fr-FR"/>
        </w:rPr>
        <w:t>’</w:t>
      </w:r>
      <w:r w:rsidRPr="007F3768">
        <w:rPr>
          <w:lang w:val="fr-FR"/>
        </w:rPr>
        <w:t>actualité, la préservation du patrimoine culturel, ainsi que pour faciliter l</w:t>
      </w:r>
      <w:r w:rsidR="00A94A66" w:rsidRPr="007F3768">
        <w:rPr>
          <w:lang w:val="fr-FR"/>
        </w:rPr>
        <w:t>’</w:t>
      </w:r>
      <w:r w:rsidRPr="007F3768">
        <w:rPr>
          <w:lang w:val="fr-FR"/>
        </w:rPr>
        <w:t>accès des personnes handicapées.</w:t>
      </w:r>
    </w:p>
    <w:p w14:paraId="54DB61F5" w14:textId="77777777" w:rsidR="00807B43" w:rsidRPr="007F3768" w:rsidRDefault="00807B43" w:rsidP="007F3768">
      <w:pPr>
        <w:spacing w:line="480" w:lineRule="auto"/>
        <w:rPr>
          <w:rFonts w:eastAsia="Times New Roman"/>
          <w:lang w:val="fr-FR"/>
        </w:rPr>
      </w:pPr>
    </w:p>
    <w:p w14:paraId="7F49CD3D" w14:textId="0F661DE7" w:rsidR="00807B43" w:rsidRPr="007F3768" w:rsidRDefault="00807B43" w:rsidP="007F3768">
      <w:pPr>
        <w:spacing w:line="480" w:lineRule="auto"/>
        <w:rPr>
          <w:lang w:val="fr-FR"/>
        </w:rPr>
      </w:pPr>
      <w:r w:rsidRPr="007F3768">
        <w:rPr>
          <w:color w:val="000000"/>
          <w:lang w:val="fr-FR"/>
        </w:rPr>
        <w:t xml:space="preserve">3. </w:t>
      </w:r>
      <w:r w:rsidR="00F309FC" w:rsidRPr="007F3768">
        <w:rPr>
          <w:color w:val="000000"/>
          <w:lang w:val="fr-FR"/>
        </w:rPr>
        <w:t xml:space="preserve"> </w:t>
      </w:r>
      <w:r w:rsidRPr="007F3768">
        <w:rPr>
          <w:color w:val="000000"/>
          <w:lang w:val="fr-FR"/>
        </w:rPr>
        <w:t>Les parties contractantes actualisent, maintiennent et étendent de manière adéquate dans l</w:t>
      </w:r>
      <w:r w:rsidR="00A94A66" w:rsidRPr="007F3768">
        <w:rPr>
          <w:color w:val="000000"/>
          <w:lang w:val="fr-FR"/>
        </w:rPr>
        <w:t>’</w:t>
      </w:r>
      <w:r w:rsidRPr="007F3768">
        <w:rPr>
          <w:color w:val="000000"/>
          <w:lang w:val="fr-FR"/>
        </w:rPr>
        <w:t>environnement numérique les limitations et exceptions prévues dans leur législation nationale qui ont été considérées comme acceptables en vertu de la Convention de Berne, notamment en vertu de ses articles 10.1) et 10.2), et conçoivent de nouvelles exceptions et limitations appropriées dans l</w:t>
      </w:r>
      <w:r w:rsidR="00A94A66" w:rsidRPr="007F3768">
        <w:rPr>
          <w:color w:val="000000"/>
          <w:lang w:val="fr-FR"/>
        </w:rPr>
        <w:t>’</w:t>
      </w:r>
      <w:r w:rsidRPr="007F3768">
        <w:rPr>
          <w:color w:val="000000"/>
          <w:lang w:val="fr-FR"/>
        </w:rPr>
        <w:t>environnement numérique pour protéger les activités d</w:t>
      </w:r>
      <w:r w:rsidR="00A94A66" w:rsidRPr="007F3768">
        <w:rPr>
          <w:color w:val="000000"/>
          <w:lang w:val="fr-FR"/>
        </w:rPr>
        <w:t>’</w:t>
      </w:r>
      <w:r w:rsidRPr="007F3768">
        <w:rPr>
          <w:color w:val="000000"/>
          <w:lang w:val="fr-FR"/>
        </w:rPr>
        <w:t>enseignement et de recherche.</w:t>
      </w:r>
    </w:p>
    <w:p w14:paraId="071887E0" w14:textId="77777777" w:rsidR="002263FF" w:rsidRDefault="002263FF" w:rsidP="007F3768">
      <w:pPr>
        <w:spacing w:line="480" w:lineRule="auto"/>
        <w:jc w:val="right"/>
        <w:rPr>
          <w:lang w:val="fr-FR"/>
        </w:rPr>
      </w:pPr>
    </w:p>
    <w:p w14:paraId="3D637981" w14:textId="77777777" w:rsidR="002263FF" w:rsidRDefault="002263FF" w:rsidP="007F3768">
      <w:pPr>
        <w:spacing w:line="480" w:lineRule="auto"/>
        <w:jc w:val="right"/>
        <w:rPr>
          <w:lang w:val="fr-FR"/>
        </w:rPr>
      </w:pPr>
    </w:p>
    <w:p w14:paraId="4D53AA2D" w14:textId="23A909C4" w:rsidR="00807B43" w:rsidRPr="007F3768" w:rsidRDefault="00807B43" w:rsidP="007F3768">
      <w:pPr>
        <w:spacing w:line="480" w:lineRule="auto"/>
        <w:jc w:val="right"/>
        <w:rPr>
          <w:rFonts w:eastAsia="Times New Roman"/>
          <w:lang w:val="fr-FR"/>
        </w:rPr>
      </w:pPr>
      <w:r w:rsidRPr="007F3768">
        <w:rPr>
          <w:lang w:val="fr-FR"/>
        </w:rPr>
        <w:t>[Suite de l</w:t>
      </w:r>
      <w:r w:rsidR="00A94A66" w:rsidRPr="007F3768">
        <w:rPr>
          <w:lang w:val="fr-FR"/>
        </w:rPr>
        <w:t>’</w:t>
      </w:r>
      <w:r w:rsidRPr="007F3768">
        <w:rPr>
          <w:lang w:val="fr-FR"/>
        </w:rPr>
        <w:t>article 3, page 1</w:t>
      </w:r>
      <w:r w:rsidR="002263FF">
        <w:rPr>
          <w:lang w:val="fr-FR"/>
        </w:rPr>
        <w:t>8</w:t>
      </w:r>
      <w:r w:rsidRPr="007F3768">
        <w:rPr>
          <w:lang w:val="fr-FR"/>
        </w:rPr>
        <w:t>]</w:t>
      </w:r>
      <w:r w:rsidRPr="007F3768">
        <w:rPr>
          <w:lang w:val="fr-FR"/>
        </w:rPr>
        <w:br w:type="page"/>
      </w:r>
    </w:p>
    <w:p w14:paraId="1DB4547F" w14:textId="40B00E25" w:rsidR="00807B43" w:rsidRPr="007F3768" w:rsidRDefault="00807B43" w:rsidP="007F3768">
      <w:pPr>
        <w:rPr>
          <w:rFonts w:eastAsia="Times New Roman"/>
          <w:lang w:val="fr-FR"/>
        </w:rPr>
      </w:pPr>
      <w:r w:rsidRPr="007F3768">
        <w:rPr>
          <w:lang w:val="fr-FR"/>
        </w:rPr>
        <w:lastRenderedPageBreak/>
        <w:t>3.05</w:t>
      </w:r>
      <w:r w:rsidRPr="007F3768">
        <w:rPr>
          <w:lang w:val="fr-FR"/>
        </w:rPr>
        <w:tab/>
        <w:t xml:space="preserve">Le </w:t>
      </w:r>
      <w:r w:rsidRPr="007F3768">
        <w:rPr>
          <w:i/>
          <w:lang w:val="fr-FR"/>
        </w:rPr>
        <w:t>quatrième paragraphe</w:t>
      </w:r>
      <w:r w:rsidRPr="007F3768">
        <w:rPr>
          <w:lang w:val="fr-FR"/>
        </w:rPr>
        <w:t xml:space="preserve"> précise que les pays peuvent mettre en œuvre les normes prévues dans l</w:t>
      </w:r>
      <w:r w:rsidR="00A94A66" w:rsidRPr="007F3768">
        <w:rPr>
          <w:lang w:val="fr-FR"/>
        </w:rPr>
        <w:t>’</w:t>
      </w:r>
      <w:r w:rsidRPr="007F3768">
        <w:rPr>
          <w:lang w:val="fr-FR"/>
        </w:rPr>
        <w:t>instrument soit au moyen d</w:t>
      </w:r>
      <w:r w:rsidR="00A94A66" w:rsidRPr="007F3768">
        <w:rPr>
          <w:lang w:val="fr-FR"/>
        </w:rPr>
        <w:t>’</w:t>
      </w:r>
      <w:r w:rsidRPr="007F3768">
        <w:rPr>
          <w:lang w:val="fr-FR"/>
        </w:rPr>
        <w:t>exceptions générales souples, telles que les dispositions relatives à l</w:t>
      </w:r>
      <w:r w:rsidR="00A94A66" w:rsidRPr="007F3768">
        <w:rPr>
          <w:lang w:val="fr-FR"/>
        </w:rPr>
        <w:t>’</w:t>
      </w:r>
      <w:r w:rsidRPr="007F3768">
        <w:rPr>
          <w:lang w:val="fr-FR"/>
        </w:rPr>
        <w:t>usage loyal et à l</w:t>
      </w:r>
      <w:r w:rsidR="00A94A66" w:rsidRPr="007F3768">
        <w:rPr>
          <w:lang w:val="fr-FR"/>
        </w:rPr>
        <w:t>’</w:t>
      </w:r>
      <w:r w:rsidRPr="007F3768">
        <w:rPr>
          <w:lang w:val="fr-FR"/>
        </w:rPr>
        <w:t>arrangement loyal, soit au moyen d</w:t>
      </w:r>
      <w:r w:rsidR="00A94A66" w:rsidRPr="007F3768">
        <w:rPr>
          <w:lang w:val="fr-FR"/>
        </w:rPr>
        <w:t>’</w:t>
      </w:r>
      <w:r w:rsidRPr="007F3768">
        <w:rPr>
          <w:lang w:val="fr-FR"/>
        </w:rPr>
        <w:t>exceptions spécifiqu</w:t>
      </w:r>
      <w:r w:rsidR="00F42729" w:rsidRPr="007F3768">
        <w:rPr>
          <w:lang w:val="fr-FR"/>
        </w:rPr>
        <w:t>es.  Le</w:t>
      </w:r>
      <w:r w:rsidRPr="007F3768">
        <w:rPr>
          <w:lang w:val="fr-FR"/>
        </w:rPr>
        <w:t xml:space="preserve"> libellé est tiré du </w:t>
      </w:r>
      <w:r w:rsidR="00A94A66" w:rsidRPr="007F3768">
        <w:rPr>
          <w:lang w:val="fr-FR"/>
        </w:rPr>
        <w:t>document</w:t>
      </w:r>
      <w:r w:rsidR="007F3768">
        <w:rPr>
          <w:lang w:val="fr-FR"/>
        </w:rPr>
        <w:t> </w:t>
      </w:r>
      <w:r w:rsidR="00A94A66" w:rsidRPr="007F3768">
        <w:rPr>
          <w:lang w:val="fr-FR"/>
        </w:rPr>
        <w:t>SC</w:t>
      </w:r>
      <w:r w:rsidRPr="007F3768">
        <w:rPr>
          <w:lang w:val="fr-FR"/>
        </w:rPr>
        <w:t xml:space="preserve">CR/44/5 (“Version mise à jour du document intitulé </w:t>
      </w:r>
      <w:r w:rsidR="00A94A66" w:rsidRPr="007F3768">
        <w:rPr>
          <w:lang w:val="fr-FR"/>
        </w:rPr>
        <w:t>‘</w:t>
      </w:r>
      <w:r w:rsidRPr="007F3768">
        <w:rPr>
          <w:lang w:val="fr-FR"/>
        </w:rPr>
        <w:t>Objectifs et principes concernant les exceptions et limitations en faveur des bibliothèques et des services d</w:t>
      </w:r>
      <w:r w:rsidR="00A94A66" w:rsidRPr="007F3768">
        <w:rPr>
          <w:lang w:val="fr-FR"/>
        </w:rPr>
        <w:t>’</w:t>
      </w:r>
      <w:r w:rsidRPr="007F3768">
        <w:rPr>
          <w:lang w:val="fr-FR"/>
        </w:rPr>
        <w:t>archives</w:t>
      </w:r>
      <w:r w:rsidR="00A94A66" w:rsidRPr="007F3768">
        <w:rPr>
          <w:lang w:val="fr-FR"/>
        </w:rPr>
        <w:t>’</w:t>
      </w:r>
      <w:r w:rsidRPr="007F3768">
        <w:rPr>
          <w:lang w:val="fr-FR"/>
        </w:rPr>
        <w:t xml:space="preserve"> [SCCR/26/8]”) établi par la délégation des États</w:t>
      </w:r>
      <w:r w:rsidR="007F3768">
        <w:rPr>
          <w:lang w:val="fr-FR"/>
        </w:rPr>
        <w:noBreakHyphen/>
      </w:r>
      <w:r w:rsidRPr="007F3768">
        <w:rPr>
          <w:lang w:val="fr-FR"/>
        </w:rPr>
        <w:t>Unis d</w:t>
      </w:r>
      <w:r w:rsidR="00A94A66" w:rsidRPr="007F3768">
        <w:rPr>
          <w:lang w:val="fr-FR"/>
        </w:rPr>
        <w:t>’</w:t>
      </w:r>
      <w:r w:rsidRPr="007F3768">
        <w:rPr>
          <w:lang w:val="fr-FR"/>
        </w:rPr>
        <w:t>Amériq</w:t>
      </w:r>
      <w:r w:rsidR="00F42729" w:rsidRPr="007F3768">
        <w:rPr>
          <w:lang w:val="fr-FR"/>
        </w:rPr>
        <w:t>ue.  Il</w:t>
      </w:r>
      <w:r w:rsidRPr="007F3768">
        <w:rPr>
          <w:lang w:val="fr-FR"/>
        </w:rPr>
        <w:t xml:space="preserve"> reprend également l</w:t>
      </w:r>
      <w:r w:rsidR="00A94A66" w:rsidRPr="007F3768">
        <w:rPr>
          <w:lang w:val="fr-FR"/>
        </w:rPr>
        <w:t>’</w:t>
      </w:r>
      <w:r w:rsidRPr="007F3768">
        <w:rPr>
          <w:lang w:val="fr-FR"/>
        </w:rPr>
        <w:t>article 10 du Traité de Marrakech (“Les Parties contractantes peuvent jouir de tous leurs droits et assumer toutes leurs obligations découlant du présent traité au moyen […] d</w:t>
      </w:r>
      <w:r w:rsidR="00A94A66" w:rsidRPr="007F3768">
        <w:rPr>
          <w:lang w:val="fr-FR"/>
        </w:rPr>
        <w:t>’</w:t>
      </w:r>
      <w:r w:rsidRPr="007F3768">
        <w:rPr>
          <w:lang w:val="fr-FR"/>
        </w:rPr>
        <w:t>actes judiciaires, administratifs ou réglementaires au profit des personnes bénéficiaires concernant des pratiques, arrangements ou usages loyaux”) et l</w:t>
      </w:r>
      <w:r w:rsidR="00A94A66" w:rsidRPr="007F3768">
        <w:rPr>
          <w:lang w:val="fr-FR"/>
        </w:rPr>
        <w:t>’</w:t>
      </w:r>
      <w:r w:rsidRPr="007F3768">
        <w:rPr>
          <w:lang w:val="fr-FR"/>
        </w:rPr>
        <w:t>article 11.18.4 du Partenariat économique global régional.  (Pour plus de certitude, une partie peut adopter ou maintenir des limitations ou exceptions aux droits visés au premier alinéa à des fins d</w:t>
      </w:r>
      <w:r w:rsidR="00A94A66" w:rsidRPr="007F3768">
        <w:rPr>
          <w:lang w:val="fr-FR"/>
        </w:rPr>
        <w:t>’</w:t>
      </w:r>
      <w:r w:rsidRPr="007F3768">
        <w:rPr>
          <w:lang w:val="fr-FR"/>
        </w:rPr>
        <w:t>usage loyal, à condition que ces limitations ou exceptions soient limitées comme indiqué au premier alinéa.)</w:t>
      </w:r>
    </w:p>
    <w:p w14:paraId="2A1A3EF1" w14:textId="77777777" w:rsidR="00807B43" w:rsidRPr="007F3768" w:rsidRDefault="00807B43" w:rsidP="007F3768">
      <w:pPr>
        <w:rPr>
          <w:rFonts w:eastAsia="Times New Roman"/>
          <w:lang w:val="fr-FR"/>
        </w:rPr>
      </w:pPr>
    </w:p>
    <w:p w14:paraId="4BED5CDF" w14:textId="77777777" w:rsidR="00807B43" w:rsidRPr="007F3768" w:rsidRDefault="00807B43" w:rsidP="007F3768">
      <w:pPr>
        <w:rPr>
          <w:rFonts w:eastAsia="Times New Roman"/>
          <w:lang w:val="fr-FR"/>
        </w:rPr>
      </w:pPr>
    </w:p>
    <w:p w14:paraId="6C10AF20" w14:textId="11A821A2" w:rsidR="00807B43" w:rsidRPr="007F3768" w:rsidRDefault="00807B43" w:rsidP="007F3768">
      <w:pPr>
        <w:jc w:val="right"/>
        <w:rPr>
          <w:lang w:val="fr-FR"/>
        </w:rPr>
      </w:pPr>
      <w:r w:rsidRPr="007F3768">
        <w:rPr>
          <w:lang w:val="fr-FR"/>
        </w:rPr>
        <w:t>[Fin des notes explicatives relatives à l</w:t>
      </w:r>
      <w:r w:rsidR="00A94A66" w:rsidRPr="007F3768">
        <w:rPr>
          <w:lang w:val="fr-FR"/>
        </w:rPr>
        <w:t>’</w:t>
      </w:r>
      <w:r w:rsidRPr="007F3768">
        <w:rPr>
          <w:lang w:val="fr-FR"/>
        </w:rPr>
        <w:t>article 3]</w:t>
      </w:r>
      <w:r w:rsidRPr="007F3768">
        <w:rPr>
          <w:lang w:val="fr-FR"/>
        </w:rPr>
        <w:br w:type="page"/>
      </w:r>
    </w:p>
    <w:p w14:paraId="4DD2D6A1" w14:textId="37C34CB7" w:rsidR="00807B43" w:rsidRPr="007F3768" w:rsidRDefault="00807B43" w:rsidP="007F3768">
      <w:pPr>
        <w:spacing w:line="480" w:lineRule="auto"/>
        <w:rPr>
          <w:lang w:val="fr-FR"/>
        </w:rPr>
      </w:pPr>
      <w:r w:rsidRPr="007F3768">
        <w:rPr>
          <w:color w:val="000000"/>
          <w:lang w:val="fr-FR"/>
        </w:rPr>
        <w:lastRenderedPageBreak/>
        <w:t xml:space="preserve">4. </w:t>
      </w:r>
      <w:r w:rsidR="00F309FC" w:rsidRPr="007F3768">
        <w:rPr>
          <w:color w:val="000000"/>
          <w:lang w:val="fr-FR"/>
        </w:rPr>
        <w:t xml:space="preserve"> </w:t>
      </w:r>
      <w:r w:rsidRPr="007F3768">
        <w:rPr>
          <w:color w:val="000000"/>
          <w:lang w:val="fr-FR"/>
        </w:rPr>
        <w:t>Les parties contractantes peuvent jouir de tous leurs droits et assumer toutes leurs obligations découlant du présent traité au moyen de limitations ou exceptions à des fins spécifiques, d</w:t>
      </w:r>
      <w:r w:rsidR="00A94A66" w:rsidRPr="007F3768">
        <w:rPr>
          <w:color w:val="000000"/>
          <w:lang w:val="fr-FR"/>
        </w:rPr>
        <w:t>’</w:t>
      </w:r>
      <w:r w:rsidRPr="007F3768">
        <w:rPr>
          <w:color w:val="000000"/>
          <w:lang w:val="fr-FR"/>
        </w:rPr>
        <w:t>autres limitations ou exceptions, ou d</w:t>
      </w:r>
      <w:r w:rsidR="00A94A66" w:rsidRPr="007F3768">
        <w:rPr>
          <w:color w:val="000000"/>
          <w:lang w:val="fr-FR"/>
        </w:rPr>
        <w:t>’</w:t>
      </w:r>
      <w:r w:rsidRPr="007F3768">
        <w:rPr>
          <w:color w:val="000000"/>
          <w:lang w:val="fr-FR"/>
        </w:rPr>
        <w:t>une combinaison de ces éléments dans le cadre de leurs système et pratiques juridiques nationaux.  Il peut s</w:t>
      </w:r>
      <w:r w:rsidR="00A94A66" w:rsidRPr="007F3768">
        <w:rPr>
          <w:color w:val="000000"/>
          <w:lang w:val="fr-FR"/>
        </w:rPr>
        <w:t>’</w:t>
      </w:r>
      <w:r w:rsidRPr="007F3768">
        <w:rPr>
          <w:color w:val="000000"/>
          <w:lang w:val="fr-FR"/>
        </w:rPr>
        <w:t>agir d</w:t>
      </w:r>
      <w:r w:rsidR="00A94A66" w:rsidRPr="007F3768">
        <w:rPr>
          <w:color w:val="000000"/>
          <w:lang w:val="fr-FR"/>
        </w:rPr>
        <w:t>’</w:t>
      </w:r>
      <w:r w:rsidRPr="007F3768">
        <w:rPr>
          <w:color w:val="000000"/>
          <w:lang w:val="fr-FR"/>
        </w:rPr>
        <w:t>actes judiciaires, administratifs ou réglementaires concernant des pratiques, usages ou arrangements loyaux pour répondre à leurs besoins, conformément à leurs droits et obligations découlant de la Convention de Berne et d</w:t>
      </w:r>
      <w:r w:rsidR="00A94A66" w:rsidRPr="007F3768">
        <w:rPr>
          <w:color w:val="000000"/>
          <w:lang w:val="fr-FR"/>
        </w:rPr>
        <w:t>’</w:t>
      </w:r>
      <w:r w:rsidRPr="007F3768">
        <w:rPr>
          <w:color w:val="000000"/>
          <w:lang w:val="fr-FR"/>
        </w:rPr>
        <w:t>autres traités internationaux.</w:t>
      </w:r>
    </w:p>
    <w:p w14:paraId="2C80AB11" w14:textId="77777777" w:rsidR="00807B43" w:rsidRDefault="00807B43" w:rsidP="002263FF">
      <w:pPr>
        <w:spacing w:line="480" w:lineRule="auto"/>
        <w:jc w:val="right"/>
        <w:rPr>
          <w:rFonts w:eastAsia="Times New Roman"/>
          <w:lang w:val="fr-FR"/>
        </w:rPr>
      </w:pPr>
    </w:p>
    <w:p w14:paraId="40075FDE" w14:textId="77777777" w:rsidR="002263FF" w:rsidRPr="007F3768" w:rsidRDefault="002263FF" w:rsidP="002263FF">
      <w:pPr>
        <w:spacing w:line="480" w:lineRule="auto"/>
        <w:jc w:val="right"/>
        <w:rPr>
          <w:rFonts w:eastAsia="Times New Roman"/>
          <w:lang w:val="fr-FR"/>
        </w:rPr>
      </w:pPr>
    </w:p>
    <w:p w14:paraId="5F2F7714" w14:textId="65971DD4" w:rsidR="00807B43" w:rsidRPr="007F3768" w:rsidRDefault="00807B43" w:rsidP="007F3768">
      <w:pPr>
        <w:spacing w:line="480" w:lineRule="auto"/>
        <w:jc w:val="right"/>
        <w:rPr>
          <w:rFonts w:eastAsia="Times New Roman"/>
          <w:lang w:val="fr-FR"/>
        </w:rPr>
      </w:pPr>
      <w:r w:rsidRPr="007F3768">
        <w:rPr>
          <w:lang w:val="fr-FR"/>
        </w:rPr>
        <w:t>[Fin de l</w:t>
      </w:r>
      <w:r w:rsidR="00A94A66" w:rsidRPr="007F3768">
        <w:rPr>
          <w:lang w:val="fr-FR"/>
        </w:rPr>
        <w:t>’</w:t>
      </w:r>
      <w:r w:rsidRPr="007F3768">
        <w:rPr>
          <w:lang w:val="fr-FR"/>
        </w:rPr>
        <w:t>article 3]</w:t>
      </w:r>
      <w:r w:rsidRPr="007F3768">
        <w:rPr>
          <w:lang w:val="fr-FR"/>
        </w:rPr>
        <w:br w:type="page"/>
      </w:r>
    </w:p>
    <w:p w14:paraId="7D4500A4" w14:textId="12FF560D" w:rsidR="00A94A66" w:rsidRPr="007F3768" w:rsidRDefault="00A94A66" w:rsidP="007F3768">
      <w:pPr>
        <w:rPr>
          <w:rFonts w:eastAsia="Times New Roman"/>
          <w:i/>
          <w:iCs/>
          <w:lang w:val="fr-FR"/>
        </w:rPr>
      </w:pPr>
      <w:r w:rsidRPr="007F3768">
        <w:rPr>
          <w:i/>
          <w:lang w:val="fr-FR"/>
        </w:rPr>
        <w:lastRenderedPageBreak/>
        <w:t>Notes explicatives relatives à l’article 4</w:t>
      </w:r>
    </w:p>
    <w:p w14:paraId="5B369A4C" w14:textId="77777777" w:rsidR="00A94A66" w:rsidRPr="007F3768" w:rsidRDefault="00A94A66" w:rsidP="007F3768">
      <w:pPr>
        <w:rPr>
          <w:rFonts w:eastAsia="Times New Roman"/>
          <w:i/>
          <w:iCs/>
          <w:lang w:val="fr-FR"/>
        </w:rPr>
      </w:pPr>
    </w:p>
    <w:p w14:paraId="58CA463A" w14:textId="0BFD0169" w:rsidR="00A94A66" w:rsidRPr="007F3768" w:rsidRDefault="00A94A66" w:rsidP="007F3768">
      <w:pPr>
        <w:rPr>
          <w:rFonts w:eastAsia="Times New Roman"/>
          <w:lang w:val="fr-FR"/>
        </w:rPr>
      </w:pPr>
      <w:r w:rsidRPr="007F3768">
        <w:rPr>
          <w:lang w:val="fr-FR"/>
        </w:rPr>
        <w:t>4.01</w:t>
      </w:r>
      <w:r w:rsidRPr="007F3768">
        <w:rPr>
          <w:lang w:val="fr-FR"/>
        </w:rPr>
        <w:tab/>
        <w:t xml:space="preserve">Les dispositions de </w:t>
      </w:r>
      <w:r w:rsidRPr="007F3768">
        <w:rPr>
          <w:i/>
          <w:lang w:val="fr-FR"/>
        </w:rPr>
        <w:t>l’article 4</w:t>
      </w:r>
      <w:r w:rsidRPr="007F3768">
        <w:rPr>
          <w:lang w:val="fr-FR"/>
        </w:rPr>
        <w:t xml:space="preserve"> traitent des utilisations autorisées à des fins d’enseignement et de recherc</w:t>
      </w:r>
      <w:r w:rsidR="00F42729" w:rsidRPr="007F3768">
        <w:rPr>
          <w:lang w:val="fr-FR"/>
        </w:rPr>
        <w:t>he.  Ce</w:t>
      </w:r>
      <w:r w:rsidRPr="007F3768">
        <w:rPr>
          <w:lang w:val="fr-FR"/>
        </w:rPr>
        <w:t>t article s’inspire du projet de traité de la société civile sur les exceptions et limitations relatives au droit d’auteur en faveur des activités d’enseignement et de recherche (TERA).  [</w:t>
      </w:r>
      <w:r w:rsidR="00F309FC" w:rsidRPr="007F3768">
        <w:rPr>
          <w:lang w:val="fr-FR"/>
        </w:rPr>
        <w:t>…</w:t>
      </w:r>
      <w:r w:rsidRPr="007F3768">
        <w:rPr>
          <w:lang w:val="fr-FR"/>
        </w:rPr>
        <w:t>]</w:t>
      </w:r>
      <w:r w:rsidR="00F309FC" w:rsidRPr="007F3768">
        <w:rPr>
          <w:lang w:val="fr-FR"/>
        </w:rPr>
        <w:t>.</w:t>
      </w:r>
      <w:r w:rsidRPr="007F3768">
        <w:rPr>
          <w:lang w:val="fr-FR"/>
        </w:rPr>
        <w:t xml:space="preserve">  </w:t>
      </w:r>
      <w:hyperlink r:id="rId12">
        <w:r w:rsidRPr="007F3768">
          <w:rPr>
            <w:rStyle w:val="Hyperlink"/>
            <w:lang w:val="fr-FR"/>
          </w:rPr>
          <w:t>https://infojustice.org/wp</w:t>
        </w:r>
        <w:r w:rsidR="007F3768">
          <w:rPr>
            <w:rStyle w:val="Hyperlink"/>
            <w:lang w:val="fr-FR"/>
          </w:rPr>
          <w:noBreakHyphen/>
        </w:r>
        <w:r w:rsidRPr="007F3768">
          <w:rPr>
            <w:rStyle w:val="Hyperlink"/>
            <w:lang w:val="fr-FR"/>
          </w:rPr>
          <w:t>content/uploads/2018/11/TERA</w:t>
        </w:r>
        <w:r w:rsidR="007F3768">
          <w:rPr>
            <w:rStyle w:val="Hyperlink"/>
            <w:lang w:val="fr-FR"/>
          </w:rPr>
          <w:noBreakHyphen/>
        </w:r>
        <w:r w:rsidRPr="007F3768">
          <w:rPr>
            <w:rStyle w:val="Hyperlink"/>
            <w:lang w:val="fr-FR"/>
          </w:rPr>
          <w:t>11272018.pdf</w:t>
        </w:r>
      </w:hyperlink>
      <w:r w:rsidRPr="007F3768">
        <w:rPr>
          <w:lang w:val="fr-FR"/>
        </w:rPr>
        <w:t>.</w:t>
      </w:r>
    </w:p>
    <w:p w14:paraId="62F4F922" w14:textId="77777777" w:rsidR="00A94A66" w:rsidRPr="007F3768" w:rsidRDefault="00A94A66" w:rsidP="007F3768">
      <w:pPr>
        <w:rPr>
          <w:rFonts w:eastAsia="Times New Roman"/>
          <w:lang w:val="fr-FR"/>
        </w:rPr>
      </w:pPr>
    </w:p>
    <w:p w14:paraId="6B0673ED" w14:textId="3B9569F0" w:rsidR="00A94A66" w:rsidRPr="007F3768" w:rsidRDefault="00A94A66" w:rsidP="007F3768">
      <w:pPr>
        <w:rPr>
          <w:rFonts w:eastAsia="Times New Roman"/>
          <w:lang w:val="fr-FR"/>
        </w:rPr>
      </w:pPr>
      <w:r w:rsidRPr="007F3768">
        <w:rPr>
          <w:lang w:val="fr-FR"/>
        </w:rPr>
        <w:t>4.02</w:t>
      </w:r>
      <w:r w:rsidRPr="007F3768">
        <w:rPr>
          <w:lang w:val="fr-FR"/>
        </w:rPr>
        <w:tab/>
        <w:t xml:space="preserve">Le </w:t>
      </w:r>
      <w:r w:rsidRPr="007F3768">
        <w:rPr>
          <w:i/>
          <w:lang w:val="fr-FR"/>
        </w:rPr>
        <w:t xml:space="preserve">premier alinéa </w:t>
      </w:r>
      <w:r w:rsidRPr="007F3768">
        <w:rPr>
          <w:lang w:val="fr-FR"/>
        </w:rPr>
        <w:t xml:space="preserve">énonce un principe général selon lequel les limitations et exceptions doivent permettre les utilisations à des fins de recherche et d’enseignement “dans la mesure justifiée par le but à atteindre et sous réserve qu’une telle utilisation soit conforme aux bons usages”.  La notion de “bons usages” est définie dans le </w:t>
      </w:r>
      <w:r w:rsidRPr="002263FF">
        <w:rPr>
          <w:i/>
          <w:iCs/>
          <w:color w:val="000000" w:themeColor="text1"/>
          <w:lang w:val="fr-FR"/>
        </w:rPr>
        <w:t xml:space="preserve">Guide </w:t>
      </w:r>
      <w:r w:rsidRPr="007F3768">
        <w:rPr>
          <w:i/>
          <w:color w:val="000000" w:themeColor="text1"/>
          <w:shd w:val="clear" w:color="auto" w:fill="FFFFFF"/>
          <w:lang w:val="fr-FR"/>
        </w:rPr>
        <w:t>de la Convention de Berne pour la protection des œuvres littéraires et artistiques (Acte de Paris, 1971)</w:t>
      </w:r>
      <w:r w:rsidRPr="007F3768">
        <w:rPr>
          <w:color w:val="000000" w:themeColor="text1"/>
          <w:shd w:val="clear" w:color="auto" w:fill="FFFFFF"/>
          <w:lang w:val="fr-FR"/>
        </w:rPr>
        <w:t>, publication de l’</w:t>
      </w:r>
      <w:proofErr w:type="spellStart"/>
      <w:r w:rsidRPr="007F3768">
        <w:rPr>
          <w:color w:val="000000" w:themeColor="text1"/>
          <w:shd w:val="clear" w:color="auto" w:fill="FFFFFF"/>
          <w:lang w:val="fr-FR"/>
        </w:rPr>
        <w:t>OMPI</w:t>
      </w:r>
      <w:proofErr w:type="spellEnd"/>
      <w:r w:rsidRPr="007F3768">
        <w:rPr>
          <w:color w:val="000000" w:themeColor="text1"/>
          <w:shd w:val="clear" w:color="auto" w:fill="FFFFFF"/>
          <w:lang w:val="fr-FR"/>
        </w:rPr>
        <w:t xml:space="preserve"> n° 615(</w:t>
      </w:r>
      <w:r w:rsidR="002263FF">
        <w:rPr>
          <w:color w:val="000000" w:themeColor="text1"/>
          <w:shd w:val="clear" w:color="auto" w:fill="FFFFFF"/>
          <w:lang w:val="fr-FR"/>
        </w:rPr>
        <w:t>F</w:t>
      </w:r>
      <w:r w:rsidRPr="007F3768">
        <w:rPr>
          <w:color w:val="000000" w:themeColor="text1"/>
          <w:shd w:val="clear" w:color="auto" w:fill="FFFFFF"/>
          <w:lang w:val="fr-FR"/>
        </w:rPr>
        <w:t>) (1978) p</w:t>
      </w:r>
      <w:r w:rsidR="007F3768">
        <w:rPr>
          <w:color w:val="000000" w:themeColor="text1"/>
          <w:shd w:val="clear" w:color="auto" w:fill="FFFFFF"/>
          <w:lang w:val="fr-FR"/>
        </w:rPr>
        <w:t>ages</w:t>
      </w:r>
      <w:r w:rsidRPr="007F3768">
        <w:rPr>
          <w:color w:val="000000" w:themeColor="text1"/>
          <w:shd w:val="clear" w:color="auto" w:fill="FFFFFF"/>
          <w:lang w:val="fr-FR"/>
        </w:rPr>
        <w:t> </w:t>
      </w:r>
      <w:r w:rsidR="002263FF">
        <w:rPr>
          <w:color w:val="000000" w:themeColor="text1"/>
          <w:shd w:val="clear" w:color="auto" w:fill="FFFFFF"/>
          <w:lang w:val="fr-FR"/>
        </w:rPr>
        <w:t>66</w:t>
      </w:r>
      <w:r w:rsidR="007F3768">
        <w:rPr>
          <w:color w:val="000000" w:themeColor="text1"/>
          <w:shd w:val="clear" w:color="auto" w:fill="FFFFFF"/>
          <w:lang w:val="fr-FR"/>
        </w:rPr>
        <w:t xml:space="preserve"> et </w:t>
      </w:r>
      <w:r w:rsidR="002263FF">
        <w:rPr>
          <w:color w:val="000000" w:themeColor="text1"/>
          <w:shd w:val="clear" w:color="auto" w:fill="FFFFFF"/>
          <w:lang w:val="fr-FR"/>
        </w:rPr>
        <w:t>67</w:t>
      </w:r>
      <w:r w:rsidRPr="007F3768">
        <w:rPr>
          <w:color w:val="000000" w:themeColor="text1"/>
          <w:shd w:val="clear" w:color="auto" w:fill="FFFFFF"/>
          <w:lang w:val="fr-FR"/>
        </w:rPr>
        <w:t>, qui explique que la notion de bons usages “implique une appréciation objective de ce qui est normalement jugé admissible.  La question de savoir si ce qui est fait est ou non conforme aux bons usages relève en fin de compte des tribunaux qui, à n’en pas douter, examineront des questions telles que la taille de l’extrait par rapport à celle de l’œuvre dont il est tiré et de l’œuvre dans laquelle il est utilisé, et, en particulier, la mesure dans laquelle, le cas échéant, la nouvelle œuvre, en concurrençant l’ancienne, empiète sur ses ventes et sa diffusion, etc.”</w:t>
      </w:r>
      <w:r w:rsidR="002263FF">
        <w:rPr>
          <w:color w:val="000000" w:themeColor="text1"/>
          <w:shd w:val="clear" w:color="auto" w:fill="FFFFFF"/>
          <w:lang w:val="fr-FR"/>
        </w:rPr>
        <w:t>.</w:t>
      </w:r>
    </w:p>
    <w:p w14:paraId="719A3E7C" w14:textId="77777777" w:rsidR="00A94A66" w:rsidRPr="007F3768" w:rsidRDefault="00A94A66" w:rsidP="007F3768">
      <w:pPr>
        <w:rPr>
          <w:rFonts w:eastAsia="Times New Roman"/>
          <w:color w:val="000000" w:themeColor="text1"/>
          <w:shd w:val="clear" w:color="auto" w:fill="FFFFFF"/>
          <w:lang w:val="fr-FR"/>
        </w:rPr>
      </w:pPr>
    </w:p>
    <w:p w14:paraId="455C10C2" w14:textId="718FEB66" w:rsidR="00A94A66" w:rsidRPr="007F3768" w:rsidRDefault="00A94A66" w:rsidP="007F3768">
      <w:pPr>
        <w:rPr>
          <w:rFonts w:eastAsia="Times New Roman"/>
          <w:color w:val="000000" w:themeColor="text1"/>
          <w:shd w:val="clear" w:color="auto" w:fill="FFFFFF"/>
          <w:lang w:val="fr-FR"/>
        </w:rPr>
      </w:pPr>
      <w:r w:rsidRPr="007F3768">
        <w:rPr>
          <w:color w:val="000000" w:themeColor="text1"/>
          <w:shd w:val="clear" w:color="auto" w:fill="FFFFFF"/>
          <w:lang w:val="fr-FR"/>
        </w:rPr>
        <w:t>4.03</w:t>
      </w:r>
      <w:r w:rsidRPr="007F3768">
        <w:rPr>
          <w:color w:val="000000" w:themeColor="text1"/>
          <w:shd w:val="clear" w:color="auto" w:fill="FFFFFF"/>
          <w:lang w:val="fr-FR"/>
        </w:rPr>
        <w:tab/>
        <w:t xml:space="preserve">Les dispositions du </w:t>
      </w:r>
      <w:r w:rsidRPr="007F3768">
        <w:rPr>
          <w:i/>
          <w:color w:val="000000" w:themeColor="text1"/>
          <w:shd w:val="clear" w:color="auto" w:fill="FFFFFF"/>
          <w:lang w:val="fr-FR"/>
        </w:rPr>
        <w:t>deuxième</w:t>
      </w:r>
      <w:r w:rsidRPr="007F3768">
        <w:rPr>
          <w:color w:val="000000" w:themeColor="text1"/>
          <w:shd w:val="clear" w:color="auto" w:fill="FFFFFF"/>
          <w:lang w:val="fr-FR"/>
        </w:rPr>
        <w:t xml:space="preserve"> </w:t>
      </w:r>
      <w:r w:rsidRPr="007F3768">
        <w:rPr>
          <w:i/>
          <w:color w:val="000000" w:themeColor="text1"/>
          <w:shd w:val="clear" w:color="auto" w:fill="FFFFFF"/>
          <w:lang w:val="fr-FR"/>
        </w:rPr>
        <w:t xml:space="preserve">alinéa </w:t>
      </w:r>
      <w:r w:rsidRPr="007F3768">
        <w:rPr>
          <w:color w:val="000000" w:themeColor="text1"/>
          <w:shd w:val="clear" w:color="auto" w:fill="FFFFFF"/>
          <w:lang w:val="fr-FR"/>
        </w:rPr>
        <w:t>sont des exemples concrets d’utilisations autorisées dans le cadre : a)</w:t>
      </w:r>
      <w:r w:rsidR="00F309FC" w:rsidRPr="007F3768">
        <w:rPr>
          <w:color w:val="000000" w:themeColor="text1"/>
          <w:shd w:val="clear" w:color="auto" w:fill="FFFFFF"/>
          <w:lang w:val="fr-FR"/>
        </w:rPr>
        <w:t> </w:t>
      </w:r>
      <w:r w:rsidRPr="007F3768">
        <w:rPr>
          <w:color w:val="000000" w:themeColor="text1"/>
          <w:shd w:val="clear" w:color="auto" w:fill="FFFFFF"/>
          <w:lang w:val="fr-FR"/>
        </w:rPr>
        <w:t xml:space="preserve">d’activités </w:t>
      </w:r>
      <w:proofErr w:type="gramStart"/>
      <w:r w:rsidRPr="007F3768">
        <w:rPr>
          <w:color w:val="000000" w:themeColor="text1"/>
          <w:shd w:val="clear" w:color="auto" w:fill="FFFFFF"/>
          <w:lang w:val="fr-FR"/>
        </w:rPr>
        <w:t xml:space="preserve">d’enseignement; </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b</w:t>
      </w:r>
      <w:proofErr w:type="gramEnd"/>
      <w:r w:rsidRPr="007F3768">
        <w:rPr>
          <w:color w:val="000000" w:themeColor="text1"/>
          <w:shd w:val="clear" w:color="auto" w:fill="FFFFFF"/>
          <w:lang w:val="fr-FR"/>
        </w:rPr>
        <w:t>)</w:t>
      </w:r>
      <w:r w:rsidR="00F309FC" w:rsidRPr="007F3768">
        <w:rPr>
          <w:color w:val="000000" w:themeColor="text1"/>
          <w:shd w:val="clear" w:color="auto" w:fill="FFFFFF"/>
          <w:lang w:val="fr-FR"/>
        </w:rPr>
        <w:t> </w:t>
      </w:r>
      <w:r w:rsidRPr="007F3768">
        <w:rPr>
          <w:color w:val="000000" w:themeColor="text1"/>
          <w:shd w:val="clear" w:color="auto" w:fill="FFFFFF"/>
          <w:lang w:val="fr-FR"/>
        </w:rPr>
        <w:t xml:space="preserve">d’activités </w:t>
      </w:r>
      <w:proofErr w:type="gramStart"/>
      <w:r w:rsidRPr="007F3768">
        <w:rPr>
          <w:color w:val="000000" w:themeColor="text1"/>
          <w:shd w:val="clear" w:color="auto" w:fill="FFFFFF"/>
          <w:lang w:val="fr-FR"/>
        </w:rPr>
        <w:t xml:space="preserve">d’apprentissage; </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c</w:t>
      </w:r>
      <w:proofErr w:type="gramEnd"/>
      <w:r w:rsidRPr="007F3768">
        <w:rPr>
          <w:color w:val="000000" w:themeColor="text1"/>
          <w:shd w:val="clear" w:color="auto" w:fill="FFFFFF"/>
          <w:lang w:val="fr-FR"/>
        </w:rPr>
        <w:t>)</w:t>
      </w:r>
      <w:r w:rsidR="00F309FC" w:rsidRPr="007F3768">
        <w:rPr>
          <w:color w:val="000000" w:themeColor="text1"/>
          <w:shd w:val="clear" w:color="auto" w:fill="FFFFFF"/>
          <w:lang w:val="fr-FR"/>
        </w:rPr>
        <w:t> </w:t>
      </w:r>
      <w:r w:rsidRPr="007F3768">
        <w:rPr>
          <w:color w:val="000000" w:themeColor="text1"/>
          <w:shd w:val="clear" w:color="auto" w:fill="FFFFFF"/>
          <w:lang w:val="fr-FR"/>
        </w:rPr>
        <w:t xml:space="preserve">de création de matériel </w:t>
      </w:r>
      <w:proofErr w:type="gramStart"/>
      <w:r w:rsidRPr="007F3768">
        <w:rPr>
          <w:color w:val="000000" w:themeColor="text1"/>
          <w:shd w:val="clear" w:color="auto" w:fill="FFFFFF"/>
          <w:lang w:val="fr-FR"/>
        </w:rPr>
        <w:t xml:space="preserve">pédagogique; </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et</w:t>
      </w:r>
      <w:proofErr w:type="gramEnd"/>
      <w:r w:rsidR="002263FF">
        <w:rPr>
          <w:color w:val="000000" w:themeColor="text1"/>
          <w:shd w:val="clear" w:color="auto" w:fill="FFFFFF"/>
          <w:lang w:val="fr-FR"/>
        </w:rPr>
        <w:t> </w:t>
      </w:r>
      <w:r w:rsidRPr="007F3768">
        <w:rPr>
          <w:color w:val="000000" w:themeColor="text1"/>
          <w:shd w:val="clear" w:color="auto" w:fill="FFFFFF"/>
          <w:lang w:val="fr-FR"/>
        </w:rPr>
        <w:t>d)</w:t>
      </w:r>
      <w:r w:rsidR="00F309FC" w:rsidRPr="007F3768">
        <w:rPr>
          <w:color w:val="000000" w:themeColor="text1"/>
          <w:shd w:val="clear" w:color="auto" w:fill="FFFFFF"/>
          <w:lang w:val="fr-FR"/>
        </w:rPr>
        <w:t> </w:t>
      </w:r>
      <w:r w:rsidRPr="007F3768">
        <w:rPr>
          <w:color w:val="000000" w:themeColor="text1"/>
          <w:shd w:val="clear" w:color="auto" w:fill="FFFFFF"/>
          <w:lang w:val="fr-FR"/>
        </w:rPr>
        <w:t>à des fins scientifiques et de recherche.</w:t>
      </w:r>
    </w:p>
    <w:p w14:paraId="77FBCA19" w14:textId="77777777" w:rsidR="00A94A66" w:rsidRPr="007F3768" w:rsidRDefault="00A94A66" w:rsidP="007F3768">
      <w:pPr>
        <w:rPr>
          <w:rFonts w:eastAsia="Times New Roman"/>
          <w:color w:val="000000" w:themeColor="text1"/>
          <w:shd w:val="clear" w:color="auto" w:fill="FFFFFF"/>
          <w:lang w:val="fr-FR"/>
        </w:rPr>
      </w:pPr>
    </w:p>
    <w:p w14:paraId="1185294E" w14:textId="44CAB0CA" w:rsidR="00A94A66" w:rsidRPr="007F3768" w:rsidRDefault="00A94A66" w:rsidP="007F3768">
      <w:pPr>
        <w:rPr>
          <w:rFonts w:eastAsia="Times New Roman"/>
          <w:color w:val="000000" w:themeColor="text1"/>
          <w:shd w:val="clear" w:color="auto" w:fill="FFFFFF"/>
          <w:lang w:val="fr-FR"/>
        </w:rPr>
      </w:pPr>
      <w:r w:rsidRPr="007F3768">
        <w:rPr>
          <w:color w:val="000000" w:themeColor="text1"/>
          <w:shd w:val="clear" w:color="auto" w:fill="FFFFFF"/>
          <w:lang w:val="fr-FR"/>
        </w:rPr>
        <w:t>4.04</w:t>
      </w:r>
      <w:r w:rsidRPr="007F3768">
        <w:rPr>
          <w:color w:val="000000" w:themeColor="text1"/>
          <w:shd w:val="clear" w:color="auto" w:fill="FFFFFF"/>
          <w:lang w:val="fr-FR"/>
        </w:rPr>
        <w:tab/>
        <w:t xml:space="preserve">Les utilisations telles que la réalisation de copies privées, comme indiqué au </w:t>
      </w:r>
      <w:r w:rsidRPr="007F3768">
        <w:rPr>
          <w:i/>
          <w:color w:val="000000" w:themeColor="text1"/>
          <w:shd w:val="clear" w:color="auto" w:fill="FFFFFF"/>
          <w:lang w:val="fr-FR"/>
        </w:rPr>
        <w:t>point </w:t>
      </w:r>
      <w:proofErr w:type="gramStart"/>
      <w:r w:rsidRPr="007F3768">
        <w:rPr>
          <w:i/>
          <w:color w:val="000000" w:themeColor="text1"/>
          <w:shd w:val="clear" w:color="auto" w:fill="FFFFFF"/>
          <w:lang w:val="fr-FR"/>
        </w:rPr>
        <w:t>a)i</w:t>
      </w:r>
      <w:proofErr w:type="gramEnd"/>
      <w:r w:rsidRPr="007F3768">
        <w:rPr>
          <w:i/>
          <w:color w:val="000000" w:themeColor="text1"/>
          <w:shd w:val="clear" w:color="auto" w:fill="FFFFFF"/>
          <w:lang w:val="fr-FR"/>
        </w:rPr>
        <w:t>)</w:t>
      </w:r>
      <w:r w:rsidRPr="007F3768">
        <w:rPr>
          <w:color w:val="000000" w:themeColor="text1"/>
          <w:shd w:val="clear" w:color="auto" w:fill="FFFFFF"/>
          <w:lang w:val="fr-FR"/>
        </w:rPr>
        <w:t>, sont définies comme des exceptions courantes en faveur de la recherche et de l’enseignement dans l’étude sur les limitations et exceptions relatives au droit d’auteur en faveur des activités d’enseignement (établie par le professeur Daniel</w:t>
      </w:r>
      <w:r w:rsidR="007F3768">
        <w:rPr>
          <w:color w:val="000000" w:themeColor="text1"/>
          <w:shd w:val="clear" w:color="auto" w:fill="FFFFFF"/>
          <w:lang w:val="fr-FR"/>
        </w:rPr>
        <w:t> </w:t>
      </w:r>
      <w:r w:rsidRPr="007F3768">
        <w:rPr>
          <w:color w:val="000000" w:themeColor="text1"/>
          <w:shd w:val="clear" w:color="auto" w:fill="FFFFFF"/>
          <w:lang w:val="fr-FR"/>
        </w:rPr>
        <w:t>Seng) (document</w:t>
      </w:r>
      <w:r w:rsidR="007F3768">
        <w:rPr>
          <w:color w:val="000000" w:themeColor="text1"/>
          <w:shd w:val="clear" w:color="auto" w:fill="FFFFFF"/>
          <w:lang w:val="fr-FR"/>
        </w:rPr>
        <w:t> </w:t>
      </w:r>
      <w:r w:rsidRPr="007F3768">
        <w:rPr>
          <w:color w:val="000000" w:themeColor="text1"/>
          <w:shd w:val="clear" w:color="auto" w:fill="FFFFFF"/>
          <w:lang w:val="fr-FR"/>
        </w:rPr>
        <w:t>SCCR/33/6 (9 novembre 2016)).</w:t>
      </w:r>
    </w:p>
    <w:p w14:paraId="3C8E5181" w14:textId="77777777" w:rsidR="00A94A66" w:rsidRPr="007F3768" w:rsidRDefault="00A94A66" w:rsidP="007F3768">
      <w:pPr>
        <w:rPr>
          <w:rFonts w:eastAsia="Times New Roman"/>
          <w:color w:val="000000" w:themeColor="text1"/>
          <w:shd w:val="clear" w:color="auto" w:fill="FFFFFF"/>
          <w:lang w:val="fr-FR"/>
        </w:rPr>
      </w:pPr>
    </w:p>
    <w:p w14:paraId="3AD9963C" w14:textId="07673F9A" w:rsidR="00A94A66" w:rsidRPr="007F3768" w:rsidRDefault="00A94A66" w:rsidP="007F3768">
      <w:pPr>
        <w:rPr>
          <w:rFonts w:eastAsia="Times New Roman"/>
          <w:color w:val="000000" w:themeColor="text1"/>
          <w:shd w:val="clear" w:color="auto" w:fill="FFFFFF"/>
          <w:lang w:val="fr-FR"/>
        </w:rPr>
      </w:pPr>
      <w:r w:rsidRPr="007F3768">
        <w:rPr>
          <w:color w:val="000000" w:themeColor="text1"/>
          <w:shd w:val="clear" w:color="auto" w:fill="FFFFFF"/>
          <w:lang w:val="fr-FR"/>
        </w:rPr>
        <w:t>4.05</w:t>
      </w:r>
      <w:r w:rsidR="002263FF">
        <w:rPr>
          <w:color w:val="000000" w:themeColor="text1"/>
          <w:shd w:val="clear" w:color="auto" w:fill="FFFFFF"/>
          <w:lang w:val="fr-FR"/>
        </w:rPr>
        <w:tab/>
      </w:r>
      <w:r w:rsidRPr="007F3768">
        <w:rPr>
          <w:color w:val="000000" w:themeColor="text1"/>
          <w:shd w:val="clear" w:color="auto" w:fill="FFFFFF"/>
          <w:lang w:val="fr-FR"/>
        </w:rPr>
        <w:t xml:space="preserve">Le </w:t>
      </w:r>
      <w:r w:rsidRPr="007F3768">
        <w:rPr>
          <w:i/>
          <w:color w:val="000000" w:themeColor="text1"/>
          <w:shd w:val="clear" w:color="auto" w:fill="FFFFFF"/>
          <w:lang w:val="fr-FR"/>
        </w:rPr>
        <w:t>point a)ii)</w:t>
      </w:r>
      <w:r w:rsidRPr="007F3768">
        <w:rPr>
          <w:color w:val="000000" w:themeColor="text1"/>
          <w:shd w:val="clear" w:color="auto" w:fill="FFFFFF"/>
          <w:lang w:val="fr-FR"/>
        </w:rPr>
        <w:t xml:space="preserve"> est fondé sur la proposition du Brésil figurant dans le “Document de travail provisoire en vue de l’élaboration d’un instrument juridique international approprié (quelle qu’en soit la forme) sur les exceptions et les limitations en faveur des établissements d’enseignement et de recherche et des personnes ayant d’autres handicaps contenant des observations et des propositions de disposition” (document SCCR/26/4</w:t>
      </w:r>
      <w:r w:rsidR="00F309FC" w:rsidRPr="007F3768">
        <w:rPr>
          <w:color w:val="000000" w:themeColor="text1"/>
          <w:shd w:val="clear" w:color="auto" w:fill="FFFFFF"/>
          <w:lang w:val="fr-FR"/>
        </w:rPr>
        <w:t> </w:t>
      </w:r>
      <w:r w:rsidRPr="007F3768">
        <w:rPr>
          <w:color w:val="000000" w:themeColor="text1"/>
          <w:shd w:val="clear" w:color="auto" w:fill="FFFFFF"/>
          <w:lang w:val="fr-FR"/>
        </w:rPr>
        <w:t>Prov. (15 avril 2013)) (dans lequel il est indiqué : “Ne constituent pas une atteinte au droit d’auteur : la représentation ou exécution, la récitation ou l’exposition d’une œuvre, selon le cas, à des fins d’enseignement dans des établissements d’enseignement dans le cadre d’activités éducatives ou de recherche, dans la mesure justifiée par l’objectif non commercial à atteindre, dès lors que la source, y compris le nom de l’auteur, sont indiqués, sauf si cela s’avère impossible”);  Étude actualisée et analyse complémentaire de l’étude sur les limitations et exceptions relatives au droit d’auteur en faveur des activités d’enseignement (établie par le professeur Daniel</w:t>
      </w:r>
      <w:r w:rsidR="007F3768">
        <w:rPr>
          <w:color w:val="000000" w:themeColor="text1"/>
          <w:shd w:val="clear" w:color="auto" w:fill="FFFFFF"/>
          <w:lang w:val="fr-FR"/>
        </w:rPr>
        <w:t> </w:t>
      </w:r>
      <w:r w:rsidRPr="007F3768">
        <w:rPr>
          <w:color w:val="000000" w:themeColor="text1"/>
          <w:shd w:val="clear" w:color="auto" w:fill="FFFFFF"/>
          <w:lang w:val="fr-FR"/>
        </w:rPr>
        <w:t>Seng) (document</w:t>
      </w:r>
      <w:r w:rsidR="007F3768">
        <w:rPr>
          <w:color w:val="000000" w:themeColor="text1"/>
          <w:shd w:val="clear" w:color="auto" w:fill="FFFFFF"/>
          <w:lang w:val="fr-FR"/>
        </w:rPr>
        <w:t> </w:t>
      </w:r>
      <w:r w:rsidRPr="007F3768">
        <w:rPr>
          <w:color w:val="000000" w:themeColor="text1"/>
          <w:shd w:val="clear" w:color="auto" w:fill="FFFFFF"/>
          <w:lang w:val="fr-FR"/>
        </w:rPr>
        <w:t>SCCR/35/5</w:t>
      </w:r>
      <w:r w:rsidR="00F309FC" w:rsidRPr="007F3768">
        <w:rPr>
          <w:color w:val="000000" w:themeColor="text1"/>
          <w:shd w:val="clear" w:color="auto" w:fill="FFFFFF"/>
          <w:lang w:val="fr-FR"/>
        </w:rPr>
        <w:t> </w:t>
      </w:r>
      <w:proofErr w:type="spellStart"/>
      <w:r w:rsidRPr="007F3768">
        <w:rPr>
          <w:color w:val="000000" w:themeColor="text1"/>
          <w:shd w:val="clear" w:color="auto" w:fill="FFFFFF"/>
          <w:lang w:val="fr-FR"/>
        </w:rPr>
        <w:t>Rev</w:t>
      </w:r>
      <w:proofErr w:type="spellEnd"/>
      <w:r w:rsidRPr="007F3768">
        <w:rPr>
          <w:color w:val="000000" w:themeColor="text1"/>
          <w:shd w:val="clear" w:color="auto" w:fill="FFFFFF"/>
          <w:lang w:val="fr-FR"/>
        </w:rPr>
        <w:t>. (10 novembre 2017)</w:t>
      </w:r>
      <w:proofErr w:type="gramStart"/>
      <w:r w:rsidRPr="007F3768">
        <w:rPr>
          <w:color w:val="000000" w:themeColor="text1"/>
          <w:shd w:val="clear" w:color="auto" w:fill="FFFFFF"/>
          <w:lang w:val="fr-FR"/>
        </w:rPr>
        <w:t>)</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 xml:space="preserve"> SCCR</w:t>
      </w:r>
      <w:proofErr w:type="gramEnd"/>
      <w:r w:rsidRPr="007F3768">
        <w:rPr>
          <w:color w:val="000000" w:themeColor="text1"/>
          <w:shd w:val="clear" w:color="auto" w:fill="FFFFFF"/>
          <w:lang w:val="fr-FR"/>
        </w:rPr>
        <w:t>/33/</w:t>
      </w:r>
      <w:proofErr w:type="gramStart"/>
      <w:r w:rsidRPr="007F3768">
        <w:rPr>
          <w:color w:val="000000" w:themeColor="text1"/>
          <w:shd w:val="clear" w:color="auto" w:fill="FFFFFF"/>
          <w:lang w:val="fr-FR"/>
        </w:rPr>
        <w:t>6;</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 xml:space="preserve"> préambule</w:t>
      </w:r>
      <w:proofErr w:type="gramEnd"/>
      <w:r w:rsidRPr="007F3768">
        <w:rPr>
          <w:color w:val="000000" w:themeColor="text1"/>
          <w:shd w:val="clear" w:color="auto" w:fill="FFFFFF"/>
          <w:lang w:val="fr-FR"/>
        </w:rPr>
        <w:t xml:space="preserve"> du Traité de Beijing sur les interprétations et exécutions audiovisuelles [ci</w:t>
      </w:r>
      <w:r w:rsidR="007F3768">
        <w:rPr>
          <w:color w:val="000000" w:themeColor="text1"/>
          <w:shd w:val="clear" w:color="auto" w:fill="FFFFFF"/>
          <w:lang w:val="fr-FR"/>
        </w:rPr>
        <w:noBreakHyphen/>
      </w:r>
      <w:r w:rsidRPr="007F3768">
        <w:rPr>
          <w:color w:val="000000" w:themeColor="text1"/>
          <w:shd w:val="clear" w:color="auto" w:fill="FFFFFF"/>
          <w:lang w:val="fr-FR"/>
        </w:rPr>
        <w:t>après dénommé “Traité de Beijing”] (24 juin 2012) (“reconnaissant la nécessité de maintenir un équilibre entre les droits des artistes interprètes ou exécutants sur leurs interprétations ou exécutions audiovisuelles et l’intérêt public général, notamment en matière d’enseignement, de recherche et d’accès à l’information”).</w:t>
      </w:r>
    </w:p>
    <w:p w14:paraId="48654381" w14:textId="77777777" w:rsidR="00A94A66" w:rsidRPr="007F3768" w:rsidRDefault="00A94A66" w:rsidP="007F3768">
      <w:pPr>
        <w:rPr>
          <w:rFonts w:eastAsia="Times New Roman"/>
          <w:color w:val="000000" w:themeColor="text1"/>
          <w:shd w:val="clear" w:color="auto" w:fill="FFFFFF"/>
          <w:lang w:val="fr-FR"/>
        </w:rPr>
      </w:pPr>
    </w:p>
    <w:p w14:paraId="6FDB7F2E" w14:textId="77777777" w:rsidR="00A94A66" w:rsidRPr="007F3768" w:rsidRDefault="00A94A66" w:rsidP="007F3768">
      <w:pPr>
        <w:rPr>
          <w:rFonts w:eastAsia="Times New Roman"/>
          <w:color w:val="000000" w:themeColor="text1"/>
          <w:shd w:val="clear" w:color="auto" w:fill="FFFFFF"/>
          <w:lang w:val="fr-FR"/>
        </w:rPr>
      </w:pPr>
    </w:p>
    <w:p w14:paraId="52AB0750" w14:textId="695BA612" w:rsidR="00A94A66" w:rsidRPr="007F3768" w:rsidRDefault="00A94A66" w:rsidP="007F3768">
      <w:pPr>
        <w:jc w:val="right"/>
        <w:rPr>
          <w:rFonts w:eastAsia="Times New Roman"/>
          <w:color w:val="000000" w:themeColor="text1"/>
          <w:shd w:val="clear" w:color="auto" w:fill="FFFFFF"/>
          <w:lang w:val="fr-FR"/>
        </w:rPr>
      </w:pPr>
      <w:r w:rsidRPr="007F3768">
        <w:rPr>
          <w:color w:val="000000" w:themeColor="text1"/>
          <w:shd w:val="clear" w:color="auto" w:fill="FFFFFF"/>
          <w:lang w:val="fr-FR"/>
        </w:rPr>
        <w:t>[Suite des notes explicatives relatives à l’article 4, page </w:t>
      </w:r>
      <w:r w:rsidRPr="007F3768">
        <w:rPr>
          <w:color w:val="000000" w:themeColor="text1"/>
          <w:lang w:val="fr-FR"/>
        </w:rPr>
        <w:t>2</w:t>
      </w:r>
      <w:r w:rsidR="002263FF">
        <w:rPr>
          <w:color w:val="000000" w:themeColor="text1"/>
          <w:lang w:val="fr-FR"/>
        </w:rPr>
        <w:t>1</w:t>
      </w:r>
      <w:r w:rsidRPr="007F3768">
        <w:rPr>
          <w:color w:val="000000" w:themeColor="text1"/>
          <w:shd w:val="clear" w:color="auto" w:fill="FFFFFF"/>
          <w:lang w:val="fr-FR"/>
        </w:rPr>
        <w:t>]</w:t>
      </w:r>
    </w:p>
    <w:p w14:paraId="06446ECB" w14:textId="77777777" w:rsidR="00A94A66" w:rsidRPr="007F3768" w:rsidRDefault="00A94A66" w:rsidP="007F3768">
      <w:pPr>
        <w:jc w:val="right"/>
        <w:rPr>
          <w:rFonts w:eastAsia="Times New Roman"/>
          <w:color w:val="000000" w:themeColor="text1"/>
          <w:shd w:val="clear" w:color="auto" w:fill="FFFFFF"/>
          <w:lang w:val="fr-FR"/>
        </w:rPr>
      </w:pPr>
      <w:r w:rsidRPr="007F3768">
        <w:rPr>
          <w:lang w:val="fr-FR"/>
        </w:rPr>
        <w:br w:type="page"/>
      </w:r>
    </w:p>
    <w:p w14:paraId="63751B70" w14:textId="77777777" w:rsidR="00A94A66" w:rsidRPr="007F3768" w:rsidRDefault="00A94A66" w:rsidP="007F3768">
      <w:pPr>
        <w:pStyle w:val="Heading1"/>
        <w:spacing w:after="0"/>
        <w:rPr>
          <w:lang w:val="fr-FR"/>
        </w:rPr>
      </w:pPr>
      <w:bookmarkStart w:id="13" w:name="_Toc211333618"/>
      <w:bookmarkStart w:id="14" w:name="_Toc211506792"/>
      <w:bookmarkStart w:id="15" w:name="_Toc213248995"/>
      <w:r w:rsidRPr="007F3768">
        <w:rPr>
          <w:lang w:val="fr-FR"/>
        </w:rPr>
        <w:lastRenderedPageBreak/>
        <w:t>Article 4</w:t>
      </w:r>
      <w:bookmarkEnd w:id="13"/>
      <w:bookmarkEnd w:id="14"/>
      <w:bookmarkEnd w:id="15"/>
    </w:p>
    <w:p w14:paraId="1EAA7FFD" w14:textId="5A3431DC" w:rsidR="00A94A66" w:rsidRPr="007F3768" w:rsidRDefault="00A94A66" w:rsidP="007F3768">
      <w:pPr>
        <w:pStyle w:val="Heading1"/>
        <w:spacing w:after="0"/>
        <w:rPr>
          <w:lang w:val="fr-FR"/>
        </w:rPr>
      </w:pPr>
      <w:bookmarkStart w:id="16" w:name="_Toc211333619"/>
      <w:bookmarkStart w:id="17" w:name="_Toc211506793"/>
      <w:bookmarkStart w:id="18" w:name="_Toc213248996"/>
      <w:r w:rsidRPr="007F3768">
        <w:rPr>
          <w:color w:val="000000"/>
          <w:lang w:val="fr-FR"/>
        </w:rPr>
        <w:t>Utilisations autorisées à des fins d’enseignement et de recherche</w:t>
      </w:r>
      <w:bookmarkEnd w:id="16"/>
      <w:bookmarkEnd w:id="17"/>
      <w:bookmarkEnd w:id="18"/>
    </w:p>
    <w:p w14:paraId="0DFCE0C2" w14:textId="77777777" w:rsidR="00A94A66" w:rsidRPr="007F3768" w:rsidRDefault="00A94A66" w:rsidP="007F3768">
      <w:pPr>
        <w:rPr>
          <w:rFonts w:eastAsia="Times New Roman"/>
          <w:lang w:val="fr-FR"/>
        </w:rPr>
      </w:pPr>
    </w:p>
    <w:p w14:paraId="141457F5" w14:textId="2FB5C545" w:rsidR="00A94A66" w:rsidRPr="007F3768" w:rsidRDefault="00A94A66" w:rsidP="007F3768">
      <w:pPr>
        <w:spacing w:line="480" w:lineRule="auto"/>
        <w:rPr>
          <w:color w:val="000000"/>
          <w:lang w:val="fr-FR"/>
        </w:rPr>
      </w:pPr>
      <w:r w:rsidRPr="007F3768">
        <w:rPr>
          <w:color w:val="000000"/>
          <w:lang w:val="fr-FR"/>
        </w:rPr>
        <w:t xml:space="preserve">1. </w:t>
      </w:r>
      <w:r w:rsidR="00F309FC" w:rsidRPr="007F3768">
        <w:rPr>
          <w:color w:val="000000"/>
          <w:lang w:val="fr-FR"/>
        </w:rPr>
        <w:t xml:space="preserve"> </w:t>
      </w:r>
      <w:r w:rsidRPr="007F3768">
        <w:rPr>
          <w:color w:val="000000"/>
          <w:lang w:val="fr-FR"/>
        </w:rPr>
        <w:t>Il est permis d’utiliser une œuvre ou tout autre objet à des fins d’enseignement ou de recherche dans la mesure justifiée par le but à atteindre et sous réserve qu’une telle utilisation soit conforme aux bons usages.</w:t>
      </w:r>
    </w:p>
    <w:p w14:paraId="7B00625E" w14:textId="768CD6AB" w:rsidR="00A94A66" w:rsidRPr="007F3768" w:rsidRDefault="00A94A66" w:rsidP="007F3768">
      <w:pPr>
        <w:spacing w:line="480" w:lineRule="auto"/>
        <w:rPr>
          <w:rFonts w:eastAsia="Times New Roman"/>
          <w:lang w:val="fr-FR"/>
        </w:rPr>
      </w:pPr>
    </w:p>
    <w:p w14:paraId="05077A15" w14:textId="6B5DC26D" w:rsidR="00A94A66" w:rsidRPr="007F3768" w:rsidRDefault="00A94A66" w:rsidP="007F3768">
      <w:pPr>
        <w:spacing w:line="480" w:lineRule="auto"/>
        <w:rPr>
          <w:color w:val="000000"/>
          <w:lang w:val="fr-FR"/>
        </w:rPr>
      </w:pPr>
      <w:r w:rsidRPr="007F3768">
        <w:rPr>
          <w:color w:val="000000"/>
          <w:lang w:val="fr-FR"/>
        </w:rPr>
        <w:t xml:space="preserve">2. </w:t>
      </w:r>
      <w:r w:rsidR="00F309FC" w:rsidRPr="007F3768">
        <w:rPr>
          <w:color w:val="000000"/>
          <w:lang w:val="fr-FR"/>
        </w:rPr>
        <w:t xml:space="preserve"> </w:t>
      </w:r>
      <w:r w:rsidRPr="007F3768">
        <w:rPr>
          <w:color w:val="000000"/>
          <w:lang w:val="fr-FR"/>
        </w:rPr>
        <w:t>Les utilisations relevant du champ d’application de l’alinéa 1 comprennent, sans toutefois s’y limiter :</w:t>
      </w:r>
    </w:p>
    <w:p w14:paraId="7260A3ED" w14:textId="6B7F12F7" w:rsidR="00A94A66" w:rsidRPr="007F3768" w:rsidRDefault="00A94A66" w:rsidP="007F3768">
      <w:pPr>
        <w:spacing w:line="480" w:lineRule="auto"/>
        <w:rPr>
          <w:rFonts w:eastAsia="Times New Roman"/>
          <w:lang w:val="fr-FR"/>
        </w:rPr>
      </w:pPr>
    </w:p>
    <w:p w14:paraId="007DAC3E" w14:textId="0A8C6A5F" w:rsidR="00A94A66" w:rsidRPr="007F3768" w:rsidRDefault="00A94A66" w:rsidP="002263FF">
      <w:pPr>
        <w:pStyle w:val="ListParagraph"/>
        <w:numPr>
          <w:ilvl w:val="0"/>
          <w:numId w:val="8"/>
        </w:numPr>
        <w:spacing w:after="0" w:line="480" w:lineRule="auto"/>
        <w:ind w:left="1134" w:hanging="567"/>
        <w:jc w:val="left"/>
      </w:pPr>
      <w:proofErr w:type="gramStart"/>
      <w:r w:rsidRPr="007F3768">
        <w:rPr>
          <w:rFonts w:ascii="Arial" w:hAnsi="Arial"/>
          <w:color w:val="000000"/>
        </w:rPr>
        <w:t>les</w:t>
      </w:r>
      <w:proofErr w:type="gramEnd"/>
      <w:r w:rsidRPr="007F3768">
        <w:rPr>
          <w:rFonts w:ascii="Arial" w:hAnsi="Arial"/>
          <w:color w:val="000000"/>
        </w:rPr>
        <w:t xml:space="preserve"> utilisations dans le cadre d’activités pédagogiques, telles que :</w:t>
      </w:r>
    </w:p>
    <w:p w14:paraId="704584C9" w14:textId="7EC28860" w:rsidR="00A94A66" w:rsidRPr="007F3768" w:rsidRDefault="00A94A66" w:rsidP="002263FF">
      <w:pPr>
        <w:pStyle w:val="ListParagraph"/>
        <w:numPr>
          <w:ilvl w:val="1"/>
          <w:numId w:val="8"/>
        </w:numPr>
        <w:spacing w:after="0" w:line="480" w:lineRule="auto"/>
        <w:ind w:left="1701" w:hanging="567"/>
        <w:jc w:val="left"/>
      </w:pPr>
      <w:proofErr w:type="gramStart"/>
      <w:r w:rsidRPr="007F3768">
        <w:rPr>
          <w:rFonts w:ascii="Arial" w:hAnsi="Arial"/>
          <w:color w:val="000000"/>
        </w:rPr>
        <w:t>la</w:t>
      </w:r>
      <w:proofErr w:type="gramEnd"/>
      <w:r w:rsidRPr="007F3768">
        <w:rPr>
          <w:rFonts w:ascii="Arial" w:hAnsi="Arial"/>
          <w:color w:val="000000"/>
        </w:rPr>
        <w:t xml:space="preserve"> réalisation de copies privées, y compris dans le cadre de la préparation d’un </w:t>
      </w:r>
      <w:proofErr w:type="gramStart"/>
      <w:r w:rsidRPr="007F3768">
        <w:rPr>
          <w:rFonts w:ascii="Arial" w:hAnsi="Arial"/>
          <w:color w:val="000000"/>
        </w:rPr>
        <w:t>cours;</w:t>
      </w:r>
      <w:proofErr w:type="gramEnd"/>
    </w:p>
    <w:p w14:paraId="3604110D" w14:textId="73F721C1" w:rsidR="00A94A66" w:rsidRPr="007F3768" w:rsidRDefault="00A94A66" w:rsidP="002263FF">
      <w:pPr>
        <w:pStyle w:val="ListParagraph"/>
        <w:numPr>
          <w:ilvl w:val="1"/>
          <w:numId w:val="8"/>
        </w:numPr>
        <w:spacing w:after="0" w:line="480" w:lineRule="auto"/>
        <w:ind w:left="1701" w:hanging="567"/>
        <w:jc w:val="left"/>
        <w:rPr>
          <w:rFonts w:ascii="Arial" w:eastAsia="Times New Roman" w:hAnsi="Arial" w:cs="Arial"/>
          <w:color w:val="000000"/>
        </w:rPr>
      </w:pPr>
      <w:proofErr w:type="gramStart"/>
      <w:r w:rsidRPr="007F3768">
        <w:rPr>
          <w:rFonts w:ascii="Arial" w:hAnsi="Arial"/>
          <w:color w:val="000000"/>
        </w:rPr>
        <w:t>l’interprétation</w:t>
      </w:r>
      <w:proofErr w:type="gramEnd"/>
      <w:r w:rsidRPr="007F3768">
        <w:rPr>
          <w:rFonts w:ascii="Arial" w:hAnsi="Arial"/>
          <w:color w:val="000000"/>
        </w:rPr>
        <w:t xml:space="preserve"> ou exécution ou la communication à titre d’illustration, ou à des fins de commentaire, de critique ou d’analyse, dans le cadre d’un cours, y compris d’un enseignement en </w:t>
      </w:r>
      <w:proofErr w:type="gramStart"/>
      <w:r w:rsidRPr="007F3768">
        <w:rPr>
          <w:rFonts w:ascii="Arial" w:hAnsi="Arial"/>
          <w:color w:val="000000"/>
        </w:rPr>
        <w:t>ligne;</w:t>
      </w:r>
      <w:proofErr w:type="gramEnd"/>
    </w:p>
    <w:p w14:paraId="550EF2AB" w14:textId="77777777" w:rsidR="00A94A66" w:rsidRDefault="00A94A66" w:rsidP="002263FF">
      <w:pPr>
        <w:pStyle w:val="ListParagraph"/>
        <w:spacing w:after="0" w:line="480" w:lineRule="auto"/>
        <w:jc w:val="right"/>
        <w:rPr>
          <w:rFonts w:ascii="Arial" w:eastAsia="Times New Roman" w:hAnsi="Arial" w:cs="Arial"/>
          <w:color w:val="000000"/>
        </w:rPr>
      </w:pPr>
    </w:p>
    <w:p w14:paraId="412A5424" w14:textId="77777777" w:rsidR="002263FF" w:rsidRPr="007F3768" w:rsidRDefault="002263FF" w:rsidP="002263FF">
      <w:pPr>
        <w:pStyle w:val="ListParagraph"/>
        <w:spacing w:after="0" w:line="480" w:lineRule="auto"/>
        <w:jc w:val="right"/>
        <w:rPr>
          <w:rFonts w:ascii="Arial" w:eastAsia="Times New Roman" w:hAnsi="Arial" w:cs="Arial"/>
          <w:color w:val="000000"/>
        </w:rPr>
      </w:pPr>
    </w:p>
    <w:p w14:paraId="0DF7C100" w14:textId="50EC8C92" w:rsidR="00A94A66" w:rsidRPr="007F3768" w:rsidRDefault="00A94A66" w:rsidP="007F3768">
      <w:pPr>
        <w:pStyle w:val="ListParagraph"/>
        <w:spacing w:after="0" w:line="480" w:lineRule="auto"/>
        <w:jc w:val="right"/>
        <w:rPr>
          <w:rFonts w:ascii="Arial" w:eastAsia="Times New Roman" w:hAnsi="Arial" w:cs="Arial"/>
          <w:color w:val="000000"/>
        </w:rPr>
      </w:pPr>
      <w:r w:rsidRPr="007F3768">
        <w:rPr>
          <w:rFonts w:ascii="Arial" w:hAnsi="Arial"/>
          <w:color w:val="000000"/>
        </w:rPr>
        <w:t>[Suite de l’article 4, page 2</w:t>
      </w:r>
      <w:r w:rsidR="002263FF">
        <w:rPr>
          <w:rFonts w:ascii="Arial" w:hAnsi="Arial"/>
          <w:color w:val="000000"/>
        </w:rPr>
        <w:t>2</w:t>
      </w:r>
      <w:r w:rsidRPr="007F3768">
        <w:rPr>
          <w:rFonts w:ascii="Arial" w:hAnsi="Arial"/>
          <w:color w:val="000000"/>
        </w:rPr>
        <w:t>]</w:t>
      </w:r>
    </w:p>
    <w:p w14:paraId="74B3C8C1" w14:textId="77777777" w:rsidR="00A94A66" w:rsidRPr="007F3768" w:rsidRDefault="00A94A66" w:rsidP="007F3768">
      <w:pPr>
        <w:pStyle w:val="ListParagraph"/>
        <w:spacing w:after="0" w:line="480" w:lineRule="auto"/>
        <w:rPr>
          <w:rFonts w:ascii="Arial" w:eastAsia="Times New Roman" w:hAnsi="Arial" w:cs="Arial"/>
          <w:color w:val="000000"/>
        </w:rPr>
      </w:pPr>
      <w:r w:rsidRPr="007F3768">
        <w:br w:type="page"/>
      </w:r>
    </w:p>
    <w:p w14:paraId="469EB400" w14:textId="7D181BF7" w:rsidR="00A94A66" w:rsidRPr="007F3768" w:rsidRDefault="00A94A66" w:rsidP="007F3768">
      <w:pPr>
        <w:rPr>
          <w:lang w:val="fr-FR"/>
        </w:rPr>
      </w:pPr>
      <w:r w:rsidRPr="007F3768">
        <w:rPr>
          <w:color w:val="000000" w:themeColor="text1"/>
          <w:shd w:val="clear" w:color="auto" w:fill="FFFFFF"/>
          <w:lang w:val="fr-FR"/>
        </w:rPr>
        <w:lastRenderedPageBreak/>
        <w:t>4.06</w:t>
      </w:r>
      <w:r w:rsidRPr="007F3768">
        <w:rPr>
          <w:color w:val="000000" w:themeColor="text1"/>
          <w:shd w:val="clear" w:color="auto" w:fill="FFFFFF"/>
          <w:lang w:val="fr-FR"/>
        </w:rPr>
        <w:tab/>
        <w:t xml:space="preserve">Le </w:t>
      </w:r>
      <w:r w:rsidRPr="007F3768">
        <w:rPr>
          <w:i/>
          <w:color w:val="000000" w:themeColor="text1"/>
          <w:shd w:val="clear" w:color="auto" w:fill="FFFFFF"/>
          <w:lang w:val="fr-FR"/>
        </w:rPr>
        <w:t>point a)iii)</w:t>
      </w:r>
      <w:r w:rsidRPr="007F3768">
        <w:rPr>
          <w:color w:val="000000" w:themeColor="text1"/>
          <w:shd w:val="clear" w:color="auto" w:fill="FFFFFF"/>
          <w:lang w:val="fr-FR"/>
        </w:rPr>
        <w:t xml:space="preserve"> s’inspire de la proposition du Brésil figurant dans le “Document de travail provisoire en vue de l’élaboration d’un instrument juridique international approprié (quelle qu’en soit la forme) sur les exceptions et les limitations en faveur des établissements d’enseignement et de recherche et des personnes ayant d’autres handicaps contenant des observations et des propositions de disposition”, (document SCCR/26/4</w:t>
      </w:r>
      <w:r w:rsidR="00F309FC" w:rsidRPr="007F3768">
        <w:rPr>
          <w:color w:val="000000" w:themeColor="text1"/>
          <w:shd w:val="clear" w:color="auto" w:fill="FFFFFF"/>
          <w:lang w:val="fr-FR"/>
        </w:rPr>
        <w:t> </w:t>
      </w:r>
      <w:r w:rsidRPr="007F3768">
        <w:rPr>
          <w:color w:val="000000" w:themeColor="text1"/>
          <w:shd w:val="clear" w:color="auto" w:fill="FFFFFF"/>
          <w:lang w:val="fr-FR"/>
        </w:rPr>
        <w:t>Prov. (15 avril 2013)) (dans lequel il est indiqué : “Ne constituent pas une atteinte au droit d’auteur : la représentation ou exécution, la récitation ou l’exposition d’une œuvre, selon le cas, à des fins d’enseignement dans des établissements d’enseignement dans le cadre d’activités éducatives ou de recherche, dans la mesure justifiée par l’objectif non commercial à atteindre, dès lors que la source, y compris le nom de l’auteur, sont indiqués, sauf si cela s’avère impossible”);  Étude actualisée et analyse complémentaire de l’étude sur les limitations et exceptions relatives au droit d’auteur en faveur des activités d’enseignement (établie par le professeur Daniel</w:t>
      </w:r>
      <w:r w:rsidR="007F3768">
        <w:rPr>
          <w:color w:val="000000" w:themeColor="text1"/>
          <w:shd w:val="clear" w:color="auto" w:fill="FFFFFF"/>
          <w:lang w:val="fr-FR"/>
        </w:rPr>
        <w:t> </w:t>
      </w:r>
      <w:r w:rsidRPr="007F3768">
        <w:rPr>
          <w:color w:val="000000" w:themeColor="text1"/>
          <w:shd w:val="clear" w:color="auto" w:fill="FFFFFF"/>
          <w:lang w:val="fr-FR"/>
        </w:rPr>
        <w:t>Seng) (document</w:t>
      </w:r>
      <w:r w:rsidR="007F3768">
        <w:rPr>
          <w:color w:val="000000" w:themeColor="text1"/>
          <w:shd w:val="clear" w:color="auto" w:fill="FFFFFF"/>
          <w:lang w:val="fr-FR"/>
        </w:rPr>
        <w:t> </w:t>
      </w:r>
      <w:r w:rsidRPr="007F3768">
        <w:rPr>
          <w:color w:val="000000" w:themeColor="text1"/>
          <w:shd w:val="clear" w:color="auto" w:fill="FFFFFF"/>
          <w:lang w:val="fr-FR"/>
        </w:rPr>
        <w:t>SCCR/35/5</w:t>
      </w:r>
      <w:r w:rsidR="00F309FC" w:rsidRPr="007F3768">
        <w:rPr>
          <w:color w:val="000000" w:themeColor="text1"/>
          <w:shd w:val="clear" w:color="auto" w:fill="FFFFFF"/>
          <w:lang w:val="fr-FR"/>
        </w:rPr>
        <w:t> </w:t>
      </w:r>
      <w:proofErr w:type="spellStart"/>
      <w:r w:rsidRPr="007F3768">
        <w:rPr>
          <w:color w:val="000000" w:themeColor="text1"/>
          <w:shd w:val="clear" w:color="auto" w:fill="FFFFFF"/>
          <w:lang w:val="fr-FR"/>
        </w:rPr>
        <w:t>Rev</w:t>
      </w:r>
      <w:proofErr w:type="spellEnd"/>
      <w:r w:rsidRPr="007F3768">
        <w:rPr>
          <w:color w:val="000000" w:themeColor="text1"/>
          <w:shd w:val="clear" w:color="auto" w:fill="FFFFFF"/>
          <w:lang w:val="fr-FR"/>
        </w:rPr>
        <w:t>. (10 novembre 2017)</w:t>
      </w:r>
      <w:proofErr w:type="gramStart"/>
      <w:r w:rsidRPr="007F3768">
        <w:rPr>
          <w:color w:val="000000" w:themeColor="text1"/>
          <w:shd w:val="clear" w:color="auto" w:fill="FFFFFF"/>
          <w:lang w:val="fr-FR"/>
        </w:rPr>
        <w:t>)</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 xml:space="preserve"> SCCR</w:t>
      </w:r>
      <w:proofErr w:type="gramEnd"/>
      <w:r w:rsidRPr="007F3768">
        <w:rPr>
          <w:color w:val="000000" w:themeColor="text1"/>
          <w:shd w:val="clear" w:color="auto" w:fill="FFFFFF"/>
          <w:lang w:val="fr-FR"/>
        </w:rPr>
        <w:t>/33/</w:t>
      </w:r>
      <w:proofErr w:type="gramStart"/>
      <w:r w:rsidRPr="007F3768">
        <w:rPr>
          <w:color w:val="000000" w:themeColor="text1"/>
          <w:shd w:val="clear" w:color="auto" w:fill="FFFFFF"/>
          <w:lang w:val="fr-FR"/>
        </w:rPr>
        <w:t>6;</w:t>
      </w:r>
      <w:r w:rsidR="00F309FC" w:rsidRPr="007F3768">
        <w:rPr>
          <w:color w:val="000000" w:themeColor="text1"/>
          <w:shd w:val="clear" w:color="auto" w:fill="FFFFFF"/>
          <w:lang w:val="fr-FR"/>
        </w:rPr>
        <w:t xml:space="preserve"> </w:t>
      </w:r>
      <w:r w:rsidRPr="007F3768">
        <w:rPr>
          <w:color w:val="000000" w:themeColor="text1"/>
          <w:shd w:val="clear" w:color="auto" w:fill="FFFFFF"/>
          <w:lang w:val="fr-FR"/>
        </w:rPr>
        <w:t xml:space="preserve"> préambule</w:t>
      </w:r>
      <w:proofErr w:type="gramEnd"/>
      <w:r w:rsidRPr="007F3768">
        <w:rPr>
          <w:color w:val="000000" w:themeColor="text1"/>
          <w:shd w:val="clear" w:color="auto" w:fill="FFFFFF"/>
          <w:lang w:val="fr-FR"/>
        </w:rPr>
        <w:t xml:space="preserve"> du Traité de Beijing sur les interprétations et exécutions audiovisuelles [ci</w:t>
      </w:r>
      <w:r w:rsidR="007F3768">
        <w:rPr>
          <w:color w:val="000000" w:themeColor="text1"/>
          <w:shd w:val="clear" w:color="auto" w:fill="FFFFFF"/>
          <w:lang w:val="fr-FR"/>
        </w:rPr>
        <w:noBreakHyphen/>
      </w:r>
      <w:r w:rsidRPr="007F3768">
        <w:rPr>
          <w:color w:val="000000" w:themeColor="text1"/>
          <w:shd w:val="clear" w:color="auto" w:fill="FFFFFF"/>
          <w:lang w:val="fr-FR"/>
        </w:rPr>
        <w:t>après dénommé “Traité de Beijing”] (24 juin 2012) (“reconnaissant la nécessité de maintenir un équilibre entre les droits des artistes interprètes ou exécutants sur leurs interprétations ou exécutions audiovisuelles et l’intérêt public général, notamment en matière d’enseignement, de recherche et d’accès à l’information”).</w:t>
      </w:r>
    </w:p>
    <w:p w14:paraId="516C38F8" w14:textId="77777777" w:rsidR="00A94A66" w:rsidRPr="007F3768" w:rsidRDefault="00A94A66" w:rsidP="007F3768">
      <w:pPr>
        <w:rPr>
          <w:rFonts w:eastAsia="Times New Roman"/>
          <w:color w:val="000000" w:themeColor="text1"/>
          <w:shd w:val="clear" w:color="auto" w:fill="FFFFFF"/>
          <w:lang w:val="fr-FR"/>
        </w:rPr>
      </w:pPr>
    </w:p>
    <w:p w14:paraId="45FF933E" w14:textId="7E72F3F3" w:rsidR="00A94A66" w:rsidRPr="007F3768" w:rsidRDefault="00A94A66" w:rsidP="007F3768">
      <w:pPr>
        <w:rPr>
          <w:color w:val="000000" w:themeColor="text1"/>
          <w:shd w:val="clear" w:color="auto" w:fill="FFFFFF"/>
          <w:lang w:val="fr-FR"/>
        </w:rPr>
      </w:pPr>
      <w:r w:rsidRPr="007F3768">
        <w:rPr>
          <w:color w:val="000000" w:themeColor="text1"/>
          <w:shd w:val="clear" w:color="auto" w:fill="FFFFFF"/>
          <w:lang w:val="fr-FR"/>
        </w:rPr>
        <w:t>4.07</w:t>
      </w:r>
      <w:r w:rsidRPr="007F3768">
        <w:rPr>
          <w:color w:val="000000" w:themeColor="text1"/>
          <w:shd w:val="clear" w:color="auto" w:fill="FFFFFF"/>
          <w:lang w:val="fr-FR"/>
        </w:rPr>
        <w:tab/>
        <w:t xml:space="preserve">Le </w:t>
      </w:r>
      <w:r w:rsidRPr="007F3768">
        <w:rPr>
          <w:i/>
          <w:color w:val="000000" w:themeColor="text1"/>
          <w:shd w:val="clear" w:color="auto" w:fill="FFFFFF"/>
          <w:lang w:val="fr-FR"/>
        </w:rPr>
        <w:t>point </w:t>
      </w:r>
      <w:proofErr w:type="gramStart"/>
      <w:r w:rsidRPr="007F3768">
        <w:rPr>
          <w:i/>
          <w:color w:val="000000" w:themeColor="text1"/>
          <w:shd w:val="clear" w:color="auto" w:fill="FFFFFF"/>
          <w:lang w:val="fr-FR"/>
        </w:rPr>
        <w:t>a)iv</w:t>
      </w:r>
      <w:proofErr w:type="gramEnd"/>
      <w:r w:rsidRPr="007F3768">
        <w:rPr>
          <w:i/>
          <w:color w:val="000000" w:themeColor="text1"/>
          <w:shd w:val="clear" w:color="auto" w:fill="FFFFFF"/>
          <w:lang w:val="fr-FR"/>
        </w:rPr>
        <w:t xml:space="preserve">) </w:t>
      </w:r>
      <w:r w:rsidRPr="007F3768">
        <w:rPr>
          <w:color w:val="000000" w:themeColor="text1"/>
          <w:shd w:val="clear" w:color="auto" w:fill="FFFFFF"/>
          <w:lang w:val="fr-FR"/>
        </w:rPr>
        <w:t>fournit des exemples d’utilisations autorisées pour la réalisation et l’administration d’examens, qui sont fondés sur les dispositions d’un grand nombre de lois.</w:t>
      </w:r>
    </w:p>
    <w:p w14:paraId="0400F2CB" w14:textId="0AE31DEC" w:rsidR="00A94A66" w:rsidRPr="007F3768" w:rsidRDefault="00A94A66" w:rsidP="007F3768">
      <w:pPr>
        <w:rPr>
          <w:rFonts w:eastAsia="Times New Roman"/>
          <w:color w:val="000000" w:themeColor="text1"/>
          <w:shd w:val="clear" w:color="auto" w:fill="FFFFFF"/>
          <w:lang w:val="fr-FR"/>
        </w:rPr>
      </w:pPr>
    </w:p>
    <w:p w14:paraId="336F0B9F" w14:textId="46CF1878" w:rsidR="00A94A66" w:rsidRPr="007F3768" w:rsidRDefault="00A94A66" w:rsidP="007F3768">
      <w:pPr>
        <w:rPr>
          <w:rFonts w:eastAsia="Times New Roman"/>
          <w:color w:val="000000" w:themeColor="text1"/>
          <w:shd w:val="clear" w:color="auto" w:fill="FFFFFF"/>
          <w:lang w:val="fr-FR"/>
        </w:rPr>
      </w:pPr>
      <w:r w:rsidRPr="007F3768">
        <w:rPr>
          <w:color w:val="000000" w:themeColor="text1"/>
          <w:shd w:val="clear" w:color="auto" w:fill="FFFFFF"/>
          <w:lang w:val="fr-FR"/>
        </w:rPr>
        <w:t>4.08 Le</w:t>
      </w:r>
      <w:r w:rsidR="007F3768">
        <w:rPr>
          <w:color w:val="000000" w:themeColor="text1"/>
          <w:shd w:val="clear" w:color="auto" w:fill="FFFFFF"/>
          <w:lang w:val="fr-FR"/>
        </w:rPr>
        <w:t xml:space="preserve"> </w:t>
      </w:r>
      <w:r w:rsidRPr="007F3768">
        <w:rPr>
          <w:i/>
          <w:color w:val="000000" w:themeColor="text1"/>
          <w:shd w:val="clear" w:color="auto" w:fill="FFFFFF"/>
          <w:lang w:val="fr-FR"/>
        </w:rPr>
        <w:t>point </w:t>
      </w:r>
      <w:proofErr w:type="gramStart"/>
      <w:r w:rsidRPr="007F3768">
        <w:rPr>
          <w:i/>
          <w:color w:val="000000" w:themeColor="text1"/>
          <w:shd w:val="clear" w:color="auto" w:fill="FFFFFF"/>
          <w:lang w:val="fr-FR"/>
        </w:rPr>
        <w:t>b)i</w:t>
      </w:r>
      <w:proofErr w:type="gramEnd"/>
      <w:r w:rsidRPr="007F3768">
        <w:rPr>
          <w:i/>
          <w:color w:val="000000" w:themeColor="text1"/>
          <w:shd w:val="clear" w:color="auto" w:fill="FFFFFF"/>
          <w:lang w:val="fr-FR"/>
        </w:rPr>
        <w:t>)</w:t>
      </w:r>
      <w:r w:rsidRPr="007F3768">
        <w:rPr>
          <w:color w:val="000000" w:themeColor="text1"/>
          <w:shd w:val="clear" w:color="auto" w:fill="FFFFFF"/>
          <w:lang w:val="fr-FR"/>
        </w:rPr>
        <w:t xml:space="preserve"> suit le document</w:t>
      </w:r>
      <w:r w:rsidR="007F3768">
        <w:rPr>
          <w:color w:val="000000" w:themeColor="text1"/>
          <w:shd w:val="clear" w:color="auto" w:fill="FFFFFF"/>
          <w:lang w:val="fr-FR"/>
        </w:rPr>
        <w:t> </w:t>
      </w:r>
      <w:r w:rsidRPr="007F3768">
        <w:rPr>
          <w:color w:val="000000" w:themeColor="text1"/>
          <w:shd w:val="clear" w:color="auto" w:fill="FFFFFF"/>
          <w:lang w:val="fr-FR"/>
        </w:rPr>
        <w:t>SCCR/33/6 qui indique que “332</w:t>
      </w:r>
      <w:r w:rsidR="007F3768">
        <w:rPr>
          <w:color w:val="000000" w:themeColor="text1"/>
          <w:shd w:val="clear" w:color="auto" w:fill="FFFFFF"/>
          <w:lang w:val="fr-FR"/>
        </w:rPr>
        <w:t> </w:t>
      </w:r>
      <w:r w:rsidRPr="007F3768">
        <w:rPr>
          <w:color w:val="000000" w:themeColor="text1"/>
          <w:shd w:val="clear" w:color="auto" w:fill="FFFFFF"/>
          <w:lang w:val="fr-FR"/>
        </w:rPr>
        <w:t>dispositions de 189 États membres ont trait à l’utilisation à des fins privées ou personnelles”, avant de conclure : “Le nombre significatif de dispositions se rapportant à l’utilisation à des fins privées ou personnelles témoigne de leur pertinence dans la mesure où elles avalisent la perspective de l’autoapprentissage dans le cadre de l’enseignement”.</w:t>
      </w:r>
    </w:p>
    <w:p w14:paraId="461D9D3E" w14:textId="77777777" w:rsidR="00A94A66" w:rsidRPr="007F3768" w:rsidRDefault="00A94A66" w:rsidP="007F3768">
      <w:pPr>
        <w:rPr>
          <w:rFonts w:eastAsia="Times New Roman"/>
          <w:color w:val="000000" w:themeColor="text1"/>
          <w:shd w:val="clear" w:color="auto" w:fill="FFFFFF"/>
          <w:lang w:val="fr-FR"/>
        </w:rPr>
      </w:pPr>
    </w:p>
    <w:p w14:paraId="79261C20" w14:textId="1B05A5B8" w:rsidR="00A94A66" w:rsidRPr="007F3768" w:rsidRDefault="00A94A66" w:rsidP="007F3768">
      <w:pPr>
        <w:rPr>
          <w:rFonts w:eastAsia="Times New Roman"/>
          <w:color w:val="000000" w:themeColor="text1"/>
          <w:lang w:val="fr-FR"/>
        </w:rPr>
      </w:pPr>
      <w:r w:rsidRPr="007F3768">
        <w:rPr>
          <w:color w:val="000000" w:themeColor="text1"/>
          <w:lang w:val="fr-FR"/>
        </w:rPr>
        <w:t>4.09</w:t>
      </w:r>
      <w:r w:rsidRPr="007F3768">
        <w:rPr>
          <w:color w:val="000000" w:themeColor="text1"/>
          <w:lang w:val="fr-FR"/>
        </w:rPr>
        <w:tab/>
        <w:t xml:space="preserve">Le </w:t>
      </w:r>
      <w:r w:rsidRPr="007F3768">
        <w:rPr>
          <w:i/>
          <w:color w:val="000000" w:themeColor="text1"/>
          <w:lang w:val="fr-FR"/>
        </w:rPr>
        <w:t>point </w:t>
      </w:r>
      <w:proofErr w:type="gramStart"/>
      <w:r w:rsidRPr="007F3768">
        <w:rPr>
          <w:i/>
          <w:color w:val="000000" w:themeColor="text1"/>
          <w:lang w:val="fr-FR"/>
        </w:rPr>
        <w:t>b)ii</w:t>
      </w:r>
      <w:proofErr w:type="gramEnd"/>
      <w:r w:rsidRPr="007F3768">
        <w:rPr>
          <w:i/>
          <w:color w:val="000000" w:themeColor="text1"/>
          <w:lang w:val="fr-FR"/>
        </w:rPr>
        <w:t xml:space="preserve">) </w:t>
      </w:r>
      <w:r w:rsidRPr="007F3768">
        <w:rPr>
          <w:color w:val="000000" w:themeColor="text1"/>
          <w:lang w:val="fr-FR"/>
        </w:rPr>
        <w:t>contient des exemples d’utilisations autorisées dans des travaux scolaires et des réponses fournies dans le cadre d’examens.</w:t>
      </w:r>
    </w:p>
    <w:p w14:paraId="4611F834" w14:textId="77777777" w:rsidR="00A94A66" w:rsidRPr="007F3768" w:rsidRDefault="00A94A66" w:rsidP="007F3768">
      <w:pPr>
        <w:rPr>
          <w:rFonts w:eastAsia="Times New Roman"/>
          <w:color w:val="000000" w:themeColor="text1"/>
          <w:lang w:val="fr-FR"/>
        </w:rPr>
      </w:pPr>
    </w:p>
    <w:p w14:paraId="3A6BB10B" w14:textId="35A3B4DF" w:rsidR="00A94A66" w:rsidRPr="007F3768" w:rsidRDefault="00A94A66" w:rsidP="007F3768">
      <w:pPr>
        <w:rPr>
          <w:rFonts w:eastAsia="Times New Roman"/>
          <w:color w:val="000000" w:themeColor="text1"/>
          <w:lang w:val="fr-FR"/>
        </w:rPr>
      </w:pPr>
      <w:r w:rsidRPr="007F3768">
        <w:rPr>
          <w:color w:val="000000" w:themeColor="text1"/>
          <w:lang w:val="fr-FR"/>
        </w:rPr>
        <w:t>4.10</w:t>
      </w:r>
      <w:r w:rsidRPr="007F3768">
        <w:rPr>
          <w:color w:val="000000" w:themeColor="text1"/>
          <w:lang w:val="fr-FR"/>
        </w:rPr>
        <w:tab/>
        <w:t xml:space="preserve">Le </w:t>
      </w:r>
      <w:r w:rsidRPr="007F3768">
        <w:rPr>
          <w:i/>
          <w:color w:val="000000" w:themeColor="text1"/>
          <w:lang w:val="fr-FR"/>
        </w:rPr>
        <w:t xml:space="preserve">point b)iii) </w:t>
      </w:r>
      <w:r w:rsidRPr="007F3768">
        <w:rPr>
          <w:color w:val="000000" w:themeColor="text1"/>
          <w:lang w:val="fr-FR"/>
        </w:rPr>
        <w:t>est fondé sur le thème n° 11 du diagramme informel relatif aux limitations et exceptions en faveur des bibliothèques et des services d’archives établi par le président (document</w:t>
      </w:r>
      <w:r w:rsidR="007F3768">
        <w:rPr>
          <w:color w:val="000000" w:themeColor="text1"/>
          <w:lang w:val="fr-FR"/>
        </w:rPr>
        <w:t> </w:t>
      </w:r>
      <w:r w:rsidRPr="007F3768">
        <w:rPr>
          <w:color w:val="000000" w:themeColor="text1"/>
          <w:lang w:val="fr-FR"/>
        </w:rPr>
        <w:t xml:space="preserve">SCCR/33/Chart on </w:t>
      </w:r>
      <w:proofErr w:type="spellStart"/>
      <w:r w:rsidRPr="007F3768">
        <w:rPr>
          <w:color w:val="000000" w:themeColor="text1"/>
          <w:lang w:val="fr-FR"/>
        </w:rPr>
        <w:t>Libraries</w:t>
      </w:r>
      <w:proofErr w:type="spellEnd"/>
      <w:r w:rsidRPr="007F3768">
        <w:rPr>
          <w:color w:val="000000" w:themeColor="text1"/>
          <w:lang w:val="fr-FR"/>
        </w:rPr>
        <w:t xml:space="preserve"> and Archives (24 novembre 2016); </w:t>
      </w:r>
      <w:r w:rsidR="00F309FC" w:rsidRPr="007F3768">
        <w:rPr>
          <w:color w:val="000000" w:themeColor="text1"/>
          <w:lang w:val="fr-FR"/>
        </w:rPr>
        <w:t xml:space="preserve"> </w:t>
      </w:r>
      <w:r w:rsidRPr="007F3768">
        <w:rPr>
          <w:color w:val="000000" w:themeColor="text1"/>
          <w:lang w:val="fr-FR"/>
        </w:rPr>
        <w:t>proposition du groupe des pays africains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 xml:space="preserve">Prov. (permettant l’utilisation non autorisée “d’une œuvre ou d’un objet de droits connexes dans un établissement d’enseignement ou un institut de recherche, ou par des enseignants ou des étudiants, à des fins de recherche… uniquement à des fins de traduction, d’essai, d’étude ou de recherche scientifique, sous réserve d’indiquer, à moins que cela ne s’avère impossible, la source, y compris le nom de l’auteur”) (autorisant “tout établissement d’enseignement ou institut de recherche ayant son domicile sur le territoire d’une partie contractante” “à des fins d’enseignement, d’études personnelles ou de recherche” à “traduire une œuvre dans une langue et publier la traduction sur papier ou sous une forme de reproduction analogue; </w:t>
      </w:r>
      <w:r w:rsidR="00F309FC" w:rsidRPr="007F3768">
        <w:rPr>
          <w:color w:val="000000" w:themeColor="text1"/>
          <w:lang w:val="fr-FR"/>
        </w:rPr>
        <w:t xml:space="preserve"> </w:t>
      </w:r>
      <w:r w:rsidRPr="007F3768">
        <w:rPr>
          <w:color w:val="000000" w:themeColor="text1"/>
          <w:lang w:val="fr-FR"/>
        </w:rPr>
        <w:t>et à reproduire l’œuvre traduite et la publier”).</w:t>
      </w:r>
    </w:p>
    <w:p w14:paraId="5073B7C8" w14:textId="77777777" w:rsidR="00A94A66" w:rsidRPr="007F3768" w:rsidRDefault="00A94A66" w:rsidP="007F3768">
      <w:pPr>
        <w:rPr>
          <w:rFonts w:eastAsia="Times New Roman"/>
          <w:color w:val="000000" w:themeColor="text1"/>
          <w:lang w:val="fr-FR"/>
        </w:rPr>
      </w:pPr>
    </w:p>
    <w:p w14:paraId="025E43C2" w14:textId="77777777" w:rsidR="00A94A66" w:rsidRPr="007F3768" w:rsidRDefault="00A94A66" w:rsidP="007F3768">
      <w:pPr>
        <w:rPr>
          <w:rFonts w:eastAsia="Times New Roman"/>
          <w:color w:val="000000" w:themeColor="text1"/>
          <w:lang w:val="fr-FR"/>
        </w:rPr>
      </w:pPr>
    </w:p>
    <w:p w14:paraId="755A239E" w14:textId="1C0CD05E" w:rsidR="00A94A66" w:rsidRPr="007F3768" w:rsidRDefault="00A94A66" w:rsidP="007F3768">
      <w:pPr>
        <w:jc w:val="right"/>
        <w:rPr>
          <w:rFonts w:eastAsia="Times New Roman"/>
          <w:color w:val="000000" w:themeColor="text1"/>
          <w:lang w:val="fr-FR"/>
        </w:rPr>
      </w:pPr>
      <w:r w:rsidRPr="007F3768">
        <w:rPr>
          <w:color w:val="000000" w:themeColor="text1"/>
          <w:lang w:val="fr-FR"/>
        </w:rPr>
        <w:t>[Suite des notes explicatives relatives à l’article 4, page 2</w:t>
      </w:r>
      <w:r w:rsidR="002263FF">
        <w:rPr>
          <w:color w:val="000000" w:themeColor="text1"/>
          <w:lang w:val="fr-FR"/>
        </w:rPr>
        <w:t>3</w:t>
      </w:r>
      <w:r w:rsidRPr="007F3768">
        <w:rPr>
          <w:color w:val="000000" w:themeColor="text1"/>
          <w:lang w:val="fr-FR"/>
        </w:rPr>
        <w:t>]</w:t>
      </w:r>
    </w:p>
    <w:p w14:paraId="3C2AA435" w14:textId="77777777" w:rsidR="002263FF" w:rsidRDefault="002263FF">
      <w:pPr>
        <w:rPr>
          <w:rFonts w:eastAsiaTheme="minorHAnsi" w:cstheme="minorBidi"/>
          <w:color w:val="000000"/>
          <w:szCs w:val="22"/>
          <w:lang w:val="fr-FR" w:eastAsia="en-US"/>
        </w:rPr>
      </w:pPr>
      <w:r>
        <w:rPr>
          <w:color w:val="000000"/>
        </w:rPr>
        <w:br w:type="page"/>
      </w:r>
    </w:p>
    <w:p w14:paraId="0D140772" w14:textId="0FEAC23F" w:rsidR="00A94A66" w:rsidRPr="007F3768" w:rsidRDefault="00A94A66" w:rsidP="002263FF">
      <w:pPr>
        <w:pStyle w:val="ListParagraph"/>
        <w:numPr>
          <w:ilvl w:val="1"/>
          <w:numId w:val="8"/>
        </w:numPr>
        <w:spacing w:after="0" w:line="480" w:lineRule="auto"/>
        <w:ind w:left="1701" w:hanging="567"/>
        <w:jc w:val="left"/>
        <w:rPr>
          <w:rFonts w:ascii="Arial" w:hAnsi="Arial"/>
          <w:color w:val="000000"/>
        </w:rPr>
      </w:pPr>
      <w:proofErr w:type="gramStart"/>
      <w:r w:rsidRPr="007F3768">
        <w:rPr>
          <w:rFonts w:ascii="Arial" w:hAnsi="Arial"/>
          <w:color w:val="000000"/>
        </w:rPr>
        <w:lastRenderedPageBreak/>
        <w:t>la</w:t>
      </w:r>
      <w:proofErr w:type="gramEnd"/>
      <w:r w:rsidRPr="007F3768">
        <w:rPr>
          <w:rFonts w:ascii="Arial" w:hAnsi="Arial"/>
          <w:color w:val="000000"/>
        </w:rPr>
        <w:t xml:space="preserve"> réalisation et la distribution de copies ou d’extraits destinés à être utilisés dans le cadre d’un </w:t>
      </w:r>
      <w:proofErr w:type="gramStart"/>
      <w:r w:rsidRPr="007F3768">
        <w:rPr>
          <w:rFonts w:ascii="Arial" w:hAnsi="Arial"/>
          <w:color w:val="000000"/>
        </w:rPr>
        <w:t xml:space="preserve">cours; </w:t>
      </w:r>
      <w:r w:rsidR="00F309FC" w:rsidRPr="007F3768">
        <w:rPr>
          <w:rFonts w:ascii="Arial" w:hAnsi="Arial"/>
          <w:color w:val="000000"/>
        </w:rPr>
        <w:t xml:space="preserve"> </w:t>
      </w:r>
      <w:r w:rsidRPr="007F3768">
        <w:rPr>
          <w:rFonts w:ascii="Arial" w:hAnsi="Arial"/>
          <w:color w:val="000000"/>
        </w:rPr>
        <w:t>et</w:t>
      </w:r>
      <w:proofErr w:type="gramEnd"/>
    </w:p>
    <w:p w14:paraId="5B77FD54" w14:textId="2A78B047" w:rsidR="00A94A66" w:rsidRPr="007F3768" w:rsidRDefault="00A94A66" w:rsidP="002263FF">
      <w:pPr>
        <w:pStyle w:val="ListParagraph"/>
        <w:numPr>
          <w:ilvl w:val="1"/>
          <w:numId w:val="8"/>
        </w:numPr>
        <w:spacing w:after="0" w:line="480" w:lineRule="auto"/>
        <w:ind w:left="1701" w:hanging="567"/>
        <w:jc w:val="left"/>
      </w:pPr>
      <w:proofErr w:type="gramStart"/>
      <w:r w:rsidRPr="007F3768">
        <w:rPr>
          <w:rFonts w:ascii="Arial" w:hAnsi="Arial"/>
          <w:color w:val="000000"/>
        </w:rPr>
        <w:t>l’élaboration</w:t>
      </w:r>
      <w:proofErr w:type="gramEnd"/>
      <w:r w:rsidRPr="007F3768">
        <w:rPr>
          <w:rFonts w:ascii="Arial" w:hAnsi="Arial"/>
          <w:color w:val="000000"/>
        </w:rPr>
        <w:t xml:space="preserve"> et l’administration d’examens, y compris la rédaction de questions et leur communication aux </w:t>
      </w:r>
      <w:proofErr w:type="gramStart"/>
      <w:r w:rsidRPr="007F3768">
        <w:rPr>
          <w:rFonts w:ascii="Arial" w:hAnsi="Arial"/>
          <w:color w:val="000000"/>
        </w:rPr>
        <w:t>étudiants;</w:t>
      </w:r>
      <w:proofErr w:type="gramEnd"/>
    </w:p>
    <w:p w14:paraId="4C352FC8" w14:textId="0757774A" w:rsidR="00A94A66" w:rsidRPr="007F3768" w:rsidRDefault="00A94A66" w:rsidP="002263FF">
      <w:pPr>
        <w:numPr>
          <w:ilvl w:val="0"/>
          <w:numId w:val="8"/>
        </w:numPr>
        <w:suppressAutoHyphens/>
        <w:spacing w:line="480" w:lineRule="auto"/>
        <w:ind w:left="1134" w:hanging="567"/>
        <w:rPr>
          <w:lang w:val="fr-FR"/>
        </w:rPr>
      </w:pPr>
      <w:proofErr w:type="gramStart"/>
      <w:r w:rsidRPr="007F3768">
        <w:rPr>
          <w:color w:val="000000"/>
          <w:lang w:val="fr-FR"/>
        </w:rPr>
        <w:t>les</w:t>
      </w:r>
      <w:proofErr w:type="gramEnd"/>
      <w:r w:rsidRPr="007F3768">
        <w:rPr>
          <w:color w:val="000000"/>
          <w:lang w:val="fr-FR"/>
        </w:rPr>
        <w:t xml:space="preserve"> utilisations dans le cadre d’activités d’enseignement, telles que :</w:t>
      </w:r>
    </w:p>
    <w:p w14:paraId="265EB178" w14:textId="1911B9CE" w:rsidR="00A94A66" w:rsidRPr="007F3768" w:rsidRDefault="00A94A66" w:rsidP="002263FF">
      <w:pPr>
        <w:pStyle w:val="ListParagraph"/>
        <w:numPr>
          <w:ilvl w:val="1"/>
          <w:numId w:val="8"/>
        </w:numPr>
        <w:spacing w:after="0" w:line="480" w:lineRule="auto"/>
        <w:ind w:left="1701" w:hanging="567"/>
        <w:jc w:val="left"/>
        <w:rPr>
          <w:rFonts w:ascii="Arial" w:hAnsi="Arial"/>
          <w:color w:val="000000"/>
        </w:rPr>
      </w:pPr>
      <w:proofErr w:type="gramStart"/>
      <w:r w:rsidRPr="007F3768">
        <w:rPr>
          <w:rFonts w:ascii="Arial" w:hAnsi="Arial"/>
          <w:color w:val="000000"/>
        </w:rPr>
        <w:t>la</w:t>
      </w:r>
      <w:proofErr w:type="gramEnd"/>
      <w:r w:rsidRPr="007F3768">
        <w:rPr>
          <w:rFonts w:ascii="Arial" w:hAnsi="Arial"/>
          <w:color w:val="000000"/>
        </w:rPr>
        <w:t xml:space="preserve"> réalisation de copies privées à des fins </w:t>
      </w:r>
      <w:proofErr w:type="gramStart"/>
      <w:r w:rsidRPr="007F3768">
        <w:rPr>
          <w:rFonts w:ascii="Arial" w:hAnsi="Arial"/>
          <w:color w:val="000000"/>
        </w:rPr>
        <w:t>d’étude;</w:t>
      </w:r>
      <w:proofErr w:type="gramEnd"/>
    </w:p>
    <w:p w14:paraId="1E992928" w14:textId="0942682F" w:rsidR="00A94A66" w:rsidRPr="007F3768" w:rsidRDefault="00A94A66" w:rsidP="002263FF">
      <w:pPr>
        <w:pStyle w:val="ListParagraph"/>
        <w:numPr>
          <w:ilvl w:val="1"/>
          <w:numId w:val="8"/>
        </w:numPr>
        <w:spacing w:after="0" w:line="480" w:lineRule="auto"/>
        <w:ind w:left="1701" w:hanging="567"/>
        <w:jc w:val="left"/>
        <w:rPr>
          <w:rFonts w:ascii="Arial" w:hAnsi="Arial"/>
          <w:color w:val="000000"/>
        </w:rPr>
      </w:pPr>
      <w:proofErr w:type="gramStart"/>
      <w:r w:rsidRPr="007F3768">
        <w:rPr>
          <w:rFonts w:ascii="Arial" w:hAnsi="Arial"/>
          <w:color w:val="000000"/>
        </w:rPr>
        <w:t>y</w:t>
      </w:r>
      <w:proofErr w:type="gramEnd"/>
      <w:r w:rsidRPr="007F3768">
        <w:rPr>
          <w:rFonts w:ascii="Arial" w:hAnsi="Arial"/>
          <w:color w:val="000000"/>
        </w:rPr>
        <w:t xml:space="preserve"> compris les œuvres des arts visuels, les œuvres courtes et autres objets, ainsi que les extraits d’œuvres plus longues ou d’autres objets dans des travaux scolaires et des réponses fournies dans le cadre </w:t>
      </w:r>
      <w:proofErr w:type="gramStart"/>
      <w:r w:rsidRPr="007F3768">
        <w:rPr>
          <w:rFonts w:ascii="Arial" w:hAnsi="Arial"/>
          <w:color w:val="000000"/>
        </w:rPr>
        <w:t>d’examens;</w:t>
      </w:r>
      <w:proofErr w:type="gramEnd"/>
    </w:p>
    <w:p w14:paraId="3FA5761B" w14:textId="7DB2DE93" w:rsidR="00A94A66" w:rsidRPr="007F3768" w:rsidRDefault="00A94A66" w:rsidP="002263FF">
      <w:pPr>
        <w:pStyle w:val="ListParagraph"/>
        <w:numPr>
          <w:ilvl w:val="1"/>
          <w:numId w:val="8"/>
        </w:numPr>
        <w:spacing w:after="0" w:line="480" w:lineRule="auto"/>
        <w:ind w:left="1701" w:hanging="567"/>
        <w:jc w:val="left"/>
        <w:rPr>
          <w:rFonts w:ascii="Arial" w:eastAsia="Times New Roman" w:hAnsi="Arial" w:cs="Arial"/>
          <w:color w:val="000000"/>
        </w:rPr>
      </w:pPr>
      <w:proofErr w:type="gramStart"/>
      <w:r w:rsidRPr="007F3768">
        <w:rPr>
          <w:rFonts w:ascii="Arial" w:hAnsi="Arial"/>
          <w:color w:val="000000"/>
        </w:rPr>
        <w:t>les</w:t>
      </w:r>
      <w:proofErr w:type="gramEnd"/>
      <w:r w:rsidRPr="007F3768">
        <w:rPr>
          <w:rFonts w:ascii="Arial" w:hAnsi="Arial"/>
          <w:color w:val="000000"/>
        </w:rPr>
        <w:t xml:space="preserve"> traductions ou adaptations de toute autre manière aux fins d’une utilisation dans des devoirs et des </w:t>
      </w:r>
      <w:proofErr w:type="gramStart"/>
      <w:r w:rsidRPr="007F3768">
        <w:rPr>
          <w:rFonts w:ascii="Arial" w:hAnsi="Arial"/>
          <w:color w:val="000000"/>
        </w:rPr>
        <w:t xml:space="preserve">examens; </w:t>
      </w:r>
      <w:r w:rsidR="00F309FC" w:rsidRPr="007F3768">
        <w:rPr>
          <w:rFonts w:ascii="Arial" w:hAnsi="Arial"/>
          <w:color w:val="000000"/>
        </w:rPr>
        <w:t xml:space="preserve"> </w:t>
      </w:r>
      <w:r w:rsidRPr="007F3768">
        <w:rPr>
          <w:rFonts w:ascii="Arial" w:hAnsi="Arial"/>
          <w:color w:val="000000"/>
        </w:rPr>
        <w:t>et</w:t>
      </w:r>
      <w:proofErr w:type="gramEnd"/>
    </w:p>
    <w:p w14:paraId="49B0C78B" w14:textId="77777777" w:rsidR="00A94A66" w:rsidRDefault="00A94A66" w:rsidP="002263FF">
      <w:pPr>
        <w:spacing w:line="480" w:lineRule="auto"/>
        <w:jc w:val="right"/>
        <w:rPr>
          <w:rFonts w:eastAsia="Times New Roman"/>
          <w:color w:val="000000"/>
          <w:lang w:val="fr-FR"/>
        </w:rPr>
      </w:pPr>
    </w:p>
    <w:p w14:paraId="5A28CBDA" w14:textId="77777777" w:rsidR="002263FF" w:rsidRPr="007F3768" w:rsidRDefault="002263FF" w:rsidP="002263FF">
      <w:pPr>
        <w:spacing w:line="480" w:lineRule="auto"/>
        <w:jc w:val="right"/>
        <w:rPr>
          <w:rFonts w:eastAsia="Times New Roman"/>
          <w:color w:val="000000"/>
          <w:lang w:val="fr-FR"/>
        </w:rPr>
      </w:pPr>
    </w:p>
    <w:p w14:paraId="6691ABBA" w14:textId="3809F33D" w:rsidR="00A94A66" w:rsidRPr="002263FF" w:rsidRDefault="00A94A66" w:rsidP="002263FF">
      <w:pPr>
        <w:pStyle w:val="ListParagraph"/>
        <w:spacing w:after="0" w:line="480" w:lineRule="auto"/>
        <w:jc w:val="right"/>
        <w:rPr>
          <w:rFonts w:ascii="Arial" w:eastAsia="Times New Roman" w:hAnsi="Arial" w:cs="Arial"/>
          <w:color w:val="000000"/>
        </w:rPr>
      </w:pPr>
      <w:r w:rsidRPr="007F3768">
        <w:rPr>
          <w:rFonts w:ascii="Arial" w:hAnsi="Arial"/>
          <w:color w:val="000000"/>
        </w:rPr>
        <w:t>[Suite de l’article 4, page 2</w:t>
      </w:r>
      <w:r w:rsidR="002263FF">
        <w:rPr>
          <w:rFonts w:ascii="Arial" w:hAnsi="Arial"/>
          <w:color w:val="000000"/>
        </w:rPr>
        <w:t>4</w:t>
      </w:r>
      <w:r w:rsidRPr="007F3768">
        <w:rPr>
          <w:rFonts w:ascii="Arial" w:hAnsi="Arial"/>
          <w:color w:val="000000"/>
        </w:rPr>
        <w:t>]</w:t>
      </w:r>
    </w:p>
    <w:p w14:paraId="14CD0864" w14:textId="253E6ABD" w:rsidR="00A94A66" w:rsidRPr="007F3768" w:rsidRDefault="00A94A66" w:rsidP="007F3768">
      <w:pPr>
        <w:spacing w:line="480" w:lineRule="auto"/>
        <w:rPr>
          <w:color w:val="000000"/>
          <w:lang w:val="fr-FR"/>
        </w:rPr>
      </w:pPr>
      <w:r w:rsidRPr="007F3768">
        <w:rPr>
          <w:lang w:val="fr-FR"/>
        </w:rPr>
        <w:br w:type="page"/>
      </w:r>
    </w:p>
    <w:p w14:paraId="18C79269" w14:textId="3DB0A89B" w:rsidR="00A94A66" w:rsidRPr="007F3768" w:rsidRDefault="00A94A66" w:rsidP="007F3768">
      <w:pPr>
        <w:rPr>
          <w:rFonts w:eastAsia="Times New Roman"/>
          <w:color w:val="000000" w:themeColor="text1"/>
          <w:lang w:val="fr-FR"/>
        </w:rPr>
      </w:pPr>
      <w:r w:rsidRPr="007F3768">
        <w:rPr>
          <w:color w:val="000000" w:themeColor="text1"/>
          <w:lang w:val="fr-FR"/>
        </w:rPr>
        <w:lastRenderedPageBreak/>
        <w:t>4.11</w:t>
      </w:r>
      <w:r w:rsidRPr="007F3768">
        <w:rPr>
          <w:color w:val="000000" w:themeColor="text1"/>
          <w:lang w:val="fr-FR"/>
        </w:rPr>
        <w:tab/>
        <w:t xml:space="preserve">Le </w:t>
      </w:r>
      <w:r w:rsidRPr="007F3768">
        <w:rPr>
          <w:i/>
          <w:color w:val="000000" w:themeColor="text1"/>
          <w:lang w:val="fr-FR"/>
        </w:rPr>
        <w:t xml:space="preserve">point b)iv) </w:t>
      </w:r>
      <w:r w:rsidRPr="007F3768">
        <w:rPr>
          <w:color w:val="000000" w:themeColor="text1"/>
          <w:lang w:val="fr-FR"/>
        </w:rPr>
        <w:t>suit la proposition du Brésil figurant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 xml:space="preserve">Prov. (selon laquelle ne constituent pas une atteinte au droit d’auteur “la représentation ou exécution, la récitation ou l’exposition d’une œuvre, selon le cas, à des fins d’enseignement dans des établissements d’enseignement dans le cadre d’activités éducatives ou de recherche, dans la mesure justifiée par l’objectif non commercial à atteindre, dès lors que la source, y compris le nom de l’auteur, sont indiqués, sauf si cela s’avère impossible”); </w:t>
      </w:r>
      <w:r w:rsidR="00F309FC" w:rsidRPr="007F3768">
        <w:rPr>
          <w:color w:val="000000" w:themeColor="text1"/>
          <w:lang w:val="fr-FR"/>
        </w:rPr>
        <w:t xml:space="preserve"> </w:t>
      </w:r>
      <w:r w:rsidRPr="007F3768">
        <w:rPr>
          <w:i/>
          <w:color w:val="000000" w:themeColor="text1"/>
          <w:lang w:val="fr-FR"/>
        </w:rPr>
        <w:t>voir aussi</w:t>
      </w:r>
      <w:r w:rsidRPr="007F3768">
        <w:rPr>
          <w:color w:val="000000" w:themeColor="text1"/>
          <w:lang w:val="fr-FR"/>
        </w:rPr>
        <w:t xml:space="preserve"> la proposition du groupe des pays africains figurant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 xml:space="preserve">Prov. (permettant, “sans l’autorisation du titulaire du droit d’auteur, de réaliser un format accessible pour une œuvre, de mettre ce format, ou des copies de ce format, à la disposition des déficients visuels par tous les moyens possibles, y compris au moyen d’un prêt non commercial ou d’une communication électronique par fil ou sans fil…”, sous réserve de certaines conditions); </w:t>
      </w:r>
      <w:r w:rsidR="00F309FC" w:rsidRPr="007F3768">
        <w:rPr>
          <w:color w:val="000000" w:themeColor="text1"/>
          <w:lang w:val="fr-FR"/>
        </w:rPr>
        <w:t xml:space="preserve"> </w:t>
      </w:r>
      <w:r w:rsidRPr="007F3768">
        <w:rPr>
          <w:color w:val="000000" w:themeColor="text1"/>
          <w:lang w:val="fr-FR"/>
        </w:rPr>
        <w:t>SCCR/35/5</w:t>
      </w:r>
      <w:r w:rsidR="00F309FC" w:rsidRPr="007F3768">
        <w:rPr>
          <w:color w:val="000000" w:themeColor="text1"/>
          <w:lang w:val="fr-FR"/>
        </w:rPr>
        <w:t> </w:t>
      </w:r>
      <w:proofErr w:type="spellStart"/>
      <w:r w:rsidRPr="007F3768">
        <w:rPr>
          <w:color w:val="000000" w:themeColor="text1"/>
          <w:lang w:val="fr-FR"/>
        </w:rPr>
        <w:t>Rev</w:t>
      </w:r>
      <w:proofErr w:type="spellEnd"/>
      <w:r w:rsidR="00F309FC" w:rsidRPr="007F3768">
        <w:rPr>
          <w:color w:val="000000" w:themeColor="text1"/>
          <w:lang w:val="fr-FR"/>
        </w:rPr>
        <w:t xml:space="preserve">.; </w:t>
      </w:r>
      <w:r w:rsidRPr="007F3768">
        <w:rPr>
          <w:color w:val="000000" w:themeColor="text1"/>
          <w:lang w:val="fr-FR"/>
        </w:rPr>
        <w:t xml:space="preserve"> SCCR/33/6;</w:t>
      </w:r>
      <w:r w:rsidR="00F309FC" w:rsidRPr="007F3768">
        <w:rPr>
          <w:color w:val="000000" w:themeColor="text1"/>
          <w:lang w:val="fr-FR"/>
        </w:rPr>
        <w:t xml:space="preserve"> </w:t>
      </w:r>
      <w:r w:rsidRPr="007F3768">
        <w:rPr>
          <w:color w:val="000000" w:themeColor="text1"/>
          <w:lang w:val="fr-FR"/>
        </w:rPr>
        <w:t xml:space="preserve"> préambule du Traité de Beijing (“reconnaissant la nécessité de maintenir un équilibre entre les droits des artistes interprètes ou exécutants sur leurs interprétations ou exécutions audiovisuelles et l’intérêt public général, notamment en matière d’enseignement, de recherche et d’accès à l’information”); </w:t>
      </w:r>
      <w:r w:rsidR="00F309FC" w:rsidRPr="007F3768">
        <w:rPr>
          <w:color w:val="000000" w:themeColor="text1"/>
          <w:lang w:val="fr-FR"/>
        </w:rPr>
        <w:t xml:space="preserve"> </w:t>
      </w:r>
      <w:r w:rsidRPr="007F3768">
        <w:rPr>
          <w:color w:val="000000" w:themeColor="text1"/>
          <w:lang w:val="fr-FR"/>
        </w:rPr>
        <w:t>préambule du Traité de l’</w:t>
      </w:r>
      <w:proofErr w:type="spellStart"/>
      <w:r w:rsidRPr="007F3768">
        <w:rPr>
          <w:color w:val="000000" w:themeColor="text1"/>
          <w:lang w:val="fr-FR"/>
        </w:rPr>
        <w:t>OMPI</w:t>
      </w:r>
      <w:proofErr w:type="spellEnd"/>
      <w:r w:rsidRPr="007F3768">
        <w:rPr>
          <w:color w:val="000000" w:themeColor="text1"/>
          <w:lang w:val="fr-FR"/>
        </w:rPr>
        <w:t xml:space="preserve"> sur les interprétations et exécutions et les phonogrammes (20 décembre 1996) (“reconnaissant la nécessité de maintenir un équilibre entre les droits des artistes interprètes ou exécutants et des producteurs de phonogrammes et l’intérêt public général, notamment en matière d’enseignement, de recherche et d’accès à l’information”).</w:t>
      </w:r>
    </w:p>
    <w:p w14:paraId="3B4894D2" w14:textId="77777777" w:rsidR="00A94A66" w:rsidRPr="007F3768" w:rsidRDefault="00A94A66" w:rsidP="007F3768">
      <w:pPr>
        <w:rPr>
          <w:rFonts w:eastAsia="Times New Roman"/>
          <w:color w:val="000000" w:themeColor="text1"/>
          <w:lang w:val="fr-FR"/>
        </w:rPr>
      </w:pPr>
    </w:p>
    <w:p w14:paraId="6AEED52F" w14:textId="65C4E59B" w:rsidR="00A94A66" w:rsidRPr="007F3768" w:rsidRDefault="00A94A66" w:rsidP="007F3768">
      <w:pPr>
        <w:rPr>
          <w:color w:val="000000" w:themeColor="text1"/>
          <w:lang w:val="fr-FR"/>
        </w:rPr>
      </w:pPr>
      <w:r w:rsidRPr="007F3768">
        <w:rPr>
          <w:color w:val="000000" w:themeColor="text1"/>
          <w:lang w:val="fr-FR"/>
        </w:rPr>
        <w:t>4.12</w:t>
      </w:r>
      <w:r w:rsidRPr="007F3768">
        <w:rPr>
          <w:color w:val="000000" w:themeColor="text1"/>
          <w:lang w:val="fr-FR"/>
        </w:rPr>
        <w:tab/>
        <w:t xml:space="preserve">Le </w:t>
      </w:r>
      <w:r w:rsidRPr="007F3768">
        <w:rPr>
          <w:i/>
          <w:color w:val="000000" w:themeColor="text1"/>
          <w:lang w:val="fr-FR"/>
        </w:rPr>
        <w:t>point </w:t>
      </w:r>
      <w:proofErr w:type="gramStart"/>
      <w:r w:rsidRPr="007F3768">
        <w:rPr>
          <w:i/>
          <w:color w:val="000000" w:themeColor="text1"/>
          <w:lang w:val="fr-FR"/>
        </w:rPr>
        <w:t>c)i</w:t>
      </w:r>
      <w:proofErr w:type="gramEnd"/>
      <w:r w:rsidRPr="007F3768">
        <w:rPr>
          <w:i/>
          <w:color w:val="000000" w:themeColor="text1"/>
          <w:lang w:val="fr-FR"/>
        </w:rPr>
        <w:t xml:space="preserve">) </w:t>
      </w:r>
      <w:r w:rsidRPr="007F3768">
        <w:rPr>
          <w:color w:val="000000" w:themeColor="text1"/>
          <w:lang w:val="fr-FR"/>
        </w:rPr>
        <w:t>s’inspire de l’article 7 de la loi type de Tunis sur le droit d’auteur (permettant l’utilisation de “l’œuvre à titre d’illustration de l’enseignement par le moyen de publications, d’émissions de radiodiffusion ou d’enregistrements sonores ou visuels, dans la mesure justifiée par le but à atteindre”).</w:t>
      </w:r>
    </w:p>
    <w:p w14:paraId="19FF9407" w14:textId="74CCABFC" w:rsidR="00A94A66" w:rsidRPr="007F3768" w:rsidRDefault="00A94A66" w:rsidP="007F3768">
      <w:pPr>
        <w:rPr>
          <w:rFonts w:eastAsia="Times New Roman"/>
          <w:color w:val="000000" w:themeColor="text1"/>
          <w:lang w:val="fr-FR"/>
        </w:rPr>
      </w:pPr>
    </w:p>
    <w:p w14:paraId="7CDE8D4E" w14:textId="058FA51A" w:rsidR="00A94A66" w:rsidRPr="007F3768" w:rsidRDefault="00A94A66" w:rsidP="007F3768">
      <w:pPr>
        <w:rPr>
          <w:lang w:val="fr-FR"/>
        </w:rPr>
      </w:pPr>
      <w:r w:rsidRPr="007F3768">
        <w:rPr>
          <w:lang w:val="fr-FR"/>
        </w:rPr>
        <w:t>4.13</w:t>
      </w:r>
      <w:r w:rsidRPr="007F3768">
        <w:rPr>
          <w:lang w:val="fr-FR"/>
        </w:rPr>
        <w:tab/>
        <w:t xml:space="preserve">Le </w:t>
      </w:r>
      <w:r w:rsidRPr="007F3768">
        <w:rPr>
          <w:i/>
          <w:lang w:val="fr-FR"/>
        </w:rPr>
        <w:t>point </w:t>
      </w:r>
      <w:proofErr w:type="gramStart"/>
      <w:r w:rsidRPr="007F3768">
        <w:rPr>
          <w:i/>
          <w:lang w:val="fr-FR"/>
        </w:rPr>
        <w:t>c)ii</w:t>
      </w:r>
      <w:proofErr w:type="gramEnd"/>
      <w:r w:rsidRPr="007F3768">
        <w:rPr>
          <w:i/>
          <w:lang w:val="fr-FR"/>
        </w:rPr>
        <w:t xml:space="preserve">) </w:t>
      </w:r>
      <w:r w:rsidRPr="007F3768">
        <w:rPr>
          <w:lang w:val="fr-FR"/>
        </w:rPr>
        <w:t>suit la proposition du groupe des pays africains reproduite dans le document</w:t>
      </w:r>
      <w:r w:rsidR="007F3768">
        <w:rPr>
          <w:lang w:val="fr-FR"/>
        </w:rPr>
        <w:t> </w:t>
      </w:r>
      <w:r w:rsidRPr="007F3768">
        <w:rPr>
          <w:lang w:val="fr-FR"/>
        </w:rPr>
        <w:t>SCCR/26/4</w:t>
      </w:r>
      <w:r w:rsidR="00F309FC" w:rsidRPr="007F3768">
        <w:rPr>
          <w:lang w:val="fr-FR"/>
        </w:rPr>
        <w:t> </w:t>
      </w:r>
      <w:r w:rsidRPr="007F3768">
        <w:rPr>
          <w:lang w:val="fr-FR"/>
        </w:rPr>
        <w:t>Prov. (qui octroie à “tout établissement d’enseignement ou institut de recherche ayant son domicile sur le territoire d’une partie contractante” le droit d’“inclure des extraits de matériel protégé par le droit d’auteur dans des ressources didactiques créées et distribuées à des fins d’enseignement”</w:t>
      </w:r>
      <w:proofErr w:type="gramStart"/>
      <w:r w:rsidRPr="007F3768">
        <w:rPr>
          <w:lang w:val="fr-FR"/>
        </w:rPr>
        <w:t xml:space="preserve">); </w:t>
      </w:r>
      <w:r w:rsidR="00F309FC" w:rsidRPr="007F3768">
        <w:rPr>
          <w:lang w:val="fr-FR"/>
        </w:rPr>
        <w:t xml:space="preserve"> </w:t>
      </w:r>
      <w:r w:rsidRPr="007F3768">
        <w:rPr>
          <w:lang w:val="fr-FR"/>
        </w:rPr>
        <w:t>SCCR</w:t>
      </w:r>
      <w:proofErr w:type="gramEnd"/>
      <w:r w:rsidRPr="007F3768">
        <w:rPr>
          <w:lang w:val="fr-FR"/>
        </w:rPr>
        <w:t>/33/6.</w:t>
      </w:r>
    </w:p>
    <w:p w14:paraId="00DFF575" w14:textId="77777777" w:rsidR="00A94A66" w:rsidRPr="007F3768" w:rsidRDefault="00A94A66" w:rsidP="007F3768">
      <w:pPr>
        <w:rPr>
          <w:rFonts w:eastAsia="Times New Roman"/>
          <w:color w:val="000000" w:themeColor="text1"/>
          <w:lang w:val="fr-FR"/>
        </w:rPr>
      </w:pPr>
    </w:p>
    <w:p w14:paraId="2AD83065" w14:textId="77777777" w:rsidR="00A94A66" w:rsidRPr="007F3768" w:rsidRDefault="00A94A66" w:rsidP="007F3768">
      <w:pPr>
        <w:rPr>
          <w:rFonts w:eastAsia="Times New Roman"/>
          <w:color w:val="000000" w:themeColor="text1"/>
          <w:lang w:val="fr-FR"/>
        </w:rPr>
      </w:pPr>
    </w:p>
    <w:p w14:paraId="26B14AD2" w14:textId="47CF5264" w:rsidR="00A94A66" w:rsidRPr="007F3768" w:rsidRDefault="00A94A66" w:rsidP="007F3768">
      <w:pPr>
        <w:jc w:val="right"/>
        <w:rPr>
          <w:rFonts w:eastAsia="Times New Roman"/>
          <w:color w:val="000000" w:themeColor="text1"/>
          <w:sz w:val="24"/>
          <w:szCs w:val="24"/>
          <w:lang w:val="fr-FR"/>
        </w:rPr>
      </w:pPr>
      <w:r w:rsidRPr="007F3768">
        <w:rPr>
          <w:color w:val="000000" w:themeColor="text1"/>
          <w:sz w:val="24"/>
          <w:lang w:val="fr-FR"/>
        </w:rPr>
        <w:t>[Suite des notes explicatives relatives à l’article 4, page 2</w:t>
      </w:r>
      <w:r w:rsidR="002263FF">
        <w:rPr>
          <w:color w:val="000000" w:themeColor="text1"/>
          <w:sz w:val="24"/>
          <w:lang w:val="fr-FR"/>
        </w:rPr>
        <w:t>5</w:t>
      </w:r>
      <w:r w:rsidRPr="007F3768">
        <w:rPr>
          <w:color w:val="000000" w:themeColor="text1"/>
          <w:sz w:val="24"/>
          <w:lang w:val="fr-FR"/>
        </w:rPr>
        <w:t>]</w:t>
      </w:r>
    </w:p>
    <w:p w14:paraId="7A901E9F" w14:textId="77777777" w:rsidR="00A94A66" w:rsidRPr="007F3768" w:rsidRDefault="00A94A66" w:rsidP="007F3768">
      <w:pPr>
        <w:spacing w:line="480" w:lineRule="auto"/>
        <w:contextualSpacing/>
        <w:rPr>
          <w:rFonts w:eastAsia="Times New Roman"/>
          <w:color w:val="000000"/>
          <w:lang w:val="fr-FR"/>
        </w:rPr>
      </w:pPr>
      <w:r w:rsidRPr="007F3768">
        <w:rPr>
          <w:lang w:val="fr-FR"/>
        </w:rPr>
        <w:br w:type="page"/>
      </w:r>
    </w:p>
    <w:p w14:paraId="05F3ACC8" w14:textId="26F15266" w:rsidR="00A94A66" w:rsidRPr="007F3768" w:rsidRDefault="00A94A66" w:rsidP="009E0BE9">
      <w:pPr>
        <w:pStyle w:val="ListParagraph"/>
        <w:numPr>
          <w:ilvl w:val="1"/>
          <w:numId w:val="8"/>
        </w:numPr>
        <w:spacing w:after="0" w:line="480" w:lineRule="auto"/>
        <w:ind w:left="1701" w:hanging="567"/>
        <w:jc w:val="left"/>
        <w:rPr>
          <w:rFonts w:ascii="Arial" w:eastAsia="Times New Roman" w:hAnsi="Arial" w:cs="Arial"/>
          <w:color w:val="000000"/>
        </w:rPr>
      </w:pPr>
      <w:proofErr w:type="gramStart"/>
      <w:r w:rsidRPr="007F3768">
        <w:rPr>
          <w:rFonts w:ascii="Arial" w:hAnsi="Arial"/>
          <w:color w:val="000000"/>
        </w:rPr>
        <w:lastRenderedPageBreak/>
        <w:t>l’interprétation</w:t>
      </w:r>
      <w:proofErr w:type="gramEnd"/>
      <w:r w:rsidRPr="007F3768">
        <w:rPr>
          <w:rFonts w:ascii="Arial" w:hAnsi="Arial"/>
          <w:color w:val="000000"/>
        </w:rPr>
        <w:t xml:space="preserve"> ou exécution ou la communication d’une autre manière dans un contexte éducatif, y compris par fil ou sans </w:t>
      </w:r>
      <w:proofErr w:type="gramStart"/>
      <w:r w:rsidRPr="007F3768">
        <w:rPr>
          <w:rFonts w:ascii="Arial" w:hAnsi="Arial"/>
          <w:color w:val="000000"/>
        </w:rPr>
        <w:t>fil;</w:t>
      </w:r>
      <w:proofErr w:type="gramEnd"/>
    </w:p>
    <w:p w14:paraId="7038213C" w14:textId="22F2F92D" w:rsidR="00A94A66" w:rsidRPr="007F3768" w:rsidRDefault="00A94A66" w:rsidP="009E0BE9">
      <w:pPr>
        <w:pStyle w:val="ListParagraph"/>
        <w:numPr>
          <w:ilvl w:val="0"/>
          <w:numId w:val="8"/>
        </w:numPr>
        <w:spacing w:after="0" w:line="480" w:lineRule="auto"/>
        <w:ind w:left="1134" w:hanging="567"/>
        <w:jc w:val="left"/>
      </w:pPr>
      <w:proofErr w:type="gramStart"/>
      <w:r w:rsidRPr="007F3768">
        <w:rPr>
          <w:rFonts w:ascii="Arial" w:hAnsi="Arial"/>
          <w:color w:val="000000"/>
        </w:rPr>
        <w:t>les</w:t>
      </w:r>
      <w:proofErr w:type="gramEnd"/>
      <w:r w:rsidRPr="007F3768">
        <w:rPr>
          <w:rFonts w:ascii="Arial" w:hAnsi="Arial"/>
          <w:color w:val="000000"/>
        </w:rPr>
        <w:t xml:space="preserve"> utilisations dans le cadre de la création de matériel pédagogique, telles que :</w:t>
      </w:r>
    </w:p>
    <w:p w14:paraId="1B6AD5A5" w14:textId="2E6194DF" w:rsidR="00A94A66" w:rsidRPr="007F3768" w:rsidRDefault="00A94A66" w:rsidP="009E0BE9">
      <w:pPr>
        <w:pStyle w:val="ListParagraph"/>
        <w:tabs>
          <w:tab w:val="left" w:pos="1701"/>
        </w:tabs>
        <w:spacing w:after="0" w:line="480" w:lineRule="auto"/>
        <w:ind w:left="1701" w:hanging="567"/>
        <w:jc w:val="left"/>
        <w:rPr>
          <w:rFonts w:ascii="Arial" w:hAnsi="Arial"/>
          <w:color w:val="000000"/>
        </w:rPr>
      </w:pPr>
      <w:r w:rsidRPr="007F3768">
        <w:rPr>
          <w:rFonts w:ascii="Arial" w:hAnsi="Arial"/>
          <w:color w:val="000000"/>
        </w:rPr>
        <w:t>i.</w:t>
      </w:r>
      <w:r w:rsidR="009E0BE9">
        <w:rPr>
          <w:rFonts w:ascii="Arial" w:hAnsi="Arial"/>
          <w:color w:val="000000"/>
        </w:rPr>
        <w:tab/>
      </w:r>
      <w:r w:rsidRPr="007F3768">
        <w:rPr>
          <w:rFonts w:ascii="Arial" w:hAnsi="Arial"/>
          <w:color w:val="000000"/>
        </w:rPr>
        <w:t xml:space="preserve">l’utilisation à des fins d’illustration, de commentaire, de critique ou d’analyse dans des publications, des émissions, des œuvres audiovisuelles ou des enregistrements </w:t>
      </w:r>
      <w:proofErr w:type="gramStart"/>
      <w:r w:rsidRPr="007F3768">
        <w:rPr>
          <w:rFonts w:ascii="Arial" w:hAnsi="Arial"/>
          <w:color w:val="000000"/>
        </w:rPr>
        <w:t>sonores;</w:t>
      </w:r>
      <w:proofErr w:type="gramEnd"/>
    </w:p>
    <w:p w14:paraId="07BD71F6" w14:textId="1C9D2B0A" w:rsidR="00A94A66" w:rsidRPr="007F3768" w:rsidRDefault="00A94A66" w:rsidP="009E0BE9">
      <w:pPr>
        <w:pStyle w:val="ListParagraph"/>
        <w:tabs>
          <w:tab w:val="left" w:pos="1701"/>
        </w:tabs>
        <w:spacing w:after="0" w:line="480" w:lineRule="auto"/>
        <w:ind w:left="1701" w:hanging="567"/>
        <w:jc w:val="left"/>
        <w:rPr>
          <w:rFonts w:ascii="Arial" w:hAnsi="Arial"/>
          <w:color w:val="000000"/>
        </w:rPr>
      </w:pPr>
      <w:r w:rsidRPr="007F3768">
        <w:rPr>
          <w:rFonts w:ascii="Arial" w:hAnsi="Arial"/>
          <w:color w:val="000000"/>
        </w:rPr>
        <w:t>ii.</w:t>
      </w:r>
      <w:r w:rsidR="009E0BE9">
        <w:rPr>
          <w:rFonts w:ascii="Arial" w:hAnsi="Arial"/>
          <w:color w:val="000000"/>
        </w:rPr>
        <w:tab/>
      </w:r>
      <w:r w:rsidRPr="007F3768">
        <w:rPr>
          <w:rFonts w:ascii="Arial" w:hAnsi="Arial"/>
          <w:color w:val="000000"/>
        </w:rPr>
        <w:t xml:space="preserve">y compris les œuvres des arts visuels, les œuvres courtes et autres objets, ainsi que les extraits d’œuvres plus longues ou d’autres objets dans des anthologies et autres </w:t>
      </w:r>
      <w:proofErr w:type="gramStart"/>
      <w:r w:rsidRPr="007F3768">
        <w:rPr>
          <w:rFonts w:ascii="Arial" w:hAnsi="Arial"/>
          <w:color w:val="000000"/>
        </w:rPr>
        <w:t>compilations;</w:t>
      </w:r>
      <w:proofErr w:type="gramEnd"/>
    </w:p>
    <w:p w14:paraId="633F8159" w14:textId="202D9E6E" w:rsidR="00A94A66" w:rsidRPr="007F3768" w:rsidRDefault="00A94A66" w:rsidP="009E0BE9">
      <w:pPr>
        <w:pStyle w:val="ListParagraph"/>
        <w:spacing w:after="0" w:line="480" w:lineRule="auto"/>
        <w:ind w:left="0"/>
        <w:jc w:val="right"/>
        <w:rPr>
          <w:rFonts w:ascii="Arial" w:eastAsia="Times New Roman" w:hAnsi="Arial" w:cs="Arial"/>
          <w:color w:val="000000"/>
        </w:rPr>
      </w:pPr>
    </w:p>
    <w:p w14:paraId="16522E4B" w14:textId="77777777" w:rsidR="00A94A66" w:rsidRPr="007F3768" w:rsidRDefault="00A94A66" w:rsidP="009E0BE9">
      <w:pPr>
        <w:pStyle w:val="ListParagraph"/>
        <w:spacing w:after="0" w:line="480" w:lineRule="auto"/>
        <w:jc w:val="right"/>
        <w:rPr>
          <w:rFonts w:ascii="Arial" w:eastAsia="Times New Roman" w:hAnsi="Arial" w:cs="Arial"/>
          <w:color w:val="000000"/>
        </w:rPr>
      </w:pPr>
    </w:p>
    <w:p w14:paraId="69C6A97E" w14:textId="21E0050B" w:rsidR="00A94A66" w:rsidRPr="007F3768" w:rsidRDefault="00A94A66" w:rsidP="007F3768">
      <w:pPr>
        <w:pStyle w:val="ListParagraph"/>
        <w:spacing w:after="0" w:line="480" w:lineRule="auto"/>
        <w:jc w:val="right"/>
        <w:rPr>
          <w:rFonts w:ascii="Arial" w:eastAsia="Times New Roman" w:hAnsi="Arial" w:cs="Arial"/>
          <w:color w:val="000000"/>
        </w:rPr>
      </w:pPr>
      <w:r w:rsidRPr="007F3768">
        <w:rPr>
          <w:rFonts w:ascii="Arial" w:hAnsi="Arial"/>
          <w:color w:val="000000"/>
        </w:rPr>
        <w:t>[Suite de l’article 4, page 2</w:t>
      </w:r>
      <w:r w:rsidR="009E0BE9">
        <w:rPr>
          <w:rFonts w:ascii="Arial" w:hAnsi="Arial"/>
          <w:color w:val="000000"/>
        </w:rPr>
        <w:t>6</w:t>
      </w:r>
      <w:r w:rsidRPr="007F3768">
        <w:rPr>
          <w:rFonts w:ascii="Arial" w:hAnsi="Arial"/>
          <w:color w:val="000000"/>
        </w:rPr>
        <w:t>]</w:t>
      </w:r>
    </w:p>
    <w:p w14:paraId="05613419" w14:textId="77777777" w:rsidR="00A94A66" w:rsidRPr="007F3768" w:rsidRDefault="00A94A66" w:rsidP="007F3768">
      <w:pPr>
        <w:pStyle w:val="ListParagraph"/>
        <w:spacing w:after="0" w:line="480" w:lineRule="auto"/>
        <w:rPr>
          <w:rFonts w:ascii="Arial" w:eastAsia="Times New Roman" w:hAnsi="Arial" w:cs="Arial"/>
          <w:color w:val="000000"/>
        </w:rPr>
      </w:pPr>
      <w:r w:rsidRPr="007F3768">
        <w:br w:type="page"/>
      </w:r>
    </w:p>
    <w:p w14:paraId="14E78E18" w14:textId="18A93B02" w:rsidR="00A94A66" w:rsidRPr="007F3768" w:rsidRDefault="00A94A66" w:rsidP="007F3768">
      <w:pPr>
        <w:rPr>
          <w:color w:val="000000" w:themeColor="text1"/>
          <w:lang w:val="fr-FR"/>
        </w:rPr>
      </w:pPr>
      <w:r w:rsidRPr="007F3768">
        <w:rPr>
          <w:color w:val="000000" w:themeColor="text1"/>
          <w:lang w:val="fr-FR"/>
        </w:rPr>
        <w:lastRenderedPageBreak/>
        <w:t>4.14</w:t>
      </w:r>
      <w:r w:rsidRPr="007F3768">
        <w:rPr>
          <w:color w:val="000000" w:themeColor="text1"/>
          <w:lang w:val="fr-FR"/>
        </w:rPr>
        <w:tab/>
        <w:t xml:space="preserve">Le </w:t>
      </w:r>
      <w:r w:rsidRPr="007F3768">
        <w:rPr>
          <w:i/>
          <w:color w:val="000000" w:themeColor="text1"/>
          <w:lang w:val="fr-FR"/>
        </w:rPr>
        <w:t xml:space="preserve">point c)iii) </w:t>
      </w:r>
      <w:r w:rsidRPr="007F3768">
        <w:rPr>
          <w:color w:val="000000" w:themeColor="text1"/>
          <w:lang w:val="fr-FR"/>
        </w:rPr>
        <w:t>est fondé sur le thème n° 11 figurant dans le document</w:t>
      </w:r>
      <w:r w:rsidR="007F3768">
        <w:rPr>
          <w:color w:val="000000" w:themeColor="text1"/>
          <w:lang w:val="fr-FR"/>
        </w:rPr>
        <w:t> </w:t>
      </w:r>
      <w:r w:rsidRPr="007F3768">
        <w:rPr>
          <w:color w:val="000000" w:themeColor="text1"/>
          <w:lang w:val="fr-FR"/>
        </w:rPr>
        <w:t xml:space="preserve">SCCR/33/Chart on </w:t>
      </w:r>
      <w:proofErr w:type="spellStart"/>
      <w:r w:rsidRPr="007F3768">
        <w:rPr>
          <w:color w:val="000000" w:themeColor="text1"/>
          <w:lang w:val="fr-FR"/>
        </w:rPr>
        <w:t>Libraries</w:t>
      </w:r>
      <w:proofErr w:type="spellEnd"/>
      <w:r w:rsidRPr="007F3768">
        <w:rPr>
          <w:color w:val="000000" w:themeColor="text1"/>
          <w:lang w:val="fr-FR"/>
        </w:rPr>
        <w:t xml:space="preserve"> and Archives; </w:t>
      </w:r>
      <w:r w:rsidR="00F309FC" w:rsidRPr="007F3768">
        <w:rPr>
          <w:color w:val="000000" w:themeColor="text1"/>
          <w:lang w:val="fr-FR"/>
        </w:rPr>
        <w:t xml:space="preserve"> </w:t>
      </w:r>
      <w:r w:rsidRPr="007F3768">
        <w:rPr>
          <w:color w:val="000000" w:themeColor="text1"/>
          <w:lang w:val="fr-FR"/>
        </w:rPr>
        <w:t>proposition du groupe des pays africains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 xml:space="preserve">Prov. (permettant l’utilisation non autorisée “d’une œuvre ou d’un objet de droits connexes dans un établissement d’enseignement ou un institut de recherche, ou par des enseignants ou des étudiants, à des fins de recherche… uniquement à des fins de traduction, d’essai, d’étude ou de recherche scientifique, sous réserve d’indiquer, à moins que cela ne s’avère impossible, la source, y compris le nom de l’auteur”) (autorisant “tout établissement d’enseignement ou institut de recherche ayant son domicile sur le territoire d’une partie contractante” “à des fins d’enseignement, d’études personnelles ou de recherche” à “traduire une œuvre dans une langue et publier la traduction sur papier ou sous une forme de reproduction analogue; </w:t>
      </w:r>
      <w:r w:rsidR="00F309FC" w:rsidRPr="007F3768">
        <w:rPr>
          <w:color w:val="000000" w:themeColor="text1"/>
          <w:lang w:val="fr-FR"/>
        </w:rPr>
        <w:t xml:space="preserve"> </w:t>
      </w:r>
      <w:r w:rsidRPr="007F3768">
        <w:rPr>
          <w:color w:val="000000" w:themeColor="text1"/>
          <w:lang w:val="fr-FR"/>
        </w:rPr>
        <w:t>et à reproduire l’œuvre traduite et la publier”).</w:t>
      </w:r>
    </w:p>
    <w:p w14:paraId="29D19CB8" w14:textId="09C991B5" w:rsidR="00A94A66" w:rsidRPr="007F3768" w:rsidRDefault="00A94A66" w:rsidP="007F3768">
      <w:pPr>
        <w:rPr>
          <w:rFonts w:eastAsia="Times New Roman"/>
          <w:color w:val="000000" w:themeColor="text1"/>
          <w:lang w:val="fr-FR"/>
        </w:rPr>
      </w:pPr>
    </w:p>
    <w:p w14:paraId="2D2B4FF9" w14:textId="4416E735" w:rsidR="00A94A66" w:rsidRPr="007F3768" w:rsidRDefault="00A94A66" w:rsidP="007F3768">
      <w:pPr>
        <w:rPr>
          <w:color w:val="000000" w:themeColor="text1"/>
          <w:lang w:val="fr-FR"/>
        </w:rPr>
      </w:pPr>
      <w:r w:rsidRPr="007F3768">
        <w:rPr>
          <w:color w:val="000000" w:themeColor="text1"/>
          <w:lang w:val="fr-FR"/>
        </w:rPr>
        <w:t>4.15</w:t>
      </w:r>
      <w:r w:rsidR="009E0BE9">
        <w:rPr>
          <w:color w:val="000000" w:themeColor="text1"/>
          <w:lang w:val="fr-FR"/>
        </w:rPr>
        <w:tab/>
      </w:r>
      <w:r w:rsidRPr="007F3768">
        <w:rPr>
          <w:color w:val="000000" w:themeColor="text1"/>
          <w:lang w:val="fr-FR"/>
        </w:rPr>
        <w:t xml:space="preserve">Le </w:t>
      </w:r>
      <w:r w:rsidRPr="007F3768">
        <w:rPr>
          <w:i/>
          <w:color w:val="000000" w:themeColor="text1"/>
          <w:lang w:val="fr-FR"/>
        </w:rPr>
        <w:t xml:space="preserve">point c)iv) </w:t>
      </w:r>
      <w:r w:rsidRPr="007F3768">
        <w:rPr>
          <w:color w:val="000000" w:themeColor="text1"/>
          <w:lang w:val="fr-FR"/>
        </w:rPr>
        <w:t>fait suite aux délibérations sur le thème n° 7 figurant dans le document</w:t>
      </w:r>
      <w:r w:rsidR="007F3768">
        <w:rPr>
          <w:color w:val="000000" w:themeColor="text1"/>
          <w:lang w:val="fr-FR"/>
        </w:rPr>
        <w:t> </w:t>
      </w:r>
      <w:r w:rsidRPr="007F3768">
        <w:rPr>
          <w:color w:val="000000" w:themeColor="text1"/>
          <w:lang w:val="fr-FR"/>
        </w:rPr>
        <w:t xml:space="preserve">SCCR/33/Chart on </w:t>
      </w:r>
      <w:proofErr w:type="spellStart"/>
      <w:r w:rsidRPr="007F3768">
        <w:rPr>
          <w:color w:val="000000" w:themeColor="text1"/>
          <w:lang w:val="fr-FR"/>
        </w:rPr>
        <w:t>Libraries</w:t>
      </w:r>
      <w:proofErr w:type="spellEnd"/>
      <w:r w:rsidRPr="007F3768">
        <w:rPr>
          <w:color w:val="000000" w:themeColor="text1"/>
          <w:lang w:val="fr-FR"/>
        </w:rPr>
        <w:t xml:space="preserve"> and Archives (selon lequel “l’utilisation d’œuvres orphelines devrait être autorisée dans certaines circonstances afin que les bibliothèques et les services d’archives puissent s’acquitter de leur mission de service public et que les utilisateurs puissent accéder aux informations”; </w:t>
      </w:r>
      <w:r w:rsidR="00F309FC" w:rsidRPr="007F3768">
        <w:rPr>
          <w:color w:val="000000" w:themeColor="text1"/>
          <w:lang w:val="fr-FR"/>
        </w:rPr>
        <w:t xml:space="preserve"> </w:t>
      </w:r>
      <w:r w:rsidRPr="007F3768">
        <w:rPr>
          <w:color w:val="000000" w:themeColor="text1"/>
          <w:lang w:val="fr-FR"/>
        </w:rPr>
        <w:t xml:space="preserve">et propose de prévoir “des dispositions permettant de rémunérer convenablement les titulaires de droits soit directement, soit par l’intermédiaire d’un organisme de gestion collective, une fois qu’ils ont été identifiés” et “ces limitations et exceptions ne devraient pas engager la responsabilité lorsque des activités ont été menées de bonne foi, pour autant qu’une recherche diligente et raisonnable ait été réalisée avant l’utilisation de l’œuvre”); </w:t>
      </w:r>
      <w:r w:rsidR="00F309FC" w:rsidRPr="007F3768">
        <w:rPr>
          <w:color w:val="000000" w:themeColor="text1"/>
          <w:lang w:val="fr-FR"/>
        </w:rPr>
        <w:t xml:space="preserve"> </w:t>
      </w:r>
      <w:r w:rsidRPr="007F3768">
        <w:rPr>
          <w:color w:val="000000" w:themeColor="text1"/>
          <w:lang w:val="fr-FR"/>
        </w:rPr>
        <w:t>SCCR/33/6</w:t>
      </w:r>
      <w:r w:rsidR="00F309FC" w:rsidRPr="007F3768">
        <w:rPr>
          <w:color w:val="000000" w:themeColor="text1"/>
          <w:lang w:val="fr-FR"/>
        </w:rPr>
        <w:t xml:space="preserve">; </w:t>
      </w:r>
      <w:r w:rsidRPr="007F3768">
        <w:rPr>
          <w:color w:val="000000" w:themeColor="text1"/>
          <w:lang w:val="fr-FR"/>
        </w:rPr>
        <w:t xml:space="preserve"> SCCR/35/5</w:t>
      </w:r>
      <w:r w:rsidR="00F309FC" w:rsidRPr="007F3768">
        <w:rPr>
          <w:color w:val="000000" w:themeColor="text1"/>
          <w:lang w:val="fr-FR"/>
        </w:rPr>
        <w:t> </w:t>
      </w:r>
      <w:proofErr w:type="spellStart"/>
      <w:r w:rsidRPr="007F3768">
        <w:rPr>
          <w:color w:val="000000" w:themeColor="text1"/>
          <w:lang w:val="fr-FR"/>
        </w:rPr>
        <w:t>Rev</w:t>
      </w:r>
      <w:proofErr w:type="spellEnd"/>
      <w:r w:rsidRPr="007F3768">
        <w:rPr>
          <w:color w:val="000000" w:themeColor="text1"/>
          <w:lang w:val="fr-FR"/>
        </w:rPr>
        <w:t>.</w:t>
      </w:r>
    </w:p>
    <w:p w14:paraId="6E3CB5AE" w14:textId="1242F12F" w:rsidR="00A94A66" w:rsidRPr="007F3768" w:rsidRDefault="00A94A66" w:rsidP="007F3768">
      <w:pPr>
        <w:rPr>
          <w:rFonts w:eastAsia="Times New Roman"/>
          <w:i/>
          <w:color w:val="000000" w:themeColor="text1"/>
          <w:lang w:val="fr-FR"/>
        </w:rPr>
      </w:pPr>
    </w:p>
    <w:p w14:paraId="2A12CFEB" w14:textId="6D251EAE" w:rsidR="00A94A66" w:rsidRPr="007F3768" w:rsidRDefault="00A94A66" w:rsidP="007F3768">
      <w:pPr>
        <w:rPr>
          <w:rFonts w:eastAsia="Times New Roman"/>
          <w:color w:val="000000" w:themeColor="text1"/>
          <w:lang w:val="fr-FR"/>
        </w:rPr>
      </w:pPr>
      <w:r w:rsidRPr="007F3768">
        <w:rPr>
          <w:color w:val="000000" w:themeColor="text1"/>
          <w:lang w:val="fr-FR"/>
        </w:rPr>
        <w:t>4.16</w:t>
      </w:r>
      <w:r w:rsidR="009E0BE9">
        <w:rPr>
          <w:color w:val="000000" w:themeColor="text1"/>
          <w:lang w:val="fr-FR"/>
        </w:rPr>
        <w:tab/>
      </w:r>
      <w:r w:rsidRPr="007F3768">
        <w:rPr>
          <w:color w:val="000000" w:themeColor="text1"/>
          <w:lang w:val="fr-FR"/>
        </w:rPr>
        <w:t xml:space="preserve">Le </w:t>
      </w:r>
      <w:r w:rsidRPr="007F3768">
        <w:rPr>
          <w:i/>
          <w:color w:val="000000" w:themeColor="text1"/>
          <w:lang w:val="fr-FR"/>
        </w:rPr>
        <w:t xml:space="preserve">point c)v) </w:t>
      </w:r>
      <w:r w:rsidRPr="007F3768">
        <w:rPr>
          <w:color w:val="000000" w:themeColor="text1"/>
          <w:lang w:val="fr-FR"/>
        </w:rPr>
        <w:t>suit la proposition du groupe des pays africains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 xml:space="preserve">Prov. (indiquant que “conformément aux dispositions de l’annexe de la Convention de Berne, tout établissement d’enseignement, bibliothèque, institut de recherche ou étudiant(e) détenant un exemplaire acquis légalement d’une œuvre ou d’un objet de droits connexes et ayant son domicile sur le territoire d’une partie contractante a le droit, sans l’autorisation du ou des titulaire(s) des droits d’auteur ou des droits connexes, de vendre, d’importer, d’exporter ou autrement céder cet exemplaire ou objet de droits connexes”) (octroyant aux établissements d’enseignement ou instituts de recherche le droit de “diffuser cette œuvre dans un format accessible auprès de personnes handicapées qui sont membres desdits établissements ou instituts”); </w:t>
      </w:r>
      <w:r w:rsidR="00F309FC" w:rsidRPr="007F3768">
        <w:rPr>
          <w:color w:val="000000" w:themeColor="text1"/>
          <w:lang w:val="fr-FR"/>
        </w:rPr>
        <w:t xml:space="preserve"> </w:t>
      </w:r>
      <w:r w:rsidRPr="007F3768">
        <w:rPr>
          <w:i/>
          <w:color w:val="000000" w:themeColor="text1"/>
          <w:lang w:val="fr-FR"/>
        </w:rPr>
        <w:t>voir aussi</w:t>
      </w:r>
      <w:r w:rsidRPr="007F3768">
        <w:rPr>
          <w:color w:val="000000" w:themeColor="text1"/>
          <w:lang w:val="fr-FR"/>
        </w:rPr>
        <w:t xml:space="preserve"> le préambule du Traité de Marrakech visant à faciliter l’accès des aveugles, des déficients visuels et</w:t>
      </w:r>
      <w:r w:rsidR="00F42729" w:rsidRPr="007F3768">
        <w:rPr>
          <w:color w:val="000000" w:themeColor="text1"/>
          <w:lang w:val="fr-FR"/>
        </w:rPr>
        <w:t xml:space="preserve"> </w:t>
      </w:r>
      <w:r w:rsidRPr="007F3768">
        <w:rPr>
          <w:color w:val="000000" w:themeColor="text1"/>
          <w:lang w:val="fr-FR"/>
        </w:rPr>
        <w:t>des personnes ayant d’autres difficultés de lecture des textes imprimés aux œuvres publiées (27 juin 2013) (“conscientes des obstacles préjudiciables au plein épanouissement des déficients visuels et des personnes ayant d’autres difficultés de lecture des textes imprimés, qui limitent leur liberté d’expression, y compris la liberté de demander, recevoir et communiquer des informations et des idées de toutes sortes sur un pied d’égalité avec les autres, en recourant y compris à tous moyens de communication de leur choix, leur jouissance du droit à l’éducation et la possibilité de faire de la recherche”) et l’article 6 (autorisant les parties contractantes “à importer un exemplaire en format accessible au profit des personnes bénéficiaires sans l’autorisation du titulaire du droit”).</w:t>
      </w:r>
    </w:p>
    <w:p w14:paraId="2EBF4004" w14:textId="77777777" w:rsidR="00A94A66" w:rsidRPr="007F3768" w:rsidRDefault="00A94A66" w:rsidP="007F3768">
      <w:pPr>
        <w:rPr>
          <w:rFonts w:eastAsia="Times New Roman"/>
          <w:color w:val="000000" w:themeColor="text1"/>
          <w:lang w:val="fr-FR"/>
        </w:rPr>
      </w:pPr>
    </w:p>
    <w:p w14:paraId="7A07A487" w14:textId="0668C967" w:rsidR="00A94A66" w:rsidRPr="007F3768" w:rsidRDefault="00A94A66" w:rsidP="007F3768">
      <w:pPr>
        <w:rPr>
          <w:rFonts w:eastAsia="Times New Roman"/>
          <w:color w:val="000000" w:themeColor="text1"/>
          <w:lang w:val="fr-FR"/>
        </w:rPr>
      </w:pPr>
      <w:r w:rsidRPr="007F3768">
        <w:rPr>
          <w:color w:val="000000" w:themeColor="text1"/>
          <w:lang w:val="fr-FR"/>
        </w:rPr>
        <w:t>4.17</w:t>
      </w:r>
      <w:r w:rsidRPr="007F3768">
        <w:rPr>
          <w:color w:val="000000" w:themeColor="text1"/>
          <w:lang w:val="fr-FR"/>
        </w:rPr>
        <w:tab/>
        <w:t xml:space="preserve">Le </w:t>
      </w:r>
      <w:r w:rsidRPr="007F3768">
        <w:rPr>
          <w:i/>
          <w:color w:val="000000" w:themeColor="text1"/>
          <w:lang w:val="fr-FR"/>
        </w:rPr>
        <w:t>point </w:t>
      </w:r>
      <w:proofErr w:type="gramStart"/>
      <w:r w:rsidRPr="007F3768">
        <w:rPr>
          <w:i/>
          <w:color w:val="000000" w:themeColor="text1"/>
          <w:lang w:val="fr-FR"/>
        </w:rPr>
        <w:t>d)i</w:t>
      </w:r>
      <w:proofErr w:type="gramEnd"/>
      <w:r w:rsidRPr="007F3768">
        <w:rPr>
          <w:i/>
          <w:color w:val="000000" w:themeColor="text1"/>
          <w:lang w:val="fr-FR"/>
        </w:rPr>
        <w:t xml:space="preserve">) </w:t>
      </w:r>
      <w:r w:rsidRPr="007F3768">
        <w:rPr>
          <w:color w:val="000000" w:themeColor="text1"/>
          <w:lang w:val="fr-FR"/>
        </w:rPr>
        <w:t>suit le document</w:t>
      </w:r>
      <w:r w:rsidR="007F3768">
        <w:rPr>
          <w:color w:val="000000" w:themeColor="text1"/>
          <w:lang w:val="fr-FR"/>
        </w:rPr>
        <w:t> </w:t>
      </w:r>
      <w:r w:rsidRPr="007F3768">
        <w:rPr>
          <w:color w:val="000000" w:themeColor="text1"/>
          <w:lang w:val="fr-FR"/>
        </w:rPr>
        <w:t>SCCR/33/</w:t>
      </w:r>
      <w:proofErr w:type="gramStart"/>
      <w:r w:rsidRPr="007F3768">
        <w:rPr>
          <w:color w:val="000000" w:themeColor="text1"/>
          <w:lang w:val="fr-FR"/>
        </w:rPr>
        <w:t>6;</w:t>
      </w:r>
      <w:r w:rsidR="00F309FC" w:rsidRPr="007F3768">
        <w:rPr>
          <w:color w:val="000000" w:themeColor="text1"/>
          <w:lang w:val="fr-FR"/>
        </w:rPr>
        <w:t xml:space="preserve"> </w:t>
      </w:r>
      <w:r w:rsidRPr="007F3768">
        <w:rPr>
          <w:color w:val="000000" w:themeColor="text1"/>
          <w:lang w:val="fr-FR"/>
        </w:rPr>
        <w:t xml:space="preserve"> </w:t>
      </w:r>
      <w:r w:rsidR="009E0BE9">
        <w:rPr>
          <w:i/>
          <w:color w:val="000000" w:themeColor="text1"/>
          <w:lang w:val="fr-FR"/>
        </w:rPr>
        <w:t>v</w:t>
      </w:r>
      <w:r w:rsidRPr="007F3768">
        <w:rPr>
          <w:i/>
          <w:color w:val="000000" w:themeColor="text1"/>
          <w:lang w:val="fr-FR"/>
        </w:rPr>
        <w:t>oir</w:t>
      </w:r>
      <w:proofErr w:type="gramEnd"/>
      <w:r w:rsidRPr="007F3768">
        <w:rPr>
          <w:i/>
          <w:color w:val="000000" w:themeColor="text1"/>
          <w:lang w:val="fr-FR"/>
        </w:rPr>
        <w:t xml:space="preserve"> </w:t>
      </w:r>
      <w:r w:rsidRPr="007F3768">
        <w:rPr>
          <w:color w:val="000000" w:themeColor="text1"/>
          <w:lang w:val="fr-FR"/>
        </w:rPr>
        <w:t>le thème n° 11 dans le document</w:t>
      </w:r>
      <w:r w:rsidR="007F3768">
        <w:rPr>
          <w:color w:val="000000" w:themeColor="text1"/>
          <w:lang w:val="fr-FR"/>
        </w:rPr>
        <w:t> </w:t>
      </w:r>
      <w:r w:rsidRPr="007F3768">
        <w:rPr>
          <w:color w:val="000000" w:themeColor="text1"/>
          <w:lang w:val="fr-FR"/>
        </w:rPr>
        <w:t xml:space="preserve">SCCR/33/Chart on </w:t>
      </w:r>
      <w:proofErr w:type="spellStart"/>
      <w:r w:rsidRPr="007F3768">
        <w:rPr>
          <w:color w:val="000000" w:themeColor="text1"/>
          <w:lang w:val="fr-FR"/>
        </w:rPr>
        <w:t>Libraries</w:t>
      </w:r>
      <w:proofErr w:type="spellEnd"/>
      <w:r w:rsidRPr="007F3768">
        <w:rPr>
          <w:color w:val="000000" w:themeColor="text1"/>
          <w:lang w:val="fr-FR"/>
        </w:rPr>
        <w:t xml:space="preserve"> and Archives (“La nécessité de traduire certaines œuvres, dans des circonstances particulières, à des fins d’archivage ou pour couvrir des langues autochtones ou vernaculaires ou encore à des fins de recherche, a déjà été mentionnée”</w:t>
      </w:r>
      <w:proofErr w:type="gramStart"/>
      <w:r w:rsidRPr="007F3768">
        <w:rPr>
          <w:color w:val="000000" w:themeColor="text1"/>
          <w:lang w:val="fr-FR"/>
        </w:rPr>
        <w:t xml:space="preserve">); </w:t>
      </w:r>
      <w:r w:rsidR="00F309FC" w:rsidRPr="007F3768">
        <w:rPr>
          <w:color w:val="000000" w:themeColor="text1"/>
          <w:lang w:val="fr-FR"/>
        </w:rPr>
        <w:t xml:space="preserve"> </w:t>
      </w:r>
      <w:r w:rsidRPr="007F3768">
        <w:rPr>
          <w:color w:val="000000" w:themeColor="text1"/>
          <w:lang w:val="fr-FR"/>
        </w:rPr>
        <w:t>la</w:t>
      </w:r>
      <w:proofErr w:type="gramEnd"/>
      <w:r w:rsidRPr="007F3768">
        <w:rPr>
          <w:color w:val="000000" w:themeColor="text1"/>
          <w:lang w:val="fr-FR"/>
        </w:rPr>
        <w:t xml:space="preserve"> proposition du groupe des pays africains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Prov.</w:t>
      </w:r>
    </w:p>
    <w:p w14:paraId="123FCF66" w14:textId="77777777" w:rsidR="00A94A66" w:rsidRPr="007F3768" w:rsidRDefault="00A94A66" w:rsidP="007F3768">
      <w:pPr>
        <w:rPr>
          <w:rFonts w:eastAsia="Times New Roman"/>
          <w:color w:val="000000" w:themeColor="text1"/>
          <w:lang w:val="fr-FR"/>
        </w:rPr>
      </w:pPr>
    </w:p>
    <w:p w14:paraId="35043560" w14:textId="5A690854" w:rsidR="00A94A66" w:rsidRPr="007F3768" w:rsidRDefault="00A94A66" w:rsidP="007F3768">
      <w:pPr>
        <w:rPr>
          <w:rFonts w:eastAsia="Times New Roman"/>
          <w:color w:val="000000" w:themeColor="text1"/>
          <w:lang w:val="fr-FR"/>
        </w:rPr>
      </w:pPr>
      <w:r w:rsidRPr="007F3768">
        <w:rPr>
          <w:color w:val="000000" w:themeColor="text1"/>
          <w:lang w:val="fr-FR"/>
        </w:rPr>
        <w:t xml:space="preserve">4.18 Le </w:t>
      </w:r>
      <w:r w:rsidRPr="007F3768">
        <w:rPr>
          <w:i/>
          <w:color w:val="000000" w:themeColor="text1"/>
          <w:lang w:val="fr-FR"/>
        </w:rPr>
        <w:t>point </w:t>
      </w:r>
      <w:proofErr w:type="gramStart"/>
      <w:r w:rsidRPr="007F3768">
        <w:rPr>
          <w:i/>
          <w:color w:val="000000" w:themeColor="text1"/>
          <w:lang w:val="fr-FR"/>
        </w:rPr>
        <w:t>d)ii</w:t>
      </w:r>
      <w:proofErr w:type="gramEnd"/>
      <w:r w:rsidRPr="007F3768">
        <w:rPr>
          <w:i/>
          <w:color w:val="000000" w:themeColor="text1"/>
          <w:lang w:val="fr-FR"/>
        </w:rPr>
        <w:t xml:space="preserve">) </w:t>
      </w:r>
      <w:r w:rsidRPr="007F3768">
        <w:rPr>
          <w:color w:val="000000" w:themeColor="text1"/>
          <w:lang w:val="fr-FR"/>
        </w:rPr>
        <w:t>est inspiré du document SCCR/33/</w:t>
      </w:r>
      <w:proofErr w:type="gramStart"/>
      <w:r w:rsidRPr="007F3768">
        <w:rPr>
          <w:color w:val="000000" w:themeColor="text1"/>
          <w:lang w:val="fr-FR"/>
        </w:rPr>
        <w:t xml:space="preserve">6; </w:t>
      </w:r>
      <w:r w:rsidR="00F309FC" w:rsidRPr="007F3768">
        <w:rPr>
          <w:color w:val="000000" w:themeColor="text1"/>
          <w:lang w:val="fr-FR"/>
        </w:rPr>
        <w:t xml:space="preserve"> </w:t>
      </w:r>
      <w:r w:rsidRPr="007F3768">
        <w:rPr>
          <w:color w:val="000000" w:themeColor="text1"/>
          <w:lang w:val="fr-FR"/>
        </w:rPr>
        <w:t>de</w:t>
      </w:r>
      <w:proofErr w:type="gramEnd"/>
      <w:r w:rsidRPr="007F3768">
        <w:rPr>
          <w:color w:val="000000" w:themeColor="text1"/>
          <w:lang w:val="fr-FR"/>
        </w:rPr>
        <w:t xml:space="preserve"> la proposition du Brésil dans le document</w:t>
      </w:r>
      <w:r w:rsidR="007F3768">
        <w:rPr>
          <w:color w:val="000000" w:themeColor="text1"/>
          <w:lang w:val="fr-FR"/>
        </w:rPr>
        <w:t> </w:t>
      </w:r>
      <w:r w:rsidRPr="007F3768">
        <w:rPr>
          <w:color w:val="000000" w:themeColor="text1"/>
          <w:lang w:val="fr-FR"/>
        </w:rPr>
        <w:t>SCCR/26/4</w:t>
      </w:r>
      <w:r w:rsidR="00F309FC" w:rsidRPr="007F3768">
        <w:rPr>
          <w:color w:val="000000" w:themeColor="text1"/>
          <w:lang w:val="fr-FR"/>
        </w:rPr>
        <w:t> </w:t>
      </w:r>
      <w:r w:rsidRPr="007F3768">
        <w:rPr>
          <w:color w:val="000000" w:themeColor="text1"/>
          <w:lang w:val="fr-FR"/>
        </w:rPr>
        <w:t>Pr</w:t>
      </w:r>
      <w:r w:rsidR="00F42729" w:rsidRPr="007F3768">
        <w:rPr>
          <w:color w:val="000000" w:themeColor="text1"/>
          <w:lang w:val="fr-FR"/>
        </w:rPr>
        <w:t>ov.  Ar</w:t>
      </w:r>
      <w:r w:rsidRPr="007F3768">
        <w:rPr>
          <w:color w:val="000000" w:themeColor="text1"/>
          <w:lang w:val="fr-FR"/>
        </w:rPr>
        <w:t>ticle 10.1) de la Convention de Berne.</w:t>
      </w:r>
    </w:p>
    <w:p w14:paraId="7D807BFD" w14:textId="77777777" w:rsidR="00A94A66" w:rsidRPr="007F3768" w:rsidRDefault="00A94A66" w:rsidP="007F3768">
      <w:pPr>
        <w:rPr>
          <w:rFonts w:eastAsia="Times New Roman"/>
          <w:color w:val="000000" w:themeColor="text1"/>
          <w:lang w:val="fr-FR"/>
        </w:rPr>
      </w:pPr>
    </w:p>
    <w:p w14:paraId="45218A20" w14:textId="77777777" w:rsidR="00A94A66" w:rsidRPr="007F3768" w:rsidRDefault="00A94A66" w:rsidP="007F3768">
      <w:pPr>
        <w:rPr>
          <w:rFonts w:eastAsia="Times New Roman"/>
          <w:color w:val="000000" w:themeColor="text1"/>
          <w:lang w:val="fr-FR"/>
        </w:rPr>
      </w:pPr>
    </w:p>
    <w:p w14:paraId="11E35362" w14:textId="34171E24" w:rsidR="00A94A66" w:rsidRPr="007F3768" w:rsidRDefault="00A94A66" w:rsidP="009E0BE9">
      <w:pPr>
        <w:jc w:val="right"/>
        <w:rPr>
          <w:rFonts w:cs="Times New Roman"/>
          <w:sz w:val="24"/>
          <w:szCs w:val="24"/>
          <w:lang w:val="fr-FR"/>
        </w:rPr>
      </w:pPr>
      <w:r w:rsidRPr="007F3768">
        <w:rPr>
          <w:color w:val="000000" w:themeColor="text1"/>
          <w:sz w:val="24"/>
          <w:lang w:val="fr-FR"/>
        </w:rPr>
        <w:t>[Suite des notes explicatives relatives à l’article 4, page 2</w:t>
      </w:r>
      <w:r w:rsidR="009E0BE9">
        <w:rPr>
          <w:color w:val="000000" w:themeColor="text1"/>
          <w:sz w:val="24"/>
          <w:lang w:val="fr-FR"/>
        </w:rPr>
        <w:t>7</w:t>
      </w:r>
      <w:r w:rsidRPr="007F3768">
        <w:rPr>
          <w:color w:val="000000" w:themeColor="text1"/>
          <w:sz w:val="24"/>
          <w:lang w:val="fr-FR"/>
        </w:rPr>
        <w:t>]</w:t>
      </w:r>
      <w:r w:rsidRPr="007F3768">
        <w:rPr>
          <w:lang w:val="fr-FR"/>
        </w:rPr>
        <w:br w:type="page"/>
      </w:r>
    </w:p>
    <w:p w14:paraId="4D075F21" w14:textId="47ED9ACC" w:rsidR="00A94A66" w:rsidRPr="007F3768" w:rsidRDefault="00A94A66" w:rsidP="009E0BE9">
      <w:pPr>
        <w:pStyle w:val="ListParagraph"/>
        <w:numPr>
          <w:ilvl w:val="1"/>
          <w:numId w:val="10"/>
        </w:numPr>
        <w:spacing w:after="0" w:line="480" w:lineRule="auto"/>
        <w:ind w:left="1701" w:hanging="567"/>
        <w:jc w:val="left"/>
        <w:rPr>
          <w:rFonts w:ascii="Arial" w:hAnsi="Arial"/>
          <w:color w:val="000000"/>
        </w:rPr>
      </w:pPr>
      <w:proofErr w:type="gramStart"/>
      <w:r w:rsidRPr="007F3768">
        <w:rPr>
          <w:rFonts w:ascii="Arial" w:hAnsi="Arial"/>
          <w:color w:val="000000"/>
        </w:rPr>
        <w:lastRenderedPageBreak/>
        <w:t>la</w:t>
      </w:r>
      <w:proofErr w:type="gramEnd"/>
      <w:r w:rsidRPr="007F3768">
        <w:rPr>
          <w:rFonts w:ascii="Arial" w:hAnsi="Arial"/>
          <w:color w:val="000000"/>
        </w:rPr>
        <w:t xml:space="preserve"> traduction des œuvres lorsqu’elles ne sont pas disponibles dans les langues requises par les </w:t>
      </w:r>
      <w:proofErr w:type="gramStart"/>
      <w:r w:rsidRPr="007F3768">
        <w:rPr>
          <w:rFonts w:ascii="Arial" w:hAnsi="Arial"/>
          <w:color w:val="000000"/>
        </w:rPr>
        <w:t>utilisateurs;</w:t>
      </w:r>
      <w:proofErr w:type="gramEnd"/>
    </w:p>
    <w:p w14:paraId="63445A94" w14:textId="1B5148A5" w:rsidR="00A94A66" w:rsidRPr="007F3768" w:rsidRDefault="00A94A66" w:rsidP="009E0BE9">
      <w:pPr>
        <w:pStyle w:val="ListParagraph"/>
        <w:numPr>
          <w:ilvl w:val="1"/>
          <w:numId w:val="10"/>
        </w:numPr>
        <w:spacing w:after="0" w:line="480" w:lineRule="auto"/>
        <w:ind w:left="1701" w:hanging="567"/>
        <w:jc w:val="left"/>
        <w:rPr>
          <w:rFonts w:ascii="Arial" w:hAnsi="Arial"/>
          <w:color w:val="000000"/>
        </w:rPr>
      </w:pPr>
      <w:proofErr w:type="gramStart"/>
      <w:r w:rsidRPr="007F3768">
        <w:rPr>
          <w:rFonts w:ascii="Arial" w:hAnsi="Arial"/>
          <w:color w:val="000000"/>
        </w:rPr>
        <w:t>l’adaptation</w:t>
      </w:r>
      <w:proofErr w:type="gramEnd"/>
      <w:r w:rsidRPr="007F3768">
        <w:rPr>
          <w:rFonts w:ascii="Arial" w:hAnsi="Arial"/>
          <w:color w:val="000000"/>
        </w:rPr>
        <w:t xml:space="preserve">, la modification ou l’organisation aux fins d’une utilisation dans le cadre d’un </w:t>
      </w:r>
      <w:proofErr w:type="gramStart"/>
      <w:r w:rsidRPr="007F3768">
        <w:rPr>
          <w:rFonts w:ascii="Arial" w:hAnsi="Arial"/>
          <w:color w:val="000000"/>
        </w:rPr>
        <w:t>cours;</w:t>
      </w:r>
      <w:proofErr w:type="gramEnd"/>
    </w:p>
    <w:p w14:paraId="6F5A92EE" w14:textId="4E61A1CD" w:rsidR="00A94A66" w:rsidRPr="007F3768" w:rsidRDefault="00A94A66" w:rsidP="009E0BE9">
      <w:pPr>
        <w:pStyle w:val="ListParagraph"/>
        <w:numPr>
          <w:ilvl w:val="1"/>
          <w:numId w:val="10"/>
        </w:numPr>
        <w:spacing w:after="0" w:line="480" w:lineRule="auto"/>
        <w:ind w:left="1701" w:hanging="567"/>
        <w:jc w:val="left"/>
      </w:pPr>
      <w:proofErr w:type="gramStart"/>
      <w:r w:rsidRPr="007F3768">
        <w:rPr>
          <w:rFonts w:ascii="Arial" w:hAnsi="Arial"/>
          <w:color w:val="000000"/>
        </w:rPr>
        <w:t>la</w:t>
      </w:r>
      <w:proofErr w:type="gramEnd"/>
      <w:r w:rsidRPr="007F3768">
        <w:rPr>
          <w:rFonts w:ascii="Arial" w:hAnsi="Arial"/>
          <w:color w:val="000000"/>
        </w:rPr>
        <w:t xml:space="preserve"> reproduction et la mise à disposition d’œuvres ou d’autres objets protégés dont l’auteur ou un autre titulaire des droits ne peut être identifié ou localisé après une recherche </w:t>
      </w:r>
      <w:proofErr w:type="gramStart"/>
      <w:r w:rsidRPr="007F3768">
        <w:rPr>
          <w:rFonts w:ascii="Arial" w:hAnsi="Arial"/>
          <w:color w:val="000000"/>
        </w:rPr>
        <w:t>raisonnable;</w:t>
      </w:r>
      <w:proofErr w:type="gramEnd"/>
    </w:p>
    <w:p w14:paraId="00C3B019" w14:textId="2FB87AC1" w:rsidR="00A94A66" w:rsidRPr="007F3768" w:rsidRDefault="00A94A66" w:rsidP="009E0BE9">
      <w:pPr>
        <w:pStyle w:val="ListParagraph"/>
        <w:numPr>
          <w:ilvl w:val="1"/>
          <w:numId w:val="10"/>
        </w:numPr>
        <w:spacing w:after="0" w:line="480" w:lineRule="auto"/>
        <w:ind w:left="1701" w:hanging="567"/>
        <w:jc w:val="left"/>
      </w:pPr>
      <w:proofErr w:type="gramStart"/>
      <w:r w:rsidRPr="007F3768">
        <w:rPr>
          <w:rFonts w:ascii="Arial" w:hAnsi="Arial"/>
          <w:color w:val="000000"/>
        </w:rPr>
        <w:t>la</w:t>
      </w:r>
      <w:proofErr w:type="gramEnd"/>
      <w:r w:rsidRPr="007F3768">
        <w:rPr>
          <w:rFonts w:ascii="Arial" w:hAnsi="Arial"/>
          <w:color w:val="000000"/>
        </w:rPr>
        <w:t xml:space="preserve"> réalisation et la fourniture de copies en format accessible d’œuvres à des enseignants, étudiants ou chercheurs </w:t>
      </w:r>
      <w:proofErr w:type="gramStart"/>
      <w:r w:rsidRPr="007F3768">
        <w:rPr>
          <w:rFonts w:ascii="Arial" w:hAnsi="Arial"/>
          <w:color w:val="000000"/>
        </w:rPr>
        <w:t>ayant</w:t>
      </w:r>
      <w:proofErr w:type="gramEnd"/>
      <w:r w:rsidRPr="007F3768">
        <w:rPr>
          <w:rFonts w:ascii="Arial" w:hAnsi="Arial"/>
          <w:color w:val="000000"/>
        </w:rPr>
        <w:t xml:space="preserve"> des difficultés de lecture, y compris par importation ou </w:t>
      </w:r>
      <w:proofErr w:type="gramStart"/>
      <w:r w:rsidRPr="007F3768">
        <w:rPr>
          <w:rFonts w:ascii="Arial" w:hAnsi="Arial"/>
          <w:color w:val="000000"/>
        </w:rPr>
        <w:t>exportation;</w:t>
      </w:r>
      <w:proofErr w:type="gramEnd"/>
    </w:p>
    <w:p w14:paraId="6E475777" w14:textId="57D9F31C" w:rsidR="00A94A66" w:rsidRPr="007F3768" w:rsidRDefault="00A94A66" w:rsidP="009E0BE9">
      <w:pPr>
        <w:pStyle w:val="ListParagraph"/>
        <w:numPr>
          <w:ilvl w:val="1"/>
          <w:numId w:val="10"/>
        </w:numPr>
        <w:spacing w:after="0" w:line="480" w:lineRule="auto"/>
        <w:ind w:left="1701" w:hanging="567"/>
        <w:jc w:val="left"/>
      </w:pPr>
      <w:proofErr w:type="gramStart"/>
      <w:r w:rsidRPr="007F3768">
        <w:rPr>
          <w:rFonts w:ascii="Arial" w:hAnsi="Arial"/>
          <w:color w:val="000000"/>
        </w:rPr>
        <w:t>l’importation</w:t>
      </w:r>
      <w:proofErr w:type="gramEnd"/>
      <w:r w:rsidRPr="007F3768">
        <w:rPr>
          <w:rFonts w:ascii="Arial" w:hAnsi="Arial"/>
          <w:color w:val="000000"/>
        </w:rPr>
        <w:t xml:space="preserve"> de copies licitement </w:t>
      </w:r>
      <w:proofErr w:type="gramStart"/>
      <w:r w:rsidRPr="007F3768">
        <w:rPr>
          <w:rFonts w:ascii="Arial" w:hAnsi="Arial"/>
          <w:color w:val="000000"/>
        </w:rPr>
        <w:t>réalisées;</w:t>
      </w:r>
      <w:proofErr w:type="gramEnd"/>
    </w:p>
    <w:p w14:paraId="41F36CC3" w14:textId="77777777" w:rsidR="00A94A66" w:rsidRPr="007F3768" w:rsidRDefault="00A94A66" w:rsidP="009E0BE9">
      <w:pPr>
        <w:pStyle w:val="ListParagraph"/>
        <w:numPr>
          <w:ilvl w:val="1"/>
          <w:numId w:val="10"/>
        </w:numPr>
        <w:spacing w:after="0" w:line="480" w:lineRule="auto"/>
        <w:ind w:left="1701" w:hanging="567"/>
        <w:jc w:val="left"/>
      </w:pPr>
      <w:proofErr w:type="gramStart"/>
      <w:r w:rsidRPr="007F3768">
        <w:rPr>
          <w:rFonts w:ascii="Arial" w:hAnsi="Arial"/>
          <w:color w:val="000000"/>
        </w:rPr>
        <w:t>archivage</w:t>
      </w:r>
      <w:proofErr w:type="gramEnd"/>
      <w:r w:rsidRPr="007F3768">
        <w:rPr>
          <w:rFonts w:ascii="Arial" w:hAnsi="Arial"/>
          <w:color w:val="000000"/>
        </w:rPr>
        <w:t xml:space="preserve"> des supports de cours pour une utilisation ultérieure par les enseignants ou les apprenants.</w:t>
      </w:r>
    </w:p>
    <w:p w14:paraId="32A055E0" w14:textId="77777777" w:rsidR="00A94A66" w:rsidRPr="007F3768" w:rsidRDefault="00A94A66" w:rsidP="007F3768">
      <w:pPr>
        <w:spacing w:line="480" w:lineRule="auto"/>
        <w:rPr>
          <w:rFonts w:eastAsia="Times New Roman"/>
          <w:lang w:val="fr-FR"/>
        </w:rPr>
      </w:pPr>
    </w:p>
    <w:p w14:paraId="4C0B2E78" w14:textId="2B6FFF04" w:rsidR="00A94A66" w:rsidRPr="007F3768" w:rsidRDefault="00A94A66" w:rsidP="009E0BE9">
      <w:pPr>
        <w:pStyle w:val="ListParagraph"/>
        <w:spacing w:after="0" w:line="480" w:lineRule="auto"/>
        <w:ind w:left="1134" w:hanging="567"/>
        <w:jc w:val="left"/>
      </w:pPr>
      <w:r w:rsidRPr="007F3768">
        <w:rPr>
          <w:rFonts w:ascii="Arial" w:hAnsi="Arial"/>
          <w:color w:val="000000"/>
        </w:rPr>
        <w:t>d)</w:t>
      </w:r>
      <w:r w:rsidRPr="007F3768">
        <w:rPr>
          <w:rFonts w:ascii="Arial" w:hAnsi="Arial"/>
          <w:color w:val="000000"/>
        </w:rPr>
        <w:tab/>
        <w:t>les utilisations dans le cadre d’activités de recherche scientifique, telles que :</w:t>
      </w:r>
    </w:p>
    <w:p w14:paraId="64027EFE" w14:textId="77777777" w:rsidR="00A94A66" w:rsidRPr="007F3768" w:rsidRDefault="00A94A66" w:rsidP="009E0BE9">
      <w:pPr>
        <w:pStyle w:val="ListParagraph"/>
        <w:numPr>
          <w:ilvl w:val="1"/>
          <w:numId w:val="9"/>
        </w:numPr>
        <w:spacing w:after="0" w:line="480" w:lineRule="auto"/>
        <w:ind w:left="1701" w:hanging="567"/>
        <w:jc w:val="left"/>
        <w:rPr>
          <w:rFonts w:ascii="Arial" w:eastAsia="Times New Roman" w:hAnsi="Arial" w:cs="Arial"/>
          <w:color w:val="000000"/>
        </w:rPr>
      </w:pPr>
      <w:proofErr w:type="gramStart"/>
      <w:r w:rsidRPr="007F3768">
        <w:rPr>
          <w:rFonts w:ascii="Arial" w:hAnsi="Arial"/>
          <w:color w:val="000000"/>
        </w:rPr>
        <w:t>la</w:t>
      </w:r>
      <w:proofErr w:type="gramEnd"/>
      <w:r w:rsidRPr="007F3768">
        <w:rPr>
          <w:rFonts w:ascii="Arial" w:hAnsi="Arial"/>
          <w:color w:val="000000"/>
        </w:rPr>
        <w:t xml:space="preserve"> réalisation, la modification et la traduction de copies privées à des fins de </w:t>
      </w:r>
      <w:proofErr w:type="gramStart"/>
      <w:r w:rsidRPr="007F3768">
        <w:rPr>
          <w:rFonts w:ascii="Arial" w:hAnsi="Arial"/>
          <w:color w:val="000000"/>
        </w:rPr>
        <w:t>recherche;</w:t>
      </w:r>
      <w:proofErr w:type="gramEnd"/>
    </w:p>
    <w:p w14:paraId="4ECEC877" w14:textId="23459D7B" w:rsidR="00A94A66" w:rsidRPr="007F3768" w:rsidRDefault="00A94A66" w:rsidP="009E0BE9">
      <w:pPr>
        <w:pStyle w:val="ListParagraph"/>
        <w:numPr>
          <w:ilvl w:val="1"/>
          <w:numId w:val="11"/>
        </w:numPr>
        <w:spacing w:after="0" w:line="480" w:lineRule="auto"/>
        <w:ind w:left="1701" w:hanging="567"/>
        <w:jc w:val="left"/>
        <w:rPr>
          <w:rFonts w:ascii="Arial" w:eastAsia="Times New Roman" w:hAnsi="Arial" w:cs="Arial"/>
          <w:color w:val="000000"/>
        </w:rPr>
      </w:pPr>
      <w:proofErr w:type="gramStart"/>
      <w:r w:rsidRPr="007F3768">
        <w:rPr>
          <w:rFonts w:ascii="Arial" w:hAnsi="Arial"/>
          <w:color w:val="000000"/>
        </w:rPr>
        <w:t>les</w:t>
      </w:r>
      <w:proofErr w:type="gramEnd"/>
      <w:r w:rsidRPr="007F3768">
        <w:rPr>
          <w:rFonts w:ascii="Arial" w:hAnsi="Arial"/>
          <w:color w:val="000000"/>
        </w:rPr>
        <w:t xml:space="preserve"> citations ou la traduction d’extraits à des fins d’illustration, de commentaire, de critique ou </w:t>
      </w:r>
      <w:proofErr w:type="gramStart"/>
      <w:r w:rsidRPr="007F3768">
        <w:rPr>
          <w:rFonts w:ascii="Arial" w:hAnsi="Arial"/>
          <w:color w:val="000000"/>
        </w:rPr>
        <w:t>d’analyse;</w:t>
      </w:r>
      <w:proofErr w:type="gramEnd"/>
    </w:p>
    <w:p w14:paraId="6DED502C" w14:textId="58B220D4" w:rsidR="00A94A66" w:rsidRPr="007F3768" w:rsidRDefault="00A94A66" w:rsidP="009E0BE9">
      <w:pPr>
        <w:pStyle w:val="ListParagraph"/>
        <w:numPr>
          <w:ilvl w:val="1"/>
          <w:numId w:val="11"/>
        </w:numPr>
        <w:spacing w:after="0" w:line="480" w:lineRule="auto"/>
        <w:ind w:left="1701" w:hanging="567"/>
        <w:jc w:val="left"/>
        <w:rPr>
          <w:rFonts w:ascii="Arial" w:eastAsia="Times New Roman" w:hAnsi="Arial" w:cs="Arial"/>
          <w:color w:val="000000"/>
        </w:rPr>
      </w:pPr>
      <w:proofErr w:type="gramStart"/>
      <w:r w:rsidRPr="007F3768">
        <w:rPr>
          <w:rFonts w:ascii="Arial" w:hAnsi="Arial"/>
          <w:color w:val="000000"/>
        </w:rPr>
        <w:t>à</w:t>
      </w:r>
      <w:proofErr w:type="gramEnd"/>
      <w:r w:rsidRPr="007F3768">
        <w:rPr>
          <w:rFonts w:ascii="Arial" w:hAnsi="Arial"/>
          <w:color w:val="000000"/>
        </w:rPr>
        <w:t xml:space="preserve"> des fins d’étude et d’analyse scientifiques, y compris la recherche, l’organisation et l’analyse de données, ainsi que la recherche </w:t>
      </w:r>
      <w:proofErr w:type="gramStart"/>
      <w:r w:rsidRPr="007F3768">
        <w:rPr>
          <w:rFonts w:ascii="Arial" w:hAnsi="Arial"/>
          <w:color w:val="000000"/>
        </w:rPr>
        <w:t>informatique;</w:t>
      </w:r>
      <w:proofErr w:type="gramEnd"/>
    </w:p>
    <w:p w14:paraId="4429AB1C" w14:textId="77777777" w:rsidR="00A94A66" w:rsidRDefault="00A94A66" w:rsidP="009E0BE9">
      <w:pPr>
        <w:spacing w:line="480" w:lineRule="auto"/>
        <w:jc w:val="right"/>
        <w:rPr>
          <w:rFonts w:eastAsia="Times New Roman"/>
          <w:lang w:val="fr-FR"/>
        </w:rPr>
      </w:pPr>
    </w:p>
    <w:p w14:paraId="68E8C8E5" w14:textId="77777777" w:rsidR="009E0BE9" w:rsidRPr="007F3768" w:rsidRDefault="009E0BE9" w:rsidP="009E0BE9">
      <w:pPr>
        <w:spacing w:line="480" w:lineRule="auto"/>
        <w:jc w:val="right"/>
        <w:rPr>
          <w:rFonts w:eastAsia="Times New Roman"/>
          <w:lang w:val="fr-FR"/>
        </w:rPr>
      </w:pPr>
    </w:p>
    <w:p w14:paraId="0D962638" w14:textId="71B440E6" w:rsidR="00A94A66" w:rsidRPr="007F3768" w:rsidRDefault="00A94A66" w:rsidP="007F3768">
      <w:pPr>
        <w:spacing w:line="480" w:lineRule="auto"/>
        <w:jc w:val="right"/>
        <w:rPr>
          <w:rFonts w:eastAsia="Times New Roman"/>
          <w:lang w:val="fr-FR"/>
        </w:rPr>
      </w:pPr>
      <w:r w:rsidRPr="007F3768">
        <w:rPr>
          <w:lang w:val="fr-FR"/>
        </w:rPr>
        <w:t>[Suite de l’article 4, page 2</w:t>
      </w:r>
      <w:r w:rsidR="009E0BE9">
        <w:rPr>
          <w:lang w:val="fr-FR"/>
        </w:rPr>
        <w:t>8</w:t>
      </w:r>
      <w:r w:rsidRPr="007F3768">
        <w:rPr>
          <w:lang w:val="fr-FR"/>
        </w:rPr>
        <w:t>]</w:t>
      </w:r>
      <w:r w:rsidRPr="007F3768">
        <w:rPr>
          <w:lang w:val="fr-FR"/>
        </w:rPr>
        <w:br w:type="page"/>
      </w:r>
    </w:p>
    <w:p w14:paraId="5444EC0A" w14:textId="2B2AA613" w:rsidR="00A94A66" w:rsidRPr="007F3768" w:rsidRDefault="00A94A66" w:rsidP="007F3768">
      <w:pPr>
        <w:rPr>
          <w:rFonts w:eastAsia="Times New Roman"/>
          <w:color w:val="000000" w:themeColor="text1"/>
          <w:lang w:val="fr-FR"/>
        </w:rPr>
      </w:pPr>
      <w:r w:rsidRPr="007F3768">
        <w:rPr>
          <w:color w:val="000000" w:themeColor="text1"/>
          <w:lang w:val="fr-FR"/>
        </w:rPr>
        <w:lastRenderedPageBreak/>
        <w:t>4.19</w:t>
      </w:r>
      <w:r w:rsidRPr="007F3768">
        <w:rPr>
          <w:color w:val="000000" w:themeColor="text1"/>
          <w:lang w:val="fr-FR"/>
        </w:rPr>
        <w:tab/>
        <w:t xml:space="preserve">Le </w:t>
      </w:r>
      <w:r w:rsidRPr="007F3768">
        <w:rPr>
          <w:i/>
          <w:color w:val="000000" w:themeColor="text1"/>
          <w:lang w:val="fr-FR"/>
        </w:rPr>
        <w:t>point </w:t>
      </w:r>
      <w:proofErr w:type="gramStart"/>
      <w:r w:rsidRPr="007F3768">
        <w:rPr>
          <w:i/>
          <w:color w:val="000000" w:themeColor="text1"/>
          <w:lang w:val="fr-FR"/>
        </w:rPr>
        <w:t>d)iv</w:t>
      </w:r>
      <w:proofErr w:type="gramEnd"/>
      <w:r w:rsidRPr="007F3768">
        <w:rPr>
          <w:i/>
          <w:color w:val="000000" w:themeColor="text1"/>
          <w:lang w:val="fr-FR"/>
        </w:rPr>
        <w:t xml:space="preserve">) </w:t>
      </w:r>
      <w:r w:rsidRPr="007F3768">
        <w:rPr>
          <w:color w:val="000000" w:themeColor="text1"/>
          <w:lang w:val="fr-FR"/>
        </w:rPr>
        <w:t>décrit les utilisations autorisées dans le cadre de la recherche scientifique, notamment les tests, l’ingénierie inverse et l’interconnexion et l’interopérabilité des produits licitement détenus par l’utilisateur.</w:t>
      </w:r>
    </w:p>
    <w:p w14:paraId="73201039" w14:textId="77777777" w:rsidR="00A94A66" w:rsidRPr="007F3768" w:rsidRDefault="00A94A66" w:rsidP="007F3768">
      <w:pPr>
        <w:rPr>
          <w:rFonts w:eastAsia="Times New Roman"/>
          <w:color w:val="000000" w:themeColor="text1"/>
          <w:lang w:val="fr-FR"/>
        </w:rPr>
      </w:pPr>
    </w:p>
    <w:p w14:paraId="301B5DAF" w14:textId="6B2DCE87" w:rsidR="00A94A66" w:rsidRPr="007F3768" w:rsidRDefault="00A94A66" w:rsidP="007F3768">
      <w:pPr>
        <w:rPr>
          <w:rFonts w:eastAsia="Times New Roman"/>
          <w:color w:val="000000" w:themeColor="text1"/>
          <w:lang w:val="fr-FR"/>
        </w:rPr>
      </w:pPr>
      <w:r w:rsidRPr="007F3768">
        <w:rPr>
          <w:color w:val="000000" w:themeColor="text1"/>
          <w:lang w:val="fr-FR"/>
        </w:rPr>
        <w:t>4.20</w:t>
      </w:r>
      <w:r w:rsidRPr="007F3768">
        <w:rPr>
          <w:color w:val="000000" w:themeColor="text1"/>
          <w:lang w:val="fr-FR"/>
        </w:rPr>
        <w:tab/>
        <w:t>L’</w:t>
      </w:r>
      <w:r w:rsidRPr="007F3768">
        <w:rPr>
          <w:i/>
          <w:color w:val="000000" w:themeColor="text1"/>
          <w:lang w:val="fr-FR"/>
        </w:rPr>
        <w:t xml:space="preserve">alinéa 3) </w:t>
      </w:r>
      <w:r w:rsidRPr="007F3768">
        <w:rPr>
          <w:color w:val="000000" w:themeColor="text1"/>
          <w:lang w:val="fr-FR"/>
        </w:rPr>
        <w:t xml:space="preserve">du présent article définit le terme “recherche scientifique”. </w:t>
      </w:r>
      <w:r w:rsidR="00F309FC" w:rsidRPr="007F3768">
        <w:rPr>
          <w:color w:val="000000" w:themeColor="text1"/>
          <w:lang w:val="fr-FR"/>
        </w:rPr>
        <w:t xml:space="preserve"> </w:t>
      </w:r>
      <w:r w:rsidRPr="007F3768">
        <w:rPr>
          <w:color w:val="000000" w:themeColor="text1"/>
          <w:lang w:val="fr-FR"/>
        </w:rPr>
        <w:t xml:space="preserve">Cette disposition suit de près la directive (UE) 2019/790, considérant 12 (“Les organismes de recherche dans l’ensemble de l’Union englobent une grande variété d’entités dont l’objectif premier est d’effectuer des recherches scientifiques ou de le faire tout en assurant des services éducatifs.  Au sens de la présente directive, le terme </w:t>
      </w:r>
      <w:r w:rsidR="007F3768">
        <w:rPr>
          <w:color w:val="000000" w:themeColor="text1"/>
          <w:lang w:val="fr-FR"/>
        </w:rPr>
        <w:t>‘</w:t>
      </w:r>
      <w:r w:rsidRPr="007F3768">
        <w:rPr>
          <w:color w:val="000000" w:themeColor="text1"/>
          <w:lang w:val="fr-FR"/>
        </w:rPr>
        <w:t>recherche scientifique</w:t>
      </w:r>
      <w:r w:rsidR="007F3768">
        <w:rPr>
          <w:color w:val="000000" w:themeColor="text1"/>
          <w:lang w:val="fr-FR"/>
        </w:rPr>
        <w:t>’</w:t>
      </w:r>
      <w:r w:rsidRPr="007F3768">
        <w:rPr>
          <w:color w:val="000000" w:themeColor="text1"/>
          <w:lang w:val="fr-FR"/>
        </w:rPr>
        <w:t xml:space="preserve"> devrait s’entendre comme couvrant à la fois les sciences naturelles et les sciences humain</w:t>
      </w:r>
      <w:r w:rsidR="00F42729" w:rsidRPr="007F3768">
        <w:rPr>
          <w:color w:val="000000" w:themeColor="text1"/>
          <w:lang w:val="fr-FR"/>
        </w:rPr>
        <w:t>es.  Co</w:t>
      </w:r>
      <w:r w:rsidRPr="007F3768">
        <w:rPr>
          <w:color w:val="000000" w:themeColor="text1"/>
          <w:lang w:val="fr-FR"/>
        </w:rPr>
        <w:t>mpte tenu de la diversité de ces entités, il est important d’avoir une compréhension commune de ce que sont des organismes de recherc</w:t>
      </w:r>
      <w:r w:rsidR="00F42729" w:rsidRPr="007F3768">
        <w:rPr>
          <w:color w:val="000000" w:themeColor="text1"/>
          <w:lang w:val="fr-FR"/>
        </w:rPr>
        <w:t>he.  Ou</w:t>
      </w:r>
      <w:r w:rsidRPr="007F3768">
        <w:rPr>
          <w:color w:val="000000" w:themeColor="text1"/>
          <w:lang w:val="fr-FR"/>
        </w:rPr>
        <w:t>tre les universités ou les autres établissements d’enseignement supérieur et leurs bibliothèques, cette notion devrait également englober des entités telles que les instituts de recherche et les hôpitaux qui font de la recherc</w:t>
      </w:r>
      <w:r w:rsidR="00F42729" w:rsidRPr="007F3768">
        <w:rPr>
          <w:color w:val="000000" w:themeColor="text1"/>
          <w:lang w:val="fr-FR"/>
        </w:rPr>
        <w:t>he.  Ma</w:t>
      </w:r>
      <w:r w:rsidRPr="007F3768">
        <w:rPr>
          <w:color w:val="000000" w:themeColor="text1"/>
          <w:lang w:val="fr-FR"/>
        </w:rPr>
        <w:t>lgré leurs différences en termes de forme juridique et de structure juridiques, les organismes de recherche dans les États membres ont généralement en commun d’exercer leur activité soit à but non lucratif, soit dans le cadre d’une mission d’intérêt public reconnue par l’Ét</w:t>
      </w:r>
      <w:r w:rsidR="00F42729" w:rsidRPr="007F3768">
        <w:rPr>
          <w:color w:val="000000" w:themeColor="text1"/>
          <w:lang w:val="fr-FR"/>
        </w:rPr>
        <w:t>at.  Un</w:t>
      </w:r>
      <w:r w:rsidRPr="007F3768">
        <w:rPr>
          <w:color w:val="000000" w:themeColor="text1"/>
          <w:lang w:val="fr-FR"/>
        </w:rPr>
        <w:t>e telle mission d’intérêt public pourrait, par exemple, se traduire par un financement public ou par des dispositions dans les législations nationales ou les marchés publics.  Inversement, les organismes sur lesquels des entreprises commerciales ont une influence déterminante leur permettant d’exercer un contrôle en raison d’éléments structurels tels que leur qualité d’actionnaire ou d’associé, ce qui pourrait conduire à un accès préférentiel aux résultats des recherches, ne devraient pas être considérés comme des organismes de recherche aux fins de la présente directive”).</w:t>
      </w:r>
    </w:p>
    <w:p w14:paraId="24E5C989" w14:textId="77777777" w:rsidR="00A94A66" w:rsidRPr="007F3768" w:rsidRDefault="00A94A66" w:rsidP="007F3768">
      <w:pPr>
        <w:rPr>
          <w:rFonts w:eastAsia="Times New Roman"/>
          <w:color w:val="000000" w:themeColor="text1"/>
          <w:lang w:val="fr-FR"/>
        </w:rPr>
      </w:pPr>
    </w:p>
    <w:p w14:paraId="2D5DC16C" w14:textId="77777777" w:rsidR="00A94A66" w:rsidRPr="007F3768" w:rsidRDefault="00A94A66" w:rsidP="007F3768">
      <w:pPr>
        <w:rPr>
          <w:rFonts w:eastAsia="Times New Roman"/>
          <w:color w:val="000000" w:themeColor="text1"/>
          <w:lang w:val="fr-FR"/>
        </w:rPr>
      </w:pPr>
    </w:p>
    <w:p w14:paraId="79CEA1A6" w14:textId="6659F425" w:rsidR="00A94A66" w:rsidRPr="007F3768" w:rsidRDefault="00A94A66" w:rsidP="007F3768">
      <w:pPr>
        <w:jc w:val="right"/>
        <w:rPr>
          <w:lang w:val="fr-FR"/>
        </w:rPr>
      </w:pPr>
      <w:r w:rsidRPr="007F3768">
        <w:rPr>
          <w:color w:val="000000" w:themeColor="text1"/>
          <w:shd w:val="clear" w:color="auto" w:fill="FFFFFF"/>
          <w:lang w:val="fr-FR"/>
        </w:rPr>
        <w:t>[</w:t>
      </w:r>
      <w:r w:rsidRPr="007F3768">
        <w:rPr>
          <w:lang w:val="fr-FR"/>
        </w:rPr>
        <w:t>Fin des notes explicatives relatives à l’article 4]</w:t>
      </w:r>
      <w:r w:rsidRPr="007F3768">
        <w:rPr>
          <w:lang w:val="fr-FR"/>
        </w:rPr>
        <w:br w:type="page"/>
      </w:r>
    </w:p>
    <w:p w14:paraId="3C794221" w14:textId="5C5E57D3" w:rsidR="00A94A66" w:rsidRPr="007F3768" w:rsidRDefault="00A94A66" w:rsidP="009E0BE9">
      <w:pPr>
        <w:pStyle w:val="ListParagraph"/>
        <w:numPr>
          <w:ilvl w:val="1"/>
          <w:numId w:val="11"/>
        </w:numPr>
        <w:spacing w:after="0" w:line="480" w:lineRule="auto"/>
        <w:ind w:left="1701" w:hanging="567"/>
        <w:jc w:val="left"/>
        <w:rPr>
          <w:rFonts w:ascii="Arial" w:hAnsi="Arial"/>
          <w:color w:val="000000"/>
        </w:rPr>
      </w:pPr>
      <w:proofErr w:type="gramStart"/>
      <w:r w:rsidRPr="007F3768">
        <w:rPr>
          <w:rFonts w:ascii="Arial" w:hAnsi="Arial"/>
          <w:color w:val="000000"/>
        </w:rPr>
        <w:lastRenderedPageBreak/>
        <w:t>à</w:t>
      </w:r>
      <w:proofErr w:type="gramEnd"/>
      <w:r w:rsidRPr="007F3768">
        <w:rPr>
          <w:rFonts w:ascii="Arial" w:hAnsi="Arial"/>
          <w:color w:val="000000"/>
        </w:rPr>
        <w:t xml:space="preserve"> des fins de tests, d’ingénierie inverse et d’interconnexion et d’interopérabilité des produits licitement détenus par l’utilisateur.</w:t>
      </w:r>
    </w:p>
    <w:p w14:paraId="4968FEB7" w14:textId="5053DE05" w:rsidR="00A94A66" w:rsidRPr="007F3768" w:rsidRDefault="00A94A66" w:rsidP="009E0BE9">
      <w:pPr>
        <w:pStyle w:val="ListParagraph"/>
        <w:spacing w:after="0" w:line="480" w:lineRule="auto"/>
        <w:ind w:left="0"/>
        <w:jc w:val="left"/>
        <w:rPr>
          <w:rFonts w:ascii="Arial" w:eastAsia="Times New Roman" w:hAnsi="Arial" w:cs="Arial"/>
          <w:color w:val="000000"/>
        </w:rPr>
      </w:pPr>
    </w:p>
    <w:p w14:paraId="5C0087AC" w14:textId="695A6E08" w:rsidR="00A94A66" w:rsidRPr="007F3768" w:rsidRDefault="00A94A66" w:rsidP="007F3768">
      <w:pPr>
        <w:spacing w:line="480" w:lineRule="auto"/>
        <w:rPr>
          <w:rFonts w:eastAsia="Times New Roman"/>
          <w:lang w:val="fr-FR"/>
        </w:rPr>
      </w:pPr>
      <w:r w:rsidRPr="007F3768">
        <w:rPr>
          <w:lang w:val="fr-FR"/>
        </w:rPr>
        <w:t xml:space="preserve">3. </w:t>
      </w:r>
      <w:r w:rsidR="00F309FC" w:rsidRPr="007F3768">
        <w:rPr>
          <w:lang w:val="fr-FR"/>
        </w:rPr>
        <w:t xml:space="preserve"> </w:t>
      </w:r>
      <w:r w:rsidRPr="007F3768">
        <w:rPr>
          <w:lang w:val="fr-FR"/>
        </w:rPr>
        <w:t>Au sens du présent instrument, le terme “recherche scientifique” devrait s’entendre comme couvrant à la fois les sciences naturelles et les sciences humaines, y compris la recherche effectuée par des organismes de recherche publics ou à but non lucratif.</w:t>
      </w:r>
    </w:p>
    <w:p w14:paraId="1B61BF7B" w14:textId="77777777" w:rsidR="00A94A66" w:rsidRDefault="00A94A66" w:rsidP="009E0BE9">
      <w:pPr>
        <w:spacing w:line="480" w:lineRule="auto"/>
        <w:jc w:val="right"/>
        <w:rPr>
          <w:rFonts w:eastAsia="Times New Roman"/>
          <w:lang w:val="fr-FR"/>
        </w:rPr>
      </w:pPr>
    </w:p>
    <w:p w14:paraId="7E29AE5B" w14:textId="77777777" w:rsidR="009E0BE9" w:rsidRPr="007F3768" w:rsidRDefault="009E0BE9" w:rsidP="009E0BE9">
      <w:pPr>
        <w:spacing w:line="480" w:lineRule="auto"/>
        <w:jc w:val="right"/>
        <w:rPr>
          <w:rFonts w:eastAsia="Times New Roman"/>
          <w:lang w:val="fr-FR"/>
        </w:rPr>
      </w:pPr>
    </w:p>
    <w:p w14:paraId="0FFB9E0A" w14:textId="515838D2" w:rsidR="00A94A66" w:rsidRPr="007F3768" w:rsidRDefault="00A94A66" w:rsidP="007F3768">
      <w:pPr>
        <w:spacing w:line="480" w:lineRule="auto"/>
        <w:jc w:val="right"/>
        <w:rPr>
          <w:rFonts w:eastAsia="Times New Roman"/>
          <w:lang w:val="fr-FR"/>
        </w:rPr>
      </w:pPr>
      <w:r w:rsidRPr="007F3768">
        <w:rPr>
          <w:lang w:val="fr-FR"/>
        </w:rPr>
        <w:t>[Fin de l’article 4]</w:t>
      </w:r>
      <w:r w:rsidRPr="007F3768">
        <w:rPr>
          <w:lang w:val="fr-FR"/>
        </w:rPr>
        <w:br w:type="page"/>
      </w:r>
    </w:p>
    <w:p w14:paraId="35CCC886" w14:textId="57B9B13A" w:rsidR="00A94A66" w:rsidRPr="007F3768" w:rsidRDefault="00A94A66" w:rsidP="007F3768">
      <w:pPr>
        <w:rPr>
          <w:rFonts w:eastAsia="Times New Roman"/>
          <w:lang w:val="fr-FR"/>
        </w:rPr>
      </w:pPr>
      <w:r w:rsidRPr="007F3768">
        <w:rPr>
          <w:i/>
          <w:lang w:val="fr-FR"/>
        </w:rPr>
        <w:lastRenderedPageBreak/>
        <w:t>Notes explicatives relatives à l’article 5</w:t>
      </w:r>
    </w:p>
    <w:p w14:paraId="0C358AD5" w14:textId="77777777" w:rsidR="00A94A66" w:rsidRPr="007F3768" w:rsidRDefault="00A94A66" w:rsidP="007F3768">
      <w:pPr>
        <w:rPr>
          <w:rFonts w:eastAsia="Times New Roman"/>
          <w:i/>
          <w:iCs/>
          <w:lang w:val="fr-FR"/>
        </w:rPr>
      </w:pPr>
    </w:p>
    <w:p w14:paraId="7D1BD229" w14:textId="1ECEA784" w:rsidR="00A94A66" w:rsidRPr="007F3768" w:rsidRDefault="00A94A66" w:rsidP="007F3768">
      <w:pPr>
        <w:rPr>
          <w:rFonts w:eastAsia="Times New Roman"/>
          <w:lang w:val="fr-FR"/>
        </w:rPr>
      </w:pPr>
      <w:r w:rsidRPr="007F3768">
        <w:rPr>
          <w:lang w:val="fr-FR"/>
        </w:rPr>
        <w:t>5.01</w:t>
      </w:r>
      <w:r w:rsidRPr="007F3768">
        <w:rPr>
          <w:lang w:val="fr-FR"/>
        </w:rPr>
        <w:tab/>
        <w:t>Les dispositions du présent article traitent des utilisations autorisées relatives au patrimoine cultur</w:t>
      </w:r>
      <w:r w:rsidR="00F42729" w:rsidRPr="007F3768">
        <w:rPr>
          <w:lang w:val="fr-FR"/>
        </w:rPr>
        <w:t>el.  Il</w:t>
      </w:r>
      <w:r w:rsidRPr="007F3768">
        <w:rPr>
          <w:lang w:val="fr-FR"/>
        </w:rPr>
        <w:t xml:space="preserve"> suit de près les travaux de la Fédération internationale des associations de bibliothécaires et des bibliothèques (</w:t>
      </w:r>
      <w:proofErr w:type="spellStart"/>
      <w:r w:rsidRPr="007F3768">
        <w:rPr>
          <w:lang w:val="fr-FR"/>
        </w:rPr>
        <w:t>FIAB</w:t>
      </w:r>
      <w:proofErr w:type="spellEnd"/>
      <w:r w:rsidRPr="007F3768">
        <w:rPr>
          <w:lang w:val="fr-FR"/>
        </w:rPr>
        <w:t>), de l’</w:t>
      </w:r>
      <w:proofErr w:type="spellStart"/>
      <w:r w:rsidRPr="007F3768">
        <w:rPr>
          <w:lang w:val="fr-FR"/>
        </w:rPr>
        <w:t>Electronic</w:t>
      </w:r>
      <w:proofErr w:type="spellEnd"/>
      <w:r w:rsidRPr="007F3768">
        <w:rPr>
          <w:lang w:val="fr-FR"/>
        </w:rPr>
        <w:t xml:space="preserve"> Information for </w:t>
      </w:r>
      <w:proofErr w:type="spellStart"/>
      <w:r w:rsidRPr="007F3768">
        <w:rPr>
          <w:lang w:val="fr-FR"/>
        </w:rPr>
        <w:t>Libraries</w:t>
      </w:r>
      <w:proofErr w:type="spellEnd"/>
      <w:r w:rsidRPr="007F3768">
        <w:rPr>
          <w:lang w:val="fr-FR"/>
        </w:rPr>
        <w:t xml:space="preserve"> (</w:t>
      </w:r>
      <w:proofErr w:type="spellStart"/>
      <w:r w:rsidRPr="007F3768">
        <w:rPr>
          <w:lang w:val="fr-FR"/>
        </w:rPr>
        <w:t>EIFL</w:t>
      </w:r>
      <w:proofErr w:type="spellEnd"/>
      <w:r w:rsidRPr="007F3768">
        <w:rPr>
          <w:lang w:val="fr-FR"/>
        </w:rPr>
        <w:t xml:space="preserve">) et du Conseil international des archives (CIA).  Projet de traité sur la préservation : A </w:t>
      </w:r>
      <w:proofErr w:type="spellStart"/>
      <w:r w:rsidRPr="007F3768">
        <w:rPr>
          <w:lang w:val="fr-FR"/>
        </w:rPr>
        <w:t>treaty</w:t>
      </w:r>
      <w:proofErr w:type="spellEnd"/>
      <w:r w:rsidRPr="007F3768">
        <w:rPr>
          <w:lang w:val="fr-FR"/>
        </w:rPr>
        <w:t xml:space="preserve"> on </w:t>
      </w:r>
      <w:proofErr w:type="spellStart"/>
      <w:r w:rsidRPr="007F3768">
        <w:rPr>
          <w:lang w:val="fr-FR"/>
        </w:rPr>
        <w:t>preservation</w:t>
      </w:r>
      <w:proofErr w:type="spellEnd"/>
      <w:r w:rsidRPr="007F3768">
        <w:rPr>
          <w:lang w:val="fr-FR"/>
        </w:rPr>
        <w:t xml:space="preserve"> of Cultural </w:t>
      </w:r>
      <w:proofErr w:type="spellStart"/>
      <w:r w:rsidRPr="007F3768">
        <w:rPr>
          <w:lang w:val="fr-FR"/>
        </w:rPr>
        <w:t>Heritage</w:t>
      </w:r>
      <w:proofErr w:type="spellEnd"/>
      <w:r w:rsidRPr="007F3768">
        <w:rPr>
          <w:lang w:val="fr-FR"/>
        </w:rPr>
        <w:t xml:space="preserve"> (2019) </w:t>
      </w:r>
      <w:hyperlink r:id="rId13">
        <w:r w:rsidRPr="007F3768">
          <w:rPr>
            <w:rStyle w:val="Hyperlink"/>
            <w:lang w:val="fr-FR"/>
          </w:rPr>
          <w:t>https://repository.ifla.org/items/6f90d862</w:t>
        </w:r>
        <w:r w:rsidR="007F3768">
          <w:rPr>
            <w:rStyle w:val="Hyperlink"/>
            <w:lang w:val="fr-FR"/>
          </w:rPr>
          <w:noBreakHyphen/>
        </w:r>
        <w:r w:rsidRPr="007F3768">
          <w:rPr>
            <w:rStyle w:val="Hyperlink"/>
            <w:lang w:val="fr-FR"/>
          </w:rPr>
          <w:t>139a</w:t>
        </w:r>
        <w:r w:rsidR="007F3768">
          <w:rPr>
            <w:rStyle w:val="Hyperlink"/>
            <w:lang w:val="fr-FR"/>
          </w:rPr>
          <w:noBreakHyphen/>
        </w:r>
        <w:r w:rsidRPr="007F3768">
          <w:rPr>
            <w:rStyle w:val="Hyperlink"/>
            <w:lang w:val="fr-FR"/>
          </w:rPr>
          <w:t>449d</w:t>
        </w:r>
        <w:r w:rsidR="007F3768">
          <w:rPr>
            <w:rStyle w:val="Hyperlink"/>
            <w:lang w:val="fr-FR"/>
          </w:rPr>
          <w:noBreakHyphen/>
        </w:r>
        <w:r w:rsidRPr="007F3768">
          <w:rPr>
            <w:rStyle w:val="Hyperlink"/>
            <w:lang w:val="fr-FR"/>
          </w:rPr>
          <w:t>a921</w:t>
        </w:r>
        <w:r w:rsidR="007F3768">
          <w:rPr>
            <w:rStyle w:val="Hyperlink"/>
            <w:lang w:val="fr-FR"/>
          </w:rPr>
          <w:noBreakHyphen/>
        </w:r>
        <w:r w:rsidRPr="007F3768">
          <w:rPr>
            <w:rStyle w:val="Hyperlink"/>
            <w:lang w:val="fr-FR"/>
          </w:rPr>
          <w:t>f0f0626efe76</w:t>
        </w:r>
      </w:hyperlink>
      <w:r w:rsidRPr="007F3768">
        <w:rPr>
          <w:lang w:val="fr-FR"/>
        </w:rPr>
        <w:t>.</w:t>
      </w:r>
    </w:p>
    <w:p w14:paraId="2F5A655C" w14:textId="77777777" w:rsidR="00A94A66" w:rsidRPr="007F3768" w:rsidRDefault="00A94A66" w:rsidP="007F3768">
      <w:pPr>
        <w:rPr>
          <w:rFonts w:eastAsia="Times New Roman"/>
          <w:lang w:val="fr-FR"/>
        </w:rPr>
      </w:pPr>
    </w:p>
    <w:p w14:paraId="39EF34A4" w14:textId="38B031FB" w:rsidR="00A94A66" w:rsidRPr="007F3768" w:rsidRDefault="00A94A66" w:rsidP="007F3768">
      <w:pPr>
        <w:rPr>
          <w:rFonts w:eastAsia="Times New Roman"/>
          <w:lang w:val="fr-FR"/>
        </w:rPr>
      </w:pPr>
      <w:r w:rsidRPr="007F3768">
        <w:rPr>
          <w:lang w:val="fr-FR"/>
        </w:rPr>
        <w:t>5.02</w:t>
      </w:r>
      <w:r w:rsidRPr="007F3768">
        <w:rPr>
          <w:lang w:val="fr-FR"/>
        </w:rPr>
        <w:tab/>
        <w:t>L’</w:t>
      </w:r>
      <w:r w:rsidRPr="007F3768">
        <w:rPr>
          <w:i/>
          <w:iCs/>
          <w:lang w:val="fr-FR"/>
        </w:rPr>
        <w:t xml:space="preserve">alinéa 1) </w:t>
      </w:r>
      <w:r w:rsidRPr="007F3768">
        <w:rPr>
          <w:lang w:val="fr-FR"/>
        </w:rPr>
        <w:t>souligne que les institutions culturelles ont besoin d’une limitation ou d’une exception au droit de reproduction afin de pouvoir réaliser des copies de toute œuvre ou autre objet faisant partie de leurs collections à titre permanent à des fins de conservation.</w:t>
      </w:r>
    </w:p>
    <w:p w14:paraId="28C35697" w14:textId="77777777" w:rsidR="00A94A66" w:rsidRPr="007F3768" w:rsidRDefault="00A94A66" w:rsidP="007F3768">
      <w:pPr>
        <w:rPr>
          <w:rFonts w:eastAsia="Times New Roman"/>
          <w:lang w:val="fr-FR"/>
        </w:rPr>
      </w:pPr>
    </w:p>
    <w:p w14:paraId="5272362C" w14:textId="1D31F29B" w:rsidR="00A94A66" w:rsidRPr="007F3768" w:rsidRDefault="00A94A66" w:rsidP="007F3768">
      <w:pPr>
        <w:rPr>
          <w:lang w:val="fr-FR"/>
        </w:rPr>
      </w:pPr>
      <w:r w:rsidRPr="007F3768">
        <w:rPr>
          <w:lang w:val="fr-FR"/>
        </w:rPr>
        <w:t>5.03</w:t>
      </w:r>
      <w:r w:rsidRPr="007F3768">
        <w:rPr>
          <w:lang w:val="fr-FR"/>
        </w:rPr>
        <w:tab/>
        <w:t>L’</w:t>
      </w:r>
      <w:r w:rsidRPr="007F3768">
        <w:rPr>
          <w:i/>
          <w:iCs/>
          <w:lang w:val="fr-FR"/>
        </w:rPr>
        <w:t xml:space="preserve">alinéa 2) </w:t>
      </w:r>
      <w:r w:rsidRPr="007F3768">
        <w:rPr>
          <w:lang w:val="fr-FR"/>
        </w:rPr>
        <w:t>prévoit des limitations et exceptions relatives au droit de reproduction, au droit de distribution et au droit de mise à disposition.</w:t>
      </w:r>
    </w:p>
    <w:p w14:paraId="191B0358" w14:textId="12EABD70" w:rsidR="00A94A66" w:rsidRPr="007F3768" w:rsidRDefault="00A94A66" w:rsidP="007F3768">
      <w:pPr>
        <w:rPr>
          <w:rFonts w:eastAsia="Times New Roman"/>
          <w:lang w:val="fr-FR"/>
        </w:rPr>
      </w:pPr>
    </w:p>
    <w:p w14:paraId="2BA9A208" w14:textId="28D66E35" w:rsidR="00A94A66" w:rsidRPr="007F3768" w:rsidRDefault="00A94A66" w:rsidP="007F3768">
      <w:pPr>
        <w:rPr>
          <w:lang w:val="fr-FR"/>
        </w:rPr>
      </w:pPr>
      <w:r w:rsidRPr="007F3768">
        <w:rPr>
          <w:lang w:val="fr-FR"/>
        </w:rPr>
        <w:t>5.04</w:t>
      </w:r>
      <w:r w:rsidRPr="007F3768">
        <w:rPr>
          <w:lang w:val="fr-FR"/>
        </w:rPr>
        <w:tab/>
        <w:t xml:space="preserve">Le </w:t>
      </w:r>
      <w:r w:rsidRPr="007F3768">
        <w:rPr>
          <w:i/>
          <w:lang w:val="fr-FR"/>
        </w:rPr>
        <w:t xml:space="preserve">point a) </w:t>
      </w:r>
      <w:r w:rsidRPr="007F3768">
        <w:rPr>
          <w:lang w:val="fr-FR"/>
        </w:rPr>
        <w:t>indique qu’une institution peut fournir dans ses locaux un accès à des copies dans tout format et sur tout support.</w:t>
      </w:r>
    </w:p>
    <w:p w14:paraId="31C5E084" w14:textId="02951094" w:rsidR="00A94A66" w:rsidRPr="007F3768" w:rsidRDefault="00A94A66" w:rsidP="007F3768">
      <w:pPr>
        <w:rPr>
          <w:rFonts w:eastAsia="Times New Roman"/>
          <w:lang w:val="fr-FR"/>
        </w:rPr>
      </w:pPr>
    </w:p>
    <w:p w14:paraId="0F42F19C" w14:textId="2B70ECD5" w:rsidR="00A94A66" w:rsidRPr="007F3768" w:rsidRDefault="00A94A66" w:rsidP="007F3768">
      <w:pPr>
        <w:rPr>
          <w:rFonts w:eastAsia="Times New Roman"/>
          <w:lang w:val="fr-FR"/>
        </w:rPr>
      </w:pPr>
      <w:r w:rsidRPr="007F3768">
        <w:rPr>
          <w:lang w:val="fr-FR"/>
        </w:rPr>
        <w:t>5.05</w:t>
      </w:r>
      <w:r w:rsidRPr="007F3768">
        <w:rPr>
          <w:lang w:val="fr-FR"/>
        </w:rPr>
        <w:tab/>
        <w:t xml:space="preserve">Le </w:t>
      </w:r>
      <w:r w:rsidRPr="007F3768">
        <w:rPr>
          <w:i/>
          <w:iCs/>
          <w:lang w:val="fr-FR"/>
        </w:rPr>
        <w:t>point b)</w:t>
      </w:r>
      <w:r w:rsidRPr="007F3768">
        <w:rPr>
          <w:lang w:val="fr-FR"/>
        </w:rPr>
        <w:t xml:space="preserve"> oblige les parties à autoriser les institutions culturelles à fournir des copies à des fins d’étude privée, d’enseignement ou de recherche.</w:t>
      </w:r>
    </w:p>
    <w:p w14:paraId="163BB65B" w14:textId="77777777" w:rsidR="00A94A66" w:rsidRPr="007F3768" w:rsidRDefault="00A94A66" w:rsidP="007F3768">
      <w:pPr>
        <w:rPr>
          <w:rFonts w:eastAsia="Times New Roman"/>
          <w:lang w:val="fr-FR"/>
        </w:rPr>
      </w:pPr>
    </w:p>
    <w:p w14:paraId="0BCF7BE1" w14:textId="5EBB2DEF" w:rsidR="00A94A66" w:rsidRPr="007F3768" w:rsidRDefault="00A94A66" w:rsidP="007F3768">
      <w:pPr>
        <w:rPr>
          <w:rFonts w:eastAsia="Times New Roman"/>
          <w:lang w:val="fr-FR"/>
        </w:rPr>
      </w:pPr>
      <w:r w:rsidRPr="007F3768">
        <w:rPr>
          <w:lang w:val="fr-FR"/>
        </w:rPr>
        <w:t>5.06</w:t>
      </w:r>
      <w:r w:rsidRPr="007F3768">
        <w:rPr>
          <w:lang w:val="fr-FR"/>
        </w:rPr>
        <w:tab/>
      </w:r>
      <w:r w:rsidRPr="007F3768">
        <w:rPr>
          <w:i/>
          <w:iCs/>
          <w:lang w:val="fr-FR"/>
        </w:rPr>
        <w:t>Point c)</w:t>
      </w:r>
      <w:r w:rsidRPr="007F3768">
        <w:rPr>
          <w:lang w:val="fr-FR"/>
        </w:rPr>
        <w:t> : les institutions culturelles sont autorisées à reproduire et à mettre à la disposition du public des œuvres qui ne sont plus commercialisées, lorsque les licences appropriées couvrant les besoins des institutions culturelles ne sont pas facilement disponibles sur le marc</w:t>
      </w:r>
      <w:r w:rsidR="00F42729" w:rsidRPr="007F3768">
        <w:rPr>
          <w:lang w:val="fr-FR"/>
        </w:rPr>
        <w:t>hé.  Ce</w:t>
      </w:r>
      <w:r w:rsidRPr="007F3768">
        <w:rPr>
          <w:lang w:val="fr-FR"/>
        </w:rPr>
        <w:t>tte disposition suit de près l’article 5.2) de la directive (UE) 2019/790, qui dispose que “les États membres peuvent prévoir que l’exception ou la limitation adoptée en vertu du paragraphe 1 ne s’applique pas, ou ne s’applique pas en ce qui concerne certaines utilisations ou types d’œuvres ou autres objets protégés [</w:t>
      </w:r>
      <w:r w:rsidR="00F309FC" w:rsidRPr="007F3768">
        <w:rPr>
          <w:lang w:val="fr-FR"/>
        </w:rPr>
        <w:t>…</w:t>
      </w:r>
      <w:r w:rsidRPr="007F3768">
        <w:rPr>
          <w:lang w:val="fr-FR"/>
        </w:rPr>
        <w:t>] pour autant que des licences adéquates autorisant les actes visés au paragraphe 1 du présent article et répondant aux besoins et aux spécificités des établissements d’enseignement puissent facilement être obtenues sur le marché”.</w:t>
      </w:r>
    </w:p>
    <w:p w14:paraId="31D030C5" w14:textId="77777777" w:rsidR="00A94A66" w:rsidRPr="007F3768" w:rsidRDefault="00A94A66" w:rsidP="007F3768">
      <w:pPr>
        <w:rPr>
          <w:rFonts w:eastAsia="Times New Roman"/>
          <w:lang w:val="fr-FR"/>
        </w:rPr>
      </w:pPr>
    </w:p>
    <w:p w14:paraId="1AEBBABA" w14:textId="77777777" w:rsidR="00A94A66" w:rsidRPr="007F3768" w:rsidRDefault="00A94A66" w:rsidP="007F3768">
      <w:pPr>
        <w:rPr>
          <w:rFonts w:eastAsia="Times New Roman"/>
          <w:lang w:val="fr-FR"/>
        </w:rPr>
      </w:pPr>
    </w:p>
    <w:p w14:paraId="60673E25" w14:textId="0E25B117" w:rsidR="00A94A66" w:rsidRPr="007F3768" w:rsidRDefault="00A94A66" w:rsidP="007F3768">
      <w:pPr>
        <w:jc w:val="right"/>
        <w:rPr>
          <w:lang w:val="fr-FR"/>
        </w:rPr>
      </w:pPr>
      <w:r w:rsidRPr="007F3768">
        <w:rPr>
          <w:lang w:val="fr-FR"/>
        </w:rPr>
        <w:t>[Suite des notes explicatives relatives à l’article 5, page 3</w:t>
      </w:r>
      <w:r w:rsidR="009E0BE9">
        <w:rPr>
          <w:lang w:val="fr-FR"/>
        </w:rPr>
        <w:t>1</w:t>
      </w:r>
      <w:r w:rsidRPr="007F3768">
        <w:rPr>
          <w:lang w:val="fr-FR"/>
        </w:rPr>
        <w:t>]</w:t>
      </w:r>
      <w:r w:rsidRPr="007F3768">
        <w:rPr>
          <w:lang w:val="fr-FR"/>
        </w:rPr>
        <w:br w:type="page"/>
      </w:r>
    </w:p>
    <w:p w14:paraId="36E348C3" w14:textId="77777777" w:rsidR="00A94A66" w:rsidRPr="007F3768" w:rsidRDefault="00A94A66" w:rsidP="007F3768">
      <w:pPr>
        <w:pStyle w:val="Heading1"/>
        <w:spacing w:after="0"/>
        <w:rPr>
          <w:lang w:val="fr-FR"/>
        </w:rPr>
      </w:pPr>
      <w:bookmarkStart w:id="19" w:name="_Toc211333620"/>
      <w:bookmarkStart w:id="20" w:name="_Toc211506794"/>
      <w:bookmarkStart w:id="21" w:name="_Toc213248997"/>
      <w:r w:rsidRPr="007F3768">
        <w:rPr>
          <w:lang w:val="fr-FR"/>
        </w:rPr>
        <w:lastRenderedPageBreak/>
        <w:t>Article 5</w:t>
      </w:r>
      <w:bookmarkEnd w:id="19"/>
      <w:bookmarkEnd w:id="20"/>
      <w:bookmarkEnd w:id="21"/>
    </w:p>
    <w:p w14:paraId="486B361C" w14:textId="77777777" w:rsidR="00A94A66" w:rsidRPr="007F3768" w:rsidRDefault="00A94A66" w:rsidP="007F3768">
      <w:pPr>
        <w:pStyle w:val="Heading1"/>
        <w:spacing w:after="0"/>
        <w:rPr>
          <w:lang w:val="fr-FR"/>
        </w:rPr>
      </w:pPr>
      <w:bookmarkStart w:id="22" w:name="_Toc211333621"/>
      <w:bookmarkStart w:id="23" w:name="_Toc211506795"/>
      <w:bookmarkStart w:id="24" w:name="_Toc213248998"/>
      <w:r w:rsidRPr="007F3768">
        <w:rPr>
          <w:lang w:val="fr-FR"/>
        </w:rPr>
        <w:t>Patrimoine culturel</w:t>
      </w:r>
      <w:bookmarkEnd w:id="22"/>
      <w:bookmarkEnd w:id="23"/>
      <w:bookmarkEnd w:id="24"/>
    </w:p>
    <w:p w14:paraId="54079EC5" w14:textId="77777777" w:rsidR="00A94A66" w:rsidRPr="007F3768" w:rsidRDefault="00A94A66" w:rsidP="007F3768">
      <w:pPr>
        <w:rPr>
          <w:rFonts w:eastAsia="Times New Roman"/>
          <w:b/>
          <w:bCs/>
          <w:color w:val="000000"/>
          <w:lang w:val="fr-FR"/>
        </w:rPr>
      </w:pPr>
    </w:p>
    <w:p w14:paraId="2E6D59D1" w14:textId="571C6864" w:rsidR="00A94A66" w:rsidRPr="007F3768" w:rsidRDefault="00A94A66" w:rsidP="007F3768">
      <w:pPr>
        <w:spacing w:line="480" w:lineRule="auto"/>
        <w:rPr>
          <w:lang w:val="fr-FR"/>
        </w:rPr>
      </w:pPr>
      <w:r w:rsidRPr="007F3768">
        <w:rPr>
          <w:color w:val="000000"/>
          <w:lang w:val="fr-FR"/>
        </w:rPr>
        <w:t xml:space="preserve">1. </w:t>
      </w:r>
      <w:r w:rsidR="00F309FC" w:rsidRPr="007F3768">
        <w:rPr>
          <w:color w:val="000000"/>
          <w:lang w:val="fr-FR"/>
        </w:rPr>
        <w:t xml:space="preserve"> </w:t>
      </w:r>
      <w:r w:rsidRPr="007F3768">
        <w:rPr>
          <w:color w:val="000000"/>
          <w:lang w:val="fr-FR"/>
        </w:rPr>
        <w:t>Les parties contractantes prévoient une limitation ou une exception relative au droit</w:t>
      </w:r>
      <w:r w:rsidR="009E0BE9">
        <w:rPr>
          <w:color w:val="000000"/>
          <w:lang w:val="fr-FR"/>
        </w:rPr>
        <w:t xml:space="preserve"> </w:t>
      </w:r>
      <w:r w:rsidRPr="007F3768">
        <w:rPr>
          <w:color w:val="000000"/>
          <w:lang w:val="fr-FR"/>
        </w:rPr>
        <w:t>de reproduction afin de permettre aux institutions chargées du patrimoine culturel de faire des copies de toute œuvre</w:t>
      </w:r>
      <w:r w:rsidR="009E0BE9">
        <w:rPr>
          <w:color w:val="000000"/>
          <w:lang w:val="fr-FR"/>
        </w:rPr>
        <w:t xml:space="preserve"> </w:t>
      </w:r>
      <w:r w:rsidRPr="007F3768">
        <w:rPr>
          <w:color w:val="000000"/>
          <w:lang w:val="fr-FR"/>
        </w:rPr>
        <w:t>ou tout autre objet qui se trouve à titre permanent dans leurs collections, dans tout format et sur tout support,</w:t>
      </w:r>
      <w:r w:rsidR="009E0BE9">
        <w:rPr>
          <w:color w:val="000000"/>
          <w:lang w:val="fr-FR"/>
        </w:rPr>
        <w:t xml:space="preserve"> </w:t>
      </w:r>
      <w:r w:rsidRPr="007F3768">
        <w:rPr>
          <w:color w:val="000000"/>
          <w:lang w:val="fr-FR"/>
        </w:rPr>
        <w:t>aux fins de la conservation de ces œuvres ou autres objets et dans la mesure</w:t>
      </w:r>
      <w:r w:rsidR="009E0BE9">
        <w:rPr>
          <w:color w:val="000000"/>
          <w:lang w:val="fr-FR"/>
        </w:rPr>
        <w:t xml:space="preserve"> </w:t>
      </w:r>
      <w:r w:rsidRPr="007F3768">
        <w:rPr>
          <w:color w:val="000000"/>
          <w:lang w:val="fr-FR"/>
        </w:rPr>
        <w:t>nécessaire à cette fin.</w:t>
      </w:r>
    </w:p>
    <w:p w14:paraId="341B7B5F" w14:textId="77777777" w:rsidR="00A94A66" w:rsidRPr="007F3768" w:rsidRDefault="00A94A66" w:rsidP="007F3768">
      <w:pPr>
        <w:spacing w:line="480" w:lineRule="auto"/>
        <w:rPr>
          <w:rFonts w:eastAsia="Times New Roman"/>
          <w:bCs/>
          <w:color w:val="000000"/>
          <w:lang w:val="fr-FR"/>
        </w:rPr>
      </w:pPr>
    </w:p>
    <w:p w14:paraId="3B6550D4" w14:textId="3A62BA67" w:rsidR="00A94A66" w:rsidRPr="007F3768" w:rsidRDefault="00A94A66" w:rsidP="007F3768">
      <w:pPr>
        <w:spacing w:line="480" w:lineRule="auto"/>
        <w:rPr>
          <w:lang w:val="fr-FR"/>
        </w:rPr>
      </w:pPr>
      <w:r w:rsidRPr="007F3768">
        <w:rPr>
          <w:color w:val="000000"/>
          <w:lang w:val="fr-FR"/>
        </w:rPr>
        <w:t xml:space="preserve">2. </w:t>
      </w:r>
      <w:r w:rsidR="00F309FC" w:rsidRPr="007F3768">
        <w:rPr>
          <w:color w:val="000000"/>
          <w:lang w:val="fr-FR"/>
        </w:rPr>
        <w:t xml:space="preserve"> </w:t>
      </w:r>
      <w:r w:rsidRPr="007F3768">
        <w:rPr>
          <w:color w:val="000000"/>
          <w:lang w:val="fr-FR"/>
        </w:rPr>
        <w:t>Les parties contractantes prévoient une limitation ou exception relative au droit de reproduction,</w:t>
      </w:r>
      <w:r w:rsidR="009E0BE9">
        <w:rPr>
          <w:color w:val="000000"/>
          <w:lang w:val="fr-FR"/>
        </w:rPr>
        <w:t xml:space="preserve"> </w:t>
      </w:r>
      <w:r w:rsidRPr="007F3768">
        <w:rPr>
          <w:color w:val="000000"/>
          <w:lang w:val="fr-FR"/>
        </w:rPr>
        <w:t>au droit de distribution et au droit de mise à disposition afin de permettre aux institutions</w:t>
      </w:r>
      <w:r w:rsidR="009E0BE9">
        <w:rPr>
          <w:color w:val="000000"/>
          <w:lang w:val="fr-FR"/>
        </w:rPr>
        <w:t xml:space="preserve"> </w:t>
      </w:r>
      <w:r w:rsidRPr="007F3768">
        <w:rPr>
          <w:color w:val="000000"/>
          <w:lang w:val="fr-FR"/>
        </w:rPr>
        <w:t>chargées du patrimoine culturel de fournir un accès aux œuvres conservées et autres objets figurant dans leurs collections dans les conditions suivantes :</w:t>
      </w:r>
    </w:p>
    <w:p w14:paraId="38DAB826" w14:textId="5C412EC5" w:rsidR="00A94A66" w:rsidRPr="007F3768" w:rsidRDefault="00A94A66" w:rsidP="009E0BE9">
      <w:pPr>
        <w:spacing w:line="480" w:lineRule="auto"/>
        <w:ind w:left="567"/>
        <w:rPr>
          <w:lang w:val="fr-FR"/>
        </w:rPr>
      </w:pPr>
      <w:r w:rsidRPr="007F3768">
        <w:rPr>
          <w:color w:val="000000"/>
          <w:lang w:val="fr-FR"/>
        </w:rPr>
        <w:t xml:space="preserve">a. </w:t>
      </w:r>
      <w:r w:rsidR="00F309FC" w:rsidRPr="007F3768">
        <w:rPr>
          <w:color w:val="000000"/>
          <w:lang w:val="fr-FR"/>
        </w:rPr>
        <w:t xml:space="preserve"> </w:t>
      </w:r>
      <w:r w:rsidRPr="007F3768">
        <w:rPr>
          <w:color w:val="000000"/>
          <w:lang w:val="fr-FR"/>
        </w:rPr>
        <w:t>Les institutions chargées du patrimoine culturel sont autorisées à permettre l’accès sur place à des copies dans tout format et sur tout support.</w:t>
      </w:r>
    </w:p>
    <w:p w14:paraId="131FD045" w14:textId="63B24536" w:rsidR="00A94A66" w:rsidRPr="007F3768" w:rsidRDefault="00A94A66" w:rsidP="009E0BE9">
      <w:pPr>
        <w:spacing w:line="480" w:lineRule="auto"/>
        <w:ind w:left="567"/>
        <w:rPr>
          <w:lang w:val="fr-FR"/>
        </w:rPr>
      </w:pPr>
      <w:r w:rsidRPr="007F3768">
        <w:rPr>
          <w:color w:val="000000"/>
          <w:lang w:val="fr-FR"/>
        </w:rPr>
        <w:t xml:space="preserve">b. </w:t>
      </w:r>
      <w:r w:rsidR="00F309FC" w:rsidRPr="007F3768">
        <w:rPr>
          <w:color w:val="000000"/>
          <w:lang w:val="fr-FR"/>
        </w:rPr>
        <w:t xml:space="preserve"> </w:t>
      </w:r>
      <w:r w:rsidRPr="007F3768">
        <w:rPr>
          <w:color w:val="000000"/>
          <w:lang w:val="fr-FR"/>
        </w:rPr>
        <w:t>Les institutions chargées du patrimoine culturel sont autorisées à fournir à des personnes des copies dans tout format et</w:t>
      </w:r>
      <w:r w:rsidR="009E0BE9">
        <w:rPr>
          <w:color w:val="000000"/>
          <w:lang w:val="fr-FR"/>
        </w:rPr>
        <w:t xml:space="preserve"> </w:t>
      </w:r>
      <w:r w:rsidRPr="007F3768">
        <w:rPr>
          <w:color w:val="000000"/>
          <w:lang w:val="fr-FR"/>
        </w:rPr>
        <w:t>sur tout support, à des fins d’étude privée, d’enseignement ou de recherche.</w:t>
      </w:r>
    </w:p>
    <w:p w14:paraId="0DFF7E40" w14:textId="6D8B671D" w:rsidR="00A94A66" w:rsidRPr="007F3768" w:rsidRDefault="00A94A66" w:rsidP="009E0BE9">
      <w:pPr>
        <w:spacing w:line="480" w:lineRule="auto"/>
        <w:ind w:left="567"/>
        <w:rPr>
          <w:lang w:val="fr-FR"/>
        </w:rPr>
      </w:pPr>
      <w:r w:rsidRPr="007F3768">
        <w:rPr>
          <w:color w:val="000000"/>
          <w:lang w:val="fr-FR"/>
        </w:rPr>
        <w:t xml:space="preserve">c. </w:t>
      </w:r>
      <w:r w:rsidR="00F309FC" w:rsidRPr="007F3768">
        <w:rPr>
          <w:color w:val="000000"/>
          <w:lang w:val="fr-FR"/>
        </w:rPr>
        <w:t xml:space="preserve"> </w:t>
      </w:r>
      <w:r w:rsidRPr="007F3768">
        <w:rPr>
          <w:color w:val="000000"/>
          <w:lang w:val="fr-FR"/>
        </w:rPr>
        <w:t>Les institutions chargées du patrimoine culturel sont autorisées à reproduire et mettre à la disposition du</w:t>
      </w:r>
      <w:r w:rsidR="009E0BE9">
        <w:rPr>
          <w:color w:val="000000"/>
          <w:lang w:val="fr-FR"/>
        </w:rPr>
        <w:t xml:space="preserve"> </w:t>
      </w:r>
      <w:r w:rsidRPr="007F3768">
        <w:rPr>
          <w:color w:val="000000"/>
          <w:lang w:val="fr-FR"/>
        </w:rPr>
        <w:t>public toute œuvre ou tout autre objet qui n’est plus commercialisé, lorsque les licences appropriées couvrant les besoins et les spécificités des institutions chargées du patrimoine culturel ne sont pas facilement disponibles sur le marché.</w:t>
      </w:r>
    </w:p>
    <w:p w14:paraId="1D9B1227" w14:textId="77777777" w:rsidR="00A94A66" w:rsidRDefault="00A94A66" w:rsidP="009E0BE9">
      <w:pPr>
        <w:spacing w:line="480" w:lineRule="auto"/>
        <w:jc w:val="right"/>
        <w:rPr>
          <w:rFonts w:eastAsia="Times New Roman"/>
          <w:bCs/>
          <w:color w:val="000000"/>
          <w:lang w:val="fr-FR"/>
        </w:rPr>
      </w:pPr>
    </w:p>
    <w:p w14:paraId="45115484" w14:textId="77777777" w:rsidR="009E0BE9" w:rsidRPr="007F3768" w:rsidRDefault="009E0BE9" w:rsidP="009E0BE9">
      <w:pPr>
        <w:spacing w:line="480" w:lineRule="auto"/>
        <w:jc w:val="right"/>
        <w:rPr>
          <w:rFonts w:eastAsia="Times New Roman"/>
          <w:bCs/>
          <w:color w:val="000000"/>
          <w:lang w:val="fr-FR"/>
        </w:rPr>
      </w:pPr>
    </w:p>
    <w:p w14:paraId="61141EC9" w14:textId="7DF560A6" w:rsidR="00A94A66" w:rsidRPr="007F3768" w:rsidRDefault="00A94A66" w:rsidP="007F3768">
      <w:pPr>
        <w:spacing w:line="480" w:lineRule="auto"/>
        <w:jc w:val="right"/>
        <w:rPr>
          <w:rFonts w:eastAsia="Times New Roman"/>
          <w:bCs/>
          <w:color w:val="000000"/>
          <w:lang w:val="fr-FR"/>
        </w:rPr>
      </w:pPr>
      <w:r w:rsidRPr="007F3768">
        <w:rPr>
          <w:color w:val="000000"/>
          <w:lang w:val="fr-FR"/>
        </w:rPr>
        <w:t>[Suite de l’article 5, page 3</w:t>
      </w:r>
      <w:r w:rsidR="009E0BE9">
        <w:rPr>
          <w:color w:val="000000"/>
          <w:lang w:val="fr-FR"/>
        </w:rPr>
        <w:t>2</w:t>
      </w:r>
      <w:r w:rsidRPr="007F3768">
        <w:rPr>
          <w:color w:val="000000"/>
          <w:lang w:val="fr-FR"/>
        </w:rPr>
        <w:t>]</w:t>
      </w:r>
    </w:p>
    <w:p w14:paraId="5BEDDCD6" w14:textId="77777777" w:rsidR="00A94A66" w:rsidRPr="007F3768" w:rsidRDefault="00A94A66" w:rsidP="007F3768">
      <w:pPr>
        <w:spacing w:line="480" w:lineRule="auto"/>
        <w:rPr>
          <w:rFonts w:eastAsia="Times New Roman"/>
          <w:bCs/>
          <w:color w:val="000000"/>
          <w:lang w:val="fr-FR"/>
        </w:rPr>
      </w:pPr>
      <w:r w:rsidRPr="007F3768">
        <w:rPr>
          <w:lang w:val="fr-FR"/>
        </w:rPr>
        <w:br w:type="page"/>
      </w:r>
    </w:p>
    <w:p w14:paraId="4F3DD316" w14:textId="0742DCE2" w:rsidR="00A94A66" w:rsidRPr="007F3768" w:rsidRDefault="00A94A66" w:rsidP="007F3768">
      <w:pPr>
        <w:rPr>
          <w:rFonts w:eastAsia="Times New Roman"/>
          <w:lang w:val="fr-FR"/>
        </w:rPr>
      </w:pPr>
      <w:r w:rsidRPr="007F3768">
        <w:rPr>
          <w:lang w:val="fr-FR"/>
        </w:rPr>
        <w:lastRenderedPageBreak/>
        <w:t>5.07</w:t>
      </w:r>
      <w:r w:rsidRPr="007F3768">
        <w:rPr>
          <w:lang w:val="fr-FR"/>
        </w:rPr>
        <w:tab/>
        <w:t>L’</w:t>
      </w:r>
      <w:r w:rsidRPr="007F3768">
        <w:rPr>
          <w:i/>
          <w:iCs/>
          <w:lang w:val="fr-FR"/>
        </w:rPr>
        <w:t xml:space="preserve">alinéa 3) </w:t>
      </w:r>
      <w:r w:rsidRPr="007F3768">
        <w:rPr>
          <w:lang w:val="fr-FR"/>
        </w:rPr>
        <w:t>définit une “institution chargée du patrimoine culturel” conformément à article 2.3) de la directive (UE) 2019/790, qui dispose que “l’expression ‘institution chargée du patrimoine culturel’ désigne une bibliothèque ou un musée accessible au public, des archives ou une institution chargée du patrimoine cinématographique ou sonore”.</w:t>
      </w:r>
    </w:p>
    <w:p w14:paraId="11D7C890" w14:textId="77777777" w:rsidR="00A94A66" w:rsidRPr="007F3768" w:rsidRDefault="00A94A66" w:rsidP="007F3768">
      <w:pPr>
        <w:rPr>
          <w:rFonts w:eastAsia="Times New Roman"/>
          <w:lang w:val="fr-FR"/>
        </w:rPr>
      </w:pPr>
    </w:p>
    <w:p w14:paraId="1E36006D" w14:textId="77777777" w:rsidR="00A94A66" w:rsidRPr="007F3768" w:rsidRDefault="00A94A66" w:rsidP="007F3768">
      <w:pPr>
        <w:rPr>
          <w:rFonts w:eastAsia="Times New Roman"/>
          <w:lang w:val="fr-FR"/>
        </w:rPr>
      </w:pPr>
    </w:p>
    <w:p w14:paraId="18BB0D59" w14:textId="1B4473FF" w:rsidR="00A94A66" w:rsidRPr="007F3768" w:rsidRDefault="00A94A66" w:rsidP="007F3768">
      <w:pPr>
        <w:pStyle w:val="FootnoteText"/>
        <w:jc w:val="right"/>
        <w:rPr>
          <w:sz w:val="22"/>
          <w:lang w:val="fr-FR"/>
        </w:rPr>
      </w:pPr>
      <w:r w:rsidRPr="007F3768">
        <w:rPr>
          <w:sz w:val="22"/>
          <w:lang w:val="fr-FR"/>
        </w:rPr>
        <w:t>[Fin des notes explicatives relatives à l’article 5]</w:t>
      </w:r>
      <w:r w:rsidRPr="007F3768">
        <w:rPr>
          <w:sz w:val="22"/>
          <w:lang w:val="fr-FR"/>
        </w:rPr>
        <w:br w:type="page"/>
      </w:r>
    </w:p>
    <w:p w14:paraId="5AFBC834" w14:textId="0ED23F9A" w:rsidR="00A94A66" w:rsidRPr="007F3768" w:rsidRDefault="00A94A66" w:rsidP="007F3768">
      <w:pPr>
        <w:spacing w:line="480" w:lineRule="auto"/>
        <w:rPr>
          <w:rFonts w:eastAsia="Times New Roman"/>
          <w:bCs/>
          <w:color w:val="000000"/>
          <w:lang w:val="fr-FR"/>
        </w:rPr>
      </w:pPr>
      <w:r w:rsidRPr="007F3768">
        <w:rPr>
          <w:color w:val="000000"/>
          <w:lang w:val="fr-FR"/>
        </w:rPr>
        <w:lastRenderedPageBreak/>
        <w:t xml:space="preserve">3. </w:t>
      </w:r>
      <w:r w:rsidR="009E0BE9">
        <w:rPr>
          <w:color w:val="000000"/>
          <w:lang w:val="fr-FR"/>
        </w:rPr>
        <w:t xml:space="preserve"> </w:t>
      </w:r>
      <w:r w:rsidRPr="007F3768">
        <w:rPr>
          <w:color w:val="000000"/>
          <w:lang w:val="fr-FR"/>
        </w:rPr>
        <w:t>Aux fins du présent instrument, on entend par “institution chargée du patrimoine culturel” une bibliothèque ou un musée accessible au public, des archives ou une institution chargée du patrimoine cinématographique ou sonore.</w:t>
      </w:r>
    </w:p>
    <w:p w14:paraId="083C4790" w14:textId="77777777" w:rsidR="00A94A66" w:rsidRDefault="00A94A66" w:rsidP="009E0BE9">
      <w:pPr>
        <w:spacing w:line="480" w:lineRule="auto"/>
        <w:jc w:val="right"/>
        <w:rPr>
          <w:rFonts w:eastAsia="Times New Roman"/>
          <w:bCs/>
          <w:color w:val="000000"/>
          <w:lang w:val="fr-FR"/>
        </w:rPr>
      </w:pPr>
    </w:p>
    <w:p w14:paraId="6FF8CCAB" w14:textId="77777777" w:rsidR="009E0BE9" w:rsidRPr="007F3768" w:rsidRDefault="009E0BE9" w:rsidP="009E0BE9">
      <w:pPr>
        <w:spacing w:line="480" w:lineRule="auto"/>
        <w:jc w:val="right"/>
        <w:rPr>
          <w:rFonts w:eastAsia="Times New Roman"/>
          <w:bCs/>
          <w:color w:val="000000"/>
          <w:lang w:val="fr-FR"/>
        </w:rPr>
      </w:pPr>
    </w:p>
    <w:p w14:paraId="0B921C88" w14:textId="4EC12FCA" w:rsidR="00A94A66" w:rsidRPr="007F3768" w:rsidRDefault="00A94A66" w:rsidP="007F3768">
      <w:pPr>
        <w:spacing w:line="480" w:lineRule="auto"/>
        <w:jc w:val="right"/>
        <w:rPr>
          <w:rFonts w:eastAsia="Times New Roman"/>
          <w:bCs/>
          <w:color w:val="000000"/>
          <w:lang w:val="fr-FR"/>
        </w:rPr>
      </w:pPr>
      <w:r w:rsidRPr="007F3768">
        <w:rPr>
          <w:color w:val="000000"/>
          <w:lang w:val="fr-FR"/>
        </w:rPr>
        <w:t>[Fin de l’article 5]</w:t>
      </w:r>
      <w:r w:rsidRPr="007F3768">
        <w:rPr>
          <w:lang w:val="fr-FR"/>
        </w:rPr>
        <w:br w:type="page"/>
      </w:r>
    </w:p>
    <w:p w14:paraId="67579BC0" w14:textId="695C9803" w:rsidR="00A94A66" w:rsidRPr="007F3768" w:rsidRDefault="00A94A66" w:rsidP="007F3768">
      <w:pPr>
        <w:rPr>
          <w:i/>
          <w:color w:val="000000"/>
          <w:lang w:val="fr-FR"/>
        </w:rPr>
      </w:pPr>
      <w:r w:rsidRPr="007F3768">
        <w:rPr>
          <w:i/>
          <w:color w:val="000000"/>
          <w:lang w:val="fr-FR"/>
        </w:rPr>
        <w:lastRenderedPageBreak/>
        <w:t>Notes explicatives relatives à l’article 6</w:t>
      </w:r>
    </w:p>
    <w:p w14:paraId="39DC3543" w14:textId="25B9E374" w:rsidR="00A94A66" w:rsidRPr="007F3768" w:rsidRDefault="00A94A66" w:rsidP="007F3768">
      <w:pPr>
        <w:rPr>
          <w:rFonts w:eastAsia="Times New Roman"/>
          <w:bCs/>
          <w:i/>
          <w:iCs/>
          <w:color w:val="000000"/>
          <w:lang w:val="fr-FR"/>
        </w:rPr>
      </w:pPr>
    </w:p>
    <w:p w14:paraId="4FF423FB" w14:textId="6A490151" w:rsidR="00A94A66" w:rsidRPr="007F3768" w:rsidRDefault="00A94A66" w:rsidP="007F3768">
      <w:pPr>
        <w:rPr>
          <w:rFonts w:eastAsia="Times New Roman"/>
          <w:bCs/>
          <w:i/>
          <w:iCs/>
          <w:color w:val="000000"/>
          <w:lang w:val="fr-FR"/>
        </w:rPr>
      </w:pPr>
      <w:r w:rsidRPr="007F3768">
        <w:rPr>
          <w:color w:val="000000"/>
          <w:lang w:val="fr-FR"/>
        </w:rPr>
        <w:t>6.01</w:t>
      </w:r>
      <w:r w:rsidRPr="007F3768">
        <w:rPr>
          <w:color w:val="000000"/>
          <w:lang w:val="fr-FR"/>
        </w:rPr>
        <w:tab/>
        <w:t>L’</w:t>
      </w:r>
      <w:r w:rsidRPr="007F3768">
        <w:rPr>
          <w:i/>
          <w:iCs/>
          <w:color w:val="000000"/>
          <w:lang w:val="fr-FR"/>
        </w:rPr>
        <w:t>article 6</w:t>
      </w:r>
      <w:r w:rsidRPr="007F3768">
        <w:rPr>
          <w:color w:val="000000"/>
          <w:lang w:val="fr-FR"/>
        </w:rPr>
        <w:t xml:space="preserve"> définit les obligations relatives aux utilisations autorisées concernant les personnes handicapées.</w:t>
      </w:r>
    </w:p>
    <w:p w14:paraId="64152973" w14:textId="77777777" w:rsidR="00A94A66" w:rsidRPr="007F3768" w:rsidRDefault="00A94A66" w:rsidP="007F3768">
      <w:pPr>
        <w:rPr>
          <w:rFonts w:eastAsia="Times New Roman"/>
          <w:bCs/>
          <w:i/>
          <w:iCs/>
          <w:color w:val="000000"/>
          <w:lang w:val="fr-FR"/>
        </w:rPr>
      </w:pPr>
    </w:p>
    <w:p w14:paraId="1FD428D8" w14:textId="43146979" w:rsidR="00A94A66" w:rsidRPr="007F3768" w:rsidRDefault="00A94A66" w:rsidP="007F3768">
      <w:pPr>
        <w:rPr>
          <w:color w:val="000000"/>
          <w:lang w:val="fr-FR"/>
        </w:rPr>
      </w:pPr>
      <w:r w:rsidRPr="007F3768">
        <w:rPr>
          <w:color w:val="000000"/>
          <w:lang w:val="fr-FR"/>
        </w:rPr>
        <w:t>6.02</w:t>
      </w:r>
      <w:r w:rsidRPr="007F3768">
        <w:rPr>
          <w:color w:val="000000"/>
          <w:lang w:val="fr-FR"/>
        </w:rPr>
        <w:tab/>
        <w:t>L’</w:t>
      </w:r>
      <w:r w:rsidRPr="007F3768">
        <w:rPr>
          <w:i/>
          <w:iCs/>
          <w:color w:val="000000"/>
          <w:lang w:val="fr-FR"/>
        </w:rPr>
        <w:t>article 6</w:t>
      </w:r>
      <w:r w:rsidRPr="007F3768">
        <w:rPr>
          <w:color w:val="000000"/>
          <w:lang w:val="fr-FR"/>
        </w:rPr>
        <w:t xml:space="preserve"> oblige les membres à produire, distribuer et mettre à disposition des copies accessibles des œuvres au profit des personnes handicapées qui ont besoin de ces formats pour apprécier l’œuvre à égalité avec les autres personnes.</w:t>
      </w:r>
    </w:p>
    <w:p w14:paraId="3B22E241" w14:textId="26FF00F3" w:rsidR="00A94A66" w:rsidRDefault="00A94A66" w:rsidP="007F3768">
      <w:pPr>
        <w:rPr>
          <w:rFonts w:eastAsia="Times New Roman"/>
          <w:bCs/>
          <w:color w:val="000000"/>
          <w:lang w:val="fr-FR"/>
        </w:rPr>
      </w:pPr>
    </w:p>
    <w:p w14:paraId="7EB92635" w14:textId="77777777" w:rsidR="009E0BE9" w:rsidRPr="007F3768" w:rsidRDefault="009E0BE9" w:rsidP="007F3768">
      <w:pPr>
        <w:rPr>
          <w:rFonts w:eastAsia="Times New Roman"/>
          <w:bCs/>
          <w:color w:val="000000"/>
          <w:lang w:val="fr-FR"/>
        </w:rPr>
      </w:pPr>
    </w:p>
    <w:p w14:paraId="444EB559" w14:textId="216B0D18" w:rsidR="00A94A66" w:rsidRPr="007F3768" w:rsidRDefault="00A94A66" w:rsidP="007F3768">
      <w:pPr>
        <w:jc w:val="right"/>
        <w:rPr>
          <w:lang w:val="fr-FR"/>
        </w:rPr>
      </w:pPr>
      <w:r w:rsidRPr="007F3768">
        <w:rPr>
          <w:lang w:val="fr-FR"/>
        </w:rPr>
        <w:t>[Fin des notes explicatives relatives à l’article 6]</w:t>
      </w:r>
    </w:p>
    <w:p w14:paraId="1A8FFA17" w14:textId="77777777" w:rsidR="00A94A66" w:rsidRPr="007F3768" w:rsidRDefault="00A94A66" w:rsidP="007F3768">
      <w:pPr>
        <w:jc w:val="right"/>
        <w:rPr>
          <w:lang w:val="fr-FR"/>
        </w:rPr>
      </w:pPr>
      <w:r w:rsidRPr="007F3768">
        <w:rPr>
          <w:lang w:val="fr-FR"/>
        </w:rPr>
        <w:br w:type="page"/>
      </w:r>
    </w:p>
    <w:p w14:paraId="25BAD114" w14:textId="77777777" w:rsidR="00A94A66" w:rsidRPr="007F3768" w:rsidRDefault="00A94A66" w:rsidP="007F3768">
      <w:pPr>
        <w:pStyle w:val="Heading1"/>
        <w:spacing w:after="0"/>
        <w:rPr>
          <w:lang w:val="fr-FR"/>
        </w:rPr>
      </w:pPr>
      <w:bookmarkStart w:id="25" w:name="_Toc211333622"/>
      <w:bookmarkStart w:id="26" w:name="_Toc211506796"/>
      <w:bookmarkStart w:id="27" w:name="_Toc213248999"/>
      <w:r w:rsidRPr="007F3768">
        <w:rPr>
          <w:lang w:val="fr-FR"/>
        </w:rPr>
        <w:lastRenderedPageBreak/>
        <w:t>Article 6</w:t>
      </w:r>
      <w:bookmarkEnd w:id="25"/>
      <w:bookmarkEnd w:id="26"/>
      <w:bookmarkEnd w:id="27"/>
    </w:p>
    <w:p w14:paraId="2F249997" w14:textId="6591CEE3" w:rsidR="00A94A66" w:rsidRPr="007F3768" w:rsidRDefault="00A94A66" w:rsidP="007F3768">
      <w:pPr>
        <w:pStyle w:val="Heading1"/>
        <w:spacing w:after="0"/>
        <w:rPr>
          <w:lang w:val="fr-FR"/>
        </w:rPr>
      </w:pPr>
      <w:bookmarkStart w:id="28" w:name="_Toc211333623"/>
      <w:bookmarkStart w:id="29" w:name="_Toc211506797"/>
      <w:bookmarkStart w:id="30" w:name="_Toc213249000"/>
      <w:r w:rsidRPr="007F3768">
        <w:rPr>
          <w:lang w:val="fr-FR"/>
        </w:rPr>
        <w:t>Personnes handicapées</w:t>
      </w:r>
      <w:bookmarkEnd w:id="28"/>
      <w:bookmarkEnd w:id="29"/>
      <w:bookmarkEnd w:id="30"/>
    </w:p>
    <w:p w14:paraId="2A250488" w14:textId="1C60CEDB" w:rsidR="00A94A66" w:rsidRPr="007F3768" w:rsidRDefault="00A94A66" w:rsidP="007F3768">
      <w:pPr>
        <w:spacing w:before="240" w:after="240" w:line="480" w:lineRule="auto"/>
        <w:rPr>
          <w:lang w:val="fr-FR"/>
        </w:rPr>
      </w:pPr>
      <w:r w:rsidRPr="007F3768">
        <w:rPr>
          <w:color w:val="000000"/>
          <w:lang w:val="fr-FR"/>
        </w:rPr>
        <w:t>Il est autorisé de produire, distribuer et mettre à disposition des copies en format accessible des œuvres au profit des personnes handicapées qui ont besoin d’un tel format pour apprécier l’œuvre à égalité avec les autres personnes.</w:t>
      </w:r>
    </w:p>
    <w:p w14:paraId="1A064525" w14:textId="77777777" w:rsidR="009E0BE9" w:rsidRDefault="009E0BE9" w:rsidP="007F3768">
      <w:pPr>
        <w:spacing w:line="480" w:lineRule="auto"/>
        <w:jc w:val="right"/>
        <w:rPr>
          <w:color w:val="000000"/>
          <w:lang w:val="fr-FR"/>
        </w:rPr>
      </w:pPr>
    </w:p>
    <w:p w14:paraId="3265CA96" w14:textId="77777777" w:rsidR="009E0BE9" w:rsidRDefault="009E0BE9" w:rsidP="007F3768">
      <w:pPr>
        <w:spacing w:line="480" w:lineRule="auto"/>
        <w:jc w:val="right"/>
        <w:rPr>
          <w:color w:val="000000"/>
          <w:lang w:val="fr-FR"/>
        </w:rPr>
      </w:pPr>
    </w:p>
    <w:p w14:paraId="692BA49A" w14:textId="7D975A07" w:rsidR="00A94A66" w:rsidRPr="007F3768" w:rsidRDefault="00A94A66" w:rsidP="007F3768">
      <w:pPr>
        <w:spacing w:line="480" w:lineRule="auto"/>
        <w:jc w:val="right"/>
        <w:rPr>
          <w:rFonts w:eastAsia="Times New Roman"/>
          <w:color w:val="000000"/>
          <w:lang w:val="fr-FR"/>
        </w:rPr>
      </w:pPr>
      <w:r w:rsidRPr="007F3768">
        <w:rPr>
          <w:color w:val="000000"/>
          <w:lang w:val="fr-FR"/>
        </w:rPr>
        <w:t>[Fin de l’article 6]</w:t>
      </w:r>
      <w:r w:rsidRPr="007F3768">
        <w:rPr>
          <w:lang w:val="fr-FR"/>
        </w:rPr>
        <w:br w:type="page"/>
      </w:r>
    </w:p>
    <w:p w14:paraId="7974EBDC" w14:textId="5DFE9973" w:rsidR="00A94A66" w:rsidRPr="007F3768" w:rsidRDefault="00A94A66" w:rsidP="007F3768">
      <w:pPr>
        <w:rPr>
          <w:rFonts w:eastAsia="Times New Roman"/>
          <w:b/>
          <w:bCs/>
          <w:i/>
          <w:iCs/>
          <w:color w:val="000000"/>
          <w:lang w:val="fr-FR"/>
        </w:rPr>
      </w:pPr>
      <w:r w:rsidRPr="007F3768">
        <w:rPr>
          <w:i/>
          <w:color w:val="000000"/>
          <w:lang w:val="fr-FR"/>
        </w:rPr>
        <w:lastRenderedPageBreak/>
        <w:t>Notes explicatives relatives à l’article 7</w:t>
      </w:r>
    </w:p>
    <w:p w14:paraId="1589630A" w14:textId="77777777" w:rsidR="00A94A66" w:rsidRPr="007F3768" w:rsidRDefault="00A94A66" w:rsidP="007F3768">
      <w:pPr>
        <w:rPr>
          <w:rFonts w:eastAsia="Times New Roman"/>
          <w:i/>
          <w:iCs/>
          <w:color w:val="000000"/>
          <w:lang w:val="fr-FR"/>
        </w:rPr>
      </w:pPr>
    </w:p>
    <w:p w14:paraId="52A943E2" w14:textId="15575F91" w:rsidR="00A94A66" w:rsidRPr="007F3768" w:rsidRDefault="00A94A66" w:rsidP="007F3768">
      <w:pPr>
        <w:rPr>
          <w:rFonts w:eastAsia="Times New Roman"/>
          <w:color w:val="000000"/>
          <w:lang w:val="fr-FR"/>
        </w:rPr>
      </w:pPr>
      <w:r w:rsidRPr="007F3768">
        <w:rPr>
          <w:color w:val="000000"/>
          <w:lang w:val="fr-FR"/>
        </w:rPr>
        <w:t>7.01</w:t>
      </w:r>
      <w:r w:rsidRPr="007F3768">
        <w:rPr>
          <w:color w:val="000000"/>
          <w:lang w:val="fr-FR"/>
        </w:rPr>
        <w:tab/>
        <w:t>Les dispositions de l’</w:t>
      </w:r>
      <w:r w:rsidRPr="007F3768">
        <w:rPr>
          <w:i/>
          <w:iCs/>
          <w:color w:val="000000"/>
          <w:lang w:val="fr-FR"/>
        </w:rPr>
        <w:t>article 7</w:t>
      </w:r>
      <w:r w:rsidRPr="007F3768">
        <w:rPr>
          <w:color w:val="000000"/>
          <w:lang w:val="fr-FR"/>
        </w:rPr>
        <w:t xml:space="preserve"> traitent des exceptions et limitations autorisées pour les utilisations transfrontièr</w:t>
      </w:r>
      <w:r w:rsidR="00F42729" w:rsidRPr="007F3768">
        <w:rPr>
          <w:color w:val="000000"/>
          <w:lang w:val="fr-FR"/>
        </w:rPr>
        <w:t>es.  Il</w:t>
      </w:r>
      <w:r w:rsidRPr="007F3768">
        <w:rPr>
          <w:color w:val="000000"/>
          <w:lang w:val="fr-FR"/>
        </w:rPr>
        <w:t xml:space="preserve"> suit de près le thème 6 du document</w:t>
      </w:r>
      <w:r w:rsidR="007F3768">
        <w:rPr>
          <w:color w:val="000000"/>
          <w:lang w:val="fr-FR"/>
        </w:rPr>
        <w:t> </w:t>
      </w:r>
      <w:r w:rsidRPr="007F3768">
        <w:rPr>
          <w:color w:val="000000"/>
          <w:lang w:val="fr-FR"/>
        </w:rPr>
        <w:t xml:space="preserve">SCCR/33/Chart on </w:t>
      </w:r>
      <w:proofErr w:type="spellStart"/>
      <w:r w:rsidRPr="007F3768">
        <w:rPr>
          <w:color w:val="000000"/>
          <w:lang w:val="fr-FR"/>
        </w:rPr>
        <w:t>Libraries</w:t>
      </w:r>
      <w:proofErr w:type="spellEnd"/>
      <w:r w:rsidRPr="007F3768">
        <w:rPr>
          <w:color w:val="000000"/>
          <w:lang w:val="fr-FR"/>
        </w:rPr>
        <w:t xml:space="preserve"> and Archives (qui dispose que les “bibliothèques et les services d’archives des différents pays devraient pouvoir importer, exporter et échanger des copies d’œuvres à des fins de recherche et à des fins similaires pour s’acquitter de leur mission de service public, en s’appuyant sur la coopération, tout particulièrement dans les pays en développement et les pays les moins avancés”).</w:t>
      </w:r>
    </w:p>
    <w:p w14:paraId="429E195B" w14:textId="77777777" w:rsidR="00A94A66" w:rsidRPr="007F3768" w:rsidRDefault="00A94A66" w:rsidP="007F3768">
      <w:pPr>
        <w:rPr>
          <w:rFonts w:eastAsia="Times New Roman"/>
          <w:color w:val="000000"/>
          <w:lang w:val="fr-FR"/>
        </w:rPr>
      </w:pPr>
    </w:p>
    <w:p w14:paraId="463F933F" w14:textId="70B42722" w:rsidR="00A94A66" w:rsidRPr="007F3768" w:rsidRDefault="00A94A66" w:rsidP="007F3768">
      <w:pPr>
        <w:rPr>
          <w:rFonts w:eastAsia="Times New Roman"/>
          <w:color w:val="000000"/>
          <w:lang w:val="fr-FR"/>
        </w:rPr>
      </w:pPr>
      <w:r w:rsidRPr="007F3768">
        <w:rPr>
          <w:color w:val="000000"/>
          <w:lang w:val="fr-FR"/>
        </w:rPr>
        <w:t>7.02</w:t>
      </w:r>
      <w:r w:rsidRPr="007F3768">
        <w:rPr>
          <w:color w:val="000000"/>
          <w:lang w:val="fr-FR"/>
        </w:rPr>
        <w:tab/>
        <w:t>L’</w:t>
      </w:r>
      <w:r w:rsidRPr="007F3768">
        <w:rPr>
          <w:i/>
          <w:iCs/>
          <w:color w:val="000000"/>
          <w:lang w:val="fr-FR"/>
        </w:rPr>
        <w:t>alinéa </w:t>
      </w:r>
      <w:r w:rsidRPr="007F3768">
        <w:rPr>
          <w:i/>
          <w:color w:val="000000"/>
          <w:lang w:val="fr-FR"/>
        </w:rPr>
        <w:t xml:space="preserve">2) </w:t>
      </w:r>
      <w:r w:rsidRPr="007F3768">
        <w:rPr>
          <w:color w:val="000000"/>
          <w:lang w:val="fr-FR"/>
        </w:rPr>
        <w:t>dispose que toutes les limitations et exceptions découlant du présent instrument s’appliquent également aux utilisations transfrontières.</w:t>
      </w:r>
    </w:p>
    <w:p w14:paraId="1000B3E7" w14:textId="77777777" w:rsidR="00A94A66" w:rsidRPr="007F3768" w:rsidRDefault="00A94A66" w:rsidP="007F3768">
      <w:pPr>
        <w:rPr>
          <w:rFonts w:eastAsia="Times New Roman"/>
          <w:color w:val="000000"/>
          <w:lang w:val="fr-FR"/>
        </w:rPr>
      </w:pPr>
    </w:p>
    <w:p w14:paraId="06025A7F" w14:textId="7D2BD6F6" w:rsidR="00A94A66" w:rsidRPr="007F3768" w:rsidRDefault="00A94A66" w:rsidP="007F3768">
      <w:pPr>
        <w:rPr>
          <w:rFonts w:eastAsia="Times New Roman"/>
          <w:color w:val="000000"/>
          <w:lang w:val="fr-FR"/>
        </w:rPr>
      </w:pPr>
      <w:r w:rsidRPr="007F3768">
        <w:rPr>
          <w:color w:val="000000"/>
          <w:lang w:val="fr-FR"/>
        </w:rPr>
        <w:t>7.02</w:t>
      </w:r>
      <w:r w:rsidRPr="007F3768">
        <w:rPr>
          <w:color w:val="000000"/>
          <w:lang w:val="fr-FR"/>
        </w:rPr>
        <w:tab/>
        <w:t>L’</w:t>
      </w:r>
      <w:r w:rsidRPr="007F3768">
        <w:rPr>
          <w:i/>
          <w:iCs/>
          <w:color w:val="000000"/>
          <w:lang w:val="fr-FR"/>
        </w:rPr>
        <w:t>alinéa</w:t>
      </w:r>
      <w:r w:rsidRPr="007F3768">
        <w:rPr>
          <w:color w:val="000000"/>
          <w:lang w:val="fr-FR"/>
        </w:rPr>
        <w:t> </w:t>
      </w:r>
      <w:r w:rsidRPr="007F3768">
        <w:rPr>
          <w:i/>
          <w:color w:val="000000"/>
          <w:lang w:val="fr-FR"/>
        </w:rPr>
        <w:t xml:space="preserve">2) </w:t>
      </w:r>
      <w:r w:rsidRPr="007F3768">
        <w:rPr>
          <w:color w:val="000000"/>
          <w:lang w:val="fr-FR"/>
        </w:rPr>
        <w:t>précise en outre qu’une copie acquise légalement peut faire l’objet d’un échange transfrontiè</w:t>
      </w:r>
      <w:r w:rsidR="00F42729" w:rsidRPr="007F3768">
        <w:rPr>
          <w:color w:val="000000"/>
          <w:lang w:val="fr-FR"/>
        </w:rPr>
        <w:t>re.  Ce</w:t>
      </w:r>
      <w:r w:rsidRPr="007F3768">
        <w:rPr>
          <w:color w:val="000000"/>
          <w:lang w:val="fr-FR"/>
        </w:rPr>
        <w:t xml:space="preserve">tte disposition suit le document SCCR 33/4, “Proposition relative aux limitations et exceptions en faveur des bibliothèques et des services d’archives et aux limitations et exceptions en faveur des établissements d’enseignement et de recherche et des personnes souffrant d’autres handicaps”, présenté par l’Argentine (“La reproduction ou la mise à disposition d’une œuvre, conformément aux exceptions et limitations prévues dans le présent accord, sont régies par la législation du pays membre dans lequel l’œuvre a été reproduite ou mise à disposition, sans préjudice du fait que l’œuvre reproduite soit par la suite remise à une personne ou à une institution ou utilisée par une personne ou une institution jouissant de ces exceptions et limitations dans un autre pays membre, pour autant que l’œuvre soit remise ou utilisée conformément aux conditions prévues par le présent accord”);  l’article 5.1) du Traité de Marrakech (“Échange transfrontière d’exemplaires en format accessible, 1. </w:t>
      </w:r>
      <w:r w:rsidR="00F309FC" w:rsidRPr="007F3768">
        <w:rPr>
          <w:color w:val="000000"/>
          <w:lang w:val="fr-FR"/>
        </w:rPr>
        <w:t xml:space="preserve"> </w:t>
      </w:r>
      <w:r w:rsidRPr="007F3768">
        <w:rPr>
          <w:color w:val="000000"/>
          <w:lang w:val="fr-FR"/>
        </w:rPr>
        <w:t>Les parties contractantes prévoient que si un exemplaire en format accessible est réalisé en vertu d’une limitation ou d’une exception ou par l’effet de la loi, cet exemplaire en format accessible peut être distribué ou mis à la disposition d’une personne bénéficiaire ou d’une entité autorisée dans une autre partie contractante par une entité autorisée”).</w:t>
      </w:r>
    </w:p>
    <w:p w14:paraId="235668BF" w14:textId="77777777" w:rsidR="00A94A66" w:rsidRPr="007F3768" w:rsidRDefault="00A94A66" w:rsidP="007F3768">
      <w:pPr>
        <w:rPr>
          <w:rFonts w:eastAsia="Times New Roman"/>
          <w:color w:val="000000"/>
          <w:lang w:val="fr-FR"/>
        </w:rPr>
      </w:pPr>
    </w:p>
    <w:p w14:paraId="44FD1A1D" w14:textId="77777777" w:rsidR="00A94A66" w:rsidRPr="007F3768" w:rsidRDefault="00A94A66" w:rsidP="007F3768">
      <w:pPr>
        <w:rPr>
          <w:rFonts w:eastAsia="Times New Roman"/>
          <w:color w:val="000000"/>
          <w:lang w:val="fr-FR"/>
        </w:rPr>
      </w:pPr>
    </w:p>
    <w:p w14:paraId="3CDFA340" w14:textId="70A60884" w:rsidR="00A94A66" w:rsidRPr="007F3768" w:rsidRDefault="00A94A66" w:rsidP="007F3768">
      <w:pPr>
        <w:jc w:val="right"/>
        <w:rPr>
          <w:lang w:val="fr-FR"/>
        </w:rPr>
      </w:pPr>
      <w:r w:rsidRPr="007F3768">
        <w:rPr>
          <w:lang w:val="fr-FR"/>
        </w:rPr>
        <w:t>[Fin des notes explicatives relatives à l’article 7]</w:t>
      </w:r>
      <w:r w:rsidRPr="007F3768">
        <w:rPr>
          <w:lang w:val="fr-FR"/>
        </w:rPr>
        <w:br w:type="page"/>
      </w:r>
    </w:p>
    <w:p w14:paraId="399B7FA1" w14:textId="77777777" w:rsidR="00A94A66" w:rsidRPr="007F3768" w:rsidRDefault="00A94A66" w:rsidP="007F3768">
      <w:pPr>
        <w:pStyle w:val="Heading1"/>
        <w:spacing w:after="0"/>
        <w:rPr>
          <w:lang w:val="fr-FR"/>
        </w:rPr>
      </w:pPr>
      <w:bookmarkStart w:id="31" w:name="_Toc211333624"/>
      <w:bookmarkStart w:id="32" w:name="_Toc211506798"/>
      <w:bookmarkStart w:id="33" w:name="_Toc213249001"/>
      <w:r w:rsidRPr="007F3768">
        <w:rPr>
          <w:lang w:val="fr-FR"/>
        </w:rPr>
        <w:lastRenderedPageBreak/>
        <w:t>Article 7</w:t>
      </w:r>
      <w:bookmarkEnd w:id="31"/>
      <w:bookmarkEnd w:id="32"/>
      <w:bookmarkEnd w:id="33"/>
    </w:p>
    <w:p w14:paraId="269F828A" w14:textId="4C6E2C04" w:rsidR="00A94A66" w:rsidRPr="007F3768" w:rsidRDefault="00A94A66" w:rsidP="007F3768">
      <w:pPr>
        <w:pStyle w:val="Heading1"/>
        <w:spacing w:after="0"/>
        <w:rPr>
          <w:color w:val="000000"/>
          <w:lang w:val="fr-FR"/>
        </w:rPr>
      </w:pPr>
      <w:bookmarkStart w:id="34" w:name="_Toc211333625"/>
      <w:bookmarkStart w:id="35" w:name="_Toc211506799"/>
      <w:bookmarkStart w:id="36" w:name="_Toc213249002"/>
      <w:r w:rsidRPr="007F3768">
        <w:rPr>
          <w:color w:val="000000"/>
          <w:lang w:val="fr-FR"/>
        </w:rPr>
        <w:t>Utilisations transfrontières</w:t>
      </w:r>
      <w:bookmarkEnd w:id="34"/>
      <w:bookmarkEnd w:id="35"/>
      <w:bookmarkEnd w:id="36"/>
    </w:p>
    <w:p w14:paraId="505FB648" w14:textId="77777777" w:rsidR="00A94A66" w:rsidRPr="007F3768" w:rsidRDefault="00A94A66" w:rsidP="007F3768">
      <w:pPr>
        <w:spacing w:line="480" w:lineRule="auto"/>
        <w:rPr>
          <w:rFonts w:eastAsia="Times New Roman"/>
          <w:lang w:val="fr-FR"/>
        </w:rPr>
      </w:pPr>
    </w:p>
    <w:p w14:paraId="02E0D34F" w14:textId="4851804D" w:rsidR="00A94A66" w:rsidRPr="007F3768" w:rsidRDefault="00A94A66" w:rsidP="007F3768">
      <w:pPr>
        <w:spacing w:line="480" w:lineRule="auto"/>
        <w:rPr>
          <w:lang w:val="fr-FR"/>
        </w:rPr>
      </w:pPr>
      <w:r w:rsidRPr="007F3768">
        <w:rPr>
          <w:color w:val="000000"/>
          <w:lang w:val="fr-FR"/>
        </w:rPr>
        <w:t xml:space="preserve">1. </w:t>
      </w:r>
      <w:r w:rsidR="00F309FC" w:rsidRPr="007F3768">
        <w:rPr>
          <w:color w:val="000000"/>
          <w:lang w:val="fr-FR"/>
        </w:rPr>
        <w:t xml:space="preserve"> </w:t>
      </w:r>
      <w:r w:rsidRPr="007F3768">
        <w:rPr>
          <w:color w:val="000000"/>
          <w:lang w:val="fr-FR"/>
        </w:rPr>
        <w:t>Les limitations et exceptions adoptées en vertu du présent instrument doivent permettre les utilisations transfrontières.</w:t>
      </w:r>
    </w:p>
    <w:p w14:paraId="06172770" w14:textId="77777777" w:rsidR="00A94A66" w:rsidRPr="007F3768" w:rsidRDefault="00A94A66" w:rsidP="007F3768">
      <w:pPr>
        <w:spacing w:line="480" w:lineRule="auto"/>
        <w:rPr>
          <w:rFonts w:eastAsia="Times New Roman"/>
          <w:color w:val="000000"/>
          <w:lang w:val="fr-FR"/>
        </w:rPr>
      </w:pPr>
    </w:p>
    <w:p w14:paraId="4150ADD6" w14:textId="0DDEB033" w:rsidR="00A94A66" w:rsidRPr="007F3768" w:rsidRDefault="00A94A66" w:rsidP="007F3768">
      <w:pPr>
        <w:spacing w:line="480" w:lineRule="auto"/>
        <w:rPr>
          <w:lang w:val="fr-FR"/>
        </w:rPr>
      </w:pPr>
      <w:r w:rsidRPr="007F3768">
        <w:rPr>
          <w:color w:val="000000"/>
          <w:lang w:val="fr-FR"/>
        </w:rPr>
        <w:t xml:space="preserve">2. </w:t>
      </w:r>
      <w:r w:rsidR="00F309FC" w:rsidRPr="007F3768">
        <w:rPr>
          <w:color w:val="000000"/>
          <w:lang w:val="fr-FR"/>
        </w:rPr>
        <w:t xml:space="preserve"> </w:t>
      </w:r>
      <w:r w:rsidRPr="007F3768">
        <w:rPr>
          <w:color w:val="000000"/>
          <w:lang w:val="fr-FR"/>
        </w:rPr>
        <w:t>Les parties contractantes prévoient que si une copie est réalisée légalement en vertu d’une limitation ou d’une exception, elle peut être distribuée à une autre partie contractante ou mise à sa disposition, ou provenir de celle</w:t>
      </w:r>
      <w:r w:rsidR="007F3768">
        <w:rPr>
          <w:color w:val="000000"/>
          <w:lang w:val="fr-FR"/>
        </w:rPr>
        <w:noBreakHyphen/>
      </w:r>
      <w:r w:rsidRPr="007F3768">
        <w:rPr>
          <w:color w:val="000000"/>
          <w:lang w:val="fr-FR"/>
        </w:rPr>
        <w:t>ci, aux mêmes fins que celles pour lesquelles elle a été légalement réalisée.</w:t>
      </w:r>
    </w:p>
    <w:p w14:paraId="4F29B36A" w14:textId="77777777" w:rsidR="00A94A66" w:rsidRDefault="00A94A66" w:rsidP="009E0BE9">
      <w:pPr>
        <w:spacing w:line="480" w:lineRule="auto"/>
        <w:jc w:val="right"/>
        <w:rPr>
          <w:rFonts w:eastAsia="Times New Roman"/>
          <w:lang w:val="fr-FR"/>
        </w:rPr>
      </w:pPr>
    </w:p>
    <w:p w14:paraId="20838E70" w14:textId="77777777" w:rsidR="009E0BE9" w:rsidRPr="007F3768" w:rsidRDefault="009E0BE9" w:rsidP="009E0BE9">
      <w:pPr>
        <w:spacing w:line="480" w:lineRule="auto"/>
        <w:jc w:val="right"/>
        <w:rPr>
          <w:rFonts w:eastAsia="Times New Roman"/>
          <w:lang w:val="fr-FR"/>
        </w:rPr>
      </w:pPr>
    </w:p>
    <w:p w14:paraId="0DD4BB68" w14:textId="14DB8B14" w:rsidR="00A94A66" w:rsidRPr="007F3768" w:rsidRDefault="00A94A66" w:rsidP="007F3768">
      <w:pPr>
        <w:jc w:val="right"/>
        <w:rPr>
          <w:rFonts w:eastAsia="Times New Roman"/>
          <w:lang w:val="fr-FR"/>
        </w:rPr>
      </w:pPr>
      <w:r w:rsidRPr="007F3768">
        <w:rPr>
          <w:lang w:val="fr-FR"/>
        </w:rPr>
        <w:t>[Fin de l’article 7]</w:t>
      </w:r>
      <w:r w:rsidRPr="007F3768">
        <w:rPr>
          <w:lang w:val="fr-FR"/>
        </w:rPr>
        <w:br w:type="page"/>
      </w:r>
    </w:p>
    <w:p w14:paraId="35264CB7" w14:textId="6E34241C" w:rsidR="00A94A66" w:rsidRPr="007F3768" w:rsidRDefault="00A94A66" w:rsidP="007F3768">
      <w:pPr>
        <w:rPr>
          <w:rFonts w:eastAsia="Times New Roman"/>
          <w:i/>
          <w:iCs/>
          <w:lang w:val="fr-FR"/>
        </w:rPr>
      </w:pPr>
      <w:r w:rsidRPr="007F3768">
        <w:rPr>
          <w:i/>
          <w:lang w:val="fr-FR"/>
        </w:rPr>
        <w:lastRenderedPageBreak/>
        <w:t>Notes explicatives relatives à l’article 8</w:t>
      </w:r>
    </w:p>
    <w:p w14:paraId="1959CA58" w14:textId="77777777" w:rsidR="00A94A66" w:rsidRPr="007F3768" w:rsidRDefault="00A94A66" w:rsidP="007F3768">
      <w:pPr>
        <w:rPr>
          <w:rFonts w:eastAsia="Times New Roman"/>
          <w:i/>
          <w:iCs/>
          <w:lang w:val="fr-FR"/>
        </w:rPr>
      </w:pPr>
    </w:p>
    <w:p w14:paraId="24B45ED9" w14:textId="453880F7" w:rsidR="00A94A66" w:rsidRPr="007F3768" w:rsidRDefault="00A94A66" w:rsidP="007F3768">
      <w:pPr>
        <w:rPr>
          <w:rFonts w:eastAsia="Times New Roman"/>
          <w:lang w:val="fr-FR"/>
        </w:rPr>
      </w:pPr>
      <w:r w:rsidRPr="007F3768">
        <w:rPr>
          <w:lang w:val="fr-FR"/>
        </w:rPr>
        <w:t>8.01</w:t>
      </w:r>
      <w:r w:rsidRPr="007F3768">
        <w:rPr>
          <w:lang w:val="fr-FR"/>
        </w:rPr>
        <w:tab/>
        <w:t>L’</w:t>
      </w:r>
      <w:r w:rsidRPr="007F3768">
        <w:rPr>
          <w:i/>
          <w:iCs/>
          <w:lang w:val="fr-FR"/>
        </w:rPr>
        <w:t>article 8</w:t>
      </w:r>
      <w:r w:rsidRPr="007F3768">
        <w:rPr>
          <w:lang w:val="fr-FR"/>
        </w:rPr>
        <w:t xml:space="preserve"> prévoit les utilisations qui font l’objet d’une rémunération adéquate, par exemple au moyen de licences légales ou de limitations des recours en cas d’atteinte.</w:t>
      </w:r>
    </w:p>
    <w:p w14:paraId="36A76C3F" w14:textId="77777777" w:rsidR="00A94A66" w:rsidRPr="007F3768" w:rsidRDefault="00A94A66" w:rsidP="007F3768">
      <w:pPr>
        <w:rPr>
          <w:rFonts w:eastAsia="Times New Roman"/>
          <w:lang w:val="fr-FR"/>
        </w:rPr>
      </w:pPr>
    </w:p>
    <w:p w14:paraId="4FF07651" w14:textId="77777777" w:rsidR="00A94A66" w:rsidRPr="007F3768" w:rsidRDefault="00A94A66" w:rsidP="007F3768">
      <w:pPr>
        <w:rPr>
          <w:rFonts w:eastAsia="Times New Roman"/>
          <w:lang w:val="fr-FR"/>
        </w:rPr>
      </w:pPr>
    </w:p>
    <w:p w14:paraId="402690D4" w14:textId="4615F7CA" w:rsidR="00A94A66" w:rsidRPr="007F3768" w:rsidRDefault="00A94A66" w:rsidP="009E0BE9">
      <w:pPr>
        <w:jc w:val="right"/>
        <w:rPr>
          <w:rFonts w:cs="Times New Roman"/>
          <w:i/>
          <w:iCs/>
          <w:sz w:val="24"/>
          <w:szCs w:val="24"/>
          <w:lang w:val="fr-FR"/>
        </w:rPr>
      </w:pPr>
      <w:r w:rsidRPr="007F3768">
        <w:rPr>
          <w:lang w:val="fr-FR"/>
        </w:rPr>
        <w:t>[Fin des notes explicatives relatives à l’article 8]</w:t>
      </w:r>
      <w:r w:rsidRPr="007F3768">
        <w:rPr>
          <w:lang w:val="fr-FR"/>
        </w:rPr>
        <w:br w:type="page"/>
      </w:r>
    </w:p>
    <w:p w14:paraId="5EECEA8F" w14:textId="77777777" w:rsidR="00A94A66" w:rsidRPr="009E0BE9" w:rsidRDefault="00A94A66" w:rsidP="009E0BE9">
      <w:pPr>
        <w:pStyle w:val="Heading1"/>
      </w:pPr>
      <w:bookmarkStart w:id="37" w:name="_Toc211333626"/>
      <w:bookmarkStart w:id="38" w:name="_Toc211506800"/>
      <w:bookmarkStart w:id="39" w:name="_Toc213249003"/>
      <w:r w:rsidRPr="009E0BE9">
        <w:lastRenderedPageBreak/>
        <w:t>Article 8</w:t>
      </w:r>
      <w:bookmarkEnd w:id="37"/>
      <w:bookmarkEnd w:id="38"/>
      <w:bookmarkEnd w:id="39"/>
    </w:p>
    <w:p w14:paraId="41EF5879" w14:textId="77777777" w:rsidR="00A94A66" w:rsidRPr="009E0BE9" w:rsidRDefault="00A94A66" w:rsidP="009E0BE9">
      <w:pPr>
        <w:pStyle w:val="Heading1"/>
      </w:pPr>
      <w:bookmarkStart w:id="40" w:name="_Toc211333627"/>
      <w:bookmarkStart w:id="41" w:name="_Toc211506801"/>
      <w:bookmarkStart w:id="42" w:name="_Toc213249004"/>
      <w:r w:rsidRPr="009E0BE9">
        <w:t>Utilisations soumises à rémunération</w:t>
      </w:r>
      <w:bookmarkEnd w:id="40"/>
      <w:bookmarkEnd w:id="41"/>
      <w:bookmarkEnd w:id="42"/>
    </w:p>
    <w:p w14:paraId="162202B6" w14:textId="77777777" w:rsidR="00A94A66" w:rsidRPr="007F3768" w:rsidRDefault="00A94A66" w:rsidP="007F3768">
      <w:pPr>
        <w:rPr>
          <w:lang w:val="fr-FR"/>
        </w:rPr>
      </w:pPr>
    </w:p>
    <w:p w14:paraId="260B9E3B" w14:textId="707798FE" w:rsidR="00A94A66" w:rsidRPr="007F3768" w:rsidRDefault="00A94A66" w:rsidP="007F3768">
      <w:pPr>
        <w:spacing w:line="480" w:lineRule="auto"/>
        <w:rPr>
          <w:color w:val="000000"/>
          <w:shd w:val="clear" w:color="auto" w:fill="FFFFFF"/>
          <w:lang w:val="fr-FR"/>
        </w:rPr>
      </w:pPr>
      <w:r w:rsidRPr="007F3768">
        <w:rPr>
          <w:color w:val="000000"/>
          <w:shd w:val="clear" w:color="auto" w:fill="FFFFFF"/>
          <w:lang w:val="fr-FR"/>
        </w:rPr>
        <w:t>Une partie contractante peut autoriser des utilisations à des fins autres que celles encouragées par le présent instrument lorsque ces utilisations font l’objet d’une rémunération adéquate, par exemple au moyen de licences légales ou de limitations des recours en cas d’atteinte.</w:t>
      </w:r>
    </w:p>
    <w:p w14:paraId="616AE449" w14:textId="292FB3A6" w:rsidR="00A94A66" w:rsidRDefault="00A94A66" w:rsidP="009E0BE9">
      <w:pPr>
        <w:spacing w:line="480" w:lineRule="auto"/>
        <w:jc w:val="right"/>
        <w:rPr>
          <w:rFonts w:eastAsia="Times New Roman"/>
          <w:lang w:val="fr-FR"/>
        </w:rPr>
      </w:pPr>
    </w:p>
    <w:p w14:paraId="440B1B70" w14:textId="77777777" w:rsidR="009E0BE9" w:rsidRPr="007F3768" w:rsidRDefault="009E0BE9" w:rsidP="009E0BE9">
      <w:pPr>
        <w:spacing w:line="480" w:lineRule="auto"/>
        <w:jc w:val="right"/>
        <w:rPr>
          <w:rFonts w:eastAsia="Times New Roman"/>
          <w:lang w:val="fr-FR"/>
        </w:rPr>
      </w:pPr>
    </w:p>
    <w:p w14:paraId="5CC4B6EF" w14:textId="11CB666A" w:rsidR="00A94A66" w:rsidRPr="007F3768" w:rsidRDefault="00A94A66" w:rsidP="007F3768">
      <w:pPr>
        <w:spacing w:line="480" w:lineRule="auto"/>
        <w:jc w:val="right"/>
        <w:rPr>
          <w:rFonts w:eastAsia="Times New Roman"/>
          <w:lang w:val="fr-FR"/>
        </w:rPr>
      </w:pPr>
      <w:r w:rsidRPr="007F3768">
        <w:rPr>
          <w:lang w:val="fr-FR"/>
        </w:rPr>
        <w:t>[Fin de l’article 8]</w:t>
      </w:r>
      <w:r w:rsidRPr="007F3768">
        <w:rPr>
          <w:lang w:val="fr-FR"/>
        </w:rPr>
        <w:br w:type="page"/>
      </w:r>
    </w:p>
    <w:p w14:paraId="01AAD6AE" w14:textId="6F1B7312" w:rsidR="00A94A66" w:rsidRPr="007F3768" w:rsidRDefault="00A94A66" w:rsidP="007F3768">
      <w:pPr>
        <w:rPr>
          <w:rFonts w:eastAsia="Times New Roman"/>
          <w:i/>
          <w:iCs/>
          <w:lang w:val="fr-FR"/>
        </w:rPr>
      </w:pPr>
      <w:r w:rsidRPr="007F3768">
        <w:rPr>
          <w:i/>
          <w:lang w:val="fr-FR"/>
        </w:rPr>
        <w:lastRenderedPageBreak/>
        <w:t>Notes explicatives relatives à l’article 9</w:t>
      </w:r>
    </w:p>
    <w:p w14:paraId="11FA7B40" w14:textId="77777777" w:rsidR="00A94A66" w:rsidRPr="007F3768" w:rsidRDefault="00A94A66" w:rsidP="007F3768">
      <w:pPr>
        <w:rPr>
          <w:rFonts w:eastAsia="Times New Roman"/>
          <w:lang w:val="fr-FR"/>
        </w:rPr>
      </w:pPr>
    </w:p>
    <w:p w14:paraId="5156F5E8" w14:textId="0FE8B4C7" w:rsidR="00A94A66" w:rsidRPr="007F3768" w:rsidRDefault="00A94A66" w:rsidP="007F3768">
      <w:pPr>
        <w:rPr>
          <w:rFonts w:eastAsia="Times New Roman"/>
          <w:lang w:val="fr-FR"/>
        </w:rPr>
      </w:pPr>
      <w:r w:rsidRPr="007F3768">
        <w:rPr>
          <w:lang w:val="fr-FR"/>
        </w:rPr>
        <w:t>9.01</w:t>
      </w:r>
      <w:r w:rsidRPr="007F3768">
        <w:rPr>
          <w:lang w:val="fr-FR"/>
        </w:rPr>
        <w:tab/>
        <w:t>L’</w:t>
      </w:r>
      <w:r w:rsidRPr="007F3768">
        <w:rPr>
          <w:i/>
          <w:lang w:val="fr-FR"/>
        </w:rPr>
        <w:t xml:space="preserve">article 9 </w:t>
      </w:r>
      <w:r w:rsidRPr="007F3768">
        <w:rPr>
          <w:lang w:val="fr-FR"/>
        </w:rPr>
        <w:t>prévoit la protection des limitations et exceptions contre toute ingérence contractuelle.</w:t>
      </w:r>
    </w:p>
    <w:p w14:paraId="1024A3D8" w14:textId="77777777" w:rsidR="00A94A66" w:rsidRPr="007F3768" w:rsidRDefault="00A94A66" w:rsidP="007F3768">
      <w:pPr>
        <w:rPr>
          <w:rFonts w:eastAsia="Times New Roman"/>
          <w:lang w:val="fr-FR"/>
        </w:rPr>
      </w:pPr>
    </w:p>
    <w:p w14:paraId="68AE51C9" w14:textId="0C4B5740" w:rsidR="00A94A66" w:rsidRPr="007F3768" w:rsidRDefault="00A94A66" w:rsidP="007F3768">
      <w:pPr>
        <w:rPr>
          <w:rFonts w:eastAsia="Times New Roman"/>
          <w:lang w:val="fr-FR"/>
        </w:rPr>
      </w:pPr>
      <w:r w:rsidRPr="007F3768">
        <w:rPr>
          <w:lang w:val="fr-FR"/>
        </w:rPr>
        <w:t>9.02</w:t>
      </w:r>
      <w:r w:rsidRPr="007F3768">
        <w:rPr>
          <w:lang w:val="fr-FR"/>
        </w:rPr>
        <w:tab/>
        <w:t>L’</w:t>
      </w:r>
      <w:r w:rsidRPr="007F3768">
        <w:rPr>
          <w:i/>
          <w:iCs/>
          <w:lang w:val="fr-FR"/>
        </w:rPr>
        <w:t>alinéa 1)</w:t>
      </w:r>
      <w:r w:rsidRPr="007F3768">
        <w:rPr>
          <w:lang w:val="fr-FR"/>
        </w:rPr>
        <w:t xml:space="preserve"> suit le document</w:t>
      </w:r>
      <w:r w:rsidR="007F3768">
        <w:rPr>
          <w:lang w:val="fr-FR"/>
        </w:rPr>
        <w:t> </w:t>
      </w:r>
      <w:r w:rsidRPr="007F3768">
        <w:rPr>
          <w:lang w:val="fr-FR"/>
        </w:rPr>
        <w:t>SCCR/35/5</w:t>
      </w:r>
      <w:r w:rsidR="00F309FC" w:rsidRPr="007F3768">
        <w:rPr>
          <w:lang w:val="fr-FR"/>
        </w:rPr>
        <w:t> </w:t>
      </w:r>
      <w:proofErr w:type="spellStart"/>
      <w:r w:rsidRPr="007F3768">
        <w:rPr>
          <w:lang w:val="fr-FR"/>
        </w:rPr>
        <w:t>Rev</w:t>
      </w:r>
      <w:proofErr w:type="spellEnd"/>
      <w:r w:rsidRPr="007F3768">
        <w:rPr>
          <w:lang w:val="fr-FR"/>
        </w:rPr>
        <w:t xml:space="preserve">. </w:t>
      </w:r>
      <w:proofErr w:type="gramStart"/>
      <w:r w:rsidRPr="007F3768">
        <w:rPr>
          <w:lang w:val="fr-FR"/>
        </w:rPr>
        <w:t>et</w:t>
      </w:r>
      <w:proofErr w:type="gramEnd"/>
      <w:r w:rsidRPr="007F3768">
        <w:rPr>
          <w:lang w:val="fr-FR"/>
        </w:rPr>
        <w:t xml:space="preserve"> la proposition du groupe des pays africains dans le document</w:t>
      </w:r>
      <w:r w:rsidR="007F3768">
        <w:rPr>
          <w:lang w:val="fr-FR"/>
        </w:rPr>
        <w:t> </w:t>
      </w:r>
      <w:r w:rsidRPr="007F3768">
        <w:rPr>
          <w:lang w:val="fr-FR"/>
        </w:rPr>
        <w:t>SCCR/26/4</w:t>
      </w:r>
      <w:r w:rsidR="00F309FC" w:rsidRPr="007F3768">
        <w:rPr>
          <w:lang w:val="fr-FR"/>
        </w:rPr>
        <w:t> </w:t>
      </w:r>
      <w:r w:rsidRPr="007F3768">
        <w:rPr>
          <w:lang w:val="fr-FR"/>
        </w:rPr>
        <w:t>Prov. (qui dispose que les “contrats cherchant à passer outre à l’application légitime des dispositions des articles 2 à 5 sont considérés comme nuls et non avenus et comme étant contraires à l’ordre public justifiant le droit d’auteur et sont considérés comme incompatibles avec les objectifs du système international du droit d’auteur”).</w:t>
      </w:r>
    </w:p>
    <w:p w14:paraId="02846E54" w14:textId="77777777" w:rsidR="00A94A66" w:rsidRPr="007F3768" w:rsidRDefault="00A94A66" w:rsidP="007F3768">
      <w:pPr>
        <w:rPr>
          <w:rFonts w:eastAsia="Times New Roman"/>
          <w:lang w:val="fr-FR"/>
        </w:rPr>
      </w:pPr>
    </w:p>
    <w:p w14:paraId="2D894BFB" w14:textId="3FBAC744" w:rsidR="00A94A66" w:rsidRPr="007F3768" w:rsidRDefault="00A94A66" w:rsidP="007F3768">
      <w:pPr>
        <w:rPr>
          <w:rFonts w:eastAsia="Times New Roman"/>
          <w:lang w:val="fr-FR"/>
        </w:rPr>
      </w:pPr>
      <w:r w:rsidRPr="007F3768">
        <w:rPr>
          <w:lang w:val="fr-FR"/>
        </w:rPr>
        <w:t>9.03</w:t>
      </w:r>
      <w:r w:rsidRPr="007F3768">
        <w:rPr>
          <w:lang w:val="fr-FR"/>
        </w:rPr>
        <w:tab/>
        <w:t>L’</w:t>
      </w:r>
      <w:r w:rsidRPr="007F3768">
        <w:rPr>
          <w:i/>
          <w:iCs/>
          <w:lang w:val="fr-FR"/>
        </w:rPr>
        <w:t>alinéa 2)</w:t>
      </w:r>
      <w:r w:rsidRPr="007F3768">
        <w:rPr>
          <w:lang w:val="fr-FR"/>
        </w:rPr>
        <w:t xml:space="preserve"> suit l’article 9.1) du règlement (CE) n° 593/2008</w:t>
      </w:r>
      <w:r w:rsidRPr="007F3768">
        <w:rPr>
          <w:color w:val="000000"/>
          <w:lang w:val="fr-FR"/>
        </w:rPr>
        <w:t xml:space="preserve"> (“Une loi de police est une disposition impérative dont le respect est jugé crucial par un pays pour la sauvegarde de ses intérêts publics, tels que son organisation politique, sociale ou économique, au point d’en exiger l’application à toute situation entrant dans son champ d’application, quelle que soit par ailleurs la loi applicable au contrat d’après le présent règlement”).</w:t>
      </w:r>
    </w:p>
    <w:p w14:paraId="0734B042" w14:textId="77777777" w:rsidR="00A94A66" w:rsidRPr="007F3768" w:rsidRDefault="00A94A66" w:rsidP="007F3768">
      <w:pPr>
        <w:rPr>
          <w:rFonts w:eastAsia="Times New Roman" w:cs="Calibri"/>
          <w:color w:val="000000"/>
          <w:lang w:val="fr-FR"/>
        </w:rPr>
      </w:pPr>
    </w:p>
    <w:p w14:paraId="0B5A96D1" w14:textId="77777777" w:rsidR="00A94A66" w:rsidRPr="007F3768" w:rsidRDefault="00A94A66" w:rsidP="007F3768">
      <w:pPr>
        <w:rPr>
          <w:rFonts w:eastAsia="Times New Roman" w:cs="Calibri"/>
          <w:color w:val="000000"/>
          <w:lang w:val="fr-FR"/>
        </w:rPr>
      </w:pPr>
    </w:p>
    <w:p w14:paraId="2D58844D" w14:textId="4343218D" w:rsidR="00A94A66" w:rsidRPr="007F3768" w:rsidRDefault="00A94A66" w:rsidP="007F3768">
      <w:pPr>
        <w:jc w:val="right"/>
        <w:rPr>
          <w:lang w:val="fr-FR"/>
        </w:rPr>
      </w:pPr>
      <w:r w:rsidRPr="007F3768">
        <w:rPr>
          <w:lang w:val="fr-FR"/>
        </w:rPr>
        <w:t>[Fin des notes explicatives relatives à l’article 9]</w:t>
      </w:r>
      <w:r w:rsidRPr="007F3768">
        <w:rPr>
          <w:lang w:val="fr-FR"/>
        </w:rPr>
        <w:br w:type="page"/>
      </w:r>
    </w:p>
    <w:p w14:paraId="017CBA70" w14:textId="77777777" w:rsidR="00A94A66" w:rsidRPr="007F3768" w:rsidRDefault="00A94A66" w:rsidP="007F3768">
      <w:pPr>
        <w:pStyle w:val="Heading1"/>
        <w:spacing w:after="0"/>
        <w:rPr>
          <w:lang w:val="fr-FR"/>
        </w:rPr>
      </w:pPr>
      <w:bookmarkStart w:id="43" w:name="_Toc211333628"/>
      <w:bookmarkStart w:id="44" w:name="_Toc211506802"/>
      <w:bookmarkStart w:id="45" w:name="_Toc213249005"/>
      <w:r w:rsidRPr="007F3768">
        <w:rPr>
          <w:lang w:val="fr-FR"/>
        </w:rPr>
        <w:lastRenderedPageBreak/>
        <w:t>Article 9</w:t>
      </w:r>
      <w:bookmarkEnd w:id="43"/>
      <w:bookmarkEnd w:id="44"/>
      <w:bookmarkEnd w:id="45"/>
    </w:p>
    <w:p w14:paraId="2909070C" w14:textId="7F3155B0" w:rsidR="00A94A66" w:rsidRPr="007F3768" w:rsidRDefault="00A94A66" w:rsidP="007F3768">
      <w:pPr>
        <w:pStyle w:val="Heading1"/>
        <w:spacing w:after="0"/>
        <w:rPr>
          <w:lang w:val="fr-FR"/>
        </w:rPr>
      </w:pPr>
      <w:bookmarkStart w:id="46" w:name="_Toc211333629"/>
      <w:bookmarkStart w:id="47" w:name="_Toc211506803"/>
      <w:bookmarkStart w:id="48" w:name="_Toc213249006"/>
      <w:r w:rsidRPr="007F3768">
        <w:rPr>
          <w:lang w:val="fr-FR"/>
        </w:rPr>
        <w:t>Protection contre l’ingérence contractuelle</w:t>
      </w:r>
      <w:bookmarkEnd w:id="46"/>
      <w:bookmarkEnd w:id="47"/>
      <w:bookmarkEnd w:id="48"/>
    </w:p>
    <w:p w14:paraId="5A601F37" w14:textId="77777777" w:rsidR="00A94A66" w:rsidRPr="007F3768" w:rsidRDefault="00A94A66" w:rsidP="00737684">
      <w:pPr>
        <w:rPr>
          <w:rFonts w:eastAsia="Times New Roman"/>
          <w:lang w:val="fr-FR"/>
        </w:rPr>
      </w:pPr>
    </w:p>
    <w:p w14:paraId="349A6DBD" w14:textId="70A138F2" w:rsidR="00A94A66" w:rsidRPr="007F3768" w:rsidRDefault="00A94A66" w:rsidP="007F3768">
      <w:pPr>
        <w:spacing w:line="480" w:lineRule="auto"/>
        <w:rPr>
          <w:color w:val="000000"/>
          <w:lang w:val="fr-FR"/>
        </w:rPr>
      </w:pPr>
      <w:r w:rsidRPr="007F3768">
        <w:rPr>
          <w:color w:val="000000"/>
          <w:lang w:val="fr-FR"/>
        </w:rPr>
        <w:t xml:space="preserve">1. </w:t>
      </w:r>
      <w:r w:rsidR="00F309FC" w:rsidRPr="007F3768">
        <w:rPr>
          <w:color w:val="000000"/>
          <w:lang w:val="fr-FR"/>
        </w:rPr>
        <w:t xml:space="preserve"> </w:t>
      </w:r>
      <w:r w:rsidRPr="007F3768">
        <w:rPr>
          <w:color w:val="000000"/>
          <w:lang w:val="fr-FR"/>
        </w:rPr>
        <w:t>Toute disposition contractuelle qui interdit ou restreint l’exercice ou le bénéfice des limitations et exceptions prévues par les parties contractantes conformément au présent instrument est inapplicable.</w:t>
      </w:r>
    </w:p>
    <w:p w14:paraId="2370CB45" w14:textId="77777777" w:rsidR="00A94A66" w:rsidRPr="007F3768" w:rsidRDefault="00A94A66" w:rsidP="007F3768">
      <w:pPr>
        <w:spacing w:line="480" w:lineRule="auto"/>
        <w:rPr>
          <w:lang w:val="fr-FR"/>
        </w:rPr>
      </w:pPr>
    </w:p>
    <w:p w14:paraId="3932E737" w14:textId="74128E7A" w:rsidR="00A94A66" w:rsidRPr="007F3768" w:rsidRDefault="00A94A66" w:rsidP="007F3768">
      <w:pPr>
        <w:spacing w:line="480" w:lineRule="auto"/>
        <w:rPr>
          <w:lang w:val="fr-FR"/>
        </w:rPr>
      </w:pPr>
      <w:r w:rsidRPr="007F3768">
        <w:rPr>
          <w:color w:val="000000"/>
          <w:lang w:val="fr-FR"/>
        </w:rPr>
        <w:t xml:space="preserve">2. </w:t>
      </w:r>
      <w:r w:rsidR="00F309FC" w:rsidRPr="007F3768">
        <w:rPr>
          <w:color w:val="000000"/>
          <w:lang w:val="fr-FR"/>
        </w:rPr>
        <w:t xml:space="preserve"> </w:t>
      </w:r>
      <w:r w:rsidRPr="007F3768">
        <w:rPr>
          <w:color w:val="000000"/>
          <w:lang w:val="fr-FR"/>
        </w:rPr>
        <w:t>Le respect des limitations et exceptions prévues par les parties contractantes conformément au présent instrument est considéré comme essentiel par les parties contractantes pour la sauvegarde de leurs intérêts publics, à tel point qu’elles s’appliquent à toute situation relevant de leur champ d’application, quelle que soit par ailleurs la loi applicable au contrat.</w:t>
      </w:r>
    </w:p>
    <w:p w14:paraId="70DCF7F4" w14:textId="77777777" w:rsidR="00A94A66" w:rsidRDefault="00A94A66" w:rsidP="00737684">
      <w:pPr>
        <w:spacing w:line="480" w:lineRule="auto"/>
        <w:jc w:val="right"/>
        <w:rPr>
          <w:rFonts w:eastAsia="Times New Roman"/>
          <w:lang w:val="fr-FR"/>
        </w:rPr>
      </w:pPr>
    </w:p>
    <w:p w14:paraId="34F15011" w14:textId="77777777" w:rsidR="00737684" w:rsidRPr="007F3768" w:rsidRDefault="00737684" w:rsidP="00737684">
      <w:pPr>
        <w:spacing w:line="480" w:lineRule="auto"/>
        <w:jc w:val="right"/>
        <w:rPr>
          <w:rFonts w:eastAsia="Times New Roman"/>
          <w:lang w:val="fr-FR"/>
        </w:rPr>
      </w:pPr>
    </w:p>
    <w:p w14:paraId="682136B6" w14:textId="5F626AD7" w:rsidR="00A94A66" w:rsidRPr="007F3768" w:rsidRDefault="00A94A66" w:rsidP="007F3768">
      <w:pPr>
        <w:spacing w:line="480" w:lineRule="auto"/>
        <w:jc w:val="right"/>
        <w:rPr>
          <w:rFonts w:eastAsia="Times New Roman"/>
          <w:lang w:val="fr-FR"/>
        </w:rPr>
      </w:pPr>
      <w:r w:rsidRPr="007F3768">
        <w:rPr>
          <w:lang w:val="fr-FR"/>
        </w:rPr>
        <w:t>[Fin de l’article 9]</w:t>
      </w:r>
    </w:p>
    <w:p w14:paraId="5D3CD3AF" w14:textId="77777777" w:rsidR="00A94A66" w:rsidRPr="007F3768" w:rsidRDefault="00A94A66" w:rsidP="007F3768">
      <w:pPr>
        <w:rPr>
          <w:rFonts w:eastAsia="Times New Roman"/>
          <w:lang w:val="fr-FR"/>
        </w:rPr>
      </w:pPr>
      <w:r w:rsidRPr="007F3768">
        <w:rPr>
          <w:lang w:val="fr-FR"/>
        </w:rPr>
        <w:br w:type="page"/>
      </w:r>
    </w:p>
    <w:p w14:paraId="0191CC2D" w14:textId="4F5268EE" w:rsidR="00A94A66" w:rsidRPr="007F3768" w:rsidRDefault="00A94A66" w:rsidP="007F3768">
      <w:pPr>
        <w:rPr>
          <w:rFonts w:eastAsia="Times New Roman"/>
          <w:i/>
          <w:iCs/>
          <w:lang w:val="fr-FR"/>
        </w:rPr>
      </w:pPr>
      <w:r w:rsidRPr="007F3768">
        <w:rPr>
          <w:i/>
          <w:lang w:val="fr-FR"/>
        </w:rPr>
        <w:lastRenderedPageBreak/>
        <w:t>Notes explicatives relatives à l’article 10</w:t>
      </w:r>
    </w:p>
    <w:p w14:paraId="51528787" w14:textId="77777777" w:rsidR="00A94A66" w:rsidRPr="007F3768" w:rsidRDefault="00A94A66" w:rsidP="007F3768">
      <w:pPr>
        <w:rPr>
          <w:rFonts w:eastAsia="Times New Roman"/>
          <w:i/>
          <w:iCs/>
          <w:lang w:val="fr-FR"/>
        </w:rPr>
      </w:pPr>
    </w:p>
    <w:p w14:paraId="66263430" w14:textId="118D36A7" w:rsidR="00A94A66" w:rsidRPr="007F3768" w:rsidRDefault="00A94A66" w:rsidP="00737684">
      <w:pPr>
        <w:tabs>
          <w:tab w:val="left" w:pos="709"/>
        </w:tabs>
        <w:rPr>
          <w:rFonts w:eastAsia="Times New Roman"/>
          <w:lang w:val="fr-FR"/>
        </w:rPr>
      </w:pPr>
      <w:r w:rsidRPr="007F3768">
        <w:rPr>
          <w:lang w:val="fr-FR"/>
        </w:rPr>
        <w:t>10.01</w:t>
      </w:r>
      <w:r w:rsidRPr="007F3768">
        <w:rPr>
          <w:lang w:val="fr-FR"/>
        </w:rPr>
        <w:tab/>
        <w:t>L’</w:t>
      </w:r>
      <w:r w:rsidRPr="007F3768">
        <w:rPr>
          <w:i/>
          <w:iCs/>
          <w:lang w:val="fr-FR"/>
        </w:rPr>
        <w:t>article 10</w:t>
      </w:r>
      <w:r w:rsidRPr="007F3768">
        <w:rPr>
          <w:lang w:val="fr-FR"/>
        </w:rPr>
        <w:t xml:space="preserve"> vise à garantir que les mesures techniques de protection n’interdisent pas ou n’empêchent pas le recours aux limitations et exceptio</w:t>
      </w:r>
      <w:r w:rsidR="00F42729" w:rsidRPr="007F3768">
        <w:rPr>
          <w:lang w:val="fr-FR"/>
        </w:rPr>
        <w:t>ns.  Ce</w:t>
      </w:r>
      <w:r w:rsidRPr="007F3768">
        <w:rPr>
          <w:lang w:val="fr-FR"/>
        </w:rPr>
        <w:t>tte disposition suit le document</w:t>
      </w:r>
      <w:r w:rsidR="007F3768">
        <w:rPr>
          <w:lang w:val="fr-FR"/>
        </w:rPr>
        <w:t> </w:t>
      </w:r>
      <w:r w:rsidRPr="007F3768">
        <w:rPr>
          <w:lang w:val="fr-FR"/>
        </w:rPr>
        <w:t>SCCR/33/6 et la proposition du groupe des pays africains dans le document</w:t>
      </w:r>
      <w:r w:rsidR="007F3768">
        <w:rPr>
          <w:lang w:val="fr-FR"/>
        </w:rPr>
        <w:t> </w:t>
      </w:r>
      <w:r w:rsidRPr="007F3768">
        <w:rPr>
          <w:lang w:val="fr-FR"/>
        </w:rPr>
        <w:t>SCCR/26/4</w:t>
      </w:r>
      <w:r w:rsidR="00F309FC" w:rsidRPr="007F3768">
        <w:rPr>
          <w:lang w:val="fr-FR"/>
        </w:rPr>
        <w:t> </w:t>
      </w:r>
      <w:r w:rsidRPr="007F3768">
        <w:rPr>
          <w:lang w:val="fr-FR"/>
        </w:rPr>
        <w:t>Prov. (“Nonobstant les dispositions de tout accord international, il est permis aux établissements d’enseignement, aux instituts de recherche ou aux étudiants ayant leur domicile sur le territoire d’une partie contractante de contourner les mesures techniques de protection en vigueur et d’accéder au contenu protégé par ces mesures techniques de protection aux fins”, notamment, “d’une utilisation privée et non commerciale”;  “d’une étude ou d’une recherche privée”;  et “d’une traduction, d’un enseignement, d’un essai, d’une étude effectuée en classe ou d’une recherche scientifique…”).</w:t>
      </w:r>
    </w:p>
    <w:p w14:paraId="62ACFB30" w14:textId="77777777" w:rsidR="00A94A66" w:rsidRPr="007F3768" w:rsidRDefault="00A94A66" w:rsidP="007F3768">
      <w:pPr>
        <w:rPr>
          <w:rFonts w:eastAsia="Times New Roman"/>
          <w:lang w:val="fr-FR"/>
        </w:rPr>
      </w:pPr>
    </w:p>
    <w:p w14:paraId="212D53E7" w14:textId="77777777" w:rsidR="00A94A66" w:rsidRPr="007F3768" w:rsidRDefault="00A94A66" w:rsidP="007F3768">
      <w:pPr>
        <w:rPr>
          <w:rFonts w:eastAsia="Times New Roman"/>
          <w:lang w:val="fr-FR"/>
        </w:rPr>
      </w:pPr>
    </w:p>
    <w:p w14:paraId="62F89B3C" w14:textId="69FD080D" w:rsidR="00A94A66" w:rsidRPr="007F3768" w:rsidRDefault="00A94A66" w:rsidP="007F3768">
      <w:pPr>
        <w:jc w:val="right"/>
        <w:rPr>
          <w:lang w:val="fr-FR"/>
        </w:rPr>
      </w:pPr>
      <w:r w:rsidRPr="007F3768">
        <w:rPr>
          <w:lang w:val="fr-FR"/>
        </w:rPr>
        <w:t>[Fin des notes explicatives relatives à l’article 10]</w:t>
      </w:r>
    </w:p>
    <w:p w14:paraId="76683039" w14:textId="77777777" w:rsidR="00A94A66" w:rsidRPr="007F3768" w:rsidRDefault="00A94A66" w:rsidP="007F3768">
      <w:pPr>
        <w:pStyle w:val="FootnoteText"/>
        <w:jc w:val="right"/>
        <w:rPr>
          <w:rFonts w:eastAsia="Times New Roman" w:cs="Times New Roman"/>
          <w:sz w:val="22"/>
          <w:szCs w:val="22"/>
          <w:lang w:val="fr-FR"/>
        </w:rPr>
      </w:pPr>
      <w:r w:rsidRPr="007F3768">
        <w:rPr>
          <w:lang w:val="fr-FR"/>
        </w:rPr>
        <w:br w:type="page"/>
      </w:r>
    </w:p>
    <w:p w14:paraId="26EC2E7B" w14:textId="77777777" w:rsidR="00A94A66" w:rsidRPr="007F3768" w:rsidRDefault="00A94A66" w:rsidP="007F3768">
      <w:pPr>
        <w:pStyle w:val="Heading1"/>
        <w:spacing w:after="0"/>
        <w:rPr>
          <w:lang w:val="fr-FR"/>
        </w:rPr>
      </w:pPr>
      <w:bookmarkStart w:id="49" w:name="_Toc211333630"/>
      <w:bookmarkStart w:id="50" w:name="_Toc211506804"/>
      <w:bookmarkStart w:id="51" w:name="_Toc213249007"/>
      <w:r w:rsidRPr="007F3768">
        <w:rPr>
          <w:lang w:val="fr-FR"/>
        </w:rPr>
        <w:lastRenderedPageBreak/>
        <w:t>Article 10</w:t>
      </w:r>
      <w:bookmarkEnd w:id="49"/>
      <w:bookmarkEnd w:id="50"/>
      <w:bookmarkEnd w:id="51"/>
    </w:p>
    <w:p w14:paraId="4DBFF1C9" w14:textId="77777777" w:rsidR="00A94A66" w:rsidRPr="007F3768" w:rsidRDefault="00A94A66" w:rsidP="007F3768">
      <w:pPr>
        <w:pStyle w:val="Heading1"/>
        <w:spacing w:after="0"/>
        <w:rPr>
          <w:lang w:val="fr-FR"/>
        </w:rPr>
      </w:pPr>
      <w:bookmarkStart w:id="52" w:name="_Toc211333631"/>
      <w:bookmarkStart w:id="53" w:name="_Toc211506805"/>
      <w:bookmarkStart w:id="54" w:name="_Toc213249008"/>
      <w:r w:rsidRPr="007F3768">
        <w:rPr>
          <w:lang w:val="fr-FR"/>
        </w:rPr>
        <w:t>Obligations concernant les mesures techniques de protection</w:t>
      </w:r>
      <w:bookmarkEnd w:id="52"/>
      <w:bookmarkEnd w:id="53"/>
      <w:bookmarkEnd w:id="54"/>
    </w:p>
    <w:p w14:paraId="57AB8256" w14:textId="77777777" w:rsidR="00A94A66" w:rsidRPr="007F3768" w:rsidRDefault="00A94A66" w:rsidP="007F3768">
      <w:pPr>
        <w:spacing w:line="480" w:lineRule="auto"/>
        <w:rPr>
          <w:rFonts w:eastAsia="Times New Roman"/>
          <w:lang w:val="fr-FR"/>
        </w:rPr>
      </w:pPr>
    </w:p>
    <w:p w14:paraId="69B400AB" w14:textId="2F2AD1EB" w:rsidR="00A94A66" w:rsidRPr="007F3768" w:rsidRDefault="00A94A66" w:rsidP="007F3768">
      <w:pPr>
        <w:spacing w:line="480" w:lineRule="auto"/>
        <w:rPr>
          <w:lang w:val="fr-FR"/>
        </w:rPr>
      </w:pPr>
      <w:r w:rsidRPr="007F3768">
        <w:rPr>
          <w:color w:val="000000"/>
          <w:lang w:val="fr-FR"/>
        </w:rPr>
        <w:t>Les parties contractantes veillent à ce que les sanctions juridiques contre la neutralisation des mesures techniques de protection efficaces n’interdisent pas ou n’empêchent pas les utilisations autorisées par les limitations et exceptions prévues par les parties contractantes conformément au présent instrument.</w:t>
      </w:r>
    </w:p>
    <w:p w14:paraId="398AA1BF" w14:textId="77777777" w:rsidR="00A94A66" w:rsidRDefault="00A94A66" w:rsidP="00737684">
      <w:pPr>
        <w:spacing w:after="240"/>
        <w:jc w:val="right"/>
        <w:rPr>
          <w:rFonts w:eastAsia="Times New Roman"/>
          <w:lang w:val="fr-FR"/>
        </w:rPr>
      </w:pPr>
    </w:p>
    <w:p w14:paraId="1F09EEE4" w14:textId="77777777" w:rsidR="00737684" w:rsidRPr="007F3768" w:rsidRDefault="00737684" w:rsidP="00737684">
      <w:pPr>
        <w:spacing w:after="240"/>
        <w:jc w:val="right"/>
        <w:rPr>
          <w:rFonts w:eastAsia="Times New Roman"/>
          <w:lang w:val="fr-FR"/>
        </w:rPr>
      </w:pPr>
    </w:p>
    <w:p w14:paraId="166BFF5F" w14:textId="2E83F741" w:rsidR="00A94A66" w:rsidRPr="007F3768" w:rsidRDefault="00A94A66" w:rsidP="007F3768">
      <w:pPr>
        <w:spacing w:after="240" w:line="480" w:lineRule="auto"/>
        <w:jc w:val="right"/>
        <w:rPr>
          <w:rFonts w:eastAsia="Times New Roman"/>
          <w:lang w:val="fr-FR"/>
        </w:rPr>
      </w:pPr>
      <w:r w:rsidRPr="007F3768">
        <w:rPr>
          <w:lang w:val="fr-FR"/>
        </w:rPr>
        <w:t>[Fin de l’article 10]</w:t>
      </w:r>
      <w:r w:rsidRPr="007F3768">
        <w:rPr>
          <w:lang w:val="fr-FR"/>
        </w:rPr>
        <w:br w:type="page"/>
      </w:r>
    </w:p>
    <w:p w14:paraId="483090F7" w14:textId="04009401" w:rsidR="00A94A66" w:rsidRPr="007F3768" w:rsidRDefault="00A94A66" w:rsidP="007F3768">
      <w:pPr>
        <w:spacing w:after="240" w:line="480" w:lineRule="auto"/>
        <w:rPr>
          <w:rFonts w:eastAsia="Times New Roman"/>
          <w:i/>
          <w:iCs/>
          <w:lang w:val="fr-FR"/>
        </w:rPr>
      </w:pPr>
      <w:r w:rsidRPr="007F3768">
        <w:rPr>
          <w:i/>
          <w:lang w:val="fr-FR"/>
        </w:rPr>
        <w:lastRenderedPageBreak/>
        <w:t>Notes explicatives relatives à l’article 11</w:t>
      </w:r>
    </w:p>
    <w:p w14:paraId="0A362914" w14:textId="30502BBA" w:rsidR="00A94A66" w:rsidRPr="007F3768" w:rsidRDefault="00A94A66" w:rsidP="007F3768">
      <w:pPr>
        <w:rPr>
          <w:rFonts w:eastAsia="Times New Roman"/>
          <w:lang w:val="fr-FR"/>
        </w:rPr>
      </w:pPr>
      <w:r w:rsidRPr="007F3768">
        <w:rPr>
          <w:lang w:val="fr-FR"/>
        </w:rPr>
        <w:t>11.01</w:t>
      </w:r>
      <w:r w:rsidRPr="007F3768">
        <w:rPr>
          <w:lang w:val="fr-FR"/>
        </w:rPr>
        <w:tab/>
        <w:t>Les dispositions de l’</w:t>
      </w:r>
      <w:r w:rsidRPr="007F3768">
        <w:rPr>
          <w:i/>
          <w:iCs/>
          <w:lang w:val="fr-FR"/>
        </w:rPr>
        <w:t>article 11</w:t>
      </w:r>
      <w:r w:rsidRPr="007F3768">
        <w:rPr>
          <w:lang w:val="fr-FR"/>
        </w:rPr>
        <w:t xml:space="preserve"> définissent des limites à la responsabilité, reprenant, par exemple, le préambule du Traité de Marrakech (“[r]</w:t>
      </w:r>
      <w:proofErr w:type="spellStart"/>
      <w:r w:rsidRPr="007F3768">
        <w:rPr>
          <w:lang w:val="fr-FR"/>
        </w:rPr>
        <w:t>éaffirmant</w:t>
      </w:r>
      <w:proofErr w:type="spellEnd"/>
      <w:r w:rsidRPr="007F3768">
        <w:rPr>
          <w:lang w:val="fr-FR"/>
        </w:rPr>
        <w:t xml:space="preserve"> les obligations qui incombent aux Parties contractantes en vertu des traités internationaux existants en matière de protection du droit d’auteur ainsi que l’importance et la souplesse du test en trois</w:t>
      </w:r>
      <w:r w:rsidR="00F309FC" w:rsidRPr="007F3768">
        <w:rPr>
          <w:lang w:val="fr-FR"/>
        </w:rPr>
        <w:t> </w:t>
      </w:r>
      <w:r w:rsidRPr="007F3768">
        <w:rPr>
          <w:lang w:val="fr-FR"/>
        </w:rPr>
        <w:t>étapes applicable aux limitations et exceptions, énoncé à l’article 9.2) de la Convention de Berne pour la protection des œuvres littéraires et artistiques et dans d’autres instruments internationaux”).</w:t>
      </w:r>
    </w:p>
    <w:p w14:paraId="5AD29378" w14:textId="77777777" w:rsidR="00A94A66" w:rsidRPr="007F3768" w:rsidRDefault="00A94A66" w:rsidP="007F3768">
      <w:pPr>
        <w:rPr>
          <w:rFonts w:eastAsia="Times New Roman"/>
          <w:lang w:val="fr-FR"/>
        </w:rPr>
      </w:pPr>
    </w:p>
    <w:p w14:paraId="5B704D11" w14:textId="4453583A" w:rsidR="00A94A66" w:rsidRPr="007F3768" w:rsidRDefault="00A94A66" w:rsidP="007F3768">
      <w:pPr>
        <w:rPr>
          <w:rFonts w:eastAsia="Times New Roman"/>
          <w:lang w:val="fr-FR"/>
        </w:rPr>
      </w:pPr>
      <w:r w:rsidRPr="007F3768">
        <w:rPr>
          <w:lang w:val="fr-FR"/>
        </w:rPr>
        <w:t>11.02</w:t>
      </w:r>
      <w:r w:rsidRPr="007F3768">
        <w:rPr>
          <w:lang w:val="fr-FR"/>
        </w:rPr>
        <w:tab/>
        <w:t>L’</w:t>
      </w:r>
      <w:r w:rsidRPr="007F3768">
        <w:rPr>
          <w:i/>
          <w:iCs/>
          <w:lang w:val="fr-FR"/>
        </w:rPr>
        <w:t>alinéa 1)</w:t>
      </w:r>
      <w:r w:rsidRPr="007F3768">
        <w:rPr>
          <w:lang w:val="fr-FR"/>
        </w:rPr>
        <w:t xml:space="preserve"> dégage de toute responsabilité une personne qui agit de bonne foi en croyant, lorsqu’il existe des motifs raisonnables de croire, que l’utilisation est autorisée par la loi ou par une licence en vigueur.</w:t>
      </w:r>
    </w:p>
    <w:p w14:paraId="7E496348" w14:textId="77777777" w:rsidR="00A94A66" w:rsidRPr="007F3768" w:rsidRDefault="00A94A66" w:rsidP="007F3768">
      <w:pPr>
        <w:rPr>
          <w:rFonts w:eastAsia="Times New Roman"/>
          <w:lang w:val="fr-FR"/>
        </w:rPr>
      </w:pPr>
    </w:p>
    <w:p w14:paraId="6072C6C0" w14:textId="77EA2D34" w:rsidR="00A94A66" w:rsidRPr="007F3768" w:rsidRDefault="00A94A66" w:rsidP="00737684">
      <w:pPr>
        <w:tabs>
          <w:tab w:val="left" w:pos="709"/>
        </w:tabs>
        <w:rPr>
          <w:rFonts w:eastAsia="Times New Roman"/>
          <w:lang w:val="fr-FR"/>
        </w:rPr>
      </w:pPr>
      <w:r w:rsidRPr="007F3768">
        <w:rPr>
          <w:lang w:val="fr-FR"/>
        </w:rPr>
        <w:t>11.03</w:t>
      </w:r>
      <w:r w:rsidRPr="007F3768">
        <w:rPr>
          <w:lang w:val="fr-FR"/>
        </w:rPr>
        <w:tab/>
        <w:t>L’</w:t>
      </w:r>
      <w:r w:rsidRPr="007F3768">
        <w:rPr>
          <w:i/>
          <w:iCs/>
          <w:lang w:val="fr-FR"/>
        </w:rPr>
        <w:t>alinéa 2)</w:t>
      </w:r>
      <w:r w:rsidRPr="007F3768">
        <w:rPr>
          <w:lang w:val="fr-FR"/>
        </w:rPr>
        <w:t xml:space="preserve"> exonère les institutions de toute responsabilité pour les actes de leurs utilisateurs, lorsque la partie contractante prévoit une responsabilité subsidiaire.</w:t>
      </w:r>
    </w:p>
    <w:p w14:paraId="2E3FAEDC" w14:textId="77777777" w:rsidR="00A94A66" w:rsidRPr="007F3768" w:rsidRDefault="00A94A66" w:rsidP="007F3768">
      <w:pPr>
        <w:rPr>
          <w:rFonts w:eastAsia="Times New Roman"/>
          <w:lang w:val="fr-FR"/>
        </w:rPr>
      </w:pPr>
    </w:p>
    <w:p w14:paraId="5C23F21B" w14:textId="77777777" w:rsidR="00A94A66" w:rsidRPr="007F3768" w:rsidRDefault="00A94A66" w:rsidP="007F3768">
      <w:pPr>
        <w:rPr>
          <w:rFonts w:eastAsia="Times New Roman"/>
          <w:lang w:val="fr-FR"/>
        </w:rPr>
      </w:pPr>
    </w:p>
    <w:p w14:paraId="6A0BDAE2" w14:textId="24D95E43" w:rsidR="00A94A66" w:rsidRPr="007F3768" w:rsidRDefault="00A94A66" w:rsidP="007F3768">
      <w:pPr>
        <w:jc w:val="right"/>
        <w:rPr>
          <w:lang w:val="fr-FR"/>
        </w:rPr>
      </w:pPr>
      <w:r w:rsidRPr="007F3768">
        <w:rPr>
          <w:lang w:val="fr-FR"/>
        </w:rPr>
        <w:t>[Fin des notes explicatives relatives à l’article 11]</w:t>
      </w:r>
      <w:r w:rsidRPr="007F3768">
        <w:rPr>
          <w:lang w:val="fr-FR"/>
        </w:rPr>
        <w:br w:type="page"/>
      </w:r>
    </w:p>
    <w:p w14:paraId="2E82D092" w14:textId="77777777" w:rsidR="00A94A66" w:rsidRPr="007F3768" w:rsidRDefault="00A94A66" w:rsidP="007F3768">
      <w:pPr>
        <w:pStyle w:val="Heading1"/>
        <w:spacing w:after="0"/>
        <w:rPr>
          <w:lang w:val="fr-FR"/>
        </w:rPr>
      </w:pPr>
      <w:bookmarkStart w:id="55" w:name="_Toc211333632"/>
      <w:bookmarkStart w:id="56" w:name="_Toc211506806"/>
      <w:bookmarkStart w:id="57" w:name="_Toc213249009"/>
      <w:r w:rsidRPr="007F3768">
        <w:rPr>
          <w:lang w:val="fr-FR"/>
        </w:rPr>
        <w:lastRenderedPageBreak/>
        <w:t>Article 11</w:t>
      </w:r>
      <w:bookmarkEnd w:id="55"/>
      <w:bookmarkEnd w:id="56"/>
      <w:bookmarkEnd w:id="57"/>
    </w:p>
    <w:p w14:paraId="7A15C2DF" w14:textId="77777777" w:rsidR="00A94A66" w:rsidRPr="007F3768" w:rsidRDefault="00A94A66" w:rsidP="007F3768">
      <w:pPr>
        <w:pStyle w:val="Heading1"/>
        <w:spacing w:after="0"/>
        <w:rPr>
          <w:color w:val="000000"/>
          <w:lang w:val="fr-FR"/>
        </w:rPr>
      </w:pPr>
      <w:bookmarkStart w:id="58" w:name="_Toc211333633"/>
      <w:bookmarkStart w:id="59" w:name="_Toc211506807"/>
      <w:bookmarkStart w:id="60" w:name="_Toc213249010"/>
      <w:r w:rsidRPr="007F3768">
        <w:rPr>
          <w:color w:val="000000"/>
          <w:lang w:val="fr-FR"/>
        </w:rPr>
        <w:t>Limitation de responsabilité</w:t>
      </w:r>
      <w:bookmarkEnd w:id="58"/>
      <w:bookmarkEnd w:id="59"/>
      <w:bookmarkEnd w:id="60"/>
    </w:p>
    <w:p w14:paraId="153A248C" w14:textId="77777777" w:rsidR="00A94A66" w:rsidRPr="007F3768" w:rsidRDefault="00A94A66" w:rsidP="007F3768">
      <w:pPr>
        <w:rPr>
          <w:rFonts w:eastAsia="Times New Roman"/>
          <w:lang w:val="fr-FR"/>
        </w:rPr>
      </w:pPr>
    </w:p>
    <w:p w14:paraId="08FAD71B" w14:textId="13D5CE31" w:rsidR="00A94A66" w:rsidRPr="007F3768" w:rsidRDefault="00A94A66" w:rsidP="007F3768">
      <w:pPr>
        <w:spacing w:line="480" w:lineRule="auto"/>
        <w:rPr>
          <w:color w:val="000000"/>
          <w:lang w:val="fr-FR"/>
        </w:rPr>
      </w:pPr>
      <w:r w:rsidRPr="007F3768">
        <w:rPr>
          <w:color w:val="000000"/>
          <w:lang w:val="fr-FR"/>
        </w:rPr>
        <w:t xml:space="preserve">1. </w:t>
      </w:r>
      <w:r w:rsidR="00F309FC" w:rsidRPr="007F3768">
        <w:rPr>
          <w:color w:val="000000"/>
          <w:lang w:val="fr-FR"/>
        </w:rPr>
        <w:t xml:space="preserve"> </w:t>
      </w:r>
      <w:r w:rsidRPr="007F3768">
        <w:rPr>
          <w:color w:val="000000"/>
          <w:lang w:val="fr-FR"/>
        </w:rPr>
        <w:t>Toute personne utilisant une œuvre ou tout autre objet dans un but encouragé par le présent instrument est protégée contre les demandes de dommages</w:t>
      </w:r>
      <w:r w:rsidR="007F3768">
        <w:rPr>
          <w:color w:val="000000"/>
          <w:lang w:val="fr-FR"/>
        </w:rPr>
        <w:noBreakHyphen/>
      </w:r>
      <w:r w:rsidRPr="007F3768">
        <w:rPr>
          <w:color w:val="000000"/>
          <w:lang w:val="fr-FR"/>
        </w:rPr>
        <w:t>intérêts et la responsabilité pénale lorsque l’action est effectuée de bonne foi avec la conviction, lorsqu’il existe des motifs raisonnables de croire, que l’utilisation est autorisée par la loi ou par une licence en vigueur.</w:t>
      </w:r>
    </w:p>
    <w:p w14:paraId="2B1D61B4" w14:textId="2FE1EAD6" w:rsidR="00A94A66" w:rsidRPr="007F3768" w:rsidRDefault="00A94A66" w:rsidP="007F3768">
      <w:pPr>
        <w:spacing w:line="480" w:lineRule="auto"/>
        <w:rPr>
          <w:rFonts w:eastAsia="Times New Roman"/>
          <w:lang w:val="fr-FR"/>
        </w:rPr>
      </w:pPr>
    </w:p>
    <w:p w14:paraId="2139EF6A" w14:textId="7E4F721F" w:rsidR="00A94A66" w:rsidRPr="007F3768" w:rsidRDefault="00A94A66" w:rsidP="007F3768">
      <w:pPr>
        <w:spacing w:line="480" w:lineRule="auto"/>
        <w:rPr>
          <w:lang w:val="fr-FR"/>
        </w:rPr>
      </w:pPr>
      <w:r w:rsidRPr="007F3768">
        <w:rPr>
          <w:color w:val="000000"/>
          <w:lang w:val="fr-FR"/>
        </w:rPr>
        <w:t xml:space="preserve">2. </w:t>
      </w:r>
      <w:r w:rsidR="00F309FC" w:rsidRPr="007F3768">
        <w:rPr>
          <w:color w:val="000000"/>
          <w:lang w:val="fr-FR"/>
        </w:rPr>
        <w:t xml:space="preserve"> </w:t>
      </w:r>
      <w:r w:rsidRPr="007F3768">
        <w:rPr>
          <w:color w:val="000000"/>
          <w:lang w:val="fr-FR"/>
        </w:rPr>
        <w:t>Lorsqu’une partie contractante prévoit des dispositifs pour la responsabilité indirecte, les établissements d’enseignement, les instituts de recherche et les institutions chargées du patrimoine culturel sont exonérés de toute responsabilité pour les actes de leurs utilisateurs.</w:t>
      </w:r>
    </w:p>
    <w:p w14:paraId="46A271C0" w14:textId="77777777" w:rsidR="00A94A66" w:rsidRDefault="00A94A66" w:rsidP="00737684">
      <w:pPr>
        <w:spacing w:line="480" w:lineRule="auto"/>
        <w:jc w:val="right"/>
        <w:rPr>
          <w:rFonts w:eastAsia="Times New Roman"/>
          <w:color w:val="000000"/>
          <w:lang w:val="fr-FR"/>
        </w:rPr>
      </w:pPr>
    </w:p>
    <w:p w14:paraId="319619CF" w14:textId="77777777" w:rsidR="00737684" w:rsidRPr="00737684" w:rsidRDefault="00737684" w:rsidP="00737684">
      <w:pPr>
        <w:spacing w:line="480" w:lineRule="auto"/>
        <w:jc w:val="right"/>
        <w:rPr>
          <w:rFonts w:eastAsia="Times New Roman"/>
          <w:color w:val="000000"/>
          <w:lang w:val="fr-FR"/>
        </w:rPr>
      </w:pPr>
    </w:p>
    <w:p w14:paraId="60F2AE16" w14:textId="776DE106" w:rsidR="00A94A66" w:rsidRPr="007F3768" w:rsidRDefault="00A94A66" w:rsidP="007F3768">
      <w:pPr>
        <w:jc w:val="right"/>
        <w:rPr>
          <w:rFonts w:eastAsia="Times New Roman"/>
          <w:color w:val="000000"/>
          <w:lang w:val="fr-FR"/>
        </w:rPr>
      </w:pPr>
      <w:r w:rsidRPr="007F3768">
        <w:rPr>
          <w:color w:val="000000"/>
          <w:lang w:val="fr-FR"/>
        </w:rPr>
        <w:t>[Fin de l’article 11]</w:t>
      </w:r>
      <w:r w:rsidRPr="007F3768">
        <w:rPr>
          <w:lang w:val="fr-FR"/>
        </w:rPr>
        <w:br w:type="page"/>
      </w:r>
    </w:p>
    <w:p w14:paraId="590D6BF1" w14:textId="4207FFD9" w:rsidR="00A94A66" w:rsidRPr="007F3768" w:rsidRDefault="00A94A66" w:rsidP="007F3768">
      <w:pPr>
        <w:rPr>
          <w:rFonts w:eastAsia="Times New Roman"/>
          <w:i/>
          <w:iCs/>
          <w:color w:val="000000"/>
          <w:lang w:val="fr-FR"/>
        </w:rPr>
      </w:pPr>
      <w:r w:rsidRPr="007F3768">
        <w:rPr>
          <w:i/>
          <w:color w:val="000000"/>
          <w:lang w:val="fr-FR"/>
        </w:rPr>
        <w:lastRenderedPageBreak/>
        <w:t>Notes explicatives relatives à l’article 12</w:t>
      </w:r>
    </w:p>
    <w:p w14:paraId="72F2D03E" w14:textId="4DBAED1F" w:rsidR="00A94A66" w:rsidRPr="007F3768" w:rsidRDefault="00A94A66" w:rsidP="007F3768">
      <w:pPr>
        <w:rPr>
          <w:lang w:val="fr-FR"/>
        </w:rPr>
      </w:pPr>
      <w:bookmarkStart w:id="61" w:name="__RefHeading___Toc1240_1277433112"/>
      <w:bookmarkEnd w:id="61"/>
    </w:p>
    <w:p w14:paraId="682BD69A" w14:textId="705F46CD" w:rsidR="00A94A66" w:rsidRPr="007F3768" w:rsidRDefault="00A94A66" w:rsidP="00737684">
      <w:pPr>
        <w:tabs>
          <w:tab w:val="left" w:pos="709"/>
        </w:tabs>
        <w:rPr>
          <w:lang w:val="fr-FR"/>
        </w:rPr>
      </w:pPr>
      <w:bookmarkStart w:id="62" w:name="__RefHeading___Toc1242_1277433112"/>
      <w:bookmarkEnd w:id="62"/>
      <w:r w:rsidRPr="007F3768">
        <w:rPr>
          <w:lang w:val="fr-FR"/>
        </w:rPr>
        <w:t>12.01</w:t>
      </w:r>
      <w:r w:rsidRPr="007F3768">
        <w:rPr>
          <w:lang w:val="fr-FR"/>
        </w:rPr>
        <w:tab/>
        <w:t>L’</w:t>
      </w:r>
      <w:r w:rsidRPr="007F3768">
        <w:rPr>
          <w:i/>
          <w:iCs/>
          <w:lang w:val="fr-FR"/>
        </w:rPr>
        <w:t>a</w:t>
      </w:r>
      <w:r w:rsidRPr="007F3768">
        <w:rPr>
          <w:i/>
          <w:lang w:val="fr-FR"/>
        </w:rPr>
        <w:t xml:space="preserve">rticle </w:t>
      </w:r>
      <w:r w:rsidRPr="007F3768">
        <w:rPr>
          <w:lang w:val="fr-FR"/>
        </w:rPr>
        <w:t>prévoit l’interprétation du test en trois</w:t>
      </w:r>
      <w:r w:rsidR="00F309FC" w:rsidRPr="007F3768">
        <w:rPr>
          <w:lang w:val="fr-FR"/>
        </w:rPr>
        <w:t> </w:t>
      </w:r>
      <w:r w:rsidRPr="007F3768">
        <w:rPr>
          <w:lang w:val="fr-FR"/>
        </w:rPr>
        <w:t>étapes, sur la base de la proposition présentée par l’Équateur, le Pérou et l’Uruguay dans le document</w:t>
      </w:r>
      <w:r w:rsidR="007F3768">
        <w:rPr>
          <w:lang w:val="fr-FR"/>
        </w:rPr>
        <w:t> </w:t>
      </w:r>
      <w:r w:rsidRPr="007F3768">
        <w:rPr>
          <w:lang w:val="fr-FR"/>
        </w:rPr>
        <w:t>SCCR/26/4</w:t>
      </w:r>
      <w:r w:rsidR="00F309FC" w:rsidRPr="007F3768">
        <w:rPr>
          <w:lang w:val="fr-FR"/>
        </w:rPr>
        <w:t> </w:t>
      </w:r>
      <w:r w:rsidRPr="007F3768">
        <w:rPr>
          <w:lang w:val="fr-FR"/>
        </w:rPr>
        <w:t>Prov.</w:t>
      </w:r>
    </w:p>
    <w:p w14:paraId="74D4CA5A" w14:textId="77777777" w:rsidR="00A94A66" w:rsidRPr="007F3768" w:rsidRDefault="00A94A66" w:rsidP="00737684">
      <w:pPr>
        <w:tabs>
          <w:tab w:val="left" w:pos="709"/>
        </w:tabs>
        <w:rPr>
          <w:lang w:val="fr-FR"/>
        </w:rPr>
      </w:pPr>
    </w:p>
    <w:p w14:paraId="2263DAEE" w14:textId="69483C0C" w:rsidR="00A94A66" w:rsidRPr="007F3768" w:rsidRDefault="00A94A66" w:rsidP="00737684">
      <w:pPr>
        <w:tabs>
          <w:tab w:val="left" w:pos="709"/>
        </w:tabs>
        <w:rPr>
          <w:lang w:val="fr-FR"/>
        </w:rPr>
      </w:pPr>
      <w:bookmarkStart w:id="63" w:name="__RefHeading___Toc1244_1277433112"/>
      <w:bookmarkEnd w:id="63"/>
      <w:r w:rsidRPr="007F3768">
        <w:rPr>
          <w:lang w:val="fr-FR"/>
        </w:rPr>
        <w:t>12.02</w:t>
      </w:r>
      <w:r w:rsidRPr="007F3768">
        <w:rPr>
          <w:lang w:val="fr-FR"/>
        </w:rPr>
        <w:tab/>
        <w:t>L’</w:t>
      </w:r>
      <w:r w:rsidRPr="007F3768">
        <w:rPr>
          <w:i/>
          <w:lang w:val="fr-FR"/>
        </w:rPr>
        <w:t xml:space="preserve">article premier </w:t>
      </w:r>
      <w:r w:rsidRPr="007F3768">
        <w:rPr>
          <w:lang w:val="fr-FR"/>
        </w:rPr>
        <w:t>prévoit une approche fondée sur l’intérêt public dans l’application du test en trois</w:t>
      </w:r>
      <w:r w:rsidR="00F309FC" w:rsidRPr="007F3768">
        <w:rPr>
          <w:lang w:val="fr-FR"/>
        </w:rPr>
        <w:t> </w:t>
      </w:r>
      <w:r w:rsidRPr="007F3768">
        <w:rPr>
          <w:lang w:val="fr-FR"/>
        </w:rPr>
        <w:t>étap</w:t>
      </w:r>
      <w:r w:rsidR="00F42729" w:rsidRPr="007F3768">
        <w:rPr>
          <w:lang w:val="fr-FR"/>
        </w:rPr>
        <w:t>es.  Il</w:t>
      </w:r>
      <w:r w:rsidRPr="007F3768">
        <w:rPr>
          <w:lang w:val="fr-FR"/>
        </w:rPr>
        <w:t xml:space="preserve"> suit de près, par exemple, le préambule du Traité de Marrakech (“[r]</w:t>
      </w:r>
      <w:proofErr w:type="spellStart"/>
      <w:r w:rsidRPr="007F3768">
        <w:rPr>
          <w:lang w:val="fr-FR"/>
        </w:rPr>
        <w:t>éaffirmant</w:t>
      </w:r>
      <w:proofErr w:type="spellEnd"/>
      <w:r w:rsidRPr="007F3768">
        <w:rPr>
          <w:lang w:val="fr-FR"/>
        </w:rPr>
        <w:t xml:space="preserve"> les obligations qui incombent aux Parties contractantes en vertu des traités internationaux existants en matière de protection du droit d’auteur ainsi que l’importance et la souplesse du test en </w:t>
      </w:r>
      <w:proofErr w:type="gramStart"/>
      <w:r w:rsidRPr="007F3768">
        <w:rPr>
          <w:lang w:val="fr-FR"/>
        </w:rPr>
        <w:t>trois</w:t>
      </w:r>
      <w:r w:rsidR="00F309FC" w:rsidRPr="007F3768">
        <w:rPr>
          <w:lang w:val="fr-FR"/>
        </w:rPr>
        <w:t> </w:t>
      </w:r>
      <w:r w:rsidRPr="007F3768">
        <w:rPr>
          <w:lang w:val="fr-FR"/>
        </w:rPr>
        <w:t>étapes applicable</w:t>
      </w:r>
      <w:proofErr w:type="gramEnd"/>
      <w:r w:rsidRPr="007F3768">
        <w:rPr>
          <w:lang w:val="fr-FR"/>
        </w:rPr>
        <w:t xml:space="preserve"> aux limitations et exceptions, énoncé à l’article 9.2) de la Convention de Berne pour la protection des œuvres littéraires et artistiques et dans d’autres instruments internationaux”).</w:t>
      </w:r>
    </w:p>
    <w:p w14:paraId="6BD2963A" w14:textId="77777777" w:rsidR="00A94A66" w:rsidRPr="007F3768" w:rsidRDefault="00A94A66" w:rsidP="00737684">
      <w:pPr>
        <w:tabs>
          <w:tab w:val="left" w:pos="709"/>
        </w:tabs>
        <w:rPr>
          <w:lang w:val="fr-FR"/>
        </w:rPr>
      </w:pPr>
    </w:p>
    <w:p w14:paraId="08DA3100" w14:textId="69D9A541" w:rsidR="00A94A66" w:rsidRPr="007F3768" w:rsidRDefault="00A94A66" w:rsidP="00737684">
      <w:pPr>
        <w:tabs>
          <w:tab w:val="left" w:pos="709"/>
        </w:tabs>
        <w:rPr>
          <w:lang w:val="fr-FR"/>
        </w:rPr>
      </w:pPr>
      <w:bookmarkStart w:id="64" w:name="__RefHeading___Toc1246_1277433112"/>
      <w:bookmarkEnd w:id="64"/>
      <w:r w:rsidRPr="007F3768">
        <w:rPr>
          <w:lang w:val="fr-FR"/>
        </w:rPr>
        <w:t>12.03</w:t>
      </w:r>
      <w:r w:rsidRPr="007F3768">
        <w:rPr>
          <w:lang w:val="fr-FR"/>
        </w:rPr>
        <w:tab/>
      </w:r>
      <w:r w:rsidRPr="007F3768">
        <w:rPr>
          <w:i/>
          <w:lang w:val="fr-FR"/>
        </w:rPr>
        <w:t xml:space="preserve">Enfin, </w:t>
      </w:r>
      <w:r w:rsidRPr="007F3768">
        <w:rPr>
          <w:lang w:val="fr-FR"/>
        </w:rPr>
        <w:t>les “intérêts légitimes” des titulaires de droits ne s’étendent pas à toute utilisation n’ayant pas d’effet substantiel sur le marché visé pour une œuvre ou tout autre objet protégé.</w:t>
      </w:r>
    </w:p>
    <w:p w14:paraId="35967F47" w14:textId="77777777" w:rsidR="00A94A66" w:rsidRDefault="00A94A66" w:rsidP="007F3768">
      <w:pPr>
        <w:rPr>
          <w:lang w:val="fr-FR"/>
        </w:rPr>
      </w:pPr>
    </w:p>
    <w:p w14:paraId="64192D49" w14:textId="77777777" w:rsidR="00737684" w:rsidRPr="007F3768" w:rsidRDefault="00737684" w:rsidP="007F3768">
      <w:pPr>
        <w:rPr>
          <w:lang w:val="fr-FR"/>
        </w:rPr>
      </w:pPr>
    </w:p>
    <w:p w14:paraId="699D9C0F" w14:textId="373924B8" w:rsidR="00A94A66" w:rsidRPr="007F3768" w:rsidRDefault="00A94A66" w:rsidP="007F3768">
      <w:pPr>
        <w:jc w:val="right"/>
        <w:rPr>
          <w:lang w:val="fr-FR"/>
        </w:rPr>
      </w:pPr>
      <w:r w:rsidRPr="007F3768">
        <w:rPr>
          <w:lang w:val="fr-FR"/>
        </w:rPr>
        <w:t>[Fin des notes explicatives relatives à l’article 12]</w:t>
      </w:r>
      <w:r w:rsidRPr="007F3768">
        <w:rPr>
          <w:lang w:val="fr-FR"/>
        </w:rPr>
        <w:br w:type="page"/>
      </w:r>
    </w:p>
    <w:p w14:paraId="5E460ABD" w14:textId="77777777" w:rsidR="00A94A66" w:rsidRPr="007F3768" w:rsidRDefault="00A94A66" w:rsidP="007F3768">
      <w:pPr>
        <w:pStyle w:val="Heading1"/>
        <w:spacing w:after="0"/>
        <w:rPr>
          <w:color w:val="000000"/>
          <w:lang w:val="fr-FR"/>
        </w:rPr>
      </w:pPr>
      <w:bookmarkStart w:id="65" w:name="_Toc211333634"/>
      <w:bookmarkStart w:id="66" w:name="_Toc211506808"/>
      <w:bookmarkStart w:id="67" w:name="_Toc213249011"/>
      <w:r w:rsidRPr="007F3768">
        <w:rPr>
          <w:lang w:val="fr-FR"/>
        </w:rPr>
        <w:lastRenderedPageBreak/>
        <w:t>Article 12</w:t>
      </w:r>
      <w:bookmarkEnd w:id="65"/>
      <w:bookmarkEnd w:id="66"/>
      <w:bookmarkEnd w:id="67"/>
    </w:p>
    <w:p w14:paraId="4016D265" w14:textId="1334769F" w:rsidR="00A94A66" w:rsidRPr="007F3768" w:rsidRDefault="00A94A66" w:rsidP="007F3768">
      <w:pPr>
        <w:pStyle w:val="Heading1"/>
        <w:spacing w:after="0"/>
        <w:rPr>
          <w:lang w:val="fr-FR"/>
        </w:rPr>
      </w:pPr>
      <w:bookmarkStart w:id="68" w:name="_Toc211333635"/>
      <w:bookmarkStart w:id="69" w:name="_Toc211506809"/>
      <w:bookmarkStart w:id="70" w:name="_Toc213249012"/>
      <w:r w:rsidRPr="007F3768">
        <w:rPr>
          <w:color w:val="000000"/>
          <w:lang w:val="fr-FR"/>
        </w:rPr>
        <w:t>Interprétation du test en trois</w:t>
      </w:r>
      <w:r w:rsidR="00F309FC" w:rsidRPr="007F3768">
        <w:rPr>
          <w:color w:val="000000"/>
          <w:lang w:val="fr-FR"/>
        </w:rPr>
        <w:t> </w:t>
      </w:r>
      <w:r w:rsidRPr="007F3768">
        <w:rPr>
          <w:color w:val="000000"/>
          <w:lang w:val="fr-FR"/>
        </w:rPr>
        <w:t>étapes</w:t>
      </w:r>
      <w:bookmarkEnd w:id="68"/>
      <w:bookmarkEnd w:id="69"/>
      <w:bookmarkEnd w:id="70"/>
    </w:p>
    <w:p w14:paraId="46924F72" w14:textId="77777777" w:rsidR="00A94A66" w:rsidRPr="007F3768" w:rsidRDefault="00A94A66" w:rsidP="007F3768">
      <w:pPr>
        <w:spacing w:line="480" w:lineRule="auto"/>
        <w:rPr>
          <w:rFonts w:eastAsia="Times New Roman"/>
          <w:lang w:val="fr-FR"/>
        </w:rPr>
      </w:pPr>
    </w:p>
    <w:p w14:paraId="14E700AB" w14:textId="6CE60E3C" w:rsidR="00A94A66" w:rsidRPr="007F3768" w:rsidRDefault="00A94A66" w:rsidP="007F3768">
      <w:pPr>
        <w:spacing w:line="480" w:lineRule="auto"/>
        <w:rPr>
          <w:color w:val="000000"/>
          <w:lang w:val="fr-FR"/>
        </w:rPr>
      </w:pPr>
      <w:r w:rsidRPr="007F3768">
        <w:rPr>
          <w:color w:val="000000"/>
          <w:lang w:val="fr-FR"/>
        </w:rPr>
        <w:t>1.</w:t>
      </w:r>
      <w:r w:rsidR="00F309FC" w:rsidRPr="007F3768">
        <w:rPr>
          <w:color w:val="000000"/>
          <w:lang w:val="fr-FR"/>
        </w:rPr>
        <w:t xml:space="preserve"> </w:t>
      </w:r>
      <w:r w:rsidRPr="007F3768">
        <w:rPr>
          <w:color w:val="000000"/>
          <w:lang w:val="fr-FR"/>
        </w:rPr>
        <w:t xml:space="preserve"> Dans l’application de l’article 9.2) de la Convention de Berne, de l’article 10 du Traité de l’</w:t>
      </w:r>
      <w:proofErr w:type="spellStart"/>
      <w:r w:rsidRPr="007F3768">
        <w:rPr>
          <w:color w:val="000000"/>
          <w:lang w:val="fr-FR"/>
        </w:rPr>
        <w:t>OMPI</w:t>
      </w:r>
      <w:proofErr w:type="spellEnd"/>
      <w:r w:rsidRPr="007F3768">
        <w:rPr>
          <w:color w:val="000000"/>
          <w:lang w:val="fr-FR"/>
        </w:rPr>
        <w:t xml:space="preserve"> sur le droit d’auteur, de l’article 16 du Traité de l’</w:t>
      </w:r>
      <w:proofErr w:type="spellStart"/>
      <w:r w:rsidRPr="007F3768">
        <w:rPr>
          <w:color w:val="000000"/>
          <w:lang w:val="fr-FR"/>
        </w:rPr>
        <w:t>OMPI</w:t>
      </w:r>
      <w:proofErr w:type="spellEnd"/>
      <w:r w:rsidRPr="007F3768">
        <w:rPr>
          <w:color w:val="000000"/>
          <w:lang w:val="fr-FR"/>
        </w:rPr>
        <w:t xml:space="preserve"> sur les interprétations et exécutions et les phonogrammes ou de l’article 13 de l’Accord de l’OMC sur les aspects des droits de propriété intellectuelle qui touchent au commerce, rien n’empêche les parties contractantes d’interpréter le test en trois</w:t>
      </w:r>
      <w:r w:rsidR="00F309FC" w:rsidRPr="007F3768">
        <w:rPr>
          <w:color w:val="000000"/>
          <w:lang w:val="fr-FR"/>
        </w:rPr>
        <w:t> </w:t>
      </w:r>
      <w:r w:rsidRPr="007F3768">
        <w:rPr>
          <w:color w:val="000000"/>
          <w:lang w:val="fr-FR"/>
        </w:rPr>
        <w:t>étapes d’une manière respectueuse des intérêts légitimes, notamment des tiers, découlant des besoins en matière d’éducation et de recherche et des autres droits de l’homme et libertés fondamentales, ainsi que des autres intérêts publics, tels que la nécessité d’assurer le progrès scientifique et le développement culturel, éducatif, social ou économique, la protection de la concurrence et celle des marchés secondaires.</w:t>
      </w:r>
    </w:p>
    <w:p w14:paraId="46F38EA5" w14:textId="1A1AE59A" w:rsidR="00A94A66" w:rsidRPr="007F3768" w:rsidRDefault="00A94A66" w:rsidP="007F3768">
      <w:pPr>
        <w:spacing w:line="480" w:lineRule="auto"/>
        <w:rPr>
          <w:rFonts w:eastAsia="Times New Roman"/>
          <w:lang w:val="fr-FR"/>
        </w:rPr>
      </w:pPr>
    </w:p>
    <w:p w14:paraId="08B42464" w14:textId="70A72975" w:rsidR="00A94A66" w:rsidRPr="007F3768" w:rsidRDefault="00A94A66" w:rsidP="007F3768">
      <w:pPr>
        <w:spacing w:line="480" w:lineRule="auto"/>
        <w:rPr>
          <w:rFonts w:eastAsia="Times New Roman"/>
          <w:color w:val="000000"/>
          <w:lang w:val="fr-FR"/>
        </w:rPr>
      </w:pPr>
      <w:r w:rsidRPr="007F3768">
        <w:rPr>
          <w:color w:val="000000"/>
          <w:lang w:val="fr-FR"/>
        </w:rPr>
        <w:t>2.</w:t>
      </w:r>
      <w:r w:rsidR="00F309FC" w:rsidRPr="007F3768">
        <w:rPr>
          <w:color w:val="000000"/>
          <w:lang w:val="fr-FR"/>
        </w:rPr>
        <w:t xml:space="preserve"> </w:t>
      </w:r>
      <w:r w:rsidRPr="007F3768">
        <w:rPr>
          <w:color w:val="000000"/>
          <w:lang w:val="fr-FR"/>
        </w:rPr>
        <w:t xml:space="preserve"> Les intérêts légitimes d’un titulaire de droits ne s’étendent pas à toute utilisation n’ayant pas d’effet substantiel sur le marché visé pour une œuvre ou tout autre objet protégé.</w:t>
      </w:r>
    </w:p>
    <w:p w14:paraId="7F3325FD" w14:textId="519FDB6E" w:rsidR="000F5E56" w:rsidRPr="007F3768" w:rsidRDefault="00A94A66" w:rsidP="007F3768">
      <w:pPr>
        <w:pStyle w:val="Endofdocument-Annex"/>
      </w:pPr>
      <w:r w:rsidRPr="007F3768">
        <w:t>[Fin du document]</w:t>
      </w:r>
    </w:p>
    <w:sectPr w:rsidR="000F5E56" w:rsidRPr="007F3768" w:rsidSect="007F3768">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54BB" w14:textId="77777777" w:rsidR="00807B43" w:rsidRDefault="00807B43">
      <w:r>
        <w:separator/>
      </w:r>
    </w:p>
  </w:endnote>
  <w:endnote w:type="continuationSeparator" w:id="0">
    <w:p w14:paraId="31AD9BAB" w14:textId="77777777" w:rsidR="00807B43" w:rsidRPr="009D30E6" w:rsidRDefault="00807B43" w:rsidP="00D45252">
      <w:pPr>
        <w:rPr>
          <w:sz w:val="17"/>
          <w:szCs w:val="17"/>
        </w:rPr>
      </w:pPr>
      <w:r w:rsidRPr="009D30E6">
        <w:rPr>
          <w:sz w:val="17"/>
          <w:szCs w:val="17"/>
        </w:rPr>
        <w:separator/>
      </w:r>
    </w:p>
    <w:p w14:paraId="6C39CEE1" w14:textId="77777777" w:rsidR="00807B43" w:rsidRPr="009D30E6" w:rsidRDefault="00807B43" w:rsidP="00D45252">
      <w:pPr>
        <w:spacing w:after="60"/>
        <w:rPr>
          <w:sz w:val="17"/>
          <w:szCs w:val="17"/>
        </w:rPr>
      </w:pPr>
      <w:r w:rsidRPr="009D30E6">
        <w:rPr>
          <w:sz w:val="17"/>
          <w:szCs w:val="17"/>
        </w:rPr>
        <w:t>[Suite de la note de la page précédente]</w:t>
      </w:r>
    </w:p>
  </w:endnote>
  <w:endnote w:type="continuationNotice" w:id="1">
    <w:p w14:paraId="3DD5A176" w14:textId="77777777" w:rsidR="00807B43" w:rsidRPr="009D30E6" w:rsidRDefault="00807B4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4864" w14:textId="77777777" w:rsidR="00807B43" w:rsidRDefault="00807B43">
      <w:r>
        <w:separator/>
      </w:r>
    </w:p>
  </w:footnote>
  <w:footnote w:type="continuationSeparator" w:id="0">
    <w:p w14:paraId="34A627D1" w14:textId="77777777" w:rsidR="00807B43" w:rsidRDefault="00807B43" w:rsidP="007461F1">
      <w:r>
        <w:separator/>
      </w:r>
    </w:p>
    <w:p w14:paraId="65523D96" w14:textId="77777777" w:rsidR="00807B43" w:rsidRPr="009D30E6" w:rsidRDefault="00807B43" w:rsidP="007461F1">
      <w:pPr>
        <w:spacing w:after="60"/>
        <w:rPr>
          <w:sz w:val="17"/>
          <w:szCs w:val="17"/>
        </w:rPr>
      </w:pPr>
      <w:r w:rsidRPr="009D30E6">
        <w:rPr>
          <w:sz w:val="17"/>
          <w:szCs w:val="17"/>
        </w:rPr>
        <w:t>[Suite de la note de la page précédente]</w:t>
      </w:r>
    </w:p>
  </w:footnote>
  <w:footnote w:type="continuationNotice" w:id="1">
    <w:p w14:paraId="015A6581" w14:textId="77777777" w:rsidR="00807B43" w:rsidRPr="009D30E6" w:rsidRDefault="00807B43" w:rsidP="007461F1">
      <w:pPr>
        <w:spacing w:before="60"/>
        <w:jc w:val="right"/>
        <w:rPr>
          <w:sz w:val="17"/>
          <w:szCs w:val="17"/>
        </w:rPr>
      </w:pPr>
      <w:r w:rsidRPr="009D30E6">
        <w:rPr>
          <w:sz w:val="17"/>
          <w:szCs w:val="17"/>
        </w:rPr>
        <w:t>[Suite de</w:t>
      </w:r>
      <w:r w:rsidRPr="009D30E6">
        <w:rPr>
          <w:sz w:val="17"/>
          <w:szCs w:val="17"/>
        </w:rPr>
        <w:t xml:space="preserv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450A" w14:textId="5CFA1561" w:rsidR="00F16975" w:rsidRDefault="00807B43" w:rsidP="00477D6B">
    <w:pPr>
      <w:jc w:val="right"/>
    </w:pPr>
    <w:bookmarkStart w:id="71" w:name="Code2"/>
    <w:bookmarkEnd w:id="71"/>
    <w:r>
      <w:t>SCCR/47/5</w:t>
    </w:r>
  </w:p>
  <w:p w14:paraId="68366AC5" w14:textId="77777777" w:rsidR="004F4E31" w:rsidRDefault="00F16975" w:rsidP="005A73EA">
    <w:pPr>
      <w:spacing w:after="480"/>
      <w:jc w:val="right"/>
    </w:pPr>
    <w:proofErr w:type="gramStart"/>
    <w:r>
      <w:t>page</w:t>
    </w:r>
    <w:proofErr w:type="gramEnd"/>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56089"/>
    <w:multiLevelType w:val="multilevel"/>
    <w:tmpl w:val="930CB99C"/>
    <w:lvl w:ilvl="0">
      <w:start w:val="1"/>
      <w:numFmt w:val="lowerLetter"/>
      <w:lvlText w:val="%1)"/>
      <w:lvlJc w:val="left"/>
      <w:pPr>
        <w:tabs>
          <w:tab w:val="num" w:pos="0"/>
        </w:tabs>
        <w:ind w:left="1080" w:hanging="360"/>
      </w:pPr>
      <w:rPr>
        <w:rFonts w:ascii="Arial" w:hAnsi="Arial" w:cs="Arial" w:hint="default"/>
      </w:rPr>
    </w:lvl>
    <w:lvl w:ilvl="1">
      <w:start w:val="1"/>
      <w:numFmt w:val="lowerRoman"/>
      <w:lvlText w:val="%2."/>
      <w:lvlJc w:val="left"/>
      <w:pPr>
        <w:tabs>
          <w:tab w:val="num" w:pos="0"/>
        </w:tabs>
        <w:ind w:left="1800" w:hanging="360"/>
      </w:pPr>
      <w:rPr>
        <w:rFonts w:ascii="Arial" w:hAnsi="Arial" w:cs="Aria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E42877"/>
    <w:multiLevelType w:val="multilevel"/>
    <w:tmpl w:val="3E221F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C417EB"/>
    <w:multiLevelType w:val="multilevel"/>
    <w:tmpl w:val="7EB4391A"/>
    <w:lvl w:ilvl="0">
      <w:start w:val="2"/>
      <w:numFmt w:val="lowerLetter"/>
      <w:lvlText w:val="%1)"/>
      <w:lvlJc w:val="left"/>
      <w:pPr>
        <w:tabs>
          <w:tab w:val="num" w:pos="0"/>
        </w:tabs>
        <w:ind w:left="1080" w:hanging="360"/>
      </w:pPr>
      <w:rPr>
        <w:rFonts w:hint="default"/>
      </w:rPr>
    </w:lvl>
    <w:lvl w:ilvl="1">
      <w:start w:val="3"/>
      <w:numFmt w:val="lowerRoman"/>
      <w:lvlText w:val="%2."/>
      <w:lvlJc w:val="left"/>
      <w:pPr>
        <w:tabs>
          <w:tab w:val="num" w:pos="0"/>
        </w:tabs>
        <w:ind w:left="1800" w:hanging="360"/>
      </w:pPr>
      <w:rPr>
        <w:rFonts w:ascii="Arial" w:hAnsi="Arial" w:cs="Arial"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FF3154"/>
    <w:multiLevelType w:val="multilevel"/>
    <w:tmpl w:val="72FA6498"/>
    <w:lvl w:ilvl="0">
      <w:start w:val="2"/>
      <w:numFmt w:val="lowerLetter"/>
      <w:lvlText w:val="%1)"/>
      <w:lvlJc w:val="left"/>
      <w:pPr>
        <w:tabs>
          <w:tab w:val="num" w:pos="0"/>
        </w:tabs>
        <w:ind w:left="1080" w:hanging="360"/>
      </w:pPr>
      <w:rPr>
        <w:rFonts w:hint="default"/>
      </w:rPr>
    </w:lvl>
    <w:lvl w:ilvl="1">
      <w:start w:val="2"/>
      <w:numFmt w:val="lowerRoman"/>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num w:numId="1" w16cid:durableId="385185916">
    <w:abstractNumId w:val="3"/>
  </w:num>
  <w:num w:numId="2" w16cid:durableId="1922137027">
    <w:abstractNumId w:val="7"/>
  </w:num>
  <w:num w:numId="3" w16cid:durableId="1708218136">
    <w:abstractNumId w:val="0"/>
  </w:num>
  <w:num w:numId="4" w16cid:durableId="329069435">
    <w:abstractNumId w:val="8"/>
  </w:num>
  <w:num w:numId="5" w16cid:durableId="49499015">
    <w:abstractNumId w:val="1"/>
  </w:num>
  <w:num w:numId="6" w16cid:durableId="2136636949">
    <w:abstractNumId w:val="5"/>
  </w:num>
  <w:num w:numId="7" w16cid:durableId="1325014812">
    <w:abstractNumId w:val="4"/>
  </w:num>
  <w:num w:numId="8" w16cid:durableId="267927223">
    <w:abstractNumId w:val="2"/>
  </w:num>
  <w:num w:numId="9" w16cid:durableId="607783321">
    <w:abstractNumId w:val="2"/>
    <w:lvlOverride w:ilvl="0">
      <w:startOverride w:val="1"/>
    </w:lvlOverride>
    <w:lvlOverride w:ilvl="1">
      <w:startOverride w:val="1"/>
    </w:lvlOverride>
  </w:num>
  <w:num w:numId="10" w16cid:durableId="112597230">
    <w:abstractNumId w:val="6"/>
  </w:num>
  <w:num w:numId="11" w16cid:durableId="1181894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43"/>
    <w:rsid w:val="00011B7D"/>
    <w:rsid w:val="00075432"/>
    <w:rsid w:val="000F5E56"/>
    <w:rsid w:val="001362EE"/>
    <w:rsid w:val="001832A6"/>
    <w:rsid w:val="00195C6E"/>
    <w:rsid w:val="001B266A"/>
    <w:rsid w:val="001D3D56"/>
    <w:rsid w:val="001F091D"/>
    <w:rsid w:val="002263FF"/>
    <w:rsid w:val="00240654"/>
    <w:rsid w:val="002634C4"/>
    <w:rsid w:val="002D4918"/>
    <w:rsid w:val="002E4D1A"/>
    <w:rsid w:val="002F16BC"/>
    <w:rsid w:val="002F4E68"/>
    <w:rsid w:val="00315FCA"/>
    <w:rsid w:val="00364FB3"/>
    <w:rsid w:val="003845C1"/>
    <w:rsid w:val="003A1BCD"/>
    <w:rsid w:val="004008A2"/>
    <w:rsid w:val="004025DF"/>
    <w:rsid w:val="00423E3E"/>
    <w:rsid w:val="00427AF4"/>
    <w:rsid w:val="00456117"/>
    <w:rsid w:val="004647DA"/>
    <w:rsid w:val="00477D6B"/>
    <w:rsid w:val="004D6471"/>
    <w:rsid w:val="004F4E31"/>
    <w:rsid w:val="00525B63"/>
    <w:rsid w:val="00547476"/>
    <w:rsid w:val="00561DB8"/>
    <w:rsid w:val="00567A4C"/>
    <w:rsid w:val="005A73EA"/>
    <w:rsid w:val="005E6516"/>
    <w:rsid w:val="00605827"/>
    <w:rsid w:val="0067670E"/>
    <w:rsid w:val="00676936"/>
    <w:rsid w:val="0068487B"/>
    <w:rsid w:val="006B0DB5"/>
    <w:rsid w:val="006D7029"/>
    <w:rsid w:val="006E4243"/>
    <w:rsid w:val="00737684"/>
    <w:rsid w:val="007461F1"/>
    <w:rsid w:val="0076654B"/>
    <w:rsid w:val="007D6961"/>
    <w:rsid w:val="007F07CB"/>
    <w:rsid w:val="007F3768"/>
    <w:rsid w:val="00802EF1"/>
    <w:rsid w:val="00807B43"/>
    <w:rsid w:val="00810CEF"/>
    <w:rsid w:val="0081208D"/>
    <w:rsid w:val="00842A13"/>
    <w:rsid w:val="008B2CC1"/>
    <w:rsid w:val="008E5402"/>
    <w:rsid w:val="008E7930"/>
    <w:rsid w:val="0090731E"/>
    <w:rsid w:val="009463E5"/>
    <w:rsid w:val="00966A22"/>
    <w:rsid w:val="00974CD6"/>
    <w:rsid w:val="00975481"/>
    <w:rsid w:val="009D30E6"/>
    <w:rsid w:val="009E0BE9"/>
    <w:rsid w:val="009E3F6F"/>
    <w:rsid w:val="009F28F0"/>
    <w:rsid w:val="009F499F"/>
    <w:rsid w:val="00A02BD3"/>
    <w:rsid w:val="00A8508F"/>
    <w:rsid w:val="00A94A66"/>
    <w:rsid w:val="00AC0AE4"/>
    <w:rsid w:val="00AC2EBA"/>
    <w:rsid w:val="00AD61DB"/>
    <w:rsid w:val="00B87BCF"/>
    <w:rsid w:val="00BA62D4"/>
    <w:rsid w:val="00BC5F87"/>
    <w:rsid w:val="00BD4093"/>
    <w:rsid w:val="00C40E15"/>
    <w:rsid w:val="00C42181"/>
    <w:rsid w:val="00C50892"/>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527A5"/>
    <w:rsid w:val="00E76456"/>
    <w:rsid w:val="00E97651"/>
    <w:rsid w:val="00EE71CB"/>
    <w:rsid w:val="00F16975"/>
    <w:rsid w:val="00F309FC"/>
    <w:rsid w:val="00F42729"/>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B47F6"/>
  <w15:docId w15:val="{CFCFC2E0-6D1F-4BAB-B6E0-BBF71A52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uiPriority w:val="9"/>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A94A66"/>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uiPriority w:val="9"/>
    <w:qFormat/>
    <w:rsid w:val="00807B43"/>
    <w:rPr>
      <w:rFonts w:ascii="Arial" w:eastAsia="SimSun" w:hAnsi="Arial" w:cs="Arial"/>
      <w:b/>
      <w:bCs/>
      <w:caps/>
      <w:kern w:val="32"/>
      <w:sz w:val="22"/>
      <w:szCs w:val="32"/>
      <w:lang w:eastAsia="zh-CN"/>
    </w:rPr>
  </w:style>
  <w:style w:type="character" w:styleId="Hyperlink">
    <w:name w:val="Hyperlink"/>
    <w:basedOn w:val="DefaultParagraphFont"/>
    <w:uiPriority w:val="99"/>
    <w:unhideWhenUsed/>
    <w:rsid w:val="00807B43"/>
    <w:rPr>
      <w:color w:val="0000FF"/>
      <w:u w:val="single"/>
    </w:rPr>
  </w:style>
  <w:style w:type="character" w:customStyle="1" w:styleId="FootnoteTextChar">
    <w:name w:val="Footnote Text Char"/>
    <w:basedOn w:val="DefaultParagraphFont"/>
    <w:link w:val="FootnoteText"/>
    <w:uiPriority w:val="99"/>
    <w:qFormat/>
    <w:rsid w:val="00807B43"/>
    <w:rPr>
      <w:rFonts w:ascii="Arial" w:eastAsia="SimSun" w:hAnsi="Arial" w:cs="Arial"/>
      <w:sz w:val="18"/>
      <w:lang w:eastAsia="zh-CN"/>
    </w:rPr>
  </w:style>
  <w:style w:type="character" w:customStyle="1" w:styleId="IndexLink">
    <w:name w:val="Index Link"/>
    <w:qFormat/>
    <w:rsid w:val="00807B43"/>
  </w:style>
  <w:style w:type="paragraph" w:styleId="TOCHeading">
    <w:name w:val="TOC Heading"/>
    <w:basedOn w:val="IndexHeading"/>
    <w:uiPriority w:val="39"/>
    <w:qFormat/>
    <w:rsid w:val="00807B43"/>
    <w:pPr>
      <w:keepNext/>
      <w:suppressLineNumbers/>
      <w:suppressAutoHyphens/>
      <w:spacing w:before="240" w:after="120" w:line="259" w:lineRule="auto"/>
      <w:jc w:val="both"/>
    </w:pPr>
    <w:rPr>
      <w:rFonts w:ascii="Liberation Sans" w:eastAsia="Noto Sans" w:hAnsi="Liberation Sans" w:cs="Arial"/>
      <w:sz w:val="32"/>
      <w:szCs w:val="32"/>
      <w:lang w:val="fr-FR" w:eastAsia="en-US"/>
    </w:rPr>
  </w:style>
  <w:style w:type="paragraph" w:styleId="TOC1">
    <w:name w:val="toc 1"/>
    <w:basedOn w:val="Normal"/>
    <w:uiPriority w:val="39"/>
    <w:rsid w:val="00A8508F"/>
    <w:pPr>
      <w:suppressLineNumbers/>
      <w:tabs>
        <w:tab w:val="right" w:leader="dot" w:pos="9360"/>
      </w:tabs>
      <w:suppressAutoHyphens/>
      <w:spacing w:after="160" w:line="259" w:lineRule="auto"/>
      <w:jc w:val="both"/>
    </w:pPr>
    <w:rPr>
      <w:rFonts w:eastAsiaTheme="minorHAnsi"/>
      <w:szCs w:val="22"/>
      <w:lang w:val="fr-FR" w:eastAsia="en-US"/>
    </w:rPr>
  </w:style>
  <w:style w:type="paragraph" w:styleId="Index1">
    <w:name w:val="index 1"/>
    <w:basedOn w:val="Normal"/>
    <w:next w:val="Normal"/>
    <w:autoRedefine/>
    <w:semiHidden/>
    <w:unhideWhenUsed/>
    <w:rsid w:val="00807B43"/>
    <w:pPr>
      <w:ind w:left="220" w:hanging="220"/>
    </w:pPr>
  </w:style>
  <w:style w:type="paragraph" w:styleId="IndexHeading">
    <w:name w:val="index heading"/>
    <w:basedOn w:val="Normal"/>
    <w:next w:val="Index1"/>
    <w:semiHidden/>
    <w:unhideWhenUsed/>
    <w:rsid w:val="00807B43"/>
    <w:rPr>
      <w:rFonts w:asciiTheme="majorHAnsi" w:eastAsiaTheme="majorEastAsia" w:hAnsiTheme="majorHAnsi" w:cstheme="majorBidi"/>
      <w:b/>
      <w:bCs/>
    </w:rPr>
  </w:style>
  <w:style w:type="paragraph" w:styleId="ListParagraph">
    <w:name w:val="List Paragraph"/>
    <w:basedOn w:val="Normal"/>
    <w:uiPriority w:val="34"/>
    <w:qFormat/>
    <w:rsid w:val="00A94A66"/>
    <w:pPr>
      <w:suppressAutoHyphens/>
      <w:spacing w:after="160" w:line="259" w:lineRule="auto"/>
      <w:ind w:left="720"/>
      <w:contextualSpacing/>
      <w:jc w:val="both"/>
    </w:pPr>
    <w:rPr>
      <w:rFonts w:asciiTheme="minorHAnsi" w:eastAsiaTheme="minorHAnsi" w:hAnsiTheme="minorHAnsi" w:cstheme="minorBidi"/>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opyright/fr/sccr_20/sccr_20_11.pdf" TargetMode="External"/><Relationship Id="rId13" Type="http://schemas.openxmlformats.org/officeDocument/2006/relationships/hyperlink" Target="https://repository.ifla.org/items/6f90d862-139a-449d-a921-f0f0626efe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fojustice.org/wp-content/uploads/2018/11/TERA-11272018.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opyright/fr/sccr_44/sccr_44_6_rev.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ipo.int/edocs/mdocs/copyright/fr/sccr_43/sccr_43_8_rev.pdf" TargetMode="External"/><Relationship Id="rId4" Type="http://schemas.openxmlformats.org/officeDocument/2006/relationships/webSettings" Target="webSettings.xml"/><Relationship Id="rId9" Type="http://schemas.openxmlformats.org/officeDocument/2006/relationships/hyperlink" Target="https://www.wipo.int/edocs/mdocs/copyright/fr/sccr_22/sccr_22_12.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3</TotalTime>
  <Pages>46</Pages>
  <Words>8323</Words>
  <Characters>50361</Characters>
  <Application>Microsoft Office Word</Application>
  <DocSecurity>0</DocSecurity>
  <Lines>1007</Lines>
  <Paragraphs>307</Paragraphs>
  <ScaleCrop>false</ScaleCrop>
  <HeadingPairs>
    <vt:vector size="2" baseType="variant">
      <vt:variant>
        <vt:lpstr>Title</vt:lpstr>
      </vt:variant>
      <vt:variant>
        <vt:i4>1</vt:i4>
      </vt:variant>
    </vt:vector>
  </HeadingPairs>
  <TitlesOfParts>
    <vt:vector size="1" baseType="lpstr">
      <vt:lpstr>SCCR/47/5</vt:lpstr>
    </vt:vector>
  </TitlesOfParts>
  <Company>WIPO</Company>
  <LinksUpToDate>false</LinksUpToDate>
  <CharactersWithSpaces>58377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SCCR/47/5</dc:title>
  <dc:creator>OLIVIÉ Karen</dc:creator>
  <cp:keywords>FOR OFFICIAL USE ONLY</cp:keywords>
  <cp:lastModifiedBy>HAIZEL Francesca</cp:lastModifiedBy>
  <cp:revision>3</cp:revision>
  <cp:lastPrinted>2011-05-19T12:37:00Z</cp:lastPrinted>
  <dcterms:created xsi:type="dcterms:W3CDTF">2025-11-06T08:37:00Z</dcterms:created>
  <dcterms:modified xsi:type="dcterms:W3CDTF">2025-11-06T08:39:00Z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