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5C27" w14:textId="77777777" w:rsidR="008B2CC1" w:rsidRPr="008B2CC1" w:rsidRDefault="00DB0349" w:rsidP="00DB0349">
      <w:pPr>
        <w:spacing w:after="120"/>
        <w:jc w:val="right"/>
      </w:pPr>
      <w:r>
        <w:rPr>
          <w:noProof/>
          <w:lang w:val="en-US" w:eastAsia="en-US"/>
        </w:rPr>
        <w:drawing>
          <wp:inline distT="0" distB="0" distL="0" distR="0" wp14:anchorId="3C4F6939" wp14:editId="4D848C05">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70FC6D43" wp14:editId="1EF88E3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218E9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CA21AE" w14:textId="1EF1718A" w:rsidR="008B2CC1" w:rsidRPr="00DB0349" w:rsidRDefault="00456117" w:rsidP="00DB0349">
      <w:pPr>
        <w:jc w:val="right"/>
        <w:rPr>
          <w:rFonts w:ascii="Arial Black" w:hAnsi="Arial Black"/>
          <w:caps/>
          <w:sz w:val="15"/>
          <w:szCs w:val="15"/>
        </w:rPr>
      </w:pPr>
      <w:r>
        <w:rPr>
          <w:rFonts w:ascii="Arial Black" w:hAnsi="Arial Black"/>
          <w:caps/>
          <w:sz w:val="15"/>
          <w:szCs w:val="15"/>
        </w:rPr>
        <w:t>SCCR/4</w:t>
      </w:r>
      <w:r w:rsidR="00AC2EBA">
        <w:rPr>
          <w:rFonts w:ascii="Arial Black" w:hAnsi="Arial Black"/>
          <w:caps/>
          <w:sz w:val="15"/>
          <w:szCs w:val="15"/>
        </w:rPr>
        <w:t>7</w:t>
      </w:r>
      <w:r w:rsidR="00D55C00">
        <w:rPr>
          <w:rFonts w:ascii="Arial Black" w:hAnsi="Arial Black"/>
          <w:caps/>
          <w:sz w:val="15"/>
          <w:szCs w:val="15"/>
        </w:rPr>
        <w:t>/</w:t>
      </w:r>
      <w:bookmarkStart w:id="0" w:name="Code"/>
      <w:bookmarkEnd w:id="0"/>
      <w:r w:rsidR="00EC7E0D">
        <w:rPr>
          <w:rFonts w:ascii="Arial Black" w:hAnsi="Arial Black"/>
          <w:caps/>
          <w:sz w:val="15"/>
          <w:szCs w:val="15"/>
        </w:rPr>
        <w:t>4</w:t>
      </w:r>
    </w:p>
    <w:p w14:paraId="257ADE10" w14:textId="2F9D7641"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1" w:name="Original"/>
      <w:r w:rsidR="00EC7E0D">
        <w:rPr>
          <w:rFonts w:ascii="Arial Black" w:hAnsi="Arial Black"/>
          <w:caps/>
          <w:sz w:val="15"/>
          <w:szCs w:val="15"/>
        </w:rPr>
        <w:t>anglais</w:t>
      </w:r>
    </w:p>
    <w:bookmarkEnd w:id="1"/>
    <w:p w14:paraId="75A5DB15" w14:textId="30AD970C"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E1628C">
        <w:rPr>
          <w:rFonts w:ascii="Arial Black" w:hAnsi="Arial Black"/>
          <w:caps/>
          <w:sz w:val="15"/>
          <w:szCs w:val="15"/>
        </w:rPr>
        <w:t>1</w:t>
      </w:r>
      <w:r w:rsidR="00E1628C" w:rsidRPr="00005FF2">
        <w:rPr>
          <w:rFonts w:ascii="Arial Black" w:hAnsi="Arial Black"/>
          <w:caps/>
          <w:sz w:val="15"/>
          <w:szCs w:val="15"/>
          <w:vertAlign w:val="superscript"/>
        </w:rPr>
        <w:t>er</w:t>
      </w:r>
      <w:r w:rsidR="00EC7E0D">
        <w:rPr>
          <w:rFonts w:ascii="Arial Black" w:hAnsi="Arial Black"/>
          <w:caps/>
          <w:sz w:val="15"/>
          <w:szCs w:val="15"/>
        </w:rPr>
        <w:t xml:space="preserve"> octobre</w:t>
      </w:r>
      <w:r w:rsidR="00E1628C">
        <w:rPr>
          <w:rFonts w:ascii="Arial Black" w:hAnsi="Arial Black"/>
          <w:caps/>
          <w:sz w:val="15"/>
          <w:szCs w:val="15"/>
        </w:rPr>
        <w:t xml:space="preserve"> 2025</w:t>
      </w:r>
    </w:p>
    <w:bookmarkEnd w:id="2"/>
    <w:p w14:paraId="76D2BB92" w14:textId="4051A4FC" w:rsidR="00C40E15" w:rsidRPr="00DB0349" w:rsidRDefault="00D55C00" w:rsidP="00E97651">
      <w:pPr>
        <w:spacing w:after="480"/>
        <w:rPr>
          <w:b/>
          <w:sz w:val="28"/>
          <w:szCs w:val="28"/>
        </w:rPr>
      </w:pPr>
      <w:r w:rsidRPr="00D55C00">
        <w:rPr>
          <w:b/>
          <w:sz w:val="28"/>
          <w:szCs w:val="28"/>
        </w:rPr>
        <w:t>Comité permanent du droit d</w:t>
      </w:r>
      <w:r w:rsidR="00EC7E0D">
        <w:rPr>
          <w:b/>
          <w:sz w:val="28"/>
          <w:szCs w:val="28"/>
        </w:rPr>
        <w:t>’</w:t>
      </w:r>
      <w:r w:rsidRPr="00D55C00">
        <w:rPr>
          <w:b/>
          <w:sz w:val="28"/>
          <w:szCs w:val="28"/>
        </w:rPr>
        <w:t>auteur et des droits connexes</w:t>
      </w:r>
    </w:p>
    <w:p w14:paraId="0D72D57D" w14:textId="77777777" w:rsidR="008B2CC1" w:rsidRPr="003845C1" w:rsidRDefault="00D55C00" w:rsidP="008B2CC1">
      <w:pPr>
        <w:rPr>
          <w:b/>
          <w:sz w:val="24"/>
          <w:szCs w:val="24"/>
        </w:rPr>
      </w:pPr>
      <w:r w:rsidRPr="00D55C00">
        <w:rPr>
          <w:b/>
          <w:sz w:val="24"/>
          <w:szCs w:val="24"/>
        </w:rPr>
        <w:t>Quarante</w:t>
      </w:r>
      <w:r w:rsidR="009463E5">
        <w:rPr>
          <w:b/>
          <w:sz w:val="24"/>
          <w:szCs w:val="24"/>
        </w:rPr>
        <w:t>-</w:t>
      </w:r>
      <w:r w:rsidR="001F091D">
        <w:rPr>
          <w:b/>
          <w:sz w:val="24"/>
          <w:szCs w:val="24"/>
        </w:rPr>
        <w:t>s</w:t>
      </w:r>
      <w:r w:rsidR="00AC2EBA">
        <w:rPr>
          <w:b/>
          <w:sz w:val="24"/>
          <w:szCs w:val="24"/>
        </w:rPr>
        <w:t>epti</w:t>
      </w:r>
      <w:r w:rsidR="001F091D">
        <w:rPr>
          <w:b/>
          <w:sz w:val="24"/>
          <w:szCs w:val="24"/>
        </w:rPr>
        <w:t>ème</w:t>
      </w:r>
      <w:r w:rsidR="0076654B">
        <w:rPr>
          <w:b/>
          <w:sz w:val="24"/>
          <w:szCs w:val="24"/>
        </w:rPr>
        <w:t xml:space="preserve"> </w:t>
      </w:r>
      <w:r w:rsidRPr="00D55C00">
        <w:rPr>
          <w:b/>
          <w:sz w:val="24"/>
          <w:szCs w:val="24"/>
        </w:rPr>
        <w:t>session</w:t>
      </w:r>
    </w:p>
    <w:p w14:paraId="0974E339" w14:textId="77777777" w:rsidR="008B2CC1" w:rsidRPr="003845C1" w:rsidRDefault="00D55C00" w:rsidP="00DB0349">
      <w:pPr>
        <w:spacing w:after="720"/>
        <w:rPr>
          <w:b/>
          <w:sz w:val="24"/>
          <w:szCs w:val="24"/>
        </w:rPr>
      </w:pPr>
      <w:r w:rsidRPr="00D55C00">
        <w:rPr>
          <w:b/>
          <w:sz w:val="24"/>
          <w:szCs w:val="24"/>
        </w:rPr>
        <w:t xml:space="preserve">Genève, </w:t>
      </w:r>
      <w:r w:rsidR="00AC2EBA">
        <w:rPr>
          <w:b/>
          <w:sz w:val="24"/>
          <w:szCs w:val="24"/>
        </w:rPr>
        <w:t>1</w:t>
      </w:r>
      <w:r w:rsidR="00AC2EBA" w:rsidRPr="00AC2EBA">
        <w:rPr>
          <w:b/>
          <w:sz w:val="24"/>
          <w:szCs w:val="24"/>
          <w:vertAlign w:val="superscript"/>
        </w:rPr>
        <w:t>er</w:t>
      </w:r>
      <w:r w:rsidR="00AC2EBA">
        <w:rPr>
          <w:b/>
          <w:sz w:val="24"/>
          <w:szCs w:val="24"/>
        </w:rPr>
        <w:t xml:space="preserve"> </w:t>
      </w:r>
      <w:r w:rsidR="00456117" w:rsidRPr="00456117">
        <w:rPr>
          <w:b/>
          <w:sz w:val="24"/>
          <w:szCs w:val="24"/>
        </w:rPr>
        <w:t xml:space="preserve">– </w:t>
      </w:r>
      <w:r w:rsidR="00AC2EBA">
        <w:rPr>
          <w:b/>
          <w:sz w:val="24"/>
          <w:szCs w:val="24"/>
        </w:rPr>
        <w:t>5</w:t>
      </w:r>
      <w:r w:rsidR="00DC4A0D" w:rsidRPr="008B7207">
        <w:rPr>
          <w:b/>
          <w:sz w:val="24"/>
          <w:szCs w:val="24"/>
          <w:lang w:val="fr-FR"/>
        </w:rPr>
        <w:t> </w:t>
      </w:r>
      <w:r w:rsidR="00AC2EBA">
        <w:rPr>
          <w:b/>
          <w:sz w:val="24"/>
          <w:szCs w:val="24"/>
          <w:lang w:val="fr-FR"/>
        </w:rPr>
        <w:t>décembre </w:t>
      </w:r>
      <w:r w:rsidR="00456117" w:rsidRPr="00456117">
        <w:rPr>
          <w:b/>
          <w:sz w:val="24"/>
          <w:szCs w:val="24"/>
        </w:rPr>
        <w:t>202</w:t>
      </w:r>
      <w:r w:rsidR="001F091D">
        <w:rPr>
          <w:b/>
          <w:sz w:val="24"/>
          <w:szCs w:val="24"/>
        </w:rPr>
        <w:t>5</w:t>
      </w:r>
    </w:p>
    <w:p w14:paraId="643DA7C5" w14:textId="2D08D3CE" w:rsidR="008B2CC1" w:rsidRPr="00842A13" w:rsidRDefault="00EC7E0D" w:rsidP="00DB0349">
      <w:pPr>
        <w:spacing w:after="360"/>
        <w:rPr>
          <w:caps/>
          <w:sz w:val="24"/>
        </w:rPr>
      </w:pPr>
      <w:bookmarkStart w:id="3" w:name="TitleOfDoc"/>
      <w:r w:rsidRPr="00EC7E0D">
        <w:rPr>
          <w:caps/>
          <w:sz w:val="24"/>
        </w:rPr>
        <w:t xml:space="preserve">PROPOSITION CONCERNANT UNE ÉTUDE SUR LES DROITS DES ARTISTES-INTERPRÈTES DU SECTEUR AUDIOVISUEL ET LES MÉCANISMES DE RÉMUNÉRATION POUR L’EXPLOITATION DE LEURS INTERPRÉTATIONS </w:t>
      </w:r>
    </w:p>
    <w:p w14:paraId="0489E6A5" w14:textId="4962E3D1" w:rsidR="00EC7E0D" w:rsidRDefault="00EC7E0D" w:rsidP="00EC7E0D">
      <w:pPr>
        <w:spacing w:after="960"/>
        <w:rPr>
          <w:i/>
          <w:iCs/>
        </w:rPr>
      </w:pPr>
      <w:bookmarkStart w:id="4" w:name="Prepared"/>
      <w:bookmarkEnd w:id="3"/>
      <w:proofErr w:type="gramStart"/>
      <w:r w:rsidRPr="00660252">
        <w:rPr>
          <w:i/>
          <w:iCs/>
        </w:rPr>
        <w:t>établie</w:t>
      </w:r>
      <w:proofErr w:type="gramEnd"/>
      <w:r w:rsidRPr="00660252">
        <w:rPr>
          <w:i/>
          <w:iCs/>
        </w:rPr>
        <w:t xml:space="preserve"> par le Groupe Africain</w:t>
      </w:r>
    </w:p>
    <w:p w14:paraId="71CAB51F" w14:textId="77777777" w:rsidR="00EC7E0D" w:rsidRDefault="00EC7E0D">
      <w:pPr>
        <w:rPr>
          <w:i/>
          <w:iCs/>
        </w:rPr>
      </w:pPr>
      <w:r>
        <w:rPr>
          <w:i/>
          <w:iCs/>
        </w:rPr>
        <w:br w:type="page"/>
      </w:r>
    </w:p>
    <w:p w14:paraId="31174620" w14:textId="25832BB3" w:rsidR="00EC7E0D" w:rsidRPr="00377E66" w:rsidRDefault="00EC7E0D" w:rsidP="00EC7E0D">
      <w:pPr>
        <w:pStyle w:val="NormalWeb"/>
        <w:snapToGrid w:val="0"/>
        <w:spacing w:before="0" w:beforeAutospacing="0" w:after="240" w:afterAutospacing="0"/>
        <w:rPr>
          <w:rFonts w:ascii="Arial" w:hAnsi="Arial" w:cs="Arial"/>
          <w:sz w:val="22"/>
          <w:szCs w:val="22"/>
          <w:lang w:val="fr-FR"/>
        </w:rPr>
      </w:pPr>
      <w:r>
        <w:rPr>
          <w:rFonts w:ascii="Arial" w:hAnsi="Arial" w:cs="Arial"/>
          <w:sz w:val="22"/>
          <w:szCs w:val="22"/>
          <w:lang w:val="fr-FR"/>
        </w:rPr>
        <w:lastRenderedPageBreak/>
        <w:t>Le Groupe Africain souhaite</w:t>
      </w:r>
      <w:r w:rsidRPr="00377E66">
        <w:rPr>
          <w:rFonts w:ascii="Arial" w:hAnsi="Arial" w:cs="Arial"/>
          <w:sz w:val="22"/>
          <w:szCs w:val="22"/>
          <w:lang w:val="fr-FR"/>
        </w:rPr>
        <w:t xml:space="preserve"> proposer </w:t>
      </w:r>
      <w:r>
        <w:rPr>
          <w:rFonts w:ascii="Arial" w:hAnsi="Arial" w:cs="Arial"/>
          <w:sz w:val="22"/>
          <w:szCs w:val="22"/>
          <w:lang w:val="fr-FR"/>
        </w:rPr>
        <w:t>à</w:t>
      </w:r>
      <w:r w:rsidRPr="00377E66">
        <w:rPr>
          <w:rFonts w:ascii="Arial" w:hAnsi="Arial" w:cs="Arial"/>
          <w:sz w:val="22"/>
          <w:szCs w:val="22"/>
          <w:lang w:val="fr-FR"/>
        </w:rPr>
        <w:t xml:space="preserve"> l’Organisation Mondiale de la Propriété Intellectuelle (</w:t>
      </w:r>
      <w:proofErr w:type="spellStart"/>
      <w:r w:rsidRPr="00377E66">
        <w:rPr>
          <w:rFonts w:ascii="Arial" w:hAnsi="Arial" w:cs="Arial"/>
          <w:sz w:val="22"/>
          <w:szCs w:val="22"/>
          <w:lang w:val="fr-FR"/>
        </w:rPr>
        <w:t>OMPI</w:t>
      </w:r>
      <w:proofErr w:type="spellEnd"/>
      <w:r w:rsidRPr="00377E66">
        <w:rPr>
          <w:rFonts w:ascii="Arial" w:hAnsi="Arial" w:cs="Arial"/>
          <w:sz w:val="22"/>
          <w:szCs w:val="22"/>
          <w:lang w:val="fr-FR"/>
        </w:rPr>
        <w:t xml:space="preserve">) </w:t>
      </w:r>
      <w:r>
        <w:rPr>
          <w:rFonts w:ascii="Arial" w:hAnsi="Arial" w:cs="Arial"/>
          <w:sz w:val="22"/>
          <w:szCs w:val="22"/>
          <w:lang w:val="fr-FR"/>
        </w:rPr>
        <w:t xml:space="preserve">de </w:t>
      </w:r>
      <w:r w:rsidRPr="00377E66">
        <w:rPr>
          <w:rFonts w:ascii="Arial" w:hAnsi="Arial" w:cs="Arial"/>
          <w:sz w:val="22"/>
          <w:szCs w:val="22"/>
          <w:lang w:val="fr-FR"/>
        </w:rPr>
        <w:t>lance</w:t>
      </w:r>
      <w:r>
        <w:rPr>
          <w:rFonts w:ascii="Arial" w:hAnsi="Arial" w:cs="Arial"/>
          <w:sz w:val="22"/>
          <w:szCs w:val="22"/>
          <w:lang w:val="fr-FR"/>
        </w:rPr>
        <w:t>r</w:t>
      </w:r>
      <w:r w:rsidRPr="00377E66">
        <w:rPr>
          <w:rFonts w:ascii="Arial" w:hAnsi="Arial" w:cs="Arial"/>
          <w:sz w:val="22"/>
          <w:szCs w:val="22"/>
          <w:lang w:val="fr-FR"/>
        </w:rPr>
        <w:t xml:space="preserve"> une campagne de sensibilisation en </w:t>
      </w:r>
      <w:r>
        <w:rPr>
          <w:rFonts w:ascii="Arial" w:hAnsi="Arial" w:cs="Arial"/>
          <w:sz w:val="22"/>
          <w:szCs w:val="22"/>
          <w:lang w:val="fr-FR"/>
        </w:rPr>
        <w:t>faisant établir</w:t>
      </w:r>
      <w:r w:rsidRPr="00377E66">
        <w:rPr>
          <w:rFonts w:ascii="Arial" w:hAnsi="Arial" w:cs="Arial"/>
          <w:sz w:val="22"/>
          <w:szCs w:val="22"/>
          <w:lang w:val="fr-FR"/>
        </w:rPr>
        <w:t xml:space="preserve"> une étude sur la situation des artistes</w:t>
      </w:r>
      <w:r>
        <w:rPr>
          <w:rFonts w:ascii="Arial" w:hAnsi="Arial" w:cs="Arial"/>
          <w:sz w:val="22"/>
          <w:szCs w:val="22"/>
          <w:lang w:val="fr-FR"/>
        </w:rPr>
        <w:t xml:space="preserve"> </w:t>
      </w:r>
      <w:r w:rsidRPr="00377E66">
        <w:rPr>
          <w:rFonts w:ascii="Arial" w:hAnsi="Arial" w:cs="Arial"/>
          <w:sz w:val="22"/>
          <w:szCs w:val="22"/>
          <w:lang w:val="fr-FR"/>
        </w:rPr>
        <w:t xml:space="preserve">interprètes </w:t>
      </w:r>
      <w:r>
        <w:rPr>
          <w:rFonts w:ascii="Arial" w:hAnsi="Arial" w:cs="Arial"/>
          <w:sz w:val="22"/>
          <w:szCs w:val="22"/>
          <w:lang w:val="fr-FR"/>
        </w:rPr>
        <w:t xml:space="preserve">et exécutants du secteur </w:t>
      </w:r>
      <w:r w:rsidRPr="00377E66">
        <w:rPr>
          <w:rFonts w:ascii="Arial" w:hAnsi="Arial" w:cs="Arial"/>
          <w:sz w:val="22"/>
          <w:szCs w:val="22"/>
          <w:lang w:val="fr-FR"/>
        </w:rPr>
        <w:t xml:space="preserve">audiovisuel. </w:t>
      </w:r>
      <w:r w:rsidR="00DC6F08">
        <w:rPr>
          <w:rFonts w:ascii="Arial" w:hAnsi="Arial" w:cs="Arial"/>
          <w:sz w:val="22"/>
          <w:szCs w:val="22"/>
          <w:lang w:val="fr-FR"/>
        </w:rPr>
        <w:t xml:space="preserve"> </w:t>
      </w:r>
      <w:r w:rsidRPr="00377E66">
        <w:rPr>
          <w:rFonts w:ascii="Arial" w:hAnsi="Arial" w:cs="Arial"/>
          <w:sz w:val="22"/>
          <w:szCs w:val="22"/>
          <w:lang w:val="fr-FR"/>
        </w:rPr>
        <w:t>Cette étude offrirait une vue d’ensemble des cadres juridiques et économiques régissant les droits de</w:t>
      </w:r>
      <w:r>
        <w:rPr>
          <w:rFonts w:ascii="Arial" w:hAnsi="Arial" w:cs="Arial"/>
          <w:sz w:val="22"/>
          <w:szCs w:val="22"/>
          <w:lang w:val="fr-FR"/>
        </w:rPr>
        <w:t xml:space="preserve"> ces</w:t>
      </w:r>
      <w:r w:rsidRPr="00377E66">
        <w:rPr>
          <w:rFonts w:ascii="Arial" w:hAnsi="Arial" w:cs="Arial"/>
          <w:sz w:val="22"/>
          <w:szCs w:val="22"/>
          <w:lang w:val="fr-FR"/>
        </w:rPr>
        <w:t xml:space="preserve"> interprètes dans le monde, en accordant une attention particulière à la manière dont </w:t>
      </w:r>
      <w:r>
        <w:rPr>
          <w:rFonts w:ascii="Arial" w:hAnsi="Arial" w:cs="Arial"/>
          <w:sz w:val="22"/>
          <w:szCs w:val="22"/>
          <w:lang w:val="fr-FR"/>
        </w:rPr>
        <w:t>ils</w:t>
      </w:r>
      <w:r w:rsidRPr="00377E66">
        <w:rPr>
          <w:rFonts w:ascii="Arial" w:hAnsi="Arial" w:cs="Arial"/>
          <w:sz w:val="22"/>
          <w:szCs w:val="22"/>
          <w:lang w:val="fr-FR"/>
        </w:rPr>
        <w:t xml:space="preserve"> </w:t>
      </w:r>
      <w:r>
        <w:rPr>
          <w:rFonts w:ascii="Arial" w:hAnsi="Arial" w:cs="Arial"/>
          <w:sz w:val="22"/>
          <w:szCs w:val="22"/>
          <w:lang w:val="fr-FR"/>
        </w:rPr>
        <w:t>impactent sur</w:t>
      </w:r>
      <w:r w:rsidRPr="00377E66">
        <w:rPr>
          <w:rFonts w:ascii="Arial" w:hAnsi="Arial" w:cs="Arial"/>
          <w:sz w:val="22"/>
          <w:szCs w:val="22"/>
          <w:lang w:val="fr-FR"/>
        </w:rPr>
        <w:t xml:space="preserve"> la rémunération que les interprètes perçoivent pour l’exploitation de leurs prestations audiovisuelles.</w:t>
      </w:r>
    </w:p>
    <w:p w14:paraId="64EA13C3" w14:textId="3B0F3E81" w:rsidR="00EC7E0D" w:rsidRPr="00377E66" w:rsidRDefault="00EC7E0D" w:rsidP="00EC7E0D">
      <w:pPr>
        <w:pStyle w:val="NormalWeb"/>
        <w:snapToGrid w:val="0"/>
        <w:spacing w:before="0" w:beforeAutospacing="0" w:after="240" w:afterAutospacing="0"/>
        <w:rPr>
          <w:rFonts w:ascii="Arial" w:hAnsi="Arial" w:cs="Arial"/>
          <w:sz w:val="22"/>
          <w:szCs w:val="22"/>
          <w:lang w:val="fr-FR"/>
        </w:rPr>
      </w:pPr>
      <w:r w:rsidRPr="00377E66">
        <w:rPr>
          <w:rFonts w:ascii="Arial" w:hAnsi="Arial" w:cs="Arial"/>
          <w:sz w:val="22"/>
          <w:szCs w:val="22"/>
          <w:lang w:val="fr-FR"/>
        </w:rPr>
        <w:t xml:space="preserve">Au cours de la dernière décennie, de nombreux pays, en particulier en Europe, en Amérique latine et dans certaines régions d’Afrique, ont entrepris des réformes législatives visant à améliorer la situation économique des interprètes. </w:t>
      </w:r>
      <w:r w:rsidR="00DC6F08">
        <w:rPr>
          <w:rFonts w:ascii="Arial" w:hAnsi="Arial" w:cs="Arial"/>
          <w:sz w:val="22"/>
          <w:szCs w:val="22"/>
          <w:lang w:val="fr-FR"/>
        </w:rPr>
        <w:t xml:space="preserve"> </w:t>
      </w:r>
      <w:r w:rsidRPr="00377E66">
        <w:rPr>
          <w:rFonts w:ascii="Arial" w:hAnsi="Arial" w:cs="Arial"/>
          <w:sz w:val="22"/>
          <w:szCs w:val="22"/>
          <w:lang w:val="fr-FR"/>
        </w:rPr>
        <w:t xml:space="preserve">Ces réformes </w:t>
      </w:r>
      <w:r>
        <w:rPr>
          <w:rFonts w:ascii="Arial" w:hAnsi="Arial" w:cs="Arial"/>
          <w:sz w:val="22"/>
          <w:szCs w:val="22"/>
          <w:lang w:val="fr-FR"/>
        </w:rPr>
        <w:t>ont souvent porté</w:t>
      </w:r>
      <w:r w:rsidRPr="00377E66">
        <w:rPr>
          <w:rFonts w:ascii="Arial" w:hAnsi="Arial" w:cs="Arial"/>
          <w:sz w:val="22"/>
          <w:szCs w:val="22"/>
          <w:lang w:val="fr-FR"/>
        </w:rPr>
        <w:t xml:space="preserve"> sur la gestion collective et d’autres mécanismes conçus pour garantir que les interprètes bénéficient des modes d’exploitation de plus en plus diversifiés et mondialisés des œuvres audiovisuelles, en particulier sur les plateformes numériques et à la demande. </w:t>
      </w:r>
      <w:r w:rsidR="00DC6F08">
        <w:rPr>
          <w:rFonts w:ascii="Arial" w:hAnsi="Arial" w:cs="Arial"/>
          <w:sz w:val="22"/>
          <w:szCs w:val="22"/>
          <w:lang w:val="fr-FR"/>
        </w:rPr>
        <w:t xml:space="preserve"> </w:t>
      </w:r>
      <w:r w:rsidRPr="00377E66">
        <w:rPr>
          <w:rFonts w:ascii="Arial" w:hAnsi="Arial" w:cs="Arial"/>
          <w:sz w:val="22"/>
          <w:szCs w:val="22"/>
          <w:lang w:val="fr-FR"/>
        </w:rPr>
        <w:t xml:space="preserve">Une analyse systématique de ces évolutions, parallèlement aux modèles </w:t>
      </w:r>
      <w:r>
        <w:rPr>
          <w:rFonts w:ascii="Arial" w:hAnsi="Arial" w:cs="Arial"/>
          <w:sz w:val="22"/>
          <w:szCs w:val="22"/>
          <w:lang w:val="fr-FR"/>
        </w:rPr>
        <w:t xml:space="preserve">en vigueur dans </w:t>
      </w:r>
      <w:r w:rsidRPr="00377E66">
        <w:rPr>
          <w:rFonts w:ascii="Arial" w:hAnsi="Arial" w:cs="Arial"/>
          <w:sz w:val="22"/>
          <w:szCs w:val="22"/>
          <w:lang w:val="fr-FR"/>
        </w:rPr>
        <w:t>d’autres régions, permettrait de mieux comprendre les pratiques efficaces.</w:t>
      </w:r>
    </w:p>
    <w:p w14:paraId="03050D64" w14:textId="2FD7DE77" w:rsidR="00EC7E0D" w:rsidRPr="00377E66" w:rsidRDefault="00EC7E0D" w:rsidP="00EC7E0D">
      <w:pPr>
        <w:pStyle w:val="NormalWeb"/>
        <w:snapToGrid w:val="0"/>
        <w:spacing w:before="0" w:beforeAutospacing="0" w:after="240" w:afterAutospacing="0"/>
        <w:rPr>
          <w:rFonts w:ascii="Arial" w:hAnsi="Arial" w:cs="Arial"/>
          <w:sz w:val="22"/>
          <w:szCs w:val="22"/>
          <w:lang w:val="fr-FR"/>
        </w:rPr>
      </w:pPr>
      <w:r w:rsidRPr="00377E66">
        <w:rPr>
          <w:rFonts w:ascii="Arial" w:hAnsi="Arial" w:cs="Arial"/>
          <w:sz w:val="22"/>
          <w:szCs w:val="22"/>
          <w:lang w:val="fr-FR"/>
        </w:rPr>
        <w:t>L’étude offrirait également l’occasion d’évaluer l’impact du Traité de Beijing sur les interprétations et exécutions audiovisuelles.</w:t>
      </w:r>
      <w:r w:rsidR="00DC6F08">
        <w:rPr>
          <w:rFonts w:ascii="Arial" w:hAnsi="Arial" w:cs="Arial"/>
          <w:sz w:val="22"/>
          <w:szCs w:val="22"/>
          <w:lang w:val="fr-FR"/>
        </w:rPr>
        <w:t xml:space="preserve"> </w:t>
      </w:r>
      <w:r w:rsidRPr="00377E66">
        <w:rPr>
          <w:rFonts w:ascii="Arial" w:hAnsi="Arial" w:cs="Arial"/>
          <w:sz w:val="22"/>
          <w:szCs w:val="22"/>
          <w:lang w:val="fr-FR"/>
        </w:rPr>
        <w:t xml:space="preserve"> En comparant la manière dont différentes juridictions ont mis en œuvre ce Traité</w:t>
      </w:r>
      <w:r>
        <w:rPr>
          <w:rFonts w:ascii="Arial" w:hAnsi="Arial" w:cs="Arial"/>
          <w:sz w:val="22"/>
          <w:szCs w:val="22"/>
          <w:lang w:val="fr-FR"/>
        </w:rPr>
        <w:t>.</w:t>
      </w:r>
      <w:r w:rsidR="00DC6F08">
        <w:rPr>
          <w:rFonts w:ascii="Arial" w:hAnsi="Arial" w:cs="Arial"/>
          <w:sz w:val="22"/>
          <w:szCs w:val="22"/>
          <w:lang w:val="fr-FR"/>
        </w:rPr>
        <w:t xml:space="preserve"> </w:t>
      </w:r>
      <w:r w:rsidRPr="00377E66">
        <w:rPr>
          <w:rFonts w:ascii="Arial" w:hAnsi="Arial" w:cs="Arial"/>
          <w:sz w:val="22"/>
          <w:szCs w:val="22"/>
          <w:lang w:val="fr-FR"/>
        </w:rPr>
        <w:t xml:space="preserve"> </w:t>
      </w:r>
      <w:r>
        <w:rPr>
          <w:rFonts w:ascii="Arial" w:hAnsi="Arial" w:cs="Arial"/>
          <w:sz w:val="22"/>
          <w:szCs w:val="22"/>
          <w:lang w:val="fr-FR"/>
        </w:rPr>
        <w:t>I</w:t>
      </w:r>
      <w:r w:rsidRPr="00377E66">
        <w:rPr>
          <w:rFonts w:ascii="Arial" w:hAnsi="Arial" w:cs="Arial"/>
          <w:sz w:val="22"/>
          <w:szCs w:val="22"/>
          <w:lang w:val="fr-FR"/>
        </w:rPr>
        <w:t xml:space="preserve">l serait possible d’examiner comment ses dispositions se sont traduites en droits et en </w:t>
      </w:r>
      <w:r>
        <w:rPr>
          <w:rFonts w:ascii="Arial" w:hAnsi="Arial" w:cs="Arial"/>
          <w:sz w:val="22"/>
          <w:szCs w:val="22"/>
          <w:lang w:val="fr-FR"/>
        </w:rPr>
        <w:t>rémunérations</w:t>
      </w:r>
      <w:r w:rsidRPr="00377E66">
        <w:rPr>
          <w:rFonts w:ascii="Arial" w:hAnsi="Arial" w:cs="Arial"/>
          <w:sz w:val="22"/>
          <w:szCs w:val="22"/>
          <w:lang w:val="fr-FR"/>
        </w:rPr>
        <w:t xml:space="preserve"> concrets pour les </w:t>
      </w:r>
      <w:r>
        <w:rPr>
          <w:rFonts w:ascii="Arial" w:hAnsi="Arial" w:cs="Arial"/>
          <w:sz w:val="22"/>
          <w:szCs w:val="22"/>
          <w:lang w:val="fr-FR"/>
        </w:rPr>
        <w:t xml:space="preserve">artistes </w:t>
      </w:r>
      <w:r w:rsidRPr="00377E66">
        <w:rPr>
          <w:rFonts w:ascii="Arial" w:hAnsi="Arial" w:cs="Arial"/>
          <w:sz w:val="22"/>
          <w:szCs w:val="22"/>
          <w:lang w:val="fr-FR"/>
        </w:rPr>
        <w:t>interprètes</w:t>
      </w:r>
      <w:r>
        <w:rPr>
          <w:rFonts w:ascii="Arial" w:hAnsi="Arial" w:cs="Arial"/>
          <w:sz w:val="22"/>
          <w:szCs w:val="22"/>
          <w:lang w:val="fr-FR"/>
        </w:rPr>
        <w:t xml:space="preserve"> et exécutants</w:t>
      </w:r>
      <w:r w:rsidRPr="00377E66">
        <w:rPr>
          <w:rFonts w:ascii="Arial" w:hAnsi="Arial" w:cs="Arial"/>
          <w:sz w:val="22"/>
          <w:szCs w:val="22"/>
          <w:lang w:val="fr-FR"/>
        </w:rPr>
        <w:t>, et d’identifier les défis et les meilleures pratiques dans son application.</w:t>
      </w:r>
      <w:r w:rsidR="00DC6F08">
        <w:rPr>
          <w:rFonts w:ascii="Arial" w:hAnsi="Arial" w:cs="Arial"/>
          <w:sz w:val="22"/>
          <w:szCs w:val="22"/>
          <w:lang w:val="fr-FR"/>
        </w:rPr>
        <w:t xml:space="preserve"> </w:t>
      </w:r>
      <w:r w:rsidRPr="00377E66">
        <w:rPr>
          <w:rFonts w:ascii="Arial" w:hAnsi="Arial" w:cs="Arial"/>
          <w:sz w:val="22"/>
          <w:szCs w:val="22"/>
          <w:lang w:val="fr-FR"/>
        </w:rPr>
        <w:t xml:space="preserve"> </w:t>
      </w:r>
      <w:r>
        <w:rPr>
          <w:rFonts w:ascii="Arial" w:hAnsi="Arial" w:cs="Arial"/>
          <w:sz w:val="22"/>
          <w:szCs w:val="22"/>
          <w:lang w:val="fr-FR"/>
        </w:rPr>
        <w:t>En outre</w:t>
      </w:r>
      <w:r w:rsidRPr="00377E66">
        <w:rPr>
          <w:rFonts w:ascii="Arial" w:hAnsi="Arial" w:cs="Arial"/>
          <w:sz w:val="22"/>
          <w:szCs w:val="22"/>
          <w:lang w:val="fr-FR"/>
        </w:rPr>
        <w:t xml:space="preserve">, l’étude pourrait examiner l’interaction entre la législation nationale et les pratiques contractuelles, afin de déterminer comment chacune contribue à la participation économique </w:t>
      </w:r>
      <w:r>
        <w:rPr>
          <w:rFonts w:ascii="Arial" w:hAnsi="Arial" w:cs="Arial"/>
          <w:sz w:val="22"/>
          <w:szCs w:val="22"/>
          <w:lang w:val="fr-FR"/>
        </w:rPr>
        <w:t>de ces artistes</w:t>
      </w:r>
      <w:r w:rsidRPr="00377E66">
        <w:rPr>
          <w:rFonts w:ascii="Arial" w:hAnsi="Arial" w:cs="Arial"/>
          <w:sz w:val="22"/>
          <w:szCs w:val="22"/>
          <w:lang w:val="fr-FR"/>
        </w:rPr>
        <w:t>.</w:t>
      </w:r>
    </w:p>
    <w:p w14:paraId="73DF57DE" w14:textId="34F6F314" w:rsidR="00EC7E0D" w:rsidRPr="00377E66" w:rsidRDefault="00EC7E0D" w:rsidP="00EC7E0D">
      <w:pPr>
        <w:pStyle w:val="NormalWeb"/>
        <w:snapToGrid w:val="0"/>
        <w:spacing w:before="0" w:beforeAutospacing="0" w:after="240" w:afterAutospacing="0"/>
        <w:rPr>
          <w:rFonts w:ascii="Arial" w:hAnsi="Arial" w:cs="Arial"/>
          <w:sz w:val="22"/>
          <w:szCs w:val="22"/>
          <w:lang w:val="fr-FR"/>
        </w:rPr>
      </w:pPr>
      <w:r w:rsidRPr="00377E66">
        <w:rPr>
          <w:rFonts w:ascii="Arial" w:hAnsi="Arial" w:cs="Arial"/>
          <w:sz w:val="22"/>
          <w:szCs w:val="22"/>
          <w:lang w:val="fr-FR"/>
        </w:rPr>
        <w:t xml:space="preserve">Les </w:t>
      </w:r>
      <w:r>
        <w:rPr>
          <w:rFonts w:ascii="Arial" w:hAnsi="Arial" w:cs="Arial"/>
          <w:sz w:val="22"/>
          <w:szCs w:val="22"/>
          <w:lang w:val="fr-FR"/>
        </w:rPr>
        <w:t xml:space="preserve">artistes </w:t>
      </w:r>
      <w:r w:rsidRPr="00377E66">
        <w:rPr>
          <w:rFonts w:ascii="Arial" w:hAnsi="Arial" w:cs="Arial"/>
          <w:sz w:val="22"/>
          <w:szCs w:val="22"/>
          <w:lang w:val="fr-FR"/>
        </w:rPr>
        <w:t xml:space="preserve">interprètes </w:t>
      </w:r>
      <w:r>
        <w:rPr>
          <w:rFonts w:ascii="Arial" w:hAnsi="Arial" w:cs="Arial"/>
          <w:sz w:val="22"/>
          <w:szCs w:val="22"/>
          <w:lang w:val="fr-FR"/>
        </w:rPr>
        <w:t>et exécutants -</w:t>
      </w:r>
      <w:r w:rsidRPr="00377E66">
        <w:rPr>
          <w:rFonts w:ascii="Arial" w:hAnsi="Arial" w:cs="Arial"/>
          <w:sz w:val="22"/>
          <w:szCs w:val="22"/>
          <w:lang w:val="fr-FR"/>
        </w:rPr>
        <w:t xml:space="preserve"> y compris les acteurs, les artistes de doublage, les danseurs et les musiciens interprétant la bande sonore composée pour l’œuvre audiovisuelle </w:t>
      </w:r>
      <w:r>
        <w:rPr>
          <w:rFonts w:ascii="Arial" w:hAnsi="Arial" w:cs="Arial"/>
          <w:sz w:val="22"/>
          <w:szCs w:val="22"/>
          <w:lang w:val="fr-FR"/>
        </w:rPr>
        <w:t>-</w:t>
      </w:r>
      <w:r w:rsidRPr="00377E66">
        <w:rPr>
          <w:rFonts w:ascii="Arial" w:hAnsi="Arial" w:cs="Arial"/>
          <w:sz w:val="22"/>
          <w:szCs w:val="22"/>
          <w:lang w:val="fr-FR"/>
        </w:rPr>
        <w:t xml:space="preserve"> sont essentiels à la création et à la réception publique des œuvres audiovisuelles. </w:t>
      </w:r>
      <w:r w:rsidR="00DC6F08">
        <w:rPr>
          <w:rFonts w:ascii="Arial" w:hAnsi="Arial" w:cs="Arial"/>
          <w:sz w:val="22"/>
          <w:szCs w:val="22"/>
          <w:lang w:val="fr-FR"/>
        </w:rPr>
        <w:t xml:space="preserve"> </w:t>
      </w:r>
      <w:r w:rsidRPr="00377E66">
        <w:rPr>
          <w:rFonts w:ascii="Arial" w:hAnsi="Arial" w:cs="Arial"/>
          <w:sz w:val="22"/>
          <w:szCs w:val="22"/>
          <w:lang w:val="fr-FR"/>
        </w:rPr>
        <w:t xml:space="preserve">Leur position juridique et économique varie toutefois considérablement </w:t>
      </w:r>
      <w:r>
        <w:rPr>
          <w:rFonts w:ascii="Arial" w:hAnsi="Arial" w:cs="Arial"/>
          <w:sz w:val="22"/>
          <w:szCs w:val="22"/>
          <w:lang w:val="fr-FR"/>
        </w:rPr>
        <w:t>d’un pays à l’autre</w:t>
      </w:r>
      <w:r w:rsidRPr="00377E66">
        <w:rPr>
          <w:rFonts w:ascii="Arial" w:hAnsi="Arial" w:cs="Arial"/>
          <w:sz w:val="22"/>
          <w:szCs w:val="22"/>
          <w:lang w:val="fr-FR"/>
        </w:rPr>
        <w:t>.</w:t>
      </w:r>
      <w:r w:rsidR="00DC6F08">
        <w:rPr>
          <w:rFonts w:ascii="Arial" w:hAnsi="Arial" w:cs="Arial"/>
          <w:sz w:val="22"/>
          <w:szCs w:val="22"/>
          <w:lang w:val="fr-FR"/>
        </w:rPr>
        <w:t xml:space="preserve"> </w:t>
      </w:r>
      <w:r w:rsidRPr="00377E66">
        <w:rPr>
          <w:rFonts w:ascii="Arial" w:hAnsi="Arial" w:cs="Arial"/>
          <w:sz w:val="22"/>
          <w:szCs w:val="22"/>
          <w:lang w:val="fr-FR"/>
        </w:rPr>
        <w:t xml:space="preserve"> Dans certains territoires, les </w:t>
      </w:r>
      <w:r>
        <w:rPr>
          <w:rFonts w:ascii="Arial" w:hAnsi="Arial" w:cs="Arial"/>
          <w:sz w:val="22"/>
          <w:szCs w:val="22"/>
          <w:lang w:val="fr-FR"/>
        </w:rPr>
        <w:t xml:space="preserve">artistes </w:t>
      </w:r>
      <w:r w:rsidRPr="00377E66">
        <w:rPr>
          <w:rFonts w:ascii="Arial" w:hAnsi="Arial" w:cs="Arial"/>
          <w:sz w:val="22"/>
          <w:szCs w:val="22"/>
          <w:lang w:val="fr-FR"/>
        </w:rPr>
        <w:t xml:space="preserve">interprètes </w:t>
      </w:r>
      <w:r>
        <w:rPr>
          <w:rFonts w:ascii="Arial" w:hAnsi="Arial" w:cs="Arial"/>
          <w:sz w:val="22"/>
          <w:szCs w:val="22"/>
          <w:lang w:val="fr-FR"/>
        </w:rPr>
        <w:t xml:space="preserve">et exécutants </w:t>
      </w:r>
      <w:r w:rsidRPr="00377E66">
        <w:rPr>
          <w:rFonts w:ascii="Arial" w:hAnsi="Arial" w:cs="Arial"/>
          <w:sz w:val="22"/>
          <w:szCs w:val="22"/>
          <w:lang w:val="fr-FR"/>
        </w:rPr>
        <w:t xml:space="preserve">sont reconnus principalement </w:t>
      </w:r>
      <w:r>
        <w:rPr>
          <w:rFonts w:ascii="Arial" w:hAnsi="Arial" w:cs="Arial"/>
          <w:sz w:val="22"/>
          <w:szCs w:val="22"/>
          <w:lang w:val="fr-FR"/>
        </w:rPr>
        <w:t xml:space="preserve">par le biais </w:t>
      </w:r>
      <w:r w:rsidRPr="00377E66">
        <w:rPr>
          <w:rFonts w:ascii="Arial" w:hAnsi="Arial" w:cs="Arial"/>
          <w:sz w:val="22"/>
          <w:szCs w:val="22"/>
          <w:lang w:val="fr-FR"/>
        </w:rPr>
        <w:t>d</w:t>
      </w:r>
      <w:r>
        <w:rPr>
          <w:rFonts w:ascii="Arial" w:hAnsi="Arial" w:cs="Arial"/>
          <w:sz w:val="22"/>
          <w:szCs w:val="22"/>
          <w:lang w:val="fr-FR"/>
        </w:rPr>
        <w:t>’</w:t>
      </w:r>
      <w:r w:rsidRPr="00377E66">
        <w:rPr>
          <w:rFonts w:ascii="Arial" w:hAnsi="Arial" w:cs="Arial"/>
          <w:sz w:val="22"/>
          <w:szCs w:val="22"/>
          <w:lang w:val="fr-FR"/>
        </w:rPr>
        <w:t xml:space="preserve">accords contractuels, tandis que dans d’autres, ils bénéficient d’un droit à rémunération légale. </w:t>
      </w:r>
      <w:r w:rsidR="00DC6F08">
        <w:rPr>
          <w:rFonts w:ascii="Arial" w:hAnsi="Arial" w:cs="Arial"/>
          <w:sz w:val="22"/>
          <w:szCs w:val="22"/>
          <w:lang w:val="fr-FR"/>
        </w:rPr>
        <w:t xml:space="preserve"> </w:t>
      </w:r>
      <w:r>
        <w:rPr>
          <w:rFonts w:ascii="Arial" w:hAnsi="Arial" w:cs="Arial"/>
          <w:sz w:val="22"/>
          <w:szCs w:val="22"/>
          <w:lang w:val="fr-FR"/>
        </w:rPr>
        <w:t xml:space="preserve">A mesure que le volume </w:t>
      </w:r>
      <w:r w:rsidRPr="00377E66">
        <w:rPr>
          <w:rFonts w:ascii="Arial" w:hAnsi="Arial" w:cs="Arial"/>
          <w:sz w:val="22"/>
          <w:szCs w:val="22"/>
          <w:lang w:val="fr-FR"/>
        </w:rPr>
        <w:t xml:space="preserve">de </w:t>
      </w:r>
      <w:r>
        <w:rPr>
          <w:rFonts w:ascii="Arial" w:hAnsi="Arial" w:cs="Arial"/>
          <w:sz w:val="22"/>
          <w:szCs w:val="22"/>
          <w:lang w:val="fr-FR"/>
        </w:rPr>
        <w:t xml:space="preserve">la </w:t>
      </w:r>
      <w:r w:rsidRPr="00377E66">
        <w:rPr>
          <w:rFonts w:ascii="Arial" w:hAnsi="Arial" w:cs="Arial"/>
          <w:sz w:val="22"/>
          <w:szCs w:val="22"/>
          <w:lang w:val="fr-FR"/>
        </w:rPr>
        <w:t xml:space="preserve">production audiovisuelle </w:t>
      </w:r>
      <w:r>
        <w:rPr>
          <w:rFonts w:ascii="Arial" w:hAnsi="Arial" w:cs="Arial"/>
          <w:sz w:val="22"/>
          <w:szCs w:val="22"/>
          <w:lang w:val="fr-FR"/>
        </w:rPr>
        <w:t xml:space="preserve">augmente et compte tenu de </w:t>
      </w:r>
      <w:r w:rsidRPr="00377E66">
        <w:rPr>
          <w:rFonts w:ascii="Arial" w:hAnsi="Arial" w:cs="Arial"/>
          <w:sz w:val="22"/>
          <w:szCs w:val="22"/>
          <w:lang w:val="fr-FR"/>
        </w:rPr>
        <w:t xml:space="preserve">la nécessité pour les producteurs de consolider tous les droits exclusifs sur les œuvres, il est important d’examiner les mécanismes garantissant </w:t>
      </w:r>
      <w:r>
        <w:rPr>
          <w:rFonts w:ascii="Arial" w:hAnsi="Arial" w:cs="Arial"/>
          <w:sz w:val="22"/>
          <w:szCs w:val="22"/>
          <w:lang w:val="fr-FR"/>
        </w:rPr>
        <w:t>à ces artistes</w:t>
      </w:r>
      <w:r w:rsidRPr="00377E66">
        <w:rPr>
          <w:rFonts w:ascii="Arial" w:hAnsi="Arial" w:cs="Arial"/>
          <w:sz w:val="22"/>
          <w:szCs w:val="22"/>
          <w:lang w:val="fr-FR"/>
        </w:rPr>
        <w:t xml:space="preserve"> une rémunération équitable et appropriée. </w:t>
      </w:r>
      <w:r w:rsidR="00DC6F08">
        <w:rPr>
          <w:rFonts w:ascii="Arial" w:hAnsi="Arial" w:cs="Arial"/>
          <w:sz w:val="22"/>
          <w:szCs w:val="22"/>
          <w:lang w:val="fr-FR"/>
        </w:rPr>
        <w:t xml:space="preserve"> </w:t>
      </w:r>
      <w:r w:rsidRPr="00377E66">
        <w:rPr>
          <w:rFonts w:ascii="Arial" w:hAnsi="Arial" w:cs="Arial"/>
          <w:sz w:val="22"/>
          <w:szCs w:val="22"/>
          <w:lang w:val="fr-FR"/>
        </w:rPr>
        <w:t xml:space="preserve">L’étude devrait donc évaluer les différentes manières dont les pays assurent la participation économique des </w:t>
      </w:r>
      <w:r>
        <w:rPr>
          <w:rFonts w:ascii="Arial" w:hAnsi="Arial" w:cs="Arial"/>
          <w:sz w:val="22"/>
          <w:szCs w:val="22"/>
          <w:lang w:val="fr-FR"/>
        </w:rPr>
        <w:t xml:space="preserve">artistes </w:t>
      </w:r>
      <w:r w:rsidRPr="00377E66">
        <w:rPr>
          <w:rFonts w:ascii="Arial" w:hAnsi="Arial" w:cs="Arial"/>
          <w:sz w:val="22"/>
          <w:szCs w:val="22"/>
          <w:lang w:val="fr-FR"/>
        </w:rPr>
        <w:t xml:space="preserve">interprètes </w:t>
      </w:r>
      <w:r>
        <w:rPr>
          <w:rFonts w:ascii="Arial" w:hAnsi="Arial" w:cs="Arial"/>
          <w:sz w:val="22"/>
          <w:szCs w:val="22"/>
          <w:lang w:val="fr-FR"/>
        </w:rPr>
        <w:t xml:space="preserve">et exécutants </w:t>
      </w:r>
      <w:r w:rsidRPr="00377E66">
        <w:rPr>
          <w:rFonts w:ascii="Arial" w:hAnsi="Arial" w:cs="Arial"/>
          <w:sz w:val="22"/>
          <w:szCs w:val="22"/>
          <w:lang w:val="fr-FR"/>
        </w:rPr>
        <w:t>à l’exploitation de leurs prestations audiovisuelles, en particulier dans l’environnement numérique.</w:t>
      </w:r>
    </w:p>
    <w:p w14:paraId="5A3AD5BD" w14:textId="7DFB617C" w:rsidR="00EC7E0D" w:rsidRDefault="00EC7E0D" w:rsidP="00EC7E0D">
      <w:pPr>
        <w:pStyle w:val="NormalWeb"/>
        <w:snapToGrid w:val="0"/>
        <w:spacing w:before="0" w:beforeAutospacing="0" w:after="240" w:afterAutospacing="0"/>
        <w:rPr>
          <w:rFonts w:ascii="Arial" w:hAnsi="Arial" w:cs="Arial"/>
          <w:sz w:val="22"/>
          <w:szCs w:val="22"/>
          <w:lang w:val="fr-FR"/>
        </w:rPr>
      </w:pPr>
      <w:r w:rsidRPr="00377E66">
        <w:rPr>
          <w:rFonts w:ascii="Arial" w:hAnsi="Arial" w:cs="Arial"/>
          <w:sz w:val="22"/>
          <w:szCs w:val="22"/>
          <w:lang w:val="fr-FR"/>
        </w:rPr>
        <w:t xml:space="preserve">L’étude devrait également examiner comment les différents systèmes juridiques combinent droits exclusifs, droits à rémunération légale, gestion collective et négociation collective pour parvenir à une rémunération équitable des </w:t>
      </w:r>
      <w:r>
        <w:rPr>
          <w:rFonts w:ascii="Arial" w:hAnsi="Arial" w:cs="Arial"/>
          <w:sz w:val="22"/>
          <w:szCs w:val="22"/>
          <w:lang w:val="fr-FR"/>
        </w:rPr>
        <w:t xml:space="preserve">artistes </w:t>
      </w:r>
      <w:r w:rsidRPr="00377E66">
        <w:rPr>
          <w:rFonts w:ascii="Arial" w:hAnsi="Arial" w:cs="Arial"/>
          <w:sz w:val="22"/>
          <w:szCs w:val="22"/>
          <w:lang w:val="fr-FR"/>
        </w:rPr>
        <w:t>interprètes</w:t>
      </w:r>
      <w:r>
        <w:rPr>
          <w:rFonts w:ascii="Arial" w:hAnsi="Arial" w:cs="Arial"/>
          <w:sz w:val="22"/>
          <w:szCs w:val="22"/>
          <w:lang w:val="fr-FR"/>
        </w:rPr>
        <w:t xml:space="preserve"> et exécutants du secteur audiovisuel</w:t>
      </w:r>
      <w:r w:rsidRPr="00377E66">
        <w:rPr>
          <w:rFonts w:ascii="Arial" w:hAnsi="Arial" w:cs="Arial"/>
          <w:sz w:val="22"/>
          <w:szCs w:val="22"/>
          <w:lang w:val="fr-FR"/>
        </w:rPr>
        <w:t xml:space="preserve">. </w:t>
      </w:r>
      <w:r w:rsidR="00DC6F08">
        <w:rPr>
          <w:rFonts w:ascii="Arial" w:hAnsi="Arial" w:cs="Arial"/>
          <w:sz w:val="22"/>
          <w:szCs w:val="22"/>
          <w:lang w:val="fr-FR"/>
        </w:rPr>
        <w:t xml:space="preserve"> </w:t>
      </w:r>
      <w:r w:rsidRPr="00377E66">
        <w:rPr>
          <w:rFonts w:ascii="Arial" w:hAnsi="Arial" w:cs="Arial"/>
          <w:sz w:val="22"/>
          <w:szCs w:val="22"/>
          <w:lang w:val="fr-FR"/>
        </w:rPr>
        <w:t>Ces mécanismes varient largement en structure et en efficacité.</w:t>
      </w:r>
      <w:r w:rsidR="00DC6F08">
        <w:rPr>
          <w:rFonts w:ascii="Arial" w:hAnsi="Arial" w:cs="Arial"/>
          <w:sz w:val="22"/>
          <w:szCs w:val="22"/>
          <w:lang w:val="fr-FR"/>
        </w:rPr>
        <w:t xml:space="preserve"> </w:t>
      </w:r>
      <w:r w:rsidRPr="00377E66">
        <w:rPr>
          <w:rFonts w:ascii="Arial" w:hAnsi="Arial" w:cs="Arial"/>
          <w:sz w:val="22"/>
          <w:szCs w:val="22"/>
          <w:lang w:val="fr-FR"/>
        </w:rPr>
        <w:t xml:space="preserve"> Comprendre leur fonctionnement dans différents marchés fournira des éclairages précieux sur la manière dont les cadres juridiques peuvent évoluer afin de garantir que </w:t>
      </w:r>
      <w:r>
        <w:rPr>
          <w:rFonts w:ascii="Arial" w:hAnsi="Arial" w:cs="Arial"/>
          <w:sz w:val="22"/>
          <w:szCs w:val="22"/>
          <w:lang w:val="fr-FR"/>
        </w:rPr>
        <w:t>ces</w:t>
      </w:r>
      <w:r w:rsidRPr="00377E66">
        <w:rPr>
          <w:rFonts w:ascii="Arial" w:hAnsi="Arial" w:cs="Arial"/>
          <w:sz w:val="22"/>
          <w:szCs w:val="22"/>
          <w:lang w:val="fr-FR"/>
        </w:rPr>
        <w:t xml:space="preserve"> interprètes bénéficient de la valeur économique générée par l’exploitation des œuvres audiovisuelles sur de multiples plateformes.</w:t>
      </w:r>
    </w:p>
    <w:p w14:paraId="474BC1F7" w14:textId="77777777" w:rsidR="00EC7E0D" w:rsidRPr="00377E66" w:rsidRDefault="00EC7E0D" w:rsidP="00EC7E0D">
      <w:pPr>
        <w:pStyle w:val="NormalWeb"/>
        <w:snapToGrid w:val="0"/>
        <w:spacing w:before="0" w:beforeAutospacing="0" w:after="240" w:afterAutospacing="0"/>
        <w:rPr>
          <w:rFonts w:ascii="Arial" w:hAnsi="Arial" w:cs="Arial"/>
          <w:sz w:val="22"/>
          <w:szCs w:val="22"/>
          <w:lang w:val="fr-FR"/>
        </w:rPr>
      </w:pPr>
      <w:r w:rsidRPr="00377E66">
        <w:rPr>
          <w:rFonts w:ascii="Arial" w:hAnsi="Arial" w:cs="Arial"/>
          <w:sz w:val="22"/>
          <w:szCs w:val="22"/>
          <w:lang w:val="fr-FR"/>
        </w:rPr>
        <w:t xml:space="preserve">En </w:t>
      </w:r>
      <w:r>
        <w:rPr>
          <w:rFonts w:ascii="Arial" w:hAnsi="Arial" w:cs="Arial"/>
          <w:sz w:val="22"/>
          <w:szCs w:val="22"/>
          <w:lang w:val="fr-FR"/>
        </w:rPr>
        <w:t>répertoriant</w:t>
      </w:r>
      <w:r w:rsidRPr="00377E66">
        <w:rPr>
          <w:rFonts w:ascii="Arial" w:hAnsi="Arial" w:cs="Arial"/>
          <w:sz w:val="22"/>
          <w:szCs w:val="22"/>
          <w:lang w:val="fr-FR"/>
        </w:rPr>
        <w:t xml:space="preserve"> les régimes juridiques et les pratiques de rémunération </w:t>
      </w:r>
      <w:r>
        <w:rPr>
          <w:rFonts w:ascii="Arial" w:hAnsi="Arial" w:cs="Arial"/>
          <w:sz w:val="22"/>
          <w:szCs w:val="22"/>
          <w:lang w:val="fr-FR"/>
        </w:rPr>
        <w:t>applicables aux</w:t>
      </w:r>
      <w:r w:rsidRPr="00377E66">
        <w:rPr>
          <w:rFonts w:ascii="Arial" w:hAnsi="Arial" w:cs="Arial"/>
          <w:sz w:val="22"/>
          <w:szCs w:val="22"/>
          <w:lang w:val="fr-FR"/>
        </w:rPr>
        <w:t xml:space="preserve"> artistes-interprètes </w:t>
      </w:r>
      <w:r>
        <w:rPr>
          <w:rFonts w:ascii="Arial" w:hAnsi="Arial" w:cs="Arial"/>
          <w:sz w:val="22"/>
          <w:szCs w:val="22"/>
          <w:lang w:val="fr-FR"/>
        </w:rPr>
        <w:t>et exécutants du secteur audiovisuel</w:t>
      </w:r>
      <w:r w:rsidRPr="00377E66">
        <w:rPr>
          <w:rFonts w:ascii="Arial" w:hAnsi="Arial" w:cs="Arial"/>
          <w:sz w:val="22"/>
          <w:szCs w:val="22"/>
          <w:lang w:val="fr-FR"/>
        </w:rPr>
        <w:t xml:space="preserve"> à l’échelle mondiale, l’étude fournirait aux décideurs nationaux les informations comparatives nécessaires pour renforcer la position économique de</w:t>
      </w:r>
      <w:r>
        <w:rPr>
          <w:rFonts w:ascii="Arial" w:hAnsi="Arial" w:cs="Arial"/>
          <w:sz w:val="22"/>
          <w:szCs w:val="22"/>
          <w:lang w:val="fr-FR"/>
        </w:rPr>
        <w:t xml:space="preserve"> ces artistes</w:t>
      </w:r>
      <w:r w:rsidRPr="00377E66">
        <w:rPr>
          <w:rFonts w:ascii="Arial" w:hAnsi="Arial" w:cs="Arial"/>
          <w:sz w:val="22"/>
          <w:szCs w:val="22"/>
          <w:lang w:val="fr-FR"/>
        </w:rPr>
        <w:t xml:space="preserve"> et s’assurer qu’ils soient adéquatement récompensés pour leurs contributions créatives.</w:t>
      </w:r>
    </w:p>
    <w:p w14:paraId="405D05CF" w14:textId="77777777" w:rsidR="00EC7E0D" w:rsidRDefault="00EC7E0D" w:rsidP="00EC7E0D">
      <w:pPr>
        <w:pStyle w:val="NormalWeb"/>
        <w:snapToGrid w:val="0"/>
        <w:spacing w:before="0" w:beforeAutospacing="0" w:after="0" w:afterAutospacing="0"/>
        <w:rPr>
          <w:rFonts w:ascii="Arial" w:hAnsi="Arial" w:cs="Arial"/>
          <w:sz w:val="22"/>
          <w:szCs w:val="22"/>
          <w:lang w:val="fr-FR"/>
        </w:rPr>
      </w:pPr>
      <w:r w:rsidRPr="00377E66">
        <w:rPr>
          <w:rFonts w:ascii="Arial" w:hAnsi="Arial" w:cs="Arial"/>
          <w:sz w:val="22"/>
          <w:szCs w:val="22"/>
          <w:lang w:val="fr-FR"/>
        </w:rPr>
        <w:lastRenderedPageBreak/>
        <w:t xml:space="preserve">Nous sommes convaincus que les membres du Comité et les observateurs bénéficieraient d’un échange de connaissances et d’expériences sur ce sujet, qui revêt une importance cruciale pour la communauté mondiale des artistes-interprètes </w:t>
      </w:r>
      <w:r>
        <w:rPr>
          <w:rFonts w:ascii="Arial" w:hAnsi="Arial" w:cs="Arial"/>
          <w:sz w:val="22"/>
          <w:szCs w:val="22"/>
          <w:lang w:val="fr-FR"/>
        </w:rPr>
        <w:t xml:space="preserve">et exécutants du secteur </w:t>
      </w:r>
      <w:r w:rsidRPr="00377E66">
        <w:rPr>
          <w:rFonts w:ascii="Arial" w:hAnsi="Arial" w:cs="Arial"/>
          <w:sz w:val="22"/>
          <w:szCs w:val="22"/>
          <w:lang w:val="fr-FR"/>
        </w:rPr>
        <w:t>audiovisuel.</w:t>
      </w:r>
    </w:p>
    <w:p w14:paraId="0528BE0F" w14:textId="77777777" w:rsidR="00EC7E0D" w:rsidRPr="00E1628C" w:rsidRDefault="00EC7E0D" w:rsidP="00EC7E0D">
      <w:pPr>
        <w:pStyle w:val="Endofdocument-Annex"/>
        <w:ind w:left="0"/>
        <w:rPr>
          <w:lang w:val="fr-CH"/>
        </w:rPr>
      </w:pPr>
    </w:p>
    <w:p w14:paraId="0885E807" w14:textId="77777777" w:rsidR="00EC7E0D" w:rsidRPr="00E1628C" w:rsidRDefault="00EC7E0D" w:rsidP="00EC7E0D">
      <w:pPr>
        <w:pStyle w:val="Endofdocument-Annex"/>
        <w:ind w:left="0"/>
        <w:rPr>
          <w:lang w:val="fr-CH"/>
        </w:rPr>
      </w:pPr>
    </w:p>
    <w:p w14:paraId="1DC9A712" w14:textId="77777777" w:rsidR="00EC7E0D" w:rsidRPr="00E1628C" w:rsidRDefault="00EC7E0D" w:rsidP="00EC7E0D">
      <w:pPr>
        <w:pStyle w:val="Endofdocument-Annex"/>
        <w:ind w:left="0"/>
        <w:rPr>
          <w:lang w:val="fr-CH"/>
        </w:rPr>
      </w:pPr>
    </w:p>
    <w:p w14:paraId="4BB4B150" w14:textId="14230027" w:rsidR="00EC7E0D" w:rsidRPr="000B7F27" w:rsidRDefault="00EC7E0D" w:rsidP="00EC7E0D">
      <w:pPr>
        <w:pStyle w:val="Endofdocument-Annex"/>
        <w:ind w:left="5940"/>
        <w:rPr>
          <w:iCs/>
        </w:rPr>
      </w:pPr>
      <w:r>
        <w:t>[Fin du document]</w:t>
      </w:r>
      <w:bookmarkEnd w:id="4"/>
    </w:p>
    <w:sectPr w:rsidR="00EC7E0D" w:rsidRPr="000B7F27" w:rsidSect="00EC7E0D">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BF85" w14:textId="77777777" w:rsidR="00EC7E0D" w:rsidRDefault="00EC7E0D">
      <w:r>
        <w:separator/>
      </w:r>
    </w:p>
  </w:endnote>
  <w:endnote w:type="continuationSeparator" w:id="0">
    <w:p w14:paraId="6B03523B" w14:textId="77777777" w:rsidR="00EC7E0D" w:rsidRPr="009D30E6" w:rsidRDefault="00EC7E0D" w:rsidP="00D45252">
      <w:pPr>
        <w:rPr>
          <w:sz w:val="17"/>
          <w:szCs w:val="17"/>
        </w:rPr>
      </w:pPr>
      <w:r w:rsidRPr="009D30E6">
        <w:rPr>
          <w:sz w:val="17"/>
          <w:szCs w:val="17"/>
        </w:rPr>
        <w:separator/>
      </w:r>
    </w:p>
    <w:p w14:paraId="79769EC9" w14:textId="77777777" w:rsidR="00EC7E0D" w:rsidRPr="009D30E6" w:rsidRDefault="00EC7E0D" w:rsidP="00D45252">
      <w:pPr>
        <w:spacing w:after="60"/>
        <w:rPr>
          <w:sz w:val="17"/>
          <w:szCs w:val="17"/>
        </w:rPr>
      </w:pPr>
      <w:r w:rsidRPr="009D30E6">
        <w:rPr>
          <w:sz w:val="17"/>
          <w:szCs w:val="17"/>
        </w:rPr>
        <w:t>[Suite de la note de la page précédente]</w:t>
      </w:r>
    </w:p>
  </w:endnote>
  <w:endnote w:type="continuationNotice" w:id="1">
    <w:p w14:paraId="327AF4F5" w14:textId="77777777" w:rsidR="00EC7E0D" w:rsidRPr="009D30E6" w:rsidRDefault="00EC7E0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70EA" w14:textId="77777777" w:rsidR="00EC7E0D" w:rsidRDefault="00EC7E0D">
      <w:r>
        <w:separator/>
      </w:r>
    </w:p>
  </w:footnote>
  <w:footnote w:type="continuationSeparator" w:id="0">
    <w:p w14:paraId="57879C6B" w14:textId="77777777" w:rsidR="00EC7E0D" w:rsidRDefault="00EC7E0D" w:rsidP="007461F1">
      <w:r>
        <w:separator/>
      </w:r>
    </w:p>
    <w:p w14:paraId="0888A318" w14:textId="77777777" w:rsidR="00EC7E0D" w:rsidRPr="009D30E6" w:rsidRDefault="00EC7E0D" w:rsidP="007461F1">
      <w:pPr>
        <w:spacing w:after="60"/>
        <w:rPr>
          <w:sz w:val="17"/>
          <w:szCs w:val="17"/>
        </w:rPr>
      </w:pPr>
      <w:r w:rsidRPr="009D30E6">
        <w:rPr>
          <w:sz w:val="17"/>
          <w:szCs w:val="17"/>
        </w:rPr>
        <w:t>[Suite de la note de la page précédente]</w:t>
      </w:r>
    </w:p>
  </w:footnote>
  <w:footnote w:type="continuationNotice" w:id="1">
    <w:p w14:paraId="0D037A09" w14:textId="77777777" w:rsidR="00EC7E0D" w:rsidRPr="009D30E6" w:rsidRDefault="00EC7E0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9BD8" w14:textId="6086AB05" w:rsidR="00F16975" w:rsidRDefault="00EC7E0D" w:rsidP="00477D6B">
    <w:pPr>
      <w:jc w:val="right"/>
    </w:pPr>
    <w:bookmarkStart w:id="5" w:name="Code2"/>
    <w:bookmarkEnd w:id="5"/>
    <w:r>
      <w:t>SCCR/47/4</w:t>
    </w:r>
  </w:p>
  <w:p w14:paraId="796C8608" w14:textId="46A4CFB8" w:rsidR="004F4E31" w:rsidRDefault="00F16975" w:rsidP="005A73EA">
    <w:pPr>
      <w:spacing w:after="480"/>
      <w:jc w:val="right"/>
    </w:pPr>
    <w:proofErr w:type="gramStart"/>
    <w:r>
      <w:t>page</w:t>
    </w:r>
    <w:proofErr w:type="gramEnd"/>
    <w:r w:rsidR="00EC7E0D">
      <w:t xml:space="preserve">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5"/>
  </w:num>
  <w:num w:numId="5" w16cid:durableId="49499015">
    <w:abstractNumId w:val="1"/>
  </w:num>
  <w:num w:numId="6" w16cid:durableId="213663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0D"/>
    <w:rsid w:val="00011B7D"/>
    <w:rsid w:val="00075432"/>
    <w:rsid w:val="000F5E56"/>
    <w:rsid w:val="001362EE"/>
    <w:rsid w:val="001832A6"/>
    <w:rsid w:val="00195C6E"/>
    <w:rsid w:val="001B266A"/>
    <w:rsid w:val="001D3D56"/>
    <w:rsid w:val="001F091D"/>
    <w:rsid w:val="00240654"/>
    <w:rsid w:val="002634C4"/>
    <w:rsid w:val="002775F1"/>
    <w:rsid w:val="002D4918"/>
    <w:rsid w:val="002E4D1A"/>
    <w:rsid w:val="002F16BC"/>
    <w:rsid w:val="002F4E68"/>
    <w:rsid w:val="00315FCA"/>
    <w:rsid w:val="003845C1"/>
    <w:rsid w:val="003A1BCD"/>
    <w:rsid w:val="004008A2"/>
    <w:rsid w:val="004025DF"/>
    <w:rsid w:val="00423E3E"/>
    <w:rsid w:val="00427AF4"/>
    <w:rsid w:val="00456117"/>
    <w:rsid w:val="004647DA"/>
    <w:rsid w:val="00477D6B"/>
    <w:rsid w:val="004D6471"/>
    <w:rsid w:val="004F4E31"/>
    <w:rsid w:val="00525B63"/>
    <w:rsid w:val="00547476"/>
    <w:rsid w:val="00561DB8"/>
    <w:rsid w:val="00567A4C"/>
    <w:rsid w:val="005A73EA"/>
    <w:rsid w:val="005E6516"/>
    <w:rsid w:val="00605827"/>
    <w:rsid w:val="00676936"/>
    <w:rsid w:val="0068487B"/>
    <w:rsid w:val="006B0DB5"/>
    <w:rsid w:val="006E4243"/>
    <w:rsid w:val="007461F1"/>
    <w:rsid w:val="0076654B"/>
    <w:rsid w:val="007D6961"/>
    <w:rsid w:val="007F07CB"/>
    <w:rsid w:val="00802EF1"/>
    <w:rsid w:val="00810CEF"/>
    <w:rsid w:val="0081208D"/>
    <w:rsid w:val="00842A13"/>
    <w:rsid w:val="008B2CC1"/>
    <w:rsid w:val="008E5402"/>
    <w:rsid w:val="008E7930"/>
    <w:rsid w:val="0090731E"/>
    <w:rsid w:val="009463E5"/>
    <w:rsid w:val="00966A22"/>
    <w:rsid w:val="00974CD6"/>
    <w:rsid w:val="00975481"/>
    <w:rsid w:val="009D30E6"/>
    <w:rsid w:val="009E3F6F"/>
    <w:rsid w:val="009F28F0"/>
    <w:rsid w:val="009F499F"/>
    <w:rsid w:val="00A02BD3"/>
    <w:rsid w:val="00AC0AE4"/>
    <w:rsid w:val="00AC2EBA"/>
    <w:rsid w:val="00AD61DB"/>
    <w:rsid w:val="00B87BCF"/>
    <w:rsid w:val="00BA62D4"/>
    <w:rsid w:val="00BC5F87"/>
    <w:rsid w:val="00C40E15"/>
    <w:rsid w:val="00C42181"/>
    <w:rsid w:val="00C664C8"/>
    <w:rsid w:val="00C76A79"/>
    <w:rsid w:val="00CA15F5"/>
    <w:rsid w:val="00CF0460"/>
    <w:rsid w:val="00D45252"/>
    <w:rsid w:val="00D55C00"/>
    <w:rsid w:val="00D71B4D"/>
    <w:rsid w:val="00D75C1E"/>
    <w:rsid w:val="00D93D55"/>
    <w:rsid w:val="00DB0349"/>
    <w:rsid w:val="00DC4A0D"/>
    <w:rsid w:val="00DC6F08"/>
    <w:rsid w:val="00DD6A16"/>
    <w:rsid w:val="00E0091A"/>
    <w:rsid w:val="00E1628C"/>
    <w:rsid w:val="00E203AA"/>
    <w:rsid w:val="00E527A5"/>
    <w:rsid w:val="00E76456"/>
    <w:rsid w:val="00E97651"/>
    <w:rsid w:val="00EC7E0D"/>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ABCF"/>
  <w15:docId w15:val="{D4832C3C-DFDA-431A-A6F2-A11A036B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Strong">
    <w:name w:val="Strong"/>
    <w:basedOn w:val="DefaultParagraphFont"/>
    <w:uiPriority w:val="22"/>
    <w:qFormat/>
    <w:rsid w:val="00EC7E0D"/>
    <w:rPr>
      <w:b/>
      <w:bCs/>
    </w:rPr>
  </w:style>
  <w:style w:type="paragraph" w:styleId="NormalWeb">
    <w:name w:val="Normal (Web)"/>
    <w:basedOn w:val="Normal"/>
    <w:uiPriority w:val="99"/>
    <w:unhideWhenUsed/>
    <w:rsid w:val="00EC7E0D"/>
    <w:pPr>
      <w:spacing w:before="100" w:beforeAutospacing="1" w:after="100" w:afterAutospacing="1"/>
    </w:pPr>
    <w:rPr>
      <w:rFonts w:ascii="Times New Roman" w:eastAsia="Times New Roman" w:hAnsi="Times New Roman" w:cs="Times New Roman"/>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(F)</Template>
  <TotalTime>10</TotalTime>
  <Pages>3</Pages>
  <Words>642</Words>
  <Characters>4094</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HAIZEL Francesca</dc:creator>
  <cp:keywords>FOR OFFICIAL USE ONLY</cp:keywords>
  <cp:lastModifiedBy>HAIZEL Francesca</cp:lastModifiedBy>
  <cp:revision>3</cp:revision>
  <cp:lastPrinted>2011-05-19T12:37:00Z</cp:lastPrinted>
  <dcterms:created xsi:type="dcterms:W3CDTF">2025-10-06T12:45:00Z</dcterms:created>
  <dcterms:modified xsi:type="dcterms:W3CDTF">2025-10-06T12:57:00Z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