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1AF8" w14:textId="77777777" w:rsidR="008B2CC1" w:rsidRPr="007E425D" w:rsidRDefault="00DB0349" w:rsidP="00DB0349">
      <w:pPr>
        <w:spacing w:after="120"/>
        <w:jc w:val="right"/>
        <w:rPr>
          <w:lang w:val="fr-FR"/>
        </w:rPr>
      </w:pPr>
      <w:r w:rsidRPr="007E425D">
        <w:rPr>
          <w:noProof/>
          <w:lang w:val="fr-FR" w:eastAsia="en-US"/>
        </w:rPr>
        <w:drawing>
          <wp:inline distT="0" distB="0" distL="0" distR="0" wp14:anchorId="5F08292A" wp14:editId="572022AC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7E425D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06DF0857" wp14:editId="354F9BA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75C2E4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4936586" w14:textId="4930E25B" w:rsidR="008B2CC1" w:rsidRPr="007E425D" w:rsidRDefault="00456117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proofErr w:type="spellStart"/>
      <w:r w:rsidRPr="007E425D">
        <w:rPr>
          <w:rFonts w:ascii="Arial Black" w:hAnsi="Arial Black"/>
          <w:caps/>
          <w:sz w:val="15"/>
          <w:szCs w:val="15"/>
          <w:lang w:val="fr-FR"/>
        </w:rPr>
        <w:t>SCCR</w:t>
      </w:r>
      <w:proofErr w:type="spellEnd"/>
      <w:r w:rsidRPr="007E425D">
        <w:rPr>
          <w:rFonts w:ascii="Arial Black" w:hAnsi="Arial Black"/>
          <w:caps/>
          <w:sz w:val="15"/>
          <w:szCs w:val="15"/>
          <w:lang w:val="fr-FR"/>
        </w:rPr>
        <w:t>/4</w:t>
      </w:r>
      <w:r w:rsidR="00AC2EBA" w:rsidRPr="007E425D">
        <w:rPr>
          <w:rFonts w:ascii="Arial Black" w:hAnsi="Arial Black"/>
          <w:caps/>
          <w:sz w:val="15"/>
          <w:szCs w:val="15"/>
          <w:lang w:val="fr-FR"/>
        </w:rPr>
        <w:t>7</w:t>
      </w:r>
      <w:r w:rsidR="00D55C00" w:rsidRPr="007E425D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A44A8D" w:rsidRPr="007E425D">
        <w:rPr>
          <w:rFonts w:ascii="Arial Black" w:hAnsi="Arial Black"/>
          <w:caps/>
          <w:sz w:val="15"/>
          <w:szCs w:val="15"/>
          <w:lang w:val="fr-FR"/>
        </w:rPr>
        <w:t>12</w:t>
      </w:r>
    </w:p>
    <w:p w14:paraId="35AA9FD2" w14:textId="249EA889" w:rsidR="008B2CC1" w:rsidRPr="007E425D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E425D">
        <w:rPr>
          <w:rFonts w:ascii="Arial Black" w:hAnsi="Arial Black"/>
          <w:caps/>
          <w:sz w:val="15"/>
          <w:szCs w:val="15"/>
          <w:lang w:val="fr-FR"/>
        </w:rPr>
        <w:t>Original</w:t>
      </w:r>
      <w:r w:rsidR="00B51E2B" w:rsidRPr="007E425D">
        <w:rPr>
          <w:rFonts w:ascii="Arial Black" w:hAnsi="Arial Black"/>
          <w:caps/>
          <w:sz w:val="15"/>
          <w:szCs w:val="15"/>
          <w:lang w:val="fr-FR"/>
        </w:rPr>
        <w:t> :</w:t>
      </w:r>
      <w:r w:rsidRPr="007E425D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A44A8D" w:rsidRPr="007E425D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DC20278" w14:textId="2427C426" w:rsidR="008B2CC1" w:rsidRPr="007E425D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E425D">
        <w:rPr>
          <w:rFonts w:ascii="Arial Black" w:hAnsi="Arial Black"/>
          <w:caps/>
          <w:sz w:val="15"/>
          <w:szCs w:val="15"/>
          <w:lang w:val="fr-FR"/>
        </w:rPr>
        <w:t>date</w:t>
      </w:r>
      <w:r w:rsidR="00B51E2B" w:rsidRPr="007E425D">
        <w:rPr>
          <w:rFonts w:ascii="Arial Black" w:hAnsi="Arial Black"/>
          <w:caps/>
          <w:sz w:val="15"/>
          <w:szCs w:val="15"/>
          <w:lang w:val="fr-FR"/>
        </w:rPr>
        <w:t> :</w:t>
      </w:r>
      <w:r w:rsidRPr="007E425D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A44A8D" w:rsidRPr="007E425D">
        <w:rPr>
          <w:rFonts w:ascii="Arial Black" w:hAnsi="Arial Black"/>
          <w:caps/>
          <w:sz w:val="15"/>
          <w:szCs w:val="15"/>
          <w:lang w:val="fr-FR"/>
        </w:rPr>
        <w:t>3 </w:t>
      </w:r>
      <w:proofErr w:type="spellStart"/>
      <w:r w:rsidR="00A44A8D" w:rsidRPr="007E425D">
        <w:rPr>
          <w:rFonts w:ascii="Arial Black" w:hAnsi="Arial Black"/>
          <w:caps/>
          <w:sz w:val="15"/>
          <w:szCs w:val="15"/>
          <w:lang w:val="fr-FR"/>
        </w:rPr>
        <w:t>décembre</w:t>
      </w:r>
      <w:proofErr w:type="spellEnd"/>
      <w:r w:rsidR="00A44A8D" w:rsidRPr="007E425D">
        <w:rPr>
          <w:rFonts w:ascii="Arial Black" w:hAnsi="Arial Black"/>
          <w:caps/>
          <w:sz w:val="15"/>
          <w:szCs w:val="15"/>
          <w:lang w:val="fr-FR"/>
        </w:rPr>
        <w:t> 2025</w:t>
      </w:r>
    </w:p>
    <w:bookmarkEnd w:id="2"/>
    <w:p w14:paraId="46E5A4DD" w14:textId="026C1C93" w:rsidR="00C40E15" w:rsidRPr="007E425D" w:rsidRDefault="00D55C00" w:rsidP="00E97651">
      <w:pPr>
        <w:spacing w:after="480"/>
        <w:rPr>
          <w:b/>
          <w:sz w:val="28"/>
          <w:szCs w:val="28"/>
          <w:lang w:val="fr-FR"/>
        </w:rPr>
      </w:pPr>
      <w:r w:rsidRPr="007E425D">
        <w:rPr>
          <w:b/>
          <w:sz w:val="28"/>
          <w:szCs w:val="28"/>
          <w:lang w:val="fr-FR"/>
        </w:rPr>
        <w:t>Comité permanent du droit d</w:t>
      </w:r>
      <w:r w:rsidR="00B51E2B" w:rsidRPr="007E425D">
        <w:rPr>
          <w:b/>
          <w:sz w:val="28"/>
          <w:szCs w:val="28"/>
          <w:lang w:val="fr-FR"/>
        </w:rPr>
        <w:t>’</w:t>
      </w:r>
      <w:r w:rsidRPr="007E425D">
        <w:rPr>
          <w:b/>
          <w:sz w:val="28"/>
          <w:szCs w:val="28"/>
          <w:lang w:val="fr-FR"/>
        </w:rPr>
        <w:t>auteur et des droits connexes</w:t>
      </w:r>
    </w:p>
    <w:p w14:paraId="72F28215" w14:textId="76548979" w:rsidR="008B2CC1" w:rsidRPr="007E425D" w:rsidRDefault="00D55C00" w:rsidP="008B2CC1">
      <w:pPr>
        <w:rPr>
          <w:b/>
          <w:sz w:val="24"/>
          <w:szCs w:val="24"/>
          <w:lang w:val="fr-FR"/>
        </w:rPr>
      </w:pPr>
      <w:r w:rsidRPr="007E425D">
        <w:rPr>
          <w:b/>
          <w:sz w:val="24"/>
          <w:szCs w:val="24"/>
          <w:lang w:val="fr-FR"/>
        </w:rPr>
        <w:t>Quarante</w:t>
      </w:r>
      <w:r w:rsidR="007E425D">
        <w:rPr>
          <w:b/>
          <w:sz w:val="24"/>
          <w:szCs w:val="24"/>
          <w:lang w:val="fr-FR"/>
        </w:rPr>
        <w:noBreakHyphen/>
      </w:r>
      <w:r w:rsidR="001F091D" w:rsidRPr="007E425D">
        <w:rPr>
          <w:b/>
          <w:sz w:val="24"/>
          <w:szCs w:val="24"/>
          <w:lang w:val="fr-FR"/>
        </w:rPr>
        <w:t>s</w:t>
      </w:r>
      <w:r w:rsidR="00AC2EBA" w:rsidRPr="007E425D">
        <w:rPr>
          <w:b/>
          <w:sz w:val="24"/>
          <w:szCs w:val="24"/>
          <w:lang w:val="fr-FR"/>
        </w:rPr>
        <w:t>ept</w:t>
      </w:r>
      <w:r w:rsidR="00B51E2B" w:rsidRPr="007E425D">
        <w:rPr>
          <w:b/>
          <w:sz w:val="24"/>
          <w:szCs w:val="24"/>
          <w:lang w:val="fr-FR"/>
        </w:rPr>
        <w:t>ième session</w:t>
      </w:r>
    </w:p>
    <w:p w14:paraId="5C754AA0" w14:textId="0847642E" w:rsidR="008B2CC1" w:rsidRPr="007E425D" w:rsidRDefault="00D55C00" w:rsidP="00DB0349">
      <w:pPr>
        <w:spacing w:after="720"/>
        <w:rPr>
          <w:b/>
          <w:sz w:val="24"/>
          <w:szCs w:val="24"/>
          <w:lang w:val="fr-FR"/>
        </w:rPr>
      </w:pPr>
      <w:r w:rsidRPr="007E425D">
        <w:rPr>
          <w:b/>
          <w:sz w:val="24"/>
          <w:szCs w:val="24"/>
          <w:lang w:val="fr-FR"/>
        </w:rPr>
        <w:t>Genève,</w:t>
      </w:r>
      <w:r w:rsidR="00B51E2B" w:rsidRPr="007E425D">
        <w:rPr>
          <w:b/>
          <w:sz w:val="24"/>
          <w:szCs w:val="24"/>
          <w:lang w:val="fr-FR"/>
        </w:rPr>
        <w:t xml:space="preserve"> 1</w:t>
      </w:r>
      <w:r w:rsidR="00B51E2B" w:rsidRPr="007E425D">
        <w:rPr>
          <w:b/>
          <w:sz w:val="24"/>
          <w:szCs w:val="24"/>
          <w:vertAlign w:val="superscript"/>
          <w:lang w:val="fr-FR"/>
        </w:rPr>
        <w:t>er</w:t>
      </w:r>
      <w:r w:rsidR="00B51E2B" w:rsidRPr="007E425D">
        <w:rPr>
          <w:b/>
          <w:sz w:val="24"/>
          <w:szCs w:val="24"/>
          <w:lang w:val="fr-FR"/>
        </w:rPr>
        <w:t> </w:t>
      </w:r>
      <w:r w:rsidR="00456117" w:rsidRPr="007E425D">
        <w:rPr>
          <w:b/>
          <w:sz w:val="24"/>
          <w:szCs w:val="24"/>
          <w:lang w:val="fr-FR"/>
        </w:rPr>
        <w:t xml:space="preserve">– </w:t>
      </w:r>
      <w:r w:rsidR="00AC2EBA" w:rsidRPr="007E425D">
        <w:rPr>
          <w:b/>
          <w:sz w:val="24"/>
          <w:szCs w:val="24"/>
          <w:lang w:val="fr-FR"/>
        </w:rPr>
        <w:t>5</w:t>
      </w:r>
      <w:r w:rsidR="00DC4A0D" w:rsidRPr="007E425D">
        <w:rPr>
          <w:b/>
          <w:sz w:val="24"/>
          <w:szCs w:val="24"/>
          <w:lang w:val="fr-FR"/>
        </w:rPr>
        <w:t> </w:t>
      </w:r>
      <w:r w:rsidR="00AC2EBA" w:rsidRPr="007E425D">
        <w:rPr>
          <w:b/>
          <w:sz w:val="24"/>
          <w:szCs w:val="24"/>
          <w:lang w:val="fr-FR"/>
        </w:rPr>
        <w:t>décembre </w:t>
      </w:r>
      <w:r w:rsidR="00456117" w:rsidRPr="007E425D">
        <w:rPr>
          <w:b/>
          <w:sz w:val="24"/>
          <w:szCs w:val="24"/>
          <w:lang w:val="fr-FR"/>
        </w:rPr>
        <w:t>202</w:t>
      </w:r>
      <w:r w:rsidR="001F091D" w:rsidRPr="007E425D">
        <w:rPr>
          <w:b/>
          <w:sz w:val="24"/>
          <w:szCs w:val="24"/>
          <w:lang w:val="fr-FR"/>
        </w:rPr>
        <w:t>5</w:t>
      </w:r>
    </w:p>
    <w:p w14:paraId="0E10DCB7" w14:textId="40AF06FE" w:rsidR="00A44A8D" w:rsidRPr="007E425D" w:rsidRDefault="007E425D" w:rsidP="007E425D">
      <w:pPr>
        <w:spacing w:after="360"/>
        <w:rPr>
          <w:caps/>
          <w:sz w:val="24"/>
          <w:szCs w:val="24"/>
          <w:lang w:val="fr-FR"/>
        </w:rPr>
      </w:pPr>
      <w:bookmarkStart w:id="3" w:name="TitleOfDoc"/>
      <w:r w:rsidRPr="007E425D">
        <w:rPr>
          <w:caps/>
          <w:sz w:val="24"/>
          <w:szCs w:val="24"/>
          <w:lang w:val="fr-FR"/>
        </w:rPr>
        <w:t>Proposition d’étude sur les types de modèles commerciaux et les débouchés économiques découlant de la mise en œuvre de mesures techniques de protection</w:t>
      </w:r>
    </w:p>
    <w:p w14:paraId="37F00B83" w14:textId="1B3B1581" w:rsidR="00A44A8D" w:rsidRPr="007E425D" w:rsidRDefault="00A44A8D" w:rsidP="00A44A8D">
      <w:pPr>
        <w:spacing w:after="960"/>
        <w:rPr>
          <w:i/>
          <w:lang w:val="fr-FR"/>
        </w:rPr>
      </w:pPr>
      <w:bookmarkStart w:id="4" w:name="Prepared"/>
      <w:bookmarkEnd w:id="3"/>
      <w:r w:rsidRPr="007E425D">
        <w:rPr>
          <w:i/>
          <w:lang w:val="fr-FR"/>
        </w:rPr>
        <w:t>Document établi par la délégation des États</w:t>
      </w:r>
      <w:r w:rsidR="007E425D">
        <w:rPr>
          <w:i/>
          <w:lang w:val="fr-FR"/>
        </w:rPr>
        <w:noBreakHyphen/>
      </w:r>
      <w:r w:rsidRPr="007E425D">
        <w:rPr>
          <w:i/>
          <w:lang w:val="fr-FR"/>
        </w:rPr>
        <w:t>Unis d</w:t>
      </w:r>
      <w:r w:rsidR="00B51E2B" w:rsidRPr="007E425D">
        <w:rPr>
          <w:i/>
          <w:lang w:val="fr-FR"/>
        </w:rPr>
        <w:t>’</w:t>
      </w:r>
      <w:r w:rsidRPr="007E425D">
        <w:rPr>
          <w:i/>
          <w:lang w:val="fr-FR"/>
        </w:rPr>
        <w:t>Amérique</w:t>
      </w:r>
    </w:p>
    <w:bookmarkEnd w:id="4"/>
    <w:p w14:paraId="0EF65F75" w14:textId="77777777" w:rsidR="00A44A8D" w:rsidRPr="007E425D" w:rsidRDefault="00A44A8D" w:rsidP="00A44A8D">
      <w:pPr>
        <w:rPr>
          <w:lang w:val="fr-FR"/>
        </w:rPr>
      </w:pPr>
      <w:r w:rsidRPr="007E425D">
        <w:rPr>
          <w:lang w:val="fr-FR"/>
        </w:rPr>
        <w:br w:type="page"/>
      </w:r>
    </w:p>
    <w:p w14:paraId="5BF39837" w14:textId="77777777" w:rsidR="007E425D" w:rsidRDefault="00A44A8D" w:rsidP="007E425D">
      <w:pPr>
        <w:spacing w:after="220"/>
        <w:rPr>
          <w:lang w:val="fr-FR"/>
        </w:rPr>
      </w:pPr>
      <w:r w:rsidRPr="007E425D">
        <w:rPr>
          <w:lang w:val="fr-FR"/>
        </w:rPr>
        <w:lastRenderedPageBreak/>
        <w:t>Les États</w:t>
      </w:r>
      <w:r w:rsidR="007E425D">
        <w:rPr>
          <w:lang w:val="fr-FR"/>
        </w:rPr>
        <w:noBreakHyphen/>
      </w:r>
      <w:r w:rsidRPr="007E425D">
        <w:rPr>
          <w:lang w:val="fr-FR"/>
        </w:rPr>
        <w:t>Unis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Amérique proposent au Secrétariat de mener une étude visant à répertorier les types de modèles commerciaux et les débouchés économiques rendus possibles pour les créateurs et les industries de la création dans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environnement numérique par la mise en œuvre de mesures techniques de protection.</w:t>
      </w:r>
    </w:p>
    <w:p w14:paraId="087A11C5" w14:textId="77777777" w:rsidR="007E425D" w:rsidRDefault="007E425D" w:rsidP="007E425D">
      <w:pPr>
        <w:spacing w:after="220"/>
        <w:rPr>
          <w:b/>
          <w:bCs/>
          <w:u w:val="single"/>
          <w:lang w:val="fr-FR"/>
        </w:rPr>
      </w:pPr>
      <w:r w:rsidRPr="007E425D">
        <w:rPr>
          <w:b/>
          <w:u w:val="single"/>
          <w:lang w:val="fr-FR"/>
        </w:rPr>
        <w:t>CONTEXTE</w:t>
      </w:r>
    </w:p>
    <w:p w14:paraId="33E07E6D" w14:textId="77777777" w:rsidR="007E425D" w:rsidRDefault="00A44A8D" w:rsidP="007E425D">
      <w:pPr>
        <w:spacing w:after="220"/>
        <w:rPr>
          <w:lang w:val="fr-FR"/>
        </w:rPr>
      </w:pPr>
      <w:r w:rsidRPr="007E425D">
        <w:rPr>
          <w:lang w:val="fr-FR"/>
        </w:rPr>
        <w:t>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utilisation généralisée de mesures techniques de protection par les producteurs de contenu et les services sous licence a facilité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élargissement et la diversification de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offre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œuvres protégées par le droit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auteur désormais disponibles sous forme numérique pour les consommateu</w:t>
      </w:r>
      <w:r w:rsidR="00AE3E01" w:rsidRPr="007E425D">
        <w:rPr>
          <w:lang w:val="fr-FR"/>
        </w:rPr>
        <w:t>rs.  Le</w:t>
      </w:r>
      <w:r w:rsidRPr="007E425D">
        <w:rPr>
          <w:lang w:val="fr-FR"/>
        </w:rPr>
        <w:t>s mesures techniques de protection sont des mesures telles que les technologies de cryptage qui régulent efficacement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accès au contenu créatif et le protègent contre le vol dans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environnement numériq</w:t>
      </w:r>
      <w:r w:rsidR="00AE3E01" w:rsidRPr="007E425D">
        <w:rPr>
          <w:lang w:val="fr-FR"/>
        </w:rPr>
        <w:t>ue.  El</w:t>
      </w:r>
      <w:r w:rsidRPr="007E425D">
        <w:rPr>
          <w:lang w:val="fr-FR"/>
        </w:rPr>
        <w:t>les comprennent des mécanismes de contrôle de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accès (par exemple, mots de passe, barrières de paiement ou abonnements, limites de temps ou cryptage/brouillage) qui empêchent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accès non autorisé aux œuvres protégées par le droit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auteur, et de la copie (par exemple, blocage du téléchargement de contenus diffusés en continu, blocage de la copie de musique et de films numériques, blocage de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impression, marquage et filigranes) qui empêchent la copie de contenus sans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autorisation du propriétai</w:t>
      </w:r>
      <w:r w:rsidR="00AE3E01" w:rsidRPr="007E425D">
        <w:rPr>
          <w:lang w:val="fr-FR"/>
        </w:rPr>
        <w:t>re.  El</w:t>
      </w:r>
      <w:r w:rsidRPr="007E425D">
        <w:rPr>
          <w:lang w:val="fr-FR"/>
        </w:rPr>
        <w:t>les peuvent également englober des mesures technologiques visant à empêcher le moissonnage de données non autorisé en réservant les droits sur les œuvres protégé</w:t>
      </w:r>
      <w:r w:rsidR="00AE3E01" w:rsidRPr="007E425D">
        <w:rPr>
          <w:lang w:val="fr-FR"/>
        </w:rPr>
        <w:t>es.  Ce</w:t>
      </w:r>
      <w:r w:rsidRPr="007E425D">
        <w:rPr>
          <w:lang w:val="fr-FR"/>
        </w:rPr>
        <w:t>s mesures ont favorisé la création de produits et services commerciaux novateurs et créatifs permettant de mettre à disposition en ligne des œuvres protégées par le droit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auteur, en donnant aux créateurs et aux titulaires de droits la possibilité de contrôler et de gérer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accès à leurs œuvres comme ils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entendent, ainsi que de diversifier leurs produits, leurs services et leurs tarifs pour le public.</w:t>
      </w:r>
    </w:p>
    <w:p w14:paraId="43D25D2C" w14:textId="77777777" w:rsidR="007E425D" w:rsidRDefault="00A44A8D" w:rsidP="007E425D">
      <w:pPr>
        <w:spacing w:after="220"/>
        <w:rPr>
          <w:rFonts w:cs="Times New Roman"/>
          <w:lang w:val="fr-FR"/>
        </w:rPr>
      </w:pPr>
      <w:r w:rsidRPr="007E425D">
        <w:rPr>
          <w:lang w:val="fr-FR"/>
        </w:rPr>
        <w:t>La neutralisation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une mesure technique de protection signifie “le désembrouillage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une œuvre brouillée ou le décryptage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une œuvre cryptée, ou tout autre procédé visant à éviter, contourner, supprimer, désactiver ou altérer une mesure technique de protection sans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autorisation du titulaire du droit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 xml:space="preserve">auteur”. </w:t>
      </w:r>
      <w:r w:rsidR="009B31B7" w:rsidRPr="007E425D">
        <w:rPr>
          <w:lang w:val="fr-FR"/>
        </w:rPr>
        <w:t xml:space="preserve"> </w:t>
      </w:r>
      <w:r w:rsidRPr="007E425D">
        <w:rPr>
          <w:lang w:val="fr-FR"/>
        </w:rPr>
        <w:t>Il existe aujourd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hui des services illicites dont le seul but est de neutraliser les mesures techniques de protection, notamment des sites</w:t>
      </w:r>
      <w:r w:rsidR="009B31B7" w:rsidRPr="007E425D">
        <w:rPr>
          <w:lang w:val="fr-FR"/>
        </w:rPr>
        <w:t> </w:t>
      </w:r>
      <w:r w:rsidRPr="007E425D">
        <w:rPr>
          <w:lang w:val="fr-FR"/>
        </w:rPr>
        <w:t xml:space="preserve">Web qui permettent aux internautes de saisir un lien vers une vidéo YouTube et de recevoir un fichier téléchargeable du contenu de la vidéo sans autorisation ni </w:t>
      </w:r>
      <w:proofErr w:type="gramStart"/>
      <w:r w:rsidRPr="007E425D">
        <w:rPr>
          <w:lang w:val="fr-FR"/>
        </w:rPr>
        <w:t>rémunération approprié</w:t>
      </w:r>
      <w:r w:rsidR="00AE3E01" w:rsidRPr="007E425D">
        <w:rPr>
          <w:lang w:val="fr-FR"/>
        </w:rPr>
        <w:t>es</w:t>
      </w:r>
      <w:proofErr w:type="gramEnd"/>
      <w:r w:rsidR="00AE3E01" w:rsidRPr="007E425D">
        <w:rPr>
          <w:lang w:val="fr-FR"/>
        </w:rPr>
        <w:t>.  Un</w:t>
      </w:r>
      <w:r w:rsidRPr="007E425D">
        <w:rPr>
          <w:lang w:val="fr-FR"/>
        </w:rPr>
        <w:t>e autre méthode courante de neutralisation de mesures techniques de protection consiste à utiliser des codes de triche non autorisés dans les jeux vidéo pour débloquer des fonctionnalités qui améliorent le jeu de manière indue et sans rémunération appropri</w:t>
      </w:r>
      <w:r w:rsidR="00AE3E01" w:rsidRPr="007E425D">
        <w:rPr>
          <w:lang w:val="fr-FR"/>
        </w:rPr>
        <w:t>ée.  Bi</w:t>
      </w:r>
      <w:r w:rsidRPr="007E425D">
        <w:rPr>
          <w:lang w:val="fr-FR"/>
        </w:rPr>
        <w:t>en souvent, ces codes sont vendus en ligne et peuvent contenir des virus qui font courir un risque à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utilisateur.</w:t>
      </w:r>
    </w:p>
    <w:p w14:paraId="42EB23F3" w14:textId="77777777" w:rsidR="007E425D" w:rsidRDefault="00A44A8D" w:rsidP="007E425D">
      <w:pPr>
        <w:spacing w:after="220" w:line="259" w:lineRule="auto"/>
        <w:rPr>
          <w:lang w:val="fr-FR"/>
        </w:rPr>
      </w:pPr>
      <w:r w:rsidRPr="007E425D">
        <w:rPr>
          <w:lang w:val="fr-FR"/>
        </w:rPr>
        <w:t>Le Traité de l</w:t>
      </w:r>
      <w:r w:rsidR="00B51E2B" w:rsidRPr="007E425D">
        <w:rPr>
          <w:lang w:val="fr-FR"/>
        </w:rPr>
        <w:t>’</w:t>
      </w:r>
      <w:proofErr w:type="spellStart"/>
      <w:r w:rsidRPr="007E425D">
        <w:rPr>
          <w:lang w:val="fr-FR"/>
        </w:rPr>
        <w:t>OMPI</w:t>
      </w:r>
      <w:proofErr w:type="spellEnd"/>
      <w:r w:rsidRPr="007E425D">
        <w:rPr>
          <w:lang w:val="fr-FR"/>
        </w:rPr>
        <w:t xml:space="preserve"> sur le droit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auteur et le Traité de l</w:t>
      </w:r>
      <w:r w:rsidR="00B51E2B" w:rsidRPr="007E425D">
        <w:rPr>
          <w:lang w:val="fr-FR"/>
        </w:rPr>
        <w:t>’</w:t>
      </w:r>
      <w:proofErr w:type="spellStart"/>
      <w:r w:rsidRPr="007E425D">
        <w:rPr>
          <w:lang w:val="fr-FR"/>
        </w:rPr>
        <w:t>OMPI</w:t>
      </w:r>
      <w:proofErr w:type="spellEnd"/>
      <w:r w:rsidRPr="007E425D">
        <w:rPr>
          <w:lang w:val="fr-FR"/>
        </w:rPr>
        <w:t xml:space="preserve"> sur les interprétations et exécutions et les phonogrammes (collectivement dénommés “traités Internet de l</w:t>
      </w:r>
      <w:r w:rsidR="00B51E2B" w:rsidRPr="007E425D">
        <w:rPr>
          <w:lang w:val="fr-FR"/>
        </w:rPr>
        <w:t>’</w:t>
      </w:r>
      <w:proofErr w:type="spellStart"/>
      <w:r w:rsidRPr="007E425D">
        <w:rPr>
          <w:lang w:val="fr-FR"/>
        </w:rPr>
        <w:t>OMPI</w:t>
      </w:r>
      <w:proofErr w:type="spellEnd"/>
      <w:r w:rsidRPr="007E425D">
        <w:rPr>
          <w:lang w:val="fr-FR"/>
        </w:rPr>
        <w:t xml:space="preserve">”), tous deux adoptés </w:t>
      </w:r>
      <w:r w:rsidR="00B51E2B" w:rsidRPr="007E425D">
        <w:rPr>
          <w:lang w:val="fr-FR"/>
        </w:rPr>
        <w:t>en 1996</w:t>
      </w:r>
      <w:r w:rsidRPr="007E425D">
        <w:rPr>
          <w:lang w:val="fr-FR"/>
        </w:rPr>
        <w:t>, accordent aux créateurs et aux industries de la création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ensemble des droits exclusifs dans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 xml:space="preserve">environnement numérique en réseau, </w:t>
      </w:r>
      <w:r w:rsidR="00B51E2B" w:rsidRPr="007E425D">
        <w:rPr>
          <w:lang w:val="fr-FR"/>
        </w:rPr>
        <w:t>y compris</w:t>
      </w:r>
      <w:r w:rsidRPr="007E425D">
        <w:rPr>
          <w:lang w:val="fr-FR"/>
        </w:rPr>
        <w:t xml:space="preserve"> le droit à “une protection juridique appropriée et des sanctions juridiques efficaces contre la neutralisation des mesures techniques efficaces”</w:t>
      </w:r>
      <w:r w:rsidRPr="007E425D">
        <w:rPr>
          <w:rStyle w:val="FootnoteReference"/>
          <w:rFonts w:cs="Times New Roman"/>
          <w:lang w:val="fr-FR"/>
        </w:rPr>
        <w:footnoteReference w:id="2"/>
      </w:r>
      <w:r w:rsidRPr="007E425D">
        <w:rPr>
          <w:lang w:val="fr-FR"/>
        </w:rPr>
        <w:t>.</w:t>
      </w:r>
      <w:r w:rsidR="009B31B7" w:rsidRPr="007E425D">
        <w:rPr>
          <w:lang w:val="fr-FR"/>
        </w:rPr>
        <w:t xml:space="preserve"> </w:t>
      </w:r>
      <w:r w:rsidRPr="007E425D">
        <w:rPr>
          <w:lang w:val="fr-FR"/>
        </w:rPr>
        <w:t xml:space="preserve"> La création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 xml:space="preserve">un cadre juridique prévoyant une protection juridique appropriée et des sanctions juridiques efficaces contre la neutralisation des mesures techniques efficaces, </w:t>
      </w:r>
      <w:r w:rsidR="00B51E2B" w:rsidRPr="007E425D">
        <w:rPr>
          <w:lang w:val="fr-FR"/>
        </w:rPr>
        <w:t>y compris</w:t>
      </w:r>
      <w:r w:rsidRPr="007E425D">
        <w:rPr>
          <w:lang w:val="fr-FR"/>
        </w:rPr>
        <w:t xml:space="preserve"> contre le trafic de dispositifs ou de technologies de neutralisation, apparaît souvent comme essentielle pour faciliter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échange numérique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œuvres protégées par le droit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auteur et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octroi de licences sur ces œuvr</w:t>
      </w:r>
      <w:r w:rsidR="00AE3E01" w:rsidRPr="007E425D">
        <w:rPr>
          <w:lang w:val="fr-FR"/>
        </w:rPr>
        <w:t>es.  Da</w:t>
      </w:r>
      <w:r w:rsidRPr="007E425D">
        <w:rPr>
          <w:lang w:val="fr-FR"/>
        </w:rPr>
        <w:t>ns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environnement technologique hautement numérisé et sophistiqué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aujourd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hui, il est primordial de suivre le rythme de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évolution des méthodes et des outils de prévention du piratage numérique afin de protéger les créateurs et le bon fonctionnement de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économie de la création à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 xml:space="preserve">échelle </w:t>
      </w:r>
      <w:r w:rsidRPr="007E425D">
        <w:rPr>
          <w:lang w:val="fr-FR"/>
        </w:rPr>
        <w:lastRenderedPageBreak/>
        <w:t>mondia</w:t>
      </w:r>
      <w:r w:rsidR="00AE3E01" w:rsidRPr="007E425D">
        <w:rPr>
          <w:lang w:val="fr-FR"/>
        </w:rPr>
        <w:t>le.  L’o</w:t>
      </w:r>
      <w:r w:rsidRPr="007E425D">
        <w:rPr>
          <w:lang w:val="fr-FR"/>
        </w:rPr>
        <w:t>bjectif de cette étude sera de définir comment la mise en œuvre de mesures techniques de protection adéquates et efficaces a contribué à ce résultat.</w:t>
      </w:r>
    </w:p>
    <w:p w14:paraId="0C1184BF" w14:textId="77777777" w:rsidR="007E425D" w:rsidRDefault="00A44A8D" w:rsidP="007E425D">
      <w:pPr>
        <w:spacing w:after="220"/>
        <w:rPr>
          <w:rFonts w:cs="Times New Roman"/>
          <w:b/>
          <w:bCs/>
          <w:u w:val="single"/>
          <w:lang w:val="fr-FR"/>
        </w:rPr>
      </w:pPr>
      <w:r w:rsidRPr="007E425D">
        <w:rPr>
          <w:b/>
          <w:u w:val="single"/>
          <w:lang w:val="fr-FR"/>
        </w:rPr>
        <w:t>ÉTUDE SUR LES MODÈLES COMMERCIAUX FONDÉS SUR LES MESURES TECHNIQUES DE PROTECTION POUR LES CRÉATEURS ET LES INDUSTRIES DE LA CRÉATION</w:t>
      </w:r>
    </w:p>
    <w:p w14:paraId="01350B14" w14:textId="77777777" w:rsidR="007E425D" w:rsidRDefault="00A44A8D" w:rsidP="007E425D">
      <w:pPr>
        <w:spacing w:after="220" w:line="259" w:lineRule="auto"/>
        <w:rPr>
          <w:rFonts w:cs="Times New Roman"/>
          <w:lang w:val="fr-FR"/>
        </w:rPr>
      </w:pPr>
      <w:r w:rsidRPr="007E425D">
        <w:rPr>
          <w:lang w:val="fr-FR"/>
        </w:rPr>
        <w:t>Les mesures techniques de protection sont utilisées depuis longtemps pour concevoir des modèles commerciaux performants et innovants pour les créateurs et les industries de la création dans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environnement numérique mondi</w:t>
      </w:r>
      <w:r w:rsidR="00AE3E01" w:rsidRPr="007E425D">
        <w:rPr>
          <w:lang w:val="fr-FR"/>
        </w:rPr>
        <w:t>al.  Il</w:t>
      </w:r>
      <w:r w:rsidRPr="007E425D">
        <w:rPr>
          <w:lang w:val="fr-FR"/>
        </w:rPr>
        <w:t xml:space="preserve"> demeure toutefois nécessaire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examiner les mécanismes juridiques de fond qui sous</w:t>
      </w:r>
      <w:r w:rsidR="007E425D">
        <w:rPr>
          <w:lang w:val="fr-FR"/>
        </w:rPr>
        <w:noBreakHyphen/>
      </w:r>
      <w:r w:rsidRPr="007E425D">
        <w:rPr>
          <w:lang w:val="fr-FR"/>
        </w:rPr>
        <w:t>tendent ces solutions axées sur le marché pour protéger les œuvres protégées par le droit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auteur dans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environnement numériq</w:t>
      </w:r>
      <w:r w:rsidR="00AE3E01" w:rsidRPr="007E425D">
        <w:rPr>
          <w:lang w:val="fr-FR"/>
        </w:rPr>
        <w:t>ue.  Ce</w:t>
      </w:r>
      <w:r w:rsidRPr="007E425D">
        <w:rPr>
          <w:lang w:val="fr-FR"/>
        </w:rPr>
        <w:t>tte étude sera particulièrement importante pour les États membres qui prévoient de réviser leur cadre juridique national afin de soutenir les créateurs et les industries de la création nouveaux et à venir.  En outre, elle pourra fournir des informations sur les modèles commerciaux fondés sur les mesures techniques de protection et les débouchés économiques qui découlent de mécanismes juridiques bien établis à travers le mon</w:t>
      </w:r>
      <w:r w:rsidR="00AE3E01" w:rsidRPr="007E425D">
        <w:rPr>
          <w:lang w:val="fr-FR"/>
        </w:rPr>
        <w:t>de.  En</w:t>
      </w:r>
      <w:r w:rsidRPr="007E425D">
        <w:rPr>
          <w:lang w:val="fr-FR"/>
        </w:rPr>
        <w:t>fin, les États membres tireront parti de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analyse de la manière dont les mécanismes juridiques qui permettent la mise en œuvre de mesures techniques de protection aident concrètement les créateurs et les industries de la création à réduire les coûts liés à la protection de leurs œuvres en ligne et à éviter de se priver des ressources nécessaires à la réalisation de leur mission première, qui est de créer,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interpréter ou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exécuter, de produire ou de diffuser des œuvres de création.</w:t>
      </w:r>
    </w:p>
    <w:p w14:paraId="16CE0386" w14:textId="77777777" w:rsidR="007E425D" w:rsidRDefault="00A44A8D" w:rsidP="007E425D">
      <w:pPr>
        <w:spacing w:after="220"/>
        <w:rPr>
          <w:rFonts w:cs="Times New Roman"/>
          <w:lang w:val="fr-FR"/>
        </w:rPr>
      </w:pPr>
      <w:r w:rsidRPr="007E425D">
        <w:rPr>
          <w:lang w:val="fr-FR"/>
        </w:rPr>
        <w:t>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objectif principal de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étude sera de recenser les mécanismes juridiques qui sous</w:t>
      </w:r>
      <w:r w:rsidR="007E425D">
        <w:rPr>
          <w:lang w:val="fr-FR"/>
        </w:rPr>
        <w:noBreakHyphen/>
      </w:r>
      <w:r w:rsidRPr="007E425D">
        <w:rPr>
          <w:lang w:val="fr-FR"/>
        </w:rPr>
        <w:t>tendent une protection efficace dans les législations nationales des États membres de l</w:t>
      </w:r>
      <w:r w:rsidR="00B51E2B" w:rsidRPr="007E425D">
        <w:rPr>
          <w:lang w:val="fr-FR"/>
        </w:rPr>
        <w:t>’</w:t>
      </w:r>
      <w:proofErr w:type="spellStart"/>
      <w:r w:rsidRPr="007E425D">
        <w:rPr>
          <w:lang w:val="fr-FR"/>
        </w:rPr>
        <w:t>OMPI</w:t>
      </w:r>
      <w:proofErr w:type="spellEnd"/>
      <w:r w:rsidRPr="007E425D">
        <w:rPr>
          <w:lang w:val="fr-FR"/>
        </w:rPr>
        <w:t>, notamment au moyen d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un examen des mesures juridiques de fond qui définissent la portée de la protection des mesures techniques de protection efficaces et qui interdisent et sanctionnent leur neutralisati</w:t>
      </w:r>
      <w:r w:rsidR="00AE3E01" w:rsidRPr="007E425D">
        <w:rPr>
          <w:lang w:val="fr-FR"/>
        </w:rPr>
        <w:t>on.  En</w:t>
      </w:r>
      <w:r w:rsidRPr="007E425D">
        <w:rPr>
          <w:lang w:val="fr-FR"/>
        </w:rPr>
        <w:t xml:space="preserve"> outre, l</w:t>
      </w:r>
      <w:r w:rsidR="00B51E2B" w:rsidRPr="007E425D">
        <w:rPr>
          <w:lang w:val="fr-FR"/>
        </w:rPr>
        <w:t>’</w:t>
      </w:r>
      <w:r w:rsidRPr="007E425D">
        <w:rPr>
          <w:lang w:val="fr-FR"/>
        </w:rPr>
        <w:t>étude devra</w:t>
      </w:r>
      <w:r w:rsidR="00B51E2B" w:rsidRPr="007E425D">
        <w:rPr>
          <w:lang w:val="fr-FR"/>
        </w:rPr>
        <w:t> :</w:t>
      </w:r>
    </w:p>
    <w:p w14:paraId="4BE7D6C8" w14:textId="35C3E36D" w:rsidR="00B51E2B" w:rsidRPr="007E425D" w:rsidRDefault="00A44A8D" w:rsidP="007E425D">
      <w:pPr>
        <w:pStyle w:val="ListParagraph"/>
        <w:numPr>
          <w:ilvl w:val="0"/>
          <w:numId w:val="7"/>
        </w:numPr>
        <w:spacing w:after="220"/>
        <w:ind w:left="1134" w:hanging="567"/>
        <w:rPr>
          <w:rFonts w:ascii="Arial" w:hAnsi="Arial" w:cs="Arial"/>
          <w:sz w:val="22"/>
          <w:szCs w:val="22"/>
        </w:rPr>
      </w:pPr>
      <w:proofErr w:type="gramStart"/>
      <w:r w:rsidRPr="007E425D">
        <w:rPr>
          <w:rFonts w:ascii="Arial" w:hAnsi="Arial" w:cs="Arial"/>
          <w:sz w:val="22"/>
          <w:szCs w:val="22"/>
        </w:rPr>
        <w:t>produire</w:t>
      </w:r>
      <w:proofErr w:type="gramEnd"/>
      <w:r w:rsidRPr="007E425D">
        <w:rPr>
          <w:rFonts w:ascii="Arial" w:hAnsi="Arial" w:cs="Arial"/>
          <w:sz w:val="22"/>
          <w:szCs w:val="22"/>
        </w:rPr>
        <w:t xml:space="preserve"> une liste d</w:t>
      </w:r>
      <w:r w:rsidR="00B51E2B" w:rsidRPr="007E425D">
        <w:rPr>
          <w:rFonts w:ascii="Arial" w:hAnsi="Arial" w:cs="Arial"/>
          <w:sz w:val="22"/>
          <w:szCs w:val="22"/>
        </w:rPr>
        <w:t>’</w:t>
      </w:r>
      <w:r w:rsidRPr="007E425D">
        <w:rPr>
          <w:rFonts w:ascii="Arial" w:hAnsi="Arial" w:cs="Arial"/>
          <w:sz w:val="22"/>
          <w:szCs w:val="22"/>
        </w:rPr>
        <w:t>exemples concrets de modèles commerciaux et de débouchés économiques pour les créateurs et les industries de la création dans l</w:t>
      </w:r>
      <w:r w:rsidR="00B51E2B" w:rsidRPr="007E425D">
        <w:rPr>
          <w:rFonts w:ascii="Arial" w:hAnsi="Arial" w:cs="Arial"/>
          <w:sz w:val="22"/>
          <w:szCs w:val="22"/>
        </w:rPr>
        <w:t>’</w:t>
      </w:r>
      <w:r w:rsidRPr="007E425D">
        <w:rPr>
          <w:rFonts w:ascii="Arial" w:hAnsi="Arial" w:cs="Arial"/>
          <w:sz w:val="22"/>
          <w:szCs w:val="22"/>
        </w:rPr>
        <w:t xml:space="preserve">environnement numérique qui découlent de la protection par les mesures techniques de </w:t>
      </w:r>
      <w:proofErr w:type="gramStart"/>
      <w:r w:rsidRPr="007E425D">
        <w:rPr>
          <w:rFonts w:ascii="Arial" w:hAnsi="Arial" w:cs="Arial"/>
          <w:sz w:val="22"/>
          <w:szCs w:val="22"/>
        </w:rPr>
        <w:t>protection;</w:t>
      </w:r>
      <w:proofErr w:type="gramEnd"/>
    </w:p>
    <w:p w14:paraId="424399C6" w14:textId="6FBE25A8" w:rsidR="00B51E2B" w:rsidRPr="007E425D" w:rsidRDefault="00A44A8D" w:rsidP="007E425D">
      <w:pPr>
        <w:pStyle w:val="ListParagraph"/>
        <w:numPr>
          <w:ilvl w:val="0"/>
          <w:numId w:val="7"/>
        </w:numPr>
        <w:spacing w:after="220"/>
        <w:ind w:left="1134" w:hanging="567"/>
        <w:rPr>
          <w:rFonts w:ascii="Arial" w:hAnsi="Arial" w:cs="Arial"/>
          <w:sz w:val="22"/>
          <w:szCs w:val="22"/>
        </w:rPr>
      </w:pPr>
      <w:proofErr w:type="gramStart"/>
      <w:r w:rsidRPr="007E425D">
        <w:rPr>
          <w:rFonts w:ascii="Arial" w:hAnsi="Arial" w:cs="Arial"/>
          <w:sz w:val="22"/>
          <w:szCs w:val="22"/>
        </w:rPr>
        <w:t>fournir</w:t>
      </w:r>
      <w:proofErr w:type="gramEnd"/>
      <w:r w:rsidRPr="007E425D">
        <w:rPr>
          <w:rFonts w:ascii="Arial" w:hAnsi="Arial" w:cs="Arial"/>
          <w:sz w:val="22"/>
          <w:szCs w:val="22"/>
        </w:rPr>
        <w:t xml:space="preserve"> des exemples provenant d</w:t>
      </w:r>
      <w:r w:rsidR="00B51E2B" w:rsidRPr="007E425D">
        <w:rPr>
          <w:rFonts w:ascii="Arial" w:hAnsi="Arial" w:cs="Arial"/>
          <w:sz w:val="22"/>
          <w:szCs w:val="22"/>
        </w:rPr>
        <w:t>’</w:t>
      </w:r>
      <w:r w:rsidRPr="007E425D">
        <w:rPr>
          <w:rFonts w:ascii="Arial" w:hAnsi="Arial" w:cs="Arial"/>
          <w:sz w:val="22"/>
          <w:szCs w:val="22"/>
        </w:rPr>
        <w:t>un large éventail d</w:t>
      </w:r>
      <w:r w:rsidR="00B51E2B" w:rsidRPr="007E425D">
        <w:rPr>
          <w:rFonts w:ascii="Arial" w:hAnsi="Arial" w:cs="Arial"/>
          <w:sz w:val="22"/>
          <w:szCs w:val="22"/>
        </w:rPr>
        <w:t>’</w:t>
      </w:r>
      <w:r w:rsidRPr="007E425D">
        <w:rPr>
          <w:rFonts w:ascii="Arial" w:hAnsi="Arial" w:cs="Arial"/>
          <w:sz w:val="22"/>
          <w:szCs w:val="22"/>
        </w:rPr>
        <w:t>industries de la création, d</w:t>
      </w:r>
      <w:r w:rsidR="00B51E2B" w:rsidRPr="007E425D">
        <w:rPr>
          <w:rFonts w:ascii="Arial" w:hAnsi="Arial" w:cs="Arial"/>
          <w:sz w:val="22"/>
          <w:szCs w:val="22"/>
        </w:rPr>
        <w:t>’</w:t>
      </w:r>
      <w:r w:rsidRPr="007E425D">
        <w:rPr>
          <w:rFonts w:ascii="Arial" w:hAnsi="Arial" w:cs="Arial"/>
          <w:sz w:val="22"/>
          <w:szCs w:val="22"/>
        </w:rPr>
        <w:t xml:space="preserve">entités de tailles diverses, de régions et de communautés de </w:t>
      </w:r>
      <w:proofErr w:type="gramStart"/>
      <w:r w:rsidRPr="007E425D">
        <w:rPr>
          <w:rFonts w:ascii="Arial" w:hAnsi="Arial" w:cs="Arial"/>
          <w:sz w:val="22"/>
          <w:szCs w:val="22"/>
        </w:rPr>
        <w:t>créateurs;</w:t>
      </w:r>
      <w:proofErr w:type="gramEnd"/>
    </w:p>
    <w:p w14:paraId="5D7A1F39" w14:textId="66EDB75E" w:rsidR="00B51E2B" w:rsidRPr="007E425D" w:rsidRDefault="00A44A8D" w:rsidP="007E425D">
      <w:pPr>
        <w:pStyle w:val="ListParagraph"/>
        <w:numPr>
          <w:ilvl w:val="0"/>
          <w:numId w:val="7"/>
        </w:numPr>
        <w:spacing w:after="220"/>
        <w:ind w:left="1134" w:hanging="567"/>
        <w:rPr>
          <w:rFonts w:ascii="Arial" w:hAnsi="Arial" w:cs="Arial"/>
          <w:sz w:val="22"/>
          <w:szCs w:val="22"/>
        </w:rPr>
      </w:pPr>
      <w:proofErr w:type="gramStart"/>
      <w:r w:rsidRPr="007E425D">
        <w:rPr>
          <w:rFonts w:ascii="Arial" w:hAnsi="Arial" w:cs="Arial"/>
          <w:sz w:val="22"/>
          <w:szCs w:val="22"/>
        </w:rPr>
        <w:t>indiquer</w:t>
      </w:r>
      <w:proofErr w:type="gramEnd"/>
      <w:r w:rsidRPr="007E425D">
        <w:rPr>
          <w:rFonts w:ascii="Arial" w:hAnsi="Arial" w:cs="Arial"/>
          <w:sz w:val="22"/>
          <w:szCs w:val="22"/>
        </w:rPr>
        <w:t xml:space="preserve"> le ou les cadres juridiques et la ou les solutions technologiques qui sous</w:t>
      </w:r>
      <w:r w:rsidR="007E425D" w:rsidRPr="007E425D">
        <w:rPr>
          <w:rFonts w:ascii="Arial" w:hAnsi="Arial" w:cs="Arial"/>
          <w:sz w:val="22"/>
          <w:szCs w:val="22"/>
        </w:rPr>
        <w:noBreakHyphen/>
      </w:r>
      <w:r w:rsidRPr="007E425D">
        <w:rPr>
          <w:rFonts w:ascii="Arial" w:hAnsi="Arial" w:cs="Arial"/>
          <w:sz w:val="22"/>
          <w:szCs w:val="22"/>
        </w:rPr>
        <w:t xml:space="preserve">tendent chaque </w:t>
      </w:r>
      <w:proofErr w:type="gramStart"/>
      <w:r w:rsidRPr="007E425D">
        <w:rPr>
          <w:rFonts w:ascii="Arial" w:hAnsi="Arial" w:cs="Arial"/>
          <w:sz w:val="22"/>
          <w:szCs w:val="22"/>
        </w:rPr>
        <w:t xml:space="preserve">exemple; </w:t>
      </w:r>
      <w:r w:rsidR="009B31B7" w:rsidRPr="007E425D">
        <w:rPr>
          <w:rFonts w:ascii="Arial" w:hAnsi="Arial" w:cs="Arial"/>
          <w:sz w:val="22"/>
          <w:szCs w:val="22"/>
        </w:rPr>
        <w:t xml:space="preserve"> </w:t>
      </w:r>
      <w:r w:rsidRPr="007E425D">
        <w:rPr>
          <w:rFonts w:ascii="Arial" w:hAnsi="Arial" w:cs="Arial"/>
          <w:sz w:val="22"/>
          <w:szCs w:val="22"/>
        </w:rPr>
        <w:t>et</w:t>
      </w:r>
      <w:proofErr w:type="gramEnd"/>
    </w:p>
    <w:p w14:paraId="4EF466FA" w14:textId="5961168D" w:rsidR="00B51E2B" w:rsidRPr="007E425D" w:rsidRDefault="00A44A8D" w:rsidP="007E425D">
      <w:pPr>
        <w:pStyle w:val="ListParagraph"/>
        <w:numPr>
          <w:ilvl w:val="0"/>
          <w:numId w:val="7"/>
        </w:numPr>
        <w:spacing w:after="220"/>
        <w:ind w:left="1134" w:hanging="567"/>
        <w:rPr>
          <w:rFonts w:ascii="Arial" w:hAnsi="Arial" w:cs="Arial"/>
          <w:sz w:val="22"/>
          <w:szCs w:val="22"/>
        </w:rPr>
      </w:pPr>
      <w:proofErr w:type="gramStart"/>
      <w:r w:rsidRPr="007E425D">
        <w:rPr>
          <w:rFonts w:ascii="Arial" w:hAnsi="Arial" w:cs="Arial"/>
          <w:sz w:val="22"/>
          <w:szCs w:val="22"/>
        </w:rPr>
        <w:t>expliquer</w:t>
      </w:r>
      <w:proofErr w:type="gramEnd"/>
      <w:r w:rsidRPr="007E425D">
        <w:rPr>
          <w:rFonts w:ascii="Arial" w:hAnsi="Arial" w:cs="Arial"/>
          <w:sz w:val="22"/>
          <w:szCs w:val="22"/>
        </w:rPr>
        <w:t xml:space="preserve"> si et comment le piratage des œuvres de création visées dans chaque exemple a été atténué ou empêché par les mesures techniques de protection, </w:t>
      </w:r>
      <w:r w:rsidR="00B51E2B" w:rsidRPr="007E425D">
        <w:rPr>
          <w:rFonts w:ascii="Arial" w:hAnsi="Arial" w:cs="Arial"/>
          <w:sz w:val="22"/>
          <w:szCs w:val="22"/>
        </w:rPr>
        <w:t>y compris</w:t>
      </w:r>
      <w:r w:rsidRPr="007E425D">
        <w:rPr>
          <w:rFonts w:ascii="Arial" w:hAnsi="Arial" w:cs="Arial"/>
          <w:sz w:val="22"/>
          <w:szCs w:val="22"/>
        </w:rPr>
        <w:t>, dans la mesure du possible, les pertes financières et d</w:t>
      </w:r>
      <w:r w:rsidR="00B51E2B" w:rsidRPr="007E425D">
        <w:rPr>
          <w:rFonts w:ascii="Arial" w:hAnsi="Arial" w:cs="Arial"/>
          <w:sz w:val="22"/>
          <w:szCs w:val="22"/>
        </w:rPr>
        <w:t>’</w:t>
      </w:r>
      <w:r w:rsidRPr="007E425D">
        <w:rPr>
          <w:rFonts w:ascii="Arial" w:hAnsi="Arial" w:cs="Arial"/>
          <w:sz w:val="22"/>
          <w:szCs w:val="22"/>
        </w:rPr>
        <w:t>emploi potentielles pour le créateur ou les industries de la création sans protection par des mesures techniques de protection.</w:t>
      </w:r>
    </w:p>
    <w:p w14:paraId="2A88D961" w14:textId="310CB123" w:rsidR="000F5E56" w:rsidRPr="007E425D" w:rsidRDefault="00A44A8D" w:rsidP="00A44A8D">
      <w:pPr>
        <w:pStyle w:val="Endofdocument-Annex"/>
      </w:pPr>
      <w:r w:rsidRPr="007E425D">
        <w:t>[Fin du document]</w:t>
      </w:r>
    </w:p>
    <w:sectPr w:rsidR="000F5E56" w:rsidRPr="007E425D" w:rsidSect="006613F2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EDB07" w14:textId="77777777" w:rsidR="00A44A8D" w:rsidRDefault="00A44A8D">
      <w:r>
        <w:separator/>
      </w:r>
    </w:p>
  </w:endnote>
  <w:endnote w:type="continuationSeparator" w:id="0">
    <w:p w14:paraId="52EA64FE" w14:textId="77777777" w:rsidR="00A44A8D" w:rsidRPr="009D30E6" w:rsidRDefault="00A44A8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5314AA1" w14:textId="77777777" w:rsidR="00A44A8D" w:rsidRPr="009D30E6" w:rsidRDefault="00A44A8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CEBCE63" w14:textId="77777777" w:rsidR="00A44A8D" w:rsidRPr="009D30E6" w:rsidRDefault="00A44A8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8D23" w14:textId="77777777" w:rsidR="00A44A8D" w:rsidRDefault="00A44A8D">
      <w:r>
        <w:separator/>
      </w:r>
    </w:p>
  </w:footnote>
  <w:footnote w:type="continuationSeparator" w:id="0">
    <w:p w14:paraId="13BB875A" w14:textId="77777777" w:rsidR="00A44A8D" w:rsidRDefault="00A44A8D" w:rsidP="007461F1">
      <w:r>
        <w:separator/>
      </w:r>
    </w:p>
    <w:p w14:paraId="1C44473D" w14:textId="77777777" w:rsidR="00A44A8D" w:rsidRPr="009D30E6" w:rsidRDefault="00A44A8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33316D1" w14:textId="77777777" w:rsidR="00A44A8D" w:rsidRPr="009D30E6" w:rsidRDefault="00A44A8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36AA2CAC" w14:textId="48BC3982" w:rsidR="00A44A8D" w:rsidRPr="007E425D" w:rsidRDefault="00A44A8D" w:rsidP="007E425D">
      <w:pPr>
        <w:pStyle w:val="FootnoteText"/>
        <w:tabs>
          <w:tab w:val="left" w:pos="567"/>
        </w:tabs>
        <w:rPr>
          <w:szCs w:val="18"/>
        </w:rPr>
      </w:pPr>
      <w:r w:rsidRPr="007E425D">
        <w:rPr>
          <w:rStyle w:val="FootnoteReference"/>
          <w:szCs w:val="18"/>
        </w:rPr>
        <w:footnoteRef/>
      </w:r>
      <w:r w:rsidRPr="007E425D">
        <w:rPr>
          <w:szCs w:val="18"/>
        </w:rPr>
        <w:t xml:space="preserve"> </w:t>
      </w:r>
      <w:r w:rsidR="007E425D">
        <w:rPr>
          <w:szCs w:val="18"/>
        </w:rPr>
        <w:tab/>
      </w:r>
      <w:r w:rsidRPr="007E425D">
        <w:rPr>
          <w:szCs w:val="18"/>
        </w:rPr>
        <w:t>Article 11 du Traité de l</w:t>
      </w:r>
      <w:r w:rsidR="00590EC6" w:rsidRPr="007E425D">
        <w:rPr>
          <w:szCs w:val="18"/>
        </w:rPr>
        <w:t>’</w:t>
      </w:r>
      <w:proofErr w:type="spellStart"/>
      <w:r w:rsidRPr="007E425D">
        <w:rPr>
          <w:szCs w:val="18"/>
        </w:rPr>
        <w:t>OMPI</w:t>
      </w:r>
      <w:proofErr w:type="spellEnd"/>
      <w:r w:rsidRPr="007E425D">
        <w:rPr>
          <w:szCs w:val="18"/>
        </w:rPr>
        <w:t xml:space="preserve"> sur le droit d</w:t>
      </w:r>
      <w:r w:rsidR="00590EC6" w:rsidRPr="007E425D">
        <w:rPr>
          <w:szCs w:val="18"/>
        </w:rPr>
        <w:t>’</w:t>
      </w:r>
      <w:r w:rsidRPr="007E425D">
        <w:rPr>
          <w:szCs w:val="18"/>
        </w:rPr>
        <w:t>auteur;  article 18 du Traité de l</w:t>
      </w:r>
      <w:r w:rsidR="00590EC6" w:rsidRPr="007E425D">
        <w:rPr>
          <w:szCs w:val="18"/>
        </w:rPr>
        <w:t>’</w:t>
      </w:r>
      <w:proofErr w:type="spellStart"/>
      <w:r w:rsidRPr="007E425D">
        <w:rPr>
          <w:szCs w:val="18"/>
        </w:rPr>
        <w:t>OMPI</w:t>
      </w:r>
      <w:proofErr w:type="spellEnd"/>
      <w:r w:rsidRPr="007E425D">
        <w:rPr>
          <w:szCs w:val="18"/>
        </w:rPr>
        <w:t xml:space="preserve"> sur les interprétations et exécutions et les phonogrammes.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2E00" w14:textId="389BDCDD" w:rsidR="00F16975" w:rsidRDefault="00A44A8D" w:rsidP="00477D6B">
    <w:pPr>
      <w:jc w:val="right"/>
    </w:pPr>
    <w:bookmarkStart w:id="5" w:name="Code2"/>
    <w:bookmarkEnd w:id="5"/>
    <w:proofErr w:type="spellStart"/>
    <w:r>
      <w:t>SCCR</w:t>
    </w:r>
    <w:proofErr w:type="spellEnd"/>
    <w:r>
      <w:t>/47/12</w:t>
    </w:r>
  </w:p>
  <w:p w14:paraId="24FB673B" w14:textId="77777777" w:rsidR="004F4E31" w:rsidRDefault="00F16975" w:rsidP="005A73EA">
    <w:pPr>
      <w:spacing w:after="480"/>
      <w:jc w:val="right"/>
    </w:pPr>
    <w:proofErr w:type="gramStart"/>
    <w:r>
      <w:t>page</w:t>
    </w:r>
    <w:proofErr w:type="gramEnd"/>
    <w:r w:rsidR="005A73E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E890A26"/>
    <w:multiLevelType w:val="hybridMultilevel"/>
    <w:tmpl w:val="7DB86514"/>
    <w:lvl w:ilvl="0" w:tplc="882436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76EB94">
      <w:start w:val="1"/>
      <w:numFmt w:val="lowerLetter"/>
      <w:lvlText w:val="%2."/>
      <w:lvlJc w:val="left"/>
      <w:pPr>
        <w:ind w:left="1440" w:hanging="360"/>
      </w:pPr>
    </w:lvl>
    <w:lvl w:ilvl="2" w:tplc="369A1F16">
      <w:start w:val="1"/>
      <w:numFmt w:val="lowerRoman"/>
      <w:lvlText w:val="%3."/>
      <w:lvlJc w:val="right"/>
      <w:pPr>
        <w:ind w:left="2160" w:hanging="180"/>
      </w:pPr>
    </w:lvl>
    <w:lvl w:ilvl="3" w:tplc="FD1E0E6E">
      <w:start w:val="1"/>
      <w:numFmt w:val="decimal"/>
      <w:lvlText w:val="%4."/>
      <w:lvlJc w:val="left"/>
      <w:pPr>
        <w:ind w:left="2880" w:hanging="360"/>
      </w:pPr>
    </w:lvl>
    <w:lvl w:ilvl="4" w:tplc="E29E813A">
      <w:start w:val="1"/>
      <w:numFmt w:val="lowerLetter"/>
      <w:lvlText w:val="%5."/>
      <w:lvlJc w:val="left"/>
      <w:pPr>
        <w:ind w:left="3600" w:hanging="360"/>
      </w:pPr>
    </w:lvl>
    <w:lvl w:ilvl="5" w:tplc="103C2BD0">
      <w:start w:val="1"/>
      <w:numFmt w:val="lowerRoman"/>
      <w:lvlText w:val="%6."/>
      <w:lvlJc w:val="right"/>
      <w:pPr>
        <w:ind w:left="4320" w:hanging="180"/>
      </w:pPr>
    </w:lvl>
    <w:lvl w:ilvl="6" w:tplc="4796CAC8">
      <w:start w:val="1"/>
      <w:numFmt w:val="decimal"/>
      <w:lvlText w:val="%7."/>
      <w:lvlJc w:val="left"/>
      <w:pPr>
        <w:ind w:left="5040" w:hanging="360"/>
      </w:pPr>
    </w:lvl>
    <w:lvl w:ilvl="7" w:tplc="03867278">
      <w:start w:val="1"/>
      <w:numFmt w:val="lowerLetter"/>
      <w:lvlText w:val="%8."/>
      <w:lvlJc w:val="left"/>
      <w:pPr>
        <w:ind w:left="5760" w:hanging="360"/>
      </w:pPr>
    </w:lvl>
    <w:lvl w:ilvl="8" w:tplc="048231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185916">
    <w:abstractNumId w:val="2"/>
  </w:num>
  <w:num w:numId="2" w16cid:durableId="1922137027">
    <w:abstractNumId w:val="5"/>
  </w:num>
  <w:num w:numId="3" w16cid:durableId="1708218136">
    <w:abstractNumId w:val="0"/>
  </w:num>
  <w:num w:numId="4" w16cid:durableId="329069435">
    <w:abstractNumId w:val="6"/>
  </w:num>
  <w:num w:numId="5" w16cid:durableId="49499015">
    <w:abstractNumId w:val="1"/>
  </w:num>
  <w:num w:numId="6" w16cid:durableId="2136636949">
    <w:abstractNumId w:val="3"/>
  </w:num>
  <w:num w:numId="7" w16cid:durableId="649285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D"/>
    <w:rsid w:val="00011B7D"/>
    <w:rsid w:val="00075432"/>
    <w:rsid w:val="000F5E56"/>
    <w:rsid w:val="001362EE"/>
    <w:rsid w:val="001832A6"/>
    <w:rsid w:val="00195C6E"/>
    <w:rsid w:val="001B266A"/>
    <w:rsid w:val="001D3D56"/>
    <w:rsid w:val="001F091D"/>
    <w:rsid w:val="00240654"/>
    <w:rsid w:val="002634C4"/>
    <w:rsid w:val="002D4918"/>
    <w:rsid w:val="002E4D1A"/>
    <w:rsid w:val="002F16BC"/>
    <w:rsid w:val="002F4E68"/>
    <w:rsid w:val="00315FCA"/>
    <w:rsid w:val="003845C1"/>
    <w:rsid w:val="003A1BCD"/>
    <w:rsid w:val="003E5AAD"/>
    <w:rsid w:val="004008A2"/>
    <w:rsid w:val="004025DF"/>
    <w:rsid w:val="00423E3E"/>
    <w:rsid w:val="00427AF4"/>
    <w:rsid w:val="00456117"/>
    <w:rsid w:val="004647DA"/>
    <w:rsid w:val="00477D6B"/>
    <w:rsid w:val="004D6471"/>
    <w:rsid w:val="004F4E31"/>
    <w:rsid w:val="00525B63"/>
    <w:rsid w:val="00547476"/>
    <w:rsid w:val="00561DB8"/>
    <w:rsid w:val="00567A4C"/>
    <w:rsid w:val="00590EC6"/>
    <w:rsid w:val="005A73EA"/>
    <w:rsid w:val="005E6516"/>
    <w:rsid w:val="00605827"/>
    <w:rsid w:val="006613F2"/>
    <w:rsid w:val="00676936"/>
    <w:rsid w:val="0068487B"/>
    <w:rsid w:val="006B0DB5"/>
    <w:rsid w:val="006E4243"/>
    <w:rsid w:val="007461F1"/>
    <w:rsid w:val="0076654B"/>
    <w:rsid w:val="007D6961"/>
    <w:rsid w:val="007E425D"/>
    <w:rsid w:val="007F07CB"/>
    <w:rsid w:val="00802EF1"/>
    <w:rsid w:val="00810CEF"/>
    <w:rsid w:val="0081208D"/>
    <w:rsid w:val="00842A13"/>
    <w:rsid w:val="008B2CC1"/>
    <w:rsid w:val="008C5B98"/>
    <w:rsid w:val="008E5402"/>
    <w:rsid w:val="008E7930"/>
    <w:rsid w:val="0090731E"/>
    <w:rsid w:val="009463E5"/>
    <w:rsid w:val="009526B3"/>
    <w:rsid w:val="00966A22"/>
    <w:rsid w:val="00974CD6"/>
    <w:rsid w:val="00975481"/>
    <w:rsid w:val="009B31B7"/>
    <w:rsid w:val="009D30E6"/>
    <w:rsid w:val="009E3F6F"/>
    <w:rsid w:val="009F28F0"/>
    <w:rsid w:val="009F499F"/>
    <w:rsid w:val="00A02BD3"/>
    <w:rsid w:val="00A44A8D"/>
    <w:rsid w:val="00AC0AE4"/>
    <w:rsid w:val="00AC2EBA"/>
    <w:rsid w:val="00AD61DB"/>
    <w:rsid w:val="00AE3E01"/>
    <w:rsid w:val="00B51E2B"/>
    <w:rsid w:val="00B87BCF"/>
    <w:rsid w:val="00BA62D4"/>
    <w:rsid w:val="00BC5F87"/>
    <w:rsid w:val="00C40E15"/>
    <w:rsid w:val="00C42181"/>
    <w:rsid w:val="00C664C8"/>
    <w:rsid w:val="00C76A79"/>
    <w:rsid w:val="00CA15F5"/>
    <w:rsid w:val="00CB07A3"/>
    <w:rsid w:val="00CF0460"/>
    <w:rsid w:val="00D45252"/>
    <w:rsid w:val="00D55C00"/>
    <w:rsid w:val="00D71B4D"/>
    <w:rsid w:val="00D75C1E"/>
    <w:rsid w:val="00D93D55"/>
    <w:rsid w:val="00DB0349"/>
    <w:rsid w:val="00DC4A0D"/>
    <w:rsid w:val="00DD6A16"/>
    <w:rsid w:val="00E0091A"/>
    <w:rsid w:val="00E203AA"/>
    <w:rsid w:val="00E527A5"/>
    <w:rsid w:val="00E76456"/>
    <w:rsid w:val="00E97651"/>
    <w:rsid w:val="00EE71CB"/>
    <w:rsid w:val="00F16975"/>
    <w:rsid w:val="00F63669"/>
    <w:rsid w:val="00F66152"/>
    <w:rsid w:val="00FD43B9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C443C"/>
  <w15:docId w15:val="{471DC5BD-244A-48D0-B6B6-5A0E3C5C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4025DF"/>
    <w:rPr>
      <w:sz w:val="18"/>
    </w:rPr>
  </w:style>
  <w:style w:type="paragraph" w:customStyle="1" w:styleId="Endofdocument-Annex">
    <w:name w:val="[End of document - Annex]"/>
    <w:basedOn w:val="Normal"/>
    <w:rsid w:val="00A44A8D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A44A8D"/>
    <w:pPr>
      <w:ind w:left="720"/>
      <w:contextualSpacing/>
    </w:pPr>
    <w:rPr>
      <w:rFonts w:ascii="Times New Roman" w:eastAsiaTheme="minorHAnsi" w:hAnsi="Times New Roman" w:cs="Times New Roman (Body CS)"/>
      <w:sz w:val="24"/>
      <w:szCs w:val="24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4A8D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A44A8D"/>
    <w:rPr>
      <w:vertAlign w:val="superscript"/>
    </w:rPr>
  </w:style>
  <w:style w:type="character" w:styleId="Hyperlink">
    <w:name w:val="Hyperlink"/>
    <w:basedOn w:val="DefaultParagraphFont"/>
    <w:semiHidden/>
    <w:unhideWhenUsed/>
    <w:rsid w:val="00AE3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SCCR_47 (F)</Template>
  <TotalTime>1</TotalTime>
  <Pages>3</Pages>
  <Words>1106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SCCR/47/12</vt:lpstr>
    </vt:vector>
  </TitlesOfParts>
  <Company>WIPO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SCCR/47/12</dc:title>
  <dc:creator>OLIVIÉ Karen</dc:creator>
  <cp:keywords>FOR OFFICIAL USE ONLY</cp:keywords>
  <cp:lastModifiedBy>HAIZEL Francesca</cp:lastModifiedBy>
  <cp:revision>2</cp:revision>
  <cp:lastPrinted>2011-05-19T12:37:00Z</cp:lastPrinted>
  <dcterms:created xsi:type="dcterms:W3CDTF">2025-12-09T11:05:00Z</dcterms:created>
  <dcterms:modified xsi:type="dcterms:W3CDTF">2025-12-09T11:05:00Z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2023-06-15T13:22:49Z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84ae5d55-befb-4a6b-9165-348fa8e40043</vt:lpwstr>
  </property>
  <property fmtid="{D5CDD505-2E9C-101B-9397-08002B2CF9AE}" pid="14" name="MSIP_Label_20773ee6-353b-4fb9-a59d-0b94c8c67bea_ContentBits">
    <vt:lpwstr>0</vt:lpwstr>
  </property>
</Properties>
</file>