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17A75" w14:textId="77777777" w:rsidR="008B2CC1" w:rsidRPr="009E1AFF" w:rsidRDefault="00DB0349" w:rsidP="009E1AFF">
      <w:pPr>
        <w:spacing w:after="120"/>
        <w:jc w:val="right"/>
        <w:rPr>
          <w:lang w:val="fr-FR"/>
        </w:rPr>
      </w:pPr>
      <w:r w:rsidRPr="009E1AFF">
        <w:rPr>
          <w:noProof/>
          <w:lang w:val="fr-FR" w:eastAsia="en-US"/>
        </w:rPr>
        <w:drawing>
          <wp:inline distT="0" distB="0" distL="0" distR="0" wp14:anchorId="748F7F87" wp14:editId="401C5195">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9E1AFF">
        <w:rPr>
          <w:rFonts w:ascii="Arial Black" w:hAnsi="Arial Black"/>
          <w:caps/>
          <w:noProof/>
          <w:sz w:val="15"/>
          <w:szCs w:val="15"/>
          <w:lang w:val="fr-FR" w:eastAsia="en-US"/>
        </w:rPr>
        <mc:AlternateContent>
          <mc:Choice Requires="wps">
            <w:drawing>
              <wp:inline distT="0" distB="0" distL="0" distR="0" wp14:anchorId="19729E91" wp14:editId="5D39E78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061F8D0"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A13C87F" w14:textId="0D4972FD" w:rsidR="008B2CC1" w:rsidRPr="009E1AFF" w:rsidRDefault="00456117" w:rsidP="009E1AFF">
      <w:pPr>
        <w:jc w:val="right"/>
        <w:rPr>
          <w:rFonts w:ascii="Arial Black" w:hAnsi="Arial Black"/>
          <w:caps/>
          <w:sz w:val="15"/>
          <w:szCs w:val="15"/>
          <w:lang w:val="fr-FR"/>
        </w:rPr>
      </w:pPr>
      <w:proofErr w:type="spellStart"/>
      <w:r w:rsidRPr="009E1AFF">
        <w:rPr>
          <w:rFonts w:ascii="Arial Black" w:hAnsi="Arial Black"/>
          <w:caps/>
          <w:sz w:val="15"/>
          <w:szCs w:val="15"/>
          <w:lang w:val="fr-FR"/>
        </w:rPr>
        <w:t>SCCR</w:t>
      </w:r>
      <w:proofErr w:type="spellEnd"/>
      <w:r w:rsidRPr="009E1AFF">
        <w:rPr>
          <w:rFonts w:ascii="Arial Black" w:hAnsi="Arial Black"/>
          <w:caps/>
          <w:sz w:val="15"/>
          <w:szCs w:val="15"/>
          <w:lang w:val="fr-FR"/>
        </w:rPr>
        <w:t>/4</w:t>
      </w:r>
      <w:r w:rsidR="00AC2EBA" w:rsidRPr="009E1AFF">
        <w:rPr>
          <w:rFonts w:ascii="Arial Black" w:hAnsi="Arial Black"/>
          <w:caps/>
          <w:sz w:val="15"/>
          <w:szCs w:val="15"/>
          <w:lang w:val="fr-FR"/>
        </w:rPr>
        <w:t>7</w:t>
      </w:r>
      <w:r w:rsidR="00D55C00" w:rsidRPr="009E1AFF">
        <w:rPr>
          <w:rFonts w:ascii="Arial Black" w:hAnsi="Arial Black"/>
          <w:caps/>
          <w:sz w:val="15"/>
          <w:szCs w:val="15"/>
          <w:lang w:val="fr-FR"/>
        </w:rPr>
        <w:t>/</w:t>
      </w:r>
      <w:bookmarkStart w:id="0" w:name="Code"/>
      <w:bookmarkEnd w:id="0"/>
      <w:r w:rsidR="0005558E" w:rsidRPr="009E1AFF">
        <w:rPr>
          <w:rFonts w:ascii="Arial Black" w:hAnsi="Arial Black"/>
          <w:caps/>
          <w:sz w:val="15"/>
          <w:szCs w:val="15"/>
          <w:lang w:val="fr-FR"/>
        </w:rPr>
        <w:t>11</w:t>
      </w:r>
    </w:p>
    <w:p w14:paraId="13FFA2DB" w14:textId="78D2370D" w:rsidR="008B2CC1" w:rsidRPr="009E1AFF" w:rsidRDefault="00DB0349" w:rsidP="009E1AFF">
      <w:pPr>
        <w:jc w:val="right"/>
        <w:rPr>
          <w:rFonts w:ascii="Arial Black" w:hAnsi="Arial Black"/>
          <w:caps/>
          <w:sz w:val="15"/>
          <w:szCs w:val="15"/>
          <w:lang w:val="fr-FR"/>
        </w:rPr>
      </w:pPr>
      <w:r w:rsidRPr="009E1AFF">
        <w:rPr>
          <w:rFonts w:ascii="Arial Black" w:hAnsi="Arial Black"/>
          <w:caps/>
          <w:sz w:val="15"/>
          <w:szCs w:val="15"/>
          <w:lang w:val="fr-FR"/>
        </w:rPr>
        <w:t>Original</w:t>
      </w:r>
      <w:r w:rsidR="009E1AFF">
        <w:rPr>
          <w:rFonts w:ascii="Arial Black" w:hAnsi="Arial Black"/>
          <w:caps/>
          <w:sz w:val="15"/>
          <w:szCs w:val="15"/>
          <w:lang w:val="fr-FR"/>
        </w:rPr>
        <w:t> :</w:t>
      </w:r>
      <w:r w:rsidRPr="009E1AFF">
        <w:rPr>
          <w:rFonts w:ascii="Arial Black" w:hAnsi="Arial Black"/>
          <w:caps/>
          <w:sz w:val="15"/>
          <w:szCs w:val="15"/>
          <w:lang w:val="fr-FR"/>
        </w:rPr>
        <w:t xml:space="preserve"> </w:t>
      </w:r>
      <w:bookmarkStart w:id="1" w:name="Original"/>
      <w:r w:rsidR="0005558E" w:rsidRPr="009E1AFF">
        <w:rPr>
          <w:rFonts w:ascii="Arial Black" w:hAnsi="Arial Black"/>
          <w:caps/>
          <w:sz w:val="15"/>
          <w:szCs w:val="15"/>
          <w:lang w:val="fr-FR"/>
        </w:rPr>
        <w:t>anglais</w:t>
      </w:r>
    </w:p>
    <w:bookmarkEnd w:id="1"/>
    <w:p w14:paraId="5117628E" w14:textId="40B6A8E5" w:rsidR="008B2CC1" w:rsidRPr="009E1AFF" w:rsidRDefault="00DB0349" w:rsidP="009E1AFF">
      <w:pPr>
        <w:spacing w:after="1200"/>
        <w:jc w:val="right"/>
        <w:rPr>
          <w:rFonts w:ascii="Arial Black" w:hAnsi="Arial Black"/>
          <w:caps/>
          <w:sz w:val="15"/>
          <w:szCs w:val="15"/>
          <w:lang w:val="fr-FR"/>
        </w:rPr>
      </w:pPr>
      <w:r w:rsidRPr="009E1AFF">
        <w:rPr>
          <w:rFonts w:ascii="Arial Black" w:hAnsi="Arial Black"/>
          <w:caps/>
          <w:sz w:val="15"/>
          <w:szCs w:val="15"/>
          <w:lang w:val="fr-FR"/>
        </w:rPr>
        <w:t>date</w:t>
      </w:r>
      <w:r w:rsidR="009E1AFF">
        <w:rPr>
          <w:rFonts w:ascii="Arial Black" w:hAnsi="Arial Black"/>
          <w:caps/>
          <w:sz w:val="15"/>
          <w:szCs w:val="15"/>
          <w:lang w:val="fr-FR"/>
        </w:rPr>
        <w:t> :</w:t>
      </w:r>
      <w:r w:rsidRPr="009E1AFF">
        <w:rPr>
          <w:rFonts w:ascii="Arial Black" w:hAnsi="Arial Black"/>
          <w:caps/>
          <w:sz w:val="15"/>
          <w:szCs w:val="15"/>
          <w:lang w:val="fr-FR"/>
        </w:rPr>
        <w:t xml:space="preserve"> </w:t>
      </w:r>
      <w:bookmarkStart w:id="2" w:name="Date"/>
      <w:r w:rsidR="0005558E" w:rsidRPr="009E1AFF">
        <w:rPr>
          <w:rFonts w:ascii="Arial Black" w:hAnsi="Arial Black"/>
          <w:caps/>
          <w:sz w:val="15"/>
          <w:szCs w:val="15"/>
          <w:lang w:val="fr-FR"/>
        </w:rPr>
        <w:t>3 </w:t>
      </w:r>
      <w:proofErr w:type="spellStart"/>
      <w:r w:rsidR="0005558E" w:rsidRPr="009E1AFF">
        <w:rPr>
          <w:rFonts w:ascii="Arial Black" w:hAnsi="Arial Black"/>
          <w:caps/>
          <w:sz w:val="15"/>
          <w:szCs w:val="15"/>
          <w:lang w:val="fr-FR"/>
        </w:rPr>
        <w:t>décembre</w:t>
      </w:r>
      <w:proofErr w:type="spellEnd"/>
      <w:r w:rsidR="0005558E" w:rsidRPr="009E1AFF">
        <w:rPr>
          <w:rFonts w:ascii="Arial Black" w:hAnsi="Arial Black"/>
          <w:caps/>
          <w:sz w:val="15"/>
          <w:szCs w:val="15"/>
          <w:lang w:val="fr-FR"/>
        </w:rPr>
        <w:t> 2025</w:t>
      </w:r>
    </w:p>
    <w:bookmarkEnd w:id="2"/>
    <w:p w14:paraId="092CC7DE" w14:textId="1EC61533" w:rsidR="00C40E15" w:rsidRPr="009E1AFF" w:rsidRDefault="00D55C00" w:rsidP="009E1AFF">
      <w:pPr>
        <w:spacing w:after="480"/>
        <w:rPr>
          <w:b/>
          <w:sz w:val="28"/>
          <w:szCs w:val="28"/>
          <w:lang w:val="fr-FR"/>
        </w:rPr>
      </w:pPr>
      <w:r w:rsidRPr="009E1AFF">
        <w:rPr>
          <w:b/>
          <w:sz w:val="28"/>
          <w:szCs w:val="28"/>
          <w:lang w:val="fr-FR"/>
        </w:rPr>
        <w:t>Comité permanent du droit d</w:t>
      </w:r>
      <w:r w:rsidR="009E1AFF">
        <w:rPr>
          <w:b/>
          <w:sz w:val="28"/>
          <w:szCs w:val="28"/>
          <w:lang w:val="fr-FR"/>
        </w:rPr>
        <w:t>’</w:t>
      </w:r>
      <w:r w:rsidRPr="009E1AFF">
        <w:rPr>
          <w:b/>
          <w:sz w:val="28"/>
          <w:szCs w:val="28"/>
          <w:lang w:val="fr-FR"/>
        </w:rPr>
        <w:t>auteur et des droits connexes</w:t>
      </w:r>
    </w:p>
    <w:p w14:paraId="15FC40CE" w14:textId="6ABF2F4E" w:rsidR="008B2CC1" w:rsidRPr="009E1AFF" w:rsidRDefault="00D55C00" w:rsidP="009E1AFF">
      <w:pPr>
        <w:rPr>
          <w:b/>
          <w:sz w:val="24"/>
          <w:szCs w:val="24"/>
          <w:lang w:val="fr-FR"/>
        </w:rPr>
      </w:pPr>
      <w:r w:rsidRPr="009E1AFF">
        <w:rPr>
          <w:b/>
          <w:sz w:val="24"/>
          <w:szCs w:val="24"/>
          <w:lang w:val="fr-FR"/>
        </w:rPr>
        <w:t>Quarante</w:t>
      </w:r>
      <w:r w:rsidR="00D17D60">
        <w:rPr>
          <w:b/>
          <w:sz w:val="24"/>
          <w:szCs w:val="24"/>
          <w:lang w:val="fr-FR"/>
        </w:rPr>
        <w:noBreakHyphen/>
      </w:r>
      <w:r w:rsidR="001F091D" w:rsidRPr="009E1AFF">
        <w:rPr>
          <w:b/>
          <w:sz w:val="24"/>
          <w:szCs w:val="24"/>
          <w:lang w:val="fr-FR"/>
        </w:rPr>
        <w:t>s</w:t>
      </w:r>
      <w:r w:rsidR="00AC2EBA" w:rsidRPr="009E1AFF">
        <w:rPr>
          <w:b/>
          <w:sz w:val="24"/>
          <w:szCs w:val="24"/>
          <w:lang w:val="fr-FR"/>
        </w:rPr>
        <w:t>ept</w:t>
      </w:r>
      <w:r w:rsidR="009E1AFF">
        <w:rPr>
          <w:b/>
          <w:sz w:val="24"/>
          <w:szCs w:val="24"/>
          <w:lang w:val="fr-FR"/>
        </w:rPr>
        <w:t>ième session</w:t>
      </w:r>
    </w:p>
    <w:p w14:paraId="094ED84F" w14:textId="141FE381" w:rsidR="008B2CC1" w:rsidRPr="009E1AFF" w:rsidRDefault="00D55C00" w:rsidP="009E1AFF">
      <w:pPr>
        <w:spacing w:after="720"/>
        <w:rPr>
          <w:b/>
          <w:sz w:val="24"/>
          <w:szCs w:val="24"/>
          <w:lang w:val="fr-FR"/>
        </w:rPr>
      </w:pPr>
      <w:r w:rsidRPr="009E1AFF">
        <w:rPr>
          <w:b/>
          <w:sz w:val="24"/>
          <w:szCs w:val="24"/>
          <w:lang w:val="fr-FR"/>
        </w:rPr>
        <w:t>Genève,</w:t>
      </w:r>
      <w:r w:rsidR="009E1AFF">
        <w:rPr>
          <w:b/>
          <w:sz w:val="24"/>
          <w:szCs w:val="24"/>
          <w:lang w:val="fr-FR"/>
        </w:rPr>
        <w:t xml:space="preserve"> 1</w:t>
      </w:r>
      <w:r w:rsidR="009E1AFF" w:rsidRPr="009E1AFF">
        <w:rPr>
          <w:b/>
          <w:sz w:val="24"/>
          <w:szCs w:val="24"/>
          <w:vertAlign w:val="superscript"/>
          <w:lang w:val="fr-FR"/>
        </w:rPr>
        <w:t>er</w:t>
      </w:r>
      <w:r w:rsidR="009E1AFF">
        <w:rPr>
          <w:b/>
          <w:sz w:val="24"/>
          <w:szCs w:val="24"/>
          <w:lang w:val="fr-FR"/>
        </w:rPr>
        <w:t> </w:t>
      </w:r>
      <w:r w:rsidR="00456117" w:rsidRPr="009E1AFF">
        <w:rPr>
          <w:b/>
          <w:sz w:val="24"/>
          <w:szCs w:val="24"/>
          <w:lang w:val="fr-FR"/>
        </w:rPr>
        <w:t xml:space="preserve">– </w:t>
      </w:r>
      <w:r w:rsidR="00AC2EBA" w:rsidRPr="009E1AFF">
        <w:rPr>
          <w:b/>
          <w:sz w:val="24"/>
          <w:szCs w:val="24"/>
          <w:lang w:val="fr-FR"/>
        </w:rPr>
        <w:t>5</w:t>
      </w:r>
      <w:r w:rsidR="00DC4A0D" w:rsidRPr="009E1AFF">
        <w:rPr>
          <w:b/>
          <w:sz w:val="24"/>
          <w:szCs w:val="24"/>
          <w:lang w:val="fr-FR"/>
        </w:rPr>
        <w:t> </w:t>
      </w:r>
      <w:r w:rsidR="00AC2EBA" w:rsidRPr="009E1AFF">
        <w:rPr>
          <w:b/>
          <w:sz w:val="24"/>
          <w:szCs w:val="24"/>
          <w:lang w:val="fr-FR"/>
        </w:rPr>
        <w:t>décembre </w:t>
      </w:r>
      <w:r w:rsidR="00456117" w:rsidRPr="009E1AFF">
        <w:rPr>
          <w:b/>
          <w:sz w:val="24"/>
          <w:szCs w:val="24"/>
          <w:lang w:val="fr-FR"/>
        </w:rPr>
        <w:t>202</w:t>
      </w:r>
      <w:r w:rsidR="001F091D" w:rsidRPr="009E1AFF">
        <w:rPr>
          <w:b/>
          <w:sz w:val="24"/>
          <w:szCs w:val="24"/>
          <w:lang w:val="fr-FR"/>
        </w:rPr>
        <w:t>5</w:t>
      </w:r>
    </w:p>
    <w:p w14:paraId="1AC3A095" w14:textId="0579A36E" w:rsidR="0005558E" w:rsidRPr="00D17D60" w:rsidRDefault="00D17D60" w:rsidP="00D17D60">
      <w:pPr>
        <w:spacing w:after="360"/>
        <w:rPr>
          <w:caps/>
          <w:sz w:val="24"/>
          <w:szCs w:val="24"/>
          <w:lang w:val="fr-FR"/>
        </w:rPr>
      </w:pPr>
      <w:bookmarkStart w:id="3" w:name="TitleOfDoc"/>
      <w:r w:rsidRPr="00D17D60">
        <w:rPr>
          <w:caps/>
          <w:sz w:val="24"/>
          <w:szCs w:val="24"/>
          <w:lang w:val="fr-FR"/>
        </w:rPr>
        <w:t>Proposition concernant une étude sur l’impact des industries de la création sur la croissance économique des États membres</w:t>
      </w:r>
    </w:p>
    <w:p w14:paraId="5DF424D5" w14:textId="220B8DB3" w:rsidR="0005558E" w:rsidRPr="009E1AFF" w:rsidRDefault="0005558E" w:rsidP="009E1AFF">
      <w:pPr>
        <w:spacing w:after="960"/>
        <w:rPr>
          <w:i/>
          <w:lang w:val="fr-FR"/>
        </w:rPr>
      </w:pPr>
      <w:bookmarkStart w:id="4" w:name="Prepared"/>
      <w:bookmarkEnd w:id="3"/>
      <w:proofErr w:type="gramStart"/>
      <w:r w:rsidRPr="009E1AFF">
        <w:rPr>
          <w:i/>
          <w:lang w:val="fr-FR"/>
        </w:rPr>
        <w:t>établie</w:t>
      </w:r>
      <w:proofErr w:type="gramEnd"/>
      <w:r w:rsidRPr="009E1AFF">
        <w:rPr>
          <w:i/>
          <w:lang w:val="fr-FR"/>
        </w:rPr>
        <w:t xml:space="preserve"> par la délégation des États</w:t>
      </w:r>
      <w:r w:rsidR="00D17D60">
        <w:rPr>
          <w:i/>
          <w:lang w:val="fr-FR"/>
        </w:rPr>
        <w:noBreakHyphen/>
      </w:r>
      <w:r w:rsidRPr="009E1AFF">
        <w:rPr>
          <w:i/>
          <w:lang w:val="fr-FR"/>
        </w:rPr>
        <w:t>Unis d</w:t>
      </w:r>
      <w:r w:rsidR="009E1AFF">
        <w:rPr>
          <w:i/>
          <w:lang w:val="fr-FR"/>
        </w:rPr>
        <w:t>’</w:t>
      </w:r>
      <w:r w:rsidRPr="009E1AFF">
        <w:rPr>
          <w:i/>
          <w:lang w:val="fr-FR"/>
        </w:rPr>
        <w:t>Amérique</w:t>
      </w:r>
    </w:p>
    <w:bookmarkEnd w:id="4"/>
    <w:p w14:paraId="7A35DBC3" w14:textId="77777777" w:rsidR="0005558E" w:rsidRPr="009E1AFF" w:rsidRDefault="0005558E" w:rsidP="009E1AFF">
      <w:pPr>
        <w:rPr>
          <w:lang w:val="fr-FR"/>
        </w:rPr>
      </w:pPr>
      <w:r w:rsidRPr="009E1AFF">
        <w:rPr>
          <w:lang w:val="fr-FR"/>
        </w:rPr>
        <w:br w:type="page"/>
      </w:r>
    </w:p>
    <w:p w14:paraId="62C36FBA" w14:textId="77777777" w:rsidR="00D17D60" w:rsidRDefault="0005558E" w:rsidP="00D17D60">
      <w:pPr>
        <w:spacing w:after="220"/>
        <w:rPr>
          <w:szCs w:val="22"/>
          <w:lang w:val="fr-FR"/>
        </w:rPr>
      </w:pPr>
      <w:r w:rsidRPr="00D17D60">
        <w:rPr>
          <w:szCs w:val="22"/>
          <w:lang w:val="fr-FR"/>
        </w:rPr>
        <w:lastRenderedPageBreak/>
        <w:t>Les États</w:t>
      </w:r>
      <w:r w:rsidR="00D17D60">
        <w:rPr>
          <w:szCs w:val="22"/>
          <w:lang w:val="fr-FR"/>
        </w:rPr>
        <w:noBreakHyphen/>
      </w:r>
      <w:r w:rsidRPr="00D17D60">
        <w:rPr>
          <w:szCs w:val="22"/>
          <w:lang w:val="fr-FR"/>
        </w:rPr>
        <w:t>Unis d</w:t>
      </w:r>
      <w:r w:rsidR="009E1AFF" w:rsidRPr="00D17D60">
        <w:rPr>
          <w:szCs w:val="22"/>
          <w:lang w:val="fr-FR"/>
        </w:rPr>
        <w:t>’</w:t>
      </w:r>
      <w:r w:rsidRPr="00D17D60">
        <w:rPr>
          <w:szCs w:val="22"/>
          <w:lang w:val="fr-FR"/>
        </w:rPr>
        <w:t>Amérique prient le Secrétariat d</w:t>
      </w:r>
      <w:r w:rsidR="009E1AFF" w:rsidRPr="00D17D60">
        <w:rPr>
          <w:szCs w:val="22"/>
          <w:lang w:val="fr-FR"/>
        </w:rPr>
        <w:t>’</w:t>
      </w:r>
      <w:r w:rsidRPr="00D17D60">
        <w:rPr>
          <w:szCs w:val="22"/>
          <w:lang w:val="fr-FR"/>
        </w:rPr>
        <w:t>entreprendre une étude visant à évaluer l</w:t>
      </w:r>
      <w:r w:rsidR="009E1AFF" w:rsidRPr="00D17D60">
        <w:rPr>
          <w:szCs w:val="22"/>
          <w:lang w:val="fr-FR"/>
        </w:rPr>
        <w:t>’</w:t>
      </w:r>
      <w:r w:rsidRPr="00D17D60">
        <w:rPr>
          <w:szCs w:val="22"/>
          <w:lang w:val="fr-FR"/>
        </w:rPr>
        <w:t>impact des industries de la création, soutenues par un système solide de protection du droit d</w:t>
      </w:r>
      <w:r w:rsidR="009E1AFF" w:rsidRPr="00D17D60">
        <w:rPr>
          <w:szCs w:val="22"/>
          <w:lang w:val="fr-FR"/>
        </w:rPr>
        <w:t>’</w:t>
      </w:r>
      <w:r w:rsidRPr="00D17D60">
        <w:rPr>
          <w:szCs w:val="22"/>
          <w:lang w:val="fr-FR"/>
        </w:rPr>
        <w:t>auteur et une application effective du droit d</w:t>
      </w:r>
      <w:r w:rsidR="009E1AFF" w:rsidRPr="00D17D60">
        <w:rPr>
          <w:szCs w:val="22"/>
          <w:lang w:val="fr-FR"/>
        </w:rPr>
        <w:t>’</w:t>
      </w:r>
      <w:r w:rsidRPr="00D17D60">
        <w:rPr>
          <w:szCs w:val="22"/>
          <w:lang w:val="fr-FR"/>
        </w:rPr>
        <w:t>auteur, sur la croissance économique des États membres.</w:t>
      </w:r>
    </w:p>
    <w:p w14:paraId="2CA5A895" w14:textId="77777777" w:rsidR="00D17D60" w:rsidRDefault="0005558E" w:rsidP="00D17D60">
      <w:pPr>
        <w:spacing w:after="220"/>
        <w:rPr>
          <w:rFonts w:eastAsia="Arial"/>
          <w:b/>
          <w:bCs/>
          <w:szCs w:val="22"/>
          <w:u w:val="single"/>
          <w:lang w:val="fr-FR"/>
        </w:rPr>
      </w:pPr>
      <w:r w:rsidRPr="00D17D60">
        <w:rPr>
          <w:b/>
          <w:szCs w:val="22"/>
          <w:u w:val="single"/>
          <w:lang w:val="fr-FR"/>
        </w:rPr>
        <w:t>CONTEXTE</w:t>
      </w:r>
    </w:p>
    <w:p w14:paraId="5F33E5A2" w14:textId="77777777" w:rsidR="00D17D60" w:rsidRDefault="0005558E" w:rsidP="00D17D60">
      <w:pPr>
        <w:spacing w:after="220"/>
        <w:rPr>
          <w:szCs w:val="22"/>
          <w:lang w:val="fr-FR"/>
        </w:rPr>
      </w:pPr>
      <w:r w:rsidRPr="00D17D60">
        <w:rPr>
          <w:szCs w:val="22"/>
          <w:lang w:val="fr-FR"/>
        </w:rPr>
        <w:t xml:space="preserve">Les études et rapports économiques, les études de cas et autres données démontrent invariablement que les industries de la création, </w:t>
      </w:r>
      <w:r w:rsidR="009E1AFF" w:rsidRPr="00D17D60">
        <w:rPr>
          <w:szCs w:val="22"/>
          <w:lang w:val="fr-FR"/>
        </w:rPr>
        <w:t>y compris</w:t>
      </w:r>
      <w:r w:rsidRPr="00D17D60">
        <w:rPr>
          <w:szCs w:val="22"/>
          <w:lang w:val="fr-FR"/>
        </w:rPr>
        <w:t xml:space="preserve"> celles du secteur numérique, contribuent de manière significative à la croissance économique et à la prospérité des nations à travers le mon</w:t>
      </w:r>
      <w:r w:rsidR="00D17D60" w:rsidRPr="00D17D60">
        <w:rPr>
          <w:szCs w:val="22"/>
          <w:lang w:val="fr-FR"/>
        </w:rPr>
        <w:t>de.  Le</w:t>
      </w:r>
      <w:r w:rsidRPr="00D17D60">
        <w:rPr>
          <w:szCs w:val="22"/>
          <w:lang w:val="fr-FR"/>
        </w:rPr>
        <w:t xml:space="preserve"> succès de ces industries essentielles, qui englobent un large éventail de supports, de thèmes et de créateurs, contribue de manière significative au produit intérieur brut (PIB) des pays, à l</w:t>
      </w:r>
      <w:r w:rsidR="009E1AFF" w:rsidRPr="00D17D60">
        <w:rPr>
          <w:szCs w:val="22"/>
          <w:lang w:val="fr-FR"/>
        </w:rPr>
        <w:t>’</w:t>
      </w:r>
      <w:r w:rsidRPr="00D17D60">
        <w:rPr>
          <w:szCs w:val="22"/>
          <w:lang w:val="fr-FR"/>
        </w:rPr>
        <w:t>emploi, au commerce international et aux investissements étrangers directs (</w:t>
      </w:r>
      <w:proofErr w:type="spellStart"/>
      <w:r w:rsidRPr="00D17D60">
        <w:rPr>
          <w:szCs w:val="22"/>
          <w:lang w:val="fr-FR"/>
        </w:rPr>
        <w:t>IED</w:t>
      </w:r>
      <w:proofErr w:type="spellEnd"/>
      <w:r w:rsidRPr="00D17D60">
        <w:rPr>
          <w:szCs w:val="22"/>
          <w:lang w:val="fr-FR"/>
        </w:rPr>
        <w:t xml:space="preserve">). </w:t>
      </w:r>
      <w:r w:rsidR="00CD1286" w:rsidRPr="00D17D60">
        <w:rPr>
          <w:szCs w:val="22"/>
          <w:lang w:val="fr-FR"/>
        </w:rPr>
        <w:t xml:space="preserve"> </w:t>
      </w:r>
      <w:r w:rsidRPr="00D17D60">
        <w:rPr>
          <w:szCs w:val="22"/>
          <w:lang w:val="fr-FR"/>
        </w:rPr>
        <w:t xml:space="preserve">Les industries de la création contribuent également à renforcer les économies nationales grâce à la participation des entreprises locales, des petites et moyennes entreprises (PME) et des microentreprises à des projets créatifs. </w:t>
      </w:r>
      <w:r w:rsidR="00CD1286" w:rsidRPr="00D17D60">
        <w:rPr>
          <w:szCs w:val="22"/>
          <w:lang w:val="fr-FR"/>
        </w:rPr>
        <w:t xml:space="preserve"> </w:t>
      </w:r>
      <w:r w:rsidRPr="00D17D60">
        <w:rPr>
          <w:szCs w:val="22"/>
          <w:lang w:val="fr-FR"/>
        </w:rPr>
        <w:t>L</w:t>
      </w:r>
      <w:r w:rsidR="009E1AFF" w:rsidRPr="00D17D60">
        <w:rPr>
          <w:szCs w:val="22"/>
          <w:lang w:val="fr-FR"/>
        </w:rPr>
        <w:t>’</w:t>
      </w:r>
      <w:r w:rsidRPr="00D17D60">
        <w:rPr>
          <w:szCs w:val="22"/>
          <w:lang w:val="fr-FR"/>
        </w:rPr>
        <w:t>Organisation Mondiale de la Propriété Intellectuelle (</w:t>
      </w:r>
      <w:proofErr w:type="spellStart"/>
      <w:r w:rsidRPr="00D17D60">
        <w:rPr>
          <w:szCs w:val="22"/>
          <w:lang w:val="fr-FR"/>
        </w:rPr>
        <w:t>OMPI</w:t>
      </w:r>
      <w:proofErr w:type="spellEnd"/>
      <w:r w:rsidRPr="00D17D60">
        <w:rPr>
          <w:szCs w:val="22"/>
          <w:lang w:val="fr-FR"/>
        </w:rPr>
        <w:t>) a reconnu l</w:t>
      </w:r>
      <w:r w:rsidR="009E1AFF" w:rsidRPr="00D17D60">
        <w:rPr>
          <w:szCs w:val="22"/>
          <w:lang w:val="fr-FR"/>
        </w:rPr>
        <w:t>’</w:t>
      </w:r>
      <w:r w:rsidRPr="00D17D60">
        <w:rPr>
          <w:szCs w:val="22"/>
          <w:lang w:val="fr-FR"/>
        </w:rPr>
        <w:t>importance des industries de la création sur le plan économique, affirmant que les industries de la création ou les industries fondées sur le droit d</w:t>
      </w:r>
      <w:r w:rsidR="009E1AFF" w:rsidRPr="00D17D60">
        <w:rPr>
          <w:szCs w:val="22"/>
          <w:lang w:val="fr-FR"/>
        </w:rPr>
        <w:t>’</w:t>
      </w:r>
      <w:r w:rsidRPr="00D17D60">
        <w:rPr>
          <w:szCs w:val="22"/>
          <w:lang w:val="fr-FR"/>
        </w:rPr>
        <w:t>auteur “contribuent directement et indirectement à la performance économique et jouent un rôle de plus en plus important dans la réalisation des principaux objectifs économiques et sociaux des pays”</w:t>
      </w:r>
      <w:r w:rsidRPr="00D17D60">
        <w:rPr>
          <w:rStyle w:val="FootnoteReference"/>
          <w:rFonts w:eastAsia="Arial"/>
          <w:szCs w:val="22"/>
          <w:lang w:val="fr-FR"/>
        </w:rPr>
        <w:footnoteReference w:id="2"/>
      </w:r>
      <w:r w:rsidRPr="00D17D60">
        <w:rPr>
          <w:szCs w:val="22"/>
          <w:lang w:val="fr-FR"/>
        </w:rPr>
        <w:t>.</w:t>
      </w:r>
    </w:p>
    <w:p w14:paraId="64D2095E" w14:textId="77777777" w:rsidR="00D17D60" w:rsidRDefault="0005558E" w:rsidP="00D17D60">
      <w:pPr>
        <w:spacing w:after="220"/>
        <w:rPr>
          <w:color w:val="000000" w:themeColor="text1"/>
          <w:szCs w:val="22"/>
          <w:lang w:val="fr-FR"/>
        </w:rPr>
      </w:pPr>
      <w:r w:rsidRPr="00D17D60">
        <w:rPr>
          <w:color w:val="000000" w:themeColor="text1"/>
          <w:szCs w:val="22"/>
          <w:lang w:val="fr-FR"/>
        </w:rPr>
        <w:t>Cette proposition fournit un cadre pour une nouvelle étude visant à compiler les contributions des industries de la création ou des industries fondées sur le droit d</w:t>
      </w:r>
      <w:r w:rsidR="009E1AFF" w:rsidRPr="00D17D60">
        <w:rPr>
          <w:color w:val="000000" w:themeColor="text1"/>
          <w:szCs w:val="22"/>
          <w:lang w:val="fr-FR"/>
        </w:rPr>
        <w:t>’</w:t>
      </w:r>
      <w:r w:rsidRPr="00D17D60">
        <w:rPr>
          <w:color w:val="000000" w:themeColor="text1"/>
          <w:szCs w:val="22"/>
          <w:lang w:val="fr-FR"/>
        </w:rPr>
        <w:t>auteur à la croissance économique via</w:t>
      </w:r>
      <w:r w:rsidR="009E1AFF" w:rsidRPr="00D17D60">
        <w:rPr>
          <w:color w:val="000000" w:themeColor="text1"/>
          <w:szCs w:val="22"/>
          <w:lang w:val="fr-FR"/>
        </w:rPr>
        <w:t xml:space="preserve"> le PIB</w:t>
      </w:r>
      <w:r w:rsidRPr="00D17D60">
        <w:rPr>
          <w:color w:val="000000" w:themeColor="text1"/>
          <w:szCs w:val="22"/>
          <w:lang w:val="fr-FR"/>
        </w:rPr>
        <w:t>, l</w:t>
      </w:r>
      <w:r w:rsidR="009E1AFF" w:rsidRPr="00D17D60">
        <w:rPr>
          <w:color w:val="000000" w:themeColor="text1"/>
          <w:szCs w:val="22"/>
          <w:lang w:val="fr-FR"/>
        </w:rPr>
        <w:t>’</w:t>
      </w:r>
      <w:r w:rsidRPr="00D17D60">
        <w:rPr>
          <w:color w:val="000000" w:themeColor="text1"/>
          <w:szCs w:val="22"/>
          <w:lang w:val="fr-FR"/>
        </w:rPr>
        <w:t>emploi, le commerce international et</w:t>
      </w:r>
      <w:r w:rsidR="009E1AFF" w:rsidRPr="00D17D60">
        <w:rPr>
          <w:color w:val="000000" w:themeColor="text1"/>
          <w:szCs w:val="22"/>
          <w:lang w:val="fr-FR"/>
        </w:rPr>
        <w:t xml:space="preserve"> les </w:t>
      </w:r>
      <w:proofErr w:type="spellStart"/>
      <w:r w:rsidR="009E1AFF" w:rsidRPr="00D17D60">
        <w:rPr>
          <w:color w:val="000000" w:themeColor="text1"/>
          <w:szCs w:val="22"/>
          <w:lang w:val="fr-FR"/>
        </w:rPr>
        <w:t>IED</w:t>
      </w:r>
      <w:proofErr w:type="spellEnd"/>
      <w:r w:rsidRPr="00D17D60">
        <w:rPr>
          <w:color w:val="000000" w:themeColor="text1"/>
          <w:szCs w:val="22"/>
          <w:lang w:val="fr-FR"/>
        </w:rPr>
        <w:t>.</w:t>
      </w:r>
    </w:p>
    <w:p w14:paraId="67B27529" w14:textId="77777777" w:rsidR="00D17D60" w:rsidRDefault="0005558E" w:rsidP="00D17D60">
      <w:pPr>
        <w:spacing w:after="220"/>
        <w:rPr>
          <w:rFonts w:eastAsia="Arial"/>
          <w:i/>
          <w:iCs/>
          <w:color w:val="000000" w:themeColor="text1"/>
          <w:szCs w:val="22"/>
          <w:u w:val="single"/>
          <w:lang w:val="fr-FR"/>
        </w:rPr>
      </w:pPr>
      <w:r w:rsidRPr="00D17D60">
        <w:rPr>
          <w:i/>
          <w:color w:val="000000" w:themeColor="text1"/>
          <w:szCs w:val="22"/>
          <w:u w:val="single"/>
          <w:lang w:val="fr-FR"/>
        </w:rPr>
        <w:t>Contributions des industries de la création</w:t>
      </w:r>
      <w:r w:rsidR="009E1AFF" w:rsidRPr="00D17D60">
        <w:rPr>
          <w:i/>
          <w:color w:val="000000" w:themeColor="text1"/>
          <w:szCs w:val="22"/>
          <w:u w:val="single"/>
          <w:lang w:val="fr-FR"/>
        </w:rPr>
        <w:t xml:space="preserve"> au PIB</w:t>
      </w:r>
      <w:r w:rsidRPr="00D17D60">
        <w:rPr>
          <w:i/>
          <w:color w:val="000000" w:themeColor="text1"/>
          <w:szCs w:val="22"/>
          <w:u w:val="single"/>
          <w:lang w:val="fr-FR"/>
        </w:rPr>
        <w:t>, à la croissance de l</w:t>
      </w:r>
      <w:r w:rsidR="009E1AFF" w:rsidRPr="00D17D60">
        <w:rPr>
          <w:i/>
          <w:color w:val="000000" w:themeColor="text1"/>
          <w:szCs w:val="22"/>
          <w:u w:val="single"/>
          <w:lang w:val="fr-FR"/>
        </w:rPr>
        <w:t>’</w:t>
      </w:r>
      <w:r w:rsidRPr="00D17D60">
        <w:rPr>
          <w:i/>
          <w:color w:val="000000" w:themeColor="text1"/>
          <w:szCs w:val="22"/>
          <w:u w:val="single"/>
          <w:lang w:val="fr-FR"/>
        </w:rPr>
        <w:t>emploi et à</w:t>
      </w:r>
      <w:r w:rsidR="009E1AFF" w:rsidRPr="00D17D60">
        <w:rPr>
          <w:i/>
          <w:color w:val="000000" w:themeColor="text1"/>
          <w:szCs w:val="22"/>
          <w:u w:val="single"/>
          <w:lang w:val="fr-FR"/>
        </w:rPr>
        <w:t xml:space="preserve"> aux </w:t>
      </w:r>
      <w:proofErr w:type="spellStart"/>
      <w:r w:rsidR="009E1AFF" w:rsidRPr="00D17D60">
        <w:rPr>
          <w:i/>
          <w:color w:val="000000" w:themeColor="text1"/>
          <w:szCs w:val="22"/>
          <w:u w:val="single"/>
          <w:lang w:val="fr-FR"/>
        </w:rPr>
        <w:t>IED</w:t>
      </w:r>
      <w:proofErr w:type="spellEnd"/>
    </w:p>
    <w:p w14:paraId="24280C0B" w14:textId="68BE4D90" w:rsidR="009E1AFF" w:rsidRPr="00D17D60" w:rsidRDefault="0005558E" w:rsidP="00D17D60">
      <w:pPr>
        <w:spacing w:after="220"/>
        <w:rPr>
          <w:color w:val="000000" w:themeColor="text1"/>
          <w:szCs w:val="22"/>
          <w:lang w:val="fr-FR"/>
        </w:rPr>
      </w:pPr>
      <w:r w:rsidRPr="00D17D60">
        <w:rPr>
          <w:color w:val="000000" w:themeColor="text1"/>
          <w:szCs w:val="22"/>
          <w:lang w:val="fr-FR"/>
        </w:rPr>
        <w:t>Les industries de la création ou les industries fondées sur le droit d</w:t>
      </w:r>
      <w:r w:rsidR="009E1AFF" w:rsidRPr="00D17D60">
        <w:rPr>
          <w:color w:val="000000" w:themeColor="text1"/>
          <w:szCs w:val="22"/>
          <w:lang w:val="fr-FR"/>
        </w:rPr>
        <w:t>’</w:t>
      </w:r>
      <w:r w:rsidRPr="00D17D60">
        <w:rPr>
          <w:color w:val="000000" w:themeColor="text1"/>
          <w:szCs w:val="22"/>
          <w:lang w:val="fr-FR"/>
        </w:rPr>
        <w:t>auteur contribuent de manière significative à la croissance</w:t>
      </w:r>
      <w:r w:rsidR="009E1AFF" w:rsidRPr="00D17D60">
        <w:rPr>
          <w:color w:val="000000" w:themeColor="text1"/>
          <w:szCs w:val="22"/>
          <w:lang w:val="fr-FR"/>
        </w:rPr>
        <w:t xml:space="preserve"> du PIB</w:t>
      </w:r>
      <w:r w:rsidRPr="00D17D60">
        <w:rPr>
          <w:color w:val="000000" w:themeColor="text1"/>
          <w:szCs w:val="22"/>
          <w:lang w:val="fr-FR"/>
        </w:rPr>
        <w:t xml:space="preserve"> dans de nombreux pays à travers le mon</w:t>
      </w:r>
      <w:r w:rsidR="00D17D60" w:rsidRPr="00D17D60">
        <w:rPr>
          <w:color w:val="000000" w:themeColor="text1"/>
          <w:szCs w:val="22"/>
          <w:lang w:val="fr-FR"/>
        </w:rPr>
        <w:t>de.  Se</w:t>
      </w:r>
      <w:r w:rsidRPr="00D17D60">
        <w:rPr>
          <w:color w:val="000000" w:themeColor="text1"/>
          <w:szCs w:val="22"/>
          <w:lang w:val="fr-FR"/>
        </w:rPr>
        <w:t>lon l</w:t>
      </w:r>
      <w:r w:rsidR="009E1AFF" w:rsidRPr="00D17D60">
        <w:rPr>
          <w:color w:val="000000" w:themeColor="text1"/>
          <w:szCs w:val="22"/>
          <w:lang w:val="fr-FR"/>
        </w:rPr>
        <w:t>’</w:t>
      </w:r>
      <w:proofErr w:type="spellStart"/>
      <w:r w:rsidRPr="00D17D60">
        <w:rPr>
          <w:color w:val="000000" w:themeColor="text1"/>
          <w:szCs w:val="22"/>
          <w:lang w:val="fr-FR"/>
        </w:rPr>
        <w:t>OMPI</w:t>
      </w:r>
      <w:proofErr w:type="spellEnd"/>
      <w:r w:rsidRPr="00D17D60">
        <w:rPr>
          <w:color w:val="000000" w:themeColor="text1"/>
          <w:szCs w:val="22"/>
          <w:lang w:val="fr-FR"/>
        </w:rPr>
        <w:t>, les gains économiques générés par les industries de la création stimulent en permanence la production dans le domaine de la création, renforçant ainsi l</w:t>
      </w:r>
      <w:r w:rsidR="009E1AFF" w:rsidRPr="00D17D60">
        <w:rPr>
          <w:color w:val="000000" w:themeColor="text1"/>
          <w:szCs w:val="22"/>
          <w:lang w:val="fr-FR"/>
        </w:rPr>
        <w:t>’</w:t>
      </w:r>
      <w:r w:rsidRPr="00D17D60">
        <w:rPr>
          <w:color w:val="000000" w:themeColor="text1"/>
          <w:szCs w:val="22"/>
          <w:lang w:val="fr-FR"/>
        </w:rPr>
        <w:t>économie nationale</w:t>
      </w:r>
      <w:r w:rsidRPr="00D17D60">
        <w:rPr>
          <w:rStyle w:val="FootnoteReference"/>
          <w:rFonts w:eastAsia="Arial"/>
          <w:color w:val="000000" w:themeColor="text1"/>
          <w:szCs w:val="22"/>
          <w:lang w:val="fr-FR"/>
        </w:rPr>
        <w:footnoteReference w:id="3"/>
      </w:r>
      <w:r w:rsidRPr="00D17D60">
        <w:rPr>
          <w:color w:val="000000" w:themeColor="text1"/>
          <w:szCs w:val="22"/>
          <w:lang w:val="fr-FR"/>
        </w:rPr>
        <w:t xml:space="preserve">. </w:t>
      </w:r>
      <w:r w:rsidR="00CD1286" w:rsidRPr="00D17D60">
        <w:rPr>
          <w:color w:val="000000" w:themeColor="text1"/>
          <w:szCs w:val="22"/>
          <w:lang w:val="fr-FR"/>
        </w:rPr>
        <w:t xml:space="preserve"> </w:t>
      </w:r>
      <w:r w:rsidRPr="00D17D60">
        <w:rPr>
          <w:color w:val="000000" w:themeColor="text1"/>
          <w:szCs w:val="22"/>
          <w:lang w:val="fr-FR"/>
        </w:rPr>
        <w:t>Les industries de la création génèrent également de nombreuses possibilités d</w:t>
      </w:r>
      <w:r w:rsidR="009E1AFF" w:rsidRPr="00D17D60">
        <w:rPr>
          <w:color w:val="000000" w:themeColor="text1"/>
          <w:szCs w:val="22"/>
          <w:lang w:val="fr-FR"/>
        </w:rPr>
        <w:t>’</w:t>
      </w:r>
      <w:r w:rsidRPr="00D17D60">
        <w:rPr>
          <w:color w:val="000000" w:themeColor="text1"/>
          <w:szCs w:val="22"/>
          <w:lang w:val="fr-FR"/>
        </w:rPr>
        <w:t>emploi, avec une grande variété de postes dans différents domaines qui optimisent la croissance dans le domaine de la créati</w:t>
      </w:r>
      <w:r w:rsidR="00D17D60" w:rsidRPr="00D17D60">
        <w:rPr>
          <w:color w:val="000000" w:themeColor="text1"/>
          <w:szCs w:val="22"/>
          <w:lang w:val="fr-FR"/>
        </w:rPr>
        <w:t>on.  Ch</w:t>
      </w:r>
      <w:r w:rsidRPr="00D17D60">
        <w:rPr>
          <w:color w:val="000000" w:themeColor="text1"/>
          <w:szCs w:val="22"/>
          <w:lang w:val="fr-FR"/>
        </w:rPr>
        <w:t>aque secteur au sein des industries de la création requiert un système complexe pour créer, produire et distribuer des œuvres protégées par le droit d</w:t>
      </w:r>
      <w:r w:rsidR="009E1AFF" w:rsidRPr="00D17D60">
        <w:rPr>
          <w:color w:val="000000" w:themeColor="text1"/>
          <w:szCs w:val="22"/>
          <w:lang w:val="fr-FR"/>
        </w:rPr>
        <w:t>’</w:t>
      </w:r>
      <w:r w:rsidRPr="00D17D60">
        <w:rPr>
          <w:color w:val="000000" w:themeColor="text1"/>
          <w:szCs w:val="22"/>
          <w:lang w:val="fr-FR"/>
        </w:rPr>
        <w:t>auteur à un public mondi</w:t>
      </w:r>
      <w:r w:rsidR="00D17D60" w:rsidRPr="00D17D60">
        <w:rPr>
          <w:color w:val="000000" w:themeColor="text1"/>
          <w:szCs w:val="22"/>
          <w:lang w:val="fr-FR"/>
        </w:rPr>
        <w:t>al.  Le</w:t>
      </w:r>
      <w:r w:rsidRPr="00D17D60">
        <w:rPr>
          <w:color w:val="000000" w:themeColor="text1"/>
          <w:szCs w:val="22"/>
          <w:lang w:val="fr-FR"/>
        </w:rPr>
        <w:t>s industries de la création jouent un rôle essentiel en ce qu</w:t>
      </w:r>
      <w:r w:rsidR="009E1AFF" w:rsidRPr="00D17D60">
        <w:rPr>
          <w:color w:val="000000" w:themeColor="text1"/>
          <w:szCs w:val="22"/>
          <w:lang w:val="fr-FR"/>
        </w:rPr>
        <w:t>’</w:t>
      </w:r>
      <w:r w:rsidRPr="00D17D60">
        <w:rPr>
          <w:color w:val="000000" w:themeColor="text1"/>
          <w:szCs w:val="22"/>
          <w:lang w:val="fr-FR"/>
        </w:rPr>
        <w:t>elles dynamisent le commerce international et les exportatio</w:t>
      </w:r>
      <w:r w:rsidR="00D17D60" w:rsidRPr="00D17D60">
        <w:rPr>
          <w:color w:val="000000" w:themeColor="text1"/>
          <w:szCs w:val="22"/>
          <w:lang w:val="fr-FR"/>
        </w:rPr>
        <w:t>ns.  Al</w:t>
      </w:r>
      <w:r w:rsidRPr="00D17D60">
        <w:rPr>
          <w:color w:val="000000" w:themeColor="text1"/>
          <w:szCs w:val="22"/>
          <w:lang w:val="fr-FR"/>
        </w:rPr>
        <w:t>ors que les technologies émergentes continuent de remodeler l</w:t>
      </w:r>
      <w:r w:rsidR="009E1AFF" w:rsidRPr="00D17D60">
        <w:rPr>
          <w:color w:val="000000" w:themeColor="text1"/>
          <w:szCs w:val="22"/>
          <w:lang w:val="fr-FR"/>
        </w:rPr>
        <w:t>’</w:t>
      </w:r>
      <w:r w:rsidRPr="00D17D60">
        <w:rPr>
          <w:color w:val="000000" w:themeColor="text1"/>
          <w:szCs w:val="22"/>
          <w:lang w:val="fr-FR"/>
        </w:rPr>
        <w:t>économie mondiale de la création, de nombreux pays ont décidé d</w:t>
      </w:r>
      <w:r w:rsidR="009E1AFF" w:rsidRPr="00D17D60">
        <w:rPr>
          <w:color w:val="000000" w:themeColor="text1"/>
          <w:szCs w:val="22"/>
          <w:lang w:val="fr-FR"/>
        </w:rPr>
        <w:t>’</w:t>
      </w:r>
      <w:r w:rsidRPr="00D17D60">
        <w:rPr>
          <w:color w:val="000000" w:themeColor="text1"/>
          <w:szCs w:val="22"/>
          <w:lang w:val="fr-FR"/>
        </w:rPr>
        <w:t>améliorer leur infrastructure numérique et d</w:t>
      </w:r>
      <w:r w:rsidR="009E1AFF" w:rsidRPr="00D17D60">
        <w:rPr>
          <w:color w:val="000000" w:themeColor="text1"/>
          <w:szCs w:val="22"/>
          <w:lang w:val="fr-FR"/>
        </w:rPr>
        <w:t>’</w:t>
      </w:r>
      <w:r w:rsidRPr="00D17D60">
        <w:rPr>
          <w:color w:val="000000" w:themeColor="text1"/>
          <w:szCs w:val="22"/>
          <w:lang w:val="fr-FR"/>
        </w:rPr>
        <w:t>adopter des politiques économiques spécifiques afin de tirer le meilleur parti des exportations de produits créati</w:t>
      </w:r>
      <w:r w:rsidR="00D17D60" w:rsidRPr="00D17D60">
        <w:rPr>
          <w:color w:val="000000" w:themeColor="text1"/>
          <w:szCs w:val="22"/>
          <w:lang w:val="fr-FR"/>
        </w:rPr>
        <w:t>fs.  En</w:t>
      </w:r>
      <w:r w:rsidRPr="00D17D60">
        <w:rPr>
          <w:color w:val="000000" w:themeColor="text1"/>
          <w:szCs w:val="22"/>
          <w:lang w:val="fr-FR"/>
        </w:rPr>
        <w:t>fin, il existe un lien entre la mise en place de cadres juridiques solides en matière de droit d</w:t>
      </w:r>
      <w:r w:rsidR="009E1AFF" w:rsidRPr="00D17D60">
        <w:rPr>
          <w:color w:val="000000" w:themeColor="text1"/>
          <w:szCs w:val="22"/>
          <w:lang w:val="fr-FR"/>
        </w:rPr>
        <w:t>’</w:t>
      </w:r>
      <w:r w:rsidRPr="00D17D60">
        <w:rPr>
          <w:color w:val="000000" w:themeColor="text1"/>
          <w:szCs w:val="22"/>
          <w:lang w:val="fr-FR"/>
        </w:rPr>
        <w:t>auteur, qui soutiennent les industries de la création, et</w:t>
      </w:r>
      <w:r w:rsidR="009E1AFF" w:rsidRPr="00D17D60">
        <w:rPr>
          <w:color w:val="000000" w:themeColor="text1"/>
          <w:szCs w:val="22"/>
          <w:lang w:val="fr-FR"/>
        </w:rPr>
        <w:t xml:space="preserve"> les </w:t>
      </w:r>
      <w:proofErr w:type="spellStart"/>
      <w:r w:rsidR="009E1AFF" w:rsidRPr="00D17D60">
        <w:rPr>
          <w:color w:val="000000" w:themeColor="text1"/>
          <w:szCs w:val="22"/>
          <w:lang w:val="fr-FR"/>
        </w:rPr>
        <w:t>IED</w:t>
      </w:r>
      <w:proofErr w:type="spellEnd"/>
      <w:r w:rsidRPr="00D17D60">
        <w:rPr>
          <w:color w:val="000000" w:themeColor="text1"/>
          <w:szCs w:val="22"/>
          <w:lang w:val="fr-FR"/>
        </w:rPr>
        <w:t>, qui attirent des projets spécialisés dans le domaine de la création et favorisent la collaboration transfrontiè</w:t>
      </w:r>
      <w:r w:rsidR="00D17D60" w:rsidRPr="00D17D60">
        <w:rPr>
          <w:color w:val="000000" w:themeColor="text1"/>
          <w:szCs w:val="22"/>
          <w:lang w:val="fr-FR"/>
        </w:rPr>
        <w:t>re.  De</w:t>
      </w:r>
      <w:r w:rsidRPr="00D17D60">
        <w:rPr>
          <w:color w:val="000000" w:themeColor="text1"/>
          <w:szCs w:val="22"/>
          <w:lang w:val="fr-FR"/>
        </w:rPr>
        <w:t>s cadres juridiques clairs et prévisibles, nécessaires pour protéger les projets dans le domaine de la création, et un système solide d</w:t>
      </w:r>
      <w:r w:rsidR="009E1AFF" w:rsidRPr="00D17D60">
        <w:rPr>
          <w:color w:val="000000" w:themeColor="text1"/>
          <w:szCs w:val="22"/>
          <w:lang w:val="fr-FR"/>
        </w:rPr>
        <w:t>’</w:t>
      </w:r>
      <w:r w:rsidRPr="00D17D60">
        <w:rPr>
          <w:color w:val="000000" w:themeColor="text1"/>
          <w:szCs w:val="22"/>
          <w:lang w:val="fr-FR"/>
        </w:rPr>
        <w:t>application des lois pour lutter contre les œuvres pirates, sont des atouts qui, comme cela a été démontré, attirent</w:t>
      </w:r>
      <w:r w:rsidR="009E1AFF" w:rsidRPr="00D17D60">
        <w:rPr>
          <w:color w:val="000000" w:themeColor="text1"/>
          <w:szCs w:val="22"/>
          <w:lang w:val="fr-FR"/>
        </w:rPr>
        <w:t xml:space="preserve"> les </w:t>
      </w:r>
      <w:proofErr w:type="spellStart"/>
      <w:r w:rsidR="009E1AFF" w:rsidRPr="00D17D60">
        <w:rPr>
          <w:color w:val="000000" w:themeColor="text1"/>
          <w:szCs w:val="22"/>
          <w:lang w:val="fr-FR"/>
        </w:rPr>
        <w:t>IED</w:t>
      </w:r>
      <w:proofErr w:type="spellEnd"/>
      <w:r w:rsidRPr="00D17D60">
        <w:rPr>
          <w:rStyle w:val="FootnoteReference"/>
          <w:rFonts w:eastAsia="Arial"/>
          <w:color w:val="000000" w:themeColor="text1"/>
          <w:szCs w:val="22"/>
          <w:lang w:val="fr-FR"/>
        </w:rPr>
        <w:footnoteReference w:id="4"/>
      </w:r>
      <w:r w:rsidRPr="00D17D60">
        <w:rPr>
          <w:color w:val="000000" w:themeColor="text1"/>
          <w:szCs w:val="22"/>
          <w:lang w:val="fr-FR"/>
        </w:rPr>
        <w:t>.</w:t>
      </w:r>
    </w:p>
    <w:p w14:paraId="3D97AF0D" w14:textId="77777777" w:rsidR="00D17D60" w:rsidRDefault="0005558E" w:rsidP="00D17D60">
      <w:pPr>
        <w:spacing w:before="240" w:after="220"/>
        <w:rPr>
          <w:rFonts w:eastAsia="Arial"/>
          <w:b/>
          <w:bCs/>
          <w:szCs w:val="22"/>
          <w:u w:val="single"/>
          <w:lang w:val="fr-FR"/>
        </w:rPr>
      </w:pPr>
      <w:r w:rsidRPr="00D17D60">
        <w:rPr>
          <w:b/>
          <w:szCs w:val="22"/>
          <w:u w:val="single"/>
          <w:lang w:val="fr-FR"/>
        </w:rPr>
        <w:lastRenderedPageBreak/>
        <w:t>PROPOSITION</w:t>
      </w:r>
    </w:p>
    <w:p w14:paraId="0858888B" w14:textId="77777777" w:rsidR="00D17D60" w:rsidRDefault="0005558E" w:rsidP="00D17D60">
      <w:pPr>
        <w:spacing w:after="220"/>
        <w:rPr>
          <w:b/>
          <w:szCs w:val="22"/>
          <w:lang w:val="fr-FR"/>
        </w:rPr>
      </w:pPr>
      <w:r w:rsidRPr="00D17D60">
        <w:rPr>
          <w:b/>
          <w:szCs w:val="22"/>
          <w:lang w:val="fr-FR"/>
        </w:rPr>
        <w:t>ÉTUDE SUR LES INDUSTRIES DE LA CRÉATION ET LA CROISSANCE ÉCONOMIQUE</w:t>
      </w:r>
    </w:p>
    <w:p w14:paraId="537FE7AE" w14:textId="77777777" w:rsidR="00D17D60" w:rsidRDefault="0005558E" w:rsidP="00D17D60">
      <w:pPr>
        <w:spacing w:after="220"/>
        <w:rPr>
          <w:szCs w:val="22"/>
          <w:lang w:val="fr-FR"/>
        </w:rPr>
      </w:pPr>
      <w:r w:rsidRPr="00D17D60">
        <w:rPr>
          <w:szCs w:val="22"/>
          <w:lang w:val="fr-FR"/>
        </w:rPr>
        <w:t>L</w:t>
      </w:r>
      <w:r w:rsidR="009E1AFF" w:rsidRPr="00D17D60">
        <w:rPr>
          <w:szCs w:val="22"/>
          <w:lang w:val="fr-FR"/>
        </w:rPr>
        <w:t>’</w:t>
      </w:r>
      <w:proofErr w:type="spellStart"/>
      <w:r w:rsidRPr="00D17D60">
        <w:rPr>
          <w:szCs w:val="22"/>
          <w:lang w:val="fr-FR"/>
        </w:rPr>
        <w:t>OMPI</w:t>
      </w:r>
      <w:proofErr w:type="spellEnd"/>
      <w:r w:rsidRPr="00D17D60">
        <w:rPr>
          <w:szCs w:val="22"/>
          <w:lang w:val="fr-FR"/>
        </w:rPr>
        <w:t xml:space="preserve"> étudie l</w:t>
      </w:r>
      <w:r w:rsidR="009E1AFF" w:rsidRPr="00D17D60">
        <w:rPr>
          <w:szCs w:val="22"/>
          <w:lang w:val="fr-FR"/>
        </w:rPr>
        <w:t>’</w:t>
      </w:r>
      <w:r w:rsidRPr="00D17D60">
        <w:rPr>
          <w:szCs w:val="22"/>
          <w:lang w:val="fr-FR"/>
        </w:rPr>
        <w:t>impact des industries fondées sur le droit d</w:t>
      </w:r>
      <w:r w:rsidR="009E1AFF" w:rsidRPr="00D17D60">
        <w:rPr>
          <w:szCs w:val="22"/>
          <w:lang w:val="fr-FR"/>
        </w:rPr>
        <w:t>’</w:t>
      </w:r>
      <w:r w:rsidRPr="00D17D60">
        <w:rPr>
          <w:szCs w:val="22"/>
          <w:lang w:val="fr-FR"/>
        </w:rPr>
        <w:t>auteur ou des industries de la création sur les économies des États membres de l</w:t>
      </w:r>
      <w:r w:rsidR="009E1AFF" w:rsidRPr="00D17D60">
        <w:rPr>
          <w:szCs w:val="22"/>
          <w:lang w:val="fr-FR"/>
        </w:rPr>
        <w:t>’</w:t>
      </w:r>
      <w:proofErr w:type="spellStart"/>
      <w:r w:rsidRPr="00D17D60">
        <w:rPr>
          <w:szCs w:val="22"/>
          <w:lang w:val="fr-FR"/>
        </w:rPr>
        <w:t>OMPI</w:t>
      </w:r>
      <w:proofErr w:type="spellEnd"/>
      <w:r w:rsidRPr="00D17D60">
        <w:rPr>
          <w:szCs w:val="22"/>
          <w:lang w:val="fr-FR"/>
        </w:rPr>
        <w:t xml:space="preserve"> depuis plus de deux</w:t>
      </w:r>
      <w:r w:rsidR="00CD1286" w:rsidRPr="00D17D60">
        <w:rPr>
          <w:szCs w:val="22"/>
          <w:lang w:val="fr-FR"/>
        </w:rPr>
        <w:t> </w:t>
      </w:r>
      <w:r w:rsidRPr="00D17D60">
        <w:rPr>
          <w:szCs w:val="22"/>
          <w:lang w:val="fr-FR"/>
        </w:rPr>
        <w:t>décenni</w:t>
      </w:r>
      <w:r w:rsidR="00D17D60" w:rsidRPr="00D17D60">
        <w:rPr>
          <w:szCs w:val="22"/>
          <w:lang w:val="fr-FR"/>
        </w:rPr>
        <w:t>es.  En</w:t>
      </w:r>
      <w:r w:rsidRPr="00D17D60">
        <w:rPr>
          <w:szCs w:val="22"/>
          <w:lang w:val="fr-FR"/>
        </w:rPr>
        <w:t> 2003, l</w:t>
      </w:r>
      <w:r w:rsidR="009E1AFF" w:rsidRPr="00D17D60">
        <w:rPr>
          <w:szCs w:val="22"/>
          <w:lang w:val="fr-FR"/>
        </w:rPr>
        <w:t>’</w:t>
      </w:r>
      <w:proofErr w:type="spellStart"/>
      <w:r w:rsidRPr="00D17D60">
        <w:rPr>
          <w:szCs w:val="22"/>
          <w:lang w:val="fr-FR"/>
        </w:rPr>
        <w:t>OMPI</w:t>
      </w:r>
      <w:proofErr w:type="spellEnd"/>
      <w:r w:rsidRPr="00D17D60">
        <w:rPr>
          <w:szCs w:val="22"/>
          <w:lang w:val="fr-FR"/>
        </w:rPr>
        <w:t xml:space="preserve"> a publié le “Guide pour l</w:t>
      </w:r>
      <w:r w:rsidR="009E1AFF" w:rsidRPr="00D17D60">
        <w:rPr>
          <w:szCs w:val="22"/>
          <w:lang w:val="fr-FR"/>
        </w:rPr>
        <w:t>’</w:t>
      </w:r>
      <w:r w:rsidRPr="00D17D60">
        <w:rPr>
          <w:szCs w:val="22"/>
          <w:lang w:val="fr-FR"/>
        </w:rPr>
        <w:t>évaluation de la contribution économique des industries du droit d</w:t>
      </w:r>
      <w:r w:rsidR="009E1AFF" w:rsidRPr="00D17D60">
        <w:rPr>
          <w:szCs w:val="22"/>
          <w:lang w:val="fr-FR"/>
        </w:rPr>
        <w:t>’</w:t>
      </w:r>
      <w:r w:rsidRPr="00D17D60">
        <w:rPr>
          <w:szCs w:val="22"/>
          <w:lang w:val="fr-FR"/>
        </w:rPr>
        <w:t>auteur” afin de proposer un cadre commun pour mesurer la taille de ces industries, ce qui permettrait aux décideurs politiques, aux économistes et aux scientifiques spécialisés dans les données d</w:t>
      </w:r>
      <w:r w:rsidR="009E1AFF" w:rsidRPr="00D17D60">
        <w:rPr>
          <w:szCs w:val="22"/>
          <w:lang w:val="fr-FR"/>
        </w:rPr>
        <w:t>’</w:t>
      </w:r>
      <w:r w:rsidRPr="00D17D60">
        <w:rPr>
          <w:szCs w:val="22"/>
          <w:lang w:val="fr-FR"/>
        </w:rPr>
        <w:t xml:space="preserve">établir des comparaisons significatives entre elles. </w:t>
      </w:r>
      <w:r w:rsidR="00CD1286" w:rsidRPr="00D17D60">
        <w:rPr>
          <w:szCs w:val="22"/>
          <w:lang w:val="fr-FR"/>
        </w:rPr>
        <w:t xml:space="preserve"> </w:t>
      </w:r>
      <w:r w:rsidRPr="00D17D60">
        <w:rPr>
          <w:szCs w:val="22"/>
          <w:lang w:val="fr-FR"/>
        </w:rPr>
        <w:t>L</w:t>
      </w:r>
      <w:r w:rsidR="009E1AFF" w:rsidRPr="00D17D60">
        <w:rPr>
          <w:szCs w:val="22"/>
          <w:lang w:val="fr-FR"/>
        </w:rPr>
        <w:t>’</w:t>
      </w:r>
      <w:proofErr w:type="spellStart"/>
      <w:r w:rsidRPr="00D17D60">
        <w:rPr>
          <w:szCs w:val="22"/>
          <w:lang w:val="fr-FR"/>
        </w:rPr>
        <w:t>OMPI</w:t>
      </w:r>
      <w:proofErr w:type="spellEnd"/>
      <w:r w:rsidRPr="00D17D60">
        <w:rPr>
          <w:szCs w:val="22"/>
          <w:lang w:val="fr-FR"/>
        </w:rPr>
        <w:t xml:space="preserve"> a actualisé ce guide et la méthode connexe </w:t>
      </w:r>
      <w:r w:rsidR="009E1AFF" w:rsidRPr="00D17D60">
        <w:rPr>
          <w:szCs w:val="22"/>
          <w:lang w:val="fr-FR"/>
        </w:rPr>
        <w:t>en 2015</w:t>
      </w:r>
      <w:r w:rsidRPr="00D17D60">
        <w:rPr>
          <w:szCs w:val="22"/>
          <w:lang w:val="fr-FR"/>
        </w:rPr>
        <w:t>, soulignant que “[p]lus de 200 chercheurs de différents pays ont contribué à mettre en œuvre cette méthode, à mieux l</w:t>
      </w:r>
      <w:r w:rsidR="009E1AFF" w:rsidRPr="00D17D60">
        <w:rPr>
          <w:szCs w:val="22"/>
          <w:lang w:val="fr-FR"/>
        </w:rPr>
        <w:t>’</w:t>
      </w:r>
      <w:r w:rsidRPr="00D17D60">
        <w:rPr>
          <w:szCs w:val="22"/>
          <w:lang w:val="fr-FR"/>
        </w:rPr>
        <w:t>expliquer, à proposer des démarches novatrices et à définir des axes d</w:t>
      </w:r>
      <w:r w:rsidR="009E1AFF" w:rsidRPr="00D17D60">
        <w:rPr>
          <w:szCs w:val="22"/>
          <w:lang w:val="fr-FR"/>
        </w:rPr>
        <w:t>’</w:t>
      </w:r>
      <w:r w:rsidRPr="00D17D60">
        <w:rPr>
          <w:szCs w:val="22"/>
          <w:lang w:val="fr-FR"/>
        </w:rPr>
        <w:t>amélioration ultérieure”</w:t>
      </w:r>
      <w:r w:rsidR="00D17D60" w:rsidRPr="00D17D60">
        <w:rPr>
          <w:szCs w:val="22"/>
          <w:lang w:val="fr-FR"/>
        </w:rPr>
        <w:t>.</w:t>
      </w:r>
      <w:r w:rsidRPr="00D17D60">
        <w:rPr>
          <w:szCs w:val="22"/>
          <w:lang w:val="fr-FR"/>
        </w:rPr>
        <w:t xml:space="preserve"> </w:t>
      </w:r>
      <w:r w:rsidR="00CD1286" w:rsidRPr="00D17D60">
        <w:rPr>
          <w:szCs w:val="22"/>
          <w:lang w:val="fr-FR"/>
        </w:rPr>
        <w:t xml:space="preserve"> </w:t>
      </w:r>
      <w:r w:rsidRPr="00D17D60">
        <w:rPr>
          <w:szCs w:val="22"/>
          <w:lang w:val="fr-FR"/>
        </w:rPr>
        <w:t>Cette méthode a été utilisée par plus d</w:t>
      </w:r>
      <w:r w:rsidR="009E1AFF" w:rsidRPr="00D17D60">
        <w:rPr>
          <w:szCs w:val="22"/>
          <w:lang w:val="fr-FR"/>
        </w:rPr>
        <w:t>’</w:t>
      </w:r>
      <w:r w:rsidRPr="00D17D60">
        <w:rPr>
          <w:szCs w:val="22"/>
          <w:lang w:val="fr-FR"/>
        </w:rPr>
        <w:t>une cinquantaine de pays et régions, et de nombreux pays l</w:t>
      </w:r>
      <w:r w:rsidR="009E1AFF" w:rsidRPr="00D17D60">
        <w:rPr>
          <w:szCs w:val="22"/>
          <w:lang w:val="fr-FR"/>
        </w:rPr>
        <w:t>’</w:t>
      </w:r>
      <w:r w:rsidRPr="00D17D60">
        <w:rPr>
          <w:szCs w:val="22"/>
          <w:lang w:val="fr-FR"/>
        </w:rPr>
        <w:t>ont employée pour mener des études multiples au cours des deux</w:t>
      </w:r>
      <w:r w:rsidR="00CD1286" w:rsidRPr="00D17D60">
        <w:rPr>
          <w:szCs w:val="22"/>
          <w:lang w:val="fr-FR"/>
        </w:rPr>
        <w:t> </w:t>
      </w:r>
      <w:r w:rsidRPr="00D17D60">
        <w:rPr>
          <w:szCs w:val="22"/>
          <w:lang w:val="fr-FR"/>
        </w:rPr>
        <w:t>dernières décenni</w:t>
      </w:r>
      <w:r w:rsidR="00D17D60" w:rsidRPr="00D17D60">
        <w:rPr>
          <w:szCs w:val="22"/>
          <w:lang w:val="fr-FR"/>
        </w:rPr>
        <w:t>es.  De</w:t>
      </w:r>
      <w:r w:rsidRPr="00D17D60">
        <w:rPr>
          <w:szCs w:val="22"/>
          <w:lang w:val="fr-FR"/>
        </w:rPr>
        <w:t xml:space="preserve"> plus, </w:t>
      </w:r>
      <w:r w:rsidR="009E1AFF" w:rsidRPr="00D17D60">
        <w:rPr>
          <w:szCs w:val="22"/>
          <w:lang w:val="fr-FR"/>
        </w:rPr>
        <w:t>en 2015</w:t>
      </w:r>
      <w:r w:rsidRPr="00D17D60">
        <w:rPr>
          <w:szCs w:val="22"/>
          <w:lang w:val="fr-FR"/>
        </w:rPr>
        <w:t xml:space="preserve"> et 2021, l</w:t>
      </w:r>
      <w:r w:rsidR="009E1AFF" w:rsidRPr="00D17D60">
        <w:rPr>
          <w:szCs w:val="22"/>
          <w:lang w:val="fr-FR"/>
        </w:rPr>
        <w:t>’</w:t>
      </w:r>
      <w:proofErr w:type="spellStart"/>
      <w:r w:rsidRPr="00D17D60">
        <w:rPr>
          <w:szCs w:val="22"/>
          <w:lang w:val="fr-FR"/>
        </w:rPr>
        <w:t>OMPI</w:t>
      </w:r>
      <w:proofErr w:type="spellEnd"/>
      <w:r w:rsidRPr="00D17D60">
        <w:rPr>
          <w:szCs w:val="22"/>
          <w:lang w:val="fr-FR"/>
        </w:rPr>
        <w:t xml:space="preserve"> a publié des synthèses comparatives de certaines des conclusions des différentes études économiques réalisées par l</w:t>
      </w:r>
      <w:r w:rsidR="009E1AFF" w:rsidRPr="00D17D60">
        <w:rPr>
          <w:szCs w:val="22"/>
          <w:lang w:val="fr-FR"/>
        </w:rPr>
        <w:t>’</w:t>
      </w:r>
      <w:proofErr w:type="spellStart"/>
      <w:r w:rsidRPr="00D17D60">
        <w:rPr>
          <w:szCs w:val="22"/>
          <w:lang w:val="fr-FR"/>
        </w:rPr>
        <w:t>O</w:t>
      </w:r>
      <w:r w:rsidR="00D17D60" w:rsidRPr="00D17D60">
        <w:rPr>
          <w:szCs w:val="22"/>
          <w:lang w:val="fr-FR"/>
        </w:rPr>
        <w:t>MPI</w:t>
      </w:r>
      <w:proofErr w:type="spellEnd"/>
      <w:r w:rsidR="00D17D60" w:rsidRPr="00D17D60">
        <w:rPr>
          <w:szCs w:val="22"/>
          <w:lang w:val="fr-FR"/>
        </w:rPr>
        <w:t>.  Ce</w:t>
      </w:r>
      <w:r w:rsidRPr="00D17D60">
        <w:rPr>
          <w:szCs w:val="22"/>
          <w:lang w:val="fr-FR"/>
        </w:rPr>
        <w:t>s synthèses présentaient une comparaison du pourcentage de contribution des industries de la création</w:t>
      </w:r>
      <w:r w:rsidR="009E1AFF" w:rsidRPr="00D17D60">
        <w:rPr>
          <w:szCs w:val="22"/>
          <w:lang w:val="fr-FR"/>
        </w:rPr>
        <w:t xml:space="preserve"> au PIB</w:t>
      </w:r>
      <w:r w:rsidRPr="00D17D60">
        <w:rPr>
          <w:szCs w:val="22"/>
          <w:lang w:val="fr-FR"/>
        </w:rPr>
        <w:t xml:space="preserve"> et à l</w:t>
      </w:r>
      <w:r w:rsidR="009E1AFF" w:rsidRPr="00D17D60">
        <w:rPr>
          <w:szCs w:val="22"/>
          <w:lang w:val="fr-FR"/>
        </w:rPr>
        <w:t>’</w:t>
      </w:r>
      <w:r w:rsidRPr="00D17D60">
        <w:rPr>
          <w:szCs w:val="22"/>
          <w:lang w:val="fr-FR"/>
        </w:rPr>
        <w:t>emploi à l</w:t>
      </w:r>
      <w:r w:rsidR="009E1AFF" w:rsidRPr="00D17D60">
        <w:rPr>
          <w:szCs w:val="22"/>
          <w:lang w:val="fr-FR"/>
        </w:rPr>
        <w:t>’</w:t>
      </w:r>
      <w:r w:rsidRPr="00D17D60">
        <w:rPr>
          <w:szCs w:val="22"/>
          <w:lang w:val="fr-FR"/>
        </w:rPr>
        <w:t>échelle nationale, ainsi que l</w:t>
      </w:r>
      <w:r w:rsidR="009E1AFF" w:rsidRPr="00D17D60">
        <w:rPr>
          <w:szCs w:val="22"/>
          <w:lang w:val="fr-FR"/>
        </w:rPr>
        <w:t>’</w:t>
      </w:r>
      <w:r w:rsidRPr="00D17D60">
        <w:rPr>
          <w:szCs w:val="22"/>
          <w:lang w:val="fr-FR"/>
        </w:rPr>
        <w:t>indice de la productivité relative de la main</w:t>
      </w:r>
      <w:r w:rsidR="00D17D60">
        <w:rPr>
          <w:szCs w:val="22"/>
          <w:lang w:val="fr-FR"/>
        </w:rPr>
        <w:noBreakHyphen/>
      </w:r>
      <w:r w:rsidRPr="00D17D60">
        <w:rPr>
          <w:szCs w:val="22"/>
          <w:lang w:val="fr-FR"/>
        </w:rPr>
        <w:t>d</w:t>
      </w:r>
      <w:r w:rsidR="009E1AFF" w:rsidRPr="00D17D60">
        <w:rPr>
          <w:szCs w:val="22"/>
          <w:lang w:val="fr-FR"/>
        </w:rPr>
        <w:t>’</w:t>
      </w:r>
      <w:r w:rsidRPr="00D17D60">
        <w:rPr>
          <w:szCs w:val="22"/>
          <w:lang w:val="fr-FR"/>
        </w:rPr>
        <w:t>œuvre, qui mettait en évidence les éventuelles insuffisances en matière d</w:t>
      </w:r>
      <w:r w:rsidR="009E1AFF" w:rsidRPr="00D17D60">
        <w:rPr>
          <w:szCs w:val="22"/>
          <w:lang w:val="fr-FR"/>
        </w:rPr>
        <w:t>’</w:t>
      </w:r>
      <w:r w:rsidRPr="00D17D60">
        <w:rPr>
          <w:szCs w:val="22"/>
          <w:lang w:val="fr-FR"/>
        </w:rPr>
        <w:t>efficacité du travail dans les industries de la création de certains pays.</w:t>
      </w:r>
    </w:p>
    <w:p w14:paraId="03D83966" w14:textId="477AF7C4" w:rsidR="009E1AFF" w:rsidRPr="00D17D60" w:rsidRDefault="0005558E" w:rsidP="00D17D60">
      <w:pPr>
        <w:spacing w:after="220"/>
        <w:rPr>
          <w:szCs w:val="22"/>
          <w:lang w:val="fr-FR"/>
        </w:rPr>
      </w:pPr>
      <w:r w:rsidRPr="00D17D60">
        <w:rPr>
          <w:szCs w:val="22"/>
          <w:lang w:val="fr-FR"/>
        </w:rPr>
        <w:t>Compte tenu de la croissance continue et significative des industries de la création à travers le monde et du rôle transformateur que l</w:t>
      </w:r>
      <w:r w:rsidR="009E1AFF" w:rsidRPr="00D17D60">
        <w:rPr>
          <w:szCs w:val="22"/>
          <w:lang w:val="fr-FR"/>
        </w:rPr>
        <w:t>’</w:t>
      </w:r>
      <w:r w:rsidRPr="00D17D60">
        <w:rPr>
          <w:szCs w:val="22"/>
          <w:lang w:val="fr-FR"/>
        </w:rPr>
        <w:t>environnement numérique a joué dans la création, la production et la distribution des œuvres de création, le moment est venu de réexaminer et de réévaluer l</w:t>
      </w:r>
      <w:r w:rsidR="009E1AFF" w:rsidRPr="00D17D60">
        <w:rPr>
          <w:szCs w:val="22"/>
          <w:lang w:val="fr-FR"/>
        </w:rPr>
        <w:t>’</w:t>
      </w:r>
      <w:r w:rsidRPr="00D17D60">
        <w:rPr>
          <w:szCs w:val="22"/>
          <w:lang w:val="fr-FR"/>
        </w:rPr>
        <w:t>impact des industries de la création sur les économies des États membres de l</w:t>
      </w:r>
      <w:r w:rsidR="009E1AFF" w:rsidRPr="00D17D60">
        <w:rPr>
          <w:szCs w:val="22"/>
          <w:lang w:val="fr-FR"/>
        </w:rPr>
        <w:t>’</w:t>
      </w:r>
      <w:proofErr w:type="spellStart"/>
      <w:r w:rsidRPr="00D17D60">
        <w:rPr>
          <w:szCs w:val="22"/>
          <w:lang w:val="fr-FR"/>
        </w:rPr>
        <w:t>O</w:t>
      </w:r>
      <w:r w:rsidR="00D17D60" w:rsidRPr="00D17D60">
        <w:rPr>
          <w:szCs w:val="22"/>
          <w:lang w:val="fr-FR"/>
        </w:rPr>
        <w:t>MPI</w:t>
      </w:r>
      <w:proofErr w:type="spellEnd"/>
      <w:r w:rsidR="00D17D60" w:rsidRPr="00D17D60">
        <w:rPr>
          <w:szCs w:val="22"/>
          <w:lang w:val="fr-FR"/>
        </w:rPr>
        <w:t>.  La</w:t>
      </w:r>
      <w:r w:rsidRPr="00D17D60">
        <w:rPr>
          <w:szCs w:val="22"/>
          <w:lang w:val="fr-FR"/>
        </w:rPr>
        <w:t xml:space="preserve"> plupart des études économiques existantes de l</w:t>
      </w:r>
      <w:r w:rsidR="009E1AFF" w:rsidRPr="00D17D60">
        <w:rPr>
          <w:szCs w:val="22"/>
          <w:lang w:val="fr-FR"/>
        </w:rPr>
        <w:t>’</w:t>
      </w:r>
      <w:proofErr w:type="spellStart"/>
      <w:r w:rsidRPr="00D17D60">
        <w:rPr>
          <w:szCs w:val="22"/>
          <w:lang w:val="fr-FR"/>
        </w:rPr>
        <w:t>OMPI</w:t>
      </w:r>
      <w:proofErr w:type="spellEnd"/>
      <w:r w:rsidRPr="00D17D60">
        <w:rPr>
          <w:szCs w:val="22"/>
          <w:lang w:val="fr-FR"/>
        </w:rPr>
        <w:t xml:space="preserve"> ont plus de 10 ans et ne tiennent pas compte des évolutions récentes dans le fonctionnement des industries de la création ou dans la manière dont les gouvernements des États membres collectent les données sur le marché numérique.</w:t>
      </w:r>
    </w:p>
    <w:p w14:paraId="144A088E" w14:textId="77777777" w:rsidR="00D17D60" w:rsidRDefault="0005558E" w:rsidP="00D17D60">
      <w:pPr>
        <w:spacing w:after="220"/>
        <w:rPr>
          <w:szCs w:val="22"/>
          <w:lang w:val="fr-FR"/>
        </w:rPr>
      </w:pPr>
      <w:r w:rsidRPr="00D17D60">
        <w:rPr>
          <w:szCs w:val="22"/>
          <w:lang w:val="fr-FR"/>
        </w:rPr>
        <w:t>Compte tenu de la croissance spectaculaire de l</w:t>
      </w:r>
      <w:r w:rsidR="009E1AFF" w:rsidRPr="00D17D60">
        <w:rPr>
          <w:szCs w:val="22"/>
          <w:lang w:val="fr-FR"/>
        </w:rPr>
        <w:t>’</w:t>
      </w:r>
      <w:r w:rsidRPr="00D17D60">
        <w:rPr>
          <w:szCs w:val="22"/>
          <w:lang w:val="fr-FR"/>
        </w:rPr>
        <w:t>intelligence artificielle au cours de ces trois</w:t>
      </w:r>
      <w:r w:rsidR="00CD1286" w:rsidRPr="00D17D60">
        <w:rPr>
          <w:szCs w:val="22"/>
          <w:lang w:val="fr-FR"/>
        </w:rPr>
        <w:t> </w:t>
      </w:r>
      <w:r w:rsidRPr="00D17D60">
        <w:rPr>
          <w:szCs w:val="22"/>
          <w:lang w:val="fr-FR"/>
        </w:rPr>
        <w:t>dernières années, il importe tout particulièrement de documenter et d</w:t>
      </w:r>
      <w:r w:rsidR="009E1AFF" w:rsidRPr="00D17D60">
        <w:rPr>
          <w:szCs w:val="22"/>
          <w:lang w:val="fr-FR"/>
        </w:rPr>
        <w:t>’</w:t>
      </w:r>
      <w:r w:rsidRPr="00D17D60">
        <w:rPr>
          <w:szCs w:val="22"/>
          <w:lang w:val="fr-FR"/>
        </w:rPr>
        <w:t>évaluer la situation économique des industries de la création à l</w:t>
      </w:r>
      <w:r w:rsidR="009E1AFF" w:rsidRPr="00D17D60">
        <w:rPr>
          <w:szCs w:val="22"/>
          <w:lang w:val="fr-FR"/>
        </w:rPr>
        <w:t>’</w:t>
      </w:r>
      <w:r w:rsidRPr="00D17D60">
        <w:rPr>
          <w:szCs w:val="22"/>
          <w:lang w:val="fr-FR"/>
        </w:rPr>
        <w:t>heure actuel</w:t>
      </w:r>
      <w:r w:rsidR="00D17D60" w:rsidRPr="00D17D60">
        <w:rPr>
          <w:szCs w:val="22"/>
          <w:lang w:val="fr-FR"/>
        </w:rPr>
        <w:t>le.  Ce</w:t>
      </w:r>
      <w:r w:rsidRPr="00D17D60">
        <w:rPr>
          <w:szCs w:val="22"/>
          <w:lang w:val="fr-FR"/>
        </w:rPr>
        <w:t>s données serviront de point de référence pour les comparaisons futures et pour l</w:t>
      </w:r>
      <w:r w:rsidR="009E1AFF" w:rsidRPr="00D17D60">
        <w:rPr>
          <w:szCs w:val="22"/>
          <w:lang w:val="fr-FR"/>
        </w:rPr>
        <w:t>’</w:t>
      </w:r>
      <w:r w:rsidRPr="00D17D60">
        <w:rPr>
          <w:szCs w:val="22"/>
          <w:lang w:val="fr-FR"/>
        </w:rPr>
        <w:t>élaboration de pratiques recommandées pour soutenir la croissance dans les secteurs de la création.</w:t>
      </w:r>
    </w:p>
    <w:p w14:paraId="786C6EA1" w14:textId="6CE7D101" w:rsidR="0005558E" w:rsidRPr="00D17D60" w:rsidRDefault="0005558E" w:rsidP="00D17D60">
      <w:pPr>
        <w:keepNext/>
        <w:spacing w:after="220"/>
        <w:rPr>
          <w:rFonts w:eastAsia="Arial"/>
          <w:szCs w:val="22"/>
          <w:lang w:val="fr-FR"/>
        </w:rPr>
      </w:pPr>
      <w:r w:rsidRPr="00D17D60">
        <w:rPr>
          <w:szCs w:val="22"/>
          <w:lang w:val="fr-FR"/>
        </w:rPr>
        <w:t>Par conséquent, il est proposé de réaliser une nouvelle étude sur les industries de la création et la croissance économique (ci</w:t>
      </w:r>
      <w:r w:rsidR="00D17D60">
        <w:rPr>
          <w:szCs w:val="22"/>
          <w:lang w:val="fr-FR"/>
        </w:rPr>
        <w:noBreakHyphen/>
      </w:r>
      <w:r w:rsidRPr="00D17D60">
        <w:rPr>
          <w:szCs w:val="22"/>
          <w:lang w:val="fr-FR"/>
        </w:rPr>
        <w:t>après dénommée “étude”), établie par le Secteur des écosystèmes de propriété intellectuelle et d</w:t>
      </w:r>
      <w:r w:rsidR="009E1AFF" w:rsidRPr="00D17D60">
        <w:rPr>
          <w:szCs w:val="22"/>
          <w:lang w:val="fr-FR"/>
        </w:rPr>
        <w:t>’</w:t>
      </w:r>
      <w:r w:rsidRPr="00D17D60">
        <w:rPr>
          <w:szCs w:val="22"/>
          <w:lang w:val="fr-FR"/>
        </w:rPr>
        <w:t>innovation de l</w:t>
      </w:r>
      <w:r w:rsidR="009E1AFF" w:rsidRPr="00D17D60">
        <w:rPr>
          <w:szCs w:val="22"/>
          <w:lang w:val="fr-FR"/>
        </w:rPr>
        <w:t>’</w:t>
      </w:r>
      <w:proofErr w:type="spellStart"/>
      <w:r w:rsidRPr="00D17D60">
        <w:rPr>
          <w:szCs w:val="22"/>
          <w:lang w:val="fr-FR"/>
        </w:rPr>
        <w:t>OMPI</w:t>
      </w:r>
      <w:proofErr w:type="spellEnd"/>
      <w:r w:rsidRPr="00D17D60">
        <w:rPr>
          <w:szCs w:val="22"/>
          <w:lang w:val="fr-FR"/>
        </w:rPr>
        <w:t>, en concertation avec le Secteur du droit d</w:t>
      </w:r>
      <w:r w:rsidR="009E1AFF" w:rsidRPr="00D17D60">
        <w:rPr>
          <w:szCs w:val="22"/>
          <w:lang w:val="fr-FR"/>
        </w:rPr>
        <w:t>’</w:t>
      </w:r>
      <w:r w:rsidRPr="00D17D60">
        <w:rPr>
          <w:szCs w:val="22"/>
          <w:lang w:val="fr-FR"/>
        </w:rPr>
        <w:t>auteur et des industries de la création, afin de réévaluer la méthode précédente, d</w:t>
      </w:r>
      <w:r w:rsidR="009E1AFF" w:rsidRPr="00D17D60">
        <w:rPr>
          <w:szCs w:val="22"/>
          <w:lang w:val="fr-FR"/>
        </w:rPr>
        <w:t>’</w:t>
      </w:r>
      <w:r w:rsidRPr="00D17D60">
        <w:rPr>
          <w:szCs w:val="22"/>
          <w:lang w:val="fr-FR"/>
        </w:rPr>
        <w:t>inclure de nouvelles mesures de l</w:t>
      </w:r>
      <w:r w:rsidR="009E1AFF" w:rsidRPr="00D17D60">
        <w:rPr>
          <w:szCs w:val="22"/>
          <w:lang w:val="fr-FR"/>
        </w:rPr>
        <w:t>’</w:t>
      </w:r>
      <w:r w:rsidRPr="00D17D60">
        <w:rPr>
          <w:szCs w:val="22"/>
          <w:lang w:val="fr-FR"/>
        </w:rPr>
        <w:t>impact du marché numérique et de déterminer l</w:t>
      </w:r>
      <w:r w:rsidR="009E1AFF" w:rsidRPr="00D17D60">
        <w:rPr>
          <w:szCs w:val="22"/>
          <w:lang w:val="fr-FR"/>
        </w:rPr>
        <w:t>’</w:t>
      </w:r>
      <w:r w:rsidRPr="00D17D60">
        <w:rPr>
          <w:szCs w:val="22"/>
          <w:lang w:val="fr-FR"/>
        </w:rPr>
        <w:t>impact économique actuel des industries de la création dans les États membres de l</w:t>
      </w:r>
      <w:r w:rsidR="009E1AFF" w:rsidRPr="00D17D60">
        <w:rPr>
          <w:szCs w:val="22"/>
          <w:lang w:val="fr-FR"/>
        </w:rPr>
        <w:t>’</w:t>
      </w:r>
      <w:proofErr w:type="spellStart"/>
      <w:r w:rsidRPr="00D17D60">
        <w:rPr>
          <w:szCs w:val="22"/>
          <w:lang w:val="fr-FR"/>
        </w:rPr>
        <w:t>O</w:t>
      </w:r>
      <w:r w:rsidR="00D17D60" w:rsidRPr="00D17D60">
        <w:rPr>
          <w:szCs w:val="22"/>
          <w:lang w:val="fr-FR"/>
        </w:rPr>
        <w:t>MPI</w:t>
      </w:r>
      <w:proofErr w:type="spellEnd"/>
      <w:r w:rsidR="00D17D60" w:rsidRPr="00D17D60">
        <w:rPr>
          <w:szCs w:val="22"/>
          <w:lang w:val="fr-FR"/>
        </w:rPr>
        <w:t>.  Af</w:t>
      </w:r>
      <w:r w:rsidRPr="00D17D60">
        <w:rPr>
          <w:szCs w:val="22"/>
          <w:lang w:val="fr-FR"/>
        </w:rPr>
        <w:t xml:space="preserve">in que cette étude soit pertinente au regard des évolutions et tendances économiques actuelles ayant un impact sur les créateurs et les industries de la création à travers le monde, et </w:t>
      </w:r>
      <w:r w:rsidRPr="00D17D60">
        <w:rPr>
          <w:szCs w:val="22"/>
          <w:lang w:val="fr-FR"/>
        </w:rPr>
        <w:lastRenderedPageBreak/>
        <w:t>qu</w:t>
      </w:r>
      <w:r w:rsidR="009E1AFF" w:rsidRPr="00D17D60">
        <w:rPr>
          <w:szCs w:val="22"/>
          <w:lang w:val="fr-FR"/>
        </w:rPr>
        <w:t>’</w:t>
      </w:r>
      <w:r w:rsidRPr="00D17D60">
        <w:rPr>
          <w:szCs w:val="22"/>
          <w:lang w:val="fr-FR"/>
        </w:rPr>
        <w:t>elle puisse servir d</w:t>
      </w:r>
      <w:r w:rsidR="009E1AFF" w:rsidRPr="00D17D60">
        <w:rPr>
          <w:szCs w:val="22"/>
          <w:lang w:val="fr-FR"/>
        </w:rPr>
        <w:t>’</w:t>
      </w:r>
      <w:r w:rsidRPr="00D17D60">
        <w:rPr>
          <w:szCs w:val="22"/>
          <w:lang w:val="fr-FR"/>
        </w:rPr>
        <w:t>outil comparatif objectif et convivial, l</w:t>
      </w:r>
      <w:r w:rsidR="009E1AFF" w:rsidRPr="00D17D60">
        <w:rPr>
          <w:szCs w:val="22"/>
          <w:lang w:val="fr-FR"/>
        </w:rPr>
        <w:t>’</w:t>
      </w:r>
      <w:r w:rsidRPr="00D17D60">
        <w:rPr>
          <w:szCs w:val="22"/>
          <w:lang w:val="fr-FR"/>
        </w:rPr>
        <w:t>étude reposera sur les paramètres ci</w:t>
      </w:r>
      <w:r w:rsidR="00D17D60">
        <w:rPr>
          <w:szCs w:val="22"/>
          <w:lang w:val="fr-FR"/>
        </w:rPr>
        <w:noBreakHyphen/>
      </w:r>
      <w:r w:rsidRPr="00D17D60">
        <w:rPr>
          <w:szCs w:val="22"/>
          <w:lang w:val="fr-FR"/>
        </w:rPr>
        <w:t>après</w:t>
      </w:r>
      <w:r w:rsidR="009E1AFF" w:rsidRPr="00D17D60">
        <w:rPr>
          <w:szCs w:val="22"/>
          <w:lang w:val="fr-FR"/>
        </w:rPr>
        <w:t> :</w:t>
      </w:r>
    </w:p>
    <w:tbl>
      <w:tblPr>
        <w:tblStyle w:val="TableGrid"/>
        <w:tblW w:w="0" w:type="auto"/>
        <w:tblLook w:val="04A0" w:firstRow="1" w:lastRow="0" w:firstColumn="1" w:lastColumn="0" w:noHBand="0" w:noVBand="1"/>
      </w:tblPr>
      <w:tblGrid>
        <w:gridCol w:w="3593"/>
        <w:gridCol w:w="5752"/>
      </w:tblGrid>
      <w:tr w:rsidR="0005558E" w:rsidRPr="00D17D60" w14:paraId="17A8CD59" w14:textId="77777777" w:rsidTr="00D17D60">
        <w:tc>
          <w:tcPr>
            <w:tcW w:w="3593" w:type="dxa"/>
          </w:tcPr>
          <w:p w14:paraId="23FEF59B" w14:textId="77777777" w:rsidR="0005558E" w:rsidRPr="00D17D60" w:rsidRDefault="0005558E" w:rsidP="00D17D60">
            <w:pPr>
              <w:keepNext/>
              <w:rPr>
                <w:rFonts w:eastAsia="Arial"/>
                <w:b/>
                <w:bCs/>
                <w:szCs w:val="22"/>
              </w:rPr>
            </w:pPr>
            <w:r w:rsidRPr="00D17D60">
              <w:rPr>
                <w:b/>
                <w:szCs w:val="22"/>
              </w:rPr>
              <w:t>Paramètre</w:t>
            </w:r>
          </w:p>
        </w:tc>
        <w:tc>
          <w:tcPr>
            <w:tcW w:w="5752" w:type="dxa"/>
          </w:tcPr>
          <w:p w14:paraId="0720FD79" w14:textId="77777777" w:rsidR="0005558E" w:rsidRPr="00D17D60" w:rsidRDefault="0005558E" w:rsidP="00D17D60">
            <w:pPr>
              <w:keepNext/>
              <w:rPr>
                <w:rFonts w:eastAsia="Arial"/>
                <w:b/>
                <w:bCs/>
                <w:szCs w:val="22"/>
              </w:rPr>
            </w:pPr>
            <w:r w:rsidRPr="00D17D60">
              <w:rPr>
                <w:b/>
                <w:szCs w:val="22"/>
              </w:rPr>
              <w:t>Description</w:t>
            </w:r>
          </w:p>
        </w:tc>
      </w:tr>
      <w:tr w:rsidR="0005558E" w:rsidRPr="00D17D60" w14:paraId="5B0F041E" w14:textId="77777777" w:rsidTr="00D17D60">
        <w:tc>
          <w:tcPr>
            <w:tcW w:w="3593" w:type="dxa"/>
          </w:tcPr>
          <w:p w14:paraId="41DA8043" w14:textId="77777777" w:rsidR="0005558E" w:rsidRPr="00D17D60" w:rsidRDefault="0005558E" w:rsidP="00D17D60">
            <w:pPr>
              <w:keepNext/>
              <w:rPr>
                <w:rFonts w:eastAsia="Arial"/>
                <w:szCs w:val="22"/>
              </w:rPr>
            </w:pPr>
            <w:r w:rsidRPr="00D17D60">
              <w:rPr>
                <w:szCs w:val="22"/>
              </w:rPr>
              <w:t>Méthode</w:t>
            </w:r>
          </w:p>
        </w:tc>
        <w:tc>
          <w:tcPr>
            <w:tcW w:w="5752" w:type="dxa"/>
          </w:tcPr>
          <w:p w14:paraId="76775544" w14:textId="7D34DE1C" w:rsidR="0005558E" w:rsidRPr="00D17D60" w:rsidRDefault="0005558E" w:rsidP="00D17D60">
            <w:pPr>
              <w:keepNext/>
              <w:rPr>
                <w:rFonts w:eastAsia="Arial"/>
                <w:szCs w:val="22"/>
              </w:rPr>
            </w:pPr>
            <w:r w:rsidRPr="00D17D60">
              <w:rPr>
                <w:szCs w:val="22"/>
              </w:rPr>
              <w:t>L</w:t>
            </w:r>
            <w:r w:rsidR="009E1AFF" w:rsidRPr="00D17D60">
              <w:rPr>
                <w:szCs w:val="22"/>
              </w:rPr>
              <w:t>’</w:t>
            </w:r>
            <w:r w:rsidRPr="00D17D60">
              <w:rPr>
                <w:szCs w:val="22"/>
              </w:rPr>
              <w:t>étude suivra toutes les définitions et les calculs fournis par le “Guide pour l</w:t>
            </w:r>
            <w:r w:rsidR="009E1AFF" w:rsidRPr="00D17D60">
              <w:rPr>
                <w:szCs w:val="22"/>
              </w:rPr>
              <w:t>’</w:t>
            </w:r>
            <w:r w:rsidRPr="00D17D60">
              <w:rPr>
                <w:szCs w:val="22"/>
              </w:rPr>
              <w:t>évaluation de la contribution économique des industries du droit d</w:t>
            </w:r>
            <w:r w:rsidR="009E1AFF" w:rsidRPr="00D17D60">
              <w:rPr>
                <w:szCs w:val="22"/>
              </w:rPr>
              <w:t>’</w:t>
            </w:r>
            <w:r w:rsidRPr="00D17D60">
              <w:rPr>
                <w:szCs w:val="22"/>
              </w:rPr>
              <w:t>auteur”, publié par l</w:t>
            </w:r>
            <w:r w:rsidR="009E1AFF" w:rsidRPr="00D17D60">
              <w:rPr>
                <w:szCs w:val="22"/>
              </w:rPr>
              <w:t>’</w:t>
            </w:r>
            <w:proofErr w:type="spellStart"/>
            <w:r w:rsidRPr="00D17D60">
              <w:rPr>
                <w:szCs w:val="22"/>
              </w:rPr>
              <w:t>OMPI</w:t>
            </w:r>
            <w:proofErr w:type="spellEnd"/>
            <w:r w:rsidRPr="00D17D60">
              <w:rPr>
                <w:szCs w:val="22"/>
              </w:rPr>
              <w:t xml:space="preserve"> </w:t>
            </w:r>
            <w:r w:rsidR="009E1AFF" w:rsidRPr="00D17D60">
              <w:rPr>
                <w:szCs w:val="22"/>
              </w:rPr>
              <w:t>en 2015</w:t>
            </w:r>
            <w:r w:rsidRPr="00D17D60">
              <w:rPr>
                <w:szCs w:val="22"/>
              </w:rPr>
              <w:t>.</w:t>
            </w:r>
          </w:p>
        </w:tc>
      </w:tr>
      <w:tr w:rsidR="0005558E" w:rsidRPr="00D17D60" w14:paraId="151A99B7" w14:textId="77777777" w:rsidTr="00D17D60">
        <w:tc>
          <w:tcPr>
            <w:tcW w:w="3593" w:type="dxa"/>
          </w:tcPr>
          <w:p w14:paraId="6A1DDAD2" w14:textId="77777777" w:rsidR="0005558E" w:rsidRPr="00D17D60" w:rsidRDefault="0005558E" w:rsidP="00D17D60">
            <w:pPr>
              <w:keepNext/>
              <w:rPr>
                <w:rFonts w:eastAsia="Arial"/>
                <w:szCs w:val="22"/>
              </w:rPr>
            </w:pPr>
            <w:r w:rsidRPr="00D17D60">
              <w:rPr>
                <w:szCs w:val="22"/>
              </w:rPr>
              <w:t>Ensembles de données</w:t>
            </w:r>
          </w:p>
        </w:tc>
        <w:tc>
          <w:tcPr>
            <w:tcW w:w="5752" w:type="dxa"/>
          </w:tcPr>
          <w:p w14:paraId="1660A806" w14:textId="732C4F47" w:rsidR="0005558E" w:rsidRPr="00D17D60" w:rsidRDefault="0005558E" w:rsidP="00D17D60">
            <w:pPr>
              <w:keepNext/>
              <w:rPr>
                <w:rFonts w:eastAsia="Arial"/>
                <w:szCs w:val="22"/>
              </w:rPr>
            </w:pPr>
            <w:r w:rsidRPr="00D17D60">
              <w:rPr>
                <w:szCs w:val="22"/>
              </w:rPr>
              <w:t>Les données utilisées par les États membres pour calculer les résultats de l</w:t>
            </w:r>
            <w:r w:rsidR="009E1AFF" w:rsidRPr="00D17D60">
              <w:rPr>
                <w:szCs w:val="22"/>
              </w:rPr>
              <w:t>’</w:t>
            </w:r>
            <w:r w:rsidRPr="00D17D60">
              <w:rPr>
                <w:szCs w:val="22"/>
              </w:rPr>
              <w:t>étude doivent provenir des données économiques nationales les plus récentes disponibles au moment où cette étude a été approuvée.</w:t>
            </w:r>
          </w:p>
        </w:tc>
      </w:tr>
      <w:tr w:rsidR="0005558E" w:rsidRPr="00D17D60" w14:paraId="7ABF894A" w14:textId="77777777" w:rsidTr="00D17D60">
        <w:tc>
          <w:tcPr>
            <w:tcW w:w="3593" w:type="dxa"/>
          </w:tcPr>
          <w:p w14:paraId="3887C96A" w14:textId="77777777" w:rsidR="0005558E" w:rsidRPr="00D17D60" w:rsidRDefault="0005558E" w:rsidP="009E1AFF">
            <w:pPr>
              <w:rPr>
                <w:rFonts w:eastAsia="Arial"/>
                <w:szCs w:val="22"/>
              </w:rPr>
            </w:pPr>
            <w:r w:rsidRPr="00D17D60">
              <w:rPr>
                <w:szCs w:val="22"/>
              </w:rPr>
              <w:t>Résultats mesurés</w:t>
            </w:r>
          </w:p>
        </w:tc>
        <w:tc>
          <w:tcPr>
            <w:tcW w:w="5752" w:type="dxa"/>
          </w:tcPr>
          <w:p w14:paraId="4C46A95F" w14:textId="733BEA63" w:rsidR="0005558E" w:rsidRPr="00D17D60" w:rsidRDefault="0005558E" w:rsidP="009E1AFF">
            <w:pPr>
              <w:rPr>
                <w:rFonts w:eastAsia="Arial"/>
                <w:szCs w:val="22"/>
              </w:rPr>
            </w:pPr>
            <w:r w:rsidRPr="00D17D60">
              <w:rPr>
                <w:szCs w:val="22"/>
              </w:rPr>
              <w:t>Chaque État membre participant couvert par l</w:t>
            </w:r>
            <w:r w:rsidR="009E1AFF" w:rsidRPr="00D17D60">
              <w:rPr>
                <w:szCs w:val="22"/>
              </w:rPr>
              <w:t>’</w:t>
            </w:r>
            <w:r w:rsidRPr="00D17D60">
              <w:rPr>
                <w:szCs w:val="22"/>
              </w:rPr>
              <w:t xml:space="preserve">étude doit, dans la mesure du possible, fournir les informations suivantes pour la période de </w:t>
            </w:r>
            <w:proofErr w:type="gramStart"/>
            <w:r w:rsidRPr="00D17D60">
              <w:rPr>
                <w:szCs w:val="22"/>
              </w:rPr>
              <w:t>trois</w:t>
            </w:r>
            <w:r w:rsidR="00CD1286" w:rsidRPr="00D17D60">
              <w:rPr>
                <w:szCs w:val="22"/>
              </w:rPr>
              <w:t> </w:t>
            </w:r>
            <w:r w:rsidRPr="00D17D60">
              <w:rPr>
                <w:szCs w:val="22"/>
              </w:rPr>
              <w:t>ans spécifiée</w:t>
            </w:r>
            <w:proofErr w:type="gramEnd"/>
            <w:r w:rsidRPr="00D17D60">
              <w:rPr>
                <w:szCs w:val="22"/>
              </w:rPr>
              <w:t xml:space="preserve"> ci</w:t>
            </w:r>
            <w:r w:rsidR="00D17D60">
              <w:rPr>
                <w:szCs w:val="22"/>
              </w:rPr>
              <w:noBreakHyphen/>
            </w:r>
            <w:r w:rsidRPr="00D17D60">
              <w:rPr>
                <w:szCs w:val="22"/>
              </w:rPr>
              <w:t>dessus</w:t>
            </w:r>
            <w:r w:rsidR="009E1AFF" w:rsidRPr="00D17D60">
              <w:rPr>
                <w:szCs w:val="22"/>
              </w:rPr>
              <w:t> :</w:t>
            </w:r>
          </w:p>
          <w:p w14:paraId="4DDC6E63" w14:textId="68E67F80" w:rsidR="0005558E" w:rsidRPr="00D17D60" w:rsidRDefault="0005558E" w:rsidP="009E1AFF">
            <w:pPr>
              <w:pStyle w:val="ListParagraph"/>
              <w:numPr>
                <w:ilvl w:val="0"/>
                <w:numId w:val="7"/>
              </w:numPr>
              <w:spacing w:after="0" w:line="240" w:lineRule="auto"/>
              <w:rPr>
                <w:rFonts w:ascii="Arial" w:eastAsia="Arial" w:hAnsi="Arial" w:cs="Arial"/>
                <w:sz w:val="22"/>
                <w:szCs w:val="22"/>
              </w:rPr>
            </w:pPr>
            <w:proofErr w:type="gramStart"/>
            <w:r w:rsidRPr="00D17D60">
              <w:rPr>
                <w:rFonts w:ascii="Arial" w:hAnsi="Arial" w:cs="Arial"/>
                <w:sz w:val="22"/>
                <w:szCs w:val="22"/>
              </w:rPr>
              <w:t>la</w:t>
            </w:r>
            <w:proofErr w:type="gramEnd"/>
            <w:r w:rsidRPr="00D17D60">
              <w:rPr>
                <w:rFonts w:ascii="Arial" w:hAnsi="Arial" w:cs="Arial"/>
                <w:sz w:val="22"/>
                <w:szCs w:val="22"/>
              </w:rPr>
              <w:t xml:space="preserve"> contribution des industries du droit d</w:t>
            </w:r>
            <w:r w:rsidR="009E1AFF" w:rsidRPr="00D17D60">
              <w:rPr>
                <w:rFonts w:ascii="Arial" w:hAnsi="Arial" w:cs="Arial"/>
                <w:sz w:val="22"/>
                <w:szCs w:val="22"/>
              </w:rPr>
              <w:t>’</w:t>
            </w:r>
            <w:r w:rsidRPr="00D17D60">
              <w:rPr>
                <w:rFonts w:ascii="Arial" w:hAnsi="Arial" w:cs="Arial"/>
                <w:sz w:val="22"/>
                <w:szCs w:val="22"/>
              </w:rPr>
              <w:t>auteur</w:t>
            </w:r>
            <w:r w:rsidR="009E1AFF" w:rsidRPr="00D17D60">
              <w:rPr>
                <w:rFonts w:ascii="Arial" w:hAnsi="Arial" w:cs="Arial"/>
                <w:sz w:val="22"/>
                <w:szCs w:val="22"/>
              </w:rPr>
              <w:t xml:space="preserve"> au PIB</w:t>
            </w:r>
            <w:r w:rsidRPr="00D17D60">
              <w:rPr>
                <w:rFonts w:ascii="Arial" w:hAnsi="Arial" w:cs="Arial"/>
                <w:sz w:val="22"/>
                <w:szCs w:val="22"/>
              </w:rPr>
              <w:t xml:space="preserve"> (en pourcentage</w:t>
            </w:r>
            <w:proofErr w:type="gramStart"/>
            <w:r w:rsidRPr="00D17D60">
              <w:rPr>
                <w:rFonts w:ascii="Arial" w:hAnsi="Arial" w:cs="Arial"/>
                <w:sz w:val="22"/>
                <w:szCs w:val="22"/>
              </w:rPr>
              <w:t>)</w:t>
            </w:r>
            <w:r w:rsidR="00D17D60">
              <w:rPr>
                <w:rFonts w:ascii="Arial" w:hAnsi="Arial" w:cs="Arial"/>
                <w:sz w:val="22"/>
                <w:szCs w:val="22"/>
              </w:rPr>
              <w:t>;</w:t>
            </w:r>
            <w:proofErr w:type="gramEnd"/>
          </w:p>
          <w:p w14:paraId="1C83B3BE" w14:textId="2A503312" w:rsidR="0005558E" w:rsidRPr="00D17D60" w:rsidRDefault="0005558E" w:rsidP="009E1AFF">
            <w:pPr>
              <w:pStyle w:val="ListParagraph"/>
              <w:numPr>
                <w:ilvl w:val="0"/>
                <w:numId w:val="7"/>
              </w:numPr>
              <w:spacing w:after="0" w:line="240" w:lineRule="auto"/>
              <w:rPr>
                <w:rFonts w:ascii="Arial" w:eastAsia="Arial" w:hAnsi="Arial" w:cs="Arial"/>
                <w:sz w:val="22"/>
                <w:szCs w:val="22"/>
              </w:rPr>
            </w:pPr>
            <w:proofErr w:type="gramStart"/>
            <w:r w:rsidRPr="00D17D60">
              <w:rPr>
                <w:rFonts w:ascii="Arial" w:hAnsi="Arial" w:cs="Arial"/>
                <w:sz w:val="22"/>
                <w:szCs w:val="22"/>
              </w:rPr>
              <w:t>la</w:t>
            </w:r>
            <w:proofErr w:type="gramEnd"/>
            <w:r w:rsidRPr="00D17D60">
              <w:rPr>
                <w:rFonts w:ascii="Arial" w:hAnsi="Arial" w:cs="Arial"/>
                <w:sz w:val="22"/>
                <w:szCs w:val="22"/>
              </w:rPr>
              <w:t xml:space="preserve"> contribution des industries du droit d</w:t>
            </w:r>
            <w:r w:rsidR="009E1AFF" w:rsidRPr="00D17D60">
              <w:rPr>
                <w:rFonts w:ascii="Arial" w:hAnsi="Arial" w:cs="Arial"/>
                <w:sz w:val="22"/>
                <w:szCs w:val="22"/>
              </w:rPr>
              <w:t>’</w:t>
            </w:r>
            <w:r w:rsidRPr="00D17D60">
              <w:rPr>
                <w:rFonts w:ascii="Arial" w:hAnsi="Arial" w:cs="Arial"/>
                <w:sz w:val="22"/>
                <w:szCs w:val="22"/>
              </w:rPr>
              <w:t>auteur à l</w:t>
            </w:r>
            <w:r w:rsidR="009E1AFF" w:rsidRPr="00D17D60">
              <w:rPr>
                <w:rFonts w:ascii="Arial" w:hAnsi="Arial" w:cs="Arial"/>
                <w:sz w:val="22"/>
                <w:szCs w:val="22"/>
              </w:rPr>
              <w:t>’</w:t>
            </w:r>
            <w:r w:rsidRPr="00D17D60">
              <w:rPr>
                <w:rFonts w:ascii="Arial" w:hAnsi="Arial" w:cs="Arial"/>
                <w:sz w:val="22"/>
                <w:szCs w:val="22"/>
              </w:rPr>
              <w:t>emploi à l</w:t>
            </w:r>
            <w:r w:rsidR="009E1AFF" w:rsidRPr="00D17D60">
              <w:rPr>
                <w:rFonts w:ascii="Arial" w:hAnsi="Arial" w:cs="Arial"/>
                <w:sz w:val="22"/>
                <w:szCs w:val="22"/>
              </w:rPr>
              <w:t>’</w:t>
            </w:r>
            <w:r w:rsidRPr="00D17D60">
              <w:rPr>
                <w:rFonts w:ascii="Arial" w:hAnsi="Arial" w:cs="Arial"/>
                <w:sz w:val="22"/>
                <w:szCs w:val="22"/>
              </w:rPr>
              <w:t>échelle nationale (en pourcentage</w:t>
            </w:r>
            <w:proofErr w:type="gramStart"/>
            <w:r w:rsidRPr="00D17D60">
              <w:rPr>
                <w:rFonts w:ascii="Arial" w:hAnsi="Arial" w:cs="Arial"/>
                <w:sz w:val="22"/>
                <w:szCs w:val="22"/>
              </w:rPr>
              <w:t>)</w:t>
            </w:r>
            <w:r w:rsidR="00D17D60">
              <w:rPr>
                <w:rFonts w:ascii="Arial" w:hAnsi="Arial" w:cs="Arial"/>
                <w:sz w:val="22"/>
                <w:szCs w:val="22"/>
              </w:rPr>
              <w:t>;</w:t>
            </w:r>
            <w:proofErr w:type="gramEnd"/>
          </w:p>
          <w:p w14:paraId="03934975" w14:textId="32240D56" w:rsidR="0005558E" w:rsidRPr="00D17D60" w:rsidRDefault="0005558E" w:rsidP="009E1AFF">
            <w:pPr>
              <w:pStyle w:val="ListParagraph"/>
              <w:numPr>
                <w:ilvl w:val="0"/>
                <w:numId w:val="7"/>
              </w:numPr>
              <w:spacing w:after="0" w:line="240" w:lineRule="auto"/>
              <w:rPr>
                <w:rFonts w:ascii="Arial" w:eastAsia="Arial" w:hAnsi="Arial" w:cs="Arial"/>
                <w:sz w:val="22"/>
                <w:szCs w:val="22"/>
              </w:rPr>
            </w:pPr>
            <w:proofErr w:type="gramStart"/>
            <w:r w:rsidRPr="00D17D60">
              <w:rPr>
                <w:rFonts w:ascii="Arial" w:hAnsi="Arial" w:cs="Arial"/>
                <w:sz w:val="22"/>
                <w:szCs w:val="22"/>
              </w:rPr>
              <w:t>la</w:t>
            </w:r>
            <w:proofErr w:type="gramEnd"/>
            <w:r w:rsidRPr="00D17D60">
              <w:rPr>
                <w:rFonts w:ascii="Arial" w:hAnsi="Arial" w:cs="Arial"/>
                <w:sz w:val="22"/>
                <w:szCs w:val="22"/>
              </w:rPr>
              <w:t xml:space="preserve"> contribution des industries du droit d</w:t>
            </w:r>
            <w:r w:rsidR="009E1AFF" w:rsidRPr="00D17D60">
              <w:rPr>
                <w:rFonts w:ascii="Arial" w:hAnsi="Arial" w:cs="Arial"/>
                <w:sz w:val="22"/>
                <w:szCs w:val="22"/>
              </w:rPr>
              <w:t>’</w:t>
            </w:r>
            <w:r w:rsidRPr="00D17D60">
              <w:rPr>
                <w:rFonts w:ascii="Arial" w:hAnsi="Arial" w:cs="Arial"/>
                <w:sz w:val="22"/>
                <w:szCs w:val="22"/>
              </w:rPr>
              <w:t>auteur aux exportations (en pourcentage</w:t>
            </w:r>
            <w:proofErr w:type="gramStart"/>
            <w:r w:rsidRPr="00D17D60">
              <w:rPr>
                <w:rFonts w:ascii="Arial" w:hAnsi="Arial" w:cs="Arial"/>
                <w:sz w:val="22"/>
                <w:szCs w:val="22"/>
              </w:rPr>
              <w:t>)</w:t>
            </w:r>
            <w:r w:rsidR="00D17D60">
              <w:rPr>
                <w:rFonts w:ascii="Arial" w:hAnsi="Arial" w:cs="Arial"/>
                <w:sz w:val="22"/>
                <w:szCs w:val="22"/>
              </w:rPr>
              <w:t>;</w:t>
            </w:r>
            <w:proofErr w:type="gramEnd"/>
          </w:p>
          <w:p w14:paraId="4475C148" w14:textId="466C5CDE" w:rsidR="0005558E" w:rsidRPr="00D17D60" w:rsidRDefault="0005558E" w:rsidP="009E1AFF">
            <w:pPr>
              <w:pStyle w:val="ListParagraph"/>
              <w:numPr>
                <w:ilvl w:val="0"/>
                <w:numId w:val="7"/>
              </w:numPr>
              <w:spacing w:after="0" w:line="240" w:lineRule="auto"/>
              <w:rPr>
                <w:rFonts w:ascii="Arial" w:eastAsia="Arial" w:hAnsi="Arial" w:cs="Arial"/>
                <w:sz w:val="22"/>
                <w:szCs w:val="22"/>
              </w:rPr>
            </w:pPr>
            <w:proofErr w:type="gramStart"/>
            <w:r w:rsidRPr="00D17D60">
              <w:rPr>
                <w:rFonts w:ascii="Arial" w:hAnsi="Arial" w:cs="Arial"/>
                <w:sz w:val="22"/>
                <w:szCs w:val="22"/>
              </w:rPr>
              <w:t>les</w:t>
            </w:r>
            <w:proofErr w:type="gramEnd"/>
            <w:r w:rsidRPr="00D17D60">
              <w:rPr>
                <w:rFonts w:ascii="Arial" w:hAnsi="Arial" w:cs="Arial"/>
                <w:sz w:val="22"/>
                <w:szCs w:val="22"/>
              </w:rPr>
              <w:t xml:space="preserve"> rémunérations versées aux travailleurs dans le domaine du droit d</w:t>
            </w:r>
            <w:r w:rsidR="009E1AFF" w:rsidRPr="00D17D60">
              <w:rPr>
                <w:rFonts w:ascii="Arial" w:hAnsi="Arial" w:cs="Arial"/>
                <w:sz w:val="22"/>
                <w:szCs w:val="22"/>
              </w:rPr>
              <w:t>’</w:t>
            </w:r>
            <w:r w:rsidRPr="00D17D60">
              <w:rPr>
                <w:rFonts w:ascii="Arial" w:hAnsi="Arial" w:cs="Arial"/>
                <w:sz w:val="22"/>
                <w:szCs w:val="22"/>
              </w:rPr>
              <w:t>auteur (en pourcentage par rapport aux travailleurs des autres secteurs</w:t>
            </w:r>
            <w:proofErr w:type="gramStart"/>
            <w:r w:rsidRPr="00D17D60">
              <w:rPr>
                <w:rFonts w:ascii="Arial" w:hAnsi="Arial" w:cs="Arial"/>
                <w:sz w:val="22"/>
                <w:szCs w:val="22"/>
              </w:rPr>
              <w:t>)</w:t>
            </w:r>
            <w:r w:rsidR="00D17D60">
              <w:rPr>
                <w:rFonts w:ascii="Arial" w:hAnsi="Arial" w:cs="Arial"/>
                <w:sz w:val="22"/>
                <w:szCs w:val="22"/>
              </w:rPr>
              <w:t>;</w:t>
            </w:r>
            <w:proofErr w:type="gramEnd"/>
          </w:p>
          <w:p w14:paraId="7484AE56" w14:textId="46338997" w:rsidR="0005558E" w:rsidRPr="00D17D60" w:rsidRDefault="0005558E" w:rsidP="009E1AFF">
            <w:pPr>
              <w:pStyle w:val="ListParagraph"/>
              <w:numPr>
                <w:ilvl w:val="0"/>
                <w:numId w:val="7"/>
              </w:numPr>
              <w:spacing w:after="0" w:line="240" w:lineRule="auto"/>
              <w:rPr>
                <w:rFonts w:ascii="Arial" w:eastAsia="Arial" w:hAnsi="Arial" w:cs="Arial"/>
                <w:sz w:val="22"/>
                <w:szCs w:val="22"/>
              </w:rPr>
            </w:pPr>
            <w:proofErr w:type="gramStart"/>
            <w:r w:rsidRPr="00D17D60">
              <w:rPr>
                <w:rFonts w:ascii="Arial" w:hAnsi="Arial" w:cs="Arial"/>
                <w:sz w:val="22"/>
                <w:szCs w:val="22"/>
              </w:rPr>
              <w:t>l</w:t>
            </w:r>
            <w:r w:rsidR="009E1AFF" w:rsidRPr="00D17D60">
              <w:rPr>
                <w:rFonts w:ascii="Arial" w:hAnsi="Arial" w:cs="Arial"/>
                <w:sz w:val="22"/>
                <w:szCs w:val="22"/>
              </w:rPr>
              <w:t>’</w:t>
            </w:r>
            <w:r w:rsidRPr="00D17D60">
              <w:rPr>
                <w:rFonts w:ascii="Arial" w:hAnsi="Arial" w:cs="Arial"/>
                <w:sz w:val="22"/>
                <w:szCs w:val="22"/>
              </w:rPr>
              <w:t>adhésion</w:t>
            </w:r>
            <w:proofErr w:type="gramEnd"/>
            <w:r w:rsidRPr="00D17D60">
              <w:rPr>
                <w:rFonts w:ascii="Arial" w:hAnsi="Arial" w:cs="Arial"/>
                <w:sz w:val="22"/>
                <w:szCs w:val="22"/>
              </w:rPr>
              <w:t xml:space="preserve"> aux traités de l</w:t>
            </w:r>
            <w:r w:rsidR="009E1AFF" w:rsidRPr="00D17D60">
              <w:rPr>
                <w:rFonts w:ascii="Arial" w:hAnsi="Arial" w:cs="Arial"/>
                <w:sz w:val="22"/>
                <w:szCs w:val="22"/>
              </w:rPr>
              <w:t>’</w:t>
            </w:r>
            <w:proofErr w:type="spellStart"/>
            <w:r w:rsidRPr="00D17D60">
              <w:rPr>
                <w:rFonts w:ascii="Arial" w:hAnsi="Arial" w:cs="Arial"/>
                <w:sz w:val="22"/>
                <w:szCs w:val="22"/>
              </w:rPr>
              <w:t>OMPI</w:t>
            </w:r>
            <w:proofErr w:type="spellEnd"/>
            <w:r w:rsidRPr="00D17D60">
              <w:rPr>
                <w:rFonts w:ascii="Arial" w:hAnsi="Arial" w:cs="Arial"/>
                <w:sz w:val="22"/>
                <w:szCs w:val="22"/>
              </w:rPr>
              <w:t xml:space="preserve"> spécifiquement énumérés et leur mise en œuvre</w:t>
            </w:r>
            <w:r w:rsidR="00D17D60">
              <w:rPr>
                <w:rFonts w:ascii="Arial" w:hAnsi="Arial" w:cs="Arial"/>
                <w:sz w:val="22"/>
                <w:szCs w:val="22"/>
              </w:rPr>
              <w:t>.</w:t>
            </w:r>
          </w:p>
          <w:p w14:paraId="0B505964" w14:textId="4BBBC4A6" w:rsidR="0005558E" w:rsidRPr="00D17D60" w:rsidRDefault="0005558E" w:rsidP="00D17D60">
            <w:pPr>
              <w:spacing w:before="220"/>
              <w:rPr>
                <w:rFonts w:eastAsia="Arial"/>
                <w:szCs w:val="22"/>
              </w:rPr>
            </w:pPr>
            <w:r w:rsidRPr="00D17D60">
              <w:rPr>
                <w:szCs w:val="22"/>
              </w:rPr>
              <w:t>À partir des données fournies par les États membres, l</w:t>
            </w:r>
            <w:r w:rsidR="009E1AFF" w:rsidRPr="00D17D60">
              <w:rPr>
                <w:szCs w:val="22"/>
              </w:rPr>
              <w:t>’</w:t>
            </w:r>
            <w:r w:rsidRPr="00D17D60">
              <w:rPr>
                <w:szCs w:val="22"/>
              </w:rPr>
              <w:t xml:space="preserve">étude permettra également de calculer les éléments suivants pour la période de </w:t>
            </w:r>
            <w:proofErr w:type="gramStart"/>
            <w:r w:rsidRPr="00D17D60">
              <w:rPr>
                <w:szCs w:val="22"/>
              </w:rPr>
              <w:t>trois</w:t>
            </w:r>
            <w:r w:rsidR="00CD1286" w:rsidRPr="00D17D60">
              <w:rPr>
                <w:szCs w:val="22"/>
              </w:rPr>
              <w:t> </w:t>
            </w:r>
            <w:r w:rsidRPr="00D17D60">
              <w:rPr>
                <w:szCs w:val="22"/>
              </w:rPr>
              <w:t>ans susmentionnée</w:t>
            </w:r>
            <w:proofErr w:type="gramEnd"/>
            <w:r w:rsidR="009E1AFF" w:rsidRPr="00D17D60">
              <w:rPr>
                <w:szCs w:val="22"/>
              </w:rPr>
              <w:t> :</w:t>
            </w:r>
          </w:p>
          <w:p w14:paraId="45BE505D" w14:textId="423230A2" w:rsidR="009E1AFF" w:rsidRPr="00D17D60" w:rsidRDefault="0005558E" w:rsidP="009E1AFF">
            <w:pPr>
              <w:pStyle w:val="ListParagraph"/>
              <w:numPr>
                <w:ilvl w:val="0"/>
                <w:numId w:val="7"/>
              </w:numPr>
              <w:spacing w:after="0" w:line="240" w:lineRule="auto"/>
              <w:rPr>
                <w:rFonts w:ascii="Arial" w:hAnsi="Arial" w:cs="Arial"/>
                <w:sz w:val="22"/>
                <w:szCs w:val="22"/>
              </w:rPr>
            </w:pPr>
            <w:proofErr w:type="gramStart"/>
            <w:r w:rsidRPr="00D17D60">
              <w:rPr>
                <w:rFonts w:ascii="Arial" w:hAnsi="Arial" w:cs="Arial"/>
                <w:sz w:val="22"/>
                <w:szCs w:val="22"/>
              </w:rPr>
              <w:t>le</w:t>
            </w:r>
            <w:proofErr w:type="gramEnd"/>
            <w:r w:rsidRPr="00D17D60">
              <w:rPr>
                <w:rFonts w:ascii="Arial" w:hAnsi="Arial" w:cs="Arial"/>
                <w:sz w:val="22"/>
                <w:szCs w:val="22"/>
              </w:rPr>
              <w:t xml:space="preserve"> taux de croissance de la contribution des industries du droit d</w:t>
            </w:r>
            <w:r w:rsidR="009E1AFF" w:rsidRPr="00D17D60">
              <w:rPr>
                <w:rFonts w:ascii="Arial" w:hAnsi="Arial" w:cs="Arial"/>
                <w:sz w:val="22"/>
                <w:szCs w:val="22"/>
              </w:rPr>
              <w:t>’</w:t>
            </w:r>
            <w:r w:rsidRPr="00D17D60">
              <w:rPr>
                <w:rFonts w:ascii="Arial" w:hAnsi="Arial" w:cs="Arial"/>
                <w:sz w:val="22"/>
                <w:szCs w:val="22"/>
              </w:rPr>
              <w:t>auteur</w:t>
            </w:r>
            <w:r w:rsidR="009E1AFF" w:rsidRPr="00D17D60">
              <w:rPr>
                <w:rFonts w:ascii="Arial" w:hAnsi="Arial" w:cs="Arial"/>
                <w:sz w:val="22"/>
                <w:szCs w:val="22"/>
              </w:rPr>
              <w:t xml:space="preserve"> au </w:t>
            </w:r>
            <w:proofErr w:type="gramStart"/>
            <w:r w:rsidR="009E1AFF" w:rsidRPr="00D17D60">
              <w:rPr>
                <w:rFonts w:ascii="Arial" w:hAnsi="Arial" w:cs="Arial"/>
                <w:sz w:val="22"/>
                <w:szCs w:val="22"/>
              </w:rPr>
              <w:t>PIB</w:t>
            </w:r>
            <w:r w:rsidR="00D17D60">
              <w:rPr>
                <w:rFonts w:ascii="Arial" w:hAnsi="Arial" w:cs="Arial"/>
                <w:sz w:val="22"/>
                <w:szCs w:val="22"/>
              </w:rPr>
              <w:t>;</w:t>
            </w:r>
            <w:proofErr w:type="gramEnd"/>
          </w:p>
          <w:p w14:paraId="5F529665" w14:textId="1A809B55" w:rsidR="009E1AFF" w:rsidRPr="00D17D60" w:rsidRDefault="0005558E" w:rsidP="009E1AFF">
            <w:pPr>
              <w:pStyle w:val="ListParagraph"/>
              <w:numPr>
                <w:ilvl w:val="0"/>
                <w:numId w:val="7"/>
              </w:numPr>
              <w:spacing w:after="0" w:line="240" w:lineRule="auto"/>
              <w:rPr>
                <w:rFonts w:ascii="Arial" w:hAnsi="Arial" w:cs="Arial"/>
                <w:sz w:val="22"/>
                <w:szCs w:val="22"/>
              </w:rPr>
            </w:pPr>
            <w:proofErr w:type="gramStart"/>
            <w:r w:rsidRPr="00D17D60">
              <w:rPr>
                <w:rFonts w:ascii="Arial" w:hAnsi="Arial" w:cs="Arial"/>
                <w:sz w:val="22"/>
                <w:szCs w:val="22"/>
              </w:rPr>
              <w:t>le</w:t>
            </w:r>
            <w:proofErr w:type="gramEnd"/>
            <w:r w:rsidRPr="00D17D60">
              <w:rPr>
                <w:rFonts w:ascii="Arial" w:hAnsi="Arial" w:cs="Arial"/>
                <w:sz w:val="22"/>
                <w:szCs w:val="22"/>
              </w:rPr>
              <w:t xml:space="preserve"> taux de croissance de la contribution des industries du droit d</w:t>
            </w:r>
            <w:r w:rsidR="009E1AFF" w:rsidRPr="00D17D60">
              <w:rPr>
                <w:rFonts w:ascii="Arial" w:hAnsi="Arial" w:cs="Arial"/>
                <w:sz w:val="22"/>
                <w:szCs w:val="22"/>
              </w:rPr>
              <w:t>’</w:t>
            </w:r>
            <w:r w:rsidRPr="00D17D60">
              <w:rPr>
                <w:rFonts w:ascii="Arial" w:hAnsi="Arial" w:cs="Arial"/>
                <w:sz w:val="22"/>
                <w:szCs w:val="22"/>
              </w:rPr>
              <w:t>auteur à l</w:t>
            </w:r>
            <w:r w:rsidR="009E1AFF" w:rsidRPr="00D17D60">
              <w:rPr>
                <w:rFonts w:ascii="Arial" w:hAnsi="Arial" w:cs="Arial"/>
                <w:sz w:val="22"/>
                <w:szCs w:val="22"/>
              </w:rPr>
              <w:t>’</w:t>
            </w:r>
            <w:r w:rsidRPr="00D17D60">
              <w:rPr>
                <w:rFonts w:ascii="Arial" w:hAnsi="Arial" w:cs="Arial"/>
                <w:sz w:val="22"/>
                <w:szCs w:val="22"/>
              </w:rPr>
              <w:t>emploi à l</w:t>
            </w:r>
            <w:r w:rsidR="009E1AFF" w:rsidRPr="00D17D60">
              <w:rPr>
                <w:rFonts w:ascii="Arial" w:hAnsi="Arial" w:cs="Arial"/>
                <w:sz w:val="22"/>
                <w:szCs w:val="22"/>
              </w:rPr>
              <w:t>’</w:t>
            </w:r>
            <w:r w:rsidRPr="00D17D60">
              <w:rPr>
                <w:rFonts w:ascii="Arial" w:hAnsi="Arial" w:cs="Arial"/>
                <w:sz w:val="22"/>
                <w:szCs w:val="22"/>
              </w:rPr>
              <w:t xml:space="preserve">échelle </w:t>
            </w:r>
            <w:proofErr w:type="gramStart"/>
            <w:r w:rsidRPr="00D17D60">
              <w:rPr>
                <w:rFonts w:ascii="Arial" w:hAnsi="Arial" w:cs="Arial"/>
                <w:sz w:val="22"/>
                <w:szCs w:val="22"/>
              </w:rPr>
              <w:t>nationale</w:t>
            </w:r>
            <w:r w:rsidR="00D17D60">
              <w:rPr>
                <w:rFonts w:ascii="Arial" w:hAnsi="Arial" w:cs="Arial"/>
                <w:sz w:val="22"/>
                <w:szCs w:val="22"/>
              </w:rPr>
              <w:t>;</w:t>
            </w:r>
            <w:proofErr w:type="gramEnd"/>
          </w:p>
          <w:p w14:paraId="55DF29DD" w14:textId="52D3D59C" w:rsidR="009E1AFF" w:rsidRPr="00D17D60" w:rsidRDefault="0005558E" w:rsidP="009E1AFF">
            <w:pPr>
              <w:pStyle w:val="ListParagraph"/>
              <w:numPr>
                <w:ilvl w:val="0"/>
                <w:numId w:val="7"/>
              </w:numPr>
              <w:spacing w:after="0" w:line="240" w:lineRule="auto"/>
              <w:rPr>
                <w:rFonts w:ascii="Arial" w:hAnsi="Arial" w:cs="Arial"/>
                <w:sz w:val="22"/>
                <w:szCs w:val="22"/>
              </w:rPr>
            </w:pPr>
            <w:proofErr w:type="gramStart"/>
            <w:r w:rsidRPr="00D17D60">
              <w:rPr>
                <w:rFonts w:ascii="Arial" w:hAnsi="Arial" w:cs="Arial"/>
                <w:sz w:val="22"/>
                <w:szCs w:val="22"/>
              </w:rPr>
              <w:t>le</w:t>
            </w:r>
            <w:proofErr w:type="gramEnd"/>
            <w:r w:rsidRPr="00D17D60">
              <w:rPr>
                <w:rFonts w:ascii="Arial" w:hAnsi="Arial" w:cs="Arial"/>
                <w:sz w:val="22"/>
                <w:szCs w:val="22"/>
              </w:rPr>
              <w:t xml:space="preserve"> taux de croissance de la contribution des industries du droit d</w:t>
            </w:r>
            <w:r w:rsidR="009E1AFF" w:rsidRPr="00D17D60">
              <w:rPr>
                <w:rFonts w:ascii="Arial" w:hAnsi="Arial" w:cs="Arial"/>
                <w:sz w:val="22"/>
                <w:szCs w:val="22"/>
              </w:rPr>
              <w:t>’</w:t>
            </w:r>
            <w:r w:rsidRPr="00D17D60">
              <w:rPr>
                <w:rFonts w:ascii="Arial" w:hAnsi="Arial" w:cs="Arial"/>
                <w:sz w:val="22"/>
                <w:szCs w:val="22"/>
              </w:rPr>
              <w:t xml:space="preserve">auteur aux </w:t>
            </w:r>
            <w:proofErr w:type="gramStart"/>
            <w:r w:rsidRPr="00D17D60">
              <w:rPr>
                <w:rFonts w:ascii="Arial" w:hAnsi="Arial" w:cs="Arial"/>
                <w:sz w:val="22"/>
                <w:szCs w:val="22"/>
              </w:rPr>
              <w:t>exportations</w:t>
            </w:r>
            <w:r w:rsidR="00D17D60">
              <w:rPr>
                <w:rFonts w:ascii="Arial" w:hAnsi="Arial" w:cs="Arial"/>
                <w:sz w:val="22"/>
                <w:szCs w:val="22"/>
              </w:rPr>
              <w:t>;</w:t>
            </w:r>
            <w:proofErr w:type="gramEnd"/>
          </w:p>
          <w:p w14:paraId="11DD28A1" w14:textId="23B69153" w:rsidR="009E1AFF" w:rsidRPr="00D17D60" w:rsidRDefault="0005558E" w:rsidP="009E1AFF">
            <w:pPr>
              <w:pStyle w:val="ListParagraph"/>
              <w:numPr>
                <w:ilvl w:val="0"/>
                <w:numId w:val="7"/>
              </w:numPr>
              <w:spacing w:after="0" w:line="240" w:lineRule="auto"/>
              <w:rPr>
                <w:rFonts w:ascii="Arial" w:hAnsi="Arial" w:cs="Arial"/>
                <w:sz w:val="22"/>
                <w:szCs w:val="22"/>
              </w:rPr>
            </w:pPr>
            <w:proofErr w:type="gramStart"/>
            <w:r w:rsidRPr="00D17D60">
              <w:rPr>
                <w:rFonts w:ascii="Arial" w:hAnsi="Arial" w:cs="Arial"/>
                <w:sz w:val="22"/>
                <w:szCs w:val="22"/>
              </w:rPr>
              <w:t>le</w:t>
            </w:r>
            <w:proofErr w:type="gramEnd"/>
            <w:r w:rsidRPr="00D17D60">
              <w:rPr>
                <w:rFonts w:ascii="Arial" w:hAnsi="Arial" w:cs="Arial"/>
                <w:sz w:val="22"/>
                <w:szCs w:val="22"/>
              </w:rPr>
              <w:t xml:space="preserve"> taux de croissance des rémunérations versées aux travailleurs dans le domaine du droit d</w:t>
            </w:r>
            <w:r w:rsidR="009E1AFF" w:rsidRPr="00D17D60">
              <w:rPr>
                <w:rFonts w:ascii="Arial" w:hAnsi="Arial" w:cs="Arial"/>
                <w:sz w:val="22"/>
                <w:szCs w:val="22"/>
              </w:rPr>
              <w:t>’</w:t>
            </w:r>
            <w:r w:rsidRPr="00D17D60">
              <w:rPr>
                <w:rFonts w:ascii="Arial" w:hAnsi="Arial" w:cs="Arial"/>
                <w:sz w:val="22"/>
                <w:szCs w:val="22"/>
              </w:rPr>
              <w:t>auteur</w:t>
            </w:r>
            <w:r w:rsidR="00D17D60">
              <w:rPr>
                <w:rFonts w:ascii="Arial" w:hAnsi="Arial" w:cs="Arial"/>
                <w:sz w:val="22"/>
                <w:szCs w:val="22"/>
              </w:rPr>
              <w:t>.</w:t>
            </w:r>
          </w:p>
          <w:p w14:paraId="7D09C460" w14:textId="6D55DBC6" w:rsidR="0005558E" w:rsidRPr="00D17D60" w:rsidRDefault="0005558E" w:rsidP="00D17D60">
            <w:pPr>
              <w:pStyle w:val="ListParagraph"/>
              <w:spacing w:after="0" w:line="240" w:lineRule="auto"/>
              <w:rPr>
                <w:rFonts w:ascii="Arial" w:eastAsia="Arial" w:hAnsi="Arial" w:cs="Arial"/>
                <w:sz w:val="22"/>
                <w:szCs w:val="22"/>
              </w:rPr>
            </w:pPr>
          </w:p>
        </w:tc>
      </w:tr>
      <w:tr w:rsidR="0005558E" w:rsidRPr="00D17D60" w14:paraId="6EDE7371" w14:textId="77777777" w:rsidTr="00D17D60">
        <w:tc>
          <w:tcPr>
            <w:tcW w:w="3593" w:type="dxa"/>
          </w:tcPr>
          <w:p w14:paraId="2102C3D0" w14:textId="77777777" w:rsidR="0005558E" w:rsidRPr="00D17D60" w:rsidRDefault="0005558E" w:rsidP="009E1AFF">
            <w:pPr>
              <w:rPr>
                <w:rFonts w:eastAsia="Arial"/>
                <w:szCs w:val="22"/>
              </w:rPr>
            </w:pPr>
            <w:r w:rsidRPr="00D17D60">
              <w:rPr>
                <w:szCs w:val="22"/>
              </w:rPr>
              <w:t>Participation</w:t>
            </w:r>
          </w:p>
        </w:tc>
        <w:tc>
          <w:tcPr>
            <w:tcW w:w="5752" w:type="dxa"/>
          </w:tcPr>
          <w:p w14:paraId="021EB3A5" w14:textId="77777777" w:rsidR="0005558E" w:rsidRPr="00D17D60" w:rsidRDefault="0005558E" w:rsidP="009E1AFF">
            <w:pPr>
              <w:rPr>
                <w:rFonts w:eastAsia="Arial"/>
                <w:szCs w:val="22"/>
              </w:rPr>
            </w:pPr>
            <w:r w:rsidRPr="00D17D60">
              <w:rPr>
                <w:szCs w:val="22"/>
              </w:rPr>
              <w:t>Ouverte à tous les États membres.</w:t>
            </w:r>
          </w:p>
        </w:tc>
      </w:tr>
    </w:tbl>
    <w:p w14:paraId="57EE73D7" w14:textId="77777777" w:rsidR="0005558E" w:rsidRPr="00D17D60" w:rsidRDefault="0005558E" w:rsidP="00D17D60">
      <w:pPr>
        <w:pStyle w:val="Endofdocument-Annex"/>
      </w:pPr>
      <w:r w:rsidRPr="00D17D60">
        <w:t>[Fin du document]</w:t>
      </w:r>
    </w:p>
    <w:sectPr w:rsidR="0005558E" w:rsidRPr="00D17D60" w:rsidSect="009E1AFF">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60C51" w14:textId="77777777" w:rsidR="00127E7A" w:rsidRDefault="00127E7A">
      <w:r>
        <w:separator/>
      </w:r>
    </w:p>
  </w:endnote>
  <w:endnote w:type="continuationSeparator" w:id="0">
    <w:p w14:paraId="322D29C0" w14:textId="77777777" w:rsidR="00127E7A" w:rsidRPr="009D30E6" w:rsidRDefault="00127E7A" w:rsidP="00D45252">
      <w:pPr>
        <w:rPr>
          <w:sz w:val="17"/>
          <w:szCs w:val="17"/>
        </w:rPr>
      </w:pPr>
      <w:r w:rsidRPr="009D30E6">
        <w:rPr>
          <w:sz w:val="17"/>
          <w:szCs w:val="17"/>
        </w:rPr>
        <w:separator/>
      </w:r>
    </w:p>
    <w:p w14:paraId="09A76755" w14:textId="77777777" w:rsidR="00127E7A" w:rsidRPr="009D30E6" w:rsidRDefault="00127E7A" w:rsidP="00D45252">
      <w:pPr>
        <w:spacing w:after="60"/>
        <w:rPr>
          <w:sz w:val="17"/>
          <w:szCs w:val="17"/>
        </w:rPr>
      </w:pPr>
      <w:r w:rsidRPr="009D30E6">
        <w:rPr>
          <w:sz w:val="17"/>
          <w:szCs w:val="17"/>
        </w:rPr>
        <w:t>[Suite de la note de la page précédente]</w:t>
      </w:r>
    </w:p>
  </w:endnote>
  <w:endnote w:type="continuationNotice" w:id="1">
    <w:p w14:paraId="407F9C21" w14:textId="77777777" w:rsidR="00127E7A" w:rsidRPr="009D30E6" w:rsidRDefault="00127E7A"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CBACB" w14:textId="77777777" w:rsidR="00127E7A" w:rsidRDefault="00127E7A">
      <w:r>
        <w:separator/>
      </w:r>
    </w:p>
  </w:footnote>
  <w:footnote w:type="continuationSeparator" w:id="0">
    <w:p w14:paraId="720E5381" w14:textId="77777777" w:rsidR="00127E7A" w:rsidRDefault="00127E7A" w:rsidP="007461F1">
      <w:r>
        <w:separator/>
      </w:r>
    </w:p>
    <w:p w14:paraId="2AA66F2E" w14:textId="77777777" w:rsidR="00127E7A" w:rsidRPr="009D30E6" w:rsidRDefault="00127E7A" w:rsidP="007461F1">
      <w:pPr>
        <w:spacing w:after="60"/>
        <w:rPr>
          <w:sz w:val="17"/>
          <w:szCs w:val="17"/>
        </w:rPr>
      </w:pPr>
      <w:r w:rsidRPr="009D30E6">
        <w:rPr>
          <w:sz w:val="17"/>
          <w:szCs w:val="17"/>
        </w:rPr>
        <w:t>[Suite de la note de la page précédente]</w:t>
      </w:r>
    </w:p>
  </w:footnote>
  <w:footnote w:type="continuationNotice" w:id="1">
    <w:p w14:paraId="0A873DE7" w14:textId="77777777" w:rsidR="00127E7A" w:rsidRPr="009D30E6" w:rsidRDefault="00127E7A" w:rsidP="007461F1">
      <w:pPr>
        <w:spacing w:before="60"/>
        <w:jc w:val="right"/>
        <w:rPr>
          <w:sz w:val="17"/>
          <w:szCs w:val="17"/>
        </w:rPr>
      </w:pPr>
      <w:r w:rsidRPr="009D30E6">
        <w:rPr>
          <w:sz w:val="17"/>
          <w:szCs w:val="17"/>
        </w:rPr>
        <w:t>[Suite de la note page suivante]</w:t>
      </w:r>
    </w:p>
  </w:footnote>
  <w:footnote w:id="2">
    <w:p w14:paraId="0D1BAEC1" w14:textId="605A2056" w:rsidR="0005558E" w:rsidRPr="00D17D60" w:rsidRDefault="0005558E" w:rsidP="00D17D60">
      <w:pPr>
        <w:pStyle w:val="FootnoteText"/>
        <w:tabs>
          <w:tab w:val="left" w:pos="567"/>
        </w:tabs>
        <w:rPr>
          <w:szCs w:val="18"/>
        </w:rPr>
      </w:pPr>
      <w:r w:rsidRPr="00D17D60">
        <w:rPr>
          <w:rStyle w:val="FootnoteReference"/>
          <w:szCs w:val="18"/>
        </w:rPr>
        <w:footnoteRef/>
      </w:r>
      <w:r w:rsidRPr="00D17D60">
        <w:rPr>
          <w:szCs w:val="18"/>
        </w:rPr>
        <w:t xml:space="preserve"> </w:t>
      </w:r>
      <w:r w:rsidR="00D17D60">
        <w:rPr>
          <w:szCs w:val="18"/>
        </w:rPr>
        <w:tab/>
      </w:r>
      <w:hyperlink r:id="rId1" w:history="1">
        <w:r w:rsidR="00D17D60" w:rsidRPr="00E530FE">
          <w:rPr>
            <w:rStyle w:val="Hyperlink"/>
            <w:szCs w:val="18"/>
          </w:rPr>
          <w:t>https://</w:t>
        </w:r>
        <w:proofErr w:type="spellStart"/>
        <w:r w:rsidR="00D17D60" w:rsidRPr="00E530FE">
          <w:rPr>
            <w:rStyle w:val="Hyperlink"/>
            <w:szCs w:val="18"/>
          </w:rPr>
          <w:t>www.wipo.int</w:t>
        </w:r>
        <w:proofErr w:type="spellEnd"/>
        <w:r w:rsidR="00D17D60" w:rsidRPr="00E530FE">
          <w:rPr>
            <w:rStyle w:val="Hyperlink"/>
            <w:szCs w:val="18"/>
          </w:rPr>
          <w:t>/</w:t>
        </w:r>
        <w:proofErr w:type="spellStart"/>
        <w:r w:rsidR="00D17D60" w:rsidRPr="00E530FE">
          <w:rPr>
            <w:rStyle w:val="Hyperlink"/>
            <w:szCs w:val="18"/>
          </w:rPr>
          <w:t>fr</w:t>
        </w:r>
        <w:proofErr w:type="spellEnd"/>
        <w:r w:rsidR="00D17D60" w:rsidRPr="00E530FE">
          <w:rPr>
            <w:rStyle w:val="Hyperlink"/>
            <w:szCs w:val="18"/>
          </w:rPr>
          <w:t>/web/copyright/</w:t>
        </w:r>
        <w:proofErr w:type="spellStart"/>
        <w:r w:rsidR="00D17D60" w:rsidRPr="00E530FE">
          <w:rPr>
            <w:rStyle w:val="Hyperlink"/>
            <w:szCs w:val="18"/>
          </w:rPr>
          <w:t>economic</w:t>
        </w:r>
        <w:proofErr w:type="spellEnd"/>
        <w:r w:rsidR="00D17D60" w:rsidRPr="00E530FE">
          <w:rPr>
            <w:rStyle w:val="Hyperlink"/>
            <w:szCs w:val="18"/>
          </w:rPr>
          <w:t>-performance</w:t>
        </w:r>
      </w:hyperlink>
      <w:r w:rsidRPr="00D17D60">
        <w:rPr>
          <w:szCs w:val="18"/>
        </w:rPr>
        <w:t>.</w:t>
      </w:r>
    </w:p>
  </w:footnote>
  <w:footnote w:id="3">
    <w:p w14:paraId="7A0BD3F0" w14:textId="78F7B3D5" w:rsidR="0005558E" w:rsidRPr="00D17D60" w:rsidRDefault="0005558E" w:rsidP="00D17D60">
      <w:pPr>
        <w:pStyle w:val="FootnoteText"/>
        <w:tabs>
          <w:tab w:val="left" w:pos="567"/>
        </w:tabs>
        <w:rPr>
          <w:rFonts w:eastAsia="Arial"/>
          <w:szCs w:val="18"/>
        </w:rPr>
      </w:pPr>
      <w:r w:rsidRPr="00D17D60">
        <w:rPr>
          <w:rStyle w:val="FootnoteReference"/>
          <w:rFonts w:eastAsia="Arial"/>
          <w:szCs w:val="18"/>
        </w:rPr>
        <w:footnoteRef/>
      </w:r>
      <w:r w:rsidRPr="00D17D60">
        <w:rPr>
          <w:szCs w:val="18"/>
        </w:rPr>
        <w:t xml:space="preserve"> </w:t>
      </w:r>
      <w:r w:rsidR="00D17D60">
        <w:rPr>
          <w:szCs w:val="18"/>
        </w:rPr>
        <w:tab/>
      </w:r>
      <w:r w:rsidRPr="00D17D60">
        <w:rPr>
          <w:color w:val="000000" w:themeColor="text1"/>
          <w:szCs w:val="18"/>
        </w:rPr>
        <w:t>Watt, Richard,</w:t>
      </w:r>
      <w:r w:rsidRPr="00D17D60">
        <w:rPr>
          <w:i/>
          <w:color w:val="000000" w:themeColor="text1"/>
          <w:szCs w:val="18"/>
        </w:rPr>
        <w:t xml:space="preserve"> An </w:t>
      </w:r>
      <w:proofErr w:type="spellStart"/>
      <w:r w:rsidRPr="00D17D60">
        <w:rPr>
          <w:i/>
          <w:color w:val="000000" w:themeColor="text1"/>
          <w:szCs w:val="18"/>
        </w:rPr>
        <w:t>Empirical</w:t>
      </w:r>
      <w:proofErr w:type="spellEnd"/>
      <w:r w:rsidRPr="00D17D60">
        <w:rPr>
          <w:i/>
          <w:color w:val="000000" w:themeColor="text1"/>
          <w:szCs w:val="18"/>
        </w:rPr>
        <w:t xml:space="preserve"> </w:t>
      </w:r>
      <w:proofErr w:type="spellStart"/>
      <w:r w:rsidRPr="00D17D60">
        <w:rPr>
          <w:i/>
          <w:color w:val="000000" w:themeColor="text1"/>
          <w:szCs w:val="18"/>
        </w:rPr>
        <w:t>Analysis</w:t>
      </w:r>
      <w:proofErr w:type="spellEnd"/>
      <w:r w:rsidRPr="00D17D60">
        <w:rPr>
          <w:i/>
          <w:color w:val="000000" w:themeColor="text1"/>
          <w:szCs w:val="18"/>
        </w:rPr>
        <w:t xml:space="preserve"> on the </w:t>
      </w:r>
      <w:proofErr w:type="spellStart"/>
      <w:r w:rsidRPr="00D17D60">
        <w:rPr>
          <w:i/>
          <w:color w:val="000000" w:themeColor="text1"/>
          <w:szCs w:val="18"/>
        </w:rPr>
        <w:t>Benefits</w:t>
      </w:r>
      <w:proofErr w:type="spellEnd"/>
      <w:r w:rsidRPr="00D17D60">
        <w:rPr>
          <w:i/>
          <w:color w:val="000000" w:themeColor="text1"/>
          <w:szCs w:val="18"/>
        </w:rPr>
        <w:t xml:space="preserve"> of Copyright</w:t>
      </w:r>
      <w:r w:rsidRPr="00D17D60">
        <w:rPr>
          <w:color w:val="000000" w:themeColor="text1"/>
          <w:szCs w:val="18"/>
        </w:rPr>
        <w:t>, ORGANISATION MONDIALE DE LA PROPRIÉTÉ INTELLECTUELLE 2009, disponible à l</w:t>
      </w:r>
      <w:r w:rsidR="007C79EB" w:rsidRPr="00D17D60">
        <w:rPr>
          <w:color w:val="000000" w:themeColor="text1"/>
          <w:szCs w:val="18"/>
        </w:rPr>
        <w:t>’</w:t>
      </w:r>
      <w:r w:rsidRPr="00D17D60">
        <w:rPr>
          <w:color w:val="000000" w:themeColor="text1"/>
          <w:szCs w:val="18"/>
        </w:rPr>
        <w:t>adresse</w:t>
      </w:r>
      <w:r w:rsidR="00D17D60">
        <w:rPr>
          <w:color w:val="000000" w:themeColor="text1"/>
          <w:szCs w:val="18"/>
        </w:rPr>
        <w:t xml:space="preserve"> </w:t>
      </w:r>
      <w:hyperlink r:id="rId2" w:history="1">
        <w:r w:rsidRPr="00D17D60">
          <w:rPr>
            <w:rStyle w:val="Hyperlink"/>
            <w:szCs w:val="18"/>
          </w:rPr>
          <w:t>https://www.wipo.int/edocs/pubdocs/en/wipo_pub_1012</w:t>
        </w:r>
        <w:r w:rsidR="007C79EB" w:rsidRPr="00D17D60">
          <w:rPr>
            <w:rStyle w:val="Hyperlink"/>
            <w:szCs w:val="18"/>
          </w:rPr>
          <w:t>-</w:t>
        </w:r>
        <w:r w:rsidRPr="00D17D60">
          <w:rPr>
            <w:rStyle w:val="Hyperlink"/>
            <w:szCs w:val="18"/>
          </w:rPr>
          <w:t>chapter3.pdf</w:t>
        </w:r>
      </w:hyperlink>
      <w:r w:rsidRPr="00D17D60">
        <w:rPr>
          <w:color w:val="000000" w:themeColor="text1"/>
          <w:szCs w:val="18"/>
        </w:rPr>
        <w:t>.</w:t>
      </w:r>
    </w:p>
  </w:footnote>
  <w:footnote w:id="4">
    <w:p w14:paraId="32CE9660" w14:textId="51BAE6BE" w:rsidR="0005558E" w:rsidRPr="00D17D60" w:rsidRDefault="0005558E" w:rsidP="00D17D60">
      <w:pPr>
        <w:pStyle w:val="FootnoteText"/>
        <w:shd w:val="clear" w:color="auto" w:fill="FFFFFF" w:themeFill="background1"/>
        <w:tabs>
          <w:tab w:val="left" w:pos="567"/>
        </w:tabs>
        <w:rPr>
          <w:rFonts w:eastAsia="Arial"/>
          <w:szCs w:val="18"/>
        </w:rPr>
      </w:pPr>
      <w:r w:rsidRPr="00D17D60">
        <w:rPr>
          <w:rStyle w:val="FootnoteReference"/>
          <w:rFonts w:eastAsia="Arial"/>
          <w:szCs w:val="18"/>
          <w:lang w:val="fr-FR"/>
        </w:rPr>
        <w:footnoteRef/>
      </w:r>
      <w:r w:rsidRPr="00D17D60">
        <w:rPr>
          <w:szCs w:val="18"/>
        </w:rPr>
        <w:t xml:space="preserve"> </w:t>
      </w:r>
      <w:r w:rsidR="00D17D60">
        <w:rPr>
          <w:szCs w:val="18"/>
        </w:rPr>
        <w:tab/>
      </w:r>
      <w:r w:rsidRPr="00D17D60">
        <w:rPr>
          <w:szCs w:val="18"/>
        </w:rPr>
        <w:t>Jérémie Bertrand, Joseph Lemoine, Dan </w:t>
      </w:r>
      <w:proofErr w:type="spellStart"/>
      <w:r w:rsidRPr="00D17D60">
        <w:rPr>
          <w:szCs w:val="18"/>
        </w:rPr>
        <w:t>Negrea</w:t>
      </w:r>
      <w:proofErr w:type="spellEnd"/>
      <w:r w:rsidRPr="00D17D60">
        <w:rPr>
          <w:szCs w:val="18"/>
        </w:rPr>
        <w:t xml:space="preserve"> et Caroline Perrin, </w:t>
      </w:r>
      <w:proofErr w:type="spellStart"/>
      <w:r w:rsidRPr="00D17D60">
        <w:rPr>
          <w:i/>
          <w:szCs w:val="18"/>
        </w:rPr>
        <w:t>Attracting</w:t>
      </w:r>
      <w:proofErr w:type="spellEnd"/>
      <w:r w:rsidRPr="00D17D60">
        <w:rPr>
          <w:i/>
          <w:szCs w:val="18"/>
        </w:rPr>
        <w:t xml:space="preserve"> </w:t>
      </w:r>
      <w:proofErr w:type="spellStart"/>
      <w:r w:rsidRPr="00D17D60">
        <w:rPr>
          <w:i/>
          <w:szCs w:val="18"/>
        </w:rPr>
        <w:t>Foreign</w:t>
      </w:r>
      <w:proofErr w:type="spellEnd"/>
      <w:r w:rsidRPr="00D17D60">
        <w:rPr>
          <w:i/>
          <w:szCs w:val="18"/>
        </w:rPr>
        <w:t xml:space="preserve"> Direct Investments,</w:t>
      </w:r>
      <w:r w:rsidRPr="00D17D60">
        <w:rPr>
          <w:szCs w:val="18"/>
        </w:rPr>
        <w:t xml:space="preserve"> ATLANTIC COUNCIL (15 </w:t>
      </w:r>
      <w:r w:rsidR="007C79EB" w:rsidRPr="00D17D60">
        <w:rPr>
          <w:szCs w:val="18"/>
        </w:rPr>
        <w:t>mars 20</w:t>
      </w:r>
      <w:r w:rsidRPr="00D17D60">
        <w:rPr>
          <w:szCs w:val="18"/>
        </w:rPr>
        <w:t>24), disponible à l</w:t>
      </w:r>
      <w:r w:rsidR="007C79EB" w:rsidRPr="00D17D60">
        <w:rPr>
          <w:szCs w:val="18"/>
        </w:rPr>
        <w:t>’</w:t>
      </w:r>
      <w:r w:rsidRPr="00D17D60">
        <w:rPr>
          <w:szCs w:val="18"/>
        </w:rPr>
        <w:t xml:space="preserve">adresse </w:t>
      </w:r>
      <w:hyperlink r:id="rId3" w:history="1">
        <w:r w:rsidRPr="00D17D60">
          <w:rPr>
            <w:rStyle w:val="Hyperlink"/>
            <w:szCs w:val="18"/>
          </w:rPr>
          <w:t>https://www.atlanticcouncil.org/in</w:t>
        </w:r>
        <w:r w:rsidR="007C79EB" w:rsidRPr="00D17D60">
          <w:rPr>
            <w:rStyle w:val="Hyperlink"/>
            <w:szCs w:val="18"/>
          </w:rPr>
          <w:t>-</w:t>
        </w:r>
        <w:r w:rsidRPr="00D17D60">
          <w:rPr>
            <w:rStyle w:val="Hyperlink"/>
            <w:szCs w:val="18"/>
          </w:rPr>
          <w:t>depth</w:t>
        </w:r>
        <w:r w:rsidR="007C79EB" w:rsidRPr="00D17D60">
          <w:rPr>
            <w:rStyle w:val="Hyperlink"/>
            <w:szCs w:val="18"/>
          </w:rPr>
          <w:t>-</w:t>
        </w:r>
        <w:r w:rsidRPr="00D17D60">
          <w:rPr>
            <w:rStyle w:val="Hyperlink"/>
            <w:szCs w:val="18"/>
          </w:rPr>
          <w:t>research</w:t>
        </w:r>
        <w:r w:rsidR="007C79EB" w:rsidRPr="00D17D60">
          <w:rPr>
            <w:rStyle w:val="Hyperlink"/>
            <w:szCs w:val="18"/>
          </w:rPr>
          <w:t>-</w:t>
        </w:r>
        <w:r w:rsidRPr="00D17D60">
          <w:rPr>
            <w:rStyle w:val="Hyperlink"/>
            <w:szCs w:val="18"/>
          </w:rPr>
          <w:t>reports/report/attracting</w:t>
        </w:r>
        <w:r w:rsidR="007C79EB" w:rsidRPr="00D17D60">
          <w:rPr>
            <w:rStyle w:val="Hyperlink"/>
            <w:szCs w:val="18"/>
          </w:rPr>
          <w:t>-</w:t>
        </w:r>
        <w:r w:rsidRPr="00D17D60">
          <w:rPr>
            <w:rStyle w:val="Hyperlink"/>
            <w:szCs w:val="18"/>
          </w:rPr>
          <w:t>foreign</w:t>
        </w:r>
        <w:r w:rsidR="007C79EB" w:rsidRPr="00D17D60">
          <w:rPr>
            <w:rStyle w:val="Hyperlink"/>
            <w:szCs w:val="18"/>
          </w:rPr>
          <w:t>-</w:t>
        </w:r>
        <w:r w:rsidRPr="00D17D60">
          <w:rPr>
            <w:rStyle w:val="Hyperlink"/>
            <w:szCs w:val="18"/>
          </w:rPr>
          <w:t>direct</w:t>
        </w:r>
        <w:r w:rsidR="007C79EB" w:rsidRPr="00D17D60">
          <w:rPr>
            <w:rStyle w:val="Hyperlink"/>
            <w:szCs w:val="18"/>
          </w:rPr>
          <w:t>-</w:t>
        </w:r>
        <w:r w:rsidRPr="00D17D60">
          <w:rPr>
            <w:rStyle w:val="Hyperlink"/>
            <w:szCs w:val="18"/>
          </w:rPr>
          <w:t>investments/</w:t>
        </w:r>
      </w:hyperlink>
      <w:r w:rsidRPr="00D17D60">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1F78F" w14:textId="4F2E9844" w:rsidR="00F16975" w:rsidRDefault="0005558E" w:rsidP="00477D6B">
    <w:pPr>
      <w:jc w:val="right"/>
    </w:pPr>
    <w:bookmarkStart w:id="5" w:name="Code2"/>
    <w:bookmarkEnd w:id="5"/>
    <w:proofErr w:type="spellStart"/>
    <w:r>
      <w:t>SCCR</w:t>
    </w:r>
    <w:proofErr w:type="spellEnd"/>
    <w:r>
      <w:t>/47/11</w:t>
    </w:r>
  </w:p>
  <w:p w14:paraId="09832256" w14:textId="77777777" w:rsidR="004F4E31" w:rsidRDefault="00F16975" w:rsidP="005A73EA">
    <w:pPr>
      <w:spacing w:after="480"/>
      <w:jc w:val="right"/>
    </w:pPr>
    <w:proofErr w:type="gramStart"/>
    <w:r>
      <w:t>page</w:t>
    </w:r>
    <w:proofErr w:type="gramEnd"/>
    <w:r w:rsidR="005A73EA">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7F2637"/>
    <w:multiLevelType w:val="hybridMultilevel"/>
    <w:tmpl w:val="3670CCA8"/>
    <w:lvl w:ilvl="0" w:tplc="993C1CE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5185916">
    <w:abstractNumId w:val="2"/>
  </w:num>
  <w:num w:numId="2" w16cid:durableId="1922137027">
    <w:abstractNumId w:val="4"/>
  </w:num>
  <w:num w:numId="3" w16cid:durableId="1708218136">
    <w:abstractNumId w:val="0"/>
  </w:num>
  <w:num w:numId="4" w16cid:durableId="329069435">
    <w:abstractNumId w:val="5"/>
  </w:num>
  <w:num w:numId="5" w16cid:durableId="49499015">
    <w:abstractNumId w:val="1"/>
  </w:num>
  <w:num w:numId="6" w16cid:durableId="2136636949">
    <w:abstractNumId w:val="3"/>
  </w:num>
  <w:num w:numId="7" w16cid:durableId="12814955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58E"/>
    <w:rsid w:val="00011B7D"/>
    <w:rsid w:val="0005558E"/>
    <w:rsid w:val="00075432"/>
    <w:rsid w:val="000F5E56"/>
    <w:rsid w:val="00127E7A"/>
    <w:rsid w:val="001362EE"/>
    <w:rsid w:val="001832A6"/>
    <w:rsid w:val="00195C6E"/>
    <w:rsid w:val="001B266A"/>
    <w:rsid w:val="001D3D56"/>
    <w:rsid w:val="001F091D"/>
    <w:rsid w:val="00240654"/>
    <w:rsid w:val="002634C4"/>
    <w:rsid w:val="002D4918"/>
    <w:rsid w:val="002E4D1A"/>
    <w:rsid w:val="002F16BC"/>
    <w:rsid w:val="002F4E68"/>
    <w:rsid w:val="00315FCA"/>
    <w:rsid w:val="00377783"/>
    <w:rsid w:val="003845C1"/>
    <w:rsid w:val="003A1BCD"/>
    <w:rsid w:val="004008A2"/>
    <w:rsid w:val="004025DF"/>
    <w:rsid w:val="00423E3E"/>
    <w:rsid w:val="00427AF4"/>
    <w:rsid w:val="00456117"/>
    <w:rsid w:val="004647DA"/>
    <w:rsid w:val="00477D6B"/>
    <w:rsid w:val="004D6471"/>
    <w:rsid w:val="004F4E31"/>
    <w:rsid w:val="00525B63"/>
    <w:rsid w:val="00547476"/>
    <w:rsid w:val="00561DB8"/>
    <w:rsid w:val="00567A4C"/>
    <w:rsid w:val="005A73EA"/>
    <w:rsid w:val="005E6516"/>
    <w:rsid w:val="00605827"/>
    <w:rsid w:val="00606601"/>
    <w:rsid w:val="00676936"/>
    <w:rsid w:val="0068487B"/>
    <w:rsid w:val="006B0DB5"/>
    <w:rsid w:val="006E4243"/>
    <w:rsid w:val="007461F1"/>
    <w:rsid w:val="0076654B"/>
    <w:rsid w:val="007C79EB"/>
    <w:rsid w:val="007D6961"/>
    <w:rsid w:val="007F07CB"/>
    <w:rsid w:val="00802EF1"/>
    <w:rsid w:val="00810CEF"/>
    <w:rsid w:val="0081208D"/>
    <w:rsid w:val="00842A13"/>
    <w:rsid w:val="008B2CC1"/>
    <w:rsid w:val="008E5402"/>
    <w:rsid w:val="008E7930"/>
    <w:rsid w:val="0090731E"/>
    <w:rsid w:val="009463E5"/>
    <w:rsid w:val="00966A22"/>
    <w:rsid w:val="00974CD6"/>
    <w:rsid w:val="00975481"/>
    <w:rsid w:val="009B0361"/>
    <w:rsid w:val="009D30E6"/>
    <w:rsid w:val="009E1AFF"/>
    <w:rsid w:val="009E3F6F"/>
    <w:rsid w:val="009F28F0"/>
    <w:rsid w:val="009F499F"/>
    <w:rsid w:val="00A02BD3"/>
    <w:rsid w:val="00AC0AE4"/>
    <w:rsid w:val="00AC2EBA"/>
    <w:rsid w:val="00AD61DB"/>
    <w:rsid w:val="00B87BCF"/>
    <w:rsid w:val="00BA3918"/>
    <w:rsid w:val="00BA62D4"/>
    <w:rsid w:val="00BC5F87"/>
    <w:rsid w:val="00C40E15"/>
    <w:rsid w:val="00C42181"/>
    <w:rsid w:val="00C664C8"/>
    <w:rsid w:val="00C76A79"/>
    <w:rsid w:val="00CA15F5"/>
    <w:rsid w:val="00CD1286"/>
    <w:rsid w:val="00CF0460"/>
    <w:rsid w:val="00D17D60"/>
    <w:rsid w:val="00D45252"/>
    <w:rsid w:val="00D55C00"/>
    <w:rsid w:val="00D71B4D"/>
    <w:rsid w:val="00D75C1E"/>
    <w:rsid w:val="00D93D55"/>
    <w:rsid w:val="00DB0349"/>
    <w:rsid w:val="00DC4A0D"/>
    <w:rsid w:val="00DD6A16"/>
    <w:rsid w:val="00E0091A"/>
    <w:rsid w:val="00E1525F"/>
    <w:rsid w:val="00E203AA"/>
    <w:rsid w:val="00E527A5"/>
    <w:rsid w:val="00E76456"/>
    <w:rsid w:val="00E97651"/>
    <w:rsid w:val="00EE71CB"/>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B09F6"/>
  <w15:docId w15:val="{70F63F16-F039-4E7E-B4B6-F79736E38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uiPriority w:val="99"/>
    <w:semiHidden/>
    <w:rsid w:val="004025DF"/>
    <w:rPr>
      <w:sz w:val="18"/>
    </w:rPr>
  </w:style>
  <w:style w:type="paragraph" w:customStyle="1" w:styleId="Endofdocument-Annex">
    <w:name w:val="[End of document - Annex]"/>
    <w:basedOn w:val="Normal"/>
    <w:rsid w:val="00D17D60"/>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05558E"/>
    <w:pPr>
      <w:spacing w:after="160" w:line="279" w:lineRule="auto"/>
      <w:ind w:left="720"/>
      <w:contextualSpacing/>
    </w:pPr>
    <w:rPr>
      <w:rFonts w:asciiTheme="minorHAnsi" w:eastAsiaTheme="minorEastAsia" w:hAnsiTheme="minorHAnsi" w:cstheme="minorBidi"/>
      <w:sz w:val="24"/>
      <w:szCs w:val="24"/>
      <w:lang w:val="fr-FR" w:eastAsia="ja-JP"/>
    </w:rPr>
  </w:style>
  <w:style w:type="character" w:styleId="Hyperlink">
    <w:name w:val="Hyperlink"/>
    <w:basedOn w:val="DefaultParagraphFont"/>
    <w:uiPriority w:val="99"/>
    <w:unhideWhenUsed/>
    <w:rsid w:val="0005558E"/>
    <w:rPr>
      <w:color w:val="467886"/>
      <w:u w:val="single"/>
    </w:rPr>
  </w:style>
  <w:style w:type="character" w:customStyle="1" w:styleId="FootnoteTextChar">
    <w:name w:val="Footnote Text Char"/>
    <w:basedOn w:val="DefaultParagraphFont"/>
    <w:link w:val="FootnoteText"/>
    <w:uiPriority w:val="99"/>
    <w:semiHidden/>
    <w:rsid w:val="0005558E"/>
    <w:rPr>
      <w:rFonts w:ascii="Arial" w:eastAsia="SimSun" w:hAnsi="Arial" w:cs="Arial"/>
      <w:sz w:val="18"/>
      <w:lang w:eastAsia="zh-CN"/>
    </w:rPr>
  </w:style>
  <w:style w:type="character" w:styleId="FootnoteReference">
    <w:name w:val="footnote reference"/>
    <w:basedOn w:val="DefaultParagraphFont"/>
    <w:uiPriority w:val="99"/>
    <w:semiHidden/>
    <w:unhideWhenUsed/>
    <w:rsid w:val="0005558E"/>
    <w:rPr>
      <w:vertAlign w:val="superscript"/>
    </w:rPr>
  </w:style>
  <w:style w:type="table" w:styleId="TableGrid">
    <w:name w:val="Table Grid"/>
    <w:basedOn w:val="TableNormal"/>
    <w:uiPriority w:val="59"/>
    <w:rsid w:val="0005558E"/>
    <w:rPr>
      <w:rFonts w:asciiTheme="minorHAnsi" w:eastAsiaTheme="minorEastAsia" w:hAnsiTheme="minorHAnsi" w:cstheme="minorBidi"/>
      <w:sz w:val="24"/>
      <w:szCs w:val="24"/>
      <w:lang w:val="fr-FR"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D17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atlanticcouncil.org/in-depth-research-reports/report/attracting-foreign-direct-investments/" TargetMode="External"/><Relationship Id="rId2" Type="http://schemas.openxmlformats.org/officeDocument/2006/relationships/hyperlink" Target="https://www.wipo.int/edocs/pubdocs/en/wipo_pub_1012-chapter3.pdf" TargetMode="External"/><Relationship Id="rId1" Type="http://schemas.openxmlformats.org/officeDocument/2006/relationships/hyperlink" Target="https://www.wipo.int/fr/web/copyright/economic-perform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7%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SCCR_47 (F)</Template>
  <TotalTime>2</TotalTime>
  <Pages>4</Pages>
  <Words>1397</Words>
  <Characters>7805</Characters>
  <Application>Microsoft Office Word</Application>
  <DocSecurity>0</DocSecurity>
  <Lines>125</Lines>
  <Paragraphs>43</Paragraphs>
  <ScaleCrop>false</ScaleCrop>
  <HeadingPairs>
    <vt:vector size="2" baseType="variant">
      <vt:variant>
        <vt:lpstr>Title</vt:lpstr>
      </vt:variant>
      <vt:variant>
        <vt:i4>1</vt:i4>
      </vt:variant>
    </vt:vector>
  </HeadingPairs>
  <TitlesOfParts>
    <vt:vector size="1" baseType="lpstr">
      <vt:lpstr>SCCR/47/11</vt:lpstr>
    </vt:vector>
  </TitlesOfParts>
  <Company>WIPO</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SCCR/47/11</dc:title>
  <dc:creator>OLIVIÉ Karen</dc:creator>
  <cp:keywords>FOR OFFICIAL USE ONLY</cp:keywords>
  <cp:lastModifiedBy>HAIZEL Francesca</cp:lastModifiedBy>
  <cp:revision>2</cp:revision>
  <cp:lastPrinted>2011-05-19T12:37:00Z</cp:lastPrinted>
  <dcterms:created xsi:type="dcterms:W3CDTF">2025-12-09T11:20:00Z</dcterms:created>
  <dcterms:modified xsi:type="dcterms:W3CDTF">2025-12-09T11:20:00Z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2023-06-15T13:22:49Z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84ae5d55-befb-4a6b-9165-348fa8e40043</vt:lpwstr>
  </property>
  <property fmtid="{D5CDD505-2E9C-101B-9397-08002B2CF9AE}" pid="14" name="MSIP_Label_20773ee6-353b-4fb9-a59d-0b94c8c67bea_ContentBits">
    <vt:lpwstr>0</vt:lpwstr>
  </property>
</Properties>
</file>