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E69E" w14:textId="77777777" w:rsidR="008B2CC1" w:rsidRPr="00FC548B" w:rsidRDefault="00DB0349" w:rsidP="009C4B29">
      <w:pPr>
        <w:spacing w:after="120"/>
        <w:jc w:val="right"/>
        <w:rPr>
          <w:lang w:val="fr-FR"/>
        </w:rPr>
      </w:pPr>
      <w:r w:rsidRPr="00FC548B">
        <w:rPr>
          <w:noProof/>
          <w:lang w:val="fr-FR" w:eastAsia="en-US"/>
        </w:rPr>
        <w:drawing>
          <wp:inline distT="0" distB="0" distL="0" distR="0" wp14:anchorId="5F61A1CC" wp14:editId="3F88EB6C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FC548B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2BC5FAF" wp14:editId="0FAF811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C671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5053C47" w14:textId="77777777" w:rsidR="008B2CC1" w:rsidRPr="00FC548B" w:rsidRDefault="00456117" w:rsidP="009C4B2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C548B">
        <w:rPr>
          <w:rFonts w:ascii="Arial Black" w:hAnsi="Arial Black"/>
          <w:caps/>
          <w:sz w:val="15"/>
          <w:szCs w:val="15"/>
          <w:lang w:val="fr-FR"/>
        </w:rPr>
        <w:t>SCCR/4</w:t>
      </w:r>
      <w:r w:rsidR="0076654B" w:rsidRPr="00FC548B">
        <w:rPr>
          <w:rFonts w:ascii="Arial Black" w:hAnsi="Arial Black"/>
          <w:caps/>
          <w:sz w:val="15"/>
          <w:szCs w:val="15"/>
          <w:lang w:val="fr-FR"/>
        </w:rPr>
        <w:t>5</w:t>
      </w:r>
      <w:r w:rsidR="00D55C00" w:rsidRPr="00FC548B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5A654C" w:rsidRPr="00FC548B">
        <w:rPr>
          <w:rFonts w:ascii="Arial Black" w:hAnsi="Arial Black"/>
          <w:caps/>
          <w:sz w:val="15"/>
          <w:szCs w:val="15"/>
          <w:lang w:val="fr-FR"/>
        </w:rPr>
        <w:t>10 Prov.</w:t>
      </w:r>
    </w:p>
    <w:p w14:paraId="34E63374" w14:textId="5353AD20" w:rsidR="008B2CC1" w:rsidRPr="00FC548B" w:rsidRDefault="00DB0349" w:rsidP="009C4B2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C548B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C4B29" w:rsidRPr="00FC548B">
        <w:rPr>
          <w:rFonts w:ascii="Arial Black" w:hAnsi="Arial Black"/>
          <w:caps/>
          <w:sz w:val="15"/>
          <w:szCs w:val="15"/>
          <w:lang w:val="fr-FR"/>
        </w:rPr>
        <w:t> :</w:t>
      </w:r>
      <w:r w:rsidRPr="00FC548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A654C" w:rsidRPr="00FC548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E50C3CD" w14:textId="556BAD29" w:rsidR="008B2CC1" w:rsidRPr="00FC548B" w:rsidRDefault="00DB0349" w:rsidP="009C4B2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C548B">
        <w:rPr>
          <w:rFonts w:ascii="Arial Black" w:hAnsi="Arial Black"/>
          <w:caps/>
          <w:sz w:val="15"/>
          <w:szCs w:val="15"/>
          <w:lang w:val="fr-FR"/>
        </w:rPr>
        <w:t>date</w:t>
      </w:r>
      <w:r w:rsidR="009C4B29" w:rsidRPr="00FC548B">
        <w:rPr>
          <w:rFonts w:ascii="Arial Black" w:hAnsi="Arial Black"/>
          <w:caps/>
          <w:sz w:val="15"/>
          <w:szCs w:val="15"/>
          <w:lang w:val="fr-FR"/>
        </w:rPr>
        <w:t> :</w:t>
      </w:r>
      <w:r w:rsidRPr="00FC548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A654C" w:rsidRPr="00FC548B">
        <w:rPr>
          <w:rFonts w:ascii="Arial Black" w:hAnsi="Arial Black"/>
          <w:caps/>
          <w:sz w:val="15"/>
          <w:szCs w:val="15"/>
          <w:lang w:val="fr-FR"/>
        </w:rPr>
        <w:t>19 avril 2024</w:t>
      </w:r>
    </w:p>
    <w:bookmarkEnd w:id="2"/>
    <w:p w14:paraId="7B74876E" w14:textId="72E5D096" w:rsidR="00C40E15" w:rsidRPr="00FC548B" w:rsidRDefault="00D55C00" w:rsidP="009C4B29">
      <w:pPr>
        <w:spacing w:after="480"/>
        <w:rPr>
          <w:b/>
          <w:sz w:val="28"/>
          <w:szCs w:val="28"/>
          <w:lang w:val="fr-FR"/>
        </w:rPr>
      </w:pPr>
      <w:r w:rsidRPr="00FC548B">
        <w:rPr>
          <w:b/>
          <w:sz w:val="28"/>
          <w:szCs w:val="28"/>
          <w:lang w:val="fr-FR"/>
        </w:rPr>
        <w:t>Comité permanent du droit d</w:t>
      </w:r>
      <w:r w:rsidR="009C4B29" w:rsidRPr="00FC548B">
        <w:rPr>
          <w:b/>
          <w:sz w:val="28"/>
          <w:szCs w:val="28"/>
          <w:lang w:val="fr-FR"/>
        </w:rPr>
        <w:t>’</w:t>
      </w:r>
      <w:r w:rsidRPr="00FC548B">
        <w:rPr>
          <w:b/>
          <w:sz w:val="28"/>
          <w:szCs w:val="28"/>
          <w:lang w:val="fr-FR"/>
        </w:rPr>
        <w:t>auteur et des droits connexes</w:t>
      </w:r>
    </w:p>
    <w:p w14:paraId="407C7FD2" w14:textId="0ABB47A3" w:rsidR="008B2CC1" w:rsidRPr="00FC548B" w:rsidRDefault="00D55C00" w:rsidP="009C4B29">
      <w:pPr>
        <w:rPr>
          <w:b/>
          <w:sz w:val="24"/>
          <w:szCs w:val="24"/>
          <w:lang w:val="fr-FR"/>
        </w:rPr>
      </w:pPr>
      <w:r w:rsidRPr="00FC548B">
        <w:rPr>
          <w:b/>
          <w:sz w:val="24"/>
          <w:szCs w:val="24"/>
          <w:lang w:val="fr-FR"/>
        </w:rPr>
        <w:t>Quarante</w:t>
      </w:r>
      <w:r w:rsidR="00D321D6">
        <w:rPr>
          <w:b/>
          <w:sz w:val="24"/>
          <w:szCs w:val="24"/>
          <w:lang w:val="fr-FR"/>
        </w:rPr>
        <w:noBreakHyphen/>
      </w:r>
      <w:r w:rsidR="0076654B" w:rsidRPr="00FC548B">
        <w:rPr>
          <w:b/>
          <w:sz w:val="24"/>
          <w:szCs w:val="24"/>
          <w:lang w:val="fr-FR"/>
        </w:rPr>
        <w:t>cinqu</w:t>
      </w:r>
      <w:r w:rsidR="009C4B29" w:rsidRPr="00FC548B">
        <w:rPr>
          <w:b/>
          <w:sz w:val="24"/>
          <w:szCs w:val="24"/>
          <w:lang w:val="fr-FR"/>
        </w:rPr>
        <w:t>ième session</w:t>
      </w:r>
    </w:p>
    <w:p w14:paraId="034074AF" w14:textId="65A66C7D" w:rsidR="008B2CC1" w:rsidRPr="00FC548B" w:rsidRDefault="00D55C00" w:rsidP="009C4B29">
      <w:pPr>
        <w:spacing w:after="720"/>
        <w:rPr>
          <w:b/>
          <w:sz w:val="24"/>
          <w:szCs w:val="24"/>
          <w:lang w:val="fr-FR"/>
        </w:rPr>
      </w:pPr>
      <w:r w:rsidRPr="00FC548B">
        <w:rPr>
          <w:b/>
          <w:sz w:val="24"/>
          <w:szCs w:val="24"/>
          <w:lang w:val="fr-FR"/>
        </w:rPr>
        <w:t xml:space="preserve">Genève, </w:t>
      </w:r>
      <w:r w:rsidR="0076654B" w:rsidRPr="00FC548B">
        <w:rPr>
          <w:b/>
          <w:sz w:val="24"/>
          <w:szCs w:val="24"/>
          <w:lang w:val="fr-FR"/>
        </w:rPr>
        <w:t>15</w:t>
      </w:r>
      <w:r w:rsidR="00456117" w:rsidRPr="00FC548B">
        <w:rPr>
          <w:b/>
          <w:sz w:val="24"/>
          <w:szCs w:val="24"/>
          <w:lang w:val="fr-FR"/>
        </w:rPr>
        <w:t xml:space="preserve"> – </w:t>
      </w:r>
      <w:r w:rsidR="0076654B" w:rsidRPr="00FC548B">
        <w:rPr>
          <w:b/>
          <w:sz w:val="24"/>
          <w:szCs w:val="24"/>
          <w:lang w:val="fr-FR"/>
        </w:rPr>
        <w:t>19</w:t>
      </w:r>
      <w:r w:rsidR="00DC4A0D" w:rsidRPr="00FC548B">
        <w:rPr>
          <w:b/>
          <w:sz w:val="24"/>
          <w:szCs w:val="24"/>
          <w:lang w:val="fr-FR"/>
        </w:rPr>
        <w:t> </w:t>
      </w:r>
      <w:r w:rsidR="009C4B29" w:rsidRPr="00FC548B">
        <w:rPr>
          <w:b/>
          <w:sz w:val="24"/>
          <w:szCs w:val="24"/>
          <w:lang w:val="fr-FR"/>
        </w:rPr>
        <w:t>avril 20</w:t>
      </w:r>
      <w:r w:rsidR="00456117" w:rsidRPr="00FC548B">
        <w:rPr>
          <w:b/>
          <w:sz w:val="24"/>
          <w:szCs w:val="24"/>
          <w:lang w:val="fr-FR"/>
        </w:rPr>
        <w:t>2</w:t>
      </w:r>
      <w:r w:rsidR="0076654B" w:rsidRPr="00FC548B">
        <w:rPr>
          <w:b/>
          <w:sz w:val="24"/>
          <w:szCs w:val="24"/>
          <w:lang w:val="fr-FR"/>
        </w:rPr>
        <w:t>4</w:t>
      </w:r>
    </w:p>
    <w:p w14:paraId="5AC9056F" w14:textId="62D7904E" w:rsidR="008B2CC1" w:rsidRPr="00FC548B" w:rsidRDefault="005A654C" w:rsidP="009C4B29">
      <w:pPr>
        <w:spacing w:after="360"/>
        <w:rPr>
          <w:caps/>
          <w:sz w:val="24"/>
          <w:lang w:val="fr-FR"/>
        </w:rPr>
      </w:pPr>
      <w:bookmarkStart w:id="3" w:name="TitleOfDoc"/>
      <w:r w:rsidRPr="00FC548B">
        <w:rPr>
          <w:caps/>
          <w:sz w:val="24"/>
          <w:lang w:val="fr-FR"/>
        </w:rPr>
        <w:t>Projet de plan de mise en œuvre du programme de travail sur les</w:t>
      </w:r>
      <w:r w:rsidR="00915CC0">
        <w:rPr>
          <w:caps/>
          <w:sz w:val="24"/>
          <w:lang w:val="fr-FR"/>
        </w:rPr>
        <w:t> </w:t>
      </w:r>
      <w:r w:rsidRPr="00FC548B">
        <w:rPr>
          <w:caps/>
          <w:sz w:val="24"/>
          <w:lang w:val="fr-FR"/>
        </w:rPr>
        <w:t>limitations et exceptions</w:t>
      </w:r>
    </w:p>
    <w:p w14:paraId="6CE26571" w14:textId="41980CDD" w:rsidR="00525B63" w:rsidRPr="00FC548B" w:rsidRDefault="005A654C" w:rsidP="009C4B29">
      <w:pPr>
        <w:spacing w:after="960"/>
        <w:rPr>
          <w:lang w:val="fr-FR"/>
        </w:rPr>
      </w:pPr>
      <w:bookmarkStart w:id="4" w:name="Prepared"/>
      <w:bookmarkEnd w:id="3"/>
      <w:r w:rsidRPr="00FC548B">
        <w:rPr>
          <w:i/>
          <w:lang w:val="fr-FR"/>
        </w:rPr>
        <w:t>Document établi par le Secrétariat</w:t>
      </w:r>
    </w:p>
    <w:bookmarkEnd w:id="4"/>
    <w:p w14:paraId="445A8308" w14:textId="551796C5" w:rsidR="005A654C" w:rsidRPr="00FC548B" w:rsidRDefault="005A654C" w:rsidP="009C4B29">
      <w:pPr>
        <w:rPr>
          <w:lang w:val="fr-FR"/>
        </w:rPr>
      </w:pPr>
      <w:r w:rsidRPr="00FC548B">
        <w:rPr>
          <w:lang w:val="fr-FR"/>
        </w:rPr>
        <w:br w:type="page"/>
      </w:r>
    </w:p>
    <w:p w14:paraId="79FC36BD" w14:textId="77777777" w:rsidR="009C4B29" w:rsidRPr="00FC548B" w:rsidRDefault="005A654C" w:rsidP="00D321D6">
      <w:pPr>
        <w:spacing w:after="480"/>
        <w:rPr>
          <w:b/>
          <w:u w:val="single"/>
          <w:lang w:val="fr-FR"/>
        </w:rPr>
      </w:pPr>
      <w:r w:rsidRPr="00FC548B">
        <w:rPr>
          <w:b/>
          <w:u w:val="single"/>
          <w:lang w:val="fr-FR"/>
        </w:rPr>
        <w:lastRenderedPageBreak/>
        <w:t>PROJET DE PLAN DE MISE EN ŒUVRE</w:t>
      </w:r>
    </w:p>
    <w:p w14:paraId="52E7ADE1" w14:textId="77777777" w:rsidR="00D321D6" w:rsidRDefault="005A654C" w:rsidP="00D321D6">
      <w:pPr>
        <w:spacing w:after="220"/>
        <w:rPr>
          <w:szCs w:val="22"/>
          <w:u w:val="single"/>
          <w:lang w:val="fr-FR"/>
        </w:rPr>
      </w:pPr>
      <w:r w:rsidRPr="00FC548B">
        <w:rPr>
          <w:u w:val="single"/>
          <w:lang w:val="fr-FR"/>
        </w:rPr>
        <w:t>Rappel</w:t>
      </w:r>
    </w:p>
    <w:p w14:paraId="18CC319B" w14:textId="6966A22A" w:rsidR="00D321D6" w:rsidRDefault="005A654C" w:rsidP="00D321D6">
      <w:pPr>
        <w:spacing w:after="220"/>
        <w:rPr>
          <w:lang w:val="fr-FR"/>
        </w:rPr>
      </w:pPr>
      <w:r w:rsidRPr="00FC548B">
        <w:rPr>
          <w:lang w:val="fr-FR"/>
        </w:rPr>
        <w:t>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quatr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 xml:space="preserve">R tenue en </w:t>
      </w:r>
      <w:r w:rsidR="009C4B29" w:rsidRPr="00FC548B">
        <w:rPr>
          <w:lang w:val="fr-FR"/>
        </w:rPr>
        <w:t>novembre 20</w:t>
      </w:r>
      <w:r w:rsidRPr="00FC548B">
        <w:rPr>
          <w:lang w:val="fr-FR"/>
        </w:rPr>
        <w:t>23, le Secrétariat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OMPI a été chargé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établir un projet de plan de mise en œuvre du programme de travail sur les limitations et exceptions adopté par le comité (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proofErr w:type="spellStart"/>
      <w:r w:rsidR="009C4B29" w:rsidRPr="00FC548B">
        <w:rPr>
          <w:lang w:val="fr-FR"/>
        </w:rPr>
        <w:t>SC</w:t>
      </w:r>
      <w:r w:rsidRPr="00FC548B">
        <w:rPr>
          <w:lang w:val="fr-FR"/>
        </w:rPr>
        <w:t>CR</w:t>
      </w:r>
      <w:proofErr w:type="spellEnd"/>
      <w:r w:rsidRPr="00FC548B">
        <w:rPr>
          <w:lang w:val="fr-FR"/>
        </w:rPr>
        <w:t>/43/8</w:t>
      </w:r>
      <w:r w:rsidR="00C52A40" w:rsidRPr="00FC548B">
        <w:rPr>
          <w:lang w:val="fr-FR"/>
        </w:rPr>
        <w:t> </w:t>
      </w:r>
      <w:proofErr w:type="spellStart"/>
      <w:r w:rsidRPr="00FC548B">
        <w:rPr>
          <w:lang w:val="fr-FR"/>
        </w:rPr>
        <w:t>Rev</w:t>
      </w:r>
      <w:proofErr w:type="spellEnd"/>
      <w:r w:rsidRPr="00FC548B">
        <w:rPr>
          <w:lang w:val="fr-FR"/>
        </w:rPr>
        <w:t>.).  Le Secrétariat avait été prié de diffuser ce projet auprès des États membres pour consultation, avant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 xml:space="preserve">R qui se tiendrait en </w:t>
      </w:r>
      <w:r w:rsidR="009C4B29" w:rsidRPr="00FC548B">
        <w:rPr>
          <w:lang w:val="fr-FR"/>
        </w:rPr>
        <w:t>avril 20</w:t>
      </w:r>
      <w:r w:rsidRPr="00FC548B">
        <w:rPr>
          <w:lang w:val="fr-FR"/>
        </w:rPr>
        <w:t xml:space="preserve">24. </w:t>
      </w:r>
      <w:r w:rsidR="00C52A40" w:rsidRPr="00FC548B">
        <w:rPr>
          <w:lang w:val="fr-FR"/>
        </w:rPr>
        <w:t xml:space="preserve"> </w:t>
      </w:r>
      <w:r w:rsidRPr="00FC548B">
        <w:rPr>
          <w:lang w:val="fr-FR"/>
        </w:rPr>
        <w:t>Le projet, qui comprenait une annexe avec quatre</w:t>
      </w:r>
      <w:r w:rsidR="00C52A40" w:rsidRPr="00FC548B">
        <w:rPr>
          <w:lang w:val="fr-FR"/>
        </w:rPr>
        <w:t> </w:t>
      </w:r>
      <w:r w:rsidRPr="00FC548B">
        <w:rPr>
          <w:lang w:val="fr-FR"/>
        </w:rPr>
        <w:t>observations reçues au 29 </w:t>
      </w:r>
      <w:r w:rsidR="009C4B29" w:rsidRPr="00FC548B">
        <w:rPr>
          <w:lang w:val="fr-FR"/>
        </w:rPr>
        <w:t>mars 20</w:t>
      </w:r>
      <w:r w:rsidRPr="00FC548B">
        <w:rPr>
          <w:lang w:val="fr-FR"/>
        </w:rPr>
        <w:t xml:space="preserve">24, a été présenté dans le 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>CR/45/6 pour examen.</w:t>
      </w:r>
    </w:p>
    <w:p w14:paraId="1649C726" w14:textId="77777777" w:rsidR="00D321D6" w:rsidRDefault="005A654C" w:rsidP="00D321D6">
      <w:pPr>
        <w:spacing w:after="220"/>
        <w:rPr>
          <w:color w:val="0D0D0D"/>
          <w:shd w:val="clear" w:color="auto" w:fill="FFFFFF"/>
          <w:lang w:val="fr-FR"/>
        </w:rPr>
      </w:pPr>
      <w:r w:rsidRPr="00FC548B">
        <w:rPr>
          <w:lang w:val="fr-FR"/>
        </w:rPr>
        <w:t>Le 17 </w:t>
      </w:r>
      <w:r w:rsidR="009C4B29" w:rsidRPr="00FC548B">
        <w:rPr>
          <w:lang w:val="fr-FR"/>
        </w:rPr>
        <w:t>avril 20</w:t>
      </w:r>
      <w:r w:rsidRPr="00FC548B">
        <w:rPr>
          <w:lang w:val="fr-FR"/>
        </w:rPr>
        <w:t>24, les coordonnateurs de groupe ont demandé 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un nouveau projet de plan de mise en œuvre soit </w:t>
      </w:r>
      <w:r w:rsidRPr="00FC548B">
        <w:rPr>
          <w:color w:val="0D0D0D"/>
          <w:shd w:val="clear" w:color="auto" w:fill="FFFFFF"/>
          <w:lang w:val="fr-FR"/>
        </w:rPr>
        <w:t>établi pour examen par les États membres en sessions informelles le 18 </w:t>
      </w:r>
      <w:r w:rsidR="009C4B29" w:rsidRPr="00FC548B">
        <w:rPr>
          <w:color w:val="0D0D0D"/>
          <w:shd w:val="clear" w:color="auto" w:fill="FFFFFF"/>
          <w:lang w:val="fr-FR"/>
        </w:rPr>
        <w:t>avril 20</w:t>
      </w:r>
      <w:r w:rsidRPr="00FC548B">
        <w:rPr>
          <w:color w:val="0D0D0D"/>
          <w:shd w:val="clear" w:color="auto" w:fill="FFFFFF"/>
          <w:lang w:val="fr-FR"/>
        </w:rPr>
        <w:t xml:space="preserve">24.  Ce nouveau projet (intitulé </w:t>
      </w:r>
      <w:r w:rsidRPr="00FC548B">
        <w:rPr>
          <w:i/>
          <w:color w:val="0D0D0D"/>
          <w:shd w:val="clear" w:color="auto" w:fill="FFFFFF"/>
          <w:lang w:val="fr-FR"/>
        </w:rPr>
        <w:t>“Document existant”)</w:t>
      </w:r>
      <w:r w:rsidRPr="00FC548B">
        <w:rPr>
          <w:color w:val="0D0D0D"/>
          <w:shd w:val="clear" w:color="auto" w:fill="FFFFFF"/>
          <w:lang w:val="fr-FR"/>
        </w:rPr>
        <w:t xml:space="preserve"> comprenait le </w:t>
      </w:r>
      <w:r w:rsidR="009C4B29" w:rsidRPr="00FC548B">
        <w:rPr>
          <w:color w:val="0D0D0D"/>
          <w:shd w:val="clear" w:color="auto" w:fill="FFFFFF"/>
          <w:lang w:val="fr-FR"/>
        </w:rPr>
        <w:t>document</w:t>
      </w:r>
      <w:r w:rsidR="00D321D6">
        <w:rPr>
          <w:color w:val="0D0D0D"/>
          <w:shd w:val="clear" w:color="auto" w:fill="FFFFFF"/>
          <w:lang w:val="fr-FR"/>
        </w:rPr>
        <w:t> </w:t>
      </w:r>
      <w:r w:rsidR="009C4B29" w:rsidRPr="00FC548B">
        <w:rPr>
          <w:color w:val="0D0D0D"/>
          <w:shd w:val="clear" w:color="auto" w:fill="FFFFFF"/>
          <w:lang w:val="fr-FR"/>
        </w:rPr>
        <w:t>SC</w:t>
      </w:r>
      <w:r w:rsidRPr="00FC548B">
        <w:rPr>
          <w:color w:val="0D0D0D"/>
          <w:shd w:val="clear" w:color="auto" w:fill="FFFFFF"/>
          <w:lang w:val="fr-FR"/>
        </w:rPr>
        <w:t>CR/45/6 et son annexe, ainsi que la contribution sur les travaux futurs fournie par le groupe des pays africains le même jour.</w:t>
      </w:r>
    </w:p>
    <w:p w14:paraId="1D3D8497" w14:textId="33EDF7D6" w:rsidR="00D321D6" w:rsidRDefault="005A654C" w:rsidP="00D321D6">
      <w:pPr>
        <w:tabs>
          <w:tab w:val="left" w:pos="540"/>
        </w:tabs>
        <w:spacing w:after="220"/>
        <w:rPr>
          <w:lang w:val="fr-FR"/>
        </w:rPr>
      </w:pPr>
      <w:r w:rsidRPr="00FC548B">
        <w:rPr>
          <w:lang w:val="fr-FR"/>
        </w:rPr>
        <w:t xml:space="preserve">Il a été convenu que le </w:t>
      </w:r>
      <w:r w:rsidRPr="00FC548B">
        <w:rPr>
          <w:i/>
          <w:lang w:val="fr-FR"/>
        </w:rPr>
        <w:t>Document existant</w:t>
      </w:r>
      <w:r w:rsidRPr="00FC548B">
        <w:rPr>
          <w:lang w:val="fr-FR"/>
        </w:rPr>
        <w:t xml:space="preserve"> sera renommé </w:t>
      </w:r>
      <w:r w:rsidRPr="00FC548B">
        <w:rPr>
          <w:i/>
          <w:lang w:val="fr-FR"/>
        </w:rPr>
        <w:t>Projet de plan de mise en œuvre du programme de travail sur les limitations</w:t>
      </w:r>
      <w:r w:rsidRPr="00FC548B">
        <w:rPr>
          <w:i/>
          <w:iCs/>
          <w:lang w:val="fr-FR"/>
        </w:rPr>
        <w:t xml:space="preserve"> et exceptions </w:t>
      </w:r>
      <w:r w:rsidRPr="00FC548B">
        <w:rPr>
          <w:lang w:val="fr-FR"/>
        </w:rPr>
        <w:t>et 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il sera publié sous la cote SCCR/45/10</w:t>
      </w:r>
      <w:r w:rsidR="00915CC0">
        <w:rPr>
          <w:lang w:val="fr-FR"/>
        </w:rPr>
        <w:t> </w:t>
      </w:r>
      <w:r w:rsidRPr="00FC548B">
        <w:rPr>
          <w:lang w:val="fr-FR"/>
        </w:rPr>
        <w:t>P</w:t>
      </w:r>
      <w:r w:rsidR="00915CC0">
        <w:rPr>
          <w:lang w:val="fr-FR"/>
        </w:rPr>
        <w:t>rov</w:t>
      </w:r>
      <w:r w:rsidRPr="00FC548B">
        <w:rPr>
          <w:lang w:val="fr-FR"/>
        </w:rPr>
        <w:t>.</w:t>
      </w:r>
    </w:p>
    <w:p w14:paraId="10FF785D" w14:textId="77777777" w:rsidR="00D321D6" w:rsidRDefault="005A654C" w:rsidP="00915CC0">
      <w:pPr>
        <w:spacing w:before="480" w:after="220"/>
        <w:rPr>
          <w:szCs w:val="22"/>
          <w:u w:val="single"/>
          <w:lang w:val="fr-FR"/>
        </w:rPr>
      </w:pPr>
      <w:r w:rsidRPr="00FC548B">
        <w:rPr>
          <w:u w:val="single"/>
          <w:lang w:val="fr-FR"/>
        </w:rPr>
        <w:t>Projet de plan de mise en œuvre</w:t>
      </w:r>
    </w:p>
    <w:p w14:paraId="66F7AA6B" w14:textId="32B10D5D" w:rsidR="00D321D6" w:rsidRDefault="005A654C" w:rsidP="00367C56">
      <w:pPr>
        <w:spacing w:before="480" w:after="220"/>
        <w:rPr>
          <w:i/>
          <w:iCs/>
          <w:szCs w:val="22"/>
          <w:lang w:val="fr-FR"/>
        </w:rPr>
      </w:pPr>
      <w:r w:rsidRPr="00FC548B">
        <w:rPr>
          <w:i/>
          <w:lang w:val="fr-FR"/>
        </w:rPr>
        <w:t>I.</w:t>
      </w:r>
      <w:r w:rsidR="00DD0177">
        <w:rPr>
          <w:i/>
          <w:lang w:val="fr-FR"/>
        </w:rPr>
        <w:tab/>
      </w:r>
      <w:r w:rsidRPr="00FC548B">
        <w:rPr>
          <w:i/>
          <w:lang w:val="fr-FR"/>
        </w:rPr>
        <w:t>Questions relatives à la préservation</w:t>
      </w:r>
    </w:p>
    <w:p w14:paraId="4A6FAF01" w14:textId="76BAC898" w:rsidR="00D321D6" w:rsidRDefault="005A654C" w:rsidP="00DD0177">
      <w:pPr>
        <w:tabs>
          <w:tab w:val="left" w:pos="567"/>
        </w:tabs>
        <w:spacing w:after="220"/>
        <w:rPr>
          <w:szCs w:val="22"/>
          <w:lang w:val="fr-FR"/>
        </w:rPr>
      </w:pPr>
      <w:r w:rsidRPr="00FC548B">
        <w:rPr>
          <w:lang w:val="fr-FR"/>
        </w:rPr>
        <w:t>a)</w:t>
      </w:r>
      <w:r w:rsidR="00DD0177">
        <w:rPr>
          <w:lang w:val="fr-FR"/>
        </w:rPr>
        <w:tab/>
      </w:r>
      <w:r w:rsidRPr="00FC548B">
        <w:rPr>
          <w:lang w:val="fr-FR"/>
        </w:rPr>
        <w:t>Lancement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guide sur la préservation sous une forme hybride avant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six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</w:t>
      </w:r>
      <w:r w:rsidRPr="00FC548B">
        <w:rPr>
          <w:rStyle w:val="FootnoteReference"/>
          <w:szCs w:val="22"/>
          <w:lang w:val="fr-FR"/>
        </w:rPr>
        <w:footnoteReference w:id="2"/>
      </w:r>
      <w:r w:rsidRPr="00FC548B">
        <w:rPr>
          <w:lang w:val="fr-FR"/>
        </w:rPr>
        <w:t>.</w:t>
      </w:r>
    </w:p>
    <w:p w14:paraId="5690E274" w14:textId="18C5244C" w:rsidR="00D321D6" w:rsidRDefault="005A654C" w:rsidP="00D321D6">
      <w:pPr>
        <w:spacing w:after="220"/>
        <w:rPr>
          <w:szCs w:val="22"/>
          <w:lang w:val="fr-FR"/>
        </w:rPr>
      </w:pPr>
      <w:proofErr w:type="gramStart"/>
      <w:r w:rsidRPr="00FC548B">
        <w:rPr>
          <w:lang w:val="fr-FR"/>
        </w:rPr>
        <w:t>b</w:t>
      </w:r>
      <w:proofErr w:type="gramEnd"/>
      <w:r w:rsidRPr="00FC548B">
        <w:rPr>
          <w:lang w:val="fr-FR"/>
        </w:rPr>
        <w:t>)</w:t>
      </w:r>
      <w:r w:rsidRPr="00FC548B">
        <w:rPr>
          <w:rStyle w:val="FootnoteReference"/>
          <w:szCs w:val="22"/>
          <w:lang w:val="fr-FR"/>
        </w:rPr>
        <w:footnoteReference w:id="3"/>
      </w:r>
      <w:r w:rsidR="00DD0177">
        <w:rPr>
          <w:lang w:val="fr-FR"/>
        </w:rPr>
        <w:tab/>
      </w:r>
      <w:r w:rsidRPr="00FC548B">
        <w:rPr>
          <w:lang w:val="fr-FR"/>
        </w:rPr>
        <w:t>Réalisation durant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exercice biennal 2024</w:t>
      </w:r>
      <w:r w:rsidR="00D321D6">
        <w:rPr>
          <w:lang w:val="fr-FR"/>
        </w:rPr>
        <w:noBreakHyphen/>
      </w:r>
      <w:r w:rsidRPr="00FC548B">
        <w:rPr>
          <w:lang w:val="fr-FR"/>
        </w:rPr>
        <w:t>2025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série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activités fondées sur le contenu du guide pour faciliter la mise en œuvre des politiques et pratiques en matière de préservation [</w:t>
      </w:r>
      <w:r w:rsidRPr="00DD0177">
        <w:rPr>
          <w:u w:val="single"/>
          <w:lang w:val="fr-FR"/>
        </w:rPr>
        <w:t>à l</w:t>
      </w:r>
      <w:r w:rsidR="009C4B29" w:rsidRPr="00DD0177">
        <w:rPr>
          <w:u w:val="single"/>
          <w:lang w:val="fr-FR"/>
        </w:rPr>
        <w:t>’</w:t>
      </w:r>
      <w:r w:rsidRPr="00DD0177">
        <w:rPr>
          <w:u w:val="single"/>
          <w:lang w:val="fr-FR"/>
        </w:rPr>
        <w:t>échelle nationale]</w:t>
      </w:r>
      <w:r w:rsidRPr="00DD0177">
        <w:rPr>
          <w:rStyle w:val="FootnoteReference"/>
          <w:szCs w:val="22"/>
          <w:u w:val="single"/>
          <w:lang w:val="fr-FR"/>
        </w:rPr>
        <w:footnoteReference w:id="4"/>
      </w:r>
      <w:r w:rsidRPr="00DD0177">
        <w:rPr>
          <w:lang w:val="fr-FR"/>
        </w:rPr>
        <w:t>.</w:t>
      </w:r>
      <w:r w:rsidRPr="00FC548B">
        <w:rPr>
          <w:lang w:val="fr-FR"/>
        </w:rPr>
        <w:t xml:space="preserve">  Ces activités impliqueront les décideurs politiques, les professionnels, les institutions et les parties prenantes concernées, et se dérouleront dans plusieurs régions.</w:t>
      </w:r>
    </w:p>
    <w:p w14:paraId="0159EF87" w14:textId="569F679A" w:rsidR="00D321D6" w:rsidRDefault="005A654C" w:rsidP="00367C56">
      <w:pPr>
        <w:spacing w:before="480" w:after="220"/>
        <w:rPr>
          <w:i/>
          <w:iCs/>
          <w:szCs w:val="22"/>
          <w:lang w:val="fr-FR"/>
        </w:rPr>
      </w:pPr>
      <w:r w:rsidRPr="00FC548B">
        <w:rPr>
          <w:i/>
          <w:lang w:val="fr-FR"/>
        </w:rPr>
        <w:t>II.</w:t>
      </w:r>
      <w:r w:rsidR="00DD0177">
        <w:rPr>
          <w:i/>
          <w:lang w:val="fr-FR"/>
        </w:rPr>
        <w:tab/>
      </w:r>
      <w:r w:rsidRPr="00FC548B">
        <w:rPr>
          <w:i/>
          <w:lang w:val="fr-FR"/>
        </w:rPr>
        <w:t>Questions relatives à l</w:t>
      </w:r>
      <w:r w:rsidR="009C4B29" w:rsidRPr="00FC548B">
        <w:rPr>
          <w:i/>
          <w:lang w:val="fr-FR"/>
        </w:rPr>
        <w:t>’</w:t>
      </w:r>
      <w:r w:rsidRPr="00FC548B">
        <w:rPr>
          <w:i/>
          <w:lang w:val="fr-FR"/>
        </w:rPr>
        <w:t>accès</w:t>
      </w:r>
    </w:p>
    <w:p w14:paraId="203E5433" w14:textId="6304A0BA" w:rsidR="00D321D6" w:rsidRPr="00DD0177" w:rsidRDefault="005A654C" w:rsidP="00D321D6">
      <w:pPr>
        <w:spacing w:after="220"/>
        <w:rPr>
          <w:szCs w:val="22"/>
          <w:u w:val="single"/>
          <w:lang w:val="fr-FR"/>
        </w:rPr>
      </w:pPr>
      <w:r w:rsidRPr="00FC548B">
        <w:rPr>
          <w:lang w:val="fr-FR"/>
        </w:rPr>
        <w:t>a)</w:t>
      </w:r>
      <w:r w:rsidR="00DD0177">
        <w:rPr>
          <w:lang w:val="fr-FR"/>
        </w:rPr>
        <w:tab/>
      </w:r>
      <w:r w:rsidRPr="00FC548B">
        <w:rPr>
          <w:lang w:val="fr-FR"/>
        </w:rPr>
        <w:t>Achèvement du guide</w:t>
      </w:r>
      <w:r w:rsidRPr="00FC548B">
        <w:rPr>
          <w:rStyle w:val="FootnoteReference"/>
          <w:szCs w:val="22"/>
          <w:lang w:val="fr-FR"/>
        </w:rPr>
        <w:footnoteReference w:id="5"/>
      </w:r>
      <w:r w:rsidRPr="00FC548B">
        <w:rPr>
          <w:lang w:val="fr-FR"/>
        </w:rPr>
        <w:t xml:space="preserve">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en ce qui concerne les institutions chargées du patrimoine culturel (bibliothèques, services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archives et musées) </w:t>
      </w:r>
      <w:r w:rsidR="009C4B29" w:rsidRPr="00FC548B">
        <w:rPr>
          <w:lang w:val="fr-FR"/>
        </w:rPr>
        <w:t>en 2025</w:t>
      </w:r>
      <w:r w:rsidRPr="00FC548B">
        <w:rPr>
          <w:lang w:val="fr-FR"/>
        </w:rPr>
        <w:t>.  [</w:t>
      </w:r>
      <w:r w:rsidRPr="00FC548B">
        <w:rPr>
          <w:u w:val="single"/>
          <w:lang w:val="fr-FR"/>
        </w:rPr>
        <w:t xml:space="preserve">Une fois le guide </w:t>
      </w:r>
      <w:r w:rsidRPr="00FC548B">
        <w:rPr>
          <w:u w:val="single"/>
          <w:lang w:val="fr-FR"/>
        </w:rPr>
        <w:lastRenderedPageBreak/>
        <w:t>publié sur le site</w:t>
      </w:r>
      <w:r w:rsidR="00C52A40" w:rsidRPr="00FC548B">
        <w:rPr>
          <w:u w:val="single"/>
          <w:lang w:val="fr-FR"/>
        </w:rPr>
        <w:t> </w:t>
      </w:r>
      <w:r w:rsidRPr="00FC548B">
        <w:rPr>
          <w:u w:val="single"/>
          <w:lang w:val="fr-FR"/>
        </w:rPr>
        <w:t>Web</w:t>
      </w:r>
      <w:r w:rsidR="009C4B29" w:rsidRPr="00FC548B">
        <w:rPr>
          <w:u w:val="single"/>
          <w:lang w:val="fr-FR"/>
        </w:rPr>
        <w:t xml:space="preserve"> du SCC</w:t>
      </w:r>
      <w:r w:rsidRPr="00FC548B">
        <w:rPr>
          <w:u w:val="single"/>
          <w:lang w:val="fr-FR"/>
        </w:rPr>
        <w:t xml:space="preserve">R, les États membres et les parties prenantes pourront soumettre leurs </w:t>
      </w:r>
      <w:r w:rsidRPr="00DD0177">
        <w:rPr>
          <w:u w:val="single"/>
          <w:lang w:val="fr-FR"/>
        </w:rPr>
        <w:t>observations au Secrétariat.]</w:t>
      </w:r>
      <w:r w:rsidRPr="00DD0177">
        <w:rPr>
          <w:rStyle w:val="FootnoteReference"/>
          <w:szCs w:val="22"/>
          <w:u w:val="single"/>
          <w:lang w:val="fr-FR"/>
        </w:rPr>
        <w:footnoteReference w:id="6"/>
      </w:r>
    </w:p>
    <w:p w14:paraId="775DE511" w14:textId="1E7136ED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b)</w:t>
      </w:r>
      <w:r w:rsidR="00DD0177">
        <w:rPr>
          <w:lang w:val="fr-FR"/>
        </w:rPr>
        <w:tab/>
      </w:r>
      <w:r w:rsidRPr="00FC548B">
        <w:rPr>
          <w:lang w:val="fr-FR"/>
        </w:rPr>
        <w:t>Lancement du guide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concernant les institutions chargées du patrimoine culturel (bibliothèques, services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archives et musées) sous une forme hybride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ici à la fin </w:t>
      </w:r>
      <w:r w:rsidR="009C4B29" w:rsidRPr="00FC548B">
        <w:rPr>
          <w:lang w:val="fr-FR"/>
        </w:rPr>
        <w:t>de 2025</w:t>
      </w:r>
      <w:r w:rsidRPr="00FC548B">
        <w:rPr>
          <w:rStyle w:val="FootnoteReference"/>
          <w:szCs w:val="22"/>
          <w:lang w:val="fr-FR"/>
        </w:rPr>
        <w:footnoteReference w:id="7"/>
      </w:r>
      <w:r w:rsidRPr="00FC548B">
        <w:rPr>
          <w:lang w:val="fr-FR"/>
        </w:rPr>
        <w:t>.</w:t>
      </w:r>
    </w:p>
    <w:p w14:paraId="2372CE13" w14:textId="26EA5B41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c)</w:t>
      </w:r>
      <w:r w:rsidR="00DD0177">
        <w:rPr>
          <w:lang w:val="fr-FR"/>
        </w:rPr>
        <w:tab/>
      </w:r>
      <w:r w:rsidRPr="00FC548B">
        <w:rPr>
          <w:lang w:val="fr-FR"/>
        </w:rPr>
        <w:t>Réalisation au cours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exercice biennal 2024</w:t>
      </w:r>
      <w:r w:rsidR="00D321D6">
        <w:rPr>
          <w:lang w:val="fr-FR"/>
        </w:rPr>
        <w:noBreakHyphen/>
      </w:r>
      <w:r w:rsidRPr="00FC548B">
        <w:rPr>
          <w:lang w:val="fr-FR"/>
        </w:rPr>
        <w:t>2025</w:t>
      </w:r>
      <w:r w:rsidRPr="00FC548B">
        <w:rPr>
          <w:rStyle w:val="FootnoteReference"/>
          <w:szCs w:val="22"/>
          <w:lang w:val="fr-FR"/>
        </w:rPr>
        <w:footnoteReference w:id="8"/>
      </w:r>
      <w:r w:rsidRPr="00FC548B">
        <w:rPr>
          <w:lang w:val="fr-FR"/>
        </w:rPr>
        <w:t xml:space="preserve">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série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activités</w:t>
      </w:r>
      <w:r w:rsidRPr="00FC548B">
        <w:rPr>
          <w:rStyle w:val="FootnoteReference"/>
          <w:szCs w:val="22"/>
          <w:lang w:val="fr-FR"/>
        </w:rPr>
        <w:footnoteReference w:id="9"/>
      </w:r>
      <w:r w:rsidRPr="00FC548B">
        <w:rPr>
          <w:lang w:val="fr-FR"/>
        </w:rPr>
        <w:t xml:space="preserve"> fondées sur le contenu du guide pour faciliter la mise en œuvre des politiques et pratiques en matière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[</w:t>
      </w:r>
      <w:r w:rsidRPr="00FC548B">
        <w:rPr>
          <w:u w:val="single"/>
          <w:lang w:val="fr-FR"/>
        </w:rPr>
        <w:t xml:space="preserve">, </w:t>
      </w:r>
      <w:r w:rsidR="009C4B29" w:rsidRPr="00FC548B">
        <w:rPr>
          <w:u w:val="single"/>
          <w:lang w:val="fr-FR"/>
        </w:rPr>
        <w:t>y compris</w:t>
      </w:r>
      <w:r w:rsidRPr="00FC548B">
        <w:rPr>
          <w:u w:val="single"/>
          <w:lang w:val="fr-FR"/>
        </w:rPr>
        <w:t xml:space="preserve"> par l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intermédiaire de systèmes de licences,]</w:t>
      </w:r>
      <w:r w:rsidRPr="00FC548B">
        <w:rPr>
          <w:rStyle w:val="FootnoteReference"/>
          <w:bCs/>
          <w:szCs w:val="22"/>
          <w:u w:val="single"/>
          <w:lang w:val="fr-FR"/>
        </w:rPr>
        <w:footnoteReference w:id="10"/>
      </w:r>
      <w:r w:rsidRPr="00FC548B">
        <w:rPr>
          <w:lang w:val="fr-FR"/>
        </w:rPr>
        <w:t xml:space="preserve"> concernant les institutions chargées du patrimoine culturel (bibliothèques, services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archives et musées) [</w:t>
      </w:r>
      <w:r w:rsidRPr="00FC548B">
        <w:rPr>
          <w:u w:val="single"/>
          <w:lang w:val="fr-FR"/>
        </w:rPr>
        <w:t>à l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échelle nationale.]</w:t>
      </w:r>
      <w:r w:rsidRPr="00FC548B">
        <w:rPr>
          <w:rStyle w:val="FootnoteReference"/>
          <w:szCs w:val="22"/>
          <w:u w:val="single"/>
          <w:lang w:val="fr-FR"/>
        </w:rPr>
        <w:footnoteReference w:id="11"/>
      </w:r>
      <w:r w:rsidRPr="00FC548B">
        <w:rPr>
          <w:lang w:val="fr-FR"/>
        </w:rPr>
        <w:t xml:space="preserve"> </w:t>
      </w:r>
      <w:r w:rsidR="00DD0177">
        <w:rPr>
          <w:lang w:val="fr-FR"/>
        </w:rPr>
        <w:t xml:space="preserve"> </w:t>
      </w:r>
      <w:r w:rsidRPr="00FC548B">
        <w:rPr>
          <w:lang w:val="fr-FR"/>
        </w:rPr>
        <w:t>Ces activités impliqueront les décideurs politiques, les professionnels, les institutions et les parties prenantes concernées, et se dérouleront dans plusieurs régions.</w:t>
      </w:r>
    </w:p>
    <w:p w14:paraId="0AEAB093" w14:textId="5CE3B6D8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d)</w:t>
      </w:r>
      <w:r w:rsidR="00DD0177">
        <w:rPr>
          <w:lang w:val="fr-FR"/>
        </w:rPr>
        <w:tab/>
      </w:r>
      <w:r w:rsidRPr="00FC548B">
        <w:rPr>
          <w:lang w:val="fr-FR"/>
        </w:rPr>
        <w:t>Lancement de la préparation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guide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concernant les établissements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enseignement et les instituts de recherche </w:t>
      </w:r>
      <w:r w:rsidR="009C4B29" w:rsidRPr="00FC548B">
        <w:rPr>
          <w:lang w:val="fr-FR"/>
        </w:rPr>
        <w:t>en 2025</w:t>
      </w:r>
      <w:r w:rsidRPr="00FC548B">
        <w:rPr>
          <w:lang w:val="fr-FR"/>
        </w:rPr>
        <w:t>.</w:t>
      </w:r>
    </w:p>
    <w:p w14:paraId="4379F879" w14:textId="5CF85086" w:rsidR="00D321D6" w:rsidRDefault="005A654C" w:rsidP="00367C56">
      <w:pPr>
        <w:spacing w:before="480" w:after="220"/>
        <w:rPr>
          <w:i/>
          <w:szCs w:val="22"/>
          <w:lang w:val="fr-FR"/>
        </w:rPr>
      </w:pPr>
      <w:r w:rsidRPr="00FC548B">
        <w:rPr>
          <w:lang w:val="fr-FR"/>
        </w:rPr>
        <w:t>[</w:t>
      </w:r>
      <w:r w:rsidR="00751261" w:rsidRPr="00FC548B">
        <w:rPr>
          <w:i/>
          <w:iCs/>
          <w:lang w:val="fr-FR"/>
        </w:rPr>
        <w:t>III.</w:t>
      </w:r>
      <w:r w:rsidR="00DD0177">
        <w:rPr>
          <w:i/>
          <w:iCs/>
          <w:lang w:val="fr-FR"/>
        </w:rPr>
        <w:tab/>
      </w:r>
      <w:r w:rsidR="00751261" w:rsidRPr="00FC548B">
        <w:rPr>
          <w:i/>
          <w:lang w:val="fr-FR"/>
        </w:rPr>
        <w:t>Ad</w:t>
      </w:r>
      <w:r w:rsidRPr="00FC548B">
        <w:rPr>
          <w:i/>
          <w:lang w:val="fr-FR"/>
        </w:rPr>
        <w:t>aptation à l</w:t>
      </w:r>
      <w:r w:rsidR="009C4B29" w:rsidRPr="00FC548B">
        <w:rPr>
          <w:i/>
          <w:lang w:val="fr-FR"/>
        </w:rPr>
        <w:t>’</w:t>
      </w:r>
      <w:r w:rsidRPr="00FC548B">
        <w:rPr>
          <w:i/>
          <w:lang w:val="fr-FR"/>
        </w:rPr>
        <w:t>environnement en ligne</w:t>
      </w:r>
    </w:p>
    <w:p w14:paraId="1C9BB585" w14:textId="77777777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Faciliter les travaux futurs visant à promouvoir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adaptation des limitations et exceptions à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environnement en ligne, par exemple en favorisant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enseignement,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apprentissage et la recherche au moyen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outils numériques et en ligne, en raison de sa relation avec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exploration de données.]</w:t>
      </w:r>
      <w:r w:rsidRPr="00FC548B">
        <w:rPr>
          <w:rStyle w:val="FootnoteReference"/>
          <w:szCs w:val="22"/>
          <w:lang w:val="fr-FR"/>
        </w:rPr>
        <w:footnoteReference w:id="12"/>
      </w:r>
    </w:p>
    <w:p w14:paraId="4340FDC1" w14:textId="653A3027" w:rsidR="00D321D6" w:rsidRDefault="00751261" w:rsidP="00367C56">
      <w:pPr>
        <w:spacing w:before="480" w:after="220"/>
        <w:rPr>
          <w:i/>
          <w:iCs/>
          <w:szCs w:val="22"/>
          <w:lang w:val="fr-FR"/>
        </w:rPr>
      </w:pPr>
      <w:r w:rsidRPr="00FC548B">
        <w:rPr>
          <w:i/>
          <w:lang w:val="fr-FR"/>
        </w:rPr>
        <w:t>III.</w:t>
      </w:r>
      <w:r w:rsidR="00DD0177">
        <w:rPr>
          <w:i/>
          <w:lang w:val="fr-FR"/>
        </w:rPr>
        <w:tab/>
      </w:r>
      <w:r w:rsidRPr="00FC548B">
        <w:rPr>
          <w:i/>
          <w:lang w:val="fr-FR"/>
        </w:rPr>
        <w:t>Qu</w:t>
      </w:r>
      <w:r w:rsidR="005A654C" w:rsidRPr="00FC548B">
        <w:rPr>
          <w:i/>
          <w:lang w:val="fr-FR"/>
        </w:rPr>
        <w:t>estions relatives aux autres handicaps (autres que celles couvertes par le Traité de Marrakech)</w:t>
      </w:r>
    </w:p>
    <w:p w14:paraId="39DE67A1" w14:textId="7AA7F2C3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a)</w:t>
      </w:r>
      <w:r w:rsidR="00DD0177">
        <w:rPr>
          <w:lang w:val="fr-FR"/>
        </w:rPr>
        <w:tab/>
      </w:r>
      <w:r w:rsidRPr="00FC548B">
        <w:rPr>
          <w:lang w:val="fr-FR"/>
        </w:rPr>
        <w:t>Mise à jour du document intitulé “Résumé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étude exploratoire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des personnes handicapées aux œuvres protégées par le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auteur” (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 xml:space="preserve">C/38/3), publié </w:t>
      </w:r>
      <w:r w:rsidR="009C4B29" w:rsidRPr="00FC548B">
        <w:rPr>
          <w:lang w:val="fr-FR"/>
        </w:rPr>
        <w:t>en 2019</w:t>
      </w:r>
      <w:r w:rsidRPr="00FC548B">
        <w:rPr>
          <w:lang w:val="fr-FR"/>
        </w:rPr>
        <w:t>, afin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évaluer les technologies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assistance en relation avec les questions de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</w:t>
      </w:r>
      <w:r w:rsidR="00751261" w:rsidRPr="00FC548B">
        <w:rPr>
          <w:lang w:val="fr-FR"/>
        </w:rPr>
        <w:t>ur.  Ce</w:t>
      </w:r>
      <w:r w:rsidRPr="00FC548B">
        <w:rPr>
          <w:lang w:val="fr-FR"/>
        </w:rPr>
        <w:t>tte étude sera présentée lors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 xml:space="preserve">R </w:t>
      </w:r>
      <w:r w:rsidR="009C4B29" w:rsidRPr="00FC548B">
        <w:rPr>
          <w:lang w:val="fr-FR"/>
        </w:rPr>
        <w:t>en 2025</w:t>
      </w:r>
      <w:r w:rsidRPr="00FC548B">
        <w:rPr>
          <w:rStyle w:val="FootnoteReference"/>
          <w:szCs w:val="22"/>
          <w:lang w:val="fr-FR"/>
        </w:rPr>
        <w:footnoteReference w:id="13"/>
      </w:r>
      <w:r w:rsidRPr="00FC548B">
        <w:rPr>
          <w:lang w:val="fr-FR"/>
        </w:rPr>
        <w:t xml:space="preserve">. </w:t>
      </w:r>
      <w:r w:rsidR="00C52A40" w:rsidRPr="00FC548B">
        <w:rPr>
          <w:lang w:val="fr-FR"/>
        </w:rPr>
        <w:t xml:space="preserve"> </w:t>
      </w:r>
      <w:r w:rsidRPr="00FC548B">
        <w:rPr>
          <w:lang w:val="fr-FR"/>
        </w:rPr>
        <w:t>[</w:t>
      </w:r>
      <w:r w:rsidRPr="00FC548B">
        <w:rPr>
          <w:u w:val="single"/>
          <w:lang w:val="fr-FR"/>
        </w:rPr>
        <w:t>Une fois l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étude présentée, les États membres et les parties prenantes pourront soumettre leurs observations.]</w:t>
      </w:r>
      <w:r w:rsidRPr="00FC548B">
        <w:rPr>
          <w:rStyle w:val="FootnoteReference"/>
          <w:szCs w:val="22"/>
          <w:u w:val="single"/>
          <w:lang w:val="fr-FR"/>
        </w:rPr>
        <w:footnoteReference w:id="14"/>
      </w:r>
    </w:p>
    <w:p w14:paraId="700EB085" w14:textId="15D2A0A6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b)</w:t>
      </w:r>
      <w:r w:rsidR="00DD0177">
        <w:rPr>
          <w:lang w:val="fr-FR"/>
        </w:rPr>
        <w:tab/>
      </w:r>
      <w:r w:rsidRPr="00FC548B">
        <w:rPr>
          <w:lang w:val="fr-FR"/>
        </w:rPr>
        <w:t>Organisation [d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exposé</w:t>
      </w:r>
      <w:r w:rsidRPr="00FC548B">
        <w:rPr>
          <w:rStyle w:val="FootnoteReference"/>
          <w:szCs w:val="22"/>
          <w:lang w:val="fr-FR"/>
        </w:rPr>
        <w:footnoteReference w:id="15"/>
      </w:r>
      <w:r w:rsidRPr="00FC548B">
        <w:rPr>
          <w:lang w:val="fr-FR"/>
        </w:rPr>
        <w:t xml:space="preserve"> </w:t>
      </w:r>
      <w:r w:rsidRPr="00FC548B">
        <w:rPr>
          <w:u w:val="single"/>
          <w:lang w:val="fr-FR"/>
        </w:rPr>
        <w:t>sous une forme hybride]</w:t>
      </w:r>
      <w:r w:rsidRPr="00FC548B">
        <w:rPr>
          <w:rStyle w:val="FootnoteReference"/>
          <w:szCs w:val="22"/>
          <w:u w:val="single"/>
          <w:lang w:val="fr-FR"/>
        </w:rPr>
        <w:footnoteReference w:id="16"/>
      </w:r>
      <w:r w:rsidRPr="00FC548B">
        <w:rPr>
          <w:lang w:val="fr-FR"/>
        </w:rPr>
        <w:t xml:space="preserve"> sur les moyens existants pour répondre aux besoins des personnes souffrant de handicaps auditifs et cognitifs en ce qui concerne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au contenu protégé par le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auteur, lors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 xml:space="preserve">R </w:t>
      </w:r>
      <w:r w:rsidR="009C4B29" w:rsidRPr="00FC548B">
        <w:rPr>
          <w:lang w:val="fr-FR"/>
        </w:rPr>
        <w:t>en 2025</w:t>
      </w:r>
      <w:r w:rsidRPr="00FC548B">
        <w:rPr>
          <w:lang w:val="fr-FR"/>
        </w:rPr>
        <w:t>.</w:t>
      </w:r>
    </w:p>
    <w:p w14:paraId="7BAFD3D3" w14:textId="5F383FFA" w:rsidR="00D321D6" w:rsidRDefault="005A654C" w:rsidP="00367C56">
      <w:pPr>
        <w:spacing w:before="480" w:after="220"/>
        <w:rPr>
          <w:i/>
          <w:iCs/>
          <w:szCs w:val="22"/>
          <w:lang w:val="fr-FR"/>
        </w:rPr>
      </w:pPr>
      <w:r w:rsidRPr="00FC548B">
        <w:rPr>
          <w:i/>
          <w:lang w:val="fr-FR"/>
        </w:rPr>
        <w:lastRenderedPageBreak/>
        <w:t>IV.</w:t>
      </w:r>
      <w:r w:rsidR="00DD0177">
        <w:rPr>
          <w:i/>
          <w:lang w:val="fr-FR"/>
        </w:rPr>
        <w:tab/>
      </w:r>
      <w:r w:rsidRPr="00FC548B">
        <w:rPr>
          <w:i/>
          <w:lang w:val="fr-FR"/>
        </w:rPr>
        <w:t>Travaux futurs concernant les objectifs et principes touchant aux limitations et exceptions</w:t>
      </w:r>
    </w:p>
    <w:p w14:paraId="6FB3D672" w14:textId="14ADD872" w:rsidR="00D321D6" w:rsidRDefault="005A654C" w:rsidP="00D321D6">
      <w:pPr>
        <w:spacing w:after="220"/>
        <w:rPr>
          <w:szCs w:val="22"/>
          <w:u w:val="single"/>
          <w:lang w:val="fr-FR"/>
        </w:rPr>
      </w:pPr>
      <w:r w:rsidRPr="00FC548B">
        <w:rPr>
          <w:lang w:val="fr-FR"/>
        </w:rPr>
        <w:t>Faciliter les travaux futurs [</w:t>
      </w:r>
      <w:r w:rsidRPr="00FC548B">
        <w:rPr>
          <w:strike/>
          <w:lang w:val="fr-FR"/>
        </w:rPr>
        <w:t>d</w:t>
      </w:r>
      <w:r w:rsidR="009C4B29" w:rsidRPr="00FC548B">
        <w:rPr>
          <w:strike/>
          <w:lang w:val="fr-FR"/>
        </w:rPr>
        <w:t>’</w:t>
      </w:r>
      <w:r w:rsidRPr="00FC548B">
        <w:rPr>
          <w:strike/>
          <w:lang w:val="fr-FR"/>
        </w:rPr>
        <w:t>une équipe d</w:t>
      </w:r>
      <w:r w:rsidR="009C4B29" w:rsidRPr="00FC548B">
        <w:rPr>
          <w:strike/>
          <w:lang w:val="fr-FR"/>
        </w:rPr>
        <w:t>’</w:t>
      </w:r>
      <w:r w:rsidRPr="00FC548B">
        <w:rPr>
          <w:strike/>
          <w:lang w:val="fr-FR"/>
        </w:rPr>
        <w:t>experts composée d</w:t>
      </w:r>
      <w:r w:rsidR="009C4B29" w:rsidRPr="00FC548B">
        <w:rPr>
          <w:strike/>
          <w:lang w:val="fr-FR"/>
        </w:rPr>
        <w:t>’</w:t>
      </w:r>
      <w:r w:rsidRPr="00FC548B">
        <w:rPr>
          <w:u w:val="single"/>
          <w:lang w:val="fr-FR"/>
        </w:rPr>
        <w:t>des</w:t>
      </w:r>
      <w:r w:rsidRPr="00FC548B">
        <w:rPr>
          <w:lang w:val="fr-FR"/>
        </w:rPr>
        <w:t>]</w:t>
      </w:r>
      <w:r w:rsidRPr="00FC548B">
        <w:rPr>
          <w:rStyle w:val="FootnoteReference"/>
          <w:szCs w:val="22"/>
          <w:lang w:val="fr-FR"/>
        </w:rPr>
        <w:footnoteReference w:id="17"/>
      </w:r>
      <w:r w:rsidRPr="00FC548B">
        <w:rPr>
          <w:lang w:val="fr-FR"/>
        </w:rPr>
        <w:t> États membres sur les objectifs et principes touchant aux limitations et exceptions [</w:t>
      </w:r>
      <w:r w:rsidRPr="00FC548B">
        <w:rPr>
          <w:u w:val="single"/>
          <w:lang w:val="fr-FR"/>
        </w:rPr>
        <w:t>en commençant à la quarante</w:t>
      </w:r>
      <w:r w:rsidR="00D321D6">
        <w:rPr>
          <w:u w:val="single"/>
          <w:lang w:val="fr-FR"/>
        </w:rPr>
        <w:noBreakHyphen/>
      </w:r>
      <w:r w:rsidRPr="00FC548B">
        <w:rPr>
          <w:u w:val="single"/>
          <w:lang w:val="fr-FR"/>
        </w:rPr>
        <w:t>cinqu</w:t>
      </w:r>
      <w:r w:rsidR="009C4B29" w:rsidRPr="00FC548B">
        <w:rPr>
          <w:u w:val="single"/>
          <w:lang w:val="fr-FR"/>
        </w:rPr>
        <w:t>ième session du SCC</w:t>
      </w:r>
      <w:r w:rsidRPr="00FC548B">
        <w:rPr>
          <w:u w:val="single"/>
          <w:lang w:val="fr-FR"/>
        </w:rPr>
        <w:t xml:space="preserve">R par un débat sur la version mise </w:t>
      </w:r>
      <w:r w:rsidR="00D321D6">
        <w:rPr>
          <w:u w:val="single"/>
          <w:lang w:val="fr-FR"/>
        </w:rPr>
        <w:t>à</w:t>
      </w:r>
      <w:r w:rsidRPr="00FC548B">
        <w:rPr>
          <w:u w:val="single"/>
          <w:lang w:val="fr-FR"/>
        </w:rPr>
        <w:t xml:space="preserve"> jour du document intitulé “Objectifs et principes concernant les exceptions et limitations en faveur des bibliothèques et des services d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archives” (document</w:t>
      </w:r>
      <w:r w:rsidR="00D321D6">
        <w:rPr>
          <w:u w:val="single"/>
          <w:lang w:val="fr-FR"/>
        </w:rPr>
        <w:t> </w:t>
      </w:r>
      <w:r w:rsidRPr="00FC548B">
        <w:rPr>
          <w:u w:val="single"/>
          <w:lang w:val="fr-FR"/>
        </w:rPr>
        <w:t>SCCR/44/5), en vue de son adoption en tant que document</w:t>
      </w:r>
      <w:r w:rsidR="009C4B29" w:rsidRPr="00FC548B">
        <w:rPr>
          <w:u w:val="single"/>
          <w:lang w:val="fr-FR"/>
        </w:rPr>
        <w:t xml:space="preserve"> du SCC</w:t>
      </w:r>
      <w:r w:rsidRPr="00FC548B">
        <w:rPr>
          <w:u w:val="single"/>
          <w:lang w:val="fr-FR"/>
        </w:rPr>
        <w:t>R.]</w:t>
      </w:r>
      <w:r w:rsidRPr="00FC548B">
        <w:rPr>
          <w:rStyle w:val="FootnoteReference"/>
          <w:szCs w:val="22"/>
          <w:u w:val="single"/>
          <w:lang w:val="fr-FR"/>
        </w:rPr>
        <w:footnoteReference w:id="18"/>
      </w:r>
      <w:r w:rsidRPr="00DD0177">
        <w:rPr>
          <w:lang w:val="fr-FR"/>
        </w:rPr>
        <w:t xml:space="preserve"> </w:t>
      </w:r>
      <w:r w:rsidR="00DD0177" w:rsidRPr="00DD0177">
        <w:rPr>
          <w:lang w:val="fr-FR"/>
        </w:rPr>
        <w:t xml:space="preserve"> </w:t>
      </w:r>
      <w:r w:rsidRPr="00FC548B">
        <w:rPr>
          <w:lang w:val="fr-FR"/>
        </w:rPr>
        <w:t>Les modalités et la portée des travaux [</w:t>
      </w:r>
      <w:r w:rsidRPr="00FC548B">
        <w:rPr>
          <w:u w:val="single"/>
          <w:lang w:val="fr-FR"/>
        </w:rPr>
        <w:t>sur le point IV]</w:t>
      </w:r>
      <w:r w:rsidRPr="00FC548B">
        <w:rPr>
          <w:rStyle w:val="FootnoteReference"/>
          <w:szCs w:val="22"/>
          <w:u w:val="single"/>
          <w:lang w:val="fr-FR"/>
        </w:rPr>
        <w:footnoteReference w:id="19"/>
      </w:r>
      <w:r w:rsidRPr="00FC548B">
        <w:rPr>
          <w:lang w:val="fr-FR"/>
        </w:rPr>
        <w:t xml:space="preserve"> [</w:t>
      </w:r>
      <w:r w:rsidRPr="00FC548B">
        <w:rPr>
          <w:u w:val="single"/>
          <w:lang w:val="fr-FR"/>
        </w:rPr>
        <w:t>seront examinées plus avant par les États membres]</w:t>
      </w:r>
      <w:r w:rsidRPr="00FC548B">
        <w:rPr>
          <w:rStyle w:val="FootnoteReference"/>
          <w:szCs w:val="22"/>
          <w:u w:val="single"/>
          <w:lang w:val="fr-FR"/>
        </w:rPr>
        <w:footnoteReference w:id="20"/>
      </w:r>
      <w:r w:rsidRPr="00FC548B">
        <w:rPr>
          <w:lang w:val="fr-FR"/>
        </w:rPr>
        <w:t xml:space="preserve"> et définies lors [</w:t>
      </w:r>
      <w:r w:rsidRPr="00FC548B">
        <w:rPr>
          <w:strike/>
          <w:lang w:val="fr-FR"/>
        </w:rPr>
        <w:t>de la quarante</w:t>
      </w:r>
      <w:r w:rsidR="00D321D6">
        <w:rPr>
          <w:strike/>
          <w:lang w:val="fr-FR"/>
        </w:rPr>
        <w:noBreakHyphen/>
      </w:r>
      <w:r w:rsidRPr="00FC548B">
        <w:rPr>
          <w:strike/>
          <w:lang w:val="fr-FR"/>
        </w:rPr>
        <w:t>sixième</w:t>
      </w:r>
      <w:r w:rsidRPr="00FC548B">
        <w:rPr>
          <w:lang w:val="fr-FR"/>
        </w:rPr>
        <w:t xml:space="preserve"> </w:t>
      </w:r>
      <w:r w:rsidRPr="00FC548B">
        <w:rPr>
          <w:u w:val="single"/>
          <w:lang w:val="fr-FR"/>
        </w:rPr>
        <w:t>d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une]</w:t>
      </w:r>
      <w:r w:rsidRPr="00FC548B">
        <w:rPr>
          <w:rStyle w:val="FootnoteReference"/>
          <w:szCs w:val="22"/>
          <w:lang w:val="fr-FR"/>
        </w:rPr>
        <w:footnoteReference w:id="21"/>
      </w:r>
      <w:r w:rsidRPr="00FC548B">
        <w:rPr>
          <w:lang w:val="fr-FR"/>
        </w:rPr>
        <w:t> 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[</w:t>
      </w:r>
      <w:r w:rsidRPr="00FC548B">
        <w:rPr>
          <w:u w:val="single"/>
          <w:lang w:val="fr-FR"/>
        </w:rPr>
        <w:t>après l</w:t>
      </w:r>
      <w:r w:rsidR="009C4B29" w:rsidRPr="00FC548B">
        <w:rPr>
          <w:u w:val="single"/>
          <w:lang w:val="fr-FR"/>
        </w:rPr>
        <w:t>’</w:t>
      </w:r>
      <w:r w:rsidRPr="00FC548B">
        <w:rPr>
          <w:u w:val="single"/>
          <w:lang w:val="fr-FR"/>
        </w:rPr>
        <w:t>achèvement des points 1 à 3 du programme de travail.]</w:t>
      </w:r>
      <w:r w:rsidRPr="00FC548B">
        <w:rPr>
          <w:rStyle w:val="FootnoteReference"/>
          <w:szCs w:val="22"/>
          <w:u w:val="single"/>
          <w:lang w:val="fr-FR"/>
        </w:rPr>
        <w:footnoteReference w:id="22"/>
      </w:r>
    </w:p>
    <w:p w14:paraId="0CAC6564" w14:textId="77777777" w:rsidR="00D321D6" w:rsidRDefault="005A654C" w:rsidP="00B33A91">
      <w:pPr>
        <w:spacing w:before="480" w:after="220"/>
        <w:rPr>
          <w:szCs w:val="22"/>
          <w:lang w:val="fr-FR"/>
        </w:rPr>
      </w:pPr>
      <w:r w:rsidRPr="00FC548B">
        <w:rPr>
          <w:lang w:val="fr-FR"/>
        </w:rPr>
        <w:t>[Le comité est convenu que le Secrétariat facilitera les travaux futurs de deux</w:t>
      </w:r>
      <w:r w:rsidR="00C52A40" w:rsidRPr="00FC548B">
        <w:rPr>
          <w:lang w:val="fr-FR"/>
        </w:rPr>
        <w:t> </w:t>
      </w:r>
      <w:r w:rsidRPr="00FC548B">
        <w:rPr>
          <w:lang w:val="fr-FR"/>
        </w:rPr>
        <w:t>équipes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composées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États membres pour discuter des objectifs, des principes et des options en matière de limitations et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exceptions, en suivant les lignes directrices suivantes</w:t>
      </w:r>
      <w:r w:rsidR="009C4B29" w:rsidRPr="00FC548B">
        <w:rPr>
          <w:lang w:val="fr-FR"/>
        </w:rPr>
        <w:t> :</w:t>
      </w:r>
    </w:p>
    <w:p w14:paraId="2682209A" w14:textId="1CF7E464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a)</w:t>
      </w:r>
      <w:r w:rsidR="00DD0177">
        <w:rPr>
          <w:lang w:val="fr-FR"/>
        </w:rPr>
        <w:tab/>
      </w:r>
      <w:r w:rsidRPr="00FC548B">
        <w:rPr>
          <w:lang w:val="fr-FR"/>
        </w:rPr>
        <w:t>Sans préjudice de la négociation et de la conclusion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ou de plusieurs instruments juridiques sur les exceptions et limitations en matière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enseignement et de recherche, </w:t>
      </w:r>
      <w:r w:rsidR="009C4B29" w:rsidRPr="00FC548B">
        <w:rPr>
          <w:lang w:val="fr-FR"/>
        </w:rPr>
        <w:t>y compris</w:t>
      </w:r>
      <w:r w:rsidRPr="00FC548B">
        <w:rPr>
          <w:lang w:val="fr-FR"/>
        </w:rPr>
        <w:t xml:space="preserve"> les activités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enseignement et de recherche numériques, en ligne et transfrontières, le champ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application des travaux comprendra les deux</w:t>
      </w:r>
      <w:r w:rsidR="00C52A40" w:rsidRPr="00FC548B">
        <w:rPr>
          <w:lang w:val="fr-FR"/>
        </w:rPr>
        <w:t> </w:t>
      </w:r>
      <w:r w:rsidRPr="00FC548B">
        <w:rPr>
          <w:lang w:val="fr-FR"/>
        </w:rPr>
        <w:t>questions suivantes</w:t>
      </w:r>
      <w:r w:rsidR="009C4B29" w:rsidRPr="00FC548B">
        <w:rPr>
          <w:lang w:val="fr-FR"/>
        </w:rPr>
        <w:t> :</w:t>
      </w:r>
    </w:p>
    <w:p w14:paraId="78E69890" w14:textId="277D1D39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1.</w:t>
      </w:r>
      <w:r w:rsidR="00DD0177">
        <w:rPr>
          <w:lang w:val="fr-FR"/>
        </w:rPr>
        <w:tab/>
      </w:r>
      <w:r w:rsidRPr="00FC548B">
        <w:rPr>
          <w:lang w:val="fr-FR"/>
        </w:rPr>
        <w:t>une équipe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devrait élaborer des objectifs, des principes et des options pour un ou plusieurs instruments juridiques (qu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il s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agisse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loi type,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recommandation commune,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traité et/ou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autres formes) afin de promouvoir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adaptation des exceptions à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environnement en ligne, par exemple en favorisant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enseignement,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apprentissage et la recherche au moyen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outils numériques et en </w:t>
      </w:r>
      <w:proofErr w:type="gramStart"/>
      <w:r w:rsidRPr="00FC548B">
        <w:rPr>
          <w:lang w:val="fr-FR"/>
        </w:rPr>
        <w:t>ligne;</w:t>
      </w:r>
      <w:proofErr w:type="gramEnd"/>
    </w:p>
    <w:p w14:paraId="2825015C" w14:textId="55E55499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2.</w:t>
      </w:r>
      <w:r w:rsidR="00DD0177">
        <w:rPr>
          <w:lang w:val="fr-FR"/>
        </w:rPr>
        <w:tab/>
      </w:r>
      <w:r w:rsidRPr="00FC548B">
        <w:rPr>
          <w:lang w:val="fr-FR"/>
        </w:rPr>
        <w:t>une équipe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devrait élaborer des objectifs, des principes et des options pour un ou plusieurs instruments juridiques (qu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il s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agisse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loi type,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une recommandation commune,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traité et/ou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autres formes) afin de promouvoir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adaptation des exceptions et des limitations afin de faire en sorte que les lois nationales favorisent les activités de préservation des bibliothèques, des archives et des musées, </w:t>
      </w:r>
      <w:r w:rsidR="009C4B29" w:rsidRPr="00FC548B">
        <w:rPr>
          <w:lang w:val="fr-FR"/>
        </w:rPr>
        <w:t>y compris</w:t>
      </w:r>
      <w:r w:rsidRPr="00FC548B">
        <w:rPr>
          <w:lang w:val="fr-FR"/>
        </w:rPr>
        <w:t xml:space="preserve">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utilisation des supports </w:t>
      </w:r>
      <w:proofErr w:type="gramStart"/>
      <w:r w:rsidRPr="00FC548B">
        <w:rPr>
          <w:lang w:val="fr-FR"/>
        </w:rPr>
        <w:t>préservés;</w:t>
      </w:r>
      <w:proofErr w:type="gramEnd"/>
    </w:p>
    <w:p w14:paraId="7B2E99A0" w14:textId="31632F4C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b)</w:t>
      </w:r>
      <w:r w:rsidR="00DD0177">
        <w:rPr>
          <w:lang w:val="fr-FR"/>
        </w:rPr>
        <w:tab/>
      </w:r>
      <w:r w:rsidRPr="00FC548B">
        <w:rPr>
          <w:lang w:val="fr-FR"/>
        </w:rPr>
        <w:t>les modalités de travail de chaque équipe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comprendront notamment les points suivants</w:t>
      </w:r>
      <w:r w:rsidR="009C4B29" w:rsidRPr="00FC548B">
        <w:rPr>
          <w:lang w:val="fr-FR"/>
        </w:rPr>
        <w:t> :</w:t>
      </w:r>
    </w:p>
    <w:p w14:paraId="37D0D67A" w14:textId="638138F5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i.</w:t>
      </w:r>
      <w:r w:rsidR="00DD0177">
        <w:rPr>
          <w:lang w:val="fr-FR"/>
        </w:rPr>
        <w:tab/>
      </w:r>
      <w:r w:rsidRPr="00FC548B">
        <w:rPr>
          <w:lang w:val="fr-FR"/>
        </w:rPr>
        <w:t>le président devrait, immédiatement après la conclusion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R, créer une équipe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composée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États membres se portant volontaires pour y </w:t>
      </w:r>
      <w:proofErr w:type="gramStart"/>
      <w:r w:rsidRPr="00FC548B">
        <w:rPr>
          <w:lang w:val="fr-FR"/>
        </w:rPr>
        <w:t>participer;</w:t>
      </w:r>
      <w:proofErr w:type="gramEnd"/>
    </w:p>
    <w:p w14:paraId="3D678D75" w14:textId="743A4F90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ii.</w:t>
      </w:r>
      <w:r w:rsidR="00DD0177">
        <w:rPr>
          <w:lang w:val="fr-FR"/>
        </w:rPr>
        <w:tab/>
      </w:r>
      <w:r w:rsidRPr="00FC548B">
        <w:rPr>
          <w:lang w:val="fr-FR"/>
        </w:rPr>
        <w:t>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devrait être composée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 moins deux États membres, en respectant une représentation équilibrée et diversifiée de chaque région, sélectionnés par les coordonnateurs régionaux, avec la participation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au moins un expert pour appuyer les travaux de chaque groupe de </w:t>
      </w:r>
      <w:proofErr w:type="gramStart"/>
      <w:r w:rsidRPr="00FC548B">
        <w:rPr>
          <w:lang w:val="fr-FR"/>
        </w:rPr>
        <w:t>travail;</w:t>
      </w:r>
      <w:proofErr w:type="gramEnd"/>
    </w:p>
    <w:p w14:paraId="54193083" w14:textId="609CBE9F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iii.</w:t>
      </w:r>
      <w:r w:rsidR="00DD0177">
        <w:rPr>
          <w:lang w:val="fr-FR"/>
        </w:rPr>
        <w:tab/>
      </w:r>
      <w:r w:rsidRPr="00FC548B">
        <w:rPr>
          <w:lang w:val="fr-FR"/>
        </w:rPr>
        <w:t>le Secrétariat résumera les différents objectifs et principes relatifs aux questions prioritaires qui ont été précédemment présentés</w:t>
      </w:r>
      <w:r w:rsidR="009C4B29" w:rsidRPr="00FC548B">
        <w:rPr>
          <w:lang w:val="fr-FR"/>
        </w:rPr>
        <w:t xml:space="preserve"> au SCC</w:t>
      </w:r>
      <w:r w:rsidRPr="00FC548B">
        <w:rPr>
          <w:lang w:val="fr-FR"/>
        </w:rPr>
        <w:t xml:space="preserve">R, notamment les </w:t>
      </w:r>
      <w:r w:rsidR="009C4B29" w:rsidRPr="00FC548B">
        <w:rPr>
          <w:lang w:val="fr-FR"/>
        </w:rPr>
        <w:t>documents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>CR/26/8, SCCR/27/8 et SCCR/34/5, selon 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il convient, et invitera à </w:t>
      </w:r>
      <w:r w:rsidRPr="00FC548B">
        <w:rPr>
          <w:lang w:val="fr-FR"/>
        </w:rPr>
        <w:lastRenderedPageBreak/>
        <w:t>proposer des libellés supplémentaires pour les instruments avant la première réunion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équipe </w:t>
      </w:r>
      <w:proofErr w:type="gramStart"/>
      <w:r w:rsidRPr="00FC548B">
        <w:rPr>
          <w:lang w:val="fr-FR"/>
        </w:rPr>
        <w:t>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experts;</w:t>
      </w:r>
      <w:proofErr w:type="gramEnd"/>
    </w:p>
    <w:p w14:paraId="37B35486" w14:textId="76A228F5" w:rsidR="00D321D6" w:rsidRDefault="005A654C" w:rsidP="00D321D6">
      <w:pPr>
        <w:spacing w:after="220"/>
        <w:ind w:left="567"/>
        <w:rPr>
          <w:szCs w:val="22"/>
          <w:lang w:val="fr-FR"/>
        </w:rPr>
      </w:pPr>
      <w:r w:rsidRPr="00FC548B">
        <w:rPr>
          <w:lang w:val="fr-FR"/>
        </w:rPr>
        <w:t>iv.</w:t>
      </w:r>
      <w:r w:rsidR="00DD0177">
        <w:rPr>
          <w:lang w:val="fr-FR"/>
        </w:rPr>
        <w:tab/>
      </w:r>
      <w:r w:rsidRPr="00FC548B">
        <w:rPr>
          <w:lang w:val="fr-FR"/>
        </w:rPr>
        <w:t>conformément à la pratique établie, la plénière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restera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organe de négociation et de décisi</w:t>
      </w:r>
      <w:r w:rsidR="00751261" w:rsidRPr="00FC548B">
        <w:rPr>
          <w:lang w:val="fr-FR"/>
        </w:rPr>
        <w:t>on.  L’é</w:t>
      </w:r>
      <w:r w:rsidRPr="00FC548B">
        <w:rPr>
          <w:lang w:val="fr-FR"/>
        </w:rPr>
        <w:t>quipe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composée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États membres et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experts appuiera et facilitera les négociations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en fournissant des conseils et des analyses sur des questions à examiner.</w:t>
      </w:r>
    </w:p>
    <w:p w14:paraId="2398A862" w14:textId="089815D2" w:rsidR="00D321D6" w:rsidRDefault="005A654C" w:rsidP="00D321D6">
      <w:pPr>
        <w:spacing w:after="220"/>
        <w:ind w:left="567"/>
        <w:rPr>
          <w:lang w:val="fr-FR"/>
        </w:rPr>
      </w:pPr>
      <w:r w:rsidRPr="00FC548B">
        <w:rPr>
          <w:lang w:val="fr-FR"/>
        </w:rPr>
        <w:t>v.</w:t>
      </w:r>
      <w:r w:rsidR="00DD0177">
        <w:rPr>
          <w:lang w:val="fr-FR"/>
        </w:rPr>
        <w:tab/>
        <w:t>I</w:t>
      </w:r>
      <w:r w:rsidRPr="00FC548B">
        <w:rPr>
          <w:lang w:val="fr-FR"/>
        </w:rPr>
        <w:t>l est demandé au Secrétariat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élaborer un programme de travail détaillé pour les guides et autres formes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orientation et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assistance technique, dans la mesure où celui</w:t>
      </w:r>
      <w:r w:rsidR="00D321D6">
        <w:rPr>
          <w:lang w:val="fr-FR"/>
        </w:rPr>
        <w:noBreakHyphen/>
      </w:r>
      <w:r w:rsidRPr="00FC548B">
        <w:rPr>
          <w:lang w:val="fr-FR"/>
        </w:rPr>
        <w:t>ci ne nuit pas à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appui fourni dans le cadre des travaux du comité, tel 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indiqué ci</w:t>
      </w:r>
      <w:r w:rsidR="00D321D6">
        <w:rPr>
          <w:lang w:val="fr-FR"/>
        </w:rPr>
        <w:noBreakHyphen/>
      </w:r>
      <w:r w:rsidRPr="00FC548B">
        <w:rPr>
          <w:lang w:val="fr-FR"/>
        </w:rPr>
        <w:t>dess</w:t>
      </w:r>
      <w:r w:rsidR="00751261" w:rsidRPr="00FC548B">
        <w:rPr>
          <w:lang w:val="fr-FR"/>
        </w:rPr>
        <w:t>us.  Le</w:t>
      </w:r>
      <w:r w:rsidRPr="00FC548B">
        <w:rPr>
          <w:lang w:val="fr-FR"/>
        </w:rPr>
        <w:t xml:space="preserve"> Secrétariat pourrait notamment</w:t>
      </w:r>
      <w:r w:rsidR="009C4B29" w:rsidRPr="00FC548B">
        <w:rPr>
          <w:lang w:val="fr-FR"/>
        </w:rPr>
        <w:t> :</w:t>
      </w:r>
    </w:p>
    <w:p w14:paraId="04F1A06C" w14:textId="3D94E971" w:rsidR="00D321D6" w:rsidRDefault="005A654C" w:rsidP="00D321D6">
      <w:pPr>
        <w:spacing w:after="220"/>
        <w:ind w:left="1134"/>
        <w:rPr>
          <w:lang w:val="fr-FR"/>
        </w:rPr>
      </w:pPr>
      <w:r w:rsidRPr="00FC548B">
        <w:rPr>
          <w:lang w:val="fr-FR"/>
        </w:rPr>
        <w:t>a)</w:t>
      </w:r>
      <w:r w:rsidR="00DD0177">
        <w:rPr>
          <w:lang w:val="fr-FR"/>
        </w:rPr>
        <w:tab/>
      </w:r>
      <w:r w:rsidRPr="00FC548B">
        <w:rPr>
          <w:lang w:val="fr-FR"/>
        </w:rPr>
        <w:t>élaborer et lancer les guides sur la préservation et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accès aux œuvres </w:t>
      </w:r>
      <w:proofErr w:type="gramStart"/>
      <w:r w:rsidRPr="00FC548B">
        <w:rPr>
          <w:lang w:val="fr-FR"/>
        </w:rPr>
        <w:t>préservées;</w:t>
      </w:r>
      <w:proofErr w:type="gramEnd"/>
    </w:p>
    <w:p w14:paraId="63988B52" w14:textId="7F1132FC" w:rsidR="00D321D6" w:rsidRDefault="005A654C" w:rsidP="00D321D6">
      <w:pPr>
        <w:spacing w:after="220"/>
        <w:ind w:left="1134"/>
        <w:rPr>
          <w:szCs w:val="22"/>
          <w:lang w:val="fr-FR"/>
        </w:rPr>
      </w:pPr>
      <w:r w:rsidRPr="00FC548B">
        <w:rPr>
          <w:lang w:val="fr-FR"/>
        </w:rPr>
        <w:t>b)</w:t>
      </w:r>
      <w:r w:rsidR="00DD0177">
        <w:rPr>
          <w:lang w:val="fr-FR"/>
        </w:rPr>
        <w:tab/>
      </w:r>
      <w:r w:rsidRPr="00FC548B">
        <w:rPr>
          <w:lang w:val="fr-FR"/>
        </w:rPr>
        <w:t>mettre à jour le document intitulé “Résumé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étude exploratoire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des personnes handicapées aux œuvres protégées par le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auteur” (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 xml:space="preserve">C/38/3), publié </w:t>
      </w:r>
      <w:r w:rsidR="009C4B29" w:rsidRPr="00FC548B">
        <w:rPr>
          <w:lang w:val="fr-FR"/>
        </w:rPr>
        <w:t>en 2019</w:t>
      </w:r>
      <w:r w:rsidRPr="00FC548B">
        <w:rPr>
          <w:lang w:val="fr-FR"/>
        </w:rPr>
        <w:t>, afin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évaluer les technologies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assistance en relation avec les questions de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auteur.]</w:t>
      </w:r>
      <w:r w:rsidRPr="00FC548B">
        <w:rPr>
          <w:rStyle w:val="FootnoteReference"/>
          <w:szCs w:val="22"/>
          <w:lang w:val="fr-FR"/>
        </w:rPr>
        <w:footnoteReference w:id="23"/>
      </w:r>
    </w:p>
    <w:p w14:paraId="3869234B" w14:textId="02B3D195" w:rsidR="00D321D6" w:rsidRDefault="005A654C" w:rsidP="00367C56">
      <w:pPr>
        <w:spacing w:before="480" w:after="220"/>
        <w:rPr>
          <w:i/>
          <w:szCs w:val="22"/>
          <w:lang w:val="fr-FR"/>
        </w:rPr>
      </w:pPr>
      <w:r w:rsidRPr="00FC548B">
        <w:rPr>
          <w:i/>
          <w:lang w:val="fr-FR"/>
        </w:rPr>
        <w:t>V.</w:t>
      </w:r>
      <w:r w:rsidR="00DD0177">
        <w:rPr>
          <w:i/>
          <w:lang w:val="fr-FR"/>
        </w:rPr>
        <w:tab/>
      </w:r>
      <w:r w:rsidRPr="00FC548B">
        <w:rPr>
          <w:i/>
          <w:lang w:val="fr-FR"/>
        </w:rPr>
        <w:t>Autres considérations</w:t>
      </w:r>
    </w:p>
    <w:p w14:paraId="0CE2F090" w14:textId="7958307F" w:rsidR="00D321D6" w:rsidRDefault="005A654C" w:rsidP="00D321D6">
      <w:pPr>
        <w:spacing w:after="220"/>
        <w:rPr>
          <w:lang w:val="fr-FR"/>
        </w:rPr>
      </w:pPr>
      <w:r w:rsidRPr="00FC548B">
        <w:rPr>
          <w:lang w:val="fr-FR"/>
        </w:rPr>
        <w:t>[</w:t>
      </w:r>
      <w:proofErr w:type="gramStart"/>
      <w:r w:rsidRPr="00FC548B">
        <w:rPr>
          <w:lang w:val="fr-FR"/>
        </w:rPr>
        <w:t>a</w:t>
      </w:r>
      <w:proofErr w:type="gramEnd"/>
      <w:r w:rsidRPr="00FC548B">
        <w:rPr>
          <w:lang w:val="fr-FR"/>
        </w:rPr>
        <w:t>)</w:t>
      </w:r>
      <w:r w:rsidR="00DD0177">
        <w:rPr>
          <w:lang w:val="fr-FR"/>
        </w:rPr>
        <w:tab/>
      </w:r>
      <w:r w:rsidRPr="00FC548B">
        <w:rPr>
          <w:lang w:val="fr-FR"/>
        </w:rPr>
        <w:t>Au cours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quatr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R, le groupe des pays africains a présenté un projet de proposition pour la mise en œuvre du programme de travail sur les exceptions et limitations (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 xml:space="preserve">CR/44/6). </w:t>
      </w:r>
      <w:r w:rsidR="00C52A40" w:rsidRPr="00FC548B">
        <w:rPr>
          <w:lang w:val="fr-FR"/>
        </w:rPr>
        <w:t xml:space="preserve"> </w:t>
      </w:r>
      <w:r w:rsidRPr="00FC548B">
        <w:rPr>
          <w:lang w:val="fr-FR"/>
        </w:rPr>
        <w:t>Cette proposition visait à établir un processus spécifique pour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élaboration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instrument international qui traiterait des exceptions et limitations relatives aux lois sur le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</w:t>
      </w:r>
      <w:r w:rsidR="00751261" w:rsidRPr="00FC548B">
        <w:rPr>
          <w:lang w:val="fr-FR"/>
        </w:rPr>
        <w:t>ur.  Se</w:t>
      </w:r>
      <w:r w:rsidRPr="00FC548B">
        <w:rPr>
          <w:lang w:val="fr-FR"/>
        </w:rPr>
        <w:t>lon le résumé présenté par le président au terme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quatr</w:t>
      </w:r>
      <w:r w:rsidR="009C4B29" w:rsidRPr="00FC548B">
        <w:rPr>
          <w:lang w:val="fr-FR"/>
        </w:rPr>
        <w:t>ième session</w:t>
      </w:r>
      <w:r w:rsidRPr="00FC548B">
        <w:rPr>
          <w:lang w:val="fr-FR"/>
        </w:rPr>
        <w:t>, le Secrétariat devrait présenter à la prochaine 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un “plan de mise en œuvre complet” “du programme de travail sur les exceptions et les limitations”, en tenant compte des “observations formulées par les États membres à la présente 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R”.</w:t>
      </w:r>
    </w:p>
    <w:p w14:paraId="48E2F6E5" w14:textId="77777777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Les commentaires suivants sont présentés comme contribution aux travaux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dans le cadre de la mise en œuvre du programme de travail sur les exceptions et limitations.</w:t>
      </w:r>
    </w:p>
    <w:p w14:paraId="51DC2D20" w14:textId="6E669C3C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 xml:space="preserve">Ma délégation soutient pleinement le “projet de proposition pour la mise en œuvre du programme de travail sur les exceptions et limitations” qui figure dans le 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 xml:space="preserve">CR/44/6. </w:t>
      </w:r>
      <w:r w:rsidR="00C52A40" w:rsidRPr="00FC548B">
        <w:rPr>
          <w:lang w:val="fr-FR"/>
        </w:rPr>
        <w:t xml:space="preserve"> </w:t>
      </w:r>
      <w:r w:rsidRPr="00FC548B">
        <w:rPr>
          <w:lang w:val="fr-FR"/>
        </w:rPr>
        <w:t>Nous pensons que la proposition peut servir de base appropriée pour la mise en œuvre du programme de travail sur les exceptions et limitations qui a été adopté dans son intégralité par</w:t>
      </w:r>
      <w:r w:rsidR="009C4B29" w:rsidRPr="00FC548B">
        <w:rPr>
          <w:lang w:val="fr-FR"/>
        </w:rPr>
        <w:t xml:space="preserve"> le SCC</w:t>
      </w:r>
      <w:r w:rsidRPr="00FC548B">
        <w:rPr>
          <w:lang w:val="fr-FR"/>
        </w:rPr>
        <w:t>R lors de sa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quatr</w:t>
      </w:r>
      <w:r w:rsidR="009C4B29" w:rsidRPr="00FC548B">
        <w:rPr>
          <w:lang w:val="fr-FR"/>
        </w:rPr>
        <w:t>ième sessi</w:t>
      </w:r>
      <w:r w:rsidR="00751261" w:rsidRPr="00FC548B">
        <w:rPr>
          <w:lang w:val="fr-FR"/>
        </w:rPr>
        <w:t>on.  La</w:t>
      </w:r>
      <w:r w:rsidRPr="00FC548B">
        <w:rPr>
          <w:lang w:val="fr-FR"/>
        </w:rPr>
        <w:t xml:space="preserve"> proposition met en évidence trois</w:t>
      </w:r>
      <w:r w:rsidR="00C52A40" w:rsidRPr="00FC548B">
        <w:rPr>
          <w:lang w:val="fr-FR"/>
        </w:rPr>
        <w:t> </w:t>
      </w:r>
      <w:r w:rsidRPr="00FC548B">
        <w:rPr>
          <w:lang w:val="fr-FR"/>
        </w:rPr>
        <w:t>questions prioritaires retenues par le comi</w:t>
      </w:r>
      <w:r w:rsidR="00751261" w:rsidRPr="00FC548B">
        <w:rPr>
          <w:lang w:val="fr-FR"/>
        </w:rPr>
        <w:t>té.  La</w:t>
      </w:r>
      <w:r w:rsidRPr="00FC548B">
        <w:rPr>
          <w:lang w:val="fr-FR"/>
        </w:rPr>
        <w:t xml:space="preserve"> proposition a fourni un cadre global pour les discussions sur la manière de faire avancer le programme de travail sur les exceptions et limitations au sein</w:t>
      </w:r>
      <w:r w:rsidR="009C4B29" w:rsidRPr="00FC548B">
        <w:rPr>
          <w:lang w:val="fr-FR"/>
        </w:rPr>
        <w:t xml:space="preserve"> du S</w:t>
      </w:r>
      <w:r w:rsidR="00751261" w:rsidRPr="00FC548B">
        <w:rPr>
          <w:lang w:val="fr-FR"/>
        </w:rPr>
        <w:t>CCR.  El</w:t>
      </w:r>
      <w:r w:rsidRPr="00FC548B">
        <w:rPr>
          <w:lang w:val="fr-FR"/>
        </w:rPr>
        <w:t>le suggère une approche par étapes pour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élaboration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instrument, commençant par un accord sur les objectifs et les principes avant de passer à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examen des options spécifiques à inclure dans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instrume</w:t>
      </w:r>
      <w:r w:rsidR="00751261" w:rsidRPr="00FC548B">
        <w:rPr>
          <w:lang w:val="fr-FR"/>
        </w:rPr>
        <w:t>nt.  Se</w:t>
      </w:r>
      <w:r w:rsidRPr="00FC548B">
        <w:rPr>
          <w:lang w:val="fr-FR"/>
        </w:rPr>
        <w:t>lon le projet de proposition pour la mise en œuvre du programme de travail sur les exceptions et limitations, “les projets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objectifs, de principes et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options (de mise en œuvre) devraient être présentés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 xml:space="preserve">R pour examen par le comité” (voir le 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>CR/44/6).</w:t>
      </w:r>
    </w:p>
    <w:p w14:paraId="7729155D" w14:textId="551B476D" w:rsidR="00D321D6" w:rsidRDefault="005A654C" w:rsidP="00B33A91">
      <w:pPr>
        <w:keepLines/>
        <w:spacing w:after="220"/>
        <w:rPr>
          <w:szCs w:val="22"/>
          <w:lang w:val="fr-FR"/>
        </w:rPr>
      </w:pPr>
      <w:r w:rsidRPr="00FC548B">
        <w:rPr>
          <w:lang w:val="fr-FR"/>
        </w:rPr>
        <w:lastRenderedPageBreak/>
        <w:t>Nous pensons que ce programme de travail complet (fondé sur la proposition du groupe des pays africains) pourrait servir de base à de nouvelles délibérations lors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R, au cours desquelles les États membres pourraient examiner et affiner le processus proposé pour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élaboration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instrument international sur les exceptions et limitatio</w:t>
      </w:r>
      <w:r w:rsidR="00751261" w:rsidRPr="00FC548B">
        <w:rPr>
          <w:lang w:val="fr-FR"/>
        </w:rPr>
        <w:t>ns.  En</w:t>
      </w:r>
      <w:r w:rsidRPr="00FC548B">
        <w:rPr>
          <w:lang w:val="fr-FR"/>
        </w:rPr>
        <w:t xml:space="preserve"> outre, la création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groupe de travail au cours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 pourrait contribuer à faire avancer les travaux dans ce domaine entre les sessions, ce qui pourrait déboucher sur des résultats concrets susceptibles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être présentés et examinés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six</w:t>
      </w:r>
      <w:r w:rsidR="009C4B29" w:rsidRPr="00FC548B">
        <w:rPr>
          <w:lang w:val="fr-FR"/>
        </w:rPr>
        <w:t>ième session du S</w:t>
      </w:r>
      <w:r w:rsidR="00751261" w:rsidRPr="00FC548B">
        <w:rPr>
          <w:lang w:val="fr-FR"/>
        </w:rPr>
        <w:t>CCR.  En</w:t>
      </w:r>
      <w:r w:rsidRPr="00FC548B">
        <w:rPr>
          <w:lang w:val="fr-FR"/>
        </w:rPr>
        <w:t xml:space="preserve"> s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appuyant sur la proposition faite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quatr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 et en engageant des discussions de fond lors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R, le comité pourrait faire des progrès significatifs dans la réalisation de son objectif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amélioration de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au savoir et de promotion de la transparence grâce à des cadres équilibrés en matière de droit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auteur.</w:t>
      </w:r>
    </w:p>
    <w:p w14:paraId="7EFC30E6" w14:textId="6DEFFB61" w:rsidR="00D321D6" w:rsidRDefault="005A654C" w:rsidP="00D321D6">
      <w:pPr>
        <w:spacing w:after="220"/>
        <w:rPr>
          <w:szCs w:val="22"/>
          <w:lang w:val="fr-FR"/>
        </w:rPr>
      </w:pPr>
      <w:r w:rsidRPr="00FC548B">
        <w:rPr>
          <w:lang w:val="fr-FR"/>
        </w:rPr>
        <w:t>Les limitations et les exceptions constituent le seul point du projet de plan de mise en œuvre qui nécessite un examen approfon</w:t>
      </w:r>
      <w:r w:rsidR="00751261" w:rsidRPr="00FC548B">
        <w:rPr>
          <w:lang w:val="fr-FR"/>
        </w:rPr>
        <w:t>di.  Co</w:t>
      </w:r>
      <w:r w:rsidRPr="00FC548B">
        <w:rPr>
          <w:lang w:val="fr-FR"/>
        </w:rPr>
        <w:t>mpte tenu du fait que le programme de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six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 risque de devoir être reporté jusqu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au printemps 2025, au plus tôt, ma délégation suggère que la portée et les modalités soient examinées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 et qu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un groupe de travail soit également constitué à cette sessi</w:t>
      </w:r>
      <w:r w:rsidR="00751261" w:rsidRPr="00FC548B">
        <w:rPr>
          <w:lang w:val="fr-FR"/>
        </w:rPr>
        <w:t>on.  Ce</w:t>
      </w:r>
      <w:r w:rsidRPr="00FC548B">
        <w:rPr>
          <w:lang w:val="fr-FR"/>
        </w:rPr>
        <w:t>tte solution permettrait au groupe de travail de poursuivre ses travaux entre les sessions et de présenter ses résultats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six</w:t>
      </w:r>
      <w:r w:rsidR="009C4B29" w:rsidRPr="00FC548B">
        <w:rPr>
          <w:lang w:val="fr-FR"/>
        </w:rPr>
        <w:t>ième session du S</w:t>
      </w:r>
      <w:r w:rsidR="00751261" w:rsidRPr="00FC548B">
        <w:rPr>
          <w:lang w:val="fr-FR"/>
        </w:rPr>
        <w:t>CCR.  Co</w:t>
      </w:r>
      <w:r w:rsidRPr="00FC548B">
        <w:rPr>
          <w:lang w:val="fr-FR"/>
        </w:rPr>
        <w:t>mpte tenu de ce qui précède, nous pensons que le projet de plan de mise en œuvre du programme de travail sur les limitations et exceptions qui a été établi par le Secrétariat devrait être examiné plus avant par le comité à la prochaine session</w:t>
      </w:r>
      <w:r w:rsidR="009C4B29" w:rsidRPr="00FC548B">
        <w:rPr>
          <w:lang w:val="fr-FR"/>
        </w:rPr>
        <w:t xml:space="preserve"> du SCC</w:t>
      </w:r>
      <w:r w:rsidRPr="00FC548B">
        <w:rPr>
          <w:lang w:val="fr-FR"/>
        </w:rPr>
        <w:t>R (quarante</w:t>
      </w:r>
      <w:r w:rsidR="00D321D6">
        <w:rPr>
          <w:lang w:val="fr-FR"/>
        </w:rPr>
        <w:noBreakHyphen/>
      </w:r>
      <w:r w:rsidRPr="00FC548B">
        <w:rPr>
          <w:lang w:val="fr-FR"/>
        </w:rPr>
        <w:t>cinqu</w:t>
      </w:r>
      <w:r w:rsidR="009C4B29" w:rsidRPr="00FC548B">
        <w:rPr>
          <w:lang w:val="fr-FR"/>
        </w:rPr>
        <w:t>ième session</w:t>
      </w:r>
      <w:r w:rsidRPr="00FC548B">
        <w:rPr>
          <w:lang w:val="fr-FR"/>
        </w:rPr>
        <w:t>).]</w:t>
      </w:r>
      <w:r w:rsidRPr="00FC548B">
        <w:rPr>
          <w:rStyle w:val="FootnoteReference"/>
          <w:szCs w:val="22"/>
          <w:lang w:val="fr-FR"/>
        </w:rPr>
        <w:footnoteReference w:id="24"/>
      </w:r>
    </w:p>
    <w:p w14:paraId="3B24C7FB" w14:textId="3AC43EC2" w:rsidR="00D321D6" w:rsidRDefault="005A654C" w:rsidP="00B33A91">
      <w:pPr>
        <w:spacing w:before="480" w:after="220"/>
        <w:rPr>
          <w:lang w:val="fr-FR"/>
        </w:rPr>
      </w:pPr>
      <w:r w:rsidRPr="00FC548B">
        <w:rPr>
          <w:lang w:val="fr-FR"/>
        </w:rPr>
        <w:t>[</w:t>
      </w:r>
      <w:proofErr w:type="gramStart"/>
      <w:r w:rsidRPr="00FC548B">
        <w:rPr>
          <w:lang w:val="fr-FR"/>
        </w:rPr>
        <w:t>b</w:t>
      </w:r>
      <w:proofErr w:type="gramEnd"/>
      <w:r w:rsidRPr="00FC548B">
        <w:rPr>
          <w:lang w:val="fr-FR"/>
        </w:rPr>
        <w:t>)</w:t>
      </w:r>
      <w:r w:rsidR="00DD0177">
        <w:rPr>
          <w:lang w:val="fr-FR"/>
        </w:rPr>
        <w:tab/>
      </w:r>
      <w:r w:rsidRPr="00FC548B">
        <w:rPr>
          <w:lang w:val="fr-FR"/>
        </w:rPr>
        <w:t xml:space="preserve">Nous nous demandons quelle sera la corrélation potentielle entre le guide proposé sur la préservation, indiqué au </w:t>
      </w:r>
      <w:r w:rsidR="009C4B29" w:rsidRPr="00FC548B">
        <w:rPr>
          <w:i/>
          <w:iCs/>
          <w:lang w:val="fr-FR"/>
        </w:rPr>
        <w:t>paragraphe I</w:t>
      </w:r>
      <w:r w:rsidRPr="00FC548B">
        <w:rPr>
          <w:i/>
          <w:iCs/>
          <w:lang w:val="fr-FR"/>
        </w:rPr>
        <w:t>.</w:t>
      </w:r>
      <w:r w:rsidR="00F650E9">
        <w:rPr>
          <w:i/>
          <w:iCs/>
          <w:lang w:val="fr-FR"/>
        </w:rPr>
        <w:t>  </w:t>
      </w:r>
      <w:r w:rsidRPr="00FC548B">
        <w:rPr>
          <w:i/>
          <w:iCs/>
          <w:lang w:val="fr-FR"/>
        </w:rPr>
        <w:t>Questions relatives à la préservation</w:t>
      </w:r>
      <w:r w:rsidRPr="00FC548B">
        <w:rPr>
          <w:lang w:val="fr-FR"/>
        </w:rPr>
        <w:t>, et le guide sur la sauvegarde du patrimoine, établi par Rina Elster Pantalony, Kenneth D.</w:t>
      </w:r>
      <w:r w:rsidR="00C52A40" w:rsidRPr="00FC548B">
        <w:rPr>
          <w:lang w:val="fr-FR"/>
        </w:rPr>
        <w:t> </w:t>
      </w:r>
      <w:r w:rsidRPr="00FC548B">
        <w:rPr>
          <w:lang w:val="fr-FR"/>
        </w:rPr>
        <w:t>Crews et David Sutton pour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trois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 (</w:t>
      </w:r>
      <w:r w:rsidR="009C4B29" w:rsidRPr="00FC548B">
        <w:rPr>
          <w:lang w:val="fr-FR"/>
        </w:rPr>
        <w:t>document</w:t>
      </w:r>
      <w:r w:rsidR="00D321D6">
        <w:rPr>
          <w:lang w:val="fr-FR"/>
        </w:rPr>
        <w:t> </w:t>
      </w:r>
      <w:r w:rsidR="009C4B29" w:rsidRPr="00FC548B">
        <w:rPr>
          <w:lang w:val="fr-FR"/>
        </w:rPr>
        <w:t>SC</w:t>
      </w:r>
      <w:r w:rsidRPr="00FC548B">
        <w:rPr>
          <w:lang w:val="fr-FR"/>
        </w:rPr>
        <w:t>CR/43/4).</w:t>
      </w:r>
    </w:p>
    <w:p w14:paraId="2C0758B8" w14:textId="53E70626" w:rsidR="009C4B29" w:rsidRPr="00FC548B" w:rsidRDefault="005A654C" w:rsidP="00D321D6">
      <w:pPr>
        <w:spacing w:after="220"/>
        <w:rPr>
          <w:lang w:val="fr-FR"/>
        </w:rPr>
      </w:pPr>
      <w:r w:rsidRPr="00FC548B">
        <w:rPr>
          <w:lang w:val="fr-FR"/>
        </w:rPr>
        <w:t>Par ailleurs, à la quarante</w:t>
      </w:r>
      <w:r w:rsidR="00D321D6">
        <w:rPr>
          <w:lang w:val="fr-FR"/>
        </w:rPr>
        <w:noBreakHyphen/>
      </w:r>
      <w:r w:rsidRPr="00FC548B">
        <w:rPr>
          <w:lang w:val="fr-FR"/>
        </w:rPr>
        <w:t>trois</w:t>
      </w:r>
      <w:r w:rsidR="009C4B29" w:rsidRPr="00FC548B">
        <w:rPr>
          <w:lang w:val="fr-FR"/>
        </w:rPr>
        <w:t>ième session du SCC</w:t>
      </w:r>
      <w:r w:rsidRPr="00FC548B">
        <w:rPr>
          <w:lang w:val="fr-FR"/>
        </w:rPr>
        <w:t>R, le Secrétariat a indiqué que des guides seraient établis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des bibliothèques, des musées et des services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archives, ainsi que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des établissements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enseignement et des instituts de recherc</w:t>
      </w:r>
      <w:r w:rsidR="00751261" w:rsidRPr="00FC548B">
        <w:rPr>
          <w:lang w:val="fr-FR"/>
        </w:rPr>
        <w:t>he.  Pa</w:t>
      </w:r>
      <w:r w:rsidRPr="00FC548B">
        <w:rPr>
          <w:lang w:val="fr-FR"/>
        </w:rPr>
        <w:t>r conséquent, nous sommes curieux de savoir si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achèvement du guide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accès concernant les institutions chargées du patrimoine culturel (bibliothèques, services d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>archives et musées) et le lancement du guide sur l</w:t>
      </w:r>
      <w:r w:rsidR="009C4B29" w:rsidRPr="00FC548B">
        <w:rPr>
          <w:lang w:val="fr-FR"/>
        </w:rPr>
        <w:t>’</w:t>
      </w:r>
      <w:r w:rsidRPr="00FC548B">
        <w:rPr>
          <w:lang w:val="fr-FR"/>
        </w:rPr>
        <w:t xml:space="preserve">accès concernant les établissements de recherche et les instituts de recherche, indiqués au </w:t>
      </w:r>
      <w:r w:rsidRPr="00FC548B">
        <w:rPr>
          <w:i/>
          <w:iCs/>
          <w:lang w:val="fr-FR"/>
        </w:rPr>
        <w:t>paragraphe II.</w:t>
      </w:r>
      <w:r w:rsidR="00DD0177">
        <w:rPr>
          <w:i/>
          <w:lang w:val="fr-FR"/>
        </w:rPr>
        <w:t>  </w:t>
      </w:r>
      <w:r w:rsidRPr="00FC548B">
        <w:rPr>
          <w:i/>
          <w:lang w:val="fr-FR"/>
        </w:rPr>
        <w:t>Questions relatives à l</w:t>
      </w:r>
      <w:r w:rsidR="009C4B29" w:rsidRPr="00FC548B">
        <w:rPr>
          <w:i/>
          <w:lang w:val="fr-FR"/>
        </w:rPr>
        <w:t>’</w:t>
      </w:r>
      <w:r w:rsidRPr="00FC548B">
        <w:rPr>
          <w:i/>
          <w:lang w:val="fr-FR"/>
        </w:rPr>
        <w:t>accès</w:t>
      </w:r>
      <w:r w:rsidRPr="00FC548B">
        <w:rPr>
          <w:lang w:val="fr-FR"/>
        </w:rPr>
        <w:t xml:space="preserve"> du plan, impliquent la poursuite de ces travaux ou autre chose.]</w:t>
      </w:r>
      <w:r w:rsidRPr="00FC548B">
        <w:rPr>
          <w:rStyle w:val="FootnoteReference"/>
          <w:szCs w:val="22"/>
          <w:lang w:val="fr-FR"/>
        </w:rPr>
        <w:footnoteReference w:id="25"/>
      </w:r>
    </w:p>
    <w:p w14:paraId="04FFDF82" w14:textId="0DE1D725" w:rsidR="000F5E56" w:rsidRPr="00FC548B" w:rsidRDefault="005A654C" w:rsidP="009C4B29">
      <w:pPr>
        <w:pStyle w:val="Endofdocument-Annex"/>
      </w:pPr>
      <w:r w:rsidRPr="00FC548B">
        <w:t>[Fin du document]</w:t>
      </w:r>
    </w:p>
    <w:sectPr w:rsidR="000F5E56" w:rsidRPr="00FC548B" w:rsidSect="009C4B29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3314" w14:textId="77777777" w:rsidR="005A654C" w:rsidRDefault="005A654C">
      <w:r>
        <w:separator/>
      </w:r>
    </w:p>
  </w:endnote>
  <w:endnote w:type="continuationSeparator" w:id="0">
    <w:p w14:paraId="30ACF25C" w14:textId="77777777" w:rsidR="005A654C" w:rsidRPr="009D30E6" w:rsidRDefault="005A65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5DA83AB" w14:textId="77777777" w:rsidR="005A654C" w:rsidRPr="009D30E6" w:rsidRDefault="005A65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97FFBA0" w14:textId="77777777" w:rsidR="005A654C" w:rsidRPr="009D30E6" w:rsidRDefault="005A65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3CD5" w14:textId="77777777" w:rsidR="005A654C" w:rsidRDefault="005A654C">
      <w:r>
        <w:separator/>
      </w:r>
    </w:p>
  </w:footnote>
  <w:footnote w:type="continuationSeparator" w:id="0">
    <w:p w14:paraId="5FCF32FB" w14:textId="77777777" w:rsidR="005A654C" w:rsidRDefault="005A654C" w:rsidP="007461F1">
      <w:r>
        <w:separator/>
      </w:r>
    </w:p>
    <w:p w14:paraId="2AE3A90B" w14:textId="77777777" w:rsidR="005A654C" w:rsidRPr="009D30E6" w:rsidRDefault="005A65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57AAE2" w14:textId="77777777" w:rsidR="005A654C" w:rsidRPr="009D30E6" w:rsidRDefault="005A65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E157981" w14:textId="45BBF230" w:rsidR="005A654C" w:rsidRPr="00DD0177" w:rsidRDefault="005A654C" w:rsidP="00DD0177">
      <w:pPr>
        <w:pStyle w:val="pf0"/>
        <w:tabs>
          <w:tab w:val="left" w:pos="567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D0177">
        <w:rPr>
          <w:rStyle w:val="FootnoteReference"/>
          <w:rFonts w:ascii="Arial" w:hAnsi="Arial" w:cs="Arial"/>
          <w:sz w:val="18"/>
          <w:szCs w:val="18"/>
        </w:rPr>
        <w:footnoteRef/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="00DD0177" w:rsidRPr="00DD0177">
        <w:rPr>
          <w:rFonts w:ascii="Arial" w:hAnsi="Arial" w:cs="Arial"/>
          <w:sz w:val="18"/>
          <w:szCs w:val="18"/>
        </w:rPr>
        <w:tab/>
      </w:r>
      <w:r w:rsidRPr="00DD0177">
        <w:rPr>
          <w:rFonts w:ascii="Arial" w:hAnsi="Arial" w:cs="Arial"/>
          <w:sz w:val="18"/>
          <w:szCs w:val="18"/>
        </w:rPr>
        <w:t>GROUPE B</w:t>
      </w:r>
      <w:r w:rsidR="00DD4166" w:rsidRPr="00DD0177">
        <w:rPr>
          <w:rFonts w:ascii="Arial" w:hAnsi="Arial" w:cs="Arial"/>
          <w:sz w:val="18"/>
          <w:szCs w:val="18"/>
        </w:rPr>
        <w:t> :</w:t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>Nous suggérons que le lancement du guide ait lieu lors d</w:t>
      </w:r>
      <w:r w:rsidR="00DD4166" w:rsidRPr="00DD0177">
        <w:rPr>
          <w:rStyle w:val="cf01"/>
          <w:rFonts w:ascii="Arial" w:hAnsi="Arial" w:cs="Arial"/>
        </w:rPr>
        <w:t>’</w:t>
      </w:r>
      <w:r w:rsidRPr="00DD0177">
        <w:rPr>
          <w:rStyle w:val="cf01"/>
          <w:rFonts w:ascii="Arial" w:hAnsi="Arial" w:cs="Arial"/>
        </w:rPr>
        <w:t>une réunion</w:t>
      </w:r>
      <w:r w:rsidR="00DD4166" w:rsidRPr="00DD0177">
        <w:rPr>
          <w:rStyle w:val="cf01"/>
          <w:rFonts w:ascii="Arial" w:hAnsi="Arial" w:cs="Arial"/>
        </w:rPr>
        <w:t xml:space="preserve"> du SCC</w:t>
      </w:r>
      <w:r w:rsidRPr="00DD0177">
        <w:rPr>
          <w:rStyle w:val="cf01"/>
          <w:rFonts w:ascii="Arial" w:hAnsi="Arial" w:cs="Arial"/>
        </w:rPr>
        <w:t>R afin d</w:t>
      </w:r>
      <w:r w:rsidR="00DD4166" w:rsidRPr="00DD0177">
        <w:rPr>
          <w:rStyle w:val="cf01"/>
          <w:rFonts w:ascii="Arial" w:hAnsi="Arial" w:cs="Arial"/>
        </w:rPr>
        <w:t>’</w:t>
      </w:r>
      <w:r w:rsidRPr="00DD0177">
        <w:rPr>
          <w:rStyle w:val="cf01"/>
          <w:rFonts w:ascii="Arial" w:hAnsi="Arial" w:cs="Arial"/>
        </w:rPr>
        <w:t>assurer une plus grande participation des États membres et des parties prenantes/observateurs, et de mettre en évidence le travail réalisé dans le cadre de ce projet.</w:t>
      </w:r>
    </w:p>
  </w:footnote>
  <w:footnote w:id="3">
    <w:p w14:paraId="78E3208D" w14:textId="5684F51B" w:rsidR="005A654C" w:rsidRPr="00DD0177" w:rsidRDefault="005A654C" w:rsidP="00DD0177">
      <w:pPr>
        <w:pStyle w:val="pf0"/>
        <w:tabs>
          <w:tab w:val="left" w:pos="567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D0177">
        <w:rPr>
          <w:rStyle w:val="FootnoteReference"/>
          <w:rFonts w:ascii="Arial" w:hAnsi="Arial" w:cs="Arial"/>
          <w:sz w:val="18"/>
          <w:szCs w:val="18"/>
        </w:rPr>
        <w:footnoteRef/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="00DD0177" w:rsidRPr="00DD0177">
        <w:rPr>
          <w:rFonts w:ascii="Arial" w:hAnsi="Arial" w:cs="Arial"/>
          <w:sz w:val="18"/>
          <w:szCs w:val="18"/>
        </w:rPr>
        <w:tab/>
      </w:r>
      <w:r w:rsidRPr="00DD0177">
        <w:rPr>
          <w:rFonts w:ascii="Arial" w:hAnsi="Arial" w:cs="Arial"/>
          <w:sz w:val="18"/>
          <w:szCs w:val="18"/>
        </w:rPr>
        <w:t>GROUPE B</w:t>
      </w:r>
      <w:r w:rsidR="00DD4166" w:rsidRPr="00DD0177">
        <w:rPr>
          <w:rFonts w:ascii="Arial" w:hAnsi="Arial" w:cs="Arial"/>
          <w:sz w:val="18"/>
          <w:szCs w:val="18"/>
        </w:rPr>
        <w:t> :</w:t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>Nous souhaiterions obtenir des éclaircissements sur les points suivants</w:t>
      </w:r>
      <w:r w:rsidR="00DD4166" w:rsidRPr="00DD0177">
        <w:rPr>
          <w:rStyle w:val="cf01"/>
          <w:rFonts w:ascii="Arial" w:hAnsi="Arial" w:cs="Arial"/>
        </w:rPr>
        <w:t> :</w:t>
      </w:r>
    </w:p>
    <w:p w14:paraId="3C64C77F" w14:textId="542FCB3A" w:rsidR="005A654C" w:rsidRPr="00DD0177" w:rsidRDefault="005A654C" w:rsidP="00DD0177">
      <w:pPr>
        <w:pStyle w:val="pf1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567"/>
        <w:rPr>
          <w:rFonts w:ascii="Arial" w:hAnsi="Arial" w:cs="Arial"/>
          <w:sz w:val="18"/>
          <w:szCs w:val="18"/>
        </w:rPr>
      </w:pPr>
      <w:r w:rsidRPr="00DD0177">
        <w:rPr>
          <w:rStyle w:val="cf01"/>
          <w:rFonts w:ascii="Arial" w:hAnsi="Arial" w:cs="Arial"/>
        </w:rPr>
        <w:t xml:space="preserve">Quel est le type ou la nature de ces </w:t>
      </w:r>
      <w:proofErr w:type="gramStart"/>
      <w:r w:rsidRPr="00DD0177">
        <w:rPr>
          <w:rStyle w:val="cf01"/>
          <w:rFonts w:ascii="Arial" w:hAnsi="Arial" w:cs="Arial"/>
        </w:rPr>
        <w:t>activités</w:t>
      </w:r>
      <w:r w:rsidR="00DD0177">
        <w:rPr>
          <w:rStyle w:val="cf01"/>
          <w:rFonts w:ascii="Arial" w:hAnsi="Arial" w:cs="Arial"/>
        </w:rPr>
        <w:t>?</w:t>
      </w:r>
      <w:proofErr w:type="gramEnd"/>
      <w:r w:rsidR="00C52A40" w:rsidRPr="00DD0177">
        <w:rPr>
          <w:rStyle w:val="cf01"/>
          <w:rFonts w:ascii="Arial" w:hAnsi="Arial" w:cs="Arial"/>
        </w:rPr>
        <w:t xml:space="preserve"> </w:t>
      </w:r>
      <w:r w:rsidR="00DD0177">
        <w:rPr>
          <w:rStyle w:val="cf01"/>
          <w:rFonts w:ascii="Arial" w:hAnsi="Arial" w:cs="Arial"/>
        </w:rPr>
        <w:t xml:space="preserve"> </w:t>
      </w:r>
      <w:r w:rsidRPr="00DD0177">
        <w:rPr>
          <w:rStyle w:val="cf01"/>
          <w:rFonts w:ascii="Arial" w:hAnsi="Arial" w:cs="Arial"/>
        </w:rPr>
        <w:t>(</w:t>
      </w:r>
      <w:proofErr w:type="gramStart"/>
      <w:r w:rsidRPr="00DD0177">
        <w:rPr>
          <w:rStyle w:val="cf01"/>
          <w:rFonts w:ascii="Arial" w:hAnsi="Arial" w:cs="Arial"/>
        </w:rPr>
        <w:t>exposé</w:t>
      </w:r>
      <w:proofErr w:type="gramEnd"/>
      <w:r w:rsidRPr="00DD0177">
        <w:rPr>
          <w:rStyle w:val="cf01"/>
          <w:rFonts w:ascii="Arial" w:hAnsi="Arial" w:cs="Arial"/>
        </w:rPr>
        <w:t>, débat d</w:t>
      </w:r>
      <w:r w:rsidR="00DD4166" w:rsidRPr="00DD0177">
        <w:rPr>
          <w:rStyle w:val="cf01"/>
          <w:rFonts w:ascii="Arial" w:hAnsi="Arial" w:cs="Arial"/>
        </w:rPr>
        <w:t>’</w:t>
      </w:r>
      <w:r w:rsidRPr="00DD0177">
        <w:rPr>
          <w:rStyle w:val="cf01"/>
          <w:rFonts w:ascii="Arial" w:hAnsi="Arial" w:cs="Arial"/>
        </w:rPr>
        <w:t>experts, etc.)</w:t>
      </w:r>
    </w:p>
    <w:p w14:paraId="6DD3E8E4" w14:textId="77777777" w:rsidR="00DD4166" w:rsidRPr="00DD0177" w:rsidRDefault="005A654C" w:rsidP="00DD0177">
      <w:pPr>
        <w:pStyle w:val="pf1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567"/>
        <w:rPr>
          <w:rStyle w:val="cf01"/>
          <w:rFonts w:ascii="Arial" w:hAnsi="Arial" w:cs="Arial"/>
        </w:rPr>
      </w:pPr>
      <w:r w:rsidRPr="00DD0177">
        <w:rPr>
          <w:rStyle w:val="cf01"/>
          <w:rFonts w:ascii="Arial" w:hAnsi="Arial" w:cs="Arial"/>
        </w:rPr>
        <w:t>Ces activités seront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 xml:space="preserve">elles disponibles sous une forme </w:t>
      </w:r>
      <w:proofErr w:type="gramStart"/>
      <w:r w:rsidRPr="00DD0177">
        <w:rPr>
          <w:rStyle w:val="cf01"/>
          <w:rFonts w:ascii="Arial" w:hAnsi="Arial" w:cs="Arial"/>
        </w:rPr>
        <w:t>hybride?</w:t>
      </w:r>
      <w:proofErr w:type="gramEnd"/>
    </w:p>
    <w:p w14:paraId="79586599" w14:textId="7FF707F3" w:rsidR="005A654C" w:rsidRPr="00DD0177" w:rsidRDefault="005A654C" w:rsidP="00DD0177">
      <w:pPr>
        <w:pStyle w:val="pf1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567"/>
        <w:rPr>
          <w:rFonts w:ascii="Arial" w:hAnsi="Arial" w:cs="Arial"/>
          <w:sz w:val="18"/>
          <w:szCs w:val="18"/>
        </w:rPr>
      </w:pPr>
      <w:r w:rsidRPr="00DD0177">
        <w:rPr>
          <w:rStyle w:val="cf01"/>
          <w:rFonts w:ascii="Arial" w:hAnsi="Arial" w:cs="Arial"/>
        </w:rPr>
        <w:t>Combien d</w:t>
      </w:r>
      <w:r w:rsidR="00DD4166" w:rsidRPr="00DD0177">
        <w:rPr>
          <w:rStyle w:val="cf01"/>
          <w:rFonts w:ascii="Arial" w:hAnsi="Arial" w:cs="Arial"/>
        </w:rPr>
        <w:t>’</w:t>
      </w:r>
      <w:r w:rsidRPr="00DD0177">
        <w:rPr>
          <w:rStyle w:val="cf01"/>
          <w:rFonts w:ascii="Arial" w:hAnsi="Arial" w:cs="Arial"/>
        </w:rPr>
        <w:t>activités le Secrétariat prévoit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il pour la période 2024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 xml:space="preserve">2025, et dans quelles </w:t>
      </w:r>
      <w:proofErr w:type="gramStart"/>
      <w:r w:rsidRPr="00DD0177">
        <w:rPr>
          <w:rStyle w:val="cf01"/>
          <w:rFonts w:ascii="Arial" w:hAnsi="Arial" w:cs="Arial"/>
        </w:rPr>
        <w:t>régions?</w:t>
      </w:r>
      <w:proofErr w:type="gramEnd"/>
    </w:p>
    <w:p w14:paraId="4F3E8B27" w14:textId="43619D19" w:rsidR="005A654C" w:rsidRPr="00DD0177" w:rsidRDefault="005A654C" w:rsidP="00DD0177">
      <w:pPr>
        <w:pStyle w:val="pf1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567"/>
        <w:rPr>
          <w:rFonts w:ascii="Arial" w:hAnsi="Arial" w:cs="Arial"/>
          <w:sz w:val="18"/>
          <w:szCs w:val="18"/>
        </w:rPr>
      </w:pPr>
      <w:r w:rsidRPr="00DD0177">
        <w:rPr>
          <w:rStyle w:val="cf01"/>
          <w:rFonts w:ascii="Arial" w:hAnsi="Arial" w:cs="Arial"/>
        </w:rPr>
        <w:t>Le Secrétariat décidera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t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il des régions à couvrir ou cela se fera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t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 xml:space="preserve">il à la demande des États membres de la </w:t>
      </w:r>
      <w:proofErr w:type="gramStart"/>
      <w:r w:rsidRPr="00DD0177">
        <w:rPr>
          <w:rStyle w:val="cf01"/>
          <w:rFonts w:ascii="Arial" w:hAnsi="Arial" w:cs="Arial"/>
        </w:rPr>
        <w:t>région?</w:t>
      </w:r>
      <w:proofErr w:type="gramEnd"/>
    </w:p>
    <w:p w14:paraId="2D6D4431" w14:textId="0268CB81" w:rsidR="005A654C" w:rsidRPr="00DD0177" w:rsidRDefault="005A654C" w:rsidP="00DD0177">
      <w:pPr>
        <w:pStyle w:val="pf1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567"/>
        <w:rPr>
          <w:rFonts w:ascii="Arial" w:hAnsi="Arial" w:cs="Arial"/>
          <w:sz w:val="18"/>
          <w:szCs w:val="18"/>
        </w:rPr>
      </w:pPr>
      <w:r w:rsidRPr="00DD0177">
        <w:rPr>
          <w:rStyle w:val="cf01"/>
          <w:rFonts w:ascii="Arial" w:hAnsi="Arial" w:cs="Arial"/>
        </w:rPr>
        <w:t xml:space="preserve">Les États membres </w:t>
      </w:r>
      <w:proofErr w:type="spellStart"/>
      <w:r w:rsidRPr="00DD0177">
        <w:rPr>
          <w:rStyle w:val="cf01"/>
          <w:rFonts w:ascii="Arial" w:hAnsi="Arial" w:cs="Arial"/>
        </w:rPr>
        <w:t>seront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ils</w:t>
      </w:r>
      <w:proofErr w:type="spellEnd"/>
      <w:r w:rsidRPr="00DD0177">
        <w:rPr>
          <w:rStyle w:val="cf01"/>
          <w:rFonts w:ascii="Arial" w:hAnsi="Arial" w:cs="Arial"/>
        </w:rPr>
        <w:t xml:space="preserve"> tous invités à participer à ces activités dans chaque </w:t>
      </w:r>
      <w:proofErr w:type="gramStart"/>
      <w:r w:rsidRPr="00DD0177">
        <w:rPr>
          <w:rStyle w:val="cf01"/>
          <w:rFonts w:ascii="Arial" w:hAnsi="Arial" w:cs="Arial"/>
        </w:rPr>
        <w:t>région?</w:t>
      </w:r>
      <w:proofErr w:type="gramEnd"/>
    </w:p>
  </w:footnote>
  <w:footnote w:id="4">
    <w:p w14:paraId="53DDCA4A" w14:textId="014BF8D3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5">
    <w:p w14:paraId="7EA66573" w14:textId="7F879769" w:rsidR="005A654C" w:rsidRPr="00DD0177" w:rsidRDefault="005A654C" w:rsidP="00DD0177">
      <w:pPr>
        <w:pStyle w:val="pf0"/>
        <w:tabs>
          <w:tab w:val="left" w:pos="567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D0177">
        <w:rPr>
          <w:rStyle w:val="FootnoteReference"/>
          <w:rFonts w:ascii="Arial" w:hAnsi="Arial" w:cs="Arial"/>
          <w:sz w:val="18"/>
          <w:szCs w:val="18"/>
        </w:rPr>
        <w:footnoteRef/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="00DD0177">
        <w:rPr>
          <w:rFonts w:ascii="Arial" w:hAnsi="Arial" w:cs="Arial"/>
          <w:sz w:val="18"/>
          <w:szCs w:val="18"/>
        </w:rPr>
        <w:tab/>
      </w:r>
      <w:r w:rsidRPr="00DD0177">
        <w:rPr>
          <w:rFonts w:ascii="Arial" w:hAnsi="Arial" w:cs="Arial"/>
          <w:sz w:val="18"/>
          <w:szCs w:val="18"/>
        </w:rPr>
        <w:t>GROUPE B</w:t>
      </w:r>
      <w:r w:rsidR="00DD4166" w:rsidRPr="00DD0177">
        <w:rPr>
          <w:rFonts w:ascii="Arial" w:hAnsi="Arial" w:cs="Arial"/>
          <w:sz w:val="18"/>
          <w:szCs w:val="18"/>
        </w:rPr>
        <w:t> :</w:t>
      </w:r>
      <w:r w:rsidRPr="00DD0177">
        <w:rPr>
          <w:rFonts w:ascii="Arial" w:hAnsi="Arial" w:cs="Arial"/>
          <w:sz w:val="18"/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>De même que pour le guide sur la préservation (SCCR/43/4), nous apprécierions que le Secrétariat donne la possibilité aux États membres et aux parties prenantes de formuler des observations sur ce guide également.</w:t>
      </w:r>
    </w:p>
  </w:footnote>
  <w:footnote w:id="6">
    <w:p w14:paraId="508EF48C" w14:textId="4A0EABC1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7">
    <w:p w14:paraId="17487DCC" w14:textId="39682CF2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4166" w:rsidRPr="00DD0177">
        <w:rPr>
          <w:szCs w:val="18"/>
        </w:rPr>
        <w:t> :</w:t>
      </w:r>
      <w:r w:rsidRPr="00DD0177">
        <w:rPr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 xml:space="preserve">Même suggestion que pour le </w:t>
      </w:r>
      <w:r w:rsidR="00DD4166" w:rsidRPr="00DD0177">
        <w:rPr>
          <w:rStyle w:val="cf01"/>
          <w:rFonts w:ascii="Arial" w:hAnsi="Arial" w:cs="Arial"/>
        </w:rPr>
        <w:t>point I</w:t>
      </w:r>
      <w:r w:rsidRPr="00DD0177">
        <w:rPr>
          <w:rStyle w:val="cf01"/>
          <w:rFonts w:ascii="Arial" w:hAnsi="Arial" w:cs="Arial"/>
        </w:rPr>
        <w:t>.</w:t>
      </w:r>
      <w:r w:rsidR="00C52A40" w:rsidRPr="00DD0177">
        <w:rPr>
          <w:rStyle w:val="cf01"/>
          <w:rFonts w:ascii="Arial" w:hAnsi="Arial" w:cs="Arial"/>
        </w:rPr>
        <w:t> </w:t>
      </w:r>
      <w:r w:rsidRPr="00DD0177">
        <w:rPr>
          <w:rStyle w:val="cf01"/>
          <w:rFonts w:ascii="Arial" w:hAnsi="Arial" w:cs="Arial"/>
        </w:rPr>
        <w:t>a) ci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dessus</w:t>
      </w:r>
      <w:r w:rsidR="00DD4166" w:rsidRPr="00DD0177">
        <w:rPr>
          <w:rStyle w:val="cf01"/>
          <w:rFonts w:ascii="Arial" w:hAnsi="Arial" w:cs="Arial"/>
        </w:rPr>
        <w:t> :</w:t>
      </w:r>
      <w:r w:rsidRPr="00DD0177">
        <w:rPr>
          <w:rStyle w:val="cf01"/>
          <w:rFonts w:ascii="Arial" w:hAnsi="Arial" w:cs="Arial"/>
        </w:rPr>
        <w:t xml:space="preserve"> prévoir un lancement du guide durant une réunion</w:t>
      </w:r>
      <w:r w:rsidR="00DD4166" w:rsidRPr="00DD0177">
        <w:rPr>
          <w:rStyle w:val="cf01"/>
          <w:rFonts w:ascii="Arial" w:hAnsi="Arial" w:cs="Arial"/>
        </w:rPr>
        <w:t xml:space="preserve"> du SCC</w:t>
      </w:r>
      <w:r w:rsidRPr="00DD0177">
        <w:rPr>
          <w:rStyle w:val="cf01"/>
          <w:rFonts w:ascii="Arial" w:hAnsi="Arial" w:cs="Arial"/>
        </w:rPr>
        <w:t>R.</w:t>
      </w:r>
    </w:p>
  </w:footnote>
  <w:footnote w:id="8">
    <w:p w14:paraId="530EB3E7" w14:textId="145C80E2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4166" w:rsidRPr="00DD0177">
        <w:rPr>
          <w:szCs w:val="18"/>
        </w:rPr>
        <w:t> :</w:t>
      </w:r>
      <w:r w:rsidRPr="00DD0177">
        <w:rPr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 xml:space="preserve">Même observation que pour le </w:t>
      </w:r>
      <w:r w:rsidR="00DD4166" w:rsidRPr="00DD0177">
        <w:rPr>
          <w:rStyle w:val="cf01"/>
          <w:rFonts w:ascii="Arial" w:hAnsi="Arial" w:cs="Arial"/>
        </w:rPr>
        <w:t>point I</w:t>
      </w:r>
      <w:r w:rsidRPr="00DD0177">
        <w:rPr>
          <w:rStyle w:val="cf01"/>
          <w:rFonts w:ascii="Arial" w:hAnsi="Arial" w:cs="Arial"/>
        </w:rPr>
        <w:t>.</w:t>
      </w:r>
      <w:r w:rsidR="00C52A40" w:rsidRPr="00DD0177">
        <w:rPr>
          <w:rStyle w:val="cf01"/>
          <w:rFonts w:ascii="Arial" w:hAnsi="Arial" w:cs="Arial"/>
        </w:rPr>
        <w:t> </w:t>
      </w:r>
      <w:r w:rsidRPr="00DD0177">
        <w:rPr>
          <w:rStyle w:val="cf01"/>
          <w:rFonts w:ascii="Arial" w:hAnsi="Arial" w:cs="Arial"/>
        </w:rPr>
        <w:t>b) ci</w:t>
      </w:r>
      <w:r w:rsidR="00DD4166" w:rsidRPr="00DD0177">
        <w:rPr>
          <w:rStyle w:val="cf01"/>
          <w:rFonts w:ascii="Arial" w:hAnsi="Arial" w:cs="Arial"/>
        </w:rPr>
        <w:t>-</w:t>
      </w:r>
      <w:r w:rsidRPr="00DD0177">
        <w:rPr>
          <w:rStyle w:val="cf01"/>
          <w:rFonts w:ascii="Arial" w:hAnsi="Arial" w:cs="Arial"/>
        </w:rPr>
        <w:t>dessus.</w:t>
      </w:r>
    </w:p>
  </w:footnote>
  <w:footnote w:id="9">
    <w:p w14:paraId="761898FB" w14:textId="2FB93E24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4166" w:rsidRPr="00DD0177">
        <w:rPr>
          <w:szCs w:val="18"/>
        </w:rPr>
        <w:t> :</w:t>
      </w:r>
      <w:r w:rsidRPr="00DD0177">
        <w:rPr>
          <w:szCs w:val="18"/>
        </w:rPr>
        <w:t xml:space="preserve"> Nous aimerions savoir comment le Secrétariat prévoit de mener ces activités </w:t>
      </w:r>
      <w:r w:rsidR="00DD4166" w:rsidRPr="00DD0177">
        <w:rPr>
          <w:szCs w:val="18"/>
        </w:rPr>
        <w:t>en 2024</w:t>
      </w:r>
      <w:r w:rsidRPr="00DD0177">
        <w:rPr>
          <w:szCs w:val="18"/>
        </w:rPr>
        <w:t xml:space="preserve"> sur un guide qui devrait être achevé </w:t>
      </w:r>
      <w:r w:rsidR="00DD4166" w:rsidRPr="00DD0177">
        <w:rPr>
          <w:szCs w:val="18"/>
        </w:rPr>
        <w:t>en 2025</w:t>
      </w:r>
      <w:r w:rsidRPr="00DD0177">
        <w:rPr>
          <w:szCs w:val="18"/>
        </w:rPr>
        <w:t xml:space="preserve"> et lancé à la fin de l</w:t>
      </w:r>
      <w:r w:rsidR="00DD4166" w:rsidRPr="00DD0177">
        <w:rPr>
          <w:szCs w:val="18"/>
        </w:rPr>
        <w:t>’</w:t>
      </w:r>
      <w:r w:rsidRPr="00DD0177">
        <w:rPr>
          <w:szCs w:val="18"/>
        </w:rPr>
        <w:t>année </w:t>
      </w:r>
      <w:proofErr w:type="gramStart"/>
      <w:r w:rsidRPr="00DD0177">
        <w:rPr>
          <w:szCs w:val="18"/>
        </w:rPr>
        <w:t>2025?</w:t>
      </w:r>
      <w:proofErr w:type="gramEnd"/>
    </w:p>
  </w:footnote>
  <w:footnote w:id="10">
    <w:p w14:paraId="28B1BCE3" w14:textId="208A5C15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1">
    <w:p w14:paraId="45A812ED" w14:textId="25093B45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2">
    <w:p w14:paraId="5BEAEC5B" w14:textId="2B3497B7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GRULAC</w:t>
      </w:r>
      <w:r w:rsidR="00DD0177">
        <w:rPr>
          <w:szCs w:val="18"/>
        </w:rPr>
        <w:t>.</w:t>
      </w:r>
    </w:p>
  </w:footnote>
  <w:footnote w:id="13">
    <w:p w14:paraId="5E7A4C3A" w14:textId="4A657D2A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4166" w:rsidRPr="00DD0177">
        <w:rPr>
          <w:szCs w:val="18"/>
        </w:rPr>
        <w:t> :</w:t>
      </w:r>
      <w:r w:rsidRPr="00DD0177">
        <w:rPr>
          <w:szCs w:val="18"/>
        </w:rPr>
        <w:t xml:space="preserve"> </w:t>
      </w:r>
      <w:r w:rsidRPr="00DD0177">
        <w:rPr>
          <w:rStyle w:val="cf01"/>
          <w:rFonts w:ascii="Arial" w:hAnsi="Arial" w:cs="Arial"/>
        </w:rPr>
        <w:t>De même que pour la récente étude exploratoire (SCCR/44/4), nous apprécierions que le Secrétariat donne la possibilité aux États membres et aux parties prenantes de formuler des observations sur cette étude.</w:t>
      </w:r>
    </w:p>
  </w:footnote>
  <w:footnote w:id="14">
    <w:p w14:paraId="14CB3FDD" w14:textId="1D13ECC4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5">
    <w:p w14:paraId="545DBF40" w14:textId="564C4E43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4166" w:rsidRPr="00DD0177">
        <w:rPr>
          <w:szCs w:val="18"/>
        </w:rPr>
        <w:t> :</w:t>
      </w:r>
      <w:r w:rsidRPr="00DD0177">
        <w:rPr>
          <w:szCs w:val="18"/>
        </w:rPr>
        <w:t xml:space="preserve"> Nous souhaiterions obtenir des éclaircissements sur les points suivants</w:t>
      </w:r>
      <w:r w:rsidR="00DD4166" w:rsidRPr="00DD0177">
        <w:rPr>
          <w:szCs w:val="18"/>
        </w:rPr>
        <w:t> :</w:t>
      </w:r>
    </w:p>
    <w:p w14:paraId="2B7EDC68" w14:textId="5A95561F" w:rsidR="005A654C" w:rsidRPr="00DD0177" w:rsidRDefault="005A654C" w:rsidP="00DD0177">
      <w:pPr>
        <w:pStyle w:val="FootnoteText"/>
        <w:tabs>
          <w:tab w:val="left" w:pos="1134"/>
        </w:tabs>
        <w:ind w:left="1134" w:hanging="567"/>
        <w:rPr>
          <w:szCs w:val="18"/>
        </w:rPr>
      </w:pPr>
      <w:r w:rsidRPr="00DD0177">
        <w:rPr>
          <w:rFonts w:ascii="Cambria Math" w:hAnsi="Cambria Math" w:cs="Cambria Math"/>
          <w:szCs w:val="18"/>
        </w:rPr>
        <w:t>⦁</w:t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 xml:space="preserve">Qui présentera cet </w:t>
      </w:r>
      <w:proofErr w:type="gramStart"/>
      <w:r w:rsidRPr="00DD0177">
        <w:rPr>
          <w:szCs w:val="18"/>
        </w:rPr>
        <w:t>exposé?</w:t>
      </w:r>
      <w:proofErr w:type="gramEnd"/>
    </w:p>
    <w:p w14:paraId="3CDA59AC" w14:textId="2E15C831" w:rsidR="005A654C" w:rsidRPr="00DD0177" w:rsidRDefault="005A654C" w:rsidP="00DD0177">
      <w:pPr>
        <w:pStyle w:val="FootnoteText"/>
        <w:tabs>
          <w:tab w:val="left" w:pos="1134"/>
        </w:tabs>
        <w:ind w:left="1134" w:hanging="567"/>
        <w:rPr>
          <w:szCs w:val="18"/>
        </w:rPr>
      </w:pPr>
      <w:r w:rsidRPr="00DD0177">
        <w:rPr>
          <w:rFonts w:ascii="Cambria Math" w:hAnsi="Cambria Math" w:cs="Cambria Math"/>
          <w:szCs w:val="18"/>
        </w:rPr>
        <w:t>⦁</w:t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Quel est le type ou la nature de ces “moyens existants</w:t>
      </w:r>
      <w:proofErr w:type="gramStart"/>
      <w:r w:rsidRPr="00DD0177">
        <w:rPr>
          <w:szCs w:val="18"/>
        </w:rPr>
        <w:t>”?</w:t>
      </w:r>
      <w:proofErr w:type="gramEnd"/>
      <w:r w:rsidRPr="00DD0177">
        <w:rPr>
          <w:szCs w:val="18"/>
        </w:rPr>
        <w:t xml:space="preserve"> </w:t>
      </w:r>
      <w:r w:rsidR="00C52A40" w:rsidRPr="00DD0177">
        <w:rPr>
          <w:szCs w:val="18"/>
        </w:rPr>
        <w:t xml:space="preserve"> </w:t>
      </w:r>
      <w:r w:rsidRPr="00DD0177">
        <w:rPr>
          <w:szCs w:val="18"/>
        </w:rPr>
        <w:t>(</w:t>
      </w:r>
      <w:proofErr w:type="gramStart"/>
      <w:r w:rsidRPr="00DD0177">
        <w:rPr>
          <w:szCs w:val="18"/>
        </w:rPr>
        <w:t>exposé</w:t>
      </w:r>
      <w:proofErr w:type="gramEnd"/>
      <w:r w:rsidRPr="00DD0177">
        <w:rPr>
          <w:szCs w:val="18"/>
        </w:rPr>
        <w:t>, débat d</w:t>
      </w:r>
      <w:r w:rsidR="00DD4166" w:rsidRPr="00DD0177">
        <w:rPr>
          <w:szCs w:val="18"/>
        </w:rPr>
        <w:t>’</w:t>
      </w:r>
      <w:r w:rsidRPr="00DD0177">
        <w:rPr>
          <w:szCs w:val="18"/>
        </w:rPr>
        <w:t>experts, etc.)</w:t>
      </w:r>
    </w:p>
  </w:footnote>
  <w:footnote w:id="16">
    <w:p w14:paraId="1FAEF7CC" w14:textId="2602F71D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B33A91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7">
    <w:p w14:paraId="16651E8F" w14:textId="301D8788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8">
    <w:p w14:paraId="4052186F" w14:textId="2E63777D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19">
    <w:p w14:paraId="288034EA" w14:textId="45BE65AB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20">
    <w:p w14:paraId="597ABFA3" w14:textId="5D15E6B1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21">
    <w:p w14:paraId="5516A6C2" w14:textId="2DE452A1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22">
    <w:p w14:paraId="61083272" w14:textId="375C4B43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</w:t>
      </w:r>
      <w:r w:rsidR="00DD0177">
        <w:rPr>
          <w:szCs w:val="18"/>
        </w:rPr>
        <w:t> </w:t>
      </w:r>
      <w:r w:rsidRPr="00DD0177">
        <w:rPr>
          <w:szCs w:val="18"/>
        </w:rPr>
        <w:t>B</w:t>
      </w:r>
      <w:r w:rsidR="00DD0177">
        <w:rPr>
          <w:szCs w:val="18"/>
        </w:rPr>
        <w:t>.</w:t>
      </w:r>
    </w:p>
  </w:footnote>
  <w:footnote w:id="23">
    <w:p w14:paraId="128434AE" w14:textId="68B4521C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GROUPE DES PAYS AFRICAINS</w:t>
      </w:r>
      <w:r w:rsidR="00DD0177">
        <w:rPr>
          <w:szCs w:val="18"/>
        </w:rPr>
        <w:t>.</w:t>
      </w:r>
    </w:p>
  </w:footnote>
  <w:footnote w:id="24">
    <w:p w14:paraId="74E5B4F3" w14:textId="39BCEBC1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P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IRAN</w:t>
      </w:r>
      <w:r w:rsidR="00DD0177">
        <w:rPr>
          <w:szCs w:val="18"/>
        </w:rPr>
        <w:t>.</w:t>
      </w:r>
    </w:p>
  </w:footnote>
  <w:footnote w:id="25">
    <w:p w14:paraId="2B5BC1E5" w14:textId="1FAD2930" w:rsidR="005A654C" w:rsidRPr="00DD0177" w:rsidRDefault="005A654C" w:rsidP="00DD0177">
      <w:pPr>
        <w:pStyle w:val="FootnoteText"/>
        <w:tabs>
          <w:tab w:val="left" w:pos="567"/>
        </w:tabs>
        <w:rPr>
          <w:szCs w:val="18"/>
        </w:rPr>
      </w:pPr>
      <w:r w:rsidRPr="00DD0177">
        <w:rPr>
          <w:rStyle w:val="FootnoteReference"/>
          <w:szCs w:val="18"/>
        </w:rPr>
        <w:footnoteRef/>
      </w:r>
      <w:r w:rsidR="00DD0177">
        <w:rPr>
          <w:szCs w:val="18"/>
        </w:rPr>
        <w:t xml:space="preserve"> </w:t>
      </w:r>
      <w:r w:rsidR="00DD0177">
        <w:rPr>
          <w:szCs w:val="18"/>
        </w:rPr>
        <w:tab/>
      </w:r>
      <w:r w:rsidRPr="00DD0177">
        <w:rPr>
          <w:szCs w:val="18"/>
        </w:rPr>
        <w:t>FÉDÉRATION DE RUSSIE</w:t>
      </w:r>
      <w:r w:rsidR="00DD0177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BBF2" w14:textId="77777777" w:rsidR="00F16975" w:rsidRDefault="005A654C" w:rsidP="00477D6B">
    <w:pPr>
      <w:jc w:val="right"/>
    </w:pPr>
    <w:bookmarkStart w:id="5" w:name="Code2"/>
    <w:bookmarkEnd w:id="5"/>
    <w:r>
      <w:t>SCCR/45/10 Prov.</w:t>
    </w:r>
  </w:p>
  <w:p w14:paraId="5BEB808E" w14:textId="759BA853" w:rsidR="004F4E31" w:rsidRDefault="00F16975" w:rsidP="009C4B29">
    <w:pPr>
      <w:spacing w:after="480"/>
      <w:jc w:val="right"/>
    </w:pPr>
    <w:proofErr w:type="gramStart"/>
    <w:r>
      <w:t>page</w:t>
    </w:r>
    <w:proofErr w:type="gramEnd"/>
    <w:r w:rsidR="009C4B2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BF29B4"/>
    <w:multiLevelType w:val="multilevel"/>
    <w:tmpl w:val="34B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  <w:num w:numId="7" w16cid:durableId="118948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4C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67C56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A654C"/>
    <w:rsid w:val="005E6516"/>
    <w:rsid w:val="00605827"/>
    <w:rsid w:val="00676936"/>
    <w:rsid w:val="0068487B"/>
    <w:rsid w:val="006B0DB5"/>
    <w:rsid w:val="006E4243"/>
    <w:rsid w:val="007461F1"/>
    <w:rsid w:val="00751261"/>
    <w:rsid w:val="0076654B"/>
    <w:rsid w:val="007D6961"/>
    <w:rsid w:val="007F07CB"/>
    <w:rsid w:val="00810CEF"/>
    <w:rsid w:val="0081208D"/>
    <w:rsid w:val="00842A13"/>
    <w:rsid w:val="008B2CC1"/>
    <w:rsid w:val="008E7930"/>
    <w:rsid w:val="0090731E"/>
    <w:rsid w:val="00915C91"/>
    <w:rsid w:val="00915CC0"/>
    <w:rsid w:val="009463E5"/>
    <w:rsid w:val="00966A22"/>
    <w:rsid w:val="00974CD6"/>
    <w:rsid w:val="00975481"/>
    <w:rsid w:val="009C4B29"/>
    <w:rsid w:val="009D30E6"/>
    <w:rsid w:val="009E3F6F"/>
    <w:rsid w:val="009F499F"/>
    <w:rsid w:val="00A02BD3"/>
    <w:rsid w:val="00A23B1C"/>
    <w:rsid w:val="00AC0AE4"/>
    <w:rsid w:val="00AD61DB"/>
    <w:rsid w:val="00B33A91"/>
    <w:rsid w:val="00B87BCF"/>
    <w:rsid w:val="00BA62D4"/>
    <w:rsid w:val="00BC5F87"/>
    <w:rsid w:val="00C40E15"/>
    <w:rsid w:val="00C52A40"/>
    <w:rsid w:val="00C664C8"/>
    <w:rsid w:val="00C76A79"/>
    <w:rsid w:val="00CA15F5"/>
    <w:rsid w:val="00CF0460"/>
    <w:rsid w:val="00D321D6"/>
    <w:rsid w:val="00D45252"/>
    <w:rsid w:val="00D55C00"/>
    <w:rsid w:val="00D71B4D"/>
    <w:rsid w:val="00D75C1E"/>
    <w:rsid w:val="00D93D55"/>
    <w:rsid w:val="00DB0349"/>
    <w:rsid w:val="00DC4A0D"/>
    <w:rsid w:val="00DD0177"/>
    <w:rsid w:val="00DD4166"/>
    <w:rsid w:val="00DD6A16"/>
    <w:rsid w:val="00E0091A"/>
    <w:rsid w:val="00E203AA"/>
    <w:rsid w:val="00E527A5"/>
    <w:rsid w:val="00E76456"/>
    <w:rsid w:val="00E97651"/>
    <w:rsid w:val="00EE71CB"/>
    <w:rsid w:val="00F16975"/>
    <w:rsid w:val="00F650E9"/>
    <w:rsid w:val="00F66152"/>
    <w:rsid w:val="00FC548B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DA69"/>
  <w15:docId w15:val="{FD56E50F-3CA6-4517-A67B-B4535D35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A654C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Default">
    <w:name w:val="Default"/>
    <w:uiPriority w:val="99"/>
    <w:rsid w:val="005A654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 w:eastAsia="en-US"/>
    </w:rPr>
  </w:style>
  <w:style w:type="paragraph" w:customStyle="1" w:styleId="Endofdocument">
    <w:name w:val="End of document"/>
    <w:basedOn w:val="Normal"/>
    <w:rsid w:val="005A654C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65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A654C"/>
    <w:rPr>
      <w:vertAlign w:val="superscript"/>
    </w:rPr>
  </w:style>
  <w:style w:type="paragraph" w:customStyle="1" w:styleId="pf0">
    <w:name w:val="pf0"/>
    <w:basedOn w:val="Normal"/>
    <w:rsid w:val="005A6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character" w:customStyle="1" w:styleId="cf01">
    <w:name w:val="cf01"/>
    <w:basedOn w:val="DefaultParagraphFont"/>
    <w:rsid w:val="005A654C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5A6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character" w:styleId="Hyperlink">
    <w:name w:val="Hyperlink"/>
    <w:basedOn w:val="DefaultParagraphFont"/>
    <w:semiHidden/>
    <w:unhideWhenUsed/>
    <w:rsid w:val="00751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(F)</Template>
  <TotalTime>1</TotalTime>
  <Pages>6</Pages>
  <Words>2101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SCCR/45/10 Prov.</vt:lpstr>
    </vt:vector>
  </TitlesOfParts>
  <Company>WIPO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SCCR/45/10 Prov.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2024-04-30T09:58:00Z</dcterms:created>
  <dcterms:modified xsi:type="dcterms:W3CDTF">2024-04-30T09:58:00Z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