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B8F8" w14:textId="77777777" w:rsidR="008B2CC1" w:rsidRPr="00B953FA" w:rsidRDefault="00DB0349" w:rsidP="002D7EE2">
      <w:pPr>
        <w:spacing w:after="120"/>
        <w:jc w:val="right"/>
        <w:rPr>
          <w:lang w:val="fr-FR"/>
        </w:rPr>
      </w:pPr>
      <w:r w:rsidRPr="00B953FA">
        <w:rPr>
          <w:noProof/>
          <w:lang w:val="fr-FR" w:eastAsia="en-US"/>
        </w:rPr>
        <w:drawing>
          <wp:inline distT="0" distB="0" distL="0" distR="0" wp14:anchorId="0E979926" wp14:editId="68DAF69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B953FA">
        <w:rPr>
          <w:rFonts w:ascii="Arial Black" w:hAnsi="Arial Black"/>
          <w:caps/>
          <w:noProof/>
          <w:sz w:val="15"/>
          <w:szCs w:val="15"/>
          <w:lang w:val="fr-FR" w:eastAsia="en-US"/>
        </w:rPr>
        <mc:AlternateContent>
          <mc:Choice Requires="wps">
            <w:drawing>
              <wp:inline distT="0" distB="0" distL="0" distR="0" wp14:anchorId="3333942B" wp14:editId="5CC7F2C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6B74C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26E0D62" w14:textId="32E25996" w:rsidR="008B2CC1" w:rsidRPr="00B953FA" w:rsidRDefault="00456117" w:rsidP="002D7EE2">
      <w:pPr>
        <w:jc w:val="right"/>
        <w:rPr>
          <w:rFonts w:ascii="Arial Black" w:hAnsi="Arial Black"/>
          <w:caps/>
          <w:sz w:val="15"/>
          <w:szCs w:val="15"/>
          <w:lang w:val="fr-FR"/>
        </w:rPr>
      </w:pPr>
      <w:r w:rsidRPr="00B953FA">
        <w:rPr>
          <w:rFonts w:ascii="Arial Black" w:hAnsi="Arial Black"/>
          <w:caps/>
          <w:sz w:val="15"/>
          <w:szCs w:val="15"/>
          <w:lang w:val="fr-FR"/>
        </w:rPr>
        <w:t>SCCR/43</w:t>
      </w:r>
      <w:r w:rsidR="00D55C00" w:rsidRPr="00B953FA">
        <w:rPr>
          <w:rFonts w:ascii="Arial Black" w:hAnsi="Arial Black"/>
          <w:caps/>
          <w:sz w:val="15"/>
          <w:szCs w:val="15"/>
          <w:lang w:val="fr-FR"/>
        </w:rPr>
        <w:t>/</w:t>
      </w:r>
      <w:bookmarkStart w:id="0" w:name="Code"/>
      <w:bookmarkEnd w:id="0"/>
      <w:r w:rsidR="003B13E2" w:rsidRPr="00B953FA">
        <w:rPr>
          <w:rFonts w:ascii="Arial Black" w:hAnsi="Arial Black"/>
          <w:caps/>
          <w:sz w:val="15"/>
          <w:szCs w:val="15"/>
          <w:lang w:val="fr-FR"/>
        </w:rPr>
        <w:t>INF/2 Rev.</w:t>
      </w:r>
    </w:p>
    <w:p w14:paraId="03045C38" w14:textId="130BEAAE" w:rsidR="008B2CC1" w:rsidRPr="00B953FA" w:rsidRDefault="00DB0349" w:rsidP="002D7EE2">
      <w:pPr>
        <w:jc w:val="right"/>
        <w:rPr>
          <w:rFonts w:ascii="Arial Black" w:hAnsi="Arial Black"/>
          <w:caps/>
          <w:sz w:val="15"/>
          <w:szCs w:val="15"/>
          <w:lang w:val="fr-FR"/>
        </w:rPr>
      </w:pPr>
      <w:r w:rsidRPr="00B953FA">
        <w:rPr>
          <w:rFonts w:ascii="Arial Black" w:hAnsi="Arial Black"/>
          <w:caps/>
          <w:sz w:val="15"/>
          <w:szCs w:val="15"/>
          <w:lang w:val="fr-FR"/>
        </w:rPr>
        <w:t>Original</w:t>
      </w:r>
      <w:r w:rsidR="000A0979" w:rsidRPr="00B953FA">
        <w:rPr>
          <w:rFonts w:ascii="Arial Black" w:hAnsi="Arial Black"/>
          <w:caps/>
          <w:sz w:val="15"/>
          <w:szCs w:val="15"/>
          <w:lang w:val="fr-FR"/>
        </w:rPr>
        <w:t> :</w:t>
      </w:r>
      <w:r w:rsidRPr="00B953FA">
        <w:rPr>
          <w:rFonts w:ascii="Arial Black" w:hAnsi="Arial Black"/>
          <w:caps/>
          <w:sz w:val="15"/>
          <w:szCs w:val="15"/>
          <w:lang w:val="fr-FR"/>
        </w:rPr>
        <w:t xml:space="preserve"> </w:t>
      </w:r>
      <w:bookmarkStart w:id="1" w:name="Original"/>
      <w:r w:rsidR="003B13E2" w:rsidRPr="00B953FA">
        <w:rPr>
          <w:rFonts w:ascii="Arial Black" w:hAnsi="Arial Black"/>
          <w:caps/>
          <w:sz w:val="15"/>
          <w:szCs w:val="15"/>
          <w:lang w:val="fr-FR"/>
        </w:rPr>
        <w:t>anglais</w:t>
      </w:r>
    </w:p>
    <w:bookmarkEnd w:id="1"/>
    <w:p w14:paraId="59528E4F" w14:textId="11FCBFBF" w:rsidR="008B2CC1" w:rsidRPr="00B953FA" w:rsidRDefault="00DB0349" w:rsidP="002D7EE2">
      <w:pPr>
        <w:spacing w:after="1200"/>
        <w:jc w:val="right"/>
        <w:rPr>
          <w:rFonts w:ascii="Arial Black" w:hAnsi="Arial Black"/>
          <w:caps/>
          <w:sz w:val="15"/>
          <w:szCs w:val="15"/>
          <w:lang w:val="fr-FR"/>
        </w:rPr>
      </w:pPr>
      <w:r w:rsidRPr="00B953FA">
        <w:rPr>
          <w:rFonts w:ascii="Arial Black" w:hAnsi="Arial Black"/>
          <w:caps/>
          <w:sz w:val="15"/>
          <w:szCs w:val="15"/>
          <w:lang w:val="fr-FR"/>
        </w:rPr>
        <w:t>date</w:t>
      </w:r>
      <w:r w:rsidR="000A0979" w:rsidRPr="00B953FA">
        <w:rPr>
          <w:rFonts w:ascii="Arial Black" w:hAnsi="Arial Black"/>
          <w:caps/>
          <w:sz w:val="15"/>
          <w:szCs w:val="15"/>
          <w:lang w:val="fr-FR"/>
        </w:rPr>
        <w:t> :</w:t>
      </w:r>
      <w:r w:rsidRPr="00B953FA">
        <w:rPr>
          <w:rFonts w:ascii="Arial Black" w:hAnsi="Arial Black"/>
          <w:caps/>
          <w:sz w:val="15"/>
          <w:szCs w:val="15"/>
          <w:lang w:val="fr-FR"/>
        </w:rPr>
        <w:t xml:space="preserve"> </w:t>
      </w:r>
      <w:bookmarkStart w:id="2" w:name="Date"/>
      <w:r w:rsidR="00203E9D" w:rsidRPr="00B953FA">
        <w:rPr>
          <w:rFonts w:ascii="Arial Black" w:hAnsi="Arial Black"/>
          <w:caps/>
          <w:sz w:val="15"/>
          <w:szCs w:val="15"/>
          <w:lang w:val="fr-FR"/>
        </w:rPr>
        <w:t>18</w:t>
      </w:r>
      <w:r w:rsidR="003B13E2" w:rsidRPr="00B953FA">
        <w:rPr>
          <w:rFonts w:ascii="Arial Black" w:hAnsi="Arial Black"/>
          <w:caps/>
          <w:sz w:val="15"/>
          <w:szCs w:val="15"/>
          <w:lang w:val="fr-FR"/>
        </w:rPr>
        <w:t> février 2025</w:t>
      </w:r>
    </w:p>
    <w:bookmarkEnd w:id="2"/>
    <w:p w14:paraId="4F2A4EDB" w14:textId="27C407FB" w:rsidR="00C40E15" w:rsidRPr="00B953FA" w:rsidRDefault="00D55C00" w:rsidP="002D7EE2">
      <w:pPr>
        <w:spacing w:after="480"/>
        <w:rPr>
          <w:b/>
          <w:sz w:val="28"/>
          <w:szCs w:val="28"/>
          <w:lang w:val="fr-FR"/>
        </w:rPr>
      </w:pPr>
      <w:r w:rsidRPr="00B953FA">
        <w:rPr>
          <w:b/>
          <w:sz w:val="28"/>
          <w:szCs w:val="28"/>
          <w:lang w:val="fr-FR"/>
        </w:rPr>
        <w:t>Comité permanent du droit d</w:t>
      </w:r>
      <w:r w:rsidR="000A0979" w:rsidRPr="00B953FA">
        <w:rPr>
          <w:b/>
          <w:sz w:val="28"/>
          <w:szCs w:val="28"/>
          <w:lang w:val="fr-FR"/>
        </w:rPr>
        <w:t>’</w:t>
      </w:r>
      <w:r w:rsidRPr="00B953FA">
        <w:rPr>
          <w:b/>
          <w:sz w:val="28"/>
          <w:szCs w:val="28"/>
          <w:lang w:val="fr-FR"/>
        </w:rPr>
        <w:t>auteur et des droits connexes</w:t>
      </w:r>
    </w:p>
    <w:p w14:paraId="25201674" w14:textId="408423B8" w:rsidR="008B2CC1" w:rsidRPr="00B953FA" w:rsidRDefault="00D55C00" w:rsidP="002D7EE2">
      <w:pPr>
        <w:rPr>
          <w:b/>
          <w:sz w:val="24"/>
          <w:szCs w:val="24"/>
          <w:lang w:val="fr-FR"/>
        </w:rPr>
      </w:pPr>
      <w:r w:rsidRPr="00B953FA">
        <w:rPr>
          <w:b/>
          <w:sz w:val="24"/>
          <w:szCs w:val="24"/>
          <w:lang w:val="fr-FR"/>
        </w:rPr>
        <w:t>Quarante</w:t>
      </w:r>
      <w:r w:rsidR="00FA1A0F">
        <w:rPr>
          <w:b/>
          <w:sz w:val="24"/>
          <w:szCs w:val="24"/>
          <w:lang w:val="fr-FR"/>
        </w:rPr>
        <w:noBreakHyphen/>
      </w:r>
      <w:r w:rsidR="00456117" w:rsidRPr="00B953FA">
        <w:rPr>
          <w:b/>
          <w:sz w:val="24"/>
          <w:szCs w:val="24"/>
          <w:lang w:val="fr-FR"/>
        </w:rPr>
        <w:t>trois</w:t>
      </w:r>
      <w:r w:rsidR="000A0979" w:rsidRPr="00B953FA">
        <w:rPr>
          <w:b/>
          <w:sz w:val="24"/>
          <w:szCs w:val="24"/>
          <w:lang w:val="fr-FR"/>
        </w:rPr>
        <w:t>ième session</w:t>
      </w:r>
    </w:p>
    <w:p w14:paraId="5B0A3362" w14:textId="0A30BD0B" w:rsidR="008B2CC1" w:rsidRPr="00B953FA" w:rsidRDefault="00D55C00" w:rsidP="002D7EE2">
      <w:pPr>
        <w:spacing w:after="720"/>
        <w:rPr>
          <w:b/>
          <w:sz w:val="24"/>
          <w:szCs w:val="24"/>
          <w:lang w:val="fr-FR"/>
        </w:rPr>
      </w:pPr>
      <w:r w:rsidRPr="00B953FA">
        <w:rPr>
          <w:b/>
          <w:sz w:val="24"/>
          <w:szCs w:val="24"/>
          <w:lang w:val="fr-FR"/>
        </w:rPr>
        <w:t xml:space="preserve">Genève, </w:t>
      </w:r>
      <w:r w:rsidR="00456117" w:rsidRPr="00B953FA">
        <w:rPr>
          <w:b/>
          <w:sz w:val="24"/>
          <w:szCs w:val="24"/>
          <w:lang w:val="fr-FR"/>
        </w:rPr>
        <w:t>13 – 1</w:t>
      </w:r>
      <w:r w:rsidR="00F37154" w:rsidRPr="00B953FA">
        <w:rPr>
          <w:b/>
          <w:sz w:val="24"/>
          <w:szCs w:val="24"/>
          <w:lang w:val="fr-FR"/>
        </w:rPr>
        <w:t>7 mars 20</w:t>
      </w:r>
      <w:r w:rsidR="00456117" w:rsidRPr="00B953FA">
        <w:rPr>
          <w:b/>
          <w:sz w:val="24"/>
          <w:szCs w:val="24"/>
          <w:lang w:val="fr-FR"/>
        </w:rPr>
        <w:t>23</w:t>
      </w:r>
    </w:p>
    <w:p w14:paraId="31622F3D" w14:textId="45B0A5C6" w:rsidR="008B2CC1" w:rsidRPr="00B953FA" w:rsidRDefault="003B13E2" w:rsidP="002D7EE2">
      <w:pPr>
        <w:spacing w:after="360"/>
        <w:rPr>
          <w:caps/>
          <w:sz w:val="24"/>
          <w:lang w:val="fr-FR"/>
        </w:rPr>
      </w:pPr>
      <w:bookmarkStart w:id="3" w:name="TitleOfDoc"/>
      <w:r w:rsidRPr="00B953FA">
        <w:rPr>
          <w:caps/>
          <w:sz w:val="24"/>
          <w:lang w:val="fr-FR"/>
        </w:rPr>
        <w:t>Instrument de l</w:t>
      </w:r>
      <w:r w:rsidR="000A0979" w:rsidRPr="00B953FA">
        <w:rPr>
          <w:caps/>
          <w:sz w:val="24"/>
          <w:lang w:val="fr-FR"/>
        </w:rPr>
        <w:t>’</w:t>
      </w:r>
      <w:r w:rsidRPr="00B953FA">
        <w:rPr>
          <w:caps/>
          <w:sz w:val="24"/>
          <w:lang w:val="fr-FR"/>
        </w:rPr>
        <w:t>OMPI relatif au droit de suite des artistes</w:t>
      </w:r>
      <w:r w:rsidR="00203E9D" w:rsidRPr="00B953FA">
        <w:rPr>
          <w:caps/>
          <w:sz w:val="24"/>
          <w:lang w:val="fr-FR"/>
        </w:rPr>
        <w:t xml:space="preserve"> (</w:t>
      </w:r>
      <w:r w:rsidR="007B2A4E">
        <w:rPr>
          <w:caps/>
          <w:sz w:val="24"/>
          <w:lang w:val="fr-FR"/>
        </w:rPr>
        <w:t>partie </w:t>
      </w:r>
      <w:r w:rsidR="00203E9D" w:rsidRPr="00B953FA">
        <w:rPr>
          <w:caps/>
          <w:sz w:val="24"/>
          <w:lang w:val="fr-FR"/>
        </w:rPr>
        <w:t>I)</w:t>
      </w:r>
    </w:p>
    <w:p w14:paraId="1EBAFB92" w14:textId="0639D1C2" w:rsidR="00525B63" w:rsidRPr="00B953FA" w:rsidRDefault="003B13E2" w:rsidP="002D7EE2">
      <w:pPr>
        <w:spacing w:after="960"/>
        <w:rPr>
          <w:i/>
          <w:iCs/>
          <w:lang w:val="fr-FR"/>
        </w:rPr>
      </w:pPr>
      <w:bookmarkStart w:id="4" w:name="Prepared"/>
      <w:bookmarkEnd w:id="3"/>
      <w:proofErr w:type="gramStart"/>
      <w:r w:rsidRPr="00B953FA">
        <w:rPr>
          <w:i/>
          <w:iCs/>
          <w:lang w:val="fr-FR"/>
        </w:rPr>
        <w:t>préparé</w:t>
      </w:r>
      <w:proofErr w:type="gramEnd"/>
      <w:r w:rsidRPr="00B953FA">
        <w:rPr>
          <w:i/>
          <w:iCs/>
          <w:lang w:val="fr-FR"/>
        </w:rPr>
        <w:t xml:space="preserve"> par M. Sam Ricketson</w:t>
      </w:r>
    </w:p>
    <w:bookmarkEnd w:id="4"/>
    <w:p w14:paraId="0651E3AA" w14:textId="38B189B8" w:rsidR="003B13E2" w:rsidRPr="00B953FA" w:rsidRDefault="003B13E2" w:rsidP="002D7EE2">
      <w:pPr>
        <w:rPr>
          <w:lang w:val="fr-FR"/>
        </w:rPr>
      </w:pPr>
      <w:r w:rsidRPr="00B953FA">
        <w:rPr>
          <w:lang w:val="fr-FR"/>
        </w:rPr>
        <w:br w:type="page"/>
      </w:r>
    </w:p>
    <w:p w14:paraId="4BCD9268" w14:textId="77777777" w:rsidR="00C77D5B" w:rsidRPr="00B953FA" w:rsidRDefault="00C77D5B" w:rsidP="002D7EE2">
      <w:pPr>
        <w:pStyle w:val="Heading1"/>
        <w:rPr>
          <w:lang w:val="fr-FR"/>
        </w:rPr>
      </w:pPr>
      <w:r w:rsidRPr="00B953FA">
        <w:rPr>
          <w:lang w:val="fr-FR"/>
        </w:rPr>
        <w:lastRenderedPageBreak/>
        <w:t>En général</w:t>
      </w:r>
    </w:p>
    <w:p w14:paraId="28767D25" w14:textId="52EC08DB" w:rsidR="00C77D5B" w:rsidRPr="00B953FA" w:rsidRDefault="00C77D5B" w:rsidP="002D7EE2">
      <w:pPr>
        <w:pStyle w:val="ONUMFS"/>
        <w:rPr>
          <w:lang w:val="fr-FR"/>
        </w:rPr>
      </w:pPr>
      <w:r w:rsidRPr="00B953FA">
        <w:rPr>
          <w:lang w:val="fr-FR"/>
        </w:rPr>
        <w:t>Dans l</w:t>
      </w:r>
      <w:r w:rsidR="000A0979" w:rsidRPr="00B953FA">
        <w:rPr>
          <w:lang w:val="fr-FR"/>
        </w:rPr>
        <w:t>’</w:t>
      </w:r>
      <w:r w:rsidRPr="00B953FA">
        <w:rPr>
          <w:lang w:val="fr-FR"/>
        </w:rPr>
        <w:t>usage normal, le droit de suite des artistes fait référence au droit de l</w:t>
      </w:r>
      <w:r w:rsidR="000A0979" w:rsidRPr="00B953FA">
        <w:rPr>
          <w:lang w:val="fr-FR"/>
        </w:rPr>
        <w:t>’</w:t>
      </w:r>
      <w:r w:rsidRPr="00B953FA">
        <w:rPr>
          <w:lang w:val="fr-FR"/>
        </w:rPr>
        <w:t>auteur à une part du produit des ventes ultérieures de son œuvre origina</w:t>
      </w:r>
      <w:r w:rsidR="00B953FA" w:rsidRPr="00B953FA">
        <w:rPr>
          <w:lang w:val="fr-FR"/>
        </w:rPr>
        <w:t>le.  Le</w:t>
      </w:r>
      <w:r w:rsidRPr="00B953FA">
        <w:rPr>
          <w:lang w:val="fr-FR"/>
        </w:rPr>
        <w:t xml:space="preserve"> terme “original” est utilisé ici pour désigner la première incarnation matérielle ou l</w:t>
      </w:r>
      <w:r w:rsidR="000A0979" w:rsidRPr="00B953FA">
        <w:rPr>
          <w:lang w:val="fr-FR"/>
        </w:rPr>
        <w:t>’</w:t>
      </w:r>
      <w:r w:rsidRPr="00B953FA">
        <w:rPr>
          <w:lang w:val="fr-FR"/>
        </w:rPr>
        <w:t>incarnation matérielle originale de l</w:t>
      </w:r>
      <w:r w:rsidR="000A0979" w:rsidRPr="00B953FA">
        <w:rPr>
          <w:lang w:val="fr-FR"/>
        </w:rPr>
        <w:t>’</w:t>
      </w:r>
      <w:r w:rsidRPr="00B953FA">
        <w:rPr>
          <w:lang w:val="fr-FR"/>
        </w:rPr>
        <w:t>œuv</w:t>
      </w:r>
      <w:r w:rsidR="00B953FA" w:rsidRPr="00B953FA">
        <w:rPr>
          <w:lang w:val="fr-FR"/>
        </w:rPr>
        <w:t>re.  Un</w:t>
      </w:r>
      <w:r w:rsidRPr="00B953FA">
        <w:rPr>
          <w:lang w:val="fr-FR"/>
        </w:rPr>
        <w:t>e autre expression pouvant être utilisée pour décrire ce droit est “droit de suite”</w:t>
      </w:r>
      <w:r w:rsidRPr="00B953FA">
        <w:rPr>
          <w:vertAlign w:val="superscript"/>
          <w:lang w:val="fr-FR"/>
        </w:rPr>
        <w:footnoteReference w:id="2"/>
      </w:r>
      <w:r w:rsidRPr="00B953FA">
        <w:rPr>
          <w:lang w:val="fr-FR"/>
        </w:rPr>
        <w:t>, mais aux fins du présent instrument, l</w:t>
      </w:r>
      <w:r w:rsidR="000A0979" w:rsidRPr="00B953FA">
        <w:rPr>
          <w:lang w:val="fr-FR"/>
        </w:rPr>
        <w:t>’</w:t>
      </w:r>
      <w:r w:rsidRPr="00B953FA">
        <w:rPr>
          <w:lang w:val="fr-FR"/>
        </w:rPr>
        <w:t>expression “droit de suite des artistes” sera utilisée tout au long du document</w:t>
      </w:r>
      <w:r w:rsidRPr="00B953FA">
        <w:rPr>
          <w:vertAlign w:val="superscript"/>
          <w:lang w:val="fr-FR"/>
        </w:rPr>
        <w:footnoteReference w:id="3"/>
      </w:r>
      <w:r w:rsidRPr="00B953FA">
        <w:rPr>
          <w:lang w:val="fr-FR"/>
        </w:rPr>
        <w:t>.</w:t>
      </w:r>
    </w:p>
    <w:p w14:paraId="64ABB45A" w14:textId="6A36C6EC" w:rsidR="00C77D5B" w:rsidRPr="00B953FA" w:rsidRDefault="00C77D5B" w:rsidP="002D7EE2">
      <w:pPr>
        <w:pStyle w:val="ONUMFS"/>
        <w:rPr>
          <w:lang w:val="fr-FR"/>
        </w:rPr>
      </w:pPr>
      <w:r w:rsidRPr="00B953FA">
        <w:rPr>
          <w:lang w:val="fr-FR"/>
        </w:rPr>
        <w:t>En général, les régimes de droit de suite des artistes au niveau national visent les œuvres d</w:t>
      </w:r>
      <w:r w:rsidR="000A0979" w:rsidRPr="00B953FA">
        <w:rPr>
          <w:lang w:val="fr-FR"/>
        </w:rPr>
        <w:t>’</w:t>
      </w:r>
      <w:r w:rsidRPr="00B953FA">
        <w:rPr>
          <w:lang w:val="fr-FR"/>
        </w:rPr>
        <w:t>arts visuels – peintures et autres œuvres graphiques, sculptures et autres œuvres tridimensionnelles – mais dans certains cas, la protection peut également être étendue aux artefacts originaux d</w:t>
      </w:r>
      <w:r w:rsidR="000A0979" w:rsidRPr="00B953FA">
        <w:rPr>
          <w:lang w:val="fr-FR"/>
        </w:rPr>
        <w:t>’</w:t>
      </w:r>
      <w:r w:rsidRPr="00B953FA">
        <w:rPr>
          <w:lang w:val="fr-FR"/>
        </w:rPr>
        <w:t>œuvres plus généralement classées comme œuvres littéraires, dramatiques ou musicales, par exemple, manuscrits originaux de livres, pièces de théâtre, compositions musicales, e</w:t>
      </w:r>
      <w:r w:rsidR="00B953FA" w:rsidRPr="00B953FA">
        <w:rPr>
          <w:lang w:val="fr-FR"/>
        </w:rPr>
        <w:t>tc.  Po</w:t>
      </w:r>
      <w:r w:rsidRPr="00B953FA">
        <w:rPr>
          <w:lang w:val="fr-FR"/>
        </w:rPr>
        <w:t>ur cette raison, il serait préférable de parler de “droit de l</w:t>
      </w:r>
      <w:r w:rsidR="000A0979" w:rsidRPr="00B953FA">
        <w:rPr>
          <w:lang w:val="fr-FR"/>
        </w:rPr>
        <w:t>’</w:t>
      </w:r>
      <w:r w:rsidRPr="00B953FA">
        <w:rPr>
          <w:lang w:val="fr-FR"/>
        </w:rPr>
        <w:t>auteur”, plutôt que de “droit de l</w:t>
      </w:r>
      <w:r w:rsidR="000A0979" w:rsidRPr="00B953FA">
        <w:rPr>
          <w:lang w:val="fr-FR"/>
        </w:rPr>
        <w:t>’</w:t>
      </w:r>
      <w:r w:rsidRPr="00B953FA">
        <w:rPr>
          <w:lang w:val="fr-FR"/>
        </w:rPr>
        <w:t xml:space="preserve">artiste”. </w:t>
      </w:r>
      <w:r w:rsidR="00FB6E84" w:rsidRPr="00B953FA">
        <w:rPr>
          <w:lang w:val="fr-FR"/>
        </w:rPr>
        <w:t xml:space="preserve"> </w:t>
      </w:r>
      <w:r w:rsidRPr="00B953FA">
        <w:rPr>
          <w:lang w:val="fr-FR"/>
        </w:rPr>
        <w:t>Néanmoins, comme la plupart des législations nationales reconnaissant le droit de suite des artistes limitent ce droit aux œuvres artistiques, le droit examiné dans le présent instrument sera appelé “droit de l</w:t>
      </w:r>
      <w:r w:rsidR="000A0979" w:rsidRPr="00B953FA">
        <w:rPr>
          <w:lang w:val="fr-FR"/>
        </w:rPr>
        <w:t>’</w:t>
      </w:r>
      <w:r w:rsidRPr="00B953FA">
        <w:rPr>
          <w:lang w:val="fr-FR"/>
        </w:rPr>
        <w:t>artiste”, sachant que dans certaines circonstances, ce droit peut être étendu aux auteurs d</w:t>
      </w:r>
      <w:r w:rsidR="000A0979" w:rsidRPr="00B953FA">
        <w:rPr>
          <w:lang w:val="fr-FR"/>
        </w:rPr>
        <w:t>’</w:t>
      </w:r>
      <w:r w:rsidRPr="00B953FA">
        <w:rPr>
          <w:lang w:val="fr-FR"/>
        </w:rPr>
        <w:t>œuvres littéraires, dramatiques ou musicales.</w:t>
      </w:r>
    </w:p>
    <w:p w14:paraId="2A32DE94" w14:textId="460B727F" w:rsidR="00C77D5B" w:rsidRPr="00B953FA" w:rsidRDefault="00C77D5B" w:rsidP="002D7EE2">
      <w:pPr>
        <w:pStyle w:val="ONUMFS"/>
        <w:rPr>
          <w:lang w:val="fr-FR"/>
        </w:rPr>
      </w:pPr>
      <w:r w:rsidRPr="00B953FA">
        <w:rPr>
          <w:lang w:val="fr-FR"/>
        </w:rPr>
        <w:t>Le droit de suite des artistes est un droit que les pays membres de l</w:t>
      </w:r>
      <w:r w:rsidR="000A0979" w:rsidRPr="00B953FA">
        <w:rPr>
          <w:lang w:val="fr-FR"/>
        </w:rPr>
        <w:t>’</w:t>
      </w:r>
      <w:r w:rsidRPr="00B953FA">
        <w:rPr>
          <w:lang w:val="fr-FR"/>
        </w:rPr>
        <w:t>Union de Berne peuvent reconnaître à leur choix en vertu de l</w:t>
      </w:r>
      <w:r w:rsidR="000A0979" w:rsidRPr="00B953FA">
        <w:rPr>
          <w:lang w:val="fr-FR"/>
        </w:rPr>
        <w:t>’</w:t>
      </w:r>
      <w:r w:rsidRPr="00B953FA">
        <w:rPr>
          <w:lang w:val="fr-FR"/>
        </w:rPr>
        <w:t>article 14</w:t>
      </w:r>
      <w:r w:rsidRPr="00B953FA">
        <w:rPr>
          <w:i/>
          <w:lang w:val="fr-FR"/>
        </w:rPr>
        <w:t>ter</w:t>
      </w:r>
      <w:r w:rsidRPr="00B953FA">
        <w:rPr>
          <w:lang w:val="fr-FR"/>
        </w:rPr>
        <w:t xml:space="preserve"> de la Convention de Berne pour la protection des œuvres littéraires et artistiques 1886 (dernière révision en 1971).  Sous diverses formes, le droit de suite des artistes est désormais reconnu par plus de la moitié des membres actuels de l</w:t>
      </w:r>
      <w:r w:rsidR="000A0979" w:rsidRPr="00B953FA">
        <w:rPr>
          <w:lang w:val="fr-FR"/>
        </w:rPr>
        <w:t>’</w:t>
      </w:r>
      <w:r w:rsidRPr="00B953FA">
        <w:rPr>
          <w:lang w:val="fr-FR"/>
        </w:rPr>
        <w:t>Union de Berne, et le nombre de régimes nationaux de droit de suite des artistes a considérablement augmenté au cours des vingt dernières années</w:t>
      </w:r>
      <w:r w:rsidRPr="00B953FA">
        <w:rPr>
          <w:rStyle w:val="FootnoteReference"/>
          <w:lang w:val="fr-FR"/>
        </w:rPr>
        <w:footnoteReference w:id="4"/>
      </w:r>
      <w:r w:rsidR="00FB6E84" w:rsidRPr="00B953FA">
        <w:rPr>
          <w:lang w:val="fr-FR"/>
        </w:rPr>
        <w:t>.</w:t>
      </w:r>
    </w:p>
    <w:p w14:paraId="7C918D3B" w14:textId="34619CFD" w:rsidR="00C77D5B" w:rsidRPr="00B953FA" w:rsidRDefault="00C77D5B" w:rsidP="002D7EE2">
      <w:pPr>
        <w:pStyle w:val="ONUMFS"/>
        <w:rPr>
          <w:lang w:val="fr-FR"/>
        </w:rPr>
      </w:pPr>
      <w:r w:rsidRPr="00B953FA">
        <w:rPr>
          <w:lang w:val="fr-FR"/>
        </w:rPr>
        <w:lastRenderedPageBreak/>
        <w:t>L</w:t>
      </w:r>
      <w:r w:rsidR="000A0979" w:rsidRPr="00B953FA">
        <w:rPr>
          <w:lang w:val="fr-FR"/>
        </w:rPr>
        <w:t>’</w:t>
      </w:r>
      <w:r w:rsidRPr="00B953FA">
        <w:rPr>
          <w:lang w:val="fr-FR"/>
        </w:rPr>
        <w:t>article 14</w:t>
      </w:r>
      <w:r w:rsidRPr="00B953FA">
        <w:rPr>
          <w:i/>
          <w:lang w:val="fr-FR"/>
        </w:rPr>
        <w:t>ter</w:t>
      </w:r>
      <w:r w:rsidRPr="00B953FA">
        <w:rPr>
          <w:lang w:val="fr-FR"/>
        </w:rPr>
        <w:t xml:space="preserve"> fournit un cadre général pour tout régime de droit de suite des artistes proposé au niveau national et laisse une souplesse considérable aux législateurs nationaux quant à la manière dont ils mettent en œuvre un tel dro</w:t>
      </w:r>
      <w:r w:rsidR="00B953FA" w:rsidRPr="00B953FA">
        <w:rPr>
          <w:lang w:val="fr-FR"/>
        </w:rPr>
        <w:t>it.  L’o</w:t>
      </w:r>
      <w:r w:rsidRPr="00B953FA">
        <w:rPr>
          <w:lang w:val="fr-FR"/>
        </w:rPr>
        <w:t>bjectif de cette partie de l</w:t>
      </w:r>
      <w:r w:rsidR="000A0979" w:rsidRPr="00B953FA">
        <w:rPr>
          <w:lang w:val="fr-FR"/>
        </w:rPr>
        <w:t>’</w:t>
      </w:r>
      <w:r w:rsidRPr="00B953FA">
        <w:rPr>
          <w:lang w:val="fr-FR"/>
        </w:rPr>
        <w:t xml:space="preserve">instrument est donc de fournir aux législateurs </w:t>
      </w:r>
      <w:r w:rsidR="00313EC4" w:rsidRPr="00B953FA">
        <w:rPr>
          <w:lang w:val="fr-FR"/>
        </w:rPr>
        <w:t xml:space="preserve">et aux décideurs </w:t>
      </w:r>
      <w:r w:rsidRPr="00B953FA">
        <w:rPr>
          <w:lang w:val="fr-FR"/>
        </w:rPr>
        <w:t>nationaux des exemples de dispositions susceptibles de fournir un guide utile sur la manière dont un régime de droit de suite des artistes pourrait être légiféré et mis en œuvre, ou un régime existant modifié, dans les États membres</w:t>
      </w:r>
      <w:r w:rsidR="00B67244">
        <w:rPr>
          <w:lang w:val="fr-FR"/>
        </w:rPr>
        <w:t xml:space="preserve"> de</w:t>
      </w:r>
      <w:r w:rsidRPr="00B953FA">
        <w:rPr>
          <w:lang w:val="fr-FR"/>
        </w:rPr>
        <w:t xml:space="preserve"> l</w:t>
      </w:r>
      <w:r w:rsidR="000A0979" w:rsidRPr="00B953FA">
        <w:rPr>
          <w:lang w:val="fr-FR"/>
        </w:rPr>
        <w:t>’</w:t>
      </w:r>
      <w:r w:rsidRPr="00B953FA">
        <w:rPr>
          <w:lang w:val="fr-FR"/>
        </w:rPr>
        <w:t>Union de Berne, compte tenu des traditions et pratiques juridiques locales de chaque État ainsi que du cadre global des obligations internationales en vertu de la Convention de Ber</w:t>
      </w:r>
      <w:r w:rsidR="00B953FA" w:rsidRPr="00B953FA">
        <w:rPr>
          <w:lang w:val="fr-FR"/>
        </w:rPr>
        <w:t>ne.  La</w:t>
      </w:r>
      <w:r w:rsidRPr="00B953FA">
        <w:rPr>
          <w:lang w:val="fr-FR"/>
        </w:rPr>
        <w:t xml:space="preserve"> partie 2 de l</w:t>
      </w:r>
      <w:r w:rsidR="000A0979" w:rsidRPr="00B953FA">
        <w:rPr>
          <w:lang w:val="fr-FR"/>
        </w:rPr>
        <w:t>’</w:t>
      </w:r>
      <w:r w:rsidRPr="00B953FA">
        <w:rPr>
          <w:lang w:val="fr-FR"/>
        </w:rPr>
        <w:t>instrument traite ensuite des questions pratiques qui peuvent se poser lors de la mise en œuvre de ces régimes, en particulier lorsqu</w:t>
      </w:r>
      <w:r w:rsidR="000A0979" w:rsidRPr="00B953FA">
        <w:rPr>
          <w:lang w:val="fr-FR"/>
        </w:rPr>
        <w:t>’</w:t>
      </w:r>
      <w:r w:rsidRPr="00B953FA">
        <w:rPr>
          <w:lang w:val="fr-FR"/>
        </w:rPr>
        <w:t>elle est le fait d</w:t>
      </w:r>
      <w:r w:rsidR="000A0979" w:rsidRPr="00B953FA">
        <w:rPr>
          <w:lang w:val="fr-FR"/>
        </w:rPr>
        <w:t>’</w:t>
      </w:r>
      <w:r w:rsidRPr="00B953FA">
        <w:rPr>
          <w:lang w:val="fr-FR"/>
        </w:rPr>
        <w:t>une organisation de gestion collective.</w:t>
      </w:r>
    </w:p>
    <w:p w14:paraId="76E41CD9" w14:textId="77777777" w:rsidR="00C77D5B" w:rsidRPr="00B953FA" w:rsidRDefault="00C77D5B" w:rsidP="002D7EE2">
      <w:pPr>
        <w:pStyle w:val="Heading1"/>
        <w:rPr>
          <w:lang w:val="fr-FR"/>
        </w:rPr>
      </w:pPr>
      <w:r w:rsidRPr="00B953FA">
        <w:rPr>
          <w:rStyle w:val="Heading1Char"/>
          <w:b/>
          <w:bCs/>
          <w:caps/>
          <w:lang w:val="fr-FR"/>
        </w:rPr>
        <w:t>Les origines des régimes de droit de suite des artistes et leur justification</w:t>
      </w:r>
      <w:r w:rsidRPr="00B953FA">
        <w:rPr>
          <w:vertAlign w:val="superscript"/>
          <w:lang w:val="fr-FR"/>
        </w:rPr>
        <w:footnoteReference w:id="5"/>
      </w:r>
    </w:p>
    <w:p w14:paraId="283399F5" w14:textId="7E13C87A" w:rsidR="00C77D5B" w:rsidRPr="00B953FA" w:rsidRDefault="00C77D5B" w:rsidP="002D7EE2">
      <w:pPr>
        <w:pStyle w:val="ONUMFS"/>
        <w:rPr>
          <w:lang w:val="fr-FR"/>
        </w:rPr>
      </w:pPr>
      <w:r w:rsidRPr="00B953FA">
        <w:rPr>
          <w:lang w:val="fr-FR"/>
        </w:rPr>
        <w:t>Historiquement, les arguments en faveur des régimes de droit de suite des artistes reposaient sur des notions de justice et d</w:t>
      </w:r>
      <w:r w:rsidR="000A0979" w:rsidRPr="00B953FA">
        <w:rPr>
          <w:lang w:val="fr-FR"/>
        </w:rPr>
        <w:t>’</w:t>
      </w:r>
      <w:r w:rsidRPr="00B953FA">
        <w:rPr>
          <w:lang w:val="fr-FR"/>
        </w:rPr>
        <w:t>enrichissement sans cau</w:t>
      </w:r>
      <w:r w:rsidR="00B953FA" w:rsidRPr="00B953FA">
        <w:rPr>
          <w:lang w:val="fr-FR"/>
        </w:rPr>
        <w:t>se.  Le</w:t>
      </w:r>
      <w:r w:rsidRPr="00B953FA">
        <w:rPr>
          <w:lang w:val="fr-FR"/>
        </w:rPr>
        <w:t>s appels au sentiment ont également joué un rôle important, mis en évidence par la situation anormale qui a été perçue comme se produisant où les descendants d</w:t>
      </w:r>
      <w:r w:rsidR="000A0979" w:rsidRPr="00B953FA">
        <w:rPr>
          <w:lang w:val="fr-FR"/>
        </w:rPr>
        <w:t>’</w:t>
      </w:r>
      <w:r w:rsidRPr="00B953FA">
        <w:rPr>
          <w:lang w:val="fr-FR"/>
        </w:rPr>
        <w:t>un artiste visuel aujourd</w:t>
      </w:r>
      <w:r w:rsidR="000A0979" w:rsidRPr="00B953FA">
        <w:rPr>
          <w:lang w:val="fr-FR"/>
        </w:rPr>
        <w:t>’</w:t>
      </w:r>
      <w:r w:rsidRPr="00B953FA">
        <w:rPr>
          <w:lang w:val="fr-FR"/>
        </w:rPr>
        <w:t>hui décédé pourraient se trouver languissant dans la pauvreté tandis que les achats ultérieurs d</w:t>
      </w:r>
      <w:r w:rsidR="000A0979" w:rsidRPr="00B953FA">
        <w:rPr>
          <w:lang w:val="fr-FR"/>
        </w:rPr>
        <w:t>’</w:t>
      </w:r>
      <w:r w:rsidRPr="00B953FA">
        <w:rPr>
          <w:lang w:val="fr-FR"/>
        </w:rPr>
        <w:t>œuvres artistiques vendues à l</w:t>
      </w:r>
      <w:r w:rsidR="000A0979" w:rsidRPr="00B953FA">
        <w:rPr>
          <w:lang w:val="fr-FR"/>
        </w:rPr>
        <w:t>’</w:t>
      </w:r>
      <w:r w:rsidRPr="00B953FA">
        <w:rPr>
          <w:lang w:val="fr-FR"/>
        </w:rPr>
        <w:t>origine pour une somme dérisoire du vivant de l</w:t>
      </w:r>
      <w:r w:rsidR="000A0979" w:rsidRPr="00B953FA">
        <w:rPr>
          <w:lang w:val="fr-FR"/>
        </w:rPr>
        <w:t>’</w:t>
      </w:r>
      <w:r w:rsidRPr="00B953FA">
        <w:rPr>
          <w:lang w:val="fr-FR"/>
        </w:rPr>
        <w:t>artiste étaient maintenant à des prix beaucoup plus élevés sur le marché de la revente sans aucun avantage pour l</w:t>
      </w:r>
      <w:r w:rsidR="000A0979" w:rsidRPr="00B953FA">
        <w:rPr>
          <w:lang w:val="fr-FR"/>
        </w:rPr>
        <w:t>’</w:t>
      </w:r>
      <w:r w:rsidRPr="00B953FA">
        <w:rPr>
          <w:lang w:val="fr-FR"/>
        </w:rPr>
        <w:t>artiste ou ses personnes à charge</w:t>
      </w:r>
      <w:r w:rsidRPr="00B953FA">
        <w:rPr>
          <w:vertAlign w:val="superscript"/>
          <w:lang w:val="fr-FR"/>
        </w:rPr>
        <w:footnoteReference w:id="6"/>
      </w:r>
      <w:r w:rsidRPr="00B953FA">
        <w:rPr>
          <w:lang w:val="fr-FR"/>
        </w:rPr>
        <w:t>.</w:t>
      </w:r>
    </w:p>
    <w:p w14:paraId="5EA61FD9" w14:textId="0F056FB2" w:rsidR="00C77D5B" w:rsidRPr="00B953FA" w:rsidRDefault="00C77D5B" w:rsidP="002D7EE2">
      <w:pPr>
        <w:pStyle w:val="ONUMFS"/>
        <w:rPr>
          <w:lang w:val="fr-FR"/>
        </w:rPr>
      </w:pPr>
      <w:r w:rsidRPr="00B953FA">
        <w:rPr>
          <w:lang w:val="fr-FR"/>
        </w:rPr>
        <w:t>Le premier pays à reconnaître la nécessité de légiférer sur le droit de suite des artistes fut la France, où le concept juridique d</w:t>
      </w:r>
      <w:r w:rsidR="000A0979" w:rsidRPr="00B953FA">
        <w:rPr>
          <w:lang w:val="fr-FR"/>
        </w:rPr>
        <w:t>’</w:t>
      </w:r>
      <w:r w:rsidRPr="00B953FA">
        <w:rPr>
          <w:lang w:val="fr-FR"/>
        </w:rPr>
        <w:t>un droit de suite pour les artistes visuels fut introduit par Albert </w:t>
      </w:r>
      <w:proofErr w:type="spellStart"/>
      <w:r w:rsidRPr="00B953FA">
        <w:rPr>
          <w:lang w:val="fr-FR"/>
        </w:rPr>
        <w:t>Vaunois</w:t>
      </w:r>
      <w:proofErr w:type="spellEnd"/>
      <w:r w:rsidRPr="00B953FA">
        <w:rPr>
          <w:lang w:val="fr-FR"/>
        </w:rPr>
        <w:t xml:space="preserve"> dans un article de la Chronique de Paris en 1893</w:t>
      </w:r>
      <w:r w:rsidRPr="00B953FA">
        <w:rPr>
          <w:vertAlign w:val="superscript"/>
          <w:lang w:val="fr-FR"/>
        </w:rPr>
        <w:footnoteReference w:id="7"/>
      </w:r>
      <w:r w:rsidRPr="00B953FA">
        <w:rPr>
          <w:lang w:val="fr-FR"/>
        </w:rPr>
        <w:t>, et une campagne pour sa reconnaissance a alors commencé dans ce pays</w:t>
      </w:r>
      <w:r w:rsidRPr="00B953FA">
        <w:rPr>
          <w:vertAlign w:val="superscript"/>
          <w:lang w:val="fr-FR"/>
        </w:rPr>
        <w:footnoteReference w:id="8"/>
      </w:r>
      <w:r w:rsidRPr="00B953FA">
        <w:rPr>
          <w:lang w:val="fr-FR"/>
        </w:rPr>
        <w:t>.  Cela a abouti à l</w:t>
      </w:r>
      <w:r w:rsidR="000A0979" w:rsidRPr="00B953FA">
        <w:rPr>
          <w:lang w:val="fr-FR"/>
        </w:rPr>
        <w:t>’</w:t>
      </w:r>
      <w:r w:rsidRPr="00B953FA">
        <w:rPr>
          <w:lang w:val="fr-FR"/>
        </w:rPr>
        <w:t>adoption d</w:t>
      </w:r>
      <w:r w:rsidR="000A0979" w:rsidRPr="00B953FA">
        <w:rPr>
          <w:lang w:val="fr-FR"/>
        </w:rPr>
        <w:t>’</w:t>
      </w:r>
      <w:r w:rsidRPr="00B953FA">
        <w:rPr>
          <w:lang w:val="fr-FR"/>
        </w:rPr>
        <w:t>une législation spéciale en 1920</w:t>
      </w:r>
      <w:r w:rsidRPr="00B953FA">
        <w:rPr>
          <w:vertAlign w:val="superscript"/>
          <w:lang w:val="fr-FR"/>
        </w:rPr>
        <w:footnoteReference w:id="9"/>
      </w:r>
      <w:r w:rsidRPr="00B953FA">
        <w:rPr>
          <w:lang w:val="fr-FR"/>
        </w:rPr>
        <w:t>, en vertu de laquelle les artistes recevaient un droit inaliénable de réclamer une échelle mobile de 1 à 3% du prix de vente brut sur chaque vente publique de leurs œuvres originales</w:t>
      </w:r>
      <w:r w:rsidRPr="00B953FA">
        <w:rPr>
          <w:vertAlign w:val="superscript"/>
          <w:lang w:val="fr-FR"/>
        </w:rPr>
        <w:footnoteReference w:id="10"/>
      </w:r>
      <w:r w:rsidRPr="00B953FA">
        <w:rPr>
          <w:lang w:val="fr-FR"/>
        </w:rPr>
        <w:t>.  Les œuvres vendues devaient être “originales” et représenter une “création personnelle de l</w:t>
      </w:r>
      <w:r w:rsidR="000A0979" w:rsidRPr="00B953FA">
        <w:rPr>
          <w:lang w:val="fr-FR"/>
        </w:rPr>
        <w:t>’</w:t>
      </w:r>
      <w:r w:rsidRPr="00B953FA">
        <w:rPr>
          <w:lang w:val="fr-FR"/>
        </w:rPr>
        <w:t>auteur”.  Dans ce contexte, le mot “original” semblait être utilisé dans le sens de la première réalisation de l</w:t>
      </w:r>
      <w:r w:rsidR="000A0979" w:rsidRPr="00B953FA">
        <w:rPr>
          <w:lang w:val="fr-FR"/>
        </w:rPr>
        <w:t>’</w:t>
      </w:r>
      <w:r w:rsidRPr="00B953FA">
        <w:rPr>
          <w:lang w:val="fr-FR"/>
        </w:rPr>
        <w:t>œuvre, excluant ainsi les œuvres telles que les lithographies, les gravures et autres où la plaque ou le bloc original était rarement vendu se</w:t>
      </w:r>
      <w:r w:rsidR="00B953FA" w:rsidRPr="00B953FA">
        <w:rPr>
          <w:lang w:val="fr-FR"/>
        </w:rPr>
        <w:t>ul.  L’e</w:t>
      </w:r>
      <w:r w:rsidRPr="00B953FA">
        <w:rPr>
          <w:lang w:val="fr-FR"/>
        </w:rPr>
        <w:t xml:space="preserve">xclusion des ventes privées signifiait également que la portée du nouveau droit était soumise à une </w:t>
      </w:r>
      <w:r w:rsidRPr="00B953FA">
        <w:rPr>
          <w:lang w:val="fr-FR"/>
        </w:rPr>
        <w:lastRenderedPageBreak/>
        <w:t>restriction potentielle importante, mais cela rendait la collecte plus facile si elle était effectuée par une société d</w:t>
      </w:r>
      <w:r w:rsidR="000A0979" w:rsidRPr="00B953FA">
        <w:rPr>
          <w:lang w:val="fr-FR"/>
        </w:rPr>
        <w:t>’</w:t>
      </w:r>
      <w:r w:rsidRPr="00B953FA">
        <w:rPr>
          <w:lang w:val="fr-FR"/>
        </w:rPr>
        <w:t>auteurs qui concluait des accords avec des galeries et des salles de ventes</w:t>
      </w:r>
      <w:r w:rsidRPr="00B953FA">
        <w:rPr>
          <w:vertAlign w:val="superscript"/>
          <w:lang w:val="fr-FR"/>
        </w:rPr>
        <w:footnoteReference w:id="11"/>
      </w:r>
      <w:r w:rsidRPr="00B953FA">
        <w:rPr>
          <w:lang w:val="fr-FR"/>
        </w:rPr>
        <w:t>.</w:t>
      </w:r>
    </w:p>
    <w:p w14:paraId="2620AB7D" w14:textId="0B28D5AB" w:rsidR="00C77D5B" w:rsidRPr="00B953FA" w:rsidRDefault="00C77D5B" w:rsidP="002D7EE2">
      <w:pPr>
        <w:pStyle w:val="ONUMFS"/>
        <w:rPr>
          <w:lang w:val="fr-FR"/>
        </w:rPr>
      </w:pPr>
      <w:r w:rsidRPr="00B953FA">
        <w:rPr>
          <w:lang w:val="fr-FR"/>
        </w:rPr>
        <w:t>L</w:t>
      </w:r>
      <w:r w:rsidR="000A0979" w:rsidRPr="00B953FA">
        <w:rPr>
          <w:lang w:val="fr-FR"/>
        </w:rPr>
        <w:t>’</w:t>
      </w:r>
      <w:r w:rsidRPr="00B953FA">
        <w:rPr>
          <w:lang w:val="fr-FR"/>
        </w:rPr>
        <w:t>exemple français a inspiré l</w:t>
      </w:r>
      <w:r w:rsidR="000A0979" w:rsidRPr="00B953FA">
        <w:rPr>
          <w:lang w:val="fr-FR"/>
        </w:rPr>
        <w:t>’</w:t>
      </w:r>
      <w:r w:rsidRPr="00B953FA">
        <w:rPr>
          <w:lang w:val="fr-FR"/>
        </w:rPr>
        <w:t>adoption de lois similaires, chacune avec ses propres variations nationales, par un petit nombre d</w:t>
      </w:r>
      <w:r w:rsidR="000A0979" w:rsidRPr="00B953FA">
        <w:rPr>
          <w:lang w:val="fr-FR"/>
        </w:rPr>
        <w:t>’</w:t>
      </w:r>
      <w:r w:rsidRPr="00B953FA">
        <w:rPr>
          <w:lang w:val="fr-FR"/>
        </w:rPr>
        <w:t>autres membres de l</w:t>
      </w:r>
      <w:r w:rsidR="000A0979" w:rsidRPr="00B953FA">
        <w:rPr>
          <w:lang w:val="fr-FR"/>
        </w:rPr>
        <w:t>’</w:t>
      </w:r>
      <w:r w:rsidRPr="00B953FA">
        <w:rPr>
          <w:lang w:val="fr-FR"/>
        </w:rPr>
        <w:t>Union de Berne au cours des vingt années suivantes</w:t>
      </w:r>
      <w:r w:rsidR="000A0979" w:rsidRPr="00B953FA">
        <w:rPr>
          <w:lang w:val="fr-FR"/>
        </w:rPr>
        <w:t> :</w:t>
      </w:r>
      <w:r w:rsidRPr="00B953FA">
        <w:rPr>
          <w:lang w:val="fr-FR"/>
        </w:rPr>
        <w:t xml:space="preserve"> la Belgique en 1921 (avec une échelle mobile plus généreuse)</w:t>
      </w:r>
      <w:r w:rsidRPr="00B953FA">
        <w:rPr>
          <w:vertAlign w:val="superscript"/>
          <w:lang w:val="fr-FR"/>
        </w:rPr>
        <w:footnoteReference w:id="12"/>
      </w:r>
      <w:r w:rsidRPr="00B953FA">
        <w:rPr>
          <w:lang w:val="fr-FR"/>
        </w:rPr>
        <w:t>, la Tchécoslovaquie en 1926</w:t>
      </w:r>
      <w:r w:rsidRPr="00B953FA">
        <w:rPr>
          <w:vertAlign w:val="superscript"/>
          <w:lang w:val="fr-FR"/>
        </w:rPr>
        <w:footnoteReference w:id="13"/>
      </w:r>
      <w:r w:rsidRPr="00B953FA">
        <w:rPr>
          <w:lang w:val="fr-FR"/>
        </w:rPr>
        <w:t>, la Pologne en 1935</w:t>
      </w:r>
      <w:r w:rsidRPr="00B953FA">
        <w:rPr>
          <w:vertAlign w:val="superscript"/>
          <w:lang w:val="fr-FR"/>
        </w:rPr>
        <w:footnoteReference w:id="14"/>
      </w:r>
      <w:r w:rsidRPr="00B953FA">
        <w:rPr>
          <w:lang w:val="fr-FR"/>
        </w:rPr>
        <w:t xml:space="preserve"> et l</w:t>
      </w:r>
      <w:r w:rsidR="000A0979" w:rsidRPr="00B953FA">
        <w:rPr>
          <w:lang w:val="fr-FR"/>
        </w:rPr>
        <w:t>’</w:t>
      </w:r>
      <w:r w:rsidRPr="00B953FA">
        <w:rPr>
          <w:lang w:val="fr-FR"/>
        </w:rPr>
        <w:t>Italie en 1941</w:t>
      </w:r>
      <w:r w:rsidRPr="00B953FA">
        <w:rPr>
          <w:vertAlign w:val="superscript"/>
          <w:lang w:val="fr-FR"/>
        </w:rPr>
        <w:footnoteReference w:id="15"/>
      </w:r>
      <w:r w:rsidRPr="00B953FA">
        <w:rPr>
          <w:lang w:val="fr-FR"/>
        </w:rPr>
        <w:t xml:space="preserve"> (les trois dernières prévoyant que la quote</w:t>
      </w:r>
      <w:r w:rsidR="00FA1A0F">
        <w:rPr>
          <w:lang w:val="fr-FR"/>
        </w:rPr>
        <w:noBreakHyphen/>
      </w:r>
      <w:r w:rsidRPr="00B953FA">
        <w:rPr>
          <w:lang w:val="fr-FR"/>
        </w:rPr>
        <w:t>part devrait être fondée sur une plus</w:t>
      </w:r>
      <w:r w:rsidR="00FA1A0F">
        <w:rPr>
          <w:lang w:val="fr-FR"/>
        </w:rPr>
        <w:noBreakHyphen/>
      </w:r>
      <w:r w:rsidRPr="00B953FA">
        <w:rPr>
          <w:lang w:val="fr-FR"/>
        </w:rPr>
        <w:t>value de l</w:t>
      </w:r>
      <w:r w:rsidR="000A0979" w:rsidRPr="00B953FA">
        <w:rPr>
          <w:lang w:val="fr-FR"/>
        </w:rPr>
        <w:t>’</w:t>
      </w:r>
      <w:r w:rsidRPr="00B953FA">
        <w:rPr>
          <w:lang w:val="fr-FR"/>
        </w:rPr>
        <w:t>œuvre vendue).  L</w:t>
      </w:r>
      <w:r w:rsidR="000A0979" w:rsidRPr="00B953FA">
        <w:rPr>
          <w:lang w:val="fr-FR"/>
        </w:rPr>
        <w:t>’</w:t>
      </w:r>
      <w:r w:rsidRPr="00B953FA">
        <w:rPr>
          <w:lang w:val="fr-FR"/>
        </w:rPr>
        <w:t>Uruguay, alors non</w:t>
      </w:r>
      <w:r w:rsidR="00FA1A0F">
        <w:rPr>
          <w:lang w:val="fr-FR"/>
        </w:rPr>
        <w:noBreakHyphen/>
      </w:r>
      <w:r w:rsidRPr="00B953FA">
        <w:rPr>
          <w:lang w:val="fr-FR"/>
        </w:rPr>
        <w:t xml:space="preserve">membre de </w:t>
      </w:r>
      <w:r w:rsidR="00B67244">
        <w:rPr>
          <w:lang w:val="fr-FR"/>
        </w:rPr>
        <w:t xml:space="preserve">l’Union de </w:t>
      </w:r>
      <w:r w:rsidRPr="00B953FA">
        <w:rPr>
          <w:lang w:val="fr-FR"/>
        </w:rPr>
        <w:t>Berne, adopta en 1937 une forme extrêmement généreuse de droit de suite des artistes</w:t>
      </w:r>
      <w:r w:rsidRPr="00B953FA">
        <w:rPr>
          <w:vertAlign w:val="superscript"/>
          <w:lang w:val="fr-FR"/>
        </w:rPr>
        <w:footnoteReference w:id="16"/>
      </w:r>
      <w:r w:rsidRPr="00B953FA">
        <w:rPr>
          <w:lang w:val="fr-FR"/>
        </w:rPr>
        <w:t>, et, après la Seconde Guerre mondiale, le nombre d</w:t>
      </w:r>
      <w:r w:rsidR="000A0979" w:rsidRPr="00B953FA">
        <w:rPr>
          <w:lang w:val="fr-FR"/>
        </w:rPr>
        <w:t>’</w:t>
      </w:r>
      <w:r w:rsidRPr="00B953FA">
        <w:rPr>
          <w:lang w:val="fr-FR"/>
        </w:rPr>
        <w:t>États qui ont reconnu le droit de suite des artistes a augmenté lentement mais régulièrement</w:t>
      </w:r>
      <w:r w:rsidRPr="00B953FA">
        <w:rPr>
          <w:vertAlign w:val="superscript"/>
          <w:lang w:val="fr-FR"/>
        </w:rPr>
        <w:footnoteReference w:id="17"/>
      </w:r>
      <w:r w:rsidRPr="00B953FA">
        <w:rPr>
          <w:lang w:val="fr-FR"/>
        </w:rPr>
        <w:t>.</w:t>
      </w:r>
    </w:p>
    <w:p w14:paraId="4E5FA437" w14:textId="5EB690C6" w:rsidR="00C77D5B" w:rsidRPr="00B953FA" w:rsidRDefault="00C77D5B" w:rsidP="002D7EE2">
      <w:pPr>
        <w:pStyle w:val="ONUMFS"/>
        <w:rPr>
          <w:lang w:val="fr-FR"/>
        </w:rPr>
      </w:pPr>
      <w:r w:rsidRPr="00B953FA">
        <w:rPr>
          <w:lang w:val="fr-FR"/>
        </w:rPr>
        <w:t>La reconnaissance du droit de suite des artistes dans le cadre de la Convention de Berne a également eu lieu</w:t>
      </w:r>
      <w:r w:rsidR="00313EC4" w:rsidRPr="00B953FA">
        <w:rPr>
          <w:lang w:val="fr-FR"/>
        </w:rPr>
        <w:t xml:space="preserve"> pendant cette période</w:t>
      </w:r>
      <w:r w:rsidRPr="00B953FA">
        <w:rPr>
          <w:lang w:val="fr-FR"/>
        </w:rPr>
        <w:t>.  L</w:t>
      </w:r>
      <w:r w:rsidR="000A0979" w:rsidRPr="00B953FA">
        <w:rPr>
          <w:lang w:val="fr-FR"/>
        </w:rPr>
        <w:t>’</w:t>
      </w:r>
      <w:r w:rsidRPr="00B953FA">
        <w:rPr>
          <w:lang w:val="fr-FR"/>
        </w:rPr>
        <w:t>Association littéraire et artistique internationale (ALAI) et l</w:t>
      </w:r>
      <w:r w:rsidR="000A0979" w:rsidRPr="00B953FA">
        <w:rPr>
          <w:lang w:val="fr-FR"/>
        </w:rPr>
        <w:t>’</w:t>
      </w:r>
      <w:r w:rsidRPr="00B953FA">
        <w:rPr>
          <w:lang w:val="fr-FR"/>
        </w:rPr>
        <w:t>Institut international de coopération intellectuelle (précurseur de l</w:t>
      </w:r>
      <w:r w:rsidR="000A0979" w:rsidRPr="00B953FA">
        <w:rPr>
          <w:lang w:val="fr-FR"/>
        </w:rPr>
        <w:t>’</w:t>
      </w:r>
      <w:r w:rsidRPr="00B953FA">
        <w:rPr>
          <w:lang w:val="fr-FR"/>
        </w:rPr>
        <w:t>UNESCO) en ont été les premiers promoteurs et le Gouvernement français l</w:t>
      </w:r>
      <w:r w:rsidR="000A0979" w:rsidRPr="00B953FA">
        <w:rPr>
          <w:lang w:val="fr-FR"/>
        </w:rPr>
        <w:t>’</w:t>
      </w:r>
      <w:r w:rsidRPr="00B953FA">
        <w:rPr>
          <w:lang w:val="fr-FR"/>
        </w:rPr>
        <w:t>a mis à l</w:t>
      </w:r>
      <w:r w:rsidR="000A0979" w:rsidRPr="00B953FA">
        <w:rPr>
          <w:lang w:val="fr-FR"/>
        </w:rPr>
        <w:t>’</w:t>
      </w:r>
      <w:r w:rsidRPr="00B953FA">
        <w:rPr>
          <w:lang w:val="fr-FR"/>
        </w:rPr>
        <w:t>ordre du jour de la Conférence de révision de Rome en 1928</w:t>
      </w:r>
      <w:r w:rsidRPr="00B953FA">
        <w:rPr>
          <w:vertAlign w:val="superscript"/>
          <w:lang w:val="fr-FR"/>
        </w:rPr>
        <w:footnoteReference w:id="18"/>
      </w:r>
      <w:r w:rsidRPr="00B953FA">
        <w:rPr>
          <w:lang w:val="fr-FR"/>
        </w:rPr>
        <w:t>.  Une résolution recommandant aux membres de l</w:t>
      </w:r>
      <w:r w:rsidR="000A0979" w:rsidRPr="00B953FA">
        <w:rPr>
          <w:lang w:val="fr-FR"/>
        </w:rPr>
        <w:t>’</w:t>
      </w:r>
      <w:r w:rsidRPr="00B953FA">
        <w:rPr>
          <w:lang w:val="fr-FR"/>
        </w:rPr>
        <w:t>Union de Berne d</w:t>
      </w:r>
      <w:r w:rsidR="000A0979" w:rsidRPr="00B953FA">
        <w:rPr>
          <w:lang w:val="fr-FR"/>
        </w:rPr>
        <w:t>’</w:t>
      </w:r>
      <w:r w:rsidRPr="00B953FA">
        <w:rPr>
          <w:lang w:val="fr-FR"/>
        </w:rPr>
        <w:t>envisager l</w:t>
      </w:r>
      <w:r w:rsidR="000A0979" w:rsidRPr="00B953FA">
        <w:rPr>
          <w:lang w:val="fr-FR"/>
        </w:rPr>
        <w:t>’</w:t>
      </w:r>
      <w:r w:rsidRPr="00B953FA">
        <w:rPr>
          <w:lang w:val="fr-FR"/>
        </w:rPr>
        <w:t>adoption d</w:t>
      </w:r>
      <w:r w:rsidR="000A0979" w:rsidRPr="00B953FA">
        <w:rPr>
          <w:lang w:val="fr-FR"/>
        </w:rPr>
        <w:t>’</w:t>
      </w:r>
      <w:r w:rsidRPr="00B953FA">
        <w:rPr>
          <w:lang w:val="fr-FR"/>
        </w:rPr>
        <w:t>un droit de suite</w:t>
      </w:r>
      <w:r w:rsidRPr="00B953FA">
        <w:rPr>
          <w:i/>
          <w:lang w:val="fr-FR"/>
        </w:rPr>
        <w:t xml:space="preserve"> </w:t>
      </w:r>
      <w:r w:rsidRPr="00B953FA">
        <w:rPr>
          <w:lang w:val="fr-FR"/>
        </w:rPr>
        <w:t>a été adoptée par cette conférence, malgré les réserves d</w:t>
      </w:r>
      <w:r w:rsidR="000A0979" w:rsidRPr="00B953FA">
        <w:rPr>
          <w:lang w:val="fr-FR"/>
        </w:rPr>
        <w:t>’</w:t>
      </w:r>
      <w:r w:rsidRPr="00B953FA">
        <w:rPr>
          <w:lang w:val="fr-FR"/>
        </w:rPr>
        <w:t>un certain nombre de pays à son sujet</w:t>
      </w:r>
      <w:r w:rsidRPr="00B953FA">
        <w:rPr>
          <w:vertAlign w:val="superscript"/>
          <w:lang w:val="fr-FR"/>
        </w:rPr>
        <w:footnoteReference w:id="19"/>
      </w:r>
      <w:r w:rsidRPr="00B953FA">
        <w:rPr>
          <w:lang w:val="fr-FR"/>
        </w:rPr>
        <w:t>.  D</w:t>
      </w:r>
      <w:r w:rsidR="000A0979" w:rsidRPr="00B953FA">
        <w:rPr>
          <w:lang w:val="fr-FR"/>
        </w:rPr>
        <w:t>’</w:t>
      </w:r>
      <w:r w:rsidRPr="00B953FA">
        <w:rPr>
          <w:lang w:val="fr-FR"/>
        </w:rPr>
        <w:t>autres études se sont poursuivies dans les années 1930</w:t>
      </w:r>
      <w:r w:rsidRPr="00B953FA">
        <w:rPr>
          <w:vertAlign w:val="superscript"/>
          <w:lang w:val="fr-FR"/>
        </w:rPr>
        <w:footnoteReference w:id="20"/>
      </w:r>
      <w:r w:rsidRPr="00B953FA">
        <w:rPr>
          <w:lang w:val="fr-FR"/>
        </w:rPr>
        <w:t xml:space="preserve"> mais ce n</w:t>
      </w:r>
      <w:r w:rsidR="000A0979" w:rsidRPr="00B953FA">
        <w:rPr>
          <w:lang w:val="fr-FR"/>
        </w:rPr>
        <w:t>’</w:t>
      </w:r>
      <w:r w:rsidRPr="00B953FA">
        <w:rPr>
          <w:lang w:val="fr-FR"/>
        </w:rPr>
        <w:t>est qu</w:t>
      </w:r>
      <w:r w:rsidR="000A0979" w:rsidRPr="00B953FA">
        <w:rPr>
          <w:lang w:val="fr-FR"/>
        </w:rPr>
        <w:t>’</w:t>
      </w:r>
      <w:r w:rsidRPr="00B953FA">
        <w:rPr>
          <w:lang w:val="fr-FR"/>
        </w:rPr>
        <w:t>à la Conférence de révision de Bruxelles en 1948 qu</w:t>
      </w:r>
      <w:r w:rsidR="000A0979" w:rsidRPr="00B953FA">
        <w:rPr>
          <w:lang w:val="fr-FR"/>
        </w:rPr>
        <w:t>’</w:t>
      </w:r>
      <w:r w:rsidRPr="00B953FA">
        <w:rPr>
          <w:lang w:val="fr-FR"/>
        </w:rPr>
        <w:t>une disposition facultative à ce sujet</w:t>
      </w:r>
      <w:r w:rsidRPr="00B953FA">
        <w:rPr>
          <w:i/>
          <w:lang w:val="fr-FR"/>
        </w:rPr>
        <w:t xml:space="preserve"> </w:t>
      </w:r>
      <w:r w:rsidRPr="00B953FA">
        <w:rPr>
          <w:lang w:val="fr-FR"/>
        </w:rPr>
        <w:t>a été introduite dans la Convention en tant qu</w:t>
      </w:r>
      <w:r w:rsidR="000A0979" w:rsidRPr="00B953FA">
        <w:rPr>
          <w:lang w:val="fr-FR"/>
        </w:rPr>
        <w:t>’</w:t>
      </w:r>
      <w:r w:rsidRPr="00B953FA">
        <w:rPr>
          <w:lang w:val="fr-FR"/>
        </w:rPr>
        <w:t>article 14</w:t>
      </w:r>
      <w:r w:rsidRPr="00B953FA">
        <w:rPr>
          <w:i/>
          <w:lang w:val="fr-FR"/>
        </w:rPr>
        <w:t>bis (</w:t>
      </w:r>
      <w:r w:rsidRPr="00B953FA">
        <w:rPr>
          <w:lang w:val="fr-FR"/>
        </w:rPr>
        <w:t>devenu article 14</w:t>
      </w:r>
      <w:r w:rsidRPr="00B953FA">
        <w:rPr>
          <w:i/>
          <w:lang w:val="fr-FR"/>
        </w:rPr>
        <w:t>t</w:t>
      </w:r>
      <w:r w:rsidR="00B953FA" w:rsidRPr="00B953FA">
        <w:rPr>
          <w:i/>
          <w:lang w:val="fr-FR"/>
        </w:rPr>
        <w:t xml:space="preserve">er).  </w:t>
      </w:r>
      <w:r w:rsidR="00B953FA" w:rsidRPr="00B953FA">
        <w:rPr>
          <w:lang w:val="fr-FR"/>
        </w:rPr>
        <w:t>Pa</w:t>
      </w:r>
      <w:r w:rsidRPr="00B953FA">
        <w:rPr>
          <w:lang w:val="fr-FR"/>
        </w:rPr>
        <w:t>r la suite, le nombre de pays membres de la Convention de Berne ayant des dispositions sur le droit de suite des artistes a lentement mais régulièrement augmenté</w:t>
      </w:r>
      <w:r w:rsidRPr="00B953FA">
        <w:rPr>
          <w:vertAlign w:val="superscript"/>
          <w:lang w:val="fr-FR"/>
        </w:rPr>
        <w:footnoteReference w:id="21"/>
      </w:r>
      <w:r w:rsidRPr="00B953FA">
        <w:rPr>
          <w:lang w:val="fr-FR"/>
        </w:rPr>
        <w:t>.  Les critères de l</w:t>
      </w:r>
      <w:r w:rsidR="000A0979" w:rsidRPr="00B953FA">
        <w:rPr>
          <w:lang w:val="fr-FR"/>
        </w:rPr>
        <w:t>’</w:t>
      </w:r>
      <w:r w:rsidRPr="00B953FA">
        <w:rPr>
          <w:lang w:val="fr-FR"/>
        </w:rPr>
        <w:t>article 14</w:t>
      </w:r>
      <w:r w:rsidRPr="00B953FA">
        <w:rPr>
          <w:i/>
          <w:lang w:val="fr-FR"/>
        </w:rPr>
        <w:t xml:space="preserve">ter </w:t>
      </w:r>
      <w:r w:rsidRPr="00B953FA">
        <w:rPr>
          <w:lang w:val="fr-FR"/>
        </w:rPr>
        <w:t>(tel que légèrement révisé à Stockholm en 1967) sont examinés plus loin au paragraphe 13.  Il ne fait guère de doute que ces évolutions au niveau national (et dans la Convention de Berne à proprement parler) s</w:t>
      </w:r>
      <w:r w:rsidR="000A0979" w:rsidRPr="00B953FA">
        <w:rPr>
          <w:lang w:val="fr-FR"/>
        </w:rPr>
        <w:t>’</w:t>
      </w:r>
      <w:r w:rsidRPr="00B953FA">
        <w:rPr>
          <w:lang w:val="fr-FR"/>
        </w:rPr>
        <w:t xml:space="preserve">inspirent </w:t>
      </w:r>
      <w:r w:rsidRPr="00B953FA">
        <w:rPr>
          <w:lang w:val="fr-FR"/>
        </w:rPr>
        <w:lastRenderedPageBreak/>
        <w:t>et portent l</w:t>
      </w:r>
      <w:r w:rsidR="000A0979" w:rsidRPr="00B953FA">
        <w:rPr>
          <w:lang w:val="fr-FR"/>
        </w:rPr>
        <w:t>’</w:t>
      </w:r>
      <w:r w:rsidRPr="00B953FA">
        <w:rPr>
          <w:lang w:val="fr-FR"/>
        </w:rPr>
        <w:t>empreinte de la législation française originelle en la matière (c</w:t>
      </w:r>
      <w:r w:rsidR="000A0979" w:rsidRPr="00B953FA">
        <w:rPr>
          <w:lang w:val="fr-FR"/>
        </w:rPr>
        <w:t>’</w:t>
      </w:r>
      <w:r w:rsidRPr="00B953FA">
        <w:rPr>
          <w:lang w:val="fr-FR"/>
        </w:rPr>
        <w:t>est notamment le cas de la Directive CE de 2001).</w:t>
      </w:r>
    </w:p>
    <w:p w14:paraId="462BA899" w14:textId="7F2F1AC4" w:rsidR="00C77D5B" w:rsidRPr="00B953FA" w:rsidRDefault="00C77D5B" w:rsidP="002D7EE2">
      <w:pPr>
        <w:pStyle w:val="ONUMFS"/>
        <w:rPr>
          <w:lang w:val="fr-FR"/>
        </w:rPr>
      </w:pPr>
      <w:r w:rsidRPr="00B953FA">
        <w:rPr>
          <w:lang w:val="fr-FR"/>
        </w:rPr>
        <w:t>L</w:t>
      </w:r>
      <w:r w:rsidR="000A0979" w:rsidRPr="00B953FA">
        <w:rPr>
          <w:lang w:val="fr-FR"/>
        </w:rPr>
        <w:t>’</w:t>
      </w:r>
      <w:r w:rsidRPr="00B953FA">
        <w:rPr>
          <w:lang w:val="fr-FR"/>
        </w:rPr>
        <w:t>équité et la justice envers l</w:t>
      </w:r>
      <w:r w:rsidR="000A0979" w:rsidRPr="00B953FA">
        <w:rPr>
          <w:lang w:val="fr-FR"/>
        </w:rPr>
        <w:t>’</w:t>
      </w:r>
      <w:r w:rsidRPr="00B953FA">
        <w:rPr>
          <w:lang w:val="fr-FR"/>
        </w:rPr>
        <w:t xml:space="preserve">artiste et ses descendants fournissent de solides justifications morales, ainsi que pratiques, pour la reconnaissance du droit de suite des artistes, comme en témoigne le commentaire suivant dans la </w:t>
      </w:r>
      <w:r w:rsidR="00041DF8">
        <w:rPr>
          <w:lang w:val="fr-FR"/>
        </w:rPr>
        <w:t>L</w:t>
      </w:r>
      <w:r w:rsidRPr="00B953FA">
        <w:rPr>
          <w:lang w:val="fr-FR"/>
        </w:rPr>
        <w:t>oi type de Tunis de 1976 sur le droit d</w:t>
      </w:r>
      <w:r w:rsidR="000A0979" w:rsidRPr="00B953FA">
        <w:rPr>
          <w:lang w:val="fr-FR"/>
        </w:rPr>
        <w:t>’</w:t>
      </w:r>
      <w:r w:rsidRPr="00B953FA">
        <w:rPr>
          <w:lang w:val="fr-FR"/>
        </w:rPr>
        <w:t>auteur à l</w:t>
      </w:r>
      <w:r w:rsidR="000A0979" w:rsidRPr="00B953FA">
        <w:rPr>
          <w:lang w:val="fr-FR"/>
        </w:rPr>
        <w:t>’</w:t>
      </w:r>
      <w:r w:rsidRPr="00B953FA">
        <w:rPr>
          <w:lang w:val="fr-FR"/>
        </w:rPr>
        <w:t>usage des pays en développement (UNESCO/OMPI), qui contient une telle disposition (article 4</w:t>
      </w:r>
      <w:r w:rsidRPr="00B953FA">
        <w:rPr>
          <w:i/>
          <w:lang w:val="fr-FR"/>
        </w:rPr>
        <w:t>bis</w:t>
      </w:r>
      <w:r w:rsidRPr="00B953FA">
        <w:rPr>
          <w:lang w:val="fr-FR"/>
        </w:rPr>
        <w:t>)</w:t>
      </w:r>
      <w:r w:rsidR="000A0979" w:rsidRPr="00B953FA">
        <w:rPr>
          <w:lang w:val="fr-FR"/>
        </w:rPr>
        <w:t> :</w:t>
      </w:r>
    </w:p>
    <w:p w14:paraId="13EFCE86" w14:textId="6CAFA3D8" w:rsidR="00C77D5B" w:rsidRPr="00B953FA" w:rsidRDefault="00C77D5B" w:rsidP="002D7EE2">
      <w:pPr>
        <w:pStyle w:val="ONUMFS"/>
        <w:numPr>
          <w:ilvl w:val="0"/>
          <w:numId w:val="0"/>
        </w:numPr>
        <w:ind w:left="567"/>
        <w:rPr>
          <w:sz w:val="20"/>
          <w:lang w:val="fr-FR"/>
        </w:rPr>
      </w:pPr>
      <w:r w:rsidRPr="00B953FA">
        <w:rPr>
          <w:sz w:val="20"/>
          <w:lang w:val="fr-FR"/>
        </w:rPr>
        <w:t>Cette disposition découle d</w:t>
      </w:r>
      <w:r w:rsidR="000A0979" w:rsidRPr="00B953FA">
        <w:rPr>
          <w:sz w:val="20"/>
          <w:lang w:val="fr-FR"/>
        </w:rPr>
        <w:t>’</w:t>
      </w:r>
      <w:r w:rsidRPr="00B953FA">
        <w:rPr>
          <w:sz w:val="20"/>
          <w:lang w:val="fr-FR"/>
        </w:rPr>
        <w:t xml:space="preserve">une considération pratique, </w:t>
      </w:r>
      <w:r w:rsidR="000A0979" w:rsidRPr="00B953FA">
        <w:rPr>
          <w:sz w:val="20"/>
          <w:lang w:val="fr-FR"/>
        </w:rPr>
        <w:t>à savoir</w:t>
      </w:r>
      <w:r w:rsidRPr="00B953FA">
        <w:rPr>
          <w:sz w:val="20"/>
          <w:lang w:val="fr-FR"/>
        </w:rPr>
        <w:t xml:space="preserve"> qu</w:t>
      </w:r>
      <w:r w:rsidR="000A0979" w:rsidRPr="00B953FA">
        <w:rPr>
          <w:sz w:val="20"/>
          <w:lang w:val="fr-FR"/>
        </w:rPr>
        <w:t>’</w:t>
      </w:r>
      <w:r w:rsidRPr="00B953FA">
        <w:rPr>
          <w:sz w:val="20"/>
          <w:lang w:val="fr-FR"/>
        </w:rPr>
        <w:t>au début de leur carrière, des auteurs peu connus se défont souvent de leurs œuvres à un prix dérisoi</w:t>
      </w:r>
      <w:r w:rsidR="00B953FA" w:rsidRPr="00B953FA">
        <w:rPr>
          <w:sz w:val="20"/>
          <w:lang w:val="fr-FR"/>
        </w:rPr>
        <w:t>re.  Ce</w:t>
      </w:r>
      <w:r w:rsidRPr="00B953FA">
        <w:rPr>
          <w:sz w:val="20"/>
          <w:lang w:val="fr-FR"/>
        </w:rPr>
        <w:t>s œuvres peuvent par la suite prendre une valeur considérable, et il semble donc équitable que l</w:t>
      </w:r>
      <w:r w:rsidR="000A0979" w:rsidRPr="00B953FA">
        <w:rPr>
          <w:sz w:val="20"/>
          <w:lang w:val="fr-FR"/>
        </w:rPr>
        <w:t>’</w:t>
      </w:r>
      <w:r w:rsidRPr="00B953FA">
        <w:rPr>
          <w:sz w:val="20"/>
          <w:lang w:val="fr-FR"/>
        </w:rPr>
        <w:t>auteur participe à la fortune de son œuvre et perçoive un pourcentage du prix de vente de l</w:t>
      </w:r>
      <w:r w:rsidR="000A0979" w:rsidRPr="00B953FA">
        <w:rPr>
          <w:sz w:val="20"/>
          <w:lang w:val="fr-FR"/>
        </w:rPr>
        <w:t>’</w:t>
      </w:r>
      <w:r w:rsidRPr="00B953FA">
        <w:rPr>
          <w:sz w:val="20"/>
          <w:lang w:val="fr-FR"/>
        </w:rPr>
        <w:t>œuvre chaque fois qu</w:t>
      </w:r>
      <w:r w:rsidR="000A0979" w:rsidRPr="00B953FA">
        <w:rPr>
          <w:sz w:val="20"/>
          <w:lang w:val="fr-FR"/>
        </w:rPr>
        <w:t>’</w:t>
      </w:r>
      <w:r w:rsidRPr="00B953FA">
        <w:rPr>
          <w:sz w:val="20"/>
          <w:lang w:val="fr-FR"/>
        </w:rPr>
        <w:t>elle change de propriétaire</w:t>
      </w:r>
      <w:r w:rsidRPr="00B953FA">
        <w:rPr>
          <w:sz w:val="20"/>
          <w:vertAlign w:val="superscript"/>
          <w:lang w:val="fr-FR"/>
        </w:rPr>
        <w:footnoteReference w:id="22"/>
      </w:r>
      <w:r w:rsidRPr="00B953FA">
        <w:rPr>
          <w:sz w:val="20"/>
          <w:lang w:val="fr-FR"/>
        </w:rPr>
        <w:t>.</w:t>
      </w:r>
    </w:p>
    <w:p w14:paraId="71D2B575" w14:textId="09CC3EFC" w:rsidR="00C77D5B" w:rsidRPr="00B953FA" w:rsidRDefault="00C77D5B" w:rsidP="002D7EE2">
      <w:pPr>
        <w:pStyle w:val="ONUMFS"/>
        <w:numPr>
          <w:ilvl w:val="0"/>
          <w:numId w:val="0"/>
        </w:numPr>
        <w:rPr>
          <w:lang w:val="fr-FR"/>
        </w:rPr>
      </w:pPr>
      <w:r w:rsidRPr="00B953FA">
        <w:rPr>
          <w:lang w:val="fr-FR"/>
        </w:rPr>
        <w:t>On le comprend aisément, ces arguments sont souvent vigoureusement contestés de la part des acheteurs, galeries et autres intermédiaires, qui affirment qu</w:t>
      </w:r>
      <w:r w:rsidR="000A0979" w:rsidRPr="00B953FA">
        <w:rPr>
          <w:lang w:val="fr-FR"/>
        </w:rPr>
        <w:t>’</w:t>
      </w:r>
      <w:r w:rsidRPr="00B953FA">
        <w:rPr>
          <w:lang w:val="fr-FR"/>
        </w:rPr>
        <w:t>ils prennent souvent des risques importants en “investissant” dans des artistes en début de carrière et que ces derniers seront suffisamment récompensés à mesure qu</w:t>
      </w:r>
      <w:r w:rsidR="000A0979" w:rsidRPr="00B953FA">
        <w:rPr>
          <w:lang w:val="fr-FR"/>
        </w:rPr>
        <w:t>’</w:t>
      </w:r>
      <w:r w:rsidRPr="00B953FA">
        <w:rPr>
          <w:lang w:val="fr-FR"/>
        </w:rPr>
        <w:t>ils vieillissent et développent leurs march</w:t>
      </w:r>
      <w:r w:rsidR="00B953FA" w:rsidRPr="00B953FA">
        <w:rPr>
          <w:lang w:val="fr-FR"/>
        </w:rPr>
        <w:t>és.  De</w:t>
      </w:r>
      <w:r w:rsidRPr="00B953FA">
        <w:rPr>
          <w:lang w:val="fr-FR"/>
        </w:rPr>
        <w:t>s arguments féroces des deux côtés peuvent être facilement avancés</w:t>
      </w:r>
      <w:r w:rsidRPr="00B953FA">
        <w:rPr>
          <w:vertAlign w:val="superscript"/>
          <w:lang w:val="fr-FR"/>
        </w:rPr>
        <w:footnoteReference w:id="23"/>
      </w:r>
      <w:r w:rsidRPr="00B953FA">
        <w:rPr>
          <w:lang w:val="fr-FR"/>
        </w:rPr>
        <w:t>.</w:t>
      </w:r>
    </w:p>
    <w:p w14:paraId="3B882DFC" w14:textId="4A879FB4" w:rsidR="00C77D5B" w:rsidRPr="00B953FA" w:rsidRDefault="00C77D5B" w:rsidP="002D7EE2">
      <w:pPr>
        <w:pStyle w:val="ONUMFS"/>
        <w:rPr>
          <w:lang w:val="fr-FR"/>
        </w:rPr>
      </w:pPr>
      <w:r w:rsidRPr="00B953FA">
        <w:rPr>
          <w:lang w:val="fr-FR"/>
        </w:rPr>
        <w:t>Il est également possible d</w:t>
      </w:r>
      <w:r w:rsidR="000A0979" w:rsidRPr="00B953FA">
        <w:rPr>
          <w:lang w:val="fr-FR"/>
        </w:rPr>
        <w:t>’</w:t>
      </w:r>
      <w:r w:rsidRPr="00B953FA">
        <w:rPr>
          <w:lang w:val="fr-FR"/>
        </w:rPr>
        <w:t>avancer des arguments de principe en faveur du droit de suite des artistes fondés sur la nécessité d</w:t>
      </w:r>
      <w:r w:rsidR="000A0979" w:rsidRPr="00B953FA">
        <w:rPr>
          <w:lang w:val="fr-FR"/>
        </w:rPr>
        <w:t>’</w:t>
      </w:r>
      <w:r w:rsidRPr="00B953FA">
        <w:rPr>
          <w:lang w:val="fr-FR"/>
        </w:rPr>
        <w:t>une parité entre différentes catégories de créateurs d</w:t>
      </w:r>
      <w:r w:rsidR="000A0979" w:rsidRPr="00B953FA">
        <w:rPr>
          <w:lang w:val="fr-FR"/>
        </w:rPr>
        <w:t>’</w:t>
      </w:r>
      <w:r w:rsidRPr="00B953FA">
        <w:rPr>
          <w:lang w:val="fr-FR"/>
        </w:rPr>
        <w:t>œuvres originales, notamment lorsque l</w:t>
      </w:r>
      <w:r w:rsidR="000A0979" w:rsidRPr="00B953FA">
        <w:rPr>
          <w:lang w:val="fr-FR"/>
        </w:rPr>
        <w:t>’</w:t>
      </w:r>
      <w:r w:rsidRPr="00B953FA">
        <w:rPr>
          <w:lang w:val="fr-FR"/>
        </w:rPr>
        <w:t>on considère la position des artistes visuels</w:t>
      </w:r>
      <w:r w:rsidR="000A0979" w:rsidRPr="00B953FA">
        <w:rPr>
          <w:lang w:val="fr-FR"/>
        </w:rPr>
        <w:t> :</w:t>
      </w:r>
      <w:r w:rsidRPr="00B953FA">
        <w:rPr>
          <w:lang w:val="fr-FR"/>
        </w:rPr>
        <w:t xml:space="preserve"> cela part du principe que l</w:t>
      </w:r>
      <w:r w:rsidR="000A0979" w:rsidRPr="00B953FA">
        <w:rPr>
          <w:lang w:val="fr-FR"/>
        </w:rPr>
        <w:t>’</w:t>
      </w:r>
      <w:r w:rsidRPr="00B953FA">
        <w:rPr>
          <w:lang w:val="fr-FR"/>
        </w:rPr>
        <w:t>artiste visuel, en raison de la nature particulière de son œuvre, est désavantagé dans l</w:t>
      </w:r>
      <w:r w:rsidR="000A0979" w:rsidRPr="00B953FA">
        <w:rPr>
          <w:lang w:val="fr-FR"/>
        </w:rPr>
        <w:t>’</w:t>
      </w:r>
      <w:r w:rsidRPr="00B953FA">
        <w:rPr>
          <w:lang w:val="fr-FR"/>
        </w:rPr>
        <w:t>exploitation de ses droits d</w:t>
      </w:r>
      <w:r w:rsidR="000A0979" w:rsidRPr="00B953FA">
        <w:rPr>
          <w:lang w:val="fr-FR"/>
        </w:rPr>
        <w:t>’</w:t>
      </w:r>
      <w:r w:rsidRPr="00B953FA">
        <w:rPr>
          <w:lang w:val="fr-FR"/>
        </w:rPr>
        <w:t>auteur par rapport aux autres catégories d</w:t>
      </w:r>
      <w:r w:rsidR="000A0979" w:rsidRPr="00B953FA">
        <w:rPr>
          <w:lang w:val="fr-FR"/>
        </w:rPr>
        <w:t>’</w:t>
      </w:r>
      <w:r w:rsidRPr="00B953FA">
        <w:rPr>
          <w:lang w:val="fr-FR"/>
        </w:rPr>
        <w:t>auteu</w:t>
      </w:r>
      <w:r w:rsidR="00B953FA" w:rsidRPr="00B953FA">
        <w:rPr>
          <w:lang w:val="fr-FR"/>
        </w:rPr>
        <w:t>rs.  Ai</w:t>
      </w:r>
      <w:r w:rsidRPr="00B953FA">
        <w:rPr>
          <w:lang w:val="fr-FR"/>
        </w:rPr>
        <w:t>nsi, le droit de reproduction peut ne pas être d</w:t>
      </w:r>
      <w:r w:rsidR="000A0979" w:rsidRPr="00B953FA">
        <w:rPr>
          <w:lang w:val="fr-FR"/>
        </w:rPr>
        <w:t>’</w:t>
      </w:r>
      <w:r w:rsidRPr="00B953FA">
        <w:rPr>
          <w:lang w:val="fr-FR"/>
        </w:rPr>
        <w:t>une aussi grande valeur que dans le cas d</w:t>
      </w:r>
      <w:r w:rsidR="000A0979" w:rsidRPr="00B953FA">
        <w:rPr>
          <w:lang w:val="fr-FR"/>
        </w:rPr>
        <w:t>’</w:t>
      </w:r>
      <w:r w:rsidRPr="00B953FA">
        <w:rPr>
          <w:lang w:val="fr-FR"/>
        </w:rPr>
        <w:t>un écrivain ou d</w:t>
      </w:r>
      <w:r w:rsidR="000A0979" w:rsidRPr="00B953FA">
        <w:rPr>
          <w:lang w:val="fr-FR"/>
        </w:rPr>
        <w:t>’</w:t>
      </w:r>
      <w:r w:rsidRPr="00B953FA">
        <w:rPr>
          <w:lang w:val="fr-FR"/>
        </w:rPr>
        <w:t>un compositeur (bien que cela ne soit pas toujours vrai</w:t>
      </w:r>
      <w:r w:rsidRPr="00B953FA">
        <w:rPr>
          <w:vertAlign w:val="superscript"/>
          <w:lang w:val="fr-FR"/>
        </w:rPr>
        <w:footnoteReference w:id="24"/>
      </w:r>
      <w:r w:rsidRPr="00B953FA">
        <w:rPr>
          <w:lang w:val="fr-FR"/>
        </w:rPr>
        <w:t>), tandis que l</w:t>
      </w:r>
      <w:r w:rsidR="000A0979" w:rsidRPr="00B953FA">
        <w:rPr>
          <w:lang w:val="fr-FR"/>
        </w:rPr>
        <w:t>’</w:t>
      </w:r>
      <w:r w:rsidRPr="00B953FA">
        <w:rPr>
          <w:lang w:val="fr-FR"/>
        </w:rPr>
        <w:t>artiste visuel n</w:t>
      </w:r>
      <w:r w:rsidR="000A0979" w:rsidRPr="00B953FA">
        <w:rPr>
          <w:lang w:val="fr-FR"/>
        </w:rPr>
        <w:t>’</w:t>
      </w:r>
      <w:r w:rsidRPr="00B953FA">
        <w:rPr>
          <w:lang w:val="fr-FR"/>
        </w:rPr>
        <w:t>a pas non plus les mêmes possibilités d</w:t>
      </w:r>
      <w:r w:rsidR="000A0979" w:rsidRPr="00B953FA">
        <w:rPr>
          <w:lang w:val="fr-FR"/>
        </w:rPr>
        <w:t>’</w:t>
      </w:r>
      <w:r w:rsidRPr="00B953FA">
        <w:rPr>
          <w:lang w:val="fr-FR"/>
        </w:rPr>
        <w:t>exploitation à travers des formes de communication publique telles que la performance et la diffusi</w:t>
      </w:r>
      <w:r w:rsidR="00B953FA" w:rsidRPr="00B953FA">
        <w:rPr>
          <w:lang w:val="fr-FR"/>
        </w:rPr>
        <w:t>on.  Sa</w:t>
      </w:r>
      <w:r w:rsidRPr="00B953FA">
        <w:rPr>
          <w:lang w:val="fr-FR"/>
        </w:rPr>
        <w:t xml:space="preserve"> principale source de revenus provient de sa vente de l</w:t>
      </w:r>
      <w:r w:rsidR="000A0979" w:rsidRPr="00B953FA">
        <w:rPr>
          <w:lang w:val="fr-FR"/>
        </w:rPr>
        <w:t>’</w:t>
      </w:r>
      <w:r w:rsidRPr="00B953FA">
        <w:rPr>
          <w:lang w:val="fr-FR"/>
        </w:rPr>
        <w:t>œuvre initiale en tant qu</w:t>
      </w:r>
      <w:r w:rsidR="000A0979" w:rsidRPr="00B953FA">
        <w:rPr>
          <w:lang w:val="fr-FR"/>
        </w:rPr>
        <w:t>’</w:t>
      </w:r>
      <w:r w:rsidRPr="00B953FA">
        <w:rPr>
          <w:lang w:val="fr-FR"/>
        </w:rPr>
        <w:t>objet d</w:t>
      </w:r>
      <w:r w:rsidR="000A0979" w:rsidRPr="00B953FA">
        <w:rPr>
          <w:lang w:val="fr-FR"/>
        </w:rPr>
        <w:t>’</w:t>
      </w:r>
      <w:r w:rsidRPr="00B953FA">
        <w:rPr>
          <w:lang w:val="fr-FR"/>
        </w:rPr>
        <w:t xml:space="preserve">art à part </w:t>
      </w:r>
      <w:proofErr w:type="gramStart"/>
      <w:r w:rsidRPr="00B953FA">
        <w:rPr>
          <w:lang w:val="fr-FR"/>
        </w:rPr>
        <w:t>entière;  après</w:t>
      </w:r>
      <w:proofErr w:type="gramEnd"/>
      <w:r w:rsidRPr="00B953FA">
        <w:rPr>
          <w:lang w:val="fr-FR"/>
        </w:rPr>
        <w:t xml:space="preserve"> la première vente, ses possibilités de percevoir un revenu continu grâce à la concession de licences sur ses droits de reproduction et de communication publique sont généralement plus restreintes que pour ses collègues des domaines littéraires et musica</w:t>
      </w:r>
      <w:r w:rsidR="00B953FA" w:rsidRPr="00B953FA">
        <w:rPr>
          <w:lang w:val="fr-FR"/>
        </w:rPr>
        <w:t>ux.  L’o</w:t>
      </w:r>
      <w:r w:rsidRPr="00B953FA">
        <w:rPr>
          <w:lang w:val="fr-FR"/>
        </w:rPr>
        <w:t>ctroi d</w:t>
      </w:r>
      <w:r w:rsidR="000A0979" w:rsidRPr="00B953FA">
        <w:rPr>
          <w:lang w:val="fr-FR"/>
        </w:rPr>
        <w:t>’</w:t>
      </w:r>
      <w:r w:rsidRPr="00B953FA">
        <w:rPr>
          <w:lang w:val="fr-FR"/>
        </w:rPr>
        <w:t>un droit de suite des artistes peut donc être considéré comme un moyen de redresser ce déséquilibre, rendant également sans pertinence la question de savoir si la revente se fait avec profit, puisque l</w:t>
      </w:r>
      <w:r w:rsidR="000A0979" w:rsidRPr="00B953FA">
        <w:rPr>
          <w:lang w:val="fr-FR"/>
        </w:rPr>
        <w:t>’</w:t>
      </w:r>
      <w:r w:rsidRPr="00B953FA">
        <w:rPr>
          <w:lang w:val="fr-FR"/>
        </w:rPr>
        <w:t>artiste perçoit une “redevance” sur la revente de son œuvre de la même manière que l</w:t>
      </w:r>
      <w:r w:rsidR="000A0979" w:rsidRPr="00B953FA">
        <w:rPr>
          <w:lang w:val="fr-FR"/>
        </w:rPr>
        <w:t>’</w:t>
      </w:r>
      <w:r w:rsidRPr="00B953FA">
        <w:rPr>
          <w:lang w:val="fr-FR"/>
        </w:rPr>
        <w:t>écrivain reçoit une redevance sur la vente d</w:t>
      </w:r>
      <w:r w:rsidR="000A0979" w:rsidRPr="00B953FA">
        <w:rPr>
          <w:lang w:val="fr-FR"/>
        </w:rPr>
        <w:t>’</w:t>
      </w:r>
      <w:r w:rsidRPr="00B953FA">
        <w:rPr>
          <w:lang w:val="fr-FR"/>
        </w:rPr>
        <w:t>un nouvel exemplaire de son œuv</w:t>
      </w:r>
      <w:r w:rsidR="00B953FA" w:rsidRPr="00B953FA">
        <w:rPr>
          <w:lang w:val="fr-FR"/>
        </w:rPr>
        <w:t>re.  Le</w:t>
      </w:r>
      <w:r w:rsidRPr="00B953FA">
        <w:rPr>
          <w:lang w:val="fr-FR"/>
        </w:rPr>
        <w:t xml:space="preserve"> but du droit de suite des artistes est donc de rendre plus efficace l</w:t>
      </w:r>
      <w:r w:rsidR="000A0979" w:rsidRPr="00B953FA">
        <w:rPr>
          <w:lang w:val="fr-FR"/>
        </w:rPr>
        <w:t>’</w:t>
      </w:r>
      <w:r w:rsidRPr="00B953FA">
        <w:rPr>
          <w:lang w:val="fr-FR"/>
        </w:rPr>
        <w:t>exploitation par l</w:t>
      </w:r>
      <w:r w:rsidR="000A0979" w:rsidRPr="00B953FA">
        <w:rPr>
          <w:lang w:val="fr-FR"/>
        </w:rPr>
        <w:t>’</w:t>
      </w:r>
      <w:r w:rsidRPr="00B953FA">
        <w:rPr>
          <w:lang w:val="fr-FR"/>
        </w:rPr>
        <w:t>artiste de son travail</w:t>
      </w:r>
      <w:r w:rsidRPr="00B953FA">
        <w:rPr>
          <w:i/>
          <w:lang w:val="fr-FR"/>
        </w:rPr>
        <w:t xml:space="preserve"> comme une œuvre</w:t>
      </w:r>
      <w:r w:rsidRPr="00B953FA">
        <w:rPr>
          <w:lang w:val="fr-FR"/>
        </w:rPr>
        <w:t>, et de corriger le déséquilibre qui existe autrement</w:t>
      </w:r>
      <w:r w:rsidRPr="00B953FA">
        <w:rPr>
          <w:vertAlign w:val="superscript"/>
          <w:lang w:val="fr-FR"/>
        </w:rPr>
        <w:footnoteReference w:id="25"/>
      </w:r>
      <w:r w:rsidRPr="00B953FA">
        <w:rPr>
          <w:lang w:val="fr-FR"/>
        </w:rPr>
        <w:t>.  Cette approche “d</w:t>
      </w:r>
      <w:r w:rsidR="000A0979" w:rsidRPr="00B953FA">
        <w:rPr>
          <w:lang w:val="fr-FR"/>
        </w:rPr>
        <w:t>’</w:t>
      </w:r>
      <w:r w:rsidRPr="00B953FA">
        <w:rPr>
          <w:lang w:val="fr-FR"/>
        </w:rPr>
        <w:t xml:space="preserve">exploitation” se retrouve désormais dans un nombre plus élevé de législations nationales sur </w:t>
      </w:r>
      <w:r w:rsidRPr="00B953FA">
        <w:rPr>
          <w:lang w:val="fr-FR"/>
        </w:rPr>
        <w:lastRenderedPageBreak/>
        <w:t>le droit de suite des artistes, qui traitent généralement ce droit comme faisant partie du droit d</w:t>
      </w:r>
      <w:r w:rsidR="000A0979" w:rsidRPr="00B953FA">
        <w:rPr>
          <w:lang w:val="fr-FR"/>
        </w:rPr>
        <w:t>’</w:t>
      </w:r>
      <w:r w:rsidRPr="00B953FA">
        <w:rPr>
          <w:lang w:val="fr-FR"/>
        </w:rPr>
        <w:t>auteur général, plutôt que comme quelque chose de sépa</w:t>
      </w:r>
      <w:r w:rsidR="00B953FA" w:rsidRPr="00B953FA">
        <w:rPr>
          <w:lang w:val="fr-FR"/>
        </w:rPr>
        <w:t>ré.  Ce</w:t>
      </w:r>
      <w:r w:rsidRPr="00B953FA">
        <w:rPr>
          <w:lang w:val="fr-FR"/>
        </w:rPr>
        <w:t>tte approche se reflète dans le considérant 3 de la directive européenne relative au droit de suite</w:t>
      </w:r>
      <w:r w:rsidR="000A0979" w:rsidRPr="00B953FA">
        <w:rPr>
          <w:lang w:val="fr-FR"/>
        </w:rPr>
        <w:t> :</w:t>
      </w:r>
    </w:p>
    <w:p w14:paraId="7258E659" w14:textId="33D30C04" w:rsidR="00C77D5B" w:rsidRPr="00B953FA" w:rsidRDefault="00C77D5B" w:rsidP="002D7EE2">
      <w:pPr>
        <w:pStyle w:val="ONUMFS"/>
        <w:numPr>
          <w:ilvl w:val="0"/>
          <w:numId w:val="0"/>
        </w:numPr>
        <w:ind w:left="567"/>
        <w:rPr>
          <w:iCs/>
          <w:sz w:val="20"/>
          <w:lang w:val="fr-FR"/>
        </w:rPr>
      </w:pPr>
      <w:r w:rsidRPr="00B953FA">
        <w:rPr>
          <w:iCs/>
          <w:sz w:val="20"/>
          <w:lang w:val="fr-FR"/>
        </w:rPr>
        <w:t>Le droit de suite vise à assurer aux auteurs d</w:t>
      </w:r>
      <w:r w:rsidR="000A0979" w:rsidRPr="00B953FA">
        <w:rPr>
          <w:iCs/>
          <w:sz w:val="20"/>
          <w:lang w:val="fr-FR"/>
        </w:rPr>
        <w:t>’</w:t>
      </w:r>
      <w:r w:rsidRPr="00B953FA">
        <w:rPr>
          <w:iCs/>
          <w:sz w:val="20"/>
          <w:lang w:val="fr-FR"/>
        </w:rPr>
        <w:t>œuvres d</w:t>
      </w:r>
      <w:r w:rsidR="000A0979" w:rsidRPr="00B953FA">
        <w:rPr>
          <w:iCs/>
          <w:sz w:val="20"/>
          <w:lang w:val="fr-FR"/>
        </w:rPr>
        <w:t>’</w:t>
      </w:r>
      <w:r w:rsidRPr="00B953FA">
        <w:rPr>
          <w:iCs/>
          <w:sz w:val="20"/>
          <w:lang w:val="fr-FR"/>
        </w:rPr>
        <w:t>art graphiques et plastiques une participation économique au succès de leurs créatio</w:t>
      </w:r>
      <w:r w:rsidR="00B953FA" w:rsidRPr="00B953FA">
        <w:rPr>
          <w:iCs/>
          <w:sz w:val="20"/>
          <w:lang w:val="fr-FR"/>
        </w:rPr>
        <w:t>ns.  Il</w:t>
      </w:r>
      <w:r w:rsidRPr="00B953FA">
        <w:rPr>
          <w:iCs/>
          <w:sz w:val="20"/>
          <w:lang w:val="fr-FR"/>
        </w:rPr>
        <w:t xml:space="preserve"> contribue à rétablir l</w:t>
      </w:r>
      <w:r w:rsidR="000A0979" w:rsidRPr="00B953FA">
        <w:rPr>
          <w:iCs/>
          <w:sz w:val="20"/>
          <w:lang w:val="fr-FR"/>
        </w:rPr>
        <w:t>’</w:t>
      </w:r>
      <w:r w:rsidRPr="00B953FA">
        <w:rPr>
          <w:iCs/>
          <w:sz w:val="20"/>
          <w:lang w:val="fr-FR"/>
        </w:rPr>
        <w:t>équilibre entre la situation économique des auteurs d</w:t>
      </w:r>
      <w:r w:rsidR="000A0979" w:rsidRPr="00B953FA">
        <w:rPr>
          <w:iCs/>
          <w:sz w:val="20"/>
          <w:lang w:val="fr-FR"/>
        </w:rPr>
        <w:t>’</w:t>
      </w:r>
      <w:r w:rsidRPr="00B953FA">
        <w:rPr>
          <w:iCs/>
          <w:sz w:val="20"/>
          <w:lang w:val="fr-FR"/>
        </w:rPr>
        <w:t>œuvres d</w:t>
      </w:r>
      <w:r w:rsidR="000A0979" w:rsidRPr="00B953FA">
        <w:rPr>
          <w:iCs/>
          <w:sz w:val="20"/>
          <w:lang w:val="fr-FR"/>
        </w:rPr>
        <w:t>’</w:t>
      </w:r>
      <w:r w:rsidRPr="00B953FA">
        <w:rPr>
          <w:iCs/>
          <w:sz w:val="20"/>
          <w:lang w:val="fr-FR"/>
        </w:rPr>
        <w:t>art graphiques et plastiques et celle des autres créateurs qui bénéficient des exploitations successives de leurs œuvres</w:t>
      </w:r>
      <w:r w:rsidRPr="00B953FA">
        <w:rPr>
          <w:iCs/>
          <w:sz w:val="20"/>
          <w:vertAlign w:val="superscript"/>
          <w:lang w:val="fr-FR"/>
        </w:rPr>
        <w:footnoteReference w:id="26"/>
      </w:r>
      <w:r w:rsidRPr="00B953FA">
        <w:rPr>
          <w:iCs/>
          <w:sz w:val="20"/>
          <w:lang w:val="fr-FR"/>
        </w:rPr>
        <w:t>.</w:t>
      </w:r>
    </w:p>
    <w:p w14:paraId="5789E150" w14:textId="4D362AE9" w:rsidR="00C77D5B" w:rsidRPr="00B953FA" w:rsidRDefault="00C77D5B" w:rsidP="002D7EE2">
      <w:pPr>
        <w:pStyle w:val="ONUMFS"/>
        <w:rPr>
          <w:lang w:val="fr-FR"/>
        </w:rPr>
      </w:pPr>
      <w:r w:rsidRPr="00B953FA">
        <w:rPr>
          <w:lang w:val="fr-FR"/>
        </w:rPr>
        <w:t>Vu sous cet angle, le droit de suite des artistes peut être considéré comme un droit économique à accorder aux artistes, qui ne diffère pas en substance des droits de reproduction, d</w:t>
      </w:r>
      <w:r w:rsidR="000A0979" w:rsidRPr="00B953FA">
        <w:rPr>
          <w:lang w:val="fr-FR"/>
        </w:rPr>
        <w:t>’</w:t>
      </w:r>
      <w:r w:rsidRPr="00B953FA">
        <w:rPr>
          <w:lang w:val="fr-FR"/>
        </w:rPr>
        <w:t>exécution publique, etc., bien qu</w:t>
      </w:r>
      <w:r w:rsidR="000A0979" w:rsidRPr="00B953FA">
        <w:rPr>
          <w:lang w:val="fr-FR"/>
        </w:rPr>
        <w:t>’</w:t>
      </w:r>
      <w:r w:rsidRPr="00B953FA">
        <w:rPr>
          <w:lang w:val="fr-FR"/>
        </w:rPr>
        <w:t>il soit spécialement conçu pour répondre aux circonstances de travail particulières de la pratique et de la production artistiques visuelles (on pourrait ici faire une analogie avec les droits de location qui sont souvent limités à d</w:t>
      </w:r>
      <w:r w:rsidR="000A0979" w:rsidRPr="00B953FA">
        <w:rPr>
          <w:lang w:val="fr-FR"/>
        </w:rPr>
        <w:t>’</w:t>
      </w:r>
      <w:r w:rsidRPr="00B953FA">
        <w:rPr>
          <w:lang w:val="fr-FR"/>
        </w:rPr>
        <w:t>autres types d</w:t>
      </w:r>
      <w:r w:rsidR="000A0979" w:rsidRPr="00B953FA">
        <w:rPr>
          <w:lang w:val="fr-FR"/>
        </w:rPr>
        <w:t>’</w:t>
      </w:r>
      <w:r w:rsidRPr="00B953FA">
        <w:rPr>
          <w:lang w:val="fr-FR"/>
        </w:rPr>
        <w:t>œuvres “vulnérables” comme les programmes d</w:t>
      </w:r>
      <w:r w:rsidR="000A0979" w:rsidRPr="00B953FA">
        <w:rPr>
          <w:lang w:val="fr-FR"/>
        </w:rPr>
        <w:t>’</w:t>
      </w:r>
      <w:r w:rsidRPr="00B953FA">
        <w:rPr>
          <w:lang w:val="fr-FR"/>
        </w:rPr>
        <w:t>ordinateur et les œuvres cinématographiqu</w:t>
      </w:r>
      <w:r w:rsidR="00B953FA" w:rsidRPr="00B953FA">
        <w:rPr>
          <w:lang w:val="fr-FR"/>
        </w:rPr>
        <w:t>es).  Le</w:t>
      </w:r>
      <w:r w:rsidRPr="00B953FA">
        <w:rPr>
          <w:lang w:val="fr-FR"/>
        </w:rPr>
        <w:t xml:space="preserve"> fait que le droit de suite des artistes est généralement inaliénable en vertu des législations nationales peut sembler compliquer cette analyse – ce n</w:t>
      </w:r>
      <w:r w:rsidR="000A0979" w:rsidRPr="00B953FA">
        <w:rPr>
          <w:lang w:val="fr-FR"/>
        </w:rPr>
        <w:t>’</w:t>
      </w:r>
      <w:r w:rsidRPr="00B953FA">
        <w:rPr>
          <w:lang w:val="fr-FR"/>
        </w:rPr>
        <w:t>est évidemment pas le cas pour d</w:t>
      </w:r>
      <w:r w:rsidR="000A0979" w:rsidRPr="00B953FA">
        <w:rPr>
          <w:lang w:val="fr-FR"/>
        </w:rPr>
        <w:t>’</w:t>
      </w:r>
      <w:r w:rsidRPr="00B953FA">
        <w:rPr>
          <w:lang w:val="fr-FR"/>
        </w:rPr>
        <w:t>autres droits patrimoniaux qui sont librement négociables sur le marc</w:t>
      </w:r>
      <w:r w:rsidR="00B953FA" w:rsidRPr="00B953FA">
        <w:rPr>
          <w:lang w:val="fr-FR"/>
        </w:rPr>
        <w:t>hé.  Ma</w:t>
      </w:r>
      <w:r w:rsidRPr="00B953FA">
        <w:rPr>
          <w:lang w:val="fr-FR"/>
        </w:rPr>
        <w:t>is plutôt que d</w:t>
      </w:r>
      <w:r w:rsidR="000A0979" w:rsidRPr="00B953FA">
        <w:rPr>
          <w:lang w:val="fr-FR"/>
        </w:rPr>
        <w:t>’</w:t>
      </w:r>
      <w:r w:rsidRPr="00B953FA">
        <w:rPr>
          <w:lang w:val="fr-FR"/>
        </w:rPr>
        <w:t>être un attribut plus généralement associé au droit moral, l</w:t>
      </w:r>
      <w:r w:rsidR="000A0979" w:rsidRPr="00B953FA">
        <w:rPr>
          <w:lang w:val="fr-FR"/>
        </w:rPr>
        <w:t>’</w:t>
      </w:r>
      <w:r w:rsidRPr="00B953FA">
        <w:rPr>
          <w:lang w:val="fr-FR"/>
        </w:rPr>
        <w:t>inaliénabilité peut être justifiée dans ce contexte comme une mesure essentielle de “protection du consommateur” – protégeant l</w:t>
      </w:r>
      <w:r w:rsidR="000A0979" w:rsidRPr="00B953FA">
        <w:rPr>
          <w:lang w:val="fr-FR"/>
        </w:rPr>
        <w:t>’</w:t>
      </w:r>
      <w:r w:rsidRPr="00B953FA">
        <w:rPr>
          <w:lang w:val="fr-FR"/>
        </w:rPr>
        <w:t>artiste contre des acheteurs et des agents sans scrupules ou indignes qui chercheraient autrement à contourner le droit en exigeant sa renonciation dans le contrat de vente initi</w:t>
      </w:r>
      <w:r w:rsidR="00B953FA" w:rsidRPr="00B953FA">
        <w:rPr>
          <w:lang w:val="fr-FR"/>
        </w:rPr>
        <w:t>al.  Ar</w:t>
      </w:r>
      <w:r w:rsidRPr="00B953FA">
        <w:rPr>
          <w:lang w:val="fr-FR"/>
        </w:rPr>
        <w:t>gumenter en faveur de la protection sur cette base devient alors un argument dans le sens des droits de propriété intellectuelle dans tous les domaines, s</w:t>
      </w:r>
      <w:r w:rsidR="000A0979" w:rsidRPr="00B953FA">
        <w:rPr>
          <w:lang w:val="fr-FR"/>
        </w:rPr>
        <w:t>’</w:t>
      </w:r>
      <w:r w:rsidRPr="00B953FA">
        <w:rPr>
          <w:lang w:val="fr-FR"/>
        </w:rPr>
        <w:t>appuyant sur le mélange habituel de justice, d</w:t>
      </w:r>
      <w:r w:rsidR="000A0979" w:rsidRPr="00B953FA">
        <w:rPr>
          <w:lang w:val="fr-FR"/>
        </w:rPr>
        <w:t>’</w:t>
      </w:r>
      <w:r w:rsidRPr="00B953FA">
        <w:rPr>
          <w:lang w:val="fr-FR"/>
        </w:rPr>
        <w:t>équité et de motifs incitatifs.</w:t>
      </w:r>
    </w:p>
    <w:p w14:paraId="5F959300" w14:textId="666A3A34" w:rsidR="00C77D5B" w:rsidRPr="00B953FA" w:rsidRDefault="00C77D5B" w:rsidP="002D7EE2">
      <w:pPr>
        <w:pStyle w:val="ONUMFS"/>
        <w:rPr>
          <w:lang w:val="fr-FR"/>
        </w:rPr>
      </w:pPr>
      <w:r w:rsidRPr="00B953FA">
        <w:rPr>
          <w:lang w:val="fr-FR"/>
        </w:rPr>
        <w:t>En plus de cette “justification paritaire” visant à reconnaître le droit de suite des artistes, les arguments suivants à l</w:t>
      </w:r>
      <w:r w:rsidR="000A0979" w:rsidRPr="00B953FA">
        <w:rPr>
          <w:lang w:val="fr-FR"/>
        </w:rPr>
        <w:t>’</w:t>
      </w:r>
      <w:r w:rsidRPr="00B953FA">
        <w:rPr>
          <w:lang w:val="fr-FR"/>
        </w:rPr>
        <w:t>appui peuvent être avancés</w:t>
      </w:r>
      <w:r w:rsidR="000A0979" w:rsidRPr="00B953FA">
        <w:rPr>
          <w:lang w:val="fr-FR"/>
        </w:rPr>
        <w:t> :</w:t>
      </w:r>
    </w:p>
    <w:p w14:paraId="08355825" w14:textId="72877092" w:rsidR="00C77D5B" w:rsidRPr="00B953FA" w:rsidRDefault="00C77D5B" w:rsidP="002D7EE2">
      <w:pPr>
        <w:pStyle w:val="ONUMFS"/>
        <w:numPr>
          <w:ilvl w:val="0"/>
          <w:numId w:val="20"/>
        </w:numPr>
        <w:tabs>
          <w:tab w:val="clear" w:pos="567"/>
        </w:tabs>
        <w:spacing w:after="60"/>
        <w:ind w:left="1134" w:hanging="567"/>
        <w:rPr>
          <w:lang w:val="fr-FR"/>
        </w:rPr>
      </w:pPr>
      <w:proofErr w:type="gramStart"/>
      <w:r w:rsidRPr="00B953FA">
        <w:rPr>
          <w:lang w:val="fr-FR"/>
        </w:rPr>
        <w:t>le</w:t>
      </w:r>
      <w:proofErr w:type="gramEnd"/>
      <w:r w:rsidRPr="00B953FA">
        <w:rPr>
          <w:lang w:val="fr-FR"/>
        </w:rPr>
        <w:t xml:space="preserve"> droit de suite des artistes est désormais clairement établi au niveau international comme l</w:t>
      </w:r>
      <w:r w:rsidR="000A0979" w:rsidRPr="00B953FA">
        <w:rPr>
          <w:lang w:val="fr-FR"/>
        </w:rPr>
        <w:t>’</w:t>
      </w:r>
      <w:r w:rsidRPr="00B953FA">
        <w:rPr>
          <w:lang w:val="fr-FR"/>
        </w:rPr>
        <w:t>un des droits d</w:t>
      </w:r>
      <w:r w:rsidR="000A0979" w:rsidRPr="00B953FA">
        <w:rPr>
          <w:lang w:val="fr-FR"/>
        </w:rPr>
        <w:t>’</w:t>
      </w:r>
      <w:r w:rsidRPr="00B953FA">
        <w:rPr>
          <w:lang w:val="fr-FR"/>
        </w:rPr>
        <w:t>auteur appartenant aux artistes visue</w:t>
      </w:r>
      <w:r w:rsidR="00B953FA" w:rsidRPr="00B953FA">
        <w:rPr>
          <w:lang w:val="fr-FR"/>
        </w:rPr>
        <w:t>ls.  Ce</w:t>
      </w:r>
      <w:r w:rsidRPr="00B953FA">
        <w:rPr>
          <w:lang w:val="fr-FR"/>
        </w:rPr>
        <w:t>la se voit dans l</w:t>
      </w:r>
      <w:r w:rsidR="000A0979" w:rsidRPr="00B953FA">
        <w:rPr>
          <w:lang w:val="fr-FR"/>
        </w:rPr>
        <w:t>’</w:t>
      </w:r>
      <w:r w:rsidRPr="00B953FA">
        <w:rPr>
          <w:lang w:val="fr-FR"/>
        </w:rPr>
        <w:t>histoire de l</w:t>
      </w:r>
      <w:r w:rsidR="000A0979" w:rsidRPr="00B953FA">
        <w:rPr>
          <w:lang w:val="fr-FR"/>
        </w:rPr>
        <w:t>’</w:t>
      </w:r>
      <w:r w:rsidRPr="00B953FA">
        <w:rPr>
          <w:lang w:val="fr-FR"/>
        </w:rPr>
        <w:t>adoption du droit de suite des artistes dans la Convention de Berne pour la protection des œuvres littéraires et artistiques, où cela a été le cas depuis l</w:t>
      </w:r>
      <w:r w:rsidR="000A0979" w:rsidRPr="00B953FA">
        <w:rPr>
          <w:lang w:val="fr-FR"/>
        </w:rPr>
        <w:t>’</w:t>
      </w:r>
      <w:r w:rsidRPr="00B953FA">
        <w:rPr>
          <w:lang w:val="fr-FR"/>
        </w:rPr>
        <w:t>adoption de l</w:t>
      </w:r>
      <w:r w:rsidR="000A0979" w:rsidRPr="00B953FA">
        <w:rPr>
          <w:lang w:val="fr-FR"/>
        </w:rPr>
        <w:t>’</w:t>
      </w:r>
      <w:r w:rsidRPr="00B953FA">
        <w:rPr>
          <w:lang w:val="fr-FR"/>
        </w:rPr>
        <w:t>article </w:t>
      </w:r>
      <w:r w:rsidRPr="00B953FA">
        <w:rPr>
          <w:i/>
          <w:lang w:val="fr-FR"/>
        </w:rPr>
        <w:t xml:space="preserve">14bis </w:t>
      </w:r>
      <w:r w:rsidRPr="00B953FA">
        <w:rPr>
          <w:lang w:val="fr-FR"/>
        </w:rPr>
        <w:t>(devenu article 14</w:t>
      </w:r>
      <w:r w:rsidRPr="00B953FA">
        <w:rPr>
          <w:i/>
          <w:lang w:val="fr-FR"/>
        </w:rPr>
        <w:t>ter</w:t>
      </w:r>
      <w:r w:rsidRPr="00B953FA">
        <w:rPr>
          <w:lang w:val="fr-FR"/>
        </w:rPr>
        <w:t>) dans le cadre de la révision de Bruxell</w:t>
      </w:r>
      <w:r w:rsidR="00007987" w:rsidRPr="00B953FA">
        <w:rPr>
          <w:lang w:val="fr-FR"/>
        </w:rPr>
        <w:t>es</w:t>
      </w:r>
      <w:r w:rsidR="00313EC4" w:rsidRPr="00B953FA">
        <w:rPr>
          <w:lang w:val="fr-FR"/>
        </w:rPr>
        <w:t xml:space="preserve"> </w:t>
      </w:r>
      <w:r w:rsidR="004A6BE2" w:rsidRPr="00B953FA">
        <w:rPr>
          <w:lang w:val="fr-FR"/>
        </w:rPr>
        <w:t>en 1948</w:t>
      </w:r>
      <w:r w:rsidR="00007987" w:rsidRPr="00B953FA">
        <w:rPr>
          <w:lang w:val="fr-FR"/>
        </w:rPr>
        <w:t>.  Ce</w:t>
      </w:r>
      <w:r w:rsidRPr="00B953FA">
        <w:rPr>
          <w:lang w:val="fr-FR"/>
        </w:rPr>
        <w:t xml:space="preserve"> point est développé de manière plus exhaustive dans la section </w:t>
      </w:r>
      <w:proofErr w:type="gramStart"/>
      <w:r w:rsidRPr="00B953FA">
        <w:rPr>
          <w:lang w:val="fr-FR"/>
        </w:rPr>
        <w:t>suivante;</w:t>
      </w:r>
      <w:proofErr w:type="gramEnd"/>
    </w:p>
    <w:p w14:paraId="01834190" w14:textId="2F77A2A8" w:rsidR="00C77D5B" w:rsidRPr="00B953FA" w:rsidRDefault="00C77D5B" w:rsidP="002D7EE2">
      <w:pPr>
        <w:pStyle w:val="ONUMFS"/>
        <w:numPr>
          <w:ilvl w:val="0"/>
          <w:numId w:val="20"/>
        </w:numPr>
        <w:tabs>
          <w:tab w:val="clear" w:pos="567"/>
        </w:tabs>
        <w:spacing w:after="60"/>
        <w:ind w:left="1134" w:hanging="567"/>
        <w:rPr>
          <w:lang w:val="fr-FR"/>
        </w:rPr>
      </w:pPr>
      <w:proofErr w:type="gramStart"/>
      <w:r w:rsidRPr="00B953FA">
        <w:rPr>
          <w:lang w:val="fr-FR"/>
        </w:rPr>
        <w:t>le</w:t>
      </w:r>
      <w:proofErr w:type="gramEnd"/>
      <w:r w:rsidRPr="00B953FA">
        <w:rPr>
          <w:lang w:val="fr-FR"/>
        </w:rPr>
        <w:t xml:space="preserve"> fait que cette protection soit actuellement facultative et soumise à l</w:t>
      </w:r>
      <w:r w:rsidR="000A0979" w:rsidRPr="00B953FA">
        <w:rPr>
          <w:lang w:val="fr-FR"/>
        </w:rPr>
        <w:t>’</w:t>
      </w:r>
      <w:r w:rsidRPr="00B953FA">
        <w:rPr>
          <w:lang w:val="fr-FR"/>
        </w:rPr>
        <w:t>exigence de réciprocité prévue à l</w:t>
      </w:r>
      <w:r w:rsidR="000A0979" w:rsidRPr="00B953FA">
        <w:rPr>
          <w:lang w:val="fr-FR"/>
        </w:rPr>
        <w:t>’</w:t>
      </w:r>
      <w:r w:rsidRPr="00B953FA">
        <w:rPr>
          <w:lang w:val="fr-FR"/>
        </w:rPr>
        <w:t>article 14</w:t>
      </w:r>
      <w:r w:rsidRPr="00B953FA">
        <w:rPr>
          <w:i/>
          <w:lang w:val="fr-FR"/>
        </w:rPr>
        <w:t>ter</w:t>
      </w:r>
      <w:r w:rsidRPr="00B953FA">
        <w:rPr>
          <w:lang w:val="fr-FR"/>
        </w:rPr>
        <w:t xml:space="preserve"> (voir ci</w:t>
      </w:r>
      <w:r w:rsidR="00FA1A0F">
        <w:rPr>
          <w:lang w:val="fr-FR"/>
        </w:rPr>
        <w:noBreakHyphen/>
      </w:r>
      <w:r w:rsidRPr="00B953FA">
        <w:rPr>
          <w:lang w:val="fr-FR"/>
        </w:rPr>
        <w:t>dessous) n</w:t>
      </w:r>
      <w:r w:rsidR="000A0979" w:rsidRPr="00B953FA">
        <w:rPr>
          <w:lang w:val="fr-FR"/>
        </w:rPr>
        <w:t>’</w:t>
      </w:r>
      <w:r w:rsidRPr="00B953FA">
        <w:rPr>
          <w:lang w:val="fr-FR"/>
        </w:rPr>
        <w:t>affecte pas la reconnaissance du droit de suite des artistes en tant que droit d</w:t>
      </w:r>
      <w:r w:rsidR="000A0979" w:rsidRPr="00B953FA">
        <w:rPr>
          <w:lang w:val="fr-FR"/>
        </w:rPr>
        <w:t>’</w:t>
      </w:r>
      <w:r w:rsidRPr="00B953FA">
        <w:rPr>
          <w:lang w:val="fr-FR"/>
        </w:rPr>
        <w:t>auteur en vertu de la Convention de Ber</w:t>
      </w:r>
      <w:r w:rsidR="00B953FA" w:rsidRPr="00B953FA">
        <w:rPr>
          <w:lang w:val="fr-FR"/>
        </w:rPr>
        <w:t>ne.  C’e</w:t>
      </w:r>
      <w:r w:rsidRPr="00B953FA">
        <w:rPr>
          <w:lang w:val="fr-FR"/>
        </w:rPr>
        <w:t>st aussi l</w:t>
      </w:r>
      <w:r w:rsidR="000A0979" w:rsidRPr="00B953FA">
        <w:rPr>
          <w:lang w:val="fr-FR"/>
        </w:rPr>
        <w:t>’</w:t>
      </w:r>
      <w:r w:rsidRPr="00B953FA">
        <w:rPr>
          <w:lang w:val="fr-FR"/>
        </w:rPr>
        <w:t>expérience d</w:t>
      </w:r>
      <w:r w:rsidR="000A0979" w:rsidRPr="00B953FA">
        <w:rPr>
          <w:lang w:val="fr-FR"/>
        </w:rPr>
        <w:t>’</w:t>
      </w:r>
      <w:r w:rsidRPr="00B953FA">
        <w:rPr>
          <w:lang w:val="fr-FR"/>
        </w:rPr>
        <w:t>autres droits exclusifs désormais protégés en tant que “droits spécialement accordés” aux ressortissants des pays membres de la Convention de Berne, le plus notable d</w:t>
      </w:r>
      <w:r w:rsidR="000A0979" w:rsidRPr="00B953FA">
        <w:rPr>
          <w:lang w:val="fr-FR"/>
        </w:rPr>
        <w:t>’</w:t>
      </w:r>
      <w:r w:rsidRPr="00B953FA">
        <w:rPr>
          <w:lang w:val="fr-FR"/>
        </w:rPr>
        <w:t>entre eux étant historiquement le droit de traduction</w:t>
      </w:r>
      <w:r w:rsidRPr="00B953FA">
        <w:rPr>
          <w:vertAlign w:val="superscript"/>
          <w:lang w:val="fr-FR"/>
        </w:rPr>
        <w:footnoteReference w:id="27"/>
      </w:r>
      <w:r w:rsidRPr="00B953FA">
        <w:rPr>
          <w:lang w:val="fr-FR"/>
        </w:rPr>
        <w:t>;</w:t>
      </w:r>
    </w:p>
    <w:p w14:paraId="2376D4AE" w14:textId="54900FDD" w:rsidR="00C77D5B" w:rsidRPr="00B953FA" w:rsidRDefault="00C77D5B" w:rsidP="002D7EE2">
      <w:pPr>
        <w:pStyle w:val="ONUMFS"/>
        <w:numPr>
          <w:ilvl w:val="0"/>
          <w:numId w:val="20"/>
        </w:numPr>
        <w:tabs>
          <w:tab w:val="clear" w:pos="567"/>
        </w:tabs>
        <w:spacing w:after="60"/>
        <w:ind w:left="1134" w:hanging="567"/>
        <w:rPr>
          <w:lang w:val="fr-FR"/>
        </w:rPr>
      </w:pPr>
      <w:proofErr w:type="gramStart"/>
      <w:r w:rsidRPr="00B953FA">
        <w:rPr>
          <w:lang w:val="fr-FR"/>
        </w:rPr>
        <w:t>le</w:t>
      </w:r>
      <w:proofErr w:type="gramEnd"/>
      <w:r w:rsidRPr="00B953FA">
        <w:rPr>
          <w:lang w:val="fr-FR"/>
        </w:rPr>
        <w:t xml:space="preserve"> fait que le droit de suite des artistes se rapporte à la première incarnation matérielle de l</w:t>
      </w:r>
      <w:r w:rsidR="000A0979" w:rsidRPr="00B953FA">
        <w:rPr>
          <w:lang w:val="fr-FR"/>
        </w:rPr>
        <w:t>’</w:t>
      </w:r>
      <w:r w:rsidRPr="00B953FA">
        <w:rPr>
          <w:lang w:val="fr-FR"/>
        </w:rPr>
        <w:t>œuvre artistique et à sa cession ultérieure plutôt qu</w:t>
      </w:r>
      <w:r w:rsidR="000A0979" w:rsidRPr="00B953FA">
        <w:rPr>
          <w:lang w:val="fr-FR"/>
        </w:rPr>
        <w:t>’</w:t>
      </w:r>
      <w:r w:rsidRPr="00B953FA">
        <w:rPr>
          <w:lang w:val="fr-FR"/>
        </w:rPr>
        <w:t>à la réalisation de copies ou à la communication de l</w:t>
      </w:r>
      <w:r w:rsidR="000A0979" w:rsidRPr="00B953FA">
        <w:rPr>
          <w:lang w:val="fr-FR"/>
        </w:rPr>
        <w:t>’</w:t>
      </w:r>
      <w:r w:rsidRPr="00B953FA">
        <w:rPr>
          <w:lang w:val="fr-FR"/>
        </w:rPr>
        <w:t>œuvre – c</w:t>
      </w:r>
      <w:r w:rsidR="000A0979" w:rsidRPr="00B953FA">
        <w:rPr>
          <w:lang w:val="fr-FR"/>
        </w:rPr>
        <w:t>’</w:t>
      </w:r>
      <w:r w:rsidRPr="00B953FA">
        <w:rPr>
          <w:lang w:val="fr-FR"/>
        </w:rPr>
        <w:t>est</w:t>
      </w:r>
      <w:r w:rsidR="00FA1A0F">
        <w:rPr>
          <w:lang w:val="fr-FR"/>
        </w:rPr>
        <w:noBreakHyphen/>
      </w:r>
      <w:r w:rsidRPr="00B953FA">
        <w:rPr>
          <w:lang w:val="fr-FR"/>
        </w:rPr>
        <w:t>à</w:t>
      </w:r>
      <w:r w:rsidR="00FA1A0F">
        <w:rPr>
          <w:lang w:val="fr-FR"/>
        </w:rPr>
        <w:noBreakHyphen/>
      </w:r>
      <w:r w:rsidRPr="00B953FA">
        <w:rPr>
          <w:lang w:val="fr-FR"/>
        </w:rPr>
        <w:t>dire des utilisations ultérieures dans lesquelles la première incarnation matérielle devient sans objet – ne présente pas un obstacle à son utilisation comme moyen d</w:t>
      </w:r>
      <w:r w:rsidR="000A0979" w:rsidRPr="00B953FA">
        <w:rPr>
          <w:lang w:val="fr-FR"/>
        </w:rPr>
        <w:t>’</w:t>
      </w:r>
      <w:r w:rsidRPr="00B953FA">
        <w:rPr>
          <w:lang w:val="fr-FR"/>
        </w:rPr>
        <w:t>aligner les droits des artistes visuels sur ceux des autres catégories d</w:t>
      </w:r>
      <w:r w:rsidR="000A0979" w:rsidRPr="00B953FA">
        <w:rPr>
          <w:lang w:val="fr-FR"/>
        </w:rPr>
        <w:t>’</w:t>
      </w:r>
      <w:r w:rsidRPr="00B953FA">
        <w:rPr>
          <w:lang w:val="fr-FR"/>
        </w:rPr>
        <w:t>auteu</w:t>
      </w:r>
      <w:r w:rsidR="00B953FA" w:rsidRPr="00B953FA">
        <w:rPr>
          <w:lang w:val="fr-FR"/>
        </w:rPr>
        <w:t xml:space="preserve">rs.  À </w:t>
      </w:r>
      <w:r w:rsidRPr="00B953FA">
        <w:rPr>
          <w:lang w:val="fr-FR"/>
        </w:rPr>
        <w:t xml:space="preserve">cet égard, les droits de distribution et de location de copies, non reconnus par la Convention de Berne, sont </w:t>
      </w:r>
      <w:r w:rsidRPr="00B953FA">
        <w:rPr>
          <w:lang w:val="fr-FR"/>
        </w:rPr>
        <w:lastRenderedPageBreak/>
        <w:t>également considérés comme un droit d</w:t>
      </w:r>
      <w:r w:rsidR="000A0979" w:rsidRPr="00B953FA">
        <w:rPr>
          <w:lang w:val="fr-FR"/>
        </w:rPr>
        <w:t>’</w:t>
      </w:r>
      <w:r w:rsidRPr="00B953FA">
        <w:rPr>
          <w:lang w:val="fr-FR"/>
        </w:rPr>
        <w:t>auteur désormais couvert par une protection en vertu d</w:t>
      </w:r>
      <w:r w:rsidR="000A0979" w:rsidRPr="00B953FA">
        <w:rPr>
          <w:lang w:val="fr-FR"/>
        </w:rPr>
        <w:t>’</w:t>
      </w:r>
      <w:r w:rsidRPr="00B953FA">
        <w:rPr>
          <w:lang w:val="fr-FR"/>
        </w:rPr>
        <w:t>accords internationaux ultérieurs</w:t>
      </w:r>
      <w:r w:rsidRPr="00B953FA">
        <w:rPr>
          <w:vertAlign w:val="superscript"/>
          <w:lang w:val="fr-FR"/>
        </w:rPr>
        <w:footnoteReference w:id="28"/>
      </w:r>
      <w:r w:rsidRPr="00B953FA">
        <w:rPr>
          <w:lang w:val="fr-FR"/>
        </w:rPr>
        <w:t xml:space="preserve">.  Cela sur la même base que celle défendue ici en faveur du droit de suite des artistes, </w:t>
      </w:r>
      <w:r w:rsidR="000A0979" w:rsidRPr="00B953FA">
        <w:rPr>
          <w:lang w:val="fr-FR"/>
        </w:rPr>
        <w:t>à savoir</w:t>
      </w:r>
      <w:r w:rsidRPr="00B953FA">
        <w:rPr>
          <w:lang w:val="fr-FR"/>
        </w:rPr>
        <w:t xml:space="preserve"> pour corriger le déséquilibre qui pourrait autrement survenir en raison des limitations perçues dans la portée du droit de </w:t>
      </w:r>
      <w:proofErr w:type="gramStart"/>
      <w:r w:rsidRPr="00B953FA">
        <w:rPr>
          <w:lang w:val="fr-FR"/>
        </w:rPr>
        <w:t>reproduction;</w:t>
      </w:r>
      <w:proofErr w:type="gramEnd"/>
    </w:p>
    <w:p w14:paraId="20C9E6DD" w14:textId="560DE523" w:rsidR="00C77D5B" w:rsidRPr="00B953FA" w:rsidRDefault="00C77D5B" w:rsidP="002D7EE2">
      <w:pPr>
        <w:pStyle w:val="ONUMFS"/>
        <w:numPr>
          <w:ilvl w:val="0"/>
          <w:numId w:val="20"/>
        </w:numPr>
        <w:tabs>
          <w:tab w:val="clear" w:pos="567"/>
        </w:tabs>
        <w:spacing w:after="60"/>
        <w:ind w:left="1134" w:hanging="567"/>
        <w:rPr>
          <w:lang w:val="fr-FR"/>
        </w:rPr>
      </w:pPr>
      <w:proofErr w:type="gramStart"/>
      <w:r w:rsidRPr="00B953FA">
        <w:rPr>
          <w:lang w:val="fr-FR"/>
        </w:rPr>
        <w:t>il</w:t>
      </w:r>
      <w:proofErr w:type="gramEnd"/>
      <w:r w:rsidRPr="00B953FA">
        <w:rPr>
          <w:lang w:val="fr-FR"/>
        </w:rPr>
        <w:t xml:space="preserve"> ne fait aucun doute que le droit de suite des artistes, s</w:t>
      </w:r>
      <w:r w:rsidR="000A0979" w:rsidRPr="00B953FA">
        <w:rPr>
          <w:lang w:val="fr-FR"/>
        </w:rPr>
        <w:t>’</w:t>
      </w:r>
      <w:r w:rsidRPr="00B953FA">
        <w:rPr>
          <w:lang w:val="fr-FR"/>
        </w:rPr>
        <w:t>il est reconnu, ne profite qu</w:t>
      </w:r>
      <w:r w:rsidR="000A0979" w:rsidRPr="00B953FA">
        <w:rPr>
          <w:lang w:val="fr-FR"/>
        </w:rPr>
        <w:t>’</w:t>
      </w:r>
      <w:r w:rsidRPr="00B953FA">
        <w:rPr>
          <w:lang w:val="fr-FR"/>
        </w:rPr>
        <w:t>à certains artistes visuels, plutôt qu</w:t>
      </w:r>
      <w:r w:rsidR="000A0979" w:rsidRPr="00B953FA">
        <w:rPr>
          <w:lang w:val="fr-FR"/>
        </w:rPr>
        <w:t>’</w:t>
      </w:r>
      <w:r w:rsidRPr="00B953FA">
        <w:rPr>
          <w:lang w:val="fr-FR"/>
        </w:rPr>
        <w:t>à to</w:t>
      </w:r>
      <w:r w:rsidR="00B953FA" w:rsidRPr="00B953FA">
        <w:rPr>
          <w:lang w:val="fr-FR"/>
        </w:rPr>
        <w:t>us.  C’e</w:t>
      </w:r>
      <w:r w:rsidRPr="00B953FA">
        <w:rPr>
          <w:lang w:val="fr-FR"/>
        </w:rPr>
        <w:t>st le cas pour toutes les catégories d</w:t>
      </w:r>
      <w:r w:rsidR="000A0979" w:rsidRPr="00B953FA">
        <w:rPr>
          <w:lang w:val="fr-FR"/>
        </w:rPr>
        <w:t>’</w:t>
      </w:r>
      <w:r w:rsidRPr="00B953FA">
        <w:rPr>
          <w:lang w:val="fr-FR"/>
        </w:rPr>
        <w:t>œuvres littéraires et artistiques</w:t>
      </w:r>
      <w:r w:rsidR="000A0979" w:rsidRPr="00B953FA">
        <w:rPr>
          <w:lang w:val="fr-FR"/>
        </w:rPr>
        <w:t> :</w:t>
      </w:r>
      <w:r w:rsidRPr="00B953FA">
        <w:rPr>
          <w:lang w:val="fr-FR"/>
        </w:rPr>
        <w:t xml:space="preserve"> l</w:t>
      </w:r>
      <w:r w:rsidR="000A0979" w:rsidRPr="00B953FA">
        <w:rPr>
          <w:lang w:val="fr-FR"/>
        </w:rPr>
        <w:t>’</w:t>
      </w:r>
      <w:r w:rsidRPr="00B953FA">
        <w:rPr>
          <w:lang w:val="fr-FR"/>
        </w:rPr>
        <w:t>octroi de droits exclusifs n</w:t>
      </w:r>
      <w:r w:rsidR="000A0979" w:rsidRPr="00B953FA">
        <w:rPr>
          <w:lang w:val="fr-FR"/>
        </w:rPr>
        <w:t>’</w:t>
      </w:r>
      <w:r w:rsidRPr="00B953FA">
        <w:rPr>
          <w:lang w:val="fr-FR"/>
        </w:rPr>
        <w:t>offre aucune garantie de rémunération ou de revenu continu, mais simplement la perspective de percevoir une part du produit de l</w:t>
      </w:r>
      <w:r w:rsidR="000A0979" w:rsidRPr="00B953FA">
        <w:rPr>
          <w:lang w:val="fr-FR"/>
        </w:rPr>
        <w:t>’</w:t>
      </w:r>
      <w:r w:rsidRPr="00B953FA">
        <w:rPr>
          <w:lang w:val="fr-FR"/>
        </w:rPr>
        <w:t>exploitation de l</w:t>
      </w:r>
      <w:r w:rsidR="000A0979" w:rsidRPr="00B953FA">
        <w:rPr>
          <w:lang w:val="fr-FR"/>
        </w:rPr>
        <w:t>’</w:t>
      </w:r>
      <w:r w:rsidRPr="00B953FA">
        <w:rPr>
          <w:lang w:val="fr-FR"/>
        </w:rPr>
        <w:t>œuvre si elle bénéficie ultérieurement d</w:t>
      </w:r>
      <w:r w:rsidR="000A0979" w:rsidRPr="00B953FA">
        <w:rPr>
          <w:lang w:val="fr-FR"/>
        </w:rPr>
        <w:t>’</w:t>
      </w:r>
      <w:r w:rsidRPr="00B953FA">
        <w:rPr>
          <w:lang w:val="fr-FR"/>
        </w:rPr>
        <w:t>une reconnaissance publique et de la deman</w:t>
      </w:r>
      <w:r w:rsidR="00B953FA" w:rsidRPr="00B953FA">
        <w:rPr>
          <w:lang w:val="fr-FR"/>
        </w:rPr>
        <w:t xml:space="preserve">de.  À </w:t>
      </w:r>
      <w:r w:rsidRPr="00B953FA">
        <w:rPr>
          <w:lang w:val="fr-FR"/>
        </w:rPr>
        <w:t>cet égard, le droit de suite des artistes reflète simplement le caractère particulier des œuvres d</w:t>
      </w:r>
      <w:r w:rsidR="000A0979" w:rsidRPr="00B953FA">
        <w:rPr>
          <w:lang w:val="fr-FR"/>
        </w:rPr>
        <w:t>’</w:t>
      </w:r>
      <w:r w:rsidRPr="00B953FA">
        <w:rPr>
          <w:lang w:val="fr-FR"/>
        </w:rPr>
        <w:t>art visuel et leur forme habituelle d</w:t>
      </w:r>
      <w:r w:rsidR="000A0979" w:rsidRPr="00B953FA">
        <w:rPr>
          <w:lang w:val="fr-FR"/>
        </w:rPr>
        <w:t>’</w:t>
      </w:r>
      <w:r w:rsidRPr="00B953FA">
        <w:rPr>
          <w:lang w:val="fr-FR"/>
        </w:rPr>
        <w:t>exploitation, mais il ne diffère pas en nature du droit de reproduction qui ne profitera qu</w:t>
      </w:r>
      <w:r w:rsidR="000A0979" w:rsidRPr="00B953FA">
        <w:rPr>
          <w:lang w:val="fr-FR"/>
        </w:rPr>
        <w:t>’</w:t>
      </w:r>
      <w:r w:rsidRPr="00B953FA">
        <w:rPr>
          <w:lang w:val="fr-FR"/>
        </w:rPr>
        <w:t>à l</w:t>
      </w:r>
      <w:r w:rsidR="000A0979" w:rsidRPr="00B953FA">
        <w:rPr>
          <w:lang w:val="fr-FR"/>
        </w:rPr>
        <w:t>’</w:t>
      </w:r>
      <w:r w:rsidRPr="00B953FA">
        <w:rPr>
          <w:lang w:val="fr-FR"/>
        </w:rPr>
        <w:t>auteur en difficulté d</w:t>
      </w:r>
      <w:r w:rsidR="000A0979" w:rsidRPr="00B953FA">
        <w:rPr>
          <w:lang w:val="fr-FR"/>
        </w:rPr>
        <w:t>’</w:t>
      </w:r>
      <w:r w:rsidRPr="00B953FA">
        <w:rPr>
          <w:lang w:val="fr-FR"/>
        </w:rPr>
        <w:t>un livre que dans le cas où son manuscrit est choisi pour une publication parmi les nombreux qui passent chaque jour sur le bureau de l</w:t>
      </w:r>
      <w:r w:rsidR="000A0979" w:rsidRPr="00B953FA">
        <w:rPr>
          <w:lang w:val="fr-FR"/>
        </w:rPr>
        <w:t>’</w:t>
      </w:r>
      <w:r w:rsidRPr="00B953FA">
        <w:rPr>
          <w:lang w:val="fr-FR"/>
        </w:rPr>
        <w:t>édite</w:t>
      </w:r>
      <w:r w:rsidR="00B953FA" w:rsidRPr="00B953FA">
        <w:rPr>
          <w:lang w:val="fr-FR"/>
        </w:rPr>
        <w:t>ur.  La</w:t>
      </w:r>
      <w:r w:rsidR="00D14B52" w:rsidRPr="00B953FA">
        <w:rPr>
          <w:lang w:val="fr-FR"/>
        </w:rPr>
        <w:t xml:space="preserve"> rentabilité du livre pour l</w:t>
      </w:r>
      <w:r w:rsidR="000A0979" w:rsidRPr="00B953FA">
        <w:rPr>
          <w:lang w:val="fr-FR"/>
        </w:rPr>
        <w:t>’</w:t>
      </w:r>
      <w:r w:rsidR="00D14B52" w:rsidRPr="00B953FA">
        <w:rPr>
          <w:lang w:val="fr-FR"/>
        </w:rPr>
        <w:t>auteur dépendra alors de l</w:t>
      </w:r>
      <w:r w:rsidR="000A0979" w:rsidRPr="00B953FA">
        <w:rPr>
          <w:lang w:val="fr-FR"/>
        </w:rPr>
        <w:t>’</w:t>
      </w:r>
      <w:r w:rsidR="00D14B52" w:rsidRPr="00B953FA">
        <w:rPr>
          <w:lang w:val="fr-FR"/>
        </w:rPr>
        <w:t>accueil qui lui sera réservé sur le marché et du nombre d</w:t>
      </w:r>
      <w:r w:rsidR="000A0979" w:rsidRPr="00B953FA">
        <w:rPr>
          <w:lang w:val="fr-FR"/>
        </w:rPr>
        <w:t>’</w:t>
      </w:r>
      <w:r w:rsidR="00D14B52" w:rsidRPr="00B953FA">
        <w:rPr>
          <w:lang w:val="fr-FR"/>
        </w:rPr>
        <w:t xml:space="preserve">exemplaires </w:t>
      </w:r>
      <w:proofErr w:type="gramStart"/>
      <w:r w:rsidR="00D14B52" w:rsidRPr="00B953FA">
        <w:rPr>
          <w:lang w:val="fr-FR"/>
        </w:rPr>
        <w:t>vendus</w:t>
      </w:r>
      <w:r w:rsidRPr="00B953FA">
        <w:rPr>
          <w:lang w:val="fr-FR"/>
        </w:rPr>
        <w:t>;</w:t>
      </w:r>
      <w:proofErr w:type="gramEnd"/>
    </w:p>
    <w:p w14:paraId="7CAA6E7B" w14:textId="4D2FA449" w:rsidR="00C77D5B" w:rsidRPr="00B953FA" w:rsidRDefault="00C77D5B" w:rsidP="002D7EE2">
      <w:pPr>
        <w:pStyle w:val="ONUMFS"/>
        <w:numPr>
          <w:ilvl w:val="0"/>
          <w:numId w:val="20"/>
        </w:numPr>
        <w:tabs>
          <w:tab w:val="clear" w:pos="567"/>
        </w:tabs>
        <w:spacing w:after="60"/>
        <w:ind w:left="1134" w:hanging="567"/>
        <w:rPr>
          <w:lang w:val="fr-FR"/>
        </w:rPr>
      </w:pPr>
      <w:proofErr w:type="gramStart"/>
      <w:r w:rsidRPr="00B953FA">
        <w:rPr>
          <w:lang w:val="fr-FR"/>
        </w:rPr>
        <w:t>il</w:t>
      </w:r>
      <w:proofErr w:type="gramEnd"/>
      <w:r w:rsidRPr="00B953FA">
        <w:rPr>
          <w:lang w:val="fr-FR"/>
        </w:rPr>
        <w:t xml:space="preserve"> existe un autre argument selon lequel le droit de suite des artistes peut bénéficier spécifiquement aux artistes autochtones dont les œuvres peuvent avoir un marché national et internation</w:t>
      </w:r>
      <w:r w:rsidR="00B953FA" w:rsidRPr="00B953FA">
        <w:rPr>
          <w:lang w:val="fr-FR"/>
        </w:rPr>
        <w:t>al.  Ce</w:t>
      </w:r>
      <w:r w:rsidRPr="00B953FA">
        <w:rPr>
          <w:lang w:val="fr-FR"/>
        </w:rPr>
        <w:t>la a certainement été un facteur dans l</w:t>
      </w:r>
      <w:r w:rsidR="000A0979" w:rsidRPr="00B953FA">
        <w:rPr>
          <w:lang w:val="fr-FR"/>
        </w:rPr>
        <w:t>’</w:t>
      </w:r>
      <w:r w:rsidRPr="00B953FA">
        <w:rPr>
          <w:lang w:val="fr-FR"/>
        </w:rPr>
        <w:t>adoption de la législation sur le droit de suite des artistes en Australie en 2009</w:t>
      </w:r>
      <w:r w:rsidRPr="00B953FA">
        <w:rPr>
          <w:vertAlign w:val="superscript"/>
          <w:lang w:val="fr-FR"/>
        </w:rPr>
        <w:footnoteReference w:id="29"/>
      </w:r>
      <w:r w:rsidRPr="00B953FA">
        <w:rPr>
          <w:lang w:val="fr-FR"/>
        </w:rPr>
        <w:t>, et des arguments similaires ont été avancés dans plusieurs pays en développement qui ont récemment adopté des lois sur le droit de suite des artist</w:t>
      </w:r>
      <w:r w:rsidR="00B953FA" w:rsidRPr="00B953FA">
        <w:rPr>
          <w:lang w:val="fr-FR"/>
        </w:rPr>
        <w:t xml:space="preserve">es.  À </w:t>
      </w:r>
      <w:r w:rsidRPr="00B953FA">
        <w:rPr>
          <w:lang w:val="fr-FR"/>
        </w:rPr>
        <w:t>cet égard, il convient de rappeler que la disposition relative au droit de suite des artistes a été prévue par l</w:t>
      </w:r>
      <w:r w:rsidR="000A0979" w:rsidRPr="00B953FA">
        <w:rPr>
          <w:lang w:val="fr-FR"/>
        </w:rPr>
        <w:t>’</w:t>
      </w:r>
      <w:r w:rsidRPr="00B953FA">
        <w:rPr>
          <w:lang w:val="fr-FR"/>
        </w:rPr>
        <w:t>OMPI et l</w:t>
      </w:r>
      <w:r w:rsidR="000A0979" w:rsidRPr="00B953FA">
        <w:rPr>
          <w:lang w:val="fr-FR"/>
        </w:rPr>
        <w:t>’</w:t>
      </w:r>
      <w:r w:rsidRPr="00B953FA">
        <w:rPr>
          <w:lang w:val="fr-FR"/>
        </w:rPr>
        <w:t xml:space="preserve">UNESCO dans la </w:t>
      </w:r>
      <w:r w:rsidR="00041DF8">
        <w:rPr>
          <w:lang w:val="fr-FR"/>
        </w:rPr>
        <w:t>L</w:t>
      </w:r>
      <w:r w:rsidRPr="00B953FA">
        <w:rPr>
          <w:lang w:val="fr-FR"/>
        </w:rPr>
        <w:t>oi type de Tunis sur la loi sur le droit d</w:t>
      </w:r>
      <w:r w:rsidR="000A0979" w:rsidRPr="00B953FA">
        <w:rPr>
          <w:lang w:val="fr-FR"/>
        </w:rPr>
        <w:t>’</w:t>
      </w:r>
      <w:r w:rsidRPr="00B953FA">
        <w:rPr>
          <w:lang w:val="fr-FR"/>
        </w:rPr>
        <w:t>auteur à l</w:t>
      </w:r>
      <w:r w:rsidR="000A0979" w:rsidRPr="00B953FA">
        <w:rPr>
          <w:lang w:val="fr-FR"/>
        </w:rPr>
        <w:t>’</w:t>
      </w:r>
      <w:r w:rsidRPr="00B953FA">
        <w:rPr>
          <w:lang w:val="fr-FR"/>
        </w:rPr>
        <w:t>usage des pays en développement qui a été adoptée il y a près de 40 ans</w:t>
      </w:r>
      <w:r w:rsidRPr="00B953FA">
        <w:rPr>
          <w:vertAlign w:val="superscript"/>
          <w:lang w:val="fr-FR"/>
        </w:rPr>
        <w:footnoteReference w:id="30"/>
      </w:r>
      <w:r w:rsidRPr="00B953FA">
        <w:rPr>
          <w:lang w:val="fr-FR"/>
        </w:rPr>
        <w:t>;</w:t>
      </w:r>
    </w:p>
    <w:p w14:paraId="315D641A" w14:textId="14F1565B" w:rsidR="00C77D5B" w:rsidRPr="00B953FA" w:rsidRDefault="00C77D5B" w:rsidP="002D7EE2">
      <w:pPr>
        <w:pStyle w:val="ONUMFS"/>
        <w:numPr>
          <w:ilvl w:val="0"/>
          <w:numId w:val="20"/>
        </w:numPr>
        <w:tabs>
          <w:tab w:val="clear" w:pos="567"/>
        </w:tabs>
        <w:spacing w:after="60"/>
        <w:ind w:left="1134" w:hanging="567"/>
        <w:rPr>
          <w:lang w:val="fr-FR"/>
        </w:rPr>
      </w:pPr>
      <w:proofErr w:type="gramStart"/>
      <w:r w:rsidRPr="00B953FA">
        <w:rPr>
          <w:lang w:val="fr-FR"/>
        </w:rPr>
        <w:t>compte</w:t>
      </w:r>
      <w:proofErr w:type="gramEnd"/>
      <w:r w:rsidRPr="00B953FA">
        <w:rPr>
          <w:lang w:val="fr-FR"/>
        </w:rPr>
        <w:t xml:space="preserve"> tenu de l</w:t>
      </w:r>
      <w:r w:rsidR="000A0979" w:rsidRPr="00B953FA">
        <w:rPr>
          <w:lang w:val="fr-FR"/>
        </w:rPr>
        <w:t>’</w:t>
      </w:r>
      <w:r w:rsidRPr="00B953FA">
        <w:rPr>
          <w:lang w:val="fr-FR"/>
        </w:rPr>
        <w:t>adoption progressive des régimes de droit de suite des artistes par plus de la moitié des membres de l</w:t>
      </w:r>
      <w:r w:rsidR="000A0979" w:rsidRPr="00B953FA">
        <w:rPr>
          <w:lang w:val="fr-FR"/>
        </w:rPr>
        <w:t>’</w:t>
      </w:r>
      <w:r w:rsidRPr="00B953FA">
        <w:rPr>
          <w:lang w:val="fr-FR"/>
        </w:rPr>
        <w:t>Union de Berne, il existe désormais un net déséquilibre dans la protection des artistes visuels à l</w:t>
      </w:r>
      <w:r w:rsidR="000A0979" w:rsidRPr="00B953FA">
        <w:rPr>
          <w:lang w:val="fr-FR"/>
        </w:rPr>
        <w:t>’</w:t>
      </w:r>
      <w:r w:rsidRPr="00B953FA">
        <w:rPr>
          <w:lang w:val="fr-FR"/>
        </w:rPr>
        <w:t>échelle mondiale entre les pays ayant opté pour le droit de suite des artistes et ceux ne l</w:t>
      </w:r>
      <w:r w:rsidR="000A0979" w:rsidRPr="00B953FA">
        <w:rPr>
          <w:lang w:val="fr-FR"/>
        </w:rPr>
        <w:t>’</w:t>
      </w:r>
      <w:r w:rsidRPr="00B953FA">
        <w:rPr>
          <w:lang w:val="fr-FR"/>
        </w:rPr>
        <w:t>ayant pas fa</w:t>
      </w:r>
      <w:r w:rsidR="00B953FA" w:rsidRPr="00B953FA">
        <w:rPr>
          <w:lang w:val="fr-FR"/>
        </w:rPr>
        <w:t>it.  Po</w:t>
      </w:r>
      <w:r w:rsidRPr="00B953FA">
        <w:rPr>
          <w:lang w:val="fr-FR"/>
        </w:rPr>
        <w:t>urtant, leur art est vécu et apprécié universellement sans considération de frontières et, en l</w:t>
      </w:r>
      <w:r w:rsidR="000A0979" w:rsidRPr="00B953FA">
        <w:rPr>
          <w:lang w:val="fr-FR"/>
        </w:rPr>
        <w:t>’</w:t>
      </w:r>
      <w:r w:rsidRPr="00B953FA">
        <w:rPr>
          <w:lang w:val="fr-FR"/>
        </w:rPr>
        <w:t>absence d</w:t>
      </w:r>
      <w:r w:rsidR="000A0979" w:rsidRPr="00B953FA">
        <w:rPr>
          <w:lang w:val="fr-FR"/>
        </w:rPr>
        <w:t>’</w:t>
      </w:r>
      <w:r w:rsidRPr="00B953FA">
        <w:rPr>
          <w:lang w:val="fr-FR"/>
        </w:rPr>
        <w:t>autres restrictions, les reventes de leurs œuvres peuvent avoir lieu partout dans le mon</w:t>
      </w:r>
      <w:r w:rsidR="00B953FA" w:rsidRPr="00B953FA">
        <w:rPr>
          <w:lang w:val="fr-FR"/>
        </w:rPr>
        <w:t xml:space="preserve">de.  À </w:t>
      </w:r>
      <w:r w:rsidRPr="00B953FA">
        <w:rPr>
          <w:lang w:val="fr-FR"/>
        </w:rPr>
        <w:t>l</w:t>
      </w:r>
      <w:r w:rsidR="000A0979" w:rsidRPr="00B953FA">
        <w:rPr>
          <w:lang w:val="fr-FR"/>
        </w:rPr>
        <w:t>’</w:t>
      </w:r>
      <w:r w:rsidRPr="00B953FA">
        <w:rPr>
          <w:lang w:val="fr-FR"/>
        </w:rPr>
        <w:t>ère des technologies numériques et des communications en réseau, ce point n</w:t>
      </w:r>
      <w:r w:rsidR="000A0979" w:rsidRPr="00B953FA">
        <w:rPr>
          <w:lang w:val="fr-FR"/>
        </w:rPr>
        <w:t>’</w:t>
      </w:r>
      <w:r w:rsidRPr="00B953FA">
        <w:rPr>
          <w:lang w:val="fr-FR"/>
        </w:rPr>
        <w:t>a guère besoin d</w:t>
      </w:r>
      <w:r w:rsidR="000A0979" w:rsidRPr="00B953FA">
        <w:rPr>
          <w:lang w:val="fr-FR"/>
        </w:rPr>
        <w:t>’</w:t>
      </w:r>
      <w:r w:rsidRPr="00B953FA">
        <w:rPr>
          <w:lang w:val="fr-FR"/>
        </w:rPr>
        <w:t xml:space="preserve">être </w:t>
      </w:r>
      <w:proofErr w:type="gramStart"/>
      <w:r w:rsidRPr="00B953FA">
        <w:rPr>
          <w:lang w:val="fr-FR"/>
        </w:rPr>
        <w:t>répété;</w:t>
      </w:r>
      <w:proofErr w:type="gramEnd"/>
    </w:p>
    <w:p w14:paraId="66D5FB9B" w14:textId="64BA8340" w:rsidR="00C77D5B" w:rsidRPr="00B953FA" w:rsidRDefault="00C77D5B" w:rsidP="002D7EE2">
      <w:pPr>
        <w:pStyle w:val="ONUMFS"/>
        <w:numPr>
          <w:ilvl w:val="0"/>
          <w:numId w:val="20"/>
        </w:numPr>
        <w:tabs>
          <w:tab w:val="clear" w:pos="567"/>
        </w:tabs>
        <w:spacing w:after="60"/>
        <w:ind w:left="1134" w:hanging="567"/>
        <w:rPr>
          <w:lang w:val="fr-FR"/>
        </w:rPr>
      </w:pPr>
      <w:proofErr w:type="gramStart"/>
      <w:r w:rsidRPr="00B953FA">
        <w:rPr>
          <w:lang w:val="fr-FR"/>
        </w:rPr>
        <w:t>outre</w:t>
      </w:r>
      <w:proofErr w:type="gramEnd"/>
      <w:r w:rsidRPr="00B953FA">
        <w:rPr>
          <w:lang w:val="fr-FR"/>
        </w:rPr>
        <w:t xml:space="preserve"> le flux de revenus supplémentaires que le droit de suite des artistes peut apporter aux artistes vivants et à leurs descendants, ces régimes peuvent présenter d</w:t>
      </w:r>
      <w:r w:rsidR="000A0979" w:rsidRPr="00B953FA">
        <w:rPr>
          <w:lang w:val="fr-FR"/>
        </w:rPr>
        <w:t>’</w:t>
      </w:r>
      <w:r w:rsidRPr="00B953FA">
        <w:rPr>
          <w:lang w:val="fr-FR"/>
        </w:rPr>
        <w:t>autres avantages</w:t>
      </w:r>
      <w:r w:rsidR="000A0979" w:rsidRPr="00B953FA">
        <w:rPr>
          <w:lang w:val="fr-FR"/>
        </w:rPr>
        <w:t> :</w:t>
      </w:r>
      <w:r w:rsidRPr="00B953FA">
        <w:rPr>
          <w:lang w:val="fr-FR"/>
        </w:rPr>
        <w:t xml:space="preserve"> un moyen de suivre la propriété et la destination des œuvres des artistes et de fournir à ces derniers un lien continu avec leurs œuvres, en </w:t>
      </w:r>
      <w:r w:rsidRPr="00B953FA">
        <w:rPr>
          <w:lang w:val="fr-FR"/>
        </w:rPr>
        <w:lastRenderedPageBreak/>
        <w:t>particulier si la croissance de leur réputation professionnelle et artistique a conduit à une augmentation du prix de revente de ces dernières;</w:t>
      </w:r>
    </w:p>
    <w:p w14:paraId="3A22520F" w14:textId="3F13F8AD" w:rsidR="00C77D5B" w:rsidRPr="00B953FA" w:rsidRDefault="00C77D5B" w:rsidP="002D7EE2">
      <w:pPr>
        <w:pStyle w:val="ONUMFS"/>
        <w:numPr>
          <w:ilvl w:val="0"/>
          <w:numId w:val="20"/>
        </w:numPr>
        <w:tabs>
          <w:tab w:val="clear" w:pos="567"/>
        </w:tabs>
        <w:ind w:left="1134" w:hanging="567"/>
        <w:rPr>
          <w:lang w:val="fr-FR"/>
        </w:rPr>
      </w:pPr>
      <w:proofErr w:type="gramStart"/>
      <w:r w:rsidRPr="00B953FA">
        <w:rPr>
          <w:lang w:val="fr-FR"/>
        </w:rPr>
        <w:t>la</w:t>
      </w:r>
      <w:proofErr w:type="gramEnd"/>
      <w:r w:rsidRPr="00B953FA">
        <w:rPr>
          <w:lang w:val="fr-FR"/>
        </w:rPr>
        <w:t xml:space="preserve"> discussion précédente s</w:t>
      </w:r>
      <w:r w:rsidR="000A0979" w:rsidRPr="00B953FA">
        <w:rPr>
          <w:lang w:val="fr-FR"/>
        </w:rPr>
        <w:t>’</w:t>
      </w:r>
      <w:r w:rsidRPr="00B953FA">
        <w:rPr>
          <w:lang w:val="fr-FR"/>
        </w:rPr>
        <w:t>est concentrée sur les œuvres d</w:t>
      </w:r>
      <w:r w:rsidR="000A0979" w:rsidRPr="00B953FA">
        <w:rPr>
          <w:lang w:val="fr-FR"/>
        </w:rPr>
        <w:t>’</w:t>
      </w:r>
      <w:r w:rsidRPr="00B953FA">
        <w:rPr>
          <w:lang w:val="fr-FR"/>
        </w:rPr>
        <w:t>art visuel, car elles font l</w:t>
      </w:r>
      <w:r w:rsidR="000A0979" w:rsidRPr="00B953FA">
        <w:rPr>
          <w:lang w:val="fr-FR"/>
        </w:rPr>
        <w:t>’</w:t>
      </w:r>
      <w:r w:rsidRPr="00B953FA">
        <w:rPr>
          <w:lang w:val="fr-FR"/>
        </w:rPr>
        <w:t>objet de toutes les législations nationales relatives au droit de suite des artist</w:t>
      </w:r>
      <w:r w:rsidR="00B953FA" w:rsidRPr="00B953FA">
        <w:rPr>
          <w:lang w:val="fr-FR"/>
        </w:rPr>
        <w:t>es.  Ce</w:t>
      </w:r>
      <w:r w:rsidRPr="00B953FA">
        <w:rPr>
          <w:lang w:val="fr-FR"/>
        </w:rPr>
        <w:t>pendant, certaines législations nationales incluent également les “manuscrits originaux” des œuvres d</w:t>
      </w:r>
      <w:r w:rsidR="000A0979" w:rsidRPr="00B953FA">
        <w:rPr>
          <w:lang w:val="fr-FR"/>
        </w:rPr>
        <w:t>’</w:t>
      </w:r>
      <w:r w:rsidRPr="00B953FA">
        <w:rPr>
          <w:lang w:val="fr-FR"/>
        </w:rPr>
        <w:t>écrivains et de compositeu</w:t>
      </w:r>
      <w:r w:rsidR="00B953FA" w:rsidRPr="00B953FA">
        <w:rPr>
          <w:lang w:val="fr-FR"/>
        </w:rPr>
        <w:t>rs.  Il</w:t>
      </w:r>
      <w:r w:rsidRPr="00B953FA">
        <w:rPr>
          <w:lang w:val="fr-FR"/>
        </w:rPr>
        <w:t xml:space="preserve"> est bien connu que de tels objets d</w:t>
      </w:r>
      <w:r w:rsidR="000A0979" w:rsidRPr="00B953FA">
        <w:rPr>
          <w:lang w:val="fr-FR"/>
        </w:rPr>
        <w:t>’</w:t>
      </w:r>
      <w:r w:rsidRPr="00B953FA">
        <w:rPr>
          <w:lang w:val="fr-FR"/>
        </w:rPr>
        <w:t>art peuvent atteindre des prix élevés à la revente, en particulier dans le cas d</w:t>
      </w:r>
      <w:r w:rsidR="000A0979" w:rsidRPr="00B953FA">
        <w:rPr>
          <w:lang w:val="fr-FR"/>
        </w:rPr>
        <w:t>’</w:t>
      </w:r>
      <w:r w:rsidRPr="00B953FA">
        <w:rPr>
          <w:lang w:val="fr-FR"/>
        </w:rPr>
        <w:t>auteurs et de compositeurs célèbr</w:t>
      </w:r>
      <w:r w:rsidR="00B953FA" w:rsidRPr="00B953FA">
        <w:rPr>
          <w:lang w:val="fr-FR"/>
        </w:rPr>
        <w:t>es.  Le</w:t>
      </w:r>
      <w:r w:rsidRPr="00B953FA">
        <w:rPr>
          <w:lang w:val="fr-FR"/>
        </w:rPr>
        <w:t>s arguments en faveur du droit de suite des artistes, cependant, peuvent ne pas être aussi convaincants que pour les œuvres d</w:t>
      </w:r>
      <w:r w:rsidR="000A0979" w:rsidRPr="00B953FA">
        <w:rPr>
          <w:lang w:val="fr-FR"/>
        </w:rPr>
        <w:t>’</w:t>
      </w:r>
      <w:r w:rsidRPr="00B953FA">
        <w:rPr>
          <w:lang w:val="fr-FR"/>
        </w:rPr>
        <w:t>artistes visuels, car ce ne sera généralement pas là (à l</w:t>
      </w:r>
      <w:r w:rsidR="000A0979" w:rsidRPr="00B953FA">
        <w:rPr>
          <w:lang w:val="fr-FR"/>
        </w:rPr>
        <w:t>’</w:t>
      </w:r>
      <w:r w:rsidRPr="00B953FA">
        <w:rPr>
          <w:lang w:val="fr-FR"/>
        </w:rPr>
        <w:t>exception peut</w:t>
      </w:r>
      <w:r w:rsidR="00FA1A0F">
        <w:rPr>
          <w:lang w:val="fr-FR"/>
        </w:rPr>
        <w:noBreakHyphen/>
      </w:r>
      <w:r w:rsidRPr="00B953FA">
        <w:rPr>
          <w:lang w:val="fr-FR"/>
        </w:rPr>
        <w:t>être des manuscrits médiévaux enluminés) que les auteurs et les compositeurs tireront les meilleurs revenus des ventes de leurs manuscrits originaux</w:t>
      </w:r>
      <w:r w:rsidR="000A0979" w:rsidRPr="00B953FA">
        <w:rPr>
          <w:lang w:val="fr-FR"/>
        </w:rPr>
        <w:t> :</w:t>
      </w:r>
      <w:r w:rsidRPr="00B953FA">
        <w:rPr>
          <w:lang w:val="fr-FR"/>
        </w:rPr>
        <w:t xml:space="preserve"> ils auront généralement bénéficié pleinement de leurs droits de reproduction et de communication et la valeur attachée à un manuscrit original ne peut qu</w:t>
      </w:r>
      <w:r w:rsidR="000A0979" w:rsidRPr="00B953FA">
        <w:rPr>
          <w:lang w:val="fr-FR"/>
        </w:rPr>
        <w:t>’</w:t>
      </w:r>
      <w:r w:rsidRPr="00B953FA">
        <w:rPr>
          <w:lang w:val="fr-FR"/>
        </w:rPr>
        <w:t>augmenter avec le temps, et même à titre posthume, à mesure que la réputation de l</w:t>
      </w:r>
      <w:r w:rsidR="000A0979" w:rsidRPr="00B953FA">
        <w:rPr>
          <w:lang w:val="fr-FR"/>
        </w:rPr>
        <w:t>’</w:t>
      </w:r>
      <w:r w:rsidRPr="00B953FA">
        <w:rPr>
          <w:lang w:val="fr-FR"/>
        </w:rPr>
        <w:t>auteur augmen</w:t>
      </w:r>
      <w:r w:rsidR="00B953FA" w:rsidRPr="00B953FA">
        <w:rPr>
          <w:lang w:val="fr-FR"/>
        </w:rPr>
        <w:t>te.  Ai</w:t>
      </w:r>
      <w:r w:rsidRPr="00B953FA">
        <w:rPr>
          <w:lang w:val="fr-FR"/>
        </w:rPr>
        <w:t>nsi, l</w:t>
      </w:r>
      <w:r w:rsidR="000A0979" w:rsidRPr="00B953FA">
        <w:rPr>
          <w:lang w:val="fr-FR"/>
        </w:rPr>
        <w:t>’</w:t>
      </w:r>
      <w:r w:rsidRPr="00B953FA">
        <w:rPr>
          <w:lang w:val="fr-FR"/>
        </w:rPr>
        <w:t>argument du “déséquilibre”, si puissant dans le cas des artistes plasticiens, n</w:t>
      </w:r>
      <w:r w:rsidR="000A0979" w:rsidRPr="00B953FA">
        <w:rPr>
          <w:lang w:val="fr-FR"/>
        </w:rPr>
        <w:t>’</w:t>
      </w:r>
      <w:r w:rsidRPr="00B953FA">
        <w:rPr>
          <w:lang w:val="fr-FR"/>
        </w:rPr>
        <w:t>a pas la même force i</w:t>
      </w:r>
      <w:r w:rsidR="00B953FA" w:rsidRPr="00B953FA">
        <w:rPr>
          <w:lang w:val="fr-FR"/>
        </w:rPr>
        <w:t>ci.  Sa</w:t>
      </w:r>
      <w:r w:rsidRPr="00B953FA">
        <w:rPr>
          <w:lang w:val="fr-FR"/>
        </w:rPr>
        <w:t>ns nier la valeur des manuscrits originaux en tant que témoignages authentiques des intentions originales de l</w:t>
      </w:r>
      <w:r w:rsidR="000A0979" w:rsidRPr="00B953FA">
        <w:rPr>
          <w:lang w:val="fr-FR"/>
        </w:rPr>
        <w:t>’</w:t>
      </w:r>
      <w:r w:rsidRPr="00B953FA">
        <w:rPr>
          <w:lang w:val="fr-FR"/>
        </w:rPr>
        <w:t>écrivain ou du compositeur, imprégnés qu</w:t>
      </w:r>
      <w:r w:rsidR="000A0979" w:rsidRPr="00B953FA">
        <w:rPr>
          <w:lang w:val="fr-FR"/>
        </w:rPr>
        <w:t>’</w:t>
      </w:r>
      <w:r w:rsidRPr="00B953FA">
        <w:rPr>
          <w:lang w:val="fr-FR"/>
        </w:rPr>
        <w:t>ils soient par le fait de leur lien intime avec la personne du créateur bien connu, les arguments pour lier ici le droit de suite des artistes aux droits des auteurs peuvent ne pas être si persuasifs pour les décideurs politiques et législatifs nationaux dans la conception de leurs propres régimes de droit de suite des artistes.</w:t>
      </w:r>
    </w:p>
    <w:p w14:paraId="51B2E0BD" w14:textId="3BF23711" w:rsidR="00C77D5B" w:rsidRPr="00B953FA" w:rsidRDefault="00C77D5B" w:rsidP="002D7EE2">
      <w:pPr>
        <w:pStyle w:val="Heading1"/>
        <w:rPr>
          <w:lang w:val="fr-FR"/>
        </w:rPr>
      </w:pPr>
      <w:r w:rsidRPr="00B953FA">
        <w:rPr>
          <w:lang w:val="fr-FR"/>
        </w:rPr>
        <w:t>Le cadre international</w:t>
      </w:r>
      <w:r w:rsidR="000A0979" w:rsidRPr="00B953FA">
        <w:rPr>
          <w:lang w:val="fr-FR"/>
        </w:rPr>
        <w:t> :</w:t>
      </w:r>
      <w:r w:rsidRPr="00B953FA">
        <w:rPr>
          <w:lang w:val="fr-FR"/>
        </w:rPr>
        <w:t xml:space="preserve"> article 14</w:t>
      </w:r>
      <w:r w:rsidRPr="00B953FA">
        <w:rPr>
          <w:i/>
          <w:lang w:val="fr-FR"/>
        </w:rPr>
        <w:t xml:space="preserve">ter </w:t>
      </w:r>
      <w:r w:rsidRPr="00B953FA">
        <w:rPr>
          <w:lang w:val="fr-FR"/>
        </w:rPr>
        <w:t>de la Convention de Berne</w:t>
      </w:r>
    </w:p>
    <w:p w14:paraId="5664A3F3" w14:textId="1F82C596" w:rsidR="00C77D5B" w:rsidRPr="00B953FA" w:rsidRDefault="00C77D5B" w:rsidP="002D7EE2">
      <w:pPr>
        <w:pStyle w:val="ONUMFS"/>
        <w:rPr>
          <w:lang w:val="fr-FR"/>
        </w:rPr>
      </w:pPr>
      <w:r w:rsidRPr="00B953FA">
        <w:rPr>
          <w:lang w:val="fr-FR"/>
        </w:rPr>
        <w:t>Il est utile à ce stade de décrire le cadre du droit de suite des artistes contenu dans l</w:t>
      </w:r>
      <w:r w:rsidR="000A0979" w:rsidRPr="00B953FA">
        <w:rPr>
          <w:lang w:val="fr-FR"/>
        </w:rPr>
        <w:t>’</w:t>
      </w:r>
      <w:r w:rsidRPr="00B953FA">
        <w:rPr>
          <w:lang w:val="fr-FR"/>
        </w:rPr>
        <w:t>article </w:t>
      </w:r>
      <w:r w:rsidRPr="00B953FA">
        <w:rPr>
          <w:i/>
          <w:lang w:val="fr-FR"/>
        </w:rPr>
        <w:t xml:space="preserve">14ter </w:t>
      </w:r>
      <w:r w:rsidRPr="00B953FA">
        <w:rPr>
          <w:lang w:val="fr-FR"/>
        </w:rPr>
        <w:t>qui a été introduit dans la Convention de Berne lors de la révision de Bruxelles en 1948 (alors dans l</w:t>
      </w:r>
      <w:r w:rsidR="000A0979" w:rsidRPr="00B953FA">
        <w:rPr>
          <w:lang w:val="fr-FR"/>
        </w:rPr>
        <w:t>’</w:t>
      </w:r>
      <w:r w:rsidRPr="00B953FA">
        <w:rPr>
          <w:lang w:val="fr-FR"/>
        </w:rPr>
        <w:t>article 14</w:t>
      </w:r>
      <w:r w:rsidRPr="00B953FA">
        <w:rPr>
          <w:i/>
          <w:lang w:val="fr-FR"/>
        </w:rPr>
        <w:t>b</w:t>
      </w:r>
      <w:r w:rsidR="00B953FA" w:rsidRPr="00B953FA">
        <w:rPr>
          <w:i/>
          <w:lang w:val="fr-FR"/>
        </w:rPr>
        <w:t>is</w:t>
      </w:r>
      <w:r w:rsidR="00B953FA" w:rsidRPr="00B953FA">
        <w:rPr>
          <w:lang w:val="fr-FR"/>
        </w:rPr>
        <w:t>)</w:t>
      </w:r>
      <w:r w:rsidR="00B953FA" w:rsidRPr="00B953FA">
        <w:rPr>
          <w:i/>
          <w:lang w:val="fr-FR"/>
        </w:rPr>
        <w:t xml:space="preserve">.  </w:t>
      </w:r>
      <w:r w:rsidR="00B953FA" w:rsidRPr="00B953FA">
        <w:rPr>
          <w:lang w:val="fr-FR"/>
        </w:rPr>
        <w:t>Lé</w:t>
      </w:r>
      <w:r w:rsidRPr="00B953FA">
        <w:rPr>
          <w:lang w:val="fr-FR"/>
        </w:rPr>
        <w:t xml:space="preserve">gèrement modifié à Stockholm en 1967 et conservé dans la révision de Paris de 1971, </w:t>
      </w:r>
      <w:r w:rsidR="00D53C0A" w:rsidRPr="00B953FA">
        <w:rPr>
          <w:lang w:val="fr-FR"/>
        </w:rPr>
        <w:t>l</w:t>
      </w:r>
      <w:r w:rsidR="000A0979" w:rsidRPr="00B953FA">
        <w:rPr>
          <w:lang w:val="fr-FR"/>
        </w:rPr>
        <w:t>’</w:t>
      </w:r>
      <w:r w:rsidRPr="00B953FA">
        <w:rPr>
          <w:lang w:val="fr-FR"/>
        </w:rPr>
        <w:t>article </w:t>
      </w:r>
      <w:r w:rsidRPr="00B953FA">
        <w:rPr>
          <w:i/>
          <w:lang w:val="fr-FR"/>
        </w:rPr>
        <w:t xml:space="preserve">14ter </w:t>
      </w:r>
      <w:r w:rsidRPr="00B953FA">
        <w:rPr>
          <w:lang w:val="fr-FR"/>
        </w:rPr>
        <w:t>dispose que</w:t>
      </w:r>
      <w:r w:rsidR="000A0979" w:rsidRPr="00B953FA">
        <w:rPr>
          <w:lang w:val="fr-FR"/>
        </w:rPr>
        <w:t> :</w:t>
      </w:r>
    </w:p>
    <w:p w14:paraId="6DF293B1" w14:textId="0F448444" w:rsidR="00C77D5B" w:rsidRPr="00B953FA" w:rsidRDefault="00C77D5B" w:rsidP="002D7EE2">
      <w:pPr>
        <w:pStyle w:val="ONUMFS"/>
        <w:numPr>
          <w:ilvl w:val="0"/>
          <w:numId w:val="0"/>
        </w:numPr>
        <w:spacing w:after="60"/>
        <w:ind w:left="567"/>
        <w:rPr>
          <w:iCs/>
          <w:sz w:val="20"/>
          <w:lang w:val="fr-FR"/>
        </w:rPr>
      </w:pPr>
      <w:r w:rsidRPr="00B953FA">
        <w:rPr>
          <w:iCs/>
          <w:sz w:val="20"/>
          <w:lang w:val="fr-FR"/>
        </w:rPr>
        <w:t>1)</w:t>
      </w:r>
      <w:r w:rsidRPr="00B953FA">
        <w:rPr>
          <w:iCs/>
          <w:sz w:val="20"/>
          <w:lang w:val="fr-FR"/>
        </w:rPr>
        <w:tab/>
        <w:t>En ce qui concerne les œuvres d</w:t>
      </w:r>
      <w:r w:rsidR="000A0979" w:rsidRPr="00B953FA">
        <w:rPr>
          <w:iCs/>
          <w:sz w:val="20"/>
          <w:lang w:val="fr-FR"/>
        </w:rPr>
        <w:t>’</w:t>
      </w:r>
      <w:r w:rsidRPr="00B953FA">
        <w:rPr>
          <w:iCs/>
          <w:sz w:val="20"/>
          <w:lang w:val="fr-FR"/>
        </w:rPr>
        <w:t>art originales et les manuscrits originaux des écrivains et compositeurs, l</w:t>
      </w:r>
      <w:r w:rsidR="000A0979" w:rsidRPr="00B953FA">
        <w:rPr>
          <w:iCs/>
          <w:sz w:val="20"/>
          <w:lang w:val="fr-FR"/>
        </w:rPr>
        <w:t>’</w:t>
      </w:r>
      <w:r w:rsidRPr="00B953FA">
        <w:rPr>
          <w:iCs/>
          <w:sz w:val="20"/>
          <w:lang w:val="fr-FR"/>
        </w:rPr>
        <w:t>auteur – ou, après sa mort, les personnes ou institutions auxquelles la législation nationale donne qualité – jouit d</w:t>
      </w:r>
      <w:r w:rsidR="000A0979" w:rsidRPr="00B953FA">
        <w:rPr>
          <w:iCs/>
          <w:sz w:val="20"/>
          <w:lang w:val="fr-FR"/>
        </w:rPr>
        <w:t>’</w:t>
      </w:r>
      <w:r w:rsidRPr="00B953FA">
        <w:rPr>
          <w:iCs/>
          <w:sz w:val="20"/>
          <w:lang w:val="fr-FR"/>
        </w:rPr>
        <w:t>un droit inaliénable à être intéressé aux opérations de vente dont l</w:t>
      </w:r>
      <w:r w:rsidR="000A0979" w:rsidRPr="00B953FA">
        <w:rPr>
          <w:iCs/>
          <w:sz w:val="20"/>
          <w:lang w:val="fr-FR"/>
        </w:rPr>
        <w:t>’</w:t>
      </w:r>
      <w:r w:rsidRPr="00B953FA">
        <w:rPr>
          <w:iCs/>
          <w:sz w:val="20"/>
          <w:lang w:val="fr-FR"/>
        </w:rPr>
        <w:t>œuvre est l</w:t>
      </w:r>
      <w:r w:rsidR="000A0979" w:rsidRPr="00B953FA">
        <w:rPr>
          <w:iCs/>
          <w:sz w:val="20"/>
          <w:lang w:val="fr-FR"/>
        </w:rPr>
        <w:t>’</w:t>
      </w:r>
      <w:r w:rsidRPr="00B953FA">
        <w:rPr>
          <w:iCs/>
          <w:sz w:val="20"/>
          <w:lang w:val="fr-FR"/>
        </w:rPr>
        <w:t>objet après la première cession opérée par l</w:t>
      </w:r>
      <w:r w:rsidR="000A0979" w:rsidRPr="00B953FA">
        <w:rPr>
          <w:iCs/>
          <w:sz w:val="20"/>
          <w:lang w:val="fr-FR"/>
        </w:rPr>
        <w:t>’</w:t>
      </w:r>
      <w:r w:rsidRPr="00B953FA">
        <w:rPr>
          <w:iCs/>
          <w:sz w:val="20"/>
          <w:lang w:val="fr-FR"/>
        </w:rPr>
        <w:t>auteur.</w:t>
      </w:r>
    </w:p>
    <w:p w14:paraId="0E18D528" w14:textId="064A18E8" w:rsidR="00C77D5B" w:rsidRPr="00B953FA" w:rsidRDefault="00C77D5B" w:rsidP="002D7EE2">
      <w:pPr>
        <w:pStyle w:val="ONUMFS"/>
        <w:numPr>
          <w:ilvl w:val="0"/>
          <w:numId w:val="0"/>
        </w:numPr>
        <w:spacing w:after="60"/>
        <w:ind w:left="567"/>
        <w:rPr>
          <w:iCs/>
          <w:sz w:val="20"/>
          <w:lang w:val="fr-FR"/>
        </w:rPr>
      </w:pPr>
      <w:r w:rsidRPr="00B953FA">
        <w:rPr>
          <w:iCs/>
          <w:sz w:val="20"/>
          <w:lang w:val="fr-FR"/>
        </w:rPr>
        <w:t>2)</w:t>
      </w:r>
      <w:r w:rsidRPr="00B953FA">
        <w:rPr>
          <w:iCs/>
          <w:sz w:val="20"/>
          <w:lang w:val="fr-FR"/>
        </w:rPr>
        <w:tab/>
        <w:t>La protection prévue à l</w:t>
      </w:r>
      <w:r w:rsidR="000A0979" w:rsidRPr="00B953FA">
        <w:rPr>
          <w:iCs/>
          <w:sz w:val="20"/>
          <w:lang w:val="fr-FR"/>
        </w:rPr>
        <w:t>’</w:t>
      </w:r>
      <w:r w:rsidRPr="00B953FA">
        <w:rPr>
          <w:iCs/>
          <w:sz w:val="20"/>
          <w:lang w:val="fr-FR"/>
        </w:rPr>
        <w:t>alinéa ci</w:t>
      </w:r>
      <w:r w:rsidR="00FA1A0F">
        <w:rPr>
          <w:iCs/>
          <w:sz w:val="20"/>
          <w:lang w:val="fr-FR"/>
        </w:rPr>
        <w:noBreakHyphen/>
      </w:r>
      <w:r w:rsidRPr="00B953FA">
        <w:rPr>
          <w:iCs/>
          <w:sz w:val="20"/>
          <w:lang w:val="fr-FR"/>
        </w:rPr>
        <w:t>dessus n</w:t>
      </w:r>
      <w:r w:rsidR="000A0979" w:rsidRPr="00B953FA">
        <w:rPr>
          <w:iCs/>
          <w:sz w:val="20"/>
          <w:lang w:val="fr-FR"/>
        </w:rPr>
        <w:t>’</w:t>
      </w:r>
      <w:r w:rsidRPr="00B953FA">
        <w:rPr>
          <w:iCs/>
          <w:sz w:val="20"/>
          <w:lang w:val="fr-FR"/>
        </w:rPr>
        <w:t>est exigible dans chaque pays de l</w:t>
      </w:r>
      <w:r w:rsidR="000A0979" w:rsidRPr="00B953FA">
        <w:rPr>
          <w:iCs/>
          <w:sz w:val="20"/>
          <w:lang w:val="fr-FR"/>
        </w:rPr>
        <w:t>’</w:t>
      </w:r>
      <w:r w:rsidRPr="00B953FA">
        <w:rPr>
          <w:iCs/>
          <w:sz w:val="20"/>
          <w:lang w:val="fr-FR"/>
        </w:rPr>
        <w:t>Union que si la législation nationale de l</w:t>
      </w:r>
      <w:r w:rsidR="000A0979" w:rsidRPr="00B953FA">
        <w:rPr>
          <w:iCs/>
          <w:sz w:val="20"/>
          <w:lang w:val="fr-FR"/>
        </w:rPr>
        <w:t>’</w:t>
      </w:r>
      <w:r w:rsidRPr="00B953FA">
        <w:rPr>
          <w:iCs/>
          <w:sz w:val="20"/>
          <w:lang w:val="fr-FR"/>
        </w:rPr>
        <w:t>auteur admet cette protection et dans la mesure où le permet la législation du pays où cette protection est réclamée.</w:t>
      </w:r>
    </w:p>
    <w:p w14:paraId="69B609B7" w14:textId="77777777" w:rsidR="00C77D5B" w:rsidRPr="00B953FA" w:rsidRDefault="00C77D5B" w:rsidP="002D7EE2">
      <w:pPr>
        <w:pStyle w:val="ONUMFS"/>
        <w:numPr>
          <w:ilvl w:val="0"/>
          <w:numId w:val="0"/>
        </w:numPr>
        <w:ind w:left="567"/>
        <w:rPr>
          <w:sz w:val="20"/>
          <w:lang w:val="fr-FR"/>
        </w:rPr>
      </w:pPr>
      <w:r w:rsidRPr="00B953FA">
        <w:rPr>
          <w:sz w:val="20"/>
          <w:lang w:val="fr-FR"/>
        </w:rPr>
        <w:t>3)</w:t>
      </w:r>
      <w:r w:rsidRPr="00B953FA">
        <w:rPr>
          <w:sz w:val="20"/>
          <w:lang w:val="fr-FR"/>
        </w:rPr>
        <w:tab/>
        <w:t>Les modalités et les taux de la perception sont déterminés par chaque législation nationale.</w:t>
      </w:r>
    </w:p>
    <w:p w14:paraId="079F9570" w14:textId="3E4307BA" w:rsidR="00C77D5B" w:rsidRPr="00B953FA" w:rsidRDefault="00C77D5B" w:rsidP="002D7EE2">
      <w:pPr>
        <w:pStyle w:val="ONUMFS"/>
        <w:rPr>
          <w:lang w:val="fr-FR"/>
        </w:rPr>
      </w:pPr>
      <w:r w:rsidRPr="00B953FA">
        <w:rPr>
          <w:lang w:val="fr-FR"/>
        </w:rPr>
        <w:t>Ceci est loin de fournir un cadre complet pour un régime de droit de suite des artistes, mais les aspects suivants de l</w:t>
      </w:r>
      <w:r w:rsidR="000A0979" w:rsidRPr="00B953FA">
        <w:rPr>
          <w:lang w:val="fr-FR"/>
        </w:rPr>
        <w:t>’</w:t>
      </w:r>
      <w:r w:rsidRPr="00B953FA">
        <w:rPr>
          <w:lang w:val="fr-FR"/>
        </w:rPr>
        <w:t>article 14</w:t>
      </w:r>
      <w:r w:rsidRPr="00B953FA">
        <w:rPr>
          <w:i/>
          <w:lang w:val="fr-FR"/>
        </w:rPr>
        <w:t xml:space="preserve">ter </w:t>
      </w:r>
      <w:r w:rsidRPr="00B953FA">
        <w:rPr>
          <w:lang w:val="fr-FR"/>
        </w:rPr>
        <w:t>doivent être notés, car ils fournissent les lignes directrices générales dans lesquelles un système national de droit de suite des artistes devrait fonctionner afin d</w:t>
      </w:r>
      <w:r w:rsidR="000A0979" w:rsidRPr="00B953FA">
        <w:rPr>
          <w:lang w:val="fr-FR"/>
        </w:rPr>
        <w:t>’</w:t>
      </w:r>
      <w:r w:rsidRPr="00B953FA">
        <w:rPr>
          <w:lang w:val="fr-FR"/>
        </w:rPr>
        <w:t>assurer la cohérence globale avec la Convention de Berne</w:t>
      </w:r>
      <w:r w:rsidR="000A0979" w:rsidRPr="00B953FA">
        <w:rPr>
          <w:lang w:val="fr-FR"/>
        </w:rPr>
        <w:t> :</w:t>
      </w:r>
    </w:p>
    <w:p w14:paraId="1034A901" w14:textId="609893DC" w:rsidR="00C77D5B" w:rsidRPr="00B953FA" w:rsidRDefault="00C77D5B" w:rsidP="002D7EE2">
      <w:pPr>
        <w:pStyle w:val="ONUMFS"/>
        <w:numPr>
          <w:ilvl w:val="0"/>
          <w:numId w:val="21"/>
        </w:numPr>
        <w:spacing w:after="60"/>
        <w:ind w:left="1134" w:hanging="567"/>
        <w:rPr>
          <w:lang w:val="fr-FR"/>
        </w:rPr>
      </w:pPr>
      <w:proofErr w:type="gramStart"/>
      <w:r w:rsidRPr="00B953FA">
        <w:rPr>
          <w:lang w:val="fr-FR"/>
        </w:rPr>
        <w:t>à</w:t>
      </w:r>
      <w:proofErr w:type="gramEnd"/>
      <w:r w:rsidRPr="00B953FA">
        <w:rPr>
          <w:lang w:val="fr-FR"/>
        </w:rPr>
        <w:t xml:space="preserve"> l</w:t>
      </w:r>
      <w:r w:rsidR="000A0979" w:rsidRPr="00B953FA">
        <w:rPr>
          <w:lang w:val="fr-FR"/>
        </w:rPr>
        <w:t>’</w:t>
      </w:r>
      <w:r w:rsidRPr="00B953FA">
        <w:rPr>
          <w:lang w:val="fr-FR"/>
        </w:rPr>
        <w:t>instar du droit moral, le droit de suite des artistes doit être un droit inaliénable de l</w:t>
      </w:r>
      <w:r w:rsidR="000A0979" w:rsidRPr="00B953FA">
        <w:rPr>
          <w:lang w:val="fr-FR"/>
        </w:rPr>
        <w:t>’</w:t>
      </w:r>
      <w:r w:rsidRPr="00B953FA">
        <w:rPr>
          <w:lang w:val="fr-FR"/>
        </w:rPr>
        <w:t>auteur, c</w:t>
      </w:r>
      <w:r w:rsidR="000A0979" w:rsidRPr="00B953FA">
        <w:rPr>
          <w:lang w:val="fr-FR"/>
        </w:rPr>
        <w:t>’</w:t>
      </w:r>
      <w:r w:rsidRPr="00B953FA">
        <w:rPr>
          <w:lang w:val="fr-FR"/>
        </w:rPr>
        <w:t>est</w:t>
      </w:r>
      <w:r w:rsidR="00FA1A0F">
        <w:rPr>
          <w:lang w:val="fr-FR"/>
        </w:rPr>
        <w:noBreakHyphen/>
      </w:r>
      <w:r w:rsidRPr="00B953FA">
        <w:rPr>
          <w:lang w:val="fr-FR"/>
        </w:rPr>
        <w:t>à</w:t>
      </w:r>
      <w:r w:rsidR="00FA1A0F">
        <w:rPr>
          <w:lang w:val="fr-FR"/>
        </w:rPr>
        <w:noBreakHyphen/>
      </w:r>
      <w:r w:rsidRPr="00B953FA">
        <w:rPr>
          <w:lang w:val="fr-FR"/>
        </w:rPr>
        <w:t>dire un droit qui ne peut être transféré ou cédé par l</w:t>
      </w:r>
      <w:r w:rsidR="000A0979" w:rsidRPr="00B953FA">
        <w:rPr>
          <w:lang w:val="fr-FR"/>
        </w:rPr>
        <w:t>’</w:t>
      </w:r>
      <w:r w:rsidRPr="00B953FA">
        <w:rPr>
          <w:lang w:val="fr-FR"/>
        </w:rPr>
        <w:t>auteur ou ses héritie</w:t>
      </w:r>
      <w:r w:rsidR="00B953FA" w:rsidRPr="00B953FA">
        <w:rPr>
          <w:lang w:val="fr-FR"/>
        </w:rPr>
        <w:t xml:space="preserve">rs.  À </w:t>
      </w:r>
      <w:r w:rsidRPr="00B953FA">
        <w:rPr>
          <w:lang w:val="fr-FR"/>
        </w:rPr>
        <w:t>cet égard, il diffère des autres droits patrimoniaux exclusifs garantis par la Conventi</w:t>
      </w:r>
      <w:r w:rsidR="00B953FA" w:rsidRPr="00B953FA">
        <w:rPr>
          <w:lang w:val="fr-FR"/>
        </w:rPr>
        <w:t>on.  D’u</w:t>
      </w:r>
      <w:r w:rsidRPr="00B953FA">
        <w:rPr>
          <w:lang w:val="fr-FR"/>
        </w:rPr>
        <w:t>n autre côté, le droit de suite des artistes reste un droit économique, plutôt que moral, qui vise à fournir un moyen d</w:t>
      </w:r>
      <w:r w:rsidR="000A0979" w:rsidRPr="00B953FA">
        <w:rPr>
          <w:lang w:val="fr-FR"/>
        </w:rPr>
        <w:t>’</w:t>
      </w:r>
      <w:r w:rsidRPr="00B953FA">
        <w:rPr>
          <w:lang w:val="fr-FR"/>
        </w:rPr>
        <w:t>indemniser les auteurs dans des circonstances où l</w:t>
      </w:r>
      <w:r w:rsidR="000A0979" w:rsidRPr="00B953FA">
        <w:rPr>
          <w:lang w:val="fr-FR"/>
        </w:rPr>
        <w:t>’</w:t>
      </w:r>
      <w:r w:rsidRPr="00B953FA">
        <w:rPr>
          <w:lang w:val="fr-FR"/>
        </w:rPr>
        <w:t>on peut faire valoir que leurs autres droits patrimoniaux sur l</w:t>
      </w:r>
      <w:r w:rsidR="000A0979" w:rsidRPr="00B953FA">
        <w:rPr>
          <w:lang w:val="fr-FR"/>
        </w:rPr>
        <w:t>’</w:t>
      </w:r>
      <w:r w:rsidRPr="00B953FA">
        <w:rPr>
          <w:lang w:val="fr-FR"/>
        </w:rPr>
        <w:t>œuvre (reproduction, diffusion, etc.) ne leur donnent pas un rendement suffisant lorsque la valeur réelle de l</w:t>
      </w:r>
      <w:r w:rsidR="000A0979" w:rsidRPr="00B953FA">
        <w:rPr>
          <w:lang w:val="fr-FR"/>
        </w:rPr>
        <w:t>’</w:t>
      </w:r>
      <w:r w:rsidRPr="00B953FA">
        <w:rPr>
          <w:lang w:val="fr-FR"/>
        </w:rPr>
        <w:t>œuvre s</w:t>
      </w:r>
      <w:r w:rsidR="000A0979" w:rsidRPr="00B953FA">
        <w:rPr>
          <w:lang w:val="fr-FR"/>
        </w:rPr>
        <w:t>’</w:t>
      </w:r>
      <w:r w:rsidRPr="00B953FA">
        <w:rPr>
          <w:lang w:val="fr-FR"/>
        </w:rPr>
        <w:t>attache à l</w:t>
      </w:r>
      <w:r w:rsidR="000A0979" w:rsidRPr="00B953FA">
        <w:rPr>
          <w:lang w:val="fr-FR"/>
        </w:rPr>
        <w:t>’</w:t>
      </w:r>
      <w:r w:rsidRPr="00B953FA">
        <w:rPr>
          <w:lang w:val="fr-FR"/>
        </w:rPr>
        <w:t>objet d</w:t>
      </w:r>
      <w:r w:rsidR="000A0979" w:rsidRPr="00B953FA">
        <w:rPr>
          <w:lang w:val="fr-FR"/>
        </w:rPr>
        <w:t>’</w:t>
      </w:r>
      <w:r w:rsidRPr="00B953FA">
        <w:rPr>
          <w:lang w:val="fr-FR"/>
        </w:rPr>
        <w:t>art original dans lequel l</w:t>
      </w:r>
      <w:r w:rsidR="000A0979" w:rsidRPr="00B953FA">
        <w:rPr>
          <w:lang w:val="fr-FR"/>
        </w:rPr>
        <w:t>’</w:t>
      </w:r>
      <w:r w:rsidRPr="00B953FA">
        <w:rPr>
          <w:lang w:val="fr-FR"/>
        </w:rPr>
        <w:t>œuvre est incorporée, plutôt qu</w:t>
      </w:r>
      <w:r w:rsidR="000A0979" w:rsidRPr="00B953FA">
        <w:rPr>
          <w:lang w:val="fr-FR"/>
        </w:rPr>
        <w:t>’</w:t>
      </w:r>
      <w:r w:rsidRPr="00B953FA">
        <w:rPr>
          <w:lang w:val="fr-FR"/>
        </w:rPr>
        <w:t xml:space="preserve">aux revenus pouvant être tirés de la vente et </w:t>
      </w:r>
      <w:r w:rsidRPr="00B953FA">
        <w:rPr>
          <w:lang w:val="fr-FR"/>
        </w:rPr>
        <w:lastRenderedPageBreak/>
        <w:t>de la distribution de copies, de l</w:t>
      </w:r>
      <w:r w:rsidR="000A0979" w:rsidRPr="00B953FA">
        <w:rPr>
          <w:lang w:val="fr-FR"/>
        </w:rPr>
        <w:t>’</w:t>
      </w:r>
      <w:r w:rsidRPr="00B953FA">
        <w:rPr>
          <w:lang w:val="fr-FR"/>
        </w:rPr>
        <w:t>interprétation ou exécution publique, ou de la diffusion en lig</w:t>
      </w:r>
      <w:r w:rsidR="00B953FA" w:rsidRPr="00B953FA">
        <w:rPr>
          <w:lang w:val="fr-FR"/>
        </w:rPr>
        <w:t>ne.  Le</w:t>
      </w:r>
      <w:r w:rsidRPr="00B953FA">
        <w:rPr>
          <w:lang w:val="fr-FR"/>
        </w:rPr>
        <w:t xml:space="preserve"> droit de suite des artistes a donc un attrait particulier dans le cas des artistes visuels mais peut également être pertinent pour d</w:t>
      </w:r>
      <w:r w:rsidR="000A0979" w:rsidRPr="00B953FA">
        <w:rPr>
          <w:lang w:val="fr-FR"/>
        </w:rPr>
        <w:t>’</w:t>
      </w:r>
      <w:r w:rsidRPr="00B953FA">
        <w:rPr>
          <w:lang w:val="fr-FR"/>
        </w:rPr>
        <w:t>autres types de créateurs (voir </w:t>
      </w:r>
      <w:r w:rsidR="006B7CF2">
        <w:rPr>
          <w:lang w:val="fr-FR"/>
        </w:rPr>
        <w:t xml:space="preserve">le </w:t>
      </w:r>
      <w:r w:rsidRPr="00B953FA">
        <w:rPr>
          <w:lang w:val="fr-FR"/>
        </w:rPr>
        <w:t>sous</w:t>
      </w:r>
      <w:r w:rsidR="00FA1A0F">
        <w:rPr>
          <w:lang w:val="fr-FR"/>
        </w:rPr>
        <w:noBreakHyphen/>
      </w:r>
      <w:r w:rsidRPr="00B953FA">
        <w:rPr>
          <w:lang w:val="fr-FR"/>
        </w:rPr>
        <w:t>par</w:t>
      </w:r>
      <w:r w:rsidR="006B7CF2">
        <w:rPr>
          <w:lang w:val="fr-FR"/>
        </w:rPr>
        <w:t>agraphe</w:t>
      </w:r>
      <w:r w:rsidRPr="00B953FA">
        <w:rPr>
          <w:lang w:val="fr-FR"/>
        </w:rPr>
        <w:t> c) ci</w:t>
      </w:r>
      <w:r w:rsidR="00FA1A0F">
        <w:rPr>
          <w:lang w:val="fr-FR"/>
        </w:rPr>
        <w:noBreakHyphen/>
      </w:r>
      <w:r w:rsidRPr="00B953FA">
        <w:rPr>
          <w:lang w:val="fr-FR"/>
        </w:rPr>
        <w:t>dessous</w:t>
      </w:r>
      <w:proofErr w:type="gramStart"/>
      <w:r w:rsidRPr="00B953FA">
        <w:rPr>
          <w:lang w:val="fr-FR"/>
        </w:rPr>
        <w:t>);</w:t>
      </w:r>
      <w:proofErr w:type="gramEnd"/>
    </w:p>
    <w:p w14:paraId="4F44517F" w14:textId="09FFA661" w:rsidR="00C77D5B" w:rsidRPr="00B953FA" w:rsidRDefault="00C77D5B" w:rsidP="002D7EE2">
      <w:pPr>
        <w:pStyle w:val="ONUMFS"/>
        <w:numPr>
          <w:ilvl w:val="0"/>
          <w:numId w:val="21"/>
        </w:numPr>
        <w:spacing w:after="60"/>
        <w:ind w:left="1134" w:hanging="567"/>
        <w:rPr>
          <w:lang w:val="fr-FR"/>
        </w:rPr>
      </w:pPr>
      <w:proofErr w:type="gramStart"/>
      <w:r w:rsidRPr="00B953FA">
        <w:rPr>
          <w:lang w:val="fr-FR"/>
        </w:rPr>
        <w:t>le</w:t>
      </w:r>
      <w:proofErr w:type="gramEnd"/>
      <w:r w:rsidRPr="00B953FA">
        <w:rPr>
          <w:lang w:val="fr-FR"/>
        </w:rPr>
        <w:t xml:space="preserve"> droit de suite des artistes ne s</w:t>
      </w:r>
      <w:r w:rsidR="000A0979" w:rsidRPr="00B953FA">
        <w:rPr>
          <w:lang w:val="fr-FR"/>
        </w:rPr>
        <w:t>’</w:t>
      </w:r>
      <w:r w:rsidRPr="00B953FA">
        <w:rPr>
          <w:lang w:val="fr-FR"/>
        </w:rPr>
        <w:t>applique qu</w:t>
      </w:r>
      <w:r w:rsidR="000A0979" w:rsidRPr="00B953FA">
        <w:rPr>
          <w:lang w:val="fr-FR"/>
        </w:rPr>
        <w:t>’</w:t>
      </w:r>
      <w:r w:rsidRPr="00B953FA">
        <w:rPr>
          <w:lang w:val="fr-FR"/>
        </w:rPr>
        <w:t>aux ventes ultérieures de l</w:t>
      </w:r>
      <w:r w:rsidR="000A0979" w:rsidRPr="00B953FA">
        <w:rPr>
          <w:lang w:val="fr-FR"/>
        </w:rPr>
        <w:t>’</w:t>
      </w:r>
      <w:r w:rsidRPr="00B953FA">
        <w:rPr>
          <w:lang w:val="fr-FR"/>
        </w:rPr>
        <w:t>œuvre, et non à la première vente qui est présumée avoir été effectuée par ou au nom de l</w:t>
      </w:r>
      <w:r w:rsidR="000A0979" w:rsidRPr="00B953FA">
        <w:rPr>
          <w:lang w:val="fr-FR"/>
        </w:rPr>
        <w:t>’</w:t>
      </w:r>
      <w:r w:rsidRPr="00B953FA">
        <w:rPr>
          <w:lang w:val="fr-FR"/>
        </w:rPr>
        <w:t>auteur;</w:t>
      </w:r>
    </w:p>
    <w:p w14:paraId="0AF74F94" w14:textId="562E32D2" w:rsidR="00C77D5B" w:rsidRPr="00B953FA" w:rsidRDefault="00C77D5B" w:rsidP="002D7EE2">
      <w:pPr>
        <w:pStyle w:val="ONUMFS"/>
        <w:numPr>
          <w:ilvl w:val="0"/>
          <w:numId w:val="21"/>
        </w:numPr>
        <w:spacing w:after="60"/>
        <w:ind w:left="1134" w:hanging="567"/>
        <w:rPr>
          <w:lang w:val="fr-FR"/>
        </w:rPr>
      </w:pPr>
      <w:proofErr w:type="gramStart"/>
      <w:r w:rsidRPr="00B953FA">
        <w:rPr>
          <w:lang w:val="fr-FR"/>
        </w:rPr>
        <w:t>il</w:t>
      </w:r>
      <w:proofErr w:type="gramEnd"/>
      <w:r w:rsidRPr="00B953FA">
        <w:rPr>
          <w:lang w:val="fr-FR"/>
        </w:rPr>
        <w:t xml:space="preserve"> peut être appliqué aux manuscrits originaux des “écrivains et compositeurs” ainsi qu</w:t>
      </w:r>
      <w:r w:rsidR="000A0979" w:rsidRPr="00B953FA">
        <w:rPr>
          <w:lang w:val="fr-FR"/>
        </w:rPr>
        <w:t>’</w:t>
      </w:r>
      <w:r w:rsidRPr="00B953FA">
        <w:rPr>
          <w:lang w:val="fr-FR"/>
        </w:rPr>
        <w:t>aux œuvres d</w:t>
      </w:r>
      <w:r w:rsidR="000A0979" w:rsidRPr="00B953FA">
        <w:rPr>
          <w:lang w:val="fr-FR"/>
        </w:rPr>
        <w:t>’</w:t>
      </w:r>
      <w:r w:rsidRPr="00B953FA">
        <w:rPr>
          <w:lang w:val="fr-FR"/>
        </w:rPr>
        <w:t>art, bien qu</w:t>
      </w:r>
      <w:r w:rsidR="000A0979" w:rsidRPr="00B953FA">
        <w:rPr>
          <w:lang w:val="fr-FR"/>
        </w:rPr>
        <w:t>’</w:t>
      </w:r>
      <w:r w:rsidRPr="00B953FA">
        <w:rPr>
          <w:lang w:val="fr-FR"/>
        </w:rPr>
        <w:t>il s</w:t>
      </w:r>
      <w:r w:rsidR="000A0979" w:rsidRPr="00B953FA">
        <w:rPr>
          <w:lang w:val="fr-FR"/>
        </w:rPr>
        <w:t>’</w:t>
      </w:r>
      <w:r w:rsidRPr="00B953FA">
        <w:rPr>
          <w:lang w:val="fr-FR"/>
        </w:rPr>
        <w:t>agisse d</w:t>
      </w:r>
      <w:r w:rsidR="000A0979" w:rsidRPr="00B953FA">
        <w:rPr>
          <w:lang w:val="fr-FR"/>
        </w:rPr>
        <w:t>’</w:t>
      </w:r>
      <w:r w:rsidRPr="00B953FA">
        <w:rPr>
          <w:lang w:val="fr-FR"/>
        </w:rPr>
        <w:t>une possibilité laissée à l</w:t>
      </w:r>
      <w:r w:rsidR="000A0979" w:rsidRPr="00B953FA">
        <w:rPr>
          <w:lang w:val="fr-FR"/>
        </w:rPr>
        <w:t>’</w:t>
      </w:r>
      <w:r w:rsidRPr="00B953FA">
        <w:rPr>
          <w:lang w:val="fr-FR"/>
        </w:rPr>
        <w:t>appréciation des législateurs nationaux;</w:t>
      </w:r>
    </w:p>
    <w:p w14:paraId="4CB49D75" w14:textId="48940357" w:rsidR="00C77D5B" w:rsidRPr="00B953FA" w:rsidRDefault="00C77D5B" w:rsidP="002D7EE2">
      <w:pPr>
        <w:pStyle w:val="ONUMFS"/>
        <w:numPr>
          <w:ilvl w:val="0"/>
          <w:numId w:val="21"/>
        </w:numPr>
        <w:spacing w:after="60"/>
        <w:ind w:left="1134" w:hanging="567"/>
        <w:rPr>
          <w:lang w:val="fr-FR"/>
        </w:rPr>
      </w:pPr>
      <w:proofErr w:type="gramStart"/>
      <w:r w:rsidRPr="00B953FA">
        <w:rPr>
          <w:lang w:val="fr-FR"/>
        </w:rPr>
        <w:t>il</w:t>
      </w:r>
      <w:proofErr w:type="gramEnd"/>
      <w:r w:rsidRPr="00B953FA">
        <w:rPr>
          <w:lang w:val="fr-FR"/>
        </w:rPr>
        <w:t xml:space="preserve"> n</w:t>
      </w:r>
      <w:r w:rsidR="000A0979" w:rsidRPr="00B953FA">
        <w:rPr>
          <w:lang w:val="fr-FR"/>
        </w:rPr>
        <w:t>’</w:t>
      </w:r>
      <w:r w:rsidRPr="00B953FA">
        <w:rPr>
          <w:lang w:val="fr-FR"/>
        </w:rPr>
        <w:t>y a aucune prescription quant à la manière dont l</w:t>
      </w:r>
      <w:r w:rsidR="000A0979" w:rsidRPr="00B953FA">
        <w:rPr>
          <w:lang w:val="fr-FR"/>
        </w:rPr>
        <w:t>’</w:t>
      </w:r>
      <w:r w:rsidRPr="00B953FA">
        <w:rPr>
          <w:lang w:val="fr-FR"/>
        </w:rPr>
        <w:t>“intérêt” dans les ventes ultérieures doit être éval</w:t>
      </w:r>
      <w:r w:rsidR="00B953FA" w:rsidRPr="00B953FA">
        <w:rPr>
          <w:lang w:val="fr-FR"/>
        </w:rPr>
        <w:t>ué.  Ai</w:t>
      </w:r>
      <w:r w:rsidRPr="00B953FA">
        <w:rPr>
          <w:lang w:val="fr-FR"/>
        </w:rPr>
        <w:t>nsi, il serait loisible à la législation nationale de l</w:t>
      </w:r>
      <w:r w:rsidR="000A0979" w:rsidRPr="00B953FA">
        <w:rPr>
          <w:lang w:val="fr-FR"/>
        </w:rPr>
        <w:t>’</w:t>
      </w:r>
      <w:r w:rsidRPr="00B953FA">
        <w:rPr>
          <w:lang w:val="fr-FR"/>
        </w:rPr>
        <w:t>évaluer comme une part de l</w:t>
      </w:r>
      <w:r w:rsidR="000A0979" w:rsidRPr="00B953FA">
        <w:rPr>
          <w:lang w:val="fr-FR"/>
        </w:rPr>
        <w:t>’</w:t>
      </w:r>
      <w:r w:rsidRPr="00B953FA">
        <w:rPr>
          <w:lang w:val="fr-FR"/>
        </w:rPr>
        <w:t>augmentation nette de la valeur de l</w:t>
      </w:r>
      <w:r w:rsidR="000A0979" w:rsidRPr="00B953FA">
        <w:rPr>
          <w:lang w:val="fr-FR"/>
        </w:rPr>
        <w:t>’</w:t>
      </w:r>
      <w:r w:rsidRPr="00B953FA">
        <w:rPr>
          <w:lang w:val="fr-FR"/>
        </w:rPr>
        <w:t>œuvre (le cas échéant) ou comme une part du montant total du prix de reven</w:t>
      </w:r>
      <w:r w:rsidR="00B953FA" w:rsidRPr="00B953FA">
        <w:rPr>
          <w:lang w:val="fr-FR"/>
        </w:rPr>
        <w:t>te.  Le</w:t>
      </w:r>
      <w:r w:rsidRPr="00B953FA">
        <w:rPr>
          <w:lang w:val="fr-FR"/>
        </w:rPr>
        <w:t>s deux approches se retrouvent dans les législations nationales, mais c</w:t>
      </w:r>
      <w:r w:rsidR="000A0979" w:rsidRPr="00B953FA">
        <w:rPr>
          <w:lang w:val="fr-FR"/>
        </w:rPr>
        <w:t>’</w:t>
      </w:r>
      <w:r w:rsidRPr="00B953FA">
        <w:rPr>
          <w:lang w:val="fr-FR"/>
        </w:rPr>
        <w:t xml:space="preserve">est la seconde qui est le plus souvent </w:t>
      </w:r>
      <w:proofErr w:type="gramStart"/>
      <w:r w:rsidRPr="00B953FA">
        <w:rPr>
          <w:lang w:val="fr-FR"/>
        </w:rPr>
        <w:t>privilégiée;</w:t>
      </w:r>
      <w:proofErr w:type="gramEnd"/>
    </w:p>
    <w:p w14:paraId="4809704A" w14:textId="701037A5" w:rsidR="00C77D5B" w:rsidRPr="00B953FA" w:rsidRDefault="00C77D5B" w:rsidP="002D7EE2">
      <w:pPr>
        <w:pStyle w:val="ONUMFS"/>
        <w:numPr>
          <w:ilvl w:val="0"/>
          <w:numId w:val="21"/>
        </w:numPr>
        <w:spacing w:after="60"/>
        <w:ind w:left="1134" w:hanging="567"/>
        <w:rPr>
          <w:lang w:val="fr-FR"/>
        </w:rPr>
      </w:pPr>
      <w:proofErr w:type="gramStart"/>
      <w:r w:rsidRPr="00B953FA">
        <w:rPr>
          <w:lang w:val="fr-FR"/>
        </w:rPr>
        <w:t>il</w:t>
      </w:r>
      <w:proofErr w:type="gramEnd"/>
      <w:r w:rsidRPr="00B953FA">
        <w:rPr>
          <w:lang w:val="fr-FR"/>
        </w:rPr>
        <w:t xml:space="preserve"> n</w:t>
      </w:r>
      <w:r w:rsidR="000A0979" w:rsidRPr="00B953FA">
        <w:rPr>
          <w:lang w:val="fr-FR"/>
        </w:rPr>
        <w:t>’</w:t>
      </w:r>
      <w:r w:rsidRPr="00B953FA">
        <w:rPr>
          <w:lang w:val="fr-FR"/>
        </w:rPr>
        <w:t>est pas clair si les ventes ultérieures incluent toutes les ventes, ou seulement certaines, par exemple, uniquement les ventes aux enchères publiques ou les “reventes commerciales” non privées effectuées par l</w:t>
      </w:r>
      <w:r w:rsidR="000A0979" w:rsidRPr="00B953FA">
        <w:rPr>
          <w:lang w:val="fr-FR"/>
        </w:rPr>
        <w:t>’</w:t>
      </w:r>
      <w:r w:rsidRPr="00B953FA">
        <w:rPr>
          <w:lang w:val="fr-FR"/>
        </w:rPr>
        <w:t>intermédiaire d</w:t>
      </w:r>
      <w:r w:rsidR="000A0979" w:rsidRPr="00B953FA">
        <w:rPr>
          <w:lang w:val="fr-FR"/>
        </w:rPr>
        <w:t>’</w:t>
      </w:r>
      <w:r w:rsidRPr="00B953FA">
        <w:rPr>
          <w:lang w:val="fr-FR"/>
        </w:rPr>
        <w:t>un intermédiaire, tel qu</w:t>
      </w:r>
      <w:r w:rsidR="000A0979" w:rsidRPr="00B953FA">
        <w:rPr>
          <w:lang w:val="fr-FR"/>
        </w:rPr>
        <w:t>’</w:t>
      </w:r>
      <w:r w:rsidRPr="00B953FA">
        <w:rPr>
          <w:lang w:val="fr-FR"/>
        </w:rPr>
        <w:t>une galerie, un agent ou un courtier (parfois appelé un “professionnel du marché de l</w:t>
      </w:r>
      <w:r w:rsidR="000A0979" w:rsidRPr="00B953FA">
        <w:rPr>
          <w:lang w:val="fr-FR"/>
        </w:rPr>
        <w:t>’</w:t>
      </w:r>
      <w:r w:rsidRPr="00B953FA">
        <w:rPr>
          <w:lang w:val="fr-FR"/>
        </w:rPr>
        <w:t xml:space="preserve">art”).  Là encore, différentes approches de cette question se retrouvent dans les législations </w:t>
      </w:r>
      <w:proofErr w:type="gramStart"/>
      <w:r w:rsidRPr="00B953FA">
        <w:rPr>
          <w:lang w:val="fr-FR"/>
        </w:rPr>
        <w:t>nationales;</w:t>
      </w:r>
      <w:proofErr w:type="gramEnd"/>
    </w:p>
    <w:p w14:paraId="2D25981B" w14:textId="70E2659D" w:rsidR="00C77D5B" w:rsidRPr="00B953FA" w:rsidRDefault="00C77D5B" w:rsidP="002D7EE2">
      <w:pPr>
        <w:pStyle w:val="ONUMFS"/>
        <w:numPr>
          <w:ilvl w:val="0"/>
          <w:numId w:val="21"/>
        </w:numPr>
        <w:spacing w:after="60"/>
        <w:ind w:left="1134" w:hanging="567"/>
        <w:rPr>
          <w:lang w:val="fr-FR"/>
        </w:rPr>
      </w:pPr>
      <w:proofErr w:type="gramStart"/>
      <w:r w:rsidRPr="00B953FA">
        <w:rPr>
          <w:lang w:val="fr-FR"/>
        </w:rPr>
        <w:t>l</w:t>
      </w:r>
      <w:r w:rsidR="000A0979" w:rsidRPr="00B953FA">
        <w:rPr>
          <w:lang w:val="fr-FR"/>
        </w:rPr>
        <w:t>’</w:t>
      </w:r>
      <w:r w:rsidRPr="00B953FA">
        <w:rPr>
          <w:lang w:val="fr-FR"/>
        </w:rPr>
        <w:t>alinéa</w:t>
      </w:r>
      <w:proofErr w:type="gramEnd"/>
      <w:r w:rsidRPr="00B953FA">
        <w:rPr>
          <w:lang w:val="fr-FR"/>
        </w:rPr>
        <w:t> 1) prévoit qu</w:t>
      </w:r>
      <w:r w:rsidR="000A0979" w:rsidRPr="00B953FA">
        <w:rPr>
          <w:lang w:val="fr-FR"/>
        </w:rPr>
        <w:t>’</w:t>
      </w:r>
      <w:r w:rsidRPr="00B953FA">
        <w:rPr>
          <w:lang w:val="fr-FR"/>
        </w:rPr>
        <w:t>après le décès de l</w:t>
      </w:r>
      <w:r w:rsidR="000A0979" w:rsidRPr="00B953FA">
        <w:rPr>
          <w:lang w:val="fr-FR"/>
        </w:rPr>
        <w:t>’</w:t>
      </w:r>
      <w:r w:rsidRPr="00B953FA">
        <w:rPr>
          <w:lang w:val="fr-FR"/>
        </w:rPr>
        <w:t>auteur, le droit peut être exercé par une “institution” autorisée par la législation nationale, ainsi que par toute personne ainsi autoris</w:t>
      </w:r>
      <w:r w:rsidR="00B953FA" w:rsidRPr="00B953FA">
        <w:rPr>
          <w:lang w:val="fr-FR"/>
        </w:rPr>
        <w:t>ée.  Ce</w:t>
      </w:r>
      <w:r w:rsidRPr="00B953FA">
        <w:rPr>
          <w:lang w:val="fr-FR"/>
        </w:rPr>
        <w:t>la permettrait aux législations nationales, par exemple, de déléguer l</w:t>
      </w:r>
      <w:r w:rsidR="000A0979" w:rsidRPr="00B953FA">
        <w:rPr>
          <w:lang w:val="fr-FR"/>
        </w:rPr>
        <w:t>’</w:t>
      </w:r>
      <w:r w:rsidRPr="00B953FA">
        <w:rPr>
          <w:lang w:val="fr-FR"/>
        </w:rPr>
        <w:t>exercice du droit de suite des artistes après le décès à un organisme public, qui pourrait alors percevoir le droit de suite et l</w:t>
      </w:r>
      <w:r w:rsidR="000A0979" w:rsidRPr="00B953FA">
        <w:rPr>
          <w:lang w:val="fr-FR"/>
        </w:rPr>
        <w:t>’</w:t>
      </w:r>
      <w:r w:rsidRPr="00B953FA">
        <w:rPr>
          <w:lang w:val="fr-FR"/>
        </w:rPr>
        <w:t>appliquer plus généralement au bien</w:t>
      </w:r>
      <w:r w:rsidR="00FA1A0F">
        <w:rPr>
          <w:lang w:val="fr-FR"/>
        </w:rPr>
        <w:noBreakHyphen/>
      </w:r>
      <w:r w:rsidRPr="00B953FA">
        <w:rPr>
          <w:lang w:val="fr-FR"/>
        </w:rPr>
        <w:t>être des artistes et de leurs ayants droit, plutôt qu</w:t>
      </w:r>
      <w:r w:rsidR="000A0979" w:rsidRPr="00B953FA">
        <w:rPr>
          <w:lang w:val="fr-FR"/>
        </w:rPr>
        <w:t>’</w:t>
      </w:r>
      <w:r w:rsidRPr="00B953FA">
        <w:rPr>
          <w:lang w:val="fr-FR"/>
        </w:rPr>
        <w:t>aux héritiers directs et personnes à charge de l</w:t>
      </w:r>
      <w:r w:rsidR="000A0979" w:rsidRPr="00B953FA">
        <w:rPr>
          <w:lang w:val="fr-FR"/>
        </w:rPr>
        <w:t>’</w:t>
      </w:r>
      <w:r w:rsidRPr="00B953FA">
        <w:rPr>
          <w:lang w:val="fr-FR"/>
        </w:rPr>
        <w:t>artiste concer</w:t>
      </w:r>
      <w:r w:rsidR="00B953FA" w:rsidRPr="00B953FA">
        <w:rPr>
          <w:lang w:val="fr-FR"/>
        </w:rPr>
        <w:t>né.  Né</w:t>
      </w:r>
      <w:r w:rsidRPr="00B953FA">
        <w:rPr>
          <w:lang w:val="fr-FR"/>
        </w:rPr>
        <w:t>anmoins, on peut soutenir que l</w:t>
      </w:r>
      <w:r w:rsidR="000A0979" w:rsidRPr="00B953FA">
        <w:rPr>
          <w:lang w:val="fr-FR"/>
        </w:rPr>
        <w:t>’</w:t>
      </w:r>
      <w:r w:rsidRPr="00B953FA">
        <w:rPr>
          <w:lang w:val="fr-FR"/>
        </w:rPr>
        <w:t>esprit de l</w:t>
      </w:r>
      <w:r w:rsidR="000A0979" w:rsidRPr="00B953FA">
        <w:rPr>
          <w:lang w:val="fr-FR"/>
        </w:rPr>
        <w:t>’</w:t>
      </w:r>
      <w:r w:rsidRPr="00B953FA">
        <w:rPr>
          <w:lang w:val="fr-FR"/>
        </w:rPr>
        <w:t>alinéa 1) exige qu</w:t>
      </w:r>
      <w:r w:rsidR="000A0979" w:rsidRPr="00B953FA">
        <w:rPr>
          <w:lang w:val="fr-FR"/>
        </w:rPr>
        <w:t>’</w:t>
      </w:r>
      <w:r w:rsidRPr="00B953FA">
        <w:rPr>
          <w:lang w:val="fr-FR"/>
        </w:rPr>
        <w:t>au moins une partie du produit de ces redevances revienne aux descendants ou héritiers de l</w:t>
      </w:r>
      <w:r w:rsidR="000A0979" w:rsidRPr="00B953FA">
        <w:rPr>
          <w:lang w:val="fr-FR"/>
        </w:rPr>
        <w:t>’</w:t>
      </w:r>
      <w:r w:rsidRPr="00B953FA">
        <w:rPr>
          <w:lang w:val="fr-FR"/>
        </w:rPr>
        <w:t>auteur décé</w:t>
      </w:r>
      <w:r w:rsidR="00B953FA" w:rsidRPr="00B953FA">
        <w:rPr>
          <w:lang w:val="fr-FR"/>
        </w:rPr>
        <w:t>dé.  En</w:t>
      </w:r>
      <w:r w:rsidRPr="00B953FA">
        <w:rPr>
          <w:lang w:val="fr-FR"/>
        </w:rPr>
        <w:t>core une fois, il existe des différences dans les systèmes de droit de suite des artistes nationaux existants quant à la manière d</w:t>
      </w:r>
      <w:r w:rsidR="000A0979" w:rsidRPr="00B953FA">
        <w:rPr>
          <w:lang w:val="fr-FR"/>
        </w:rPr>
        <w:t>’</w:t>
      </w:r>
      <w:r w:rsidRPr="00B953FA">
        <w:rPr>
          <w:lang w:val="fr-FR"/>
        </w:rPr>
        <w:t xml:space="preserve">aborder cette </w:t>
      </w:r>
      <w:proofErr w:type="gramStart"/>
      <w:r w:rsidRPr="00B953FA">
        <w:rPr>
          <w:lang w:val="fr-FR"/>
        </w:rPr>
        <w:t>question;</w:t>
      </w:r>
      <w:proofErr w:type="gramEnd"/>
    </w:p>
    <w:p w14:paraId="164919C1" w14:textId="686ED7DD" w:rsidR="00C77D5B" w:rsidRPr="00B953FA" w:rsidRDefault="00E21FC5" w:rsidP="002D7EE2">
      <w:pPr>
        <w:pStyle w:val="ONUMFS"/>
        <w:numPr>
          <w:ilvl w:val="0"/>
          <w:numId w:val="21"/>
        </w:numPr>
        <w:spacing w:after="60"/>
        <w:ind w:left="1134" w:hanging="567"/>
        <w:rPr>
          <w:lang w:val="fr-FR"/>
        </w:rPr>
      </w:pPr>
      <w:proofErr w:type="gramStart"/>
      <w:r w:rsidRPr="00B953FA">
        <w:rPr>
          <w:lang w:val="fr-FR"/>
        </w:rPr>
        <w:t>l</w:t>
      </w:r>
      <w:r w:rsidR="000A0979" w:rsidRPr="00B953FA">
        <w:rPr>
          <w:lang w:val="fr-FR"/>
        </w:rPr>
        <w:t>’</w:t>
      </w:r>
      <w:r w:rsidR="00C77D5B" w:rsidRPr="00B953FA">
        <w:rPr>
          <w:lang w:val="fr-FR"/>
        </w:rPr>
        <w:t>alinéa</w:t>
      </w:r>
      <w:proofErr w:type="gramEnd"/>
      <w:r w:rsidR="00C77D5B" w:rsidRPr="00B953FA">
        <w:rPr>
          <w:lang w:val="fr-FR"/>
        </w:rPr>
        <w:t> 2) indique qu</w:t>
      </w:r>
      <w:r w:rsidR="000A0979" w:rsidRPr="00B953FA">
        <w:rPr>
          <w:lang w:val="fr-FR"/>
        </w:rPr>
        <w:t>’</w:t>
      </w:r>
      <w:r w:rsidR="00C77D5B" w:rsidRPr="00B953FA">
        <w:rPr>
          <w:lang w:val="fr-FR"/>
        </w:rPr>
        <w:t>il n</w:t>
      </w:r>
      <w:r w:rsidR="000A0979" w:rsidRPr="00B953FA">
        <w:rPr>
          <w:lang w:val="fr-FR"/>
        </w:rPr>
        <w:t>’</w:t>
      </w:r>
      <w:r w:rsidR="00C77D5B" w:rsidRPr="00B953FA">
        <w:rPr>
          <w:lang w:val="fr-FR"/>
        </w:rPr>
        <w:t>y a aucune obligation pour les pays membres de la Convention de Berne d</w:t>
      </w:r>
      <w:r w:rsidR="000A0979" w:rsidRPr="00B953FA">
        <w:rPr>
          <w:lang w:val="fr-FR"/>
        </w:rPr>
        <w:t>’</w:t>
      </w:r>
      <w:r w:rsidR="00C77D5B" w:rsidRPr="00B953FA">
        <w:rPr>
          <w:lang w:val="fr-FR"/>
        </w:rPr>
        <w:t>introduire le droit de suite des artistes</w:t>
      </w:r>
      <w:r w:rsidR="000A0979" w:rsidRPr="00B953FA">
        <w:rPr>
          <w:lang w:val="fr-FR"/>
        </w:rPr>
        <w:t> :</w:t>
      </w:r>
      <w:r w:rsidR="00C77D5B" w:rsidRPr="00B953FA">
        <w:rPr>
          <w:lang w:val="fr-FR"/>
        </w:rPr>
        <w:t xml:space="preserve"> il ne peut être revendiqué que dans les pays qui accordent un tel droit, et dans la mesure où la législation de ce pays le permet, et uniquement lorsque la législation du pays de l</w:t>
      </w:r>
      <w:r w:rsidR="000A0979" w:rsidRPr="00B953FA">
        <w:rPr>
          <w:lang w:val="fr-FR"/>
        </w:rPr>
        <w:t>’</w:t>
      </w:r>
      <w:r w:rsidR="00C77D5B" w:rsidRPr="00B953FA">
        <w:rPr>
          <w:lang w:val="fr-FR"/>
        </w:rPr>
        <w:t>auteur offre une telle protecti</w:t>
      </w:r>
      <w:r w:rsidR="00B953FA" w:rsidRPr="00B953FA">
        <w:rPr>
          <w:lang w:val="fr-FR"/>
        </w:rPr>
        <w:t>on.  En</w:t>
      </w:r>
      <w:r w:rsidR="00C77D5B" w:rsidRPr="00B953FA">
        <w:rPr>
          <w:lang w:val="fr-FR"/>
        </w:rPr>
        <w:t xml:space="preserve"> d</w:t>
      </w:r>
      <w:r w:rsidR="000A0979" w:rsidRPr="00B953FA">
        <w:rPr>
          <w:lang w:val="fr-FR"/>
        </w:rPr>
        <w:t>’</w:t>
      </w:r>
      <w:r w:rsidR="00C77D5B" w:rsidRPr="00B953FA">
        <w:rPr>
          <w:lang w:val="fr-FR"/>
        </w:rPr>
        <w:t>autres termes, la reconnaissance du droit de suite des artistes est soumise à une exigence de réciprocité substantielle et n</w:t>
      </w:r>
      <w:r w:rsidR="000A0979" w:rsidRPr="00B953FA">
        <w:rPr>
          <w:lang w:val="fr-FR"/>
        </w:rPr>
        <w:t>’</w:t>
      </w:r>
      <w:r w:rsidR="00C77D5B" w:rsidRPr="00B953FA">
        <w:rPr>
          <w:lang w:val="fr-FR"/>
        </w:rPr>
        <w:t>est pas couverte par le principe du traitement national en vertu de l</w:t>
      </w:r>
      <w:r w:rsidR="000A0979" w:rsidRPr="00B953FA">
        <w:rPr>
          <w:lang w:val="fr-FR"/>
        </w:rPr>
        <w:t>’</w:t>
      </w:r>
      <w:r w:rsidR="00C77D5B" w:rsidRPr="00B953FA">
        <w:rPr>
          <w:lang w:val="fr-FR"/>
        </w:rPr>
        <w:t xml:space="preserve">article 5.1) de la </w:t>
      </w:r>
      <w:proofErr w:type="gramStart"/>
      <w:r w:rsidR="00C77D5B" w:rsidRPr="00B953FA">
        <w:rPr>
          <w:lang w:val="fr-FR"/>
        </w:rPr>
        <w:t>Convention;</w:t>
      </w:r>
      <w:proofErr w:type="gramEnd"/>
    </w:p>
    <w:p w14:paraId="0D6DC1B4" w14:textId="7769BB50" w:rsidR="00C77D5B" w:rsidRPr="00B953FA" w:rsidRDefault="00C77D5B" w:rsidP="002D7EE2">
      <w:pPr>
        <w:pStyle w:val="ONUMFS"/>
        <w:numPr>
          <w:ilvl w:val="0"/>
          <w:numId w:val="21"/>
        </w:numPr>
        <w:ind w:left="1134" w:hanging="567"/>
        <w:rPr>
          <w:lang w:val="fr-FR"/>
        </w:rPr>
      </w:pPr>
      <w:proofErr w:type="gramStart"/>
      <w:r w:rsidRPr="00B953FA">
        <w:rPr>
          <w:lang w:val="fr-FR"/>
        </w:rPr>
        <w:t>l</w:t>
      </w:r>
      <w:r w:rsidR="000A0979" w:rsidRPr="00B953FA">
        <w:rPr>
          <w:lang w:val="fr-FR"/>
        </w:rPr>
        <w:t>’</w:t>
      </w:r>
      <w:r w:rsidRPr="00B953FA">
        <w:rPr>
          <w:lang w:val="fr-FR"/>
        </w:rPr>
        <w:t>alinéa</w:t>
      </w:r>
      <w:proofErr w:type="gramEnd"/>
      <w:r w:rsidRPr="00B953FA">
        <w:rPr>
          <w:lang w:val="fr-FR"/>
        </w:rPr>
        <w:t> 3) indique qu</w:t>
      </w:r>
      <w:r w:rsidR="000A0979" w:rsidRPr="00B953FA">
        <w:rPr>
          <w:lang w:val="fr-FR"/>
        </w:rPr>
        <w:t>’</w:t>
      </w:r>
      <w:r w:rsidRPr="00B953FA">
        <w:rPr>
          <w:lang w:val="fr-FR"/>
        </w:rPr>
        <w:t>il appartient aux législations nationales de déterminer le montant du droit de suite des artistes et les modalités de recouvrement.</w:t>
      </w:r>
    </w:p>
    <w:p w14:paraId="46ACDFE5" w14:textId="32190607" w:rsidR="00C77D5B" w:rsidRPr="00B953FA" w:rsidRDefault="00C77D5B" w:rsidP="002D7EE2">
      <w:pPr>
        <w:pStyle w:val="Heading1"/>
        <w:rPr>
          <w:lang w:val="fr-FR"/>
        </w:rPr>
      </w:pPr>
      <w:r w:rsidRPr="00B953FA">
        <w:rPr>
          <w:lang w:val="fr-FR"/>
        </w:rPr>
        <w:t>Questions à prendre en considération lors de l</w:t>
      </w:r>
      <w:r w:rsidR="000A0979" w:rsidRPr="00B953FA">
        <w:rPr>
          <w:lang w:val="fr-FR"/>
        </w:rPr>
        <w:t>’</w:t>
      </w:r>
      <w:r w:rsidRPr="00B953FA">
        <w:rPr>
          <w:lang w:val="fr-FR"/>
        </w:rPr>
        <w:t>élaboration d</w:t>
      </w:r>
      <w:r w:rsidR="000A0979" w:rsidRPr="00B953FA">
        <w:rPr>
          <w:lang w:val="fr-FR"/>
        </w:rPr>
        <w:t>’</w:t>
      </w:r>
      <w:r w:rsidRPr="00B953FA">
        <w:rPr>
          <w:lang w:val="fr-FR"/>
        </w:rPr>
        <w:t>un régime national de droit de suite des artistes</w:t>
      </w:r>
    </w:p>
    <w:p w14:paraId="1CEC527F" w14:textId="1964708F" w:rsidR="004A6BE2" w:rsidRPr="00B953FA" w:rsidRDefault="00C77D5B" w:rsidP="002D7EE2">
      <w:pPr>
        <w:pStyle w:val="ONUMFS"/>
        <w:rPr>
          <w:lang w:val="fr-FR"/>
        </w:rPr>
      </w:pPr>
      <w:r w:rsidRPr="00B953FA">
        <w:rPr>
          <w:lang w:val="fr-FR"/>
        </w:rPr>
        <w:t>Les sections suivantes énoncent les principales questions qui doivent être prises en compte lors de la conception d</w:t>
      </w:r>
      <w:r w:rsidR="000A0979" w:rsidRPr="00B953FA">
        <w:rPr>
          <w:lang w:val="fr-FR"/>
        </w:rPr>
        <w:t>’</w:t>
      </w:r>
      <w:r w:rsidRPr="00B953FA">
        <w:rPr>
          <w:lang w:val="fr-FR"/>
        </w:rPr>
        <w:t>un système national de droit de suite des artistes et contiennent des propositions de dispositions législatives qui pourraient être adoptées afin de mettre en œuvre un tel système ou d</w:t>
      </w:r>
      <w:r w:rsidR="000A0979" w:rsidRPr="00B953FA">
        <w:rPr>
          <w:lang w:val="fr-FR"/>
        </w:rPr>
        <w:t>’</w:t>
      </w:r>
      <w:r w:rsidRPr="00B953FA">
        <w:rPr>
          <w:lang w:val="fr-FR"/>
        </w:rPr>
        <w:t>améliorer un système exista</w:t>
      </w:r>
      <w:r w:rsidR="00B953FA" w:rsidRPr="00B953FA">
        <w:rPr>
          <w:lang w:val="fr-FR"/>
        </w:rPr>
        <w:t>nt.  Ce</w:t>
      </w:r>
      <w:r w:rsidRPr="00B953FA">
        <w:rPr>
          <w:lang w:val="fr-FR"/>
        </w:rPr>
        <w:t>s exemples de dispositions sont rédigés dans un langage conforme à la Convention de Berne et s</w:t>
      </w:r>
      <w:r w:rsidR="000A0979" w:rsidRPr="00B953FA">
        <w:rPr>
          <w:lang w:val="fr-FR"/>
        </w:rPr>
        <w:t>’</w:t>
      </w:r>
      <w:r w:rsidRPr="00B953FA">
        <w:rPr>
          <w:lang w:val="fr-FR"/>
        </w:rPr>
        <w:t xml:space="preserve">inspirent des dispositions </w:t>
      </w:r>
      <w:r w:rsidRPr="00B953FA">
        <w:rPr>
          <w:lang w:val="fr-FR"/>
        </w:rPr>
        <w:lastRenderedPageBreak/>
        <w:t>figurant dans les législations nationales existantes, qui sont clairement indiquées par souci de clar</w:t>
      </w:r>
      <w:r w:rsidR="00B953FA" w:rsidRPr="00B953FA">
        <w:rPr>
          <w:lang w:val="fr-FR"/>
        </w:rPr>
        <w:t>té.  De</w:t>
      </w:r>
      <w:r w:rsidRPr="00B953FA">
        <w:rPr>
          <w:lang w:val="fr-FR"/>
        </w:rPr>
        <w:t>s observations sur les différentes dispositions sont également proposées, sachant que les contextes juridiques et institutionnels des pays membres de l</w:t>
      </w:r>
      <w:r w:rsidR="000A0979" w:rsidRPr="00B953FA">
        <w:rPr>
          <w:lang w:val="fr-FR"/>
        </w:rPr>
        <w:t>’</w:t>
      </w:r>
      <w:r w:rsidRPr="00B953FA">
        <w:rPr>
          <w:lang w:val="fr-FR"/>
        </w:rPr>
        <w:t>Union de Berne peuvent être très différents.</w:t>
      </w:r>
    </w:p>
    <w:p w14:paraId="64CF2DD7" w14:textId="3A1C9931" w:rsidR="00F37154" w:rsidRPr="00B953FA" w:rsidRDefault="00C77D5B" w:rsidP="002D7EE2">
      <w:pPr>
        <w:pStyle w:val="ONUMFS"/>
        <w:rPr>
          <w:lang w:val="fr-FR"/>
        </w:rPr>
      </w:pPr>
      <w:r w:rsidRPr="00B953FA">
        <w:rPr>
          <w:lang w:val="fr-FR"/>
        </w:rPr>
        <w:t>Les questions à prendre en considération sont les suivantes</w:t>
      </w:r>
      <w:r w:rsidR="000A0979" w:rsidRPr="00B953FA">
        <w:rPr>
          <w:lang w:val="fr-FR"/>
        </w:rPr>
        <w:t> :</w:t>
      </w:r>
    </w:p>
    <w:p w14:paraId="48E0B8A0" w14:textId="61ECF77B"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les</w:t>
      </w:r>
      <w:proofErr w:type="gramEnd"/>
      <w:r w:rsidRPr="00B953FA">
        <w:rPr>
          <w:lang w:val="fr-FR"/>
        </w:rPr>
        <w:t xml:space="preserve"> objectifs d</w:t>
      </w:r>
      <w:r w:rsidR="000A0979" w:rsidRPr="00B953FA">
        <w:rPr>
          <w:lang w:val="fr-FR"/>
        </w:rPr>
        <w:t>’</w:t>
      </w:r>
      <w:r w:rsidRPr="00B953FA">
        <w:rPr>
          <w:lang w:val="fr-FR"/>
        </w:rPr>
        <w:t>un régime de droit de suite des artistes;</w:t>
      </w:r>
    </w:p>
    <w:p w14:paraId="7017A55E"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la</w:t>
      </w:r>
      <w:proofErr w:type="gramEnd"/>
      <w:r w:rsidRPr="00B953FA">
        <w:rPr>
          <w:lang w:val="fr-FR"/>
        </w:rPr>
        <w:t xml:space="preserve"> définition du droit de suite des artistes;</w:t>
      </w:r>
    </w:p>
    <w:p w14:paraId="562FFFC8"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les</w:t>
      </w:r>
      <w:proofErr w:type="gramEnd"/>
      <w:r w:rsidRPr="00B953FA">
        <w:rPr>
          <w:lang w:val="fr-FR"/>
        </w:rPr>
        <w:t xml:space="preserve"> œuvres protégées par le droit de suite des artistes;</w:t>
      </w:r>
    </w:p>
    <w:p w14:paraId="0A748695"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les</w:t>
      </w:r>
      <w:proofErr w:type="gramEnd"/>
      <w:r w:rsidRPr="00B953FA">
        <w:rPr>
          <w:lang w:val="fr-FR"/>
        </w:rPr>
        <w:t xml:space="preserve"> œuvres exclues du droit de suite des artistes;</w:t>
      </w:r>
    </w:p>
    <w:p w14:paraId="335BBD53"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les</w:t>
      </w:r>
      <w:proofErr w:type="gramEnd"/>
      <w:r w:rsidRPr="00B953FA">
        <w:rPr>
          <w:lang w:val="fr-FR"/>
        </w:rPr>
        <w:t xml:space="preserve"> reventes protégées par le droit de suite des artistes;</w:t>
      </w:r>
    </w:p>
    <w:p w14:paraId="617ADFA8"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les</w:t>
      </w:r>
      <w:proofErr w:type="gramEnd"/>
      <w:r w:rsidRPr="00B953FA">
        <w:rPr>
          <w:lang w:val="fr-FR"/>
        </w:rPr>
        <w:t xml:space="preserve"> reventes exclues;</w:t>
      </w:r>
    </w:p>
    <w:p w14:paraId="41E32D50"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ce</w:t>
      </w:r>
      <w:proofErr w:type="gramEnd"/>
      <w:r w:rsidRPr="00B953FA">
        <w:rPr>
          <w:lang w:val="fr-FR"/>
        </w:rPr>
        <w:t xml:space="preserve"> qui est inclus dans le prix de (re)vente;</w:t>
      </w:r>
    </w:p>
    <w:p w14:paraId="434E2483"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le</w:t>
      </w:r>
      <w:proofErr w:type="gramEnd"/>
      <w:r w:rsidRPr="00B953FA">
        <w:rPr>
          <w:lang w:val="fr-FR"/>
        </w:rPr>
        <w:t xml:space="preserve"> taux à appliquer;</w:t>
      </w:r>
    </w:p>
    <w:p w14:paraId="27DB9640"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qui</w:t>
      </w:r>
      <w:proofErr w:type="gramEnd"/>
      <w:r w:rsidRPr="00B953FA">
        <w:rPr>
          <w:lang w:val="fr-FR"/>
        </w:rPr>
        <w:t xml:space="preserve"> est responsable du droit de suite des artistes;</w:t>
      </w:r>
    </w:p>
    <w:p w14:paraId="2E1FD4DE"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administration</w:t>
      </w:r>
      <w:proofErr w:type="gramEnd"/>
      <w:r w:rsidRPr="00B953FA">
        <w:rPr>
          <w:lang w:val="fr-FR"/>
        </w:rPr>
        <w:t xml:space="preserve"> du droit de suite des artistes;</w:t>
      </w:r>
    </w:p>
    <w:p w14:paraId="1636044B"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durée</w:t>
      </w:r>
      <w:proofErr w:type="gramEnd"/>
      <w:r w:rsidRPr="00B953FA">
        <w:rPr>
          <w:lang w:val="fr-FR"/>
        </w:rPr>
        <w:t xml:space="preserve"> du droit de suite des artistes;</w:t>
      </w:r>
    </w:p>
    <w:p w14:paraId="314F7B34"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autres</w:t>
      </w:r>
      <w:proofErr w:type="gramEnd"/>
      <w:r w:rsidRPr="00B953FA">
        <w:rPr>
          <w:lang w:val="fr-FR"/>
        </w:rPr>
        <w:t xml:space="preserve"> caractéristiques du droit de suite des artistes – aliénation et renonciation;</w:t>
      </w:r>
    </w:p>
    <w:p w14:paraId="51363815"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droit</w:t>
      </w:r>
      <w:proofErr w:type="gramEnd"/>
      <w:r w:rsidRPr="00B953FA">
        <w:rPr>
          <w:lang w:val="fr-FR"/>
        </w:rPr>
        <w:t xml:space="preserve"> au droit de suite des artistes et demandeurs étrangers;</w:t>
      </w:r>
    </w:p>
    <w:p w14:paraId="28124E54" w14:textId="77777777"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problèmes</w:t>
      </w:r>
      <w:proofErr w:type="gramEnd"/>
      <w:r w:rsidRPr="00B953FA">
        <w:rPr>
          <w:lang w:val="fr-FR"/>
        </w:rPr>
        <w:t xml:space="preserve"> de succession – héritiers et ayants droit des auteurs;</w:t>
      </w:r>
    </w:p>
    <w:p w14:paraId="6153B80B" w14:textId="535B8812" w:rsidR="00C77D5B" w:rsidRPr="00B953FA" w:rsidRDefault="00C77D5B" w:rsidP="002D7EE2">
      <w:pPr>
        <w:pStyle w:val="ONUMFS"/>
        <w:numPr>
          <w:ilvl w:val="0"/>
          <w:numId w:val="22"/>
        </w:numPr>
        <w:tabs>
          <w:tab w:val="clear" w:pos="567"/>
        </w:tabs>
        <w:spacing w:after="120"/>
        <w:ind w:left="567"/>
        <w:rPr>
          <w:lang w:val="fr-FR"/>
        </w:rPr>
      </w:pPr>
      <w:proofErr w:type="gramStart"/>
      <w:r w:rsidRPr="00B953FA">
        <w:rPr>
          <w:lang w:val="fr-FR"/>
        </w:rPr>
        <w:t>quelques</w:t>
      </w:r>
      <w:proofErr w:type="gramEnd"/>
      <w:r w:rsidRPr="00B953FA">
        <w:rPr>
          <w:lang w:val="fr-FR"/>
        </w:rPr>
        <w:t xml:space="preserve"> autres dispositions utiles</w:t>
      </w:r>
      <w:r w:rsidR="000A0979" w:rsidRPr="00B953FA">
        <w:rPr>
          <w:lang w:val="fr-FR"/>
        </w:rPr>
        <w:t> :</w:t>
      </w:r>
    </w:p>
    <w:p w14:paraId="63C85B6E" w14:textId="77777777" w:rsidR="00C77D5B" w:rsidRPr="00B953FA" w:rsidRDefault="00C77D5B" w:rsidP="002D7EE2">
      <w:pPr>
        <w:pStyle w:val="ONUMFS"/>
        <w:numPr>
          <w:ilvl w:val="0"/>
          <w:numId w:val="23"/>
        </w:numPr>
        <w:tabs>
          <w:tab w:val="clear" w:pos="567"/>
        </w:tabs>
        <w:spacing w:after="120"/>
        <w:ind w:left="1134"/>
        <w:rPr>
          <w:lang w:val="fr-FR"/>
        </w:rPr>
      </w:pPr>
      <w:proofErr w:type="gramStart"/>
      <w:r w:rsidRPr="00B953FA">
        <w:rPr>
          <w:lang w:val="fr-FR"/>
        </w:rPr>
        <w:t>droits</w:t>
      </w:r>
      <w:proofErr w:type="gramEnd"/>
      <w:r w:rsidRPr="00B953FA">
        <w:rPr>
          <w:lang w:val="fr-FR"/>
        </w:rPr>
        <w:t xml:space="preserve"> conjoints;</w:t>
      </w:r>
    </w:p>
    <w:p w14:paraId="18687836" w14:textId="77777777" w:rsidR="00C77D5B" w:rsidRPr="00B953FA" w:rsidRDefault="00C77D5B" w:rsidP="002D7EE2">
      <w:pPr>
        <w:pStyle w:val="ONUMFS"/>
        <w:numPr>
          <w:ilvl w:val="0"/>
          <w:numId w:val="23"/>
        </w:numPr>
        <w:tabs>
          <w:tab w:val="clear" w:pos="567"/>
        </w:tabs>
        <w:spacing w:after="120"/>
        <w:ind w:left="1134"/>
        <w:rPr>
          <w:lang w:val="fr-FR"/>
        </w:rPr>
      </w:pPr>
      <w:proofErr w:type="gramStart"/>
      <w:r w:rsidRPr="00B953FA">
        <w:rPr>
          <w:lang w:val="fr-FR"/>
        </w:rPr>
        <w:t>preuve</w:t>
      </w:r>
      <w:proofErr w:type="gramEnd"/>
      <w:r w:rsidRPr="00B953FA">
        <w:rPr>
          <w:lang w:val="fr-FR"/>
        </w:rPr>
        <w:t xml:space="preserve"> de paternité et présomptions utiles;</w:t>
      </w:r>
    </w:p>
    <w:p w14:paraId="7AD85CA5" w14:textId="77777777" w:rsidR="00C77D5B" w:rsidRPr="00B953FA" w:rsidRDefault="00C77D5B" w:rsidP="002D7EE2">
      <w:pPr>
        <w:pStyle w:val="ONUMFS"/>
        <w:numPr>
          <w:ilvl w:val="0"/>
          <w:numId w:val="23"/>
        </w:numPr>
        <w:tabs>
          <w:tab w:val="clear" w:pos="567"/>
        </w:tabs>
        <w:spacing w:after="120"/>
        <w:ind w:left="1134"/>
        <w:rPr>
          <w:lang w:val="fr-FR"/>
        </w:rPr>
      </w:pPr>
      <w:proofErr w:type="gramStart"/>
      <w:r w:rsidRPr="00B953FA">
        <w:rPr>
          <w:lang w:val="fr-FR"/>
        </w:rPr>
        <w:t>droit</w:t>
      </w:r>
      <w:proofErr w:type="gramEnd"/>
      <w:r w:rsidRPr="00B953FA">
        <w:rPr>
          <w:lang w:val="fr-FR"/>
        </w:rPr>
        <w:t xml:space="preserve"> de demander des informations;</w:t>
      </w:r>
    </w:p>
    <w:p w14:paraId="59672C83" w14:textId="77777777" w:rsidR="00C77D5B" w:rsidRPr="00B953FA" w:rsidRDefault="00C77D5B" w:rsidP="002D7EE2">
      <w:pPr>
        <w:pStyle w:val="ONUMFS"/>
        <w:numPr>
          <w:ilvl w:val="0"/>
          <w:numId w:val="23"/>
        </w:numPr>
        <w:tabs>
          <w:tab w:val="clear" w:pos="567"/>
        </w:tabs>
        <w:ind w:left="1701" w:hanging="567"/>
        <w:rPr>
          <w:lang w:val="fr-FR"/>
        </w:rPr>
      </w:pPr>
      <w:proofErr w:type="gramStart"/>
      <w:r w:rsidRPr="00B953FA">
        <w:rPr>
          <w:lang w:val="fr-FR"/>
        </w:rPr>
        <w:t>délai</w:t>
      </w:r>
      <w:proofErr w:type="gramEnd"/>
      <w:r w:rsidRPr="00B953FA">
        <w:rPr>
          <w:lang w:val="fr-FR"/>
        </w:rPr>
        <w:t xml:space="preserve"> de mise en œuvre du régime de droit de suite des artistes et questions transitoires.</w:t>
      </w:r>
    </w:p>
    <w:p w14:paraId="6623801E" w14:textId="3C1D94BE" w:rsidR="00C77D5B" w:rsidRPr="00B953FA" w:rsidRDefault="00C77D5B" w:rsidP="002D7EE2">
      <w:pPr>
        <w:pStyle w:val="Heading1"/>
        <w:rPr>
          <w:lang w:val="fr-FR"/>
        </w:rPr>
      </w:pPr>
      <w:r w:rsidRPr="00B953FA">
        <w:rPr>
          <w:lang w:val="fr-FR"/>
        </w:rPr>
        <w:t>Les objectifs d</w:t>
      </w:r>
      <w:r w:rsidR="000A0979" w:rsidRPr="00B953FA">
        <w:rPr>
          <w:lang w:val="fr-FR"/>
        </w:rPr>
        <w:t>’</w:t>
      </w:r>
      <w:r w:rsidRPr="00B953FA">
        <w:rPr>
          <w:lang w:val="fr-FR"/>
        </w:rPr>
        <w:t>un régime de droit de suite des artistes</w:t>
      </w:r>
    </w:p>
    <w:p w14:paraId="7AF6F9A1" w14:textId="2C18BE75" w:rsidR="00C77D5B" w:rsidRPr="00B953FA" w:rsidRDefault="00C77D5B" w:rsidP="002D7EE2">
      <w:pPr>
        <w:pStyle w:val="ONUMFS"/>
        <w:rPr>
          <w:lang w:val="fr-FR"/>
        </w:rPr>
      </w:pPr>
      <w:r w:rsidRPr="00B953FA">
        <w:rPr>
          <w:lang w:val="fr-FR"/>
        </w:rPr>
        <w:t>Il est souvent souhaitable d</w:t>
      </w:r>
      <w:r w:rsidR="000A0979" w:rsidRPr="00B953FA">
        <w:rPr>
          <w:lang w:val="fr-FR"/>
        </w:rPr>
        <w:t>’</w:t>
      </w:r>
      <w:r w:rsidRPr="00B953FA">
        <w:rPr>
          <w:lang w:val="fr-FR"/>
        </w:rPr>
        <w:t>avoir une déclaration des objectifs pour tout nouveau régime législatif introdu</w:t>
      </w:r>
      <w:r w:rsidR="00B953FA" w:rsidRPr="00B953FA">
        <w:rPr>
          <w:lang w:val="fr-FR"/>
        </w:rPr>
        <w:t>it.  Le</w:t>
      </w:r>
      <w:r w:rsidRPr="00B953FA">
        <w:rPr>
          <w:lang w:val="fr-FR"/>
        </w:rPr>
        <w:t>s styles législatifs nationaux peuvent différer ici quant à la quantité de détails à inclure dans ces déclarations – certains pays peuvent préférer n</w:t>
      </w:r>
      <w:r w:rsidR="000A0979" w:rsidRPr="00B953FA">
        <w:rPr>
          <w:lang w:val="fr-FR"/>
        </w:rPr>
        <w:t>’</w:t>
      </w:r>
      <w:r w:rsidRPr="00B953FA">
        <w:rPr>
          <w:lang w:val="fr-FR"/>
        </w:rPr>
        <w:t>en avoir aucun ou simplement y faire référence dans l</w:t>
      </w:r>
      <w:r w:rsidR="000A0979" w:rsidRPr="00B953FA">
        <w:rPr>
          <w:lang w:val="fr-FR"/>
        </w:rPr>
        <w:t>’</w:t>
      </w:r>
      <w:r w:rsidRPr="00B953FA">
        <w:rPr>
          <w:lang w:val="fr-FR"/>
        </w:rPr>
        <w:t>intitulé de la législati</w:t>
      </w:r>
      <w:r w:rsidR="00B953FA" w:rsidRPr="00B953FA">
        <w:rPr>
          <w:lang w:val="fr-FR"/>
        </w:rPr>
        <w:t>on.  D’a</w:t>
      </w:r>
      <w:r w:rsidRPr="00B953FA">
        <w:rPr>
          <w:lang w:val="fr-FR"/>
        </w:rPr>
        <w:t>utres peuvent opter pour une brève déclaration des objectifs, tandis que d</w:t>
      </w:r>
      <w:r w:rsidR="000A0979" w:rsidRPr="00B953FA">
        <w:rPr>
          <w:lang w:val="fr-FR"/>
        </w:rPr>
        <w:t>’</w:t>
      </w:r>
      <w:r w:rsidRPr="00B953FA">
        <w:rPr>
          <w:lang w:val="fr-FR"/>
        </w:rPr>
        <w:t>autres encore peuvent adopter un énoncé plus long pour exposer les raisons ou les justifications du nouveau régi</w:t>
      </w:r>
      <w:r w:rsidR="00B953FA" w:rsidRPr="00B953FA">
        <w:rPr>
          <w:lang w:val="fr-FR"/>
        </w:rPr>
        <w:t>me.  On</w:t>
      </w:r>
      <w:r w:rsidRPr="00B953FA">
        <w:rPr>
          <w:lang w:val="fr-FR"/>
        </w:rPr>
        <w:t xml:space="preserve"> trouve un exemple de déclaration détaillée dans les 30</w:t>
      </w:r>
      <w:r w:rsidR="00D53C0A" w:rsidRPr="00B953FA">
        <w:rPr>
          <w:lang w:val="fr-FR"/>
        </w:rPr>
        <w:t> </w:t>
      </w:r>
      <w:r w:rsidRPr="00B953FA">
        <w:rPr>
          <w:lang w:val="fr-FR"/>
        </w:rPr>
        <w:t>considérants de la Directive communautaire sur le droit de suite, qui exposent en détail la raison d</w:t>
      </w:r>
      <w:r w:rsidR="000A0979" w:rsidRPr="00B953FA">
        <w:rPr>
          <w:lang w:val="fr-FR"/>
        </w:rPr>
        <w:t>’</w:t>
      </w:r>
      <w:r w:rsidRPr="00B953FA">
        <w:rPr>
          <w:lang w:val="fr-FR"/>
        </w:rPr>
        <w:t>être de l</w:t>
      </w:r>
      <w:r w:rsidR="000A0979" w:rsidRPr="00B953FA">
        <w:rPr>
          <w:lang w:val="fr-FR"/>
        </w:rPr>
        <w:t>’</w:t>
      </w:r>
      <w:r w:rsidRPr="00B953FA">
        <w:rPr>
          <w:lang w:val="fr-FR"/>
        </w:rPr>
        <w:t>introduction d</w:t>
      </w:r>
      <w:r w:rsidR="000A0979" w:rsidRPr="00B953FA">
        <w:rPr>
          <w:lang w:val="fr-FR"/>
        </w:rPr>
        <w:t>’</w:t>
      </w:r>
      <w:r w:rsidRPr="00B953FA">
        <w:rPr>
          <w:lang w:val="fr-FR"/>
        </w:rPr>
        <w:t>un tel régime et décrivent ses différentes composantes ainsi que leurs justificatio</w:t>
      </w:r>
      <w:r w:rsidR="00B953FA" w:rsidRPr="00B953FA">
        <w:rPr>
          <w:lang w:val="fr-FR"/>
        </w:rPr>
        <w:t>ns.  Se</w:t>
      </w:r>
      <w:r w:rsidRPr="00B953FA">
        <w:rPr>
          <w:lang w:val="fr-FR"/>
        </w:rPr>
        <w:t>lon les traditions législatives du pays, ces déclarations peuvent être utiles aux juridictions nationales lors de l</w:t>
      </w:r>
      <w:r w:rsidR="000A0979" w:rsidRPr="00B953FA">
        <w:rPr>
          <w:lang w:val="fr-FR"/>
        </w:rPr>
        <w:t>’</w:t>
      </w:r>
      <w:r w:rsidRPr="00B953FA">
        <w:rPr>
          <w:lang w:val="fr-FR"/>
        </w:rPr>
        <w:t>interprétation des dispositions de fond du régime.</w:t>
      </w:r>
    </w:p>
    <w:p w14:paraId="6FD3838E" w14:textId="77777777" w:rsidR="00C77D5B" w:rsidRPr="00B953FA" w:rsidRDefault="00C77D5B" w:rsidP="002D7EE2">
      <w:pPr>
        <w:pStyle w:val="ONUMFS"/>
        <w:rPr>
          <w:lang w:val="fr-FR"/>
        </w:rPr>
      </w:pPr>
      <w:r w:rsidRPr="00B953FA">
        <w:rPr>
          <w:lang w:val="fr-FR"/>
        </w:rPr>
        <w:t>Le tableau 1 contient plusieurs projets de déclarations qui peuvent être utiles aux décideurs politiques et législatifs nationaux.</w:t>
      </w:r>
    </w:p>
    <w:p w14:paraId="206AD859" w14:textId="77777777" w:rsidR="00C77D5B" w:rsidRPr="00B953FA" w:rsidRDefault="00C77D5B" w:rsidP="002D7EE2">
      <w:pPr>
        <w:pStyle w:val="Heading2"/>
        <w:rPr>
          <w:lang w:val="fr-FR"/>
        </w:rPr>
      </w:pPr>
      <w:r w:rsidRPr="00B953FA">
        <w:rPr>
          <w:lang w:val="fr-FR"/>
        </w:rPr>
        <w:lastRenderedPageBreak/>
        <w:t>Tableau 1</w:t>
      </w:r>
    </w:p>
    <w:tbl>
      <w:tblPr>
        <w:tblStyle w:val="TableGrid"/>
        <w:tblW w:w="0" w:type="auto"/>
        <w:tblInd w:w="-5" w:type="dxa"/>
        <w:tblLook w:val="04A0" w:firstRow="1" w:lastRow="0" w:firstColumn="1" w:lastColumn="0" w:noHBand="0" w:noVBand="1"/>
      </w:tblPr>
      <w:tblGrid>
        <w:gridCol w:w="2612"/>
        <w:gridCol w:w="3116"/>
        <w:gridCol w:w="3486"/>
      </w:tblGrid>
      <w:tr w:rsidR="00C77D5B" w:rsidRPr="00B953FA" w14:paraId="0EBB6E16" w14:textId="77777777" w:rsidTr="00EF001E">
        <w:tc>
          <w:tcPr>
            <w:tcW w:w="2612" w:type="dxa"/>
          </w:tcPr>
          <w:p w14:paraId="3DFA8841" w14:textId="77777777" w:rsidR="00C77D5B" w:rsidRPr="00B953FA" w:rsidRDefault="00C77D5B" w:rsidP="002D7EE2">
            <w:pPr>
              <w:spacing w:after="220"/>
              <w:rPr>
                <w:u w:val="single"/>
                <w:lang w:val="fr-FR"/>
              </w:rPr>
            </w:pPr>
            <w:r w:rsidRPr="00B953FA">
              <w:rPr>
                <w:b/>
                <w:lang w:val="fr-FR"/>
              </w:rPr>
              <w:t>Type de disposition</w:t>
            </w:r>
          </w:p>
        </w:tc>
        <w:tc>
          <w:tcPr>
            <w:tcW w:w="3116" w:type="dxa"/>
          </w:tcPr>
          <w:p w14:paraId="4F49E8C0" w14:textId="77777777" w:rsidR="00C77D5B" w:rsidRPr="00B953FA" w:rsidRDefault="00C77D5B" w:rsidP="002D7EE2">
            <w:pPr>
              <w:spacing w:after="220"/>
              <w:rPr>
                <w:u w:val="single"/>
                <w:lang w:val="fr-FR"/>
              </w:rPr>
            </w:pPr>
            <w:r w:rsidRPr="00B953FA">
              <w:rPr>
                <w:b/>
                <w:lang w:val="fr-FR"/>
              </w:rPr>
              <w:t>Texte suggéré</w:t>
            </w:r>
          </w:p>
        </w:tc>
        <w:tc>
          <w:tcPr>
            <w:tcW w:w="3486" w:type="dxa"/>
          </w:tcPr>
          <w:p w14:paraId="6172DDFF" w14:textId="77777777" w:rsidR="00C77D5B" w:rsidRPr="00B953FA" w:rsidRDefault="00C77D5B" w:rsidP="002D7EE2">
            <w:pPr>
              <w:spacing w:after="220"/>
              <w:rPr>
                <w:u w:val="single"/>
                <w:lang w:val="fr-FR"/>
              </w:rPr>
            </w:pPr>
            <w:r w:rsidRPr="00B953FA">
              <w:rPr>
                <w:b/>
                <w:lang w:val="fr-FR"/>
              </w:rPr>
              <w:t>Observations</w:t>
            </w:r>
          </w:p>
        </w:tc>
      </w:tr>
      <w:tr w:rsidR="00C77D5B" w:rsidRPr="00B953FA" w14:paraId="4AE96075" w14:textId="77777777" w:rsidTr="00EF001E">
        <w:tc>
          <w:tcPr>
            <w:tcW w:w="2612" w:type="dxa"/>
          </w:tcPr>
          <w:p w14:paraId="477AEB6D" w14:textId="2F716087" w:rsidR="00C77D5B" w:rsidRPr="00B953FA" w:rsidRDefault="00C77D5B" w:rsidP="00EF001E">
            <w:pPr>
              <w:spacing w:before="60" w:after="220"/>
              <w:rPr>
                <w:sz w:val="20"/>
                <w:lang w:val="fr-FR"/>
              </w:rPr>
            </w:pPr>
            <w:r w:rsidRPr="00B953FA">
              <w:rPr>
                <w:sz w:val="20"/>
                <w:lang w:val="fr-FR"/>
              </w:rPr>
              <w:t>Brève déclaration (peut figurer dans le titre de la promulgation)</w:t>
            </w:r>
          </w:p>
        </w:tc>
        <w:tc>
          <w:tcPr>
            <w:tcW w:w="3116" w:type="dxa"/>
          </w:tcPr>
          <w:p w14:paraId="51A69F98" w14:textId="50963438" w:rsidR="00C77D5B" w:rsidRPr="00B953FA" w:rsidRDefault="00C77D5B" w:rsidP="00EF001E">
            <w:pPr>
              <w:spacing w:before="60" w:after="220"/>
              <w:rPr>
                <w:sz w:val="20"/>
                <w:lang w:val="fr-FR"/>
              </w:rPr>
            </w:pPr>
            <w:r w:rsidRPr="00B953FA">
              <w:rPr>
                <w:sz w:val="20"/>
                <w:lang w:val="fr-FR"/>
              </w:rPr>
              <w:t>L</w:t>
            </w:r>
            <w:r w:rsidR="000A0979" w:rsidRPr="00B953FA">
              <w:rPr>
                <w:sz w:val="20"/>
                <w:lang w:val="fr-FR"/>
              </w:rPr>
              <w:t>’</w:t>
            </w:r>
            <w:r w:rsidRPr="00B953FA">
              <w:rPr>
                <w:sz w:val="20"/>
                <w:lang w:val="fr-FR"/>
              </w:rPr>
              <w:t>objet de cette loi est de créer un droit pour les auteurs en relation avec la revente de leurs œuvres d</w:t>
            </w:r>
            <w:r w:rsidR="000A0979" w:rsidRPr="00B953FA">
              <w:rPr>
                <w:sz w:val="20"/>
                <w:lang w:val="fr-FR"/>
              </w:rPr>
              <w:t>’</w:t>
            </w:r>
            <w:r w:rsidRPr="00B953FA">
              <w:rPr>
                <w:sz w:val="20"/>
                <w:lang w:val="fr-FR"/>
              </w:rPr>
              <w:t>art originales [et des manuscrits originaux d</w:t>
            </w:r>
            <w:r w:rsidR="000A0979" w:rsidRPr="00B953FA">
              <w:rPr>
                <w:sz w:val="20"/>
                <w:lang w:val="fr-FR"/>
              </w:rPr>
              <w:t>’</w:t>
            </w:r>
            <w:r w:rsidRPr="00B953FA">
              <w:rPr>
                <w:sz w:val="20"/>
                <w:lang w:val="fr-FR"/>
              </w:rPr>
              <w:t>œuvres littéraires, dramatiques et musicales] et à des fins connexes.</w:t>
            </w:r>
          </w:p>
        </w:tc>
        <w:tc>
          <w:tcPr>
            <w:tcW w:w="3486" w:type="dxa"/>
          </w:tcPr>
          <w:p w14:paraId="004572BF" w14:textId="0D836B92" w:rsidR="00C77D5B" w:rsidRPr="00B953FA" w:rsidRDefault="00C77D5B" w:rsidP="00EF001E">
            <w:pPr>
              <w:numPr>
                <w:ilvl w:val="0"/>
                <w:numId w:val="17"/>
              </w:numPr>
              <w:spacing w:before="60"/>
              <w:rPr>
                <w:bCs/>
                <w:sz w:val="20"/>
                <w:lang w:val="fr-FR"/>
              </w:rPr>
            </w:pPr>
            <w:r w:rsidRPr="00B953FA">
              <w:rPr>
                <w:sz w:val="20"/>
                <w:lang w:val="fr-FR"/>
              </w:rPr>
              <w:t>Concis et allant à l</w:t>
            </w:r>
            <w:r w:rsidR="000A0979" w:rsidRPr="00B953FA">
              <w:rPr>
                <w:sz w:val="20"/>
                <w:lang w:val="fr-FR"/>
              </w:rPr>
              <w:t>’</w:t>
            </w:r>
            <w:r w:rsidRPr="00B953FA">
              <w:rPr>
                <w:sz w:val="20"/>
                <w:lang w:val="fr-FR"/>
              </w:rPr>
              <w:t>essentiel.</w:t>
            </w:r>
          </w:p>
          <w:p w14:paraId="034FCBC7" w14:textId="11772DE0" w:rsidR="00C77D5B" w:rsidRPr="00B953FA" w:rsidRDefault="00C77D5B" w:rsidP="002D7EE2">
            <w:pPr>
              <w:numPr>
                <w:ilvl w:val="0"/>
                <w:numId w:val="17"/>
              </w:numPr>
              <w:rPr>
                <w:sz w:val="20"/>
                <w:lang w:val="fr-FR"/>
              </w:rPr>
            </w:pPr>
            <w:r w:rsidRPr="00B953FA">
              <w:rPr>
                <w:sz w:val="20"/>
                <w:lang w:val="fr-FR"/>
              </w:rPr>
              <w:t>Le détail du droit à conférer est évidemment laissé aux dispositions du régime législatif qui suit, par exemple en ce qui concerne les types d</w:t>
            </w:r>
            <w:r w:rsidR="000A0979" w:rsidRPr="00B953FA">
              <w:rPr>
                <w:sz w:val="20"/>
                <w:lang w:val="fr-FR"/>
              </w:rPr>
              <w:t>’</w:t>
            </w:r>
            <w:r w:rsidRPr="00B953FA">
              <w:rPr>
                <w:sz w:val="20"/>
                <w:lang w:val="fr-FR"/>
              </w:rPr>
              <w:t>œuvres couvertes, la nature et la durée du droit, etc.</w:t>
            </w:r>
          </w:p>
          <w:p w14:paraId="27494239" w14:textId="3FD1ED10" w:rsidR="00C77D5B" w:rsidRPr="00B953FA" w:rsidRDefault="00C77D5B" w:rsidP="002D7EE2">
            <w:pPr>
              <w:numPr>
                <w:ilvl w:val="0"/>
                <w:numId w:val="17"/>
              </w:numPr>
              <w:rPr>
                <w:sz w:val="20"/>
                <w:lang w:val="fr-FR"/>
              </w:rPr>
            </w:pPr>
            <w:r w:rsidRPr="00B953FA">
              <w:rPr>
                <w:sz w:val="20"/>
                <w:lang w:val="fr-FR"/>
              </w:rPr>
              <w:t>Le fait qu</w:t>
            </w:r>
            <w:r w:rsidR="000A0979" w:rsidRPr="00B953FA">
              <w:rPr>
                <w:sz w:val="20"/>
                <w:lang w:val="fr-FR"/>
              </w:rPr>
              <w:t>’</w:t>
            </w:r>
            <w:r w:rsidRPr="00B953FA">
              <w:rPr>
                <w:sz w:val="20"/>
                <w:lang w:val="fr-FR"/>
              </w:rPr>
              <w:t>il s</w:t>
            </w:r>
            <w:r w:rsidR="000A0979" w:rsidRPr="00B953FA">
              <w:rPr>
                <w:sz w:val="20"/>
                <w:lang w:val="fr-FR"/>
              </w:rPr>
              <w:t>’</w:t>
            </w:r>
            <w:r w:rsidRPr="00B953FA">
              <w:rPr>
                <w:sz w:val="20"/>
                <w:lang w:val="fr-FR"/>
              </w:rPr>
              <w:t>agisse d</w:t>
            </w:r>
            <w:r w:rsidR="000A0979" w:rsidRPr="00B953FA">
              <w:rPr>
                <w:sz w:val="20"/>
                <w:lang w:val="fr-FR"/>
              </w:rPr>
              <w:t>’</w:t>
            </w:r>
            <w:r w:rsidRPr="00B953FA">
              <w:rPr>
                <w:sz w:val="20"/>
                <w:lang w:val="fr-FR"/>
              </w:rPr>
              <w:t>un droit d</w:t>
            </w:r>
            <w:r w:rsidR="000A0979" w:rsidRPr="00B953FA">
              <w:rPr>
                <w:sz w:val="20"/>
                <w:lang w:val="fr-FR"/>
              </w:rPr>
              <w:t>’</w:t>
            </w:r>
            <w:r w:rsidRPr="00B953FA">
              <w:rPr>
                <w:sz w:val="20"/>
                <w:lang w:val="fr-FR"/>
              </w:rPr>
              <w:t>auteur est mis en avant.</w:t>
            </w:r>
          </w:p>
          <w:p w14:paraId="407E5E03" w14:textId="1F37606F" w:rsidR="00C77D5B" w:rsidRPr="00B953FA" w:rsidRDefault="00C77D5B" w:rsidP="002D7EE2">
            <w:pPr>
              <w:numPr>
                <w:ilvl w:val="0"/>
                <w:numId w:val="17"/>
              </w:numPr>
              <w:rPr>
                <w:sz w:val="20"/>
                <w:lang w:val="fr-FR"/>
              </w:rPr>
            </w:pPr>
            <w:r w:rsidRPr="00B953FA">
              <w:rPr>
                <w:sz w:val="20"/>
                <w:lang w:val="fr-FR"/>
              </w:rPr>
              <w:t>“Objectifs connexes” indique que d</w:t>
            </w:r>
            <w:r w:rsidR="000A0979" w:rsidRPr="00B953FA">
              <w:rPr>
                <w:sz w:val="20"/>
                <w:lang w:val="fr-FR"/>
              </w:rPr>
              <w:t>’</w:t>
            </w:r>
            <w:r w:rsidRPr="00B953FA">
              <w:rPr>
                <w:sz w:val="20"/>
                <w:lang w:val="fr-FR"/>
              </w:rPr>
              <w:t xml:space="preserve">autres questions sont traitées dans le régime (suivant le style utilisé en Australie et dans certains autres pays de </w:t>
            </w:r>
            <w:proofErr w:type="spellStart"/>
            <w:r w:rsidRPr="00B953FA">
              <w:rPr>
                <w:i/>
                <w:sz w:val="20"/>
                <w:lang w:val="fr-FR"/>
              </w:rPr>
              <w:t>common</w:t>
            </w:r>
            <w:proofErr w:type="spellEnd"/>
            <w:r w:rsidRPr="00B953FA">
              <w:rPr>
                <w:i/>
                <w:sz w:val="20"/>
                <w:lang w:val="fr-FR"/>
              </w:rPr>
              <w:t> </w:t>
            </w:r>
            <w:proofErr w:type="spellStart"/>
            <w:r w:rsidRPr="00B953FA">
              <w:rPr>
                <w:i/>
                <w:sz w:val="20"/>
                <w:lang w:val="fr-FR"/>
              </w:rPr>
              <w:t>law</w:t>
            </w:r>
            <w:proofErr w:type="spellEnd"/>
            <w:r w:rsidRPr="00B953FA">
              <w:rPr>
                <w:sz w:val="20"/>
                <w:lang w:val="fr-FR"/>
              </w:rPr>
              <w:t>)</w:t>
            </w:r>
            <w:r w:rsidRPr="00B953FA">
              <w:rPr>
                <w:sz w:val="20"/>
                <w:vertAlign w:val="superscript"/>
                <w:lang w:val="fr-FR"/>
              </w:rPr>
              <w:footnoteReference w:id="31"/>
            </w:r>
            <w:r w:rsidRPr="00B953FA">
              <w:rPr>
                <w:sz w:val="20"/>
                <w:lang w:val="fr-FR"/>
              </w:rPr>
              <w:t>.</w:t>
            </w:r>
          </w:p>
        </w:tc>
      </w:tr>
      <w:tr w:rsidR="00C77D5B" w:rsidRPr="00B953FA" w14:paraId="6EC58C7A" w14:textId="77777777" w:rsidTr="00EF001E">
        <w:tc>
          <w:tcPr>
            <w:tcW w:w="2612" w:type="dxa"/>
          </w:tcPr>
          <w:p w14:paraId="7626560C" w14:textId="5843D7AC" w:rsidR="00C77D5B" w:rsidRPr="00B953FA" w:rsidRDefault="00C77D5B" w:rsidP="00EF001E">
            <w:pPr>
              <w:spacing w:before="60" w:after="220"/>
              <w:rPr>
                <w:sz w:val="20"/>
                <w:lang w:val="fr-FR"/>
              </w:rPr>
            </w:pPr>
            <w:r w:rsidRPr="00B953FA">
              <w:rPr>
                <w:sz w:val="20"/>
                <w:lang w:val="fr-FR"/>
              </w:rPr>
              <w:t>Déclaration plus précise où seules les œuvres d</w:t>
            </w:r>
            <w:r w:rsidR="000A0979" w:rsidRPr="00B953FA">
              <w:rPr>
                <w:sz w:val="20"/>
                <w:lang w:val="fr-FR"/>
              </w:rPr>
              <w:t>’</w:t>
            </w:r>
            <w:r w:rsidRPr="00B953FA">
              <w:rPr>
                <w:sz w:val="20"/>
                <w:lang w:val="fr-FR"/>
              </w:rPr>
              <w:t>art doivent être couvertes</w:t>
            </w:r>
          </w:p>
        </w:tc>
        <w:tc>
          <w:tcPr>
            <w:tcW w:w="3116" w:type="dxa"/>
          </w:tcPr>
          <w:p w14:paraId="37BFF9A1" w14:textId="5A41548E" w:rsidR="00C77D5B" w:rsidRPr="00B953FA" w:rsidRDefault="00C77D5B" w:rsidP="00EF001E">
            <w:pPr>
              <w:spacing w:before="60" w:after="220"/>
              <w:rPr>
                <w:sz w:val="20"/>
                <w:lang w:val="fr-FR"/>
              </w:rPr>
            </w:pPr>
            <w:r w:rsidRPr="00B953FA">
              <w:rPr>
                <w:sz w:val="20"/>
                <w:lang w:val="fr-FR"/>
              </w:rPr>
              <w:t>L</w:t>
            </w:r>
            <w:r w:rsidR="000A0979" w:rsidRPr="00B953FA">
              <w:rPr>
                <w:sz w:val="20"/>
                <w:lang w:val="fr-FR"/>
              </w:rPr>
              <w:t>’</w:t>
            </w:r>
            <w:r w:rsidRPr="00B953FA">
              <w:rPr>
                <w:sz w:val="20"/>
                <w:lang w:val="fr-FR"/>
              </w:rPr>
              <w:t>objet de cette loi est de créer un droit exclusif et inaliénable des auteurs à un droit de suite sur les œuvres d</w:t>
            </w:r>
            <w:r w:rsidR="000A0979" w:rsidRPr="00B953FA">
              <w:rPr>
                <w:sz w:val="20"/>
                <w:lang w:val="fr-FR"/>
              </w:rPr>
              <w:t>’</w:t>
            </w:r>
            <w:r w:rsidRPr="00B953FA">
              <w:rPr>
                <w:sz w:val="20"/>
                <w:lang w:val="fr-FR"/>
              </w:rPr>
              <w:t>art originales.</w:t>
            </w:r>
          </w:p>
        </w:tc>
        <w:tc>
          <w:tcPr>
            <w:tcW w:w="3486" w:type="dxa"/>
          </w:tcPr>
          <w:p w14:paraId="5AD86549" w14:textId="4B3DEDCE" w:rsidR="00C77D5B" w:rsidRPr="002D7EE2" w:rsidRDefault="00C77D5B" w:rsidP="00EF001E">
            <w:pPr>
              <w:numPr>
                <w:ilvl w:val="0"/>
                <w:numId w:val="18"/>
              </w:numPr>
              <w:spacing w:before="60" w:after="40"/>
              <w:rPr>
                <w:sz w:val="20"/>
                <w:lang w:val="fr-FR"/>
              </w:rPr>
            </w:pPr>
            <w:r w:rsidRPr="00B953FA">
              <w:rPr>
                <w:sz w:val="20"/>
                <w:lang w:val="fr-FR"/>
              </w:rPr>
              <w:t>Limité aux “œuvres d</w:t>
            </w:r>
            <w:r w:rsidR="000A0979" w:rsidRPr="00B953FA">
              <w:rPr>
                <w:sz w:val="20"/>
                <w:lang w:val="fr-FR"/>
              </w:rPr>
              <w:t>’</w:t>
            </w:r>
            <w:r w:rsidRPr="00B953FA">
              <w:rPr>
                <w:sz w:val="20"/>
                <w:lang w:val="fr-FR"/>
              </w:rPr>
              <w:t>art”, mais pourrait être étendu aux manuscrits originaux des œuvres si désiré.</w:t>
            </w:r>
          </w:p>
          <w:p w14:paraId="3AB28C85" w14:textId="77777777" w:rsidR="00C77D5B" w:rsidRPr="00B953FA" w:rsidRDefault="00C77D5B" w:rsidP="00EF001E">
            <w:pPr>
              <w:numPr>
                <w:ilvl w:val="0"/>
                <w:numId w:val="18"/>
              </w:numPr>
              <w:spacing w:before="60" w:after="40"/>
              <w:rPr>
                <w:sz w:val="20"/>
                <w:lang w:val="fr-FR"/>
              </w:rPr>
            </w:pPr>
            <w:r w:rsidRPr="00B953FA">
              <w:rPr>
                <w:sz w:val="20"/>
                <w:lang w:val="fr-FR"/>
              </w:rPr>
              <w:t>Précise le caractère exclusif et inaliénable du droit.</w:t>
            </w:r>
          </w:p>
        </w:tc>
      </w:tr>
      <w:tr w:rsidR="00C77D5B" w:rsidRPr="00B953FA" w14:paraId="6CE428D7" w14:textId="77777777" w:rsidTr="00EF001E">
        <w:tc>
          <w:tcPr>
            <w:tcW w:w="2612" w:type="dxa"/>
          </w:tcPr>
          <w:p w14:paraId="5C2142FB" w14:textId="02392A9F" w:rsidR="00C77D5B" w:rsidRPr="00B953FA" w:rsidRDefault="00C77D5B" w:rsidP="00EF001E">
            <w:pPr>
              <w:spacing w:before="60" w:after="220"/>
              <w:rPr>
                <w:sz w:val="20"/>
                <w:lang w:val="fr-FR"/>
              </w:rPr>
            </w:pPr>
            <w:r w:rsidRPr="00B953FA">
              <w:rPr>
                <w:sz w:val="20"/>
                <w:lang w:val="fr-FR"/>
              </w:rPr>
              <w:t>Une disposition nationale récente (Nouvelle</w:t>
            </w:r>
            <w:r w:rsidR="00FA1A0F">
              <w:rPr>
                <w:sz w:val="20"/>
                <w:lang w:val="fr-FR"/>
              </w:rPr>
              <w:noBreakHyphen/>
            </w:r>
            <w:r w:rsidRPr="00B953FA">
              <w:rPr>
                <w:sz w:val="20"/>
                <w:lang w:val="fr-FR"/>
              </w:rPr>
              <w:t>Zélande)</w:t>
            </w:r>
          </w:p>
        </w:tc>
        <w:tc>
          <w:tcPr>
            <w:tcW w:w="3116" w:type="dxa"/>
          </w:tcPr>
          <w:p w14:paraId="0313700D" w14:textId="64961E4A" w:rsidR="00C77D5B" w:rsidRPr="00B953FA" w:rsidRDefault="00C77D5B" w:rsidP="00EF001E">
            <w:pPr>
              <w:keepNext/>
              <w:spacing w:before="60" w:after="60"/>
              <w:rPr>
                <w:b/>
                <w:bCs/>
                <w:sz w:val="20"/>
                <w:lang w:val="fr-FR"/>
              </w:rPr>
            </w:pPr>
            <w:r w:rsidRPr="00B953FA">
              <w:rPr>
                <w:b/>
                <w:bCs/>
                <w:sz w:val="20"/>
                <w:lang w:val="fr-FR"/>
              </w:rPr>
              <w:t>3.</w:t>
            </w:r>
            <w:r w:rsidR="00FB6E84" w:rsidRPr="00B953FA">
              <w:rPr>
                <w:b/>
                <w:bCs/>
                <w:sz w:val="20"/>
                <w:lang w:val="fr-FR"/>
              </w:rPr>
              <w:t xml:space="preserve"> </w:t>
            </w:r>
            <w:r w:rsidRPr="00B953FA">
              <w:rPr>
                <w:b/>
                <w:bCs/>
                <w:sz w:val="20"/>
                <w:lang w:val="fr-FR"/>
              </w:rPr>
              <w:t xml:space="preserve"> Objet</w:t>
            </w:r>
          </w:p>
          <w:p w14:paraId="1BBE6689" w14:textId="13E5830F" w:rsidR="00C77D5B" w:rsidRPr="00B953FA" w:rsidRDefault="00C77D5B" w:rsidP="002D7EE2">
            <w:pPr>
              <w:keepNext/>
              <w:spacing w:after="40"/>
              <w:rPr>
                <w:sz w:val="20"/>
                <w:lang w:val="fr-FR"/>
              </w:rPr>
            </w:pPr>
            <w:r w:rsidRPr="00B953FA">
              <w:rPr>
                <w:sz w:val="20"/>
                <w:lang w:val="fr-FR"/>
              </w:rPr>
              <w:t>L</w:t>
            </w:r>
            <w:r w:rsidR="000A0979" w:rsidRPr="00B953FA">
              <w:rPr>
                <w:sz w:val="20"/>
                <w:lang w:val="fr-FR"/>
              </w:rPr>
              <w:t>’</w:t>
            </w:r>
            <w:r w:rsidRPr="00B953FA">
              <w:rPr>
                <w:sz w:val="20"/>
                <w:lang w:val="fr-FR"/>
              </w:rPr>
              <w:t>objet de la présente loi est</w:t>
            </w:r>
            <w:r w:rsidR="000A0979" w:rsidRPr="00B953FA">
              <w:rPr>
                <w:sz w:val="20"/>
                <w:lang w:val="fr-FR"/>
              </w:rPr>
              <w:t> :</w:t>
            </w:r>
          </w:p>
          <w:p w14:paraId="72705801" w14:textId="260F3D7C" w:rsidR="00C77D5B" w:rsidRPr="00B953FA" w:rsidRDefault="00C77D5B" w:rsidP="002D7EE2">
            <w:pPr>
              <w:pStyle w:val="ListParagraph"/>
              <w:numPr>
                <w:ilvl w:val="1"/>
                <w:numId w:val="3"/>
              </w:numPr>
              <w:tabs>
                <w:tab w:val="clear" w:pos="1134"/>
                <w:tab w:val="left" w:pos="314"/>
              </w:tabs>
              <w:spacing w:before="0" w:after="220"/>
              <w:ind w:left="0"/>
              <w:jc w:val="left"/>
              <w:rPr>
                <w:sz w:val="20"/>
                <w:szCs w:val="20"/>
              </w:rPr>
            </w:pPr>
            <w:proofErr w:type="gramStart"/>
            <w:r w:rsidRPr="00B953FA">
              <w:rPr>
                <w:sz w:val="20"/>
                <w:szCs w:val="20"/>
              </w:rPr>
              <w:t>d</w:t>
            </w:r>
            <w:r w:rsidR="000A0979" w:rsidRPr="00B953FA">
              <w:rPr>
                <w:sz w:val="20"/>
                <w:szCs w:val="20"/>
              </w:rPr>
              <w:t>’</w:t>
            </w:r>
            <w:r w:rsidRPr="00B953FA">
              <w:rPr>
                <w:sz w:val="20"/>
                <w:szCs w:val="20"/>
              </w:rPr>
              <w:t>accorder</w:t>
            </w:r>
            <w:proofErr w:type="gramEnd"/>
            <w:r w:rsidRPr="00B953FA">
              <w:rPr>
                <w:sz w:val="20"/>
                <w:szCs w:val="20"/>
              </w:rPr>
              <w:t xml:space="preserve"> aux artistes remplissant les conditions requises et à leurs ayants cause le droit de recevoir un droit de suite sur les reventes d</w:t>
            </w:r>
            <w:r w:rsidR="000A0979" w:rsidRPr="00B953FA">
              <w:rPr>
                <w:sz w:val="20"/>
                <w:szCs w:val="20"/>
              </w:rPr>
              <w:t>’</w:t>
            </w:r>
            <w:r w:rsidRPr="00B953FA">
              <w:rPr>
                <w:sz w:val="20"/>
                <w:szCs w:val="20"/>
              </w:rPr>
              <w:t>œuvres d</w:t>
            </w:r>
            <w:r w:rsidR="000A0979" w:rsidRPr="00B953FA">
              <w:rPr>
                <w:sz w:val="20"/>
                <w:szCs w:val="20"/>
              </w:rPr>
              <w:t>’</w:t>
            </w:r>
            <w:r w:rsidRPr="00B953FA">
              <w:rPr>
                <w:sz w:val="20"/>
                <w:szCs w:val="20"/>
              </w:rPr>
              <w:t>art visuel originales remplissant les conditions requises;</w:t>
            </w:r>
          </w:p>
          <w:p w14:paraId="5B079FEB" w14:textId="77777777" w:rsidR="00F37154" w:rsidRPr="00B953FA" w:rsidRDefault="00C77D5B" w:rsidP="002D7EE2">
            <w:pPr>
              <w:pStyle w:val="ListParagraph"/>
              <w:numPr>
                <w:ilvl w:val="1"/>
                <w:numId w:val="3"/>
              </w:numPr>
              <w:tabs>
                <w:tab w:val="clear" w:pos="1134"/>
                <w:tab w:val="left" w:pos="314"/>
              </w:tabs>
              <w:spacing w:after="220"/>
              <w:ind w:left="0"/>
              <w:jc w:val="left"/>
              <w:rPr>
                <w:sz w:val="20"/>
                <w:szCs w:val="20"/>
              </w:rPr>
            </w:pPr>
            <w:proofErr w:type="gramStart"/>
            <w:r w:rsidRPr="00B953FA">
              <w:rPr>
                <w:sz w:val="20"/>
                <w:szCs w:val="20"/>
              </w:rPr>
              <w:t>de</w:t>
            </w:r>
            <w:proofErr w:type="gramEnd"/>
            <w:r w:rsidRPr="00B953FA">
              <w:rPr>
                <w:sz w:val="20"/>
                <w:szCs w:val="20"/>
              </w:rPr>
              <w:t xml:space="preserve"> permettre une gestion des redevances qui</w:t>
            </w:r>
          </w:p>
          <w:p w14:paraId="56B4873F" w14:textId="6E14FA16" w:rsidR="00C77D5B" w:rsidRPr="002D7EE2" w:rsidRDefault="00C77D5B" w:rsidP="002D7EE2">
            <w:pPr>
              <w:pStyle w:val="ListParagraph"/>
              <w:numPr>
                <w:ilvl w:val="2"/>
                <w:numId w:val="3"/>
              </w:numPr>
              <w:tabs>
                <w:tab w:val="clear" w:pos="1701"/>
                <w:tab w:val="left" w:pos="737"/>
              </w:tabs>
              <w:spacing w:after="220"/>
              <w:ind w:left="314"/>
              <w:jc w:val="left"/>
              <w:rPr>
                <w:spacing w:val="-4"/>
                <w:sz w:val="20"/>
                <w:szCs w:val="20"/>
              </w:rPr>
            </w:pPr>
            <w:proofErr w:type="gramStart"/>
            <w:r w:rsidRPr="002D7EE2">
              <w:rPr>
                <w:spacing w:val="-4"/>
                <w:sz w:val="20"/>
                <w:szCs w:val="20"/>
              </w:rPr>
              <w:t>reconnaisse</w:t>
            </w:r>
            <w:proofErr w:type="gramEnd"/>
            <w:r w:rsidRPr="002D7EE2">
              <w:rPr>
                <w:spacing w:val="-4"/>
                <w:sz w:val="20"/>
                <w:szCs w:val="20"/>
              </w:rPr>
              <w:t xml:space="preserve"> et respecte le rôle des Maori en tant que </w:t>
            </w:r>
            <w:proofErr w:type="spellStart"/>
            <w:r w:rsidRPr="002D7EE2">
              <w:rPr>
                <w:spacing w:val="-4"/>
                <w:sz w:val="20"/>
                <w:szCs w:val="20"/>
              </w:rPr>
              <w:t>tangata</w:t>
            </w:r>
            <w:proofErr w:type="spellEnd"/>
            <w:r w:rsidRPr="002D7EE2">
              <w:rPr>
                <w:spacing w:val="-4"/>
                <w:sz w:val="20"/>
                <w:szCs w:val="20"/>
              </w:rPr>
              <w:t xml:space="preserve"> </w:t>
            </w:r>
            <w:proofErr w:type="spellStart"/>
            <w:r w:rsidRPr="002D7EE2">
              <w:rPr>
                <w:spacing w:val="-4"/>
                <w:sz w:val="20"/>
                <w:szCs w:val="20"/>
              </w:rPr>
              <w:t>whenua</w:t>
            </w:r>
            <w:proofErr w:type="spellEnd"/>
            <w:r w:rsidRPr="002D7EE2">
              <w:rPr>
                <w:spacing w:val="-4"/>
                <w:sz w:val="20"/>
                <w:szCs w:val="20"/>
              </w:rPr>
              <w:t xml:space="preserve"> et apporte un soutien approprié sur le plan culturel aux artistes maori; </w:t>
            </w:r>
            <w:r w:rsidR="00FB6E84" w:rsidRPr="002D7EE2">
              <w:rPr>
                <w:spacing w:val="-4"/>
                <w:sz w:val="20"/>
                <w:szCs w:val="20"/>
              </w:rPr>
              <w:t xml:space="preserve"> </w:t>
            </w:r>
            <w:r w:rsidRPr="002D7EE2">
              <w:rPr>
                <w:spacing w:val="-4"/>
                <w:sz w:val="20"/>
                <w:szCs w:val="20"/>
              </w:rPr>
              <w:t>et</w:t>
            </w:r>
          </w:p>
          <w:p w14:paraId="66B555F3" w14:textId="2C62D9AC" w:rsidR="00C77D5B" w:rsidRPr="00B953FA" w:rsidRDefault="00C77D5B" w:rsidP="002D7EE2">
            <w:pPr>
              <w:pStyle w:val="ListParagraph"/>
              <w:numPr>
                <w:ilvl w:val="2"/>
                <w:numId w:val="3"/>
              </w:numPr>
              <w:tabs>
                <w:tab w:val="clear" w:pos="1701"/>
                <w:tab w:val="left" w:pos="737"/>
              </w:tabs>
              <w:spacing w:after="220"/>
              <w:ind w:left="314"/>
              <w:jc w:val="left"/>
              <w:rPr>
                <w:sz w:val="20"/>
                <w:szCs w:val="20"/>
              </w:rPr>
            </w:pPr>
            <w:proofErr w:type="gramStart"/>
            <w:r w:rsidRPr="00B953FA">
              <w:rPr>
                <w:sz w:val="20"/>
                <w:szCs w:val="20"/>
              </w:rPr>
              <w:t>intègre</w:t>
            </w:r>
            <w:proofErr w:type="gramEnd"/>
            <w:r w:rsidRPr="00B953FA">
              <w:rPr>
                <w:sz w:val="20"/>
                <w:szCs w:val="20"/>
              </w:rPr>
              <w:t xml:space="preserve"> et reconnaisse les différents besoins de tous les peuples de la Nouvelle</w:t>
            </w:r>
            <w:r w:rsidR="00FA1A0F">
              <w:rPr>
                <w:sz w:val="20"/>
                <w:szCs w:val="20"/>
              </w:rPr>
              <w:noBreakHyphen/>
            </w:r>
            <w:r w:rsidRPr="00B953FA">
              <w:rPr>
                <w:sz w:val="20"/>
                <w:szCs w:val="20"/>
              </w:rPr>
              <w:t>Zélande.</w:t>
            </w:r>
          </w:p>
        </w:tc>
        <w:tc>
          <w:tcPr>
            <w:tcW w:w="3486" w:type="dxa"/>
          </w:tcPr>
          <w:p w14:paraId="55AF31DA" w14:textId="430AC6DD" w:rsidR="00C77D5B" w:rsidRPr="00B953FA" w:rsidRDefault="00C77D5B" w:rsidP="00EF001E">
            <w:pPr>
              <w:numPr>
                <w:ilvl w:val="0"/>
                <w:numId w:val="18"/>
              </w:numPr>
              <w:spacing w:before="60" w:after="40"/>
              <w:rPr>
                <w:sz w:val="20"/>
                <w:lang w:val="fr-FR"/>
              </w:rPr>
            </w:pPr>
            <w:r w:rsidRPr="00B953FA">
              <w:rPr>
                <w:sz w:val="20"/>
                <w:lang w:val="fr-FR"/>
              </w:rPr>
              <w:t>Énonce clairement l</w:t>
            </w:r>
            <w:r w:rsidR="000A0979" w:rsidRPr="00B953FA">
              <w:rPr>
                <w:sz w:val="20"/>
                <w:lang w:val="fr-FR"/>
              </w:rPr>
              <w:t>’</w:t>
            </w:r>
            <w:r w:rsidRPr="00B953FA">
              <w:rPr>
                <w:sz w:val="20"/>
                <w:lang w:val="fr-FR"/>
              </w:rPr>
              <w:t>objet de la loi.</w:t>
            </w:r>
          </w:p>
          <w:p w14:paraId="3D186B96" w14:textId="6C851BE9" w:rsidR="00C77D5B" w:rsidRPr="00B953FA" w:rsidRDefault="00C77D5B" w:rsidP="002D7EE2">
            <w:pPr>
              <w:numPr>
                <w:ilvl w:val="0"/>
                <w:numId w:val="18"/>
              </w:numPr>
              <w:spacing w:after="40"/>
              <w:rPr>
                <w:sz w:val="20"/>
                <w:lang w:val="fr-FR"/>
              </w:rPr>
            </w:pPr>
            <w:r w:rsidRPr="00B953FA">
              <w:rPr>
                <w:sz w:val="20"/>
                <w:lang w:val="fr-FR"/>
              </w:rPr>
              <w:t>Reconnaît d</w:t>
            </w:r>
            <w:r w:rsidR="000A0979" w:rsidRPr="00B953FA">
              <w:rPr>
                <w:sz w:val="20"/>
                <w:lang w:val="fr-FR"/>
              </w:rPr>
              <w:t>’</w:t>
            </w:r>
            <w:r w:rsidRPr="00B953FA">
              <w:rPr>
                <w:sz w:val="20"/>
                <w:lang w:val="fr-FR"/>
              </w:rPr>
              <w:t xml:space="preserve">autres objectifs en ce qui concerne </w:t>
            </w:r>
            <w:proofErr w:type="gramStart"/>
            <w:r w:rsidRPr="00B953FA">
              <w:rPr>
                <w:sz w:val="20"/>
                <w:lang w:val="fr-FR"/>
              </w:rPr>
              <w:t>la communauté maori</w:t>
            </w:r>
            <w:proofErr w:type="gramEnd"/>
            <w:r w:rsidRPr="00B953FA">
              <w:rPr>
                <w:sz w:val="20"/>
                <w:lang w:val="fr-FR"/>
              </w:rPr>
              <w:t xml:space="preserve"> et la communauté néo</w:t>
            </w:r>
            <w:r w:rsidR="00FA1A0F">
              <w:rPr>
                <w:sz w:val="20"/>
                <w:lang w:val="fr-FR"/>
              </w:rPr>
              <w:noBreakHyphen/>
            </w:r>
            <w:r w:rsidRPr="00B953FA">
              <w:rPr>
                <w:sz w:val="20"/>
                <w:lang w:val="fr-FR"/>
              </w:rPr>
              <w:t>zélandaise en général.</w:t>
            </w:r>
          </w:p>
        </w:tc>
      </w:tr>
      <w:tr w:rsidR="00C77D5B" w:rsidRPr="00B953FA" w14:paraId="6949D6B8" w14:textId="77777777" w:rsidTr="00EF001E">
        <w:tc>
          <w:tcPr>
            <w:tcW w:w="2612" w:type="dxa"/>
          </w:tcPr>
          <w:p w14:paraId="07FFA7A9" w14:textId="58419662" w:rsidR="00C77D5B" w:rsidRPr="00B953FA" w:rsidRDefault="00C77D5B" w:rsidP="00EF001E">
            <w:pPr>
              <w:spacing w:before="60" w:after="220"/>
              <w:rPr>
                <w:sz w:val="20"/>
                <w:lang w:val="fr-FR"/>
              </w:rPr>
            </w:pPr>
            <w:r w:rsidRPr="00B953FA">
              <w:rPr>
                <w:sz w:val="20"/>
                <w:lang w:val="fr-FR"/>
              </w:rPr>
              <w:lastRenderedPageBreak/>
              <w:t>Déclaration plus longue et plus explicative</w:t>
            </w:r>
          </w:p>
        </w:tc>
        <w:tc>
          <w:tcPr>
            <w:tcW w:w="3116" w:type="dxa"/>
          </w:tcPr>
          <w:p w14:paraId="75CFB311" w14:textId="0611871A" w:rsidR="00C77D5B" w:rsidRPr="00B953FA" w:rsidRDefault="00C77D5B" w:rsidP="00EF001E">
            <w:pPr>
              <w:keepNext/>
              <w:keepLines/>
              <w:spacing w:before="60" w:after="120"/>
              <w:rPr>
                <w:bCs/>
                <w:sz w:val="20"/>
                <w:lang w:val="fr-FR"/>
              </w:rPr>
            </w:pPr>
            <w:r w:rsidRPr="00B953FA">
              <w:rPr>
                <w:sz w:val="20"/>
                <w:lang w:val="fr-FR"/>
              </w:rPr>
              <w:t>Le Parlement/Législateur…</w:t>
            </w:r>
            <w:r w:rsidR="000A0979" w:rsidRPr="00B953FA">
              <w:rPr>
                <w:sz w:val="20"/>
                <w:lang w:val="fr-FR"/>
              </w:rPr>
              <w:t> :</w:t>
            </w:r>
          </w:p>
          <w:p w14:paraId="3C15879D" w14:textId="510034F2" w:rsidR="00C77D5B" w:rsidRPr="00B953FA" w:rsidRDefault="00C77D5B" w:rsidP="00EF001E">
            <w:pPr>
              <w:keepNext/>
              <w:keepLines/>
              <w:spacing w:after="120"/>
              <w:rPr>
                <w:bCs/>
                <w:sz w:val="20"/>
                <w:lang w:val="fr-FR"/>
              </w:rPr>
            </w:pPr>
            <w:r w:rsidRPr="00B953FA">
              <w:rPr>
                <w:i/>
                <w:sz w:val="20"/>
                <w:lang w:val="fr-FR"/>
              </w:rPr>
              <w:t>Reconnaissant</w:t>
            </w:r>
            <w:r w:rsidRPr="00B953FA">
              <w:rPr>
                <w:sz w:val="20"/>
                <w:lang w:val="fr-FR"/>
              </w:rPr>
              <w:t xml:space="preserve"> que les auteurs </w:t>
            </w:r>
            <w:proofErr w:type="gramStart"/>
            <w:r w:rsidRPr="00B953FA">
              <w:rPr>
                <w:sz w:val="20"/>
                <w:lang w:val="fr-FR"/>
              </w:rPr>
              <w:t>n</w:t>
            </w:r>
            <w:r w:rsidR="000A0979" w:rsidRPr="00B953FA">
              <w:rPr>
                <w:sz w:val="20"/>
                <w:lang w:val="fr-FR"/>
              </w:rPr>
              <w:t>’</w:t>
            </w:r>
            <w:r w:rsidRPr="00B953FA">
              <w:rPr>
                <w:sz w:val="20"/>
                <w:lang w:val="fr-FR"/>
              </w:rPr>
              <w:t>ont</w:t>
            </w:r>
            <w:proofErr w:type="gramEnd"/>
            <w:r w:rsidRPr="00B953FA">
              <w:rPr>
                <w:sz w:val="20"/>
                <w:lang w:val="fr-FR"/>
              </w:rPr>
              <w:t xml:space="preserve"> généralement aucun intérêt pécuniaire dans l</w:t>
            </w:r>
            <w:r w:rsidR="000A0979" w:rsidRPr="00B953FA">
              <w:rPr>
                <w:sz w:val="20"/>
                <w:lang w:val="fr-FR"/>
              </w:rPr>
              <w:t>’</w:t>
            </w:r>
            <w:r w:rsidRPr="00B953FA">
              <w:rPr>
                <w:sz w:val="20"/>
                <w:lang w:val="fr-FR"/>
              </w:rPr>
              <w:t>exploitation ultérieure de leurs œuvres après le transfert initial des incarnations originales de ces œuvres, et</w:t>
            </w:r>
          </w:p>
          <w:p w14:paraId="2100765E" w14:textId="07E2E8D2" w:rsidR="00C77D5B" w:rsidRPr="00B953FA" w:rsidRDefault="00C77D5B" w:rsidP="002D7EE2">
            <w:pPr>
              <w:keepNext/>
              <w:spacing w:after="120"/>
              <w:rPr>
                <w:sz w:val="20"/>
                <w:lang w:val="fr-FR"/>
              </w:rPr>
            </w:pPr>
            <w:r w:rsidRPr="00B953FA">
              <w:rPr>
                <w:i/>
                <w:sz w:val="20"/>
                <w:lang w:val="fr-FR"/>
              </w:rPr>
              <w:t xml:space="preserve">Reconnaissant en outre </w:t>
            </w:r>
            <w:r w:rsidRPr="00B953FA">
              <w:rPr>
                <w:sz w:val="20"/>
                <w:lang w:val="fr-FR"/>
              </w:rPr>
              <w:t>que cela désavantage matériellement les auteurs d</w:t>
            </w:r>
            <w:r w:rsidR="000A0979" w:rsidRPr="00B953FA">
              <w:rPr>
                <w:sz w:val="20"/>
                <w:lang w:val="fr-FR"/>
              </w:rPr>
              <w:t>’</w:t>
            </w:r>
            <w:r w:rsidRPr="00B953FA">
              <w:rPr>
                <w:sz w:val="20"/>
                <w:lang w:val="fr-FR"/>
              </w:rPr>
              <w:t>œuvres d</w:t>
            </w:r>
            <w:r w:rsidR="000A0979" w:rsidRPr="00B953FA">
              <w:rPr>
                <w:sz w:val="20"/>
                <w:lang w:val="fr-FR"/>
              </w:rPr>
              <w:t>’</w:t>
            </w:r>
            <w:r w:rsidRPr="00B953FA">
              <w:rPr>
                <w:sz w:val="20"/>
                <w:lang w:val="fr-FR"/>
              </w:rPr>
              <w:t>art [et manuscrits] originaux par rapport à d</w:t>
            </w:r>
            <w:r w:rsidR="000A0979" w:rsidRPr="00B953FA">
              <w:rPr>
                <w:sz w:val="20"/>
                <w:lang w:val="fr-FR"/>
              </w:rPr>
              <w:t>’</w:t>
            </w:r>
            <w:r w:rsidRPr="00B953FA">
              <w:rPr>
                <w:sz w:val="20"/>
                <w:lang w:val="fr-FR"/>
              </w:rPr>
              <w:t>autres auteurs dont les œuvres sont plus facilement exploitées par le biais des droits de reproduction, d</w:t>
            </w:r>
            <w:r w:rsidR="000A0979" w:rsidRPr="00B953FA">
              <w:rPr>
                <w:sz w:val="20"/>
                <w:lang w:val="fr-FR"/>
              </w:rPr>
              <w:t>’</w:t>
            </w:r>
            <w:r w:rsidRPr="00B953FA">
              <w:rPr>
                <w:sz w:val="20"/>
                <w:lang w:val="fr-FR"/>
              </w:rPr>
              <w:t>adaptation et de communication publique, et</w:t>
            </w:r>
          </w:p>
          <w:p w14:paraId="29C9AFF1" w14:textId="292B68FF" w:rsidR="00C77D5B" w:rsidRPr="00B953FA" w:rsidRDefault="00C77D5B" w:rsidP="002D7EE2">
            <w:pPr>
              <w:keepNext/>
              <w:spacing w:after="120"/>
              <w:rPr>
                <w:bCs/>
                <w:sz w:val="20"/>
                <w:lang w:val="fr-FR"/>
              </w:rPr>
            </w:pPr>
            <w:r w:rsidRPr="00B953FA">
              <w:rPr>
                <w:i/>
                <w:sz w:val="20"/>
                <w:lang w:val="fr-FR"/>
              </w:rPr>
              <w:t xml:space="preserve">Reconnaissant en outre </w:t>
            </w:r>
            <w:r w:rsidRPr="00B953FA">
              <w:rPr>
                <w:sz w:val="20"/>
                <w:lang w:val="fr-FR"/>
              </w:rPr>
              <w:t>que le droit des auteurs d</w:t>
            </w:r>
            <w:r w:rsidR="000A0979" w:rsidRPr="00B953FA">
              <w:rPr>
                <w:sz w:val="20"/>
                <w:lang w:val="fr-FR"/>
              </w:rPr>
              <w:t>’</w:t>
            </w:r>
            <w:r w:rsidRPr="00B953FA">
              <w:rPr>
                <w:sz w:val="20"/>
                <w:lang w:val="fr-FR"/>
              </w:rPr>
              <w:t>œuvres d</w:t>
            </w:r>
            <w:r w:rsidR="000A0979" w:rsidRPr="00B953FA">
              <w:rPr>
                <w:sz w:val="20"/>
                <w:lang w:val="fr-FR"/>
              </w:rPr>
              <w:t>’</w:t>
            </w:r>
            <w:r w:rsidRPr="00B953FA">
              <w:rPr>
                <w:sz w:val="20"/>
                <w:lang w:val="fr-FR"/>
              </w:rPr>
              <w:t xml:space="preserve">art originales </w:t>
            </w:r>
            <w:r w:rsidR="00D14B52" w:rsidRPr="00B953FA">
              <w:rPr>
                <w:sz w:val="20"/>
                <w:lang w:val="fr-FR"/>
              </w:rPr>
              <w:t>[</w:t>
            </w:r>
            <w:r w:rsidRPr="00B953FA">
              <w:rPr>
                <w:sz w:val="20"/>
                <w:lang w:val="fr-FR"/>
              </w:rPr>
              <w:t>et de manuscrits originaux d</w:t>
            </w:r>
            <w:r w:rsidR="000A0979" w:rsidRPr="00B953FA">
              <w:rPr>
                <w:sz w:val="20"/>
                <w:lang w:val="fr-FR"/>
              </w:rPr>
              <w:t>’</w:t>
            </w:r>
            <w:r w:rsidRPr="00B953FA">
              <w:rPr>
                <w:sz w:val="20"/>
                <w:lang w:val="fr-FR"/>
              </w:rPr>
              <w:t>écrivains et de compositeurs</w:t>
            </w:r>
            <w:r w:rsidR="00D14B52" w:rsidRPr="00B953FA">
              <w:rPr>
                <w:bCs/>
                <w:sz w:val="20"/>
                <w:lang w:val="fr-FR"/>
              </w:rPr>
              <w:t xml:space="preserve">] </w:t>
            </w:r>
            <w:r w:rsidRPr="00B953FA">
              <w:rPr>
                <w:sz w:val="20"/>
                <w:lang w:val="fr-FR"/>
              </w:rPr>
              <w:t>à un intérêt dans toute vente de l</w:t>
            </w:r>
            <w:r w:rsidR="000A0979" w:rsidRPr="00B953FA">
              <w:rPr>
                <w:sz w:val="20"/>
                <w:lang w:val="fr-FR"/>
              </w:rPr>
              <w:t>’</w:t>
            </w:r>
            <w:r w:rsidRPr="00B953FA">
              <w:rPr>
                <w:sz w:val="20"/>
                <w:lang w:val="fr-FR"/>
              </w:rPr>
              <w:t>œuvre postérieure à la première cession par l</w:t>
            </w:r>
            <w:r w:rsidR="000A0979" w:rsidRPr="00B953FA">
              <w:rPr>
                <w:sz w:val="20"/>
                <w:lang w:val="fr-FR"/>
              </w:rPr>
              <w:t>’</w:t>
            </w:r>
            <w:r w:rsidRPr="00B953FA">
              <w:rPr>
                <w:sz w:val="20"/>
                <w:lang w:val="fr-FR"/>
              </w:rPr>
              <w:t>auteur de l</w:t>
            </w:r>
            <w:r w:rsidR="000A0979" w:rsidRPr="00B953FA">
              <w:rPr>
                <w:sz w:val="20"/>
                <w:lang w:val="fr-FR"/>
              </w:rPr>
              <w:t>’</w:t>
            </w:r>
            <w:r w:rsidRPr="00B953FA">
              <w:rPr>
                <w:sz w:val="20"/>
                <w:lang w:val="fr-FR"/>
              </w:rPr>
              <w:t>œuvre est déjà reconnu comme un droit d</w:t>
            </w:r>
            <w:r w:rsidR="000A0979" w:rsidRPr="00B953FA">
              <w:rPr>
                <w:sz w:val="20"/>
                <w:lang w:val="fr-FR"/>
              </w:rPr>
              <w:t>’</w:t>
            </w:r>
            <w:r w:rsidRPr="00B953FA">
              <w:rPr>
                <w:sz w:val="20"/>
                <w:lang w:val="fr-FR"/>
              </w:rPr>
              <w:t>auteur en vertu de l</w:t>
            </w:r>
            <w:r w:rsidR="000A0979" w:rsidRPr="00B953FA">
              <w:rPr>
                <w:sz w:val="20"/>
                <w:lang w:val="fr-FR"/>
              </w:rPr>
              <w:t>’</w:t>
            </w:r>
            <w:r w:rsidRPr="00B953FA">
              <w:rPr>
                <w:sz w:val="20"/>
                <w:lang w:val="fr-FR"/>
              </w:rPr>
              <w:t>article </w:t>
            </w:r>
            <w:r w:rsidRPr="00B953FA">
              <w:rPr>
                <w:i/>
                <w:sz w:val="20"/>
                <w:lang w:val="fr-FR"/>
              </w:rPr>
              <w:t xml:space="preserve">14ter </w:t>
            </w:r>
            <w:r w:rsidRPr="00B953FA">
              <w:rPr>
                <w:sz w:val="20"/>
                <w:lang w:val="fr-FR"/>
              </w:rPr>
              <w:t>de la Convention de Berne, mais à titre facultatif et sous réserve de réciprocité, et</w:t>
            </w:r>
          </w:p>
          <w:p w14:paraId="396F8871" w14:textId="0298EF2B" w:rsidR="00C77D5B" w:rsidRPr="00B953FA" w:rsidRDefault="00C77D5B" w:rsidP="002D7EE2">
            <w:pPr>
              <w:keepNext/>
              <w:spacing w:after="120"/>
              <w:rPr>
                <w:bCs/>
                <w:i/>
                <w:sz w:val="20"/>
                <w:lang w:val="fr-FR"/>
              </w:rPr>
            </w:pPr>
            <w:r w:rsidRPr="00B953FA">
              <w:rPr>
                <w:i/>
                <w:sz w:val="20"/>
                <w:lang w:val="fr-FR"/>
              </w:rPr>
              <w:t>Reconnaissant en outre</w:t>
            </w:r>
            <w:r w:rsidRPr="00B953FA">
              <w:rPr>
                <w:sz w:val="20"/>
                <w:lang w:val="fr-FR"/>
              </w:rPr>
              <w:t xml:space="preserve"> qu</w:t>
            </w:r>
            <w:r w:rsidR="000A0979" w:rsidRPr="00B953FA">
              <w:rPr>
                <w:sz w:val="20"/>
                <w:lang w:val="fr-FR"/>
              </w:rPr>
              <w:t>’</w:t>
            </w:r>
            <w:r w:rsidRPr="00B953FA">
              <w:rPr>
                <w:sz w:val="20"/>
                <w:lang w:val="fr-FR"/>
              </w:rPr>
              <w:t>un tel droit revêt une valeur en ce qui concerne les œuvres qui sont des expressions culturelles traditionnelles des communautés autochtones,</w:t>
            </w:r>
          </w:p>
          <w:p w14:paraId="06D2335E" w14:textId="55889725" w:rsidR="00C77D5B" w:rsidRPr="00B953FA" w:rsidRDefault="00C77D5B" w:rsidP="002D7EE2">
            <w:pPr>
              <w:keepLines/>
              <w:spacing w:after="120"/>
              <w:rPr>
                <w:sz w:val="20"/>
                <w:lang w:val="fr-FR"/>
              </w:rPr>
            </w:pPr>
            <w:r w:rsidRPr="00B953FA">
              <w:rPr>
                <w:sz w:val="20"/>
                <w:lang w:val="fr-FR"/>
              </w:rPr>
              <w:t>Édicte la présente loi avec les objectifs suivants</w:t>
            </w:r>
            <w:r w:rsidR="000A0979" w:rsidRPr="00B953FA">
              <w:rPr>
                <w:sz w:val="20"/>
                <w:lang w:val="fr-FR"/>
              </w:rPr>
              <w:t> :</w:t>
            </w:r>
          </w:p>
          <w:p w14:paraId="4909483B" w14:textId="0AE1A194" w:rsidR="00C77D5B" w:rsidRPr="00B953FA" w:rsidRDefault="00C77D5B" w:rsidP="002D7EE2">
            <w:pPr>
              <w:keepLines/>
              <w:numPr>
                <w:ilvl w:val="0"/>
                <w:numId w:val="19"/>
              </w:numPr>
              <w:spacing w:after="120"/>
              <w:rPr>
                <w:bCs/>
                <w:sz w:val="20"/>
                <w:lang w:val="fr-FR"/>
              </w:rPr>
            </w:pPr>
            <w:proofErr w:type="gramStart"/>
            <w:r w:rsidRPr="00B953FA">
              <w:rPr>
                <w:sz w:val="20"/>
                <w:lang w:val="fr-FR"/>
              </w:rPr>
              <w:t>développer</w:t>
            </w:r>
            <w:proofErr w:type="gramEnd"/>
            <w:r w:rsidRPr="00B953FA">
              <w:rPr>
                <w:sz w:val="20"/>
                <w:lang w:val="fr-FR"/>
              </w:rPr>
              <w:t xml:space="preserve"> et maintenir la protection des droits de tous les auteurs sur leurs œuvres littéraires et artistiques d</w:t>
            </w:r>
            <w:r w:rsidR="000A0979" w:rsidRPr="00B953FA">
              <w:rPr>
                <w:sz w:val="20"/>
                <w:lang w:val="fr-FR"/>
              </w:rPr>
              <w:t>’</w:t>
            </w:r>
            <w:r w:rsidRPr="00B953FA">
              <w:rPr>
                <w:sz w:val="20"/>
                <w:lang w:val="fr-FR"/>
              </w:rPr>
              <w:t xml:space="preserve">une manière aussi efficace et uniforme que possible; </w:t>
            </w:r>
            <w:r w:rsidR="00FB6E84" w:rsidRPr="00B953FA">
              <w:rPr>
                <w:sz w:val="20"/>
                <w:lang w:val="fr-FR"/>
              </w:rPr>
              <w:t xml:space="preserve"> </w:t>
            </w:r>
            <w:r w:rsidRPr="00B953FA">
              <w:rPr>
                <w:sz w:val="20"/>
                <w:lang w:val="fr-FR"/>
              </w:rPr>
              <w:t>et</w:t>
            </w:r>
          </w:p>
          <w:p w14:paraId="0424EA49" w14:textId="73EE0CB1" w:rsidR="00C77D5B" w:rsidRPr="00B953FA" w:rsidRDefault="00C77D5B" w:rsidP="002D7EE2">
            <w:pPr>
              <w:keepNext/>
              <w:numPr>
                <w:ilvl w:val="0"/>
                <w:numId w:val="19"/>
              </w:numPr>
              <w:spacing w:after="120"/>
              <w:rPr>
                <w:sz w:val="20"/>
                <w:u w:val="single"/>
                <w:lang w:val="fr-FR"/>
              </w:rPr>
            </w:pPr>
            <w:proofErr w:type="gramStart"/>
            <w:r w:rsidRPr="00B953FA">
              <w:rPr>
                <w:sz w:val="20"/>
                <w:lang w:val="fr-FR"/>
              </w:rPr>
              <w:t>établir</w:t>
            </w:r>
            <w:proofErr w:type="gramEnd"/>
            <w:r w:rsidRPr="00B953FA">
              <w:rPr>
                <w:sz w:val="20"/>
                <w:lang w:val="fr-FR"/>
              </w:rPr>
              <w:t xml:space="preserve"> pleinement dans le droit national le droit exclusif et inaliénable des auteurs d</w:t>
            </w:r>
            <w:r w:rsidR="000A0979" w:rsidRPr="00B953FA">
              <w:rPr>
                <w:sz w:val="20"/>
                <w:lang w:val="fr-FR"/>
              </w:rPr>
              <w:t>’</w:t>
            </w:r>
            <w:r w:rsidRPr="00B953FA">
              <w:rPr>
                <w:sz w:val="20"/>
                <w:lang w:val="fr-FR"/>
              </w:rPr>
              <w:t>œuvres d</w:t>
            </w:r>
            <w:r w:rsidR="000A0979" w:rsidRPr="00B953FA">
              <w:rPr>
                <w:sz w:val="20"/>
                <w:lang w:val="fr-FR"/>
              </w:rPr>
              <w:t>’</w:t>
            </w:r>
            <w:r w:rsidRPr="00B953FA">
              <w:rPr>
                <w:sz w:val="20"/>
                <w:lang w:val="fr-FR"/>
              </w:rPr>
              <w:t>art originales [et de manuscrits] à un droit de suite, appelé droit de suite de l</w:t>
            </w:r>
            <w:r w:rsidR="000A0979" w:rsidRPr="00B953FA">
              <w:rPr>
                <w:sz w:val="20"/>
                <w:lang w:val="fr-FR"/>
              </w:rPr>
              <w:t>’</w:t>
            </w:r>
            <w:r w:rsidRPr="00B953FA">
              <w:rPr>
                <w:sz w:val="20"/>
                <w:lang w:val="fr-FR"/>
              </w:rPr>
              <w:t>auteur (droit de suite des artistes) en ce qui concerne le produit de la revente de ces œuvres d</w:t>
            </w:r>
            <w:r w:rsidR="000A0979" w:rsidRPr="00B953FA">
              <w:rPr>
                <w:sz w:val="20"/>
                <w:lang w:val="fr-FR"/>
              </w:rPr>
              <w:t>’</w:t>
            </w:r>
            <w:r w:rsidRPr="00B953FA">
              <w:rPr>
                <w:sz w:val="20"/>
                <w:lang w:val="fr-FR"/>
              </w:rPr>
              <w:t xml:space="preserve">art </w:t>
            </w:r>
            <w:r w:rsidRPr="00B953FA">
              <w:rPr>
                <w:sz w:val="20"/>
                <w:lang w:val="fr-FR"/>
              </w:rPr>
              <w:lastRenderedPageBreak/>
              <w:t>originales [et manuscrits] qui se produisent après le premier transfert de propriété de ces œuvres [et manuscrits].</w:t>
            </w:r>
          </w:p>
        </w:tc>
        <w:tc>
          <w:tcPr>
            <w:tcW w:w="3486" w:type="dxa"/>
          </w:tcPr>
          <w:p w14:paraId="173CA6BF" w14:textId="0AE4B180" w:rsidR="00C77D5B" w:rsidRPr="00B953FA" w:rsidRDefault="00C77D5B" w:rsidP="00EF001E">
            <w:pPr>
              <w:keepNext/>
              <w:numPr>
                <w:ilvl w:val="0"/>
                <w:numId w:val="16"/>
              </w:numPr>
              <w:spacing w:before="60" w:after="220"/>
              <w:rPr>
                <w:sz w:val="20"/>
                <w:lang w:val="fr-FR"/>
              </w:rPr>
            </w:pPr>
            <w:r w:rsidRPr="00B953FA">
              <w:rPr>
                <w:sz w:val="20"/>
                <w:lang w:val="fr-FR"/>
              </w:rPr>
              <w:lastRenderedPageBreak/>
              <w:t>Cette déclaration place le droit de suite des artistes proposé carrément dans le contexte du droit d</w:t>
            </w:r>
            <w:r w:rsidR="000A0979" w:rsidRPr="00B953FA">
              <w:rPr>
                <w:sz w:val="20"/>
                <w:lang w:val="fr-FR"/>
              </w:rPr>
              <w:t>’</w:t>
            </w:r>
            <w:r w:rsidRPr="00B953FA">
              <w:rPr>
                <w:sz w:val="20"/>
                <w:lang w:val="fr-FR"/>
              </w:rPr>
              <w:t>auteur et donc carrément dans le cadre de la Convention de Berne, la première convention sur les droits des auteurs.</w:t>
            </w:r>
          </w:p>
          <w:p w14:paraId="0CD5B805" w14:textId="4C09862B" w:rsidR="00C77D5B" w:rsidRPr="00B953FA" w:rsidRDefault="00C77D5B" w:rsidP="002D7EE2">
            <w:pPr>
              <w:keepNext/>
              <w:numPr>
                <w:ilvl w:val="0"/>
                <w:numId w:val="16"/>
              </w:numPr>
              <w:spacing w:after="220"/>
              <w:rPr>
                <w:sz w:val="20"/>
                <w:lang w:val="fr-FR"/>
              </w:rPr>
            </w:pPr>
            <w:r w:rsidRPr="00B953FA">
              <w:rPr>
                <w:sz w:val="20"/>
                <w:lang w:val="fr-FR"/>
              </w:rPr>
              <w:t>Elle postule que le droit de suite proposé est un droit économique plutôt que moral, et que sa principale justification réside dans sa capacité à rétablir l</w:t>
            </w:r>
            <w:r w:rsidR="000A0979" w:rsidRPr="00B953FA">
              <w:rPr>
                <w:sz w:val="20"/>
                <w:lang w:val="fr-FR"/>
              </w:rPr>
              <w:t>’</w:t>
            </w:r>
            <w:r w:rsidRPr="00B953FA">
              <w:rPr>
                <w:sz w:val="20"/>
                <w:lang w:val="fr-FR"/>
              </w:rPr>
              <w:t>équilibre entre les artistes visuels et les autres catégories d</w:t>
            </w:r>
            <w:r w:rsidR="000A0979" w:rsidRPr="00B953FA">
              <w:rPr>
                <w:sz w:val="20"/>
                <w:lang w:val="fr-FR"/>
              </w:rPr>
              <w:t>’</w:t>
            </w:r>
            <w:r w:rsidRPr="00B953FA">
              <w:rPr>
                <w:sz w:val="20"/>
                <w:lang w:val="fr-FR"/>
              </w:rPr>
              <w:t>auteurs.</w:t>
            </w:r>
          </w:p>
          <w:p w14:paraId="7E0147FE" w14:textId="0365F8A6" w:rsidR="00C77D5B" w:rsidRPr="00B953FA" w:rsidRDefault="00C77D5B" w:rsidP="002D7EE2">
            <w:pPr>
              <w:keepNext/>
              <w:numPr>
                <w:ilvl w:val="0"/>
                <w:numId w:val="16"/>
              </w:numPr>
              <w:spacing w:after="220"/>
              <w:rPr>
                <w:sz w:val="20"/>
                <w:lang w:val="fr-FR"/>
              </w:rPr>
            </w:pPr>
            <w:r w:rsidRPr="00B953FA">
              <w:rPr>
                <w:sz w:val="20"/>
                <w:lang w:val="fr-FR"/>
              </w:rPr>
              <w:t>Elle souligne que le droit de suite des artistes proposé peut être d</w:t>
            </w:r>
            <w:r w:rsidR="000A0979" w:rsidRPr="00B953FA">
              <w:rPr>
                <w:sz w:val="20"/>
                <w:lang w:val="fr-FR"/>
              </w:rPr>
              <w:t>’</w:t>
            </w:r>
            <w:r w:rsidRPr="00B953FA">
              <w:rPr>
                <w:sz w:val="20"/>
                <w:lang w:val="fr-FR"/>
              </w:rPr>
              <w:t>une importance particulière pour les communautés autochtones dans le contexte des expressions culturelles traditionnelles.</w:t>
            </w:r>
          </w:p>
          <w:p w14:paraId="1233D39D" w14:textId="77777777" w:rsidR="00C77D5B" w:rsidRPr="00B953FA" w:rsidRDefault="00C77D5B" w:rsidP="002D7EE2">
            <w:pPr>
              <w:keepNext/>
              <w:numPr>
                <w:ilvl w:val="0"/>
                <w:numId w:val="16"/>
              </w:numPr>
              <w:spacing w:after="220"/>
              <w:rPr>
                <w:sz w:val="20"/>
                <w:u w:val="single"/>
                <w:lang w:val="fr-FR"/>
              </w:rPr>
            </w:pPr>
            <w:r w:rsidRPr="00B953FA">
              <w:rPr>
                <w:sz w:val="20"/>
                <w:lang w:val="fr-FR"/>
              </w:rPr>
              <w:t>Elle inclut les manuscrits originaux comme étant potentiellement le sujet du droit de suite proposé.</w:t>
            </w:r>
          </w:p>
        </w:tc>
      </w:tr>
    </w:tbl>
    <w:p w14:paraId="50BF42E2" w14:textId="77777777" w:rsidR="00C77D5B" w:rsidRPr="00B953FA" w:rsidRDefault="00C77D5B" w:rsidP="002D7EE2">
      <w:pPr>
        <w:pStyle w:val="Heading1"/>
        <w:rPr>
          <w:lang w:val="fr-FR"/>
        </w:rPr>
      </w:pPr>
      <w:r w:rsidRPr="00B953FA">
        <w:rPr>
          <w:lang w:val="fr-FR"/>
        </w:rPr>
        <w:t>Définition du droit de suite des artistes et autre terminologie</w:t>
      </w:r>
    </w:p>
    <w:p w14:paraId="5475C379" w14:textId="206FBBFB" w:rsidR="00C77D5B" w:rsidRPr="00B953FA" w:rsidRDefault="00C77D5B" w:rsidP="002D7EE2">
      <w:pPr>
        <w:pStyle w:val="ONUMFS"/>
        <w:keepLines/>
        <w:rPr>
          <w:lang w:val="fr-FR"/>
        </w:rPr>
      </w:pPr>
      <w:r w:rsidRPr="00B953FA">
        <w:rPr>
          <w:lang w:val="fr-FR"/>
        </w:rPr>
        <w:t>Il est utile dans tout régime législatif de commencer par une définition claire de la question couverte, en l</w:t>
      </w:r>
      <w:r w:rsidR="000A0979" w:rsidRPr="00B953FA">
        <w:rPr>
          <w:lang w:val="fr-FR"/>
        </w:rPr>
        <w:t>’</w:t>
      </w:r>
      <w:r w:rsidRPr="00B953FA">
        <w:rPr>
          <w:lang w:val="fr-FR"/>
        </w:rPr>
        <w:t>occurrence le droit de suite des artist</w:t>
      </w:r>
      <w:r w:rsidR="00B953FA" w:rsidRPr="00B953FA">
        <w:rPr>
          <w:lang w:val="fr-FR"/>
        </w:rPr>
        <w:t>es.  Le</w:t>
      </w:r>
      <w:r w:rsidRPr="00B953FA">
        <w:rPr>
          <w:lang w:val="fr-FR"/>
        </w:rPr>
        <w:t xml:space="preserve"> niveau de détail ici peut différer selon le style législatif et la tradition de chaque pays memb</w:t>
      </w:r>
      <w:r w:rsidR="00B953FA" w:rsidRPr="00B953FA">
        <w:rPr>
          <w:lang w:val="fr-FR"/>
        </w:rPr>
        <w:t>re.  Ce</w:t>
      </w:r>
      <w:r w:rsidRPr="00B953FA">
        <w:rPr>
          <w:lang w:val="fr-FR"/>
        </w:rPr>
        <w:t>rtaines dispositions figurant dans les lois existantes ou types définissent le droit et son champ d</w:t>
      </w:r>
      <w:r w:rsidR="000A0979" w:rsidRPr="00B953FA">
        <w:rPr>
          <w:lang w:val="fr-FR"/>
        </w:rPr>
        <w:t>’</w:t>
      </w:r>
      <w:r w:rsidRPr="00B953FA">
        <w:rPr>
          <w:lang w:val="fr-FR"/>
        </w:rPr>
        <w:t xml:space="preserve">application presque entièrement dans une seule disposition, par exemple la Directive CE et la </w:t>
      </w:r>
      <w:r w:rsidR="00041DF8">
        <w:rPr>
          <w:lang w:val="fr-FR"/>
        </w:rPr>
        <w:t>L</w:t>
      </w:r>
      <w:r w:rsidRPr="00B953FA">
        <w:rPr>
          <w:lang w:val="fr-FR"/>
        </w:rPr>
        <w:t xml:space="preserve">oi type de </w:t>
      </w:r>
      <w:proofErr w:type="gramStart"/>
      <w:r w:rsidRPr="00B953FA">
        <w:rPr>
          <w:lang w:val="fr-FR"/>
        </w:rPr>
        <w:t>l</w:t>
      </w:r>
      <w:r w:rsidR="000A0979" w:rsidRPr="00B953FA">
        <w:rPr>
          <w:lang w:val="fr-FR"/>
        </w:rPr>
        <w:t>’</w:t>
      </w:r>
      <w:r w:rsidRPr="00B953FA">
        <w:rPr>
          <w:lang w:val="fr-FR"/>
        </w:rPr>
        <w:t>OMPI;  d</w:t>
      </w:r>
      <w:r w:rsidR="000A0979" w:rsidRPr="00B953FA">
        <w:rPr>
          <w:lang w:val="fr-FR"/>
        </w:rPr>
        <w:t>’</w:t>
      </w:r>
      <w:r w:rsidRPr="00B953FA">
        <w:rPr>
          <w:lang w:val="fr-FR"/>
        </w:rPr>
        <w:t>autres</w:t>
      </w:r>
      <w:proofErr w:type="gramEnd"/>
      <w:r w:rsidRPr="00B953FA">
        <w:rPr>
          <w:lang w:val="fr-FR"/>
        </w:rPr>
        <w:t xml:space="preserve"> exigent une référence aux définitions contenues dans d</w:t>
      </w:r>
      <w:r w:rsidR="000A0979" w:rsidRPr="00B953FA">
        <w:rPr>
          <w:lang w:val="fr-FR"/>
        </w:rPr>
        <w:t>’</w:t>
      </w:r>
      <w:r w:rsidRPr="00B953FA">
        <w:rPr>
          <w:lang w:val="fr-FR"/>
        </w:rPr>
        <w:t>autres dispositions de leurs lois afin de préciser la portée du droit, par exemple comme dans la disposition australien</w:t>
      </w:r>
      <w:r w:rsidR="00B953FA" w:rsidRPr="00B953FA">
        <w:rPr>
          <w:lang w:val="fr-FR"/>
        </w:rPr>
        <w:t>ne.  D’a</w:t>
      </w:r>
      <w:r w:rsidRPr="00B953FA">
        <w:rPr>
          <w:lang w:val="fr-FR"/>
        </w:rPr>
        <w:t>utres encore, comme la loi française originelle de 1920 et celles qui lui ont succédé, contiennent plusieurs dispositions générales dans la législation principale qui sont ensuite précisées dans des décrets ou règlements d</w:t>
      </w:r>
      <w:r w:rsidR="000A0979" w:rsidRPr="00B953FA">
        <w:rPr>
          <w:lang w:val="fr-FR"/>
        </w:rPr>
        <w:t>’</w:t>
      </w:r>
      <w:r w:rsidRPr="00B953FA">
        <w:rPr>
          <w:lang w:val="fr-FR"/>
        </w:rPr>
        <w:t>application</w:t>
      </w:r>
      <w:r w:rsidRPr="00B953FA">
        <w:rPr>
          <w:vertAlign w:val="superscript"/>
          <w:lang w:val="fr-FR"/>
        </w:rPr>
        <w:footnoteReference w:id="32"/>
      </w:r>
      <w:r w:rsidRPr="00B953FA">
        <w:rPr>
          <w:lang w:val="fr-FR"/>
        </w:rPr>
        <w:t>.  Il n</w:t>
      </w:r>
      <w:r w:rsidR="000A0979" w:rsidRPr="00B953FA">
        <w:rPr>
          <w:lang w:val="fr-FR"/>
        </w:rPr>
        <w:t>’</w:t>
      </w:r>
      <w:r w:rsidRPr="00B953FA">
        <w:rPr>
          <w:lang w:val="fr-FR"/>
        </w:rPr>
        <w:t>y a pas ici de bonne ou de mauvaise approche</w:t>
      </w:r>
      <w:r w:rsidR="000A0979" w:rsidRPr="00B953FA">
        <w:rPr>
          <w:lang w:val="fr-FR"/>
        </w:rPr>
        <w:t> :</w:t>
      </w:r>
      <w:r w:rsidRPr="00B953FA">
        <w:rPr>
          <w:lang w:val="fr-FR"/>
        </w:rPr>
        <w:t xml:space="preserve"> les législateurs nationaux devraient procéder de la manière qui leur est la plus familière en termes de rédaction et de form</w:t>
      </w:r>
      <w:r w:rsidR="00B953FA" w:rsidRPr="00B953FA">
        <w:rPr>
          <w:lang w:val="fr-FR"/>
        </w:rPr>
        <w:t>at.  En</w:t>
      </w:r>
      <w:r w:rsidRPr="00B953FA">
        <w:rPr>
          <w:lang w:val="fr-FR"/>
        </w:rPr>
        <w:t xml:space="preserve"> outre, même les types de définitions les plus détaillés nécessiteront inévitablement des dispositions supplémentaires pour donner un contenu approprié à leurs régimes ou devront s</w:t>
      </w:r>
      <w:r w:rsidR="000A0979" w:rsidRPr="00B953FA">
        <w:rPr>
          <w:lang w:val="fr-FR"/>
        </w:rPr>
        <w:t>’</w:t>
      </w:r>
      <w:r w:rsidRPr="00B953FA">
        <w:rPr>
          <w:lang w:val="fr-FR"/>
        </w:rPr>
        <w:t>appuyer sur des interprétations judiciaires au sein de leurs systèmes judiciaires nationaux.</w:t>
      </w:r>
    </w:p>
    <w:p w14:paraId="44D8DDF6" w14:textId="34D592D1" w:rsidR="00C77D5B" w:rsidRPr="00B953FA" w:rsidRDefault="00C77D5B" w:rsidP="002D7EE2">
      <w:pPr>
        <w:pStyle w:val="ONUMFS"/>
        <w:keepNext/>
        <w:rPr>
          <w:lang w:val="fr-FR"/>
        </w:rPr>
      </w:pPr>
      <w:r w:rsidRPr="00B953FA">
        <w:rPr>
          <w:lang w:val="fr-FR"/>
        </w:rPr>
        <w:t>Un exemple de définition détaillée du droit de suite des artistes qui contient la majeure partie, mais pas la totalité, des principaux éléments du régime législatif est celui de l</w:t>
      </w:r>
      <w:r w:rsidR="000A0979" w:rsidRPr="00B953FA">
        <w:rPr>
          <w:lang w:val="fr-FR"/>
        </w:rPr>
        <w:t>’</w:t>
      </w:r>
      <w:r w:rsidRPr="00B953FA">
        <w:rPr>
          <w:lang w:val="fr-FR"/>
        </w:rPr>
        <w:t>article 1.1 de la Directive 2001/84/CE du Parlement européen et du Conseil du 27 septembre 2001 relative au droit de suite au profit de l</w:t>
      </w:r>
      <w:r w:rsidR="000A0979" w:rsidRPr="00B953FA">
        <w:rPr>
          <w:lang w:val="fr-FR"/>
        </w:rPr>
        <w:t>’</w:t>
      </w:r>
      <w:r w:rsidRPr="00B953FA">
        <w:rPr>
          <w:lang w:val="fr-FR"/>
        </w:rPr>
        <w:t>auteur d</w:t>
      </w:r>
      <w:r w:rsidR="000A0979" w:rsidRPr="00B953FA">
        <w:rPr>
          <w:lang w:val="fr-FR"/>
        </w:rPr>
        <w:t>’</w:t>
      </w:r>
      <w:r w:rsidRPr="00B953FA">
        <w:rPr>
          <w:lang w:val="fr-FR"/>
        </w:rPr>
        <w:t>une œuvre d</w:t>
      </w:r>
      <w:r w:rsidR="000A0979" w:rsidRPr="00B953FA">
        <w:rPr>
          <w:lang w:val="fr-FR"/>
        </w:rPr>
        <w:t>’</w:t>
      </w:r>
      <w:r w:rsidRPr="00B953FA">
        <w:rPr>
          <w:lang w:val="fr-FR"/>
        </w:rPr>
        <w:t>art originale (“Directive CE”).  Elle dispose que</w:t>
      </w:r>
      <w:r w:rsidR="000A0979" w:rsidRPr="00B953FA">
        <w:rPr>
          <w:lang w:val="fr-FR"/>
        </w:rPr>
        <w:t> :</w:t>
      </w:r>
    </w:p>
    <w:p w14:paraId="4EC7FA83" w14:textId="4582AD5A" w:rsidR="00C77D5B" w:rsidRPr="00B953FA" w:rsidRDefault="00C77D5B" w:rsidP="002D7EE2">
      <w:pPr>
        <w:pStyle w:val="ONUMFS"/>
        <w:numPr>
          <w:ilvl w:val="0"/>
          <w:numId w:val="0"/>
        </w:numPr>
        <w:ind w:left="567"/>
        <w:rPr>
          <w:iCs/>
          <w:sz w:val="20"/>
          <w:lang w:val="fr-FR"/>
        </w:rPr>
      </w:pPr>
      <w:r w:rsidRPr="00B953FA">
        <w:rPr>
          <w:iCs/>
          <w:sz w:val="20"/>
          <w:lang w:val="fr-FR"/>
        </w:rPr>
        <w:t>Les États membres prévoient, au profit de l</w:t>
      </w:r>
      <w:r w:rsidR="000A0979" w:rsidRPr="00B953FA">
        <w:rPr>
          <w:iCs/>
          <w:sz w:val="20"/>
          <w:lang w:val="fr-FR"/>
        </w:rPr>
        <w:t>’</w:t>
      </w:r>
      <w:r w:rsidRPr="00B953FA">
        <w:rPr>
          <w:iCs/>
          <w:sz w:val="20"/>
          <w:lang w:val="fr-FR"/>
        </w:rPr>
        <w:t>auteur d</w:t>
      </w:r>
      <w:r w:rsidR="000A0979" w:rsidRPr="00B953FA">
        <w:rPr>
          <w:iCs/>
          <w:sz w:val="20"/>
          <w:lang w:val="fr-FR"/>
        </w:rPr>
        <w:t>’</w:t>
      </w:r>
      <w:r w:rsidRPr="00B953FA">
        <w:rPr>
          <w:iCs/>
          <w:sz w:val="20"/>
          <w:lang w:val="fr-FR"/>
        </w:rPr>
        <w:t>une œuvre d</w:t>
      </w:r>
      <w:r w:rsidR="000A0979" w:rsidRPr="00B953FA">
        <w:rPr>
          <w:iCs/>
          <w:sz w:val="20"/>
          <w:lang w:val="fr-FR"/>
        </w:rPr>
        <w:t>’</w:t>
      </w:r>
      <w:r w:rsidRPr="00B953FA">
        <w:rPr>
          <w:iCs/>
          <w:sz w:val="20"/>
          <w:lang w:val="fr-FR"/>
        </w:rPr>
        <w:t>art originale, un droit de suite, défini comme un droit inaliénable, auquel il ne peut être renoncé, même par anticipation, à percevoir une redevance assise sur le prix de vente obtenu pour toute revente de l</w:t>
      </w:r>
      <w:r w:rsidR="000A0979" w:rsidRPr="00B953FA">
        <w:rPr>
          <w:iCs/>
          <w:sz w:val="20"/>
          <w:lang w:val="fr-FR"/>
        </w:rPr>
        <w:t>’</w:t>
      </w:r>
      <w:r w:rsidRPr="00B953FA">
        <w:rPr>
          <w:iCs/>
          <w:sz w:val="20"/>
          <w:lang w:val="fr-FR"/>
        </w:rPr>
        <w:t>œuvre, postérieure à la première cession de l</w:t>
      </w:r>
      <w:r w:rsidR="000A0979" w:rsidRPr="00B953FA">
        <w:rPr>
          <w:iCs/>
          <w:sz w:val="20"/>
          <w:lang w:val="fr-FR"/>
        </w:rPr>
        <w:t>’</w:t>
      </w:r>
      <w:r w:rsidRPr="00B953FA">
        <w:rPr>
          <w:iCs/>
          <w:sz w:val="20"/>
          <w:lang w:val="fr-FR"/>
        </w:rPr>
        <w:t>œuvre par l</w:t>
      </w:r>
      <w:r w:rsidR="000A0979" w:rsidRPr="00B953FA">
        <w:rPr>
          <w:iCs/>
          <w:sz w:val="20"/>
          <w:lang w:val="fr-FR"/>
        </w:rPr>
        <w:t>’</w:t>
      </w:r>
      <w:r w:rsidRPr="00B953FA">
        <w:rPr>
          <w:iCs/>
          <w:sz w:val="20"/>
          <w:lang w:val="fr-FR"/>
        </w:rPr>
        <w:t>auteur</w:t>
      </w:r>
      <w:r w:rsidRPr="00B953FA">
        <w:rPr>
          <w:iCs/>
          <w:sz w:val="20"/>
          <w:vertAlign w:val="superscript"/>
          <w:lang w:val="fr-FR"/>
        </w:rPr>
        <w:footnoteReference w:id="33"/>
      </w:r>
      <w:r w:rsidRPr="00B953FA">
        <w:rPr>
          <w:iCs/>
          <w:sz w:val="20"/>
          <w:lang w:val="fr-FR"/>
        </w:rPr>
        <w:t>.</w:t>
      </w:r>
    </w:p>
    <w:p w14:paraId="68E24CC1" w14:textId="6EFEDD97" w:rsidR="00C77D5B" w:rsidRPr="00B953FA" w:rsidRDefault="00C77D5B" w:rsidP="002D7EE2">
      <w:pPr>
        <w:pStyle w:val="ONUMFS"/>
        <w:rPr>
          <w:lang w:val="fr-FR"/>
        </w:rPr>
      </w:pPr>
      <w:r w:rsidRPr="00B953FA">
        <w:rPr>
          <w:lang w:val="fr-FR"/>
        </w:rPr>
        <w:t xml:space="preserve">La disposition contenue dans la </w:t>
      </w:r>
      <w:r w:rsidR="00041DF8">
        <w:rPr>
          <w:lang w:val="fr-FR"/>
        </w:rPr>
        <w:t>L</w:t>
      </w:r>
      <w:r w:rsidRPr="00B953FA">
        <w:rPr>
          <w:lang w:val="fr-FR"/>
        </w:rPr>
        <w:t>oi type de Tunis de l</w:t>
      </w:r>
      <w:r w:rsidR="000A0979" w:rsidRPr="00B953FA">
        <w:rPr>
          <w:lang w:val="fr-FR"/>
        </w:rPr>
        <w:t>’</w:t>
      </w:r>
      <w:r w:rsidRPr="00B953FA">
        <w:rPr>
          <w:lang w:val="fr-FR"/>
        </w:rPr>
        <w:t>OMPI sur le droit d</w:t>
      </w:r>
      <w:r w:rsidR="000A0979" w:rsidRPr="00B953FA">
        <w:rPr>
          <w:lang w:val="fr-FR"/>
        </w:rPr>
        <w:t>’</w:t>
      </w:r>
      <w:r w:rsidRPr="00B953FA">
        <w:rPr>
          <w:lang w:val="fr-FR"/>
        </w:rPr>
        <w:t>auteur à l</w:t>
      </w:r>
      <w:r w:rsidR="000A0979" w:rsidRPr="00B953FA">
        <w:rPr>
          <w:lang w:val="fr-FR"/>
        </w:rPr>
        <w:t>’</w:t>
      </w:r>
      <w:r w:rsidRPr="00B953FA">
        <w:rPr>
          <w:lang w:val="fr-FR"/>
        </w:rPr>
        <w:t>usage des pays en développement de 1976 (article 4</w:t>
      </w:r>
      <w:r w:rsidRPr="00B953FA">
        <w:rPr>
          <w:i/>
          <w:lang w:val="fr-FR"/>
        </w:rPr>
        <w:t>bis.</w:t>
      </w:r>
      <w:r w:rsidRPr="00B953FA">
        <w:rPr>
          <w:lang w:val="fr-FR"/>
        </w:rPr>
        <w:t>1)</w:t>
      </w:r>
      <w:r w:rsidR="00D14B52" w:rsidRPr="00B953FA">
        <w:rPr>
          <w:lang w:val="fr-FR"/>
        </w:rPr>
        <w:t>)</w:t>
      </w:r>
      <w:r w:rsidR="000A0979" w:rsidRPr="00B953FA">
        <w:rPr>
          <w:lang w:val="fr-FR"/>
        </w:rPr>
        <w:t> :</w:t>
      </w:r>
    </w:p>
    <w:p w14:paraId="4CA767CC" w14:textId="07DC3946" w:rsidR="00C77D5B" w:rsidRPr="00B953FA" w:rsidRDefault="00C77D5B" w:rsidP="002D7EE2">
      <w:pPr>
        <w:pStyle w:val="ONUMFS"/>
        <w:numPr>
          <w:ilvl w:val="0"/>
          <w:numId w:val="0"/>
        </w:numPr>
        <w:ind w:left="567"/>
        <w:rPr>
          <w:iCs/>
          <w:sz w:val="20"/>
          <w:lang w:val="fr-FR"/>
        </w:rPr>
      </w:pPr>
      <w:r w:rsidRPr="00B953FA">
        <w:rPr>
          <w:iCs/>
          <w:sz w:val="20"/>
          <w:lang w:val="fr-FR"/>
        </w:rPr>
        <w:t>Les auteurs d</w:t>
      </w:r>
      <w:r w:rsidR="000A0979" w:rsidRPr="00B953FA">
        <w:rPr>
          <w:iCs/>
          <w:sz w:val="20"/>
          <w:lang w:val="fr-FR"/>
        </w:rPr>
        <w:t>’</w:t>
      </w:r>
      <w:r w:rsidRPr="00B953FA">
        <w:rPr>
          <w:iCs/>
          <w:sz w:val="20"/>
          <w:lang w:val="fr-FR"/>
        </w:rPr>
        <w:t>œuvres graphiques et tridimensionnelles [et de manuscrits] ont, nonobstant toute cession de l</w:t>
      </w:r>
      <w:r w:rsidR="000A0979" w:rsidRPr="00B953FA">
        <w:rPr>
          <w:iCs/>
          <w:sz w:val="20"/>
          <w:lang w:val="fr-FR"/>
        </w:rPr>
        <w:t>’</w:t>
      </w:r>
      <w:r w:rsidRPr="00B953FA">
        <w:rPr>
          <w:iCs/>
          <w:sz w:val="20"/>
          <w:lang w:val="fr-FR"/>
        </w:rPr>
        <w:t>œuvre originale, un droit inaliénable de participation au produit de toute vente de cette œuvre [ou de ce manuscrit] faite aux enchères publiques ou par l</w:t>
      </w:r>
      <w:r w:rsidR="000A0979" w:rsidRPr="00B953FA">
        <w:rPr>
          <w:iCs/>
          <w:sz w:val="20"/>
          <w:lang w:val="fr-FR"/>
        </w:rPr>
        <w:t>’</w:t>
      </w:r>
      <w:r w:rsidRPr="00B953FA">
        <w:rPr>
          <w:iCs/>
          <w:sz w:val="20"/>
          <w:lang w:val="fr-FR"/>
        </w:rPr>
        <w:t>intermédiaire d</w:t>
      </w:r>
      <w:r w:rsidR="000A0979" w:rsidRPr="00B953FA">
        <w:rPr>
          <w:iCs/>
          <w:sz w:val="20"/>
          <w:lang w:val="fr-FR"/>
        </w:rPr>
        <w:t>’</w:t>
      </w:r>
      <w:r w:rsidRPr="00B953FA">
        <w:rPr>
          <w:iCs/>
          <w:sz w:val="20"/>
          <w:lang w:val="fr-FR"/>
        </w:rPr>
        <w:t>un commerçant, quelles que soient les modalités de l</w:t>
      </w:r>
      <w:r w:rsidR="000A0979" w:rsidRPr="00B953FA">
        <w:rPr>
          <w:iCs/>
          <w:sz w:val="20"/>
          <w:lang w:val="fr-FR"/>
        </w:rPr>
        <w:t>’</w:t>
      </w:r>
      <w:r w:rsidRPr="00B953FA">
        <w:rPr>
          <w:iCs/>
          <w:sz w:val="20"/>
          <w:lang w:val="fr-FR"/>
        </w:rPr>
        <w:t>opération réalisée par ce dernier.</w:t>
      </w:r>
    </w:p>
    <w:p w14:paraId="4D45D539" w14:textId="35C596F6" w:rsidR="00C77D5B" w:rsidRPr="00B953FA" w:rsidRDefault="00C77D5B" w:rsidP="002D7EE2">
      <w:pPr>
        <w:pStyle w:val="ONUMFS"/>
        <w:keepNext/>
        <w:rPr>
          <w:lang w:val="fr-FR"/>
        </w:rPr>
      </w:pPr>
      <w:r w:rsidRPr="00B953FA">
        <w:rPr>
          <w:lang w:val="fr-FR"/>
        </w:rPr>
        <w:lastRenderedPageBreak/>
        <w:t>Dans le même sens, la disposition de la loi guatémaltèque englobe la quasi</w:t>
      </w:r>
      <w:r w:rsidR="00FA1A0F">
        <w:rPr>
          <w:lang w:val="fr-FR"/>
        </w:rPr>
        <w:noBreakHyphen/>
      </w:r>
      <w:r w:rsidRPr="00B953FA">
        <w:rPr>
          <w:lang w:val="fr-FR"/>
        </w:rPr>
        <w:t>totalité des éléments du droit de suite des artistes dans une seule disposition</w:t>
      </w:r>
      <w:r w:rsidR="000A0979" w:rsidRPr="00B953FA">
        <w:rPr>
          <w:lang w:val="fr-FR"/>
        </w:rPr>
        <w:t> :</w:t>
      </w:r>
    </w:p>
    <w:p w14:paraId="0B11DCED" w14:textId="6D710813" w:rsidR="00C77D5B" w:rsidRPr="00B953FA" w:rsidRDefault="00C77D5B" w:rsidP="002D7EE2">
      <w:pPr>
        <w:pStyle w:val="ONUMFS"/>
        <w:numPr>
          <w:ilvl w:val="0"/>
          <w:numId w:val="0"/>
        </w:numPr>
        <w:ind w:left="567"/>
        <w:rPr>
          <w:iCs/>
          <w:sz w:val="20"/>
          <w:lang w:val="fr-FR"/>
        </w:rPr>
      </w:pPr>
      <w:r w:rsidRPr="00B953FA">
        <w:rPr>
          <w:iCs/>
          <w:sz w:val="20"/>
          <w:lang w:val="fr-FR"/>
        </w:rPr>
        <w:t>En cas de revente d</w:t>
      </w:r>
      <w:r w:rsidR="000A0979" w:rsidRPr="00B953FA">
        <w:rPr>
          <w:iCs/>
          <w:sz w:val="20"/>
          <w:lang w:val="fr-FR"/>
        </w:rPr>
        <w:t>’</w:t>
      </w:r>
      <w:r w:rsidRPr="00B953FA">
        <w:rPr>
          <w:iCs/>
          <w:sz w:val="20"/>
          <w:lang w:val="fr-FR"/>
        </w:rPr>
        <w:t>œuvres d</w:t>
      </w:r>
      <w:r w:rsidR="000A0979" w:rsidRPr="00B953FA">
        <w:rPr>
          <w:iCs/>
          <w:sz w:val="20"/>
          <w:lang w:val="fr-FR"/>
        </w:rPr>
        <w:t>’</w:t>
      </w:r>
      <w:r w:rsidRPr="00B953FA">
        <w:rPr>
          <w:iCs/>
          <w:sz w:val="20"/>
          <w:lang w:val="fr-FR"/>
        </w:rPr>
        <w:t>art originales, effectuée aux enchères publiques ou par l</w:t>
      </w:r>
      <w:r w:rsidR="000A0979" w:rsidRPr="00B953FA">
        <w:rPr>
          <w:iCs/>
          <w:sz w:val="20"/>
          <w:lang w:val="fr-FR"/>
        </w:rPr>
        <w:t>’</w:t>
      </w:r>
      <w:r w:rsidRPr="00B953FA">
        <w:rPr>
          <w:iCs/>
          <w:sz w:val="20"/>
          <w:lang w:val="fr-FR"/>
        </w:rPr>
        <w:t>intermédiaire d</w:t>
      </w:r>
      <w:r w:rsidR="000A0979" w:rsidRPr="00B953FA">
        <w:rPr>
          <w:iCs/>
          <w:sz w:val="20"/>
          <w:lang w:val="fr-FR"/>
        </w:rPr>
        <w:t>’</w:t>
      </w:r>
      <w:r w:rsidRPr="00B953FA">
        <w:rPr>
          <w:iCs/>
          <w:sz w:val="20"/>
          <w:lang w:val="fr-FR"/>
        </w:rPr>
        <w:t>un marchand professionnel d</w:t>
      </w:r>
      <w:r w:rsidR="000A0979" w:rsidRPr="00B953FA">
        <w:rPr>
          <w:iCs/>
          <w:sz w:val="20"/>
          <w:lang w:val="fr-FR"/>
        </w:rPr>
        <w:t>’</w:t>
      </w:r>
      <w:r w:rsidRPr="00B953FA">
        <w:rPr>
          <w:iCs/>
          <w:sz w:val="20"/>
          <w:lang w:val="fr-FR"/>
        </w:rPr>
        <w:t>œuvres d</w:t>
      </w:r>
      <w:r w:rsidR="000A0979" w:rsidRPr="00B953FA">
        <w:rPr>
          <w:iCs/>
          <w:sz w:val="20"/>
          <w:lang w:val="fr-FR"/>
        </w:rPr>
        <w:t>’</w:t>
      </w:r>
      <w:r w:rsidRPr="00B953FA">
        <w:rPr>
          <w:iCs/>
          <w:sz w:val="20"/>
          <w:lang w:val="fr-FR"/>
        </w:rPr>
        <w:t>art, l</w:t>
      </w:r>
      <w:r w:rsidR="000A0979" w:rsidRPr="00B953FA">
        <w:rPr>
          <w:iCs/>
          <w:sz w:val="20"/>
          <w:lang w:val="fr-FR"/>
        </w:rPr>
        <w:t>’</w:t>
      </w:r>
      <w:r w:rsidRPr="00B953FA">
        <w:rPr>
          <w:iCs/>
          <w:sz w:val="20"/>
          <w:lang w:val="fr-FR"/>
        </w:rPr>
        <w:t>auteur ou, le cas échéant, ses héritiers ou légataires, bénéficient du droit de facturer au vendeur dix pour cent (10%) du prix de la ven</w:t>
      </w:r>
      <w:r w:rsidR="00B953FA" w:rsidRPr="00B953FA">
        <w:rPr>
          <w:iCs/>
          <w:sz w:val="20"/>
          <w:lang w:val="fr-FR"/>
        </w:rPr>
        <w:t>te.  Ce</w:t>
      </w:r>
      <w:r w:rsidRPr="00B953FA">
        <w:rPr>
          <w:iCs/>
          <w:sz w:val="20"/>
          <w:lang w:val="fr-FR"/>
        </w:rPr>
        <w:t xml:space="preserve"> droit est perçu et réparti par une organisation de gestion collective, le cas échéant,</w:t>
      </w:r>
      <w:r w:rsidR="00D14B52" w:rsidRPr="00B953FA">
        <w:rPr>
          <w:iCs/>
          <w:sz w:val="20"/>
          <w:lang w:val="fr-FR"/>
        </w:rPr>
        <w:t xml:space="preserve"> …</w:t>
      </w:r>
      <w:r w:rsidRPr="00B953FA">
        <w:rPr>
          <w:iCs/>
          <w:sz w:val="20"/>
          <w:lang w:val="fr-FR"/>
        </w:rPr>
        <w:t xml:space="preserve"> à moins que les parties n</w:t>
      </w:r>
      <w:r w:rsidR="000A0979" w:rsidRPr="00B953FA">
        <w:rPr>
          <w:iCs/>
          <w:sz w:val="20"/>
          <w:lang w:val="fr-FR"/>
        </w:rPr>
        <w:t>’</w:t>
      </w:r>
      <w:r w:rsidRPr="00B953FA">
        <w:rPr>
          <w:iCs/>
          <w:sz w:val="20"/>
          <w:lang w:val="fr-FR"/>
        </w:rPr>
        <w:t>en conviennent autreme</w:t>
      </w:r>
      <w:r w:rsidR="00B953FA" w:rsidRPr="00B953FA">
        <w:rPr>
          <w:iCs/>
          <w:sz w:val="20"/>
          <w:lang w:val="fr-FR"/>
        </w:rPr>
        <w:t>nt.  Ce</w:t>
      </w:r>
      <w:r w:rsidRPr="00B953FA">
        <w:rPr>
          <w:iCs/>
          <w:sz w:val="20"/>
          <w:lang w:val="fr-FR"/>
        </w:rPr>
        <w:t>tte disposition s</w:t>
      </w:r>
      <w:r w:rsidR="000A0979" w:rsidRPr="00B953FA">
        <w:rPr>
          <w:iCs/>
          <w:sz w:val="20"/>
          <w:lang w:val="fr-FR"/>
        </w:rPr>
        <w:t>’</w:t>
      </w:r>
      <w:r w:rsidRPr="00B953FA">
        <w:rPr>
          <w:iCs/>
          <w:sz w:val="20"/>
          <w:lang w:val="fr-FR"/>
        </w:rPr>
        <w:t>applique également à la vente qui est faite des manuscrits originaux des auteurs ou compositeurs</w:t>
      </w:r>
      <w:r w:rsidRPr="00B953FA">
        <w:rPr>
          <w:iCs/>
          <w:sz w:val="20"/>
          <w:vertAlign w:val="superscript"/>
          <w:lang w:val="fr-FR"/>
        </w:rPr>
        <w:footnoteReference w:id="34"/>
      </w:r>
      <w:r w:rsidRPr="00B953FA">
        <w:rPr>
          <w:iCs/>
          <w:sz w:val="20"/>
          <w:lang w:val="fr-FR"/>
        </w:rPr>
        <w:t>.</w:t>
      </w:r>
    </w:p>
    <w:p w14:paraId="4755352E" w14:textId="6F14C245" w:rsidR="00C77D5B" w:rsidRPr="00B953FA" w:rsidRDefault="00C77D5B" w:rsidP="002D7EE2">
      <w:pPr>
        <w:pStyle w:val="ONUMFS"/>
        <w:keepNext/>
        <w:rPr>
          <w:lang w:val="fr-FR"/>
        </w:rPr>
      </w:pPr>
      <w:r w:rsidRPr="00B953FA">
        <w:rPr>
          <w:lang w:val="fr-FR"/>
        </w:rPr>
        <w:t>À l</w:t>
      </w:r>
      <w:r w:rsidR="000A0979" w:rsidRPr="00B953FA">
        <w:rPr>
          <w:lang w:val="fr-FR"/>
        </w:rPr>
        <w:t>’</w:t>
      </w:r>
      <w:r w:rsidRPr="00B953FA">
        <w:rPr>
          <w:lang w:val="fr-FR"/>
        </w:rPr>
        <w:t>autre extrémité de l</w:t>
      </w:r>
      <w:r w:rsidR="000A0979" w:rsidRPr="00B953FA">
        <w:rPr>
          <w:lang w:val="fr-FR"/>
        </w:rPr>
        <w:t>’</w:t>
      </w:r>
      <w:r w:rsidRPr="00B953FA">
        <w:rPr>
          <w:lang w:val="fr-FR"/>
        </w:rPr>
        <w:t>échelle se trouve la disposition australienne (</w:t>
      </w:r>
      <w:r w:rsidR="00041DF8">
        <w:rPr>
          <w:lang w:val="fr-FR"/>
        </w:rPr>
        <w:t>l</w:t>
      </w:r>
      <w:r w:rsidRPr="00B953FA">
        <w:rPr>
          <w:lang w:val="fr-FR"/>
        </w:rPr>
        <w:t>oi de 2009 sur le droit de suite pour les artistes visuels, article 6) qui impose de se référer à d</w:t>
      </w:r>
      <w:r w:rsidR="000A0979" w:rsidRPr="00B953FA">
        <w:rPr>
          <w:lang w:val="fr-FR"/>
        </w:rPr>
        <w:t>’</w:t>
      </w:r>
      <w:r w:rsidRPr="00B953FA">
        <w:rPr>
          <w:lang w:val="fr-FR"/>
        </w:rPr>
        <w:t>autres dispositions interprétatives</w:t>
      </w:r>
      <w:r w:rsidR="000A0979" w:rsidRPr="00B953FA">
        <w:rPr>
          <w:lang w:val="fr-FR"/>
        </w:rPr>
        <w:t> :</w:t>
      </w:r>
    </w:p>
    <w:p w14:paraId="2AE611AF" w14:textId="3430B297" w:rsidR="00C77D5B" w:rsidRPr="00B953FA" w:rsidRDefault="00C77D5B" w:rsidP="002D7EE2">
      <w:pPr>
        <w:pStyle w:val="ONUMFS"/>
        <w:numPr>
          <w:ilvl w:val="0"/>
          <w:numId w:val="0"/>
        </w:numPr>
        <w:ind w:left="567"/>
        <w:rPr>
          <w:iCs/>
          <w:sz w:val="20"/>
          <w:lang w:val="fr-FR"/>
        </w:rPr>
      </w:pPr>
      <w:r w:rsidRPr="00B953FA">
        <w:rPr>
          <w:iCs/>
          <w:sz w:val="20"/>
          <w:lang w:val="fr-FR"/>
        </w:rPr>
        <w:t>Le droit de suite est le droit de percevoir un droit de suite sur la revente commerciale d</w:t>
      </w:r>
      <w:r w:rsidR="000A0979" w:rsidRPr="00B953FA">
        <w:rPr>
          <w:iCs/>
          <w:sz w:val="20"/>
          <w:lang w:val="fr-FR"/>
        </w:rPr>
        <w:t>’</w:t>
      </w:r>
      <w:r w:rsidRPr="00B953FA">
        <w:rPr>
          <w:iCs/>
          <w:sz w:val="20"/>
          <w:lang w:val="fr-FR"/>
        </w:rPr>
        <w:t>une œuvre d</w:t>
      </w:r>
      <w:r w:rsidR="000A0979" w:rsidRPr="00B953FA">
        <w:rPr>
          <w:iCs/>
          <w:sz w:val="20"/>
          <w:lang w:val="fr-FR"/>
        </w:rPr>
        <w:t>’</w:t>
      </w:r>
      <w:r w:rsidRPr="00B953FA">
        <w:rPr>
          <w:iCs/>
          <w:sz w:val="20"/>
          <w:lang w:val="fr-FR"/>
        </w:rPr>
        <w:t>art.</w:t>
      </w:r>
    </w:p>
    <w:p w14:paraId="57413699" w14:textId="75EF3C4B" w:rsidR="00C77D5B" w:rsidRPr="00B953FA" w:rsidRDefault="00C77D5B" w:rsidP="002D7EE2">
      <w:pPr>
        <w:pStyle w:val="ONUMFS"/>
        <w:rPr>
          <w:lang w:val="fr-FR"/>
        </w:rPr>
      </w:pPr>
      <w:r w:rsidRPr="00B953FA">
        <w:rPr>
          <w:lang w:val="fr-FR"/>
        </w:rPr>
        <w:t>La disposition kényane revêt une forme similaire, mais plus large en ce sens qu</w:t>
      </w:r>
      <w:r w:rsidR="000A0979" w:rsidRPr="00B953FA">
        <w:rPr>
          <w:lang w:val="fr-FR"/>
        </w:rPr>
        <w:t>’</w:t>
      </w:r>
      <w:r w:rsidRPr="00B953FA">
        <w:rPr>
          <w:lang w:val="fr-FR"/>
        </w:rPr>
        <w:t>elle fait référence aux personnes ayant droit au droit de suite des artistes</w:t>
      </w:r>
      <w:r w:rsidR="000A0979" w:rsidRPr="00B953FA">
        <w:rPr>
          <w:lang w:val="fr-FR"/>
        </w:rPr>
        <w:t> :</w:t>
      </w:r>
    </w:p>
    <w:p w14:paraId="7BD8651E" w14:textId="0716DBF6" w:rsidR="00C77D5B" w:rsidRPr="00B953FA" w:rsidRDefault="00C77D5B" w:rsidP="002D7EE2">
      <w:pPr>
        <w:pStyle w:val="ONUMFS"/>
        <w:numPr>
          <w:ilvl w:val="0"/>
          <w:numId w:val="0"/>
        </w:numPr>
        <w:ind w:left="567"/>
        <w:rPr>
          <w:iCs/>
          <w:sz w:val="20"/>
          <w:lang w:val="fr-FR"/>
        </w:rPr>
      </w:pPr>
      <w:r w:rsidRPr="00B953FA">
        <w:rPr>
          <w:iCs/>
          <w:sz w:val="20"/>
          <w:lang w:val="fr-FR"/>
        </w:rPr>
        <w:t>Le “droit de suite” désigne le droit d</w:t>
      </w:r>
      <w:r w:rsidR="000A0979" w:rsidRPr="00B953FA">
        <w:rPr>
          <w:iCs/>
          <w:sz w:val="20"/>
          <w:lang w:val="fr-FR"/>
        </w:rPr>
        <w:t>’</w:t>
      </w:r>
      <w:r w:rsidRPr="00B953FA">
        <w:rPr>
          <w:iCs/>
          <w:sz w:val="20"/>
          <w:lang w:val="fr-FR"/>
        </w:rPr>
        <w:t>un artiste ou d</w:t>
      </w:r>
      <w:r w:rsidR="000A0979" w:rsidRPr="00B953FA">
        <w:rPr>
          <w:iCs/>
          <w:sz w:val="20"/>
          <w:lang w:val="fr-FR"/>
        </w:rPr>
        <w:t>’</w:t>
      </w:r>
      <w:r w:rsidRPr="00B953FA">
        <w:rPr>
          <w:iCs/>
          <w:sz w:val="20"/>
          <w:lang w:val="fr-FR"/>
        </w:rPr>
        <w:t>un groupe d</w:t>
      </w:r>
      <w:r w:rsidR="000A0979" w:rsidRPr="00B953FA">
        <w:rPr>
          <w:iCs/>
          <w:sz w:val="20"/>
          <w:lang w:val="fr-FR"/>
        </w:rPr>
        <w:t>’</w:t>
      </w:r>
      <w:r w:rsidRPr="00B953FA">
        <w:rPr>
          <w:iCs/>
          <w:sz w:val="20"/>
          <w:lang w:val="fr-FR"/>
        </w:rPr>
        <w:t>artistes ou de successeurs de recevoir un droit de suite sur la revente commerciale d</w:t>
      </w:r>
      <w:r w:rsidR="000A0979" w:rsidRPr="00B953FA">
        <w:rPr>
          <w:iCs/>
          <w:sz w:val="20"/>
          <w:lang w:val="fr-FR"/>
        </w:rPr>
        <w:t>’</w:t>
      </w:r>
      <w:r w:rsidRPr="00B953FA">
        <w:rPr>
          <w:iCs/>
          <w:sz w:val="20"/>
          <w:lang w:val="fr-FR"/>
        </w:rPr>
        <w:t>une œuvre d</w:t>
      </w:r>
      <w:r w:rsidR="000A0979" w:rsidRPr="00B953FA">
        <w:rPr>
          <w:iCs/>
          <w:sz w:val="20"/>
          <w:lang w:val="fr-FR"/>
        </w:rPr>
        <w:t>’</w:t>
      </w:r>
      <w:r w:rsidRPr="00B953FA">
        <w:rPr>
          <w:iCs/>
          <w:sz w:val="20"/>
          <w:lang w:val="fr-FR"/>
        </w:rPr>
        <w:t>art</w:t>
      </w:r>
      <w:r w:rsidRPr="00B953FA">
        <w:rPr>
          <w:iCs/>
          <w:sz w:val="20"/>
          <w:vertAlign w:val="superscript"/>
          <w:lang w:val="fr-FR"/>
        </w:rPr>
        <w:footnoteReference w:id="35"/>
      </w:r>
      <w:r w:rsidRPr="00B953FA">
        <w:rPr>
          <w:iCs/>
          <w:sz w:val="20"/>
          <w:lang w:val="fr-FR"/>
        </w:rPr>
        <w:t>.</w:t>
      </w:r>
    </w:p>
    <w:p w14:paraId="37AC326D" w14:textId="1829E32B" w:rsidR="00C77D5B" w:rsidRPr="00B953FA" w:rsidRDefault="00C77D5B" w:rsidP="002D7EE2">
      <w:pPr>
        <w:pStyle w:val="ONUMFS"/>
        <w:rPr>
          <w:lang w:val="fr-FR"/>
        </w:rPr>
      </w:pPr>
      <w:r w:rsidRPr="00B953FA">
        <w:rPr>
          <w:lang w:val="fr-FR"/>
        </w:rPr>
        <w:t>Du point de vue des bénéficiaires potentiels de tout régime de droit de suite des artistes, l</w:t>
      </w:r>
      <w:r w:rsidR="000A0979" w:rsidRPr="00B953FA">
        <w:rPr>
          <w:lang w:val="fr-FR"/>
        </w:rPr>
        <w:t>’</w:t>
      </w:r>
      <w:r w:rsidRPr="00B953FA">
        <w:rPr>
          <w:lang w:val="fr-FR"/>
        </w:rPr>
        <w:t>objectif le plus important de toute disposition définitionnelle réside dans le fait qu</w:t>
      </w:r>
      <w:r w:rsidR="000A0979" w:rsidRPr="00B953FA">
        <w:rPr>
          <w:lang w:val="fr-FR"/>
        </w:rPr>
        <w:t>’</w:t>
      </w:r>
      <w:r w:rsidRPr="00B953FA">
        <w:rPr>
          <w:lang w:val="fr-FR"/>
        </w:rPr>
        <w:t>elle met en évidence les aspects clés du droit, qui est le droit de percevoir une redevance sur chaque revente commerciale de l</w:t>
      </w:r>
      <w:r w:rsidR="000A0979" w:rsidRPr="00B953FA">
        <w:rPr>
          <w:lang w:val="fr-FR"/>
        </w:rPr>
        <w:t>’</w:t>
      </w:r>
      <w:r w:rsidRPr="00B953FA">
        <w:rPr>
          <w:lang w:val="fr-FR"/>
        </w:rPr>
        <w:t>œuvre après le premier transfert de propriété par l</w:t>
      </w:r>
      <w:r w:rsidR="000A0979" w:rsidRPr="00B953FA">
        <w:rPr>
          <w:lang w:val="fr-FR"/>
        </w:rPr>
        <w:t>’</w:t>
      </w:r>
      <w:r w:rsidRPr="00B953FA">
        <w:rPr>
          <w:lang w:val="fr-FR"/>
        </w:rPr>
        <w:t>auteur (artiste).</w:t>
      </w:r>
    </w:p>
    <w:p w14:paraId="64174342" w14:textId="3AB0F484" w:rsidR="00C77D5B" w:rsidRPr="00B953FA" w:rsidRDefault="00C77D5B" w:rsidP="002D7EE2">
      <w:pPr>
        <w:pStyle w:val="ONUMFS"/>
        <w:rPr>
          <w:lang w:val="fr-FR"/>
        </w:rPr>
      </w:pPr>
      <w:r w:rsidRPr="00B953FA">
        <w:rPr>
          <w:lang w:val="fr-FR"/>
        </w:rPr>
        <w:t>Les dispositions types suggérées sont les suivantes</w:t>
      </w:r>
      <w:r w:rsidR="000A0979" w:rsidRPr="00B953FA">
        <w:rPr>
          <w:lang w:val="fr-FR"/>
        </w:rPr>
        <w:t> :</w:t>
      </w:r>
    </w:p>
    <w:p w14:paraId="6B7C15A3" w14:textId="77777777" w:rsidR="00C77D5B" w:rsidRPr="00B953FA" w:rsidRDefault="00C77D5B" w:rsidP="002D7EE2">
      <w:pPr>
        <w:pStyle w:val="Heading2"/>
        <w:rPr>
          <w:lang w:val="fr-FR"/>
        </w:rPr>
      </w:pPr>
      <w:r w:rsidRPr="00B953FA">
        <w:rPr>
          <w:lang w:val="fr-FR"/>
        </w:rPr>
        <w:t>Tableau 2</w:t>
      </w:r>
    </w:p>
    <w:tbl>
      <w:tblPr>
        <w:tblStyle w:val="TableGrid"/>
        <w:tblW w:w="0" w:type="auto"/>
        <w:tblLook w:val="04A0" w:firstRow="1" w:lastRow="0" w:firstColumn="1" w:lastColumn="0" w:noHBand="0" w:noVBand="1"/>
      </w:tblPr>
      <w:tblGrid>
        <w:gridCol w:w="2122"/>
        <w:gridCol w:w="3884"/>
        <w:gridCol w:w="3004"/>
      </w:tblGrid>
      <w:tr w:rsidR="00C77D5B" w:rsidRPr="00B953FA" w14:paraId="1ED10F47" w14:textId="77777777" w:rsidTr="00E140CF">
        <w:tc>
          <w:tcPr>
            <w:tcW w:w="2122" w:type="dxa"/>
          </w:tcPr>
          <w:p w14:paraId="1257062E" w14:textId="77777777" w:rsidR="00C77D5B" w:rsidRPr="00B953FA" w:rsidRDefault="00C77D5B" w:rsidP="002D7EE2">
            <w:pPr>
              <w:spacing w:after="220"/>
              <w:rPr>
                <w:b/>
                <w:bCs/>
                <w:lang w:val="fr-FR"/>
              </w:rPr>
            </w:pPr>
            <w:r w:rsidRPr="00B953FA">
              <w:rPr>
                <w:b/>
                <w:lang w:val="fr-FR"/>
              </w:rPr>
              <w:t>Type de disposition</w:t>
            </w:r>
          </w:p>
        </w:tc>
        <w:tc>
          <w:tcPr>
            <w:tcW w:w="3884" w:type="dxa"/>
          </w:tcPr>
          <w:p w14:paraId="2F94BED8" w14:textId="77777777" w:rsidR="00C77D5B" w:rsidRPr="00B953FA" w:rsidRDefault="00C77D5B" w:rsidP="002D7EE2">
            <w:pPr>
              <w:spacing w:after="220"/>
              <w:rPr>
                <w:b/>
                <w:bCs/>
                <w:lang w:val="fr-FR"/>
              </w:rPr>
            </w:pPr>
            <w:r w:rsidRPr="00B953FA">
              <w:rPr>
                <w:b/>
                <w:lang w:val="fr-FR"/>
              </w:rPr>
              <w:t>Texte suggéré</w:t>
            </w:r>
          </w:p>
        </w:tc>
        <w:tc>
          <w:tcPr>
            <w:tcW w:w="3004" w:type="dxa"/>
          </w:tcPr>
          <w:p w14:paraId="786A3DC8" w14:textId="77777777" w:rsidR="00C77D5B" w:rsidRPr="00B953FA" w:rsidRDefault="00C77D5B" w:rsidP="002D7EE2">
            <w:pPr>
              <w:spacing w:after="220"/>
              <w:rPr>
                <w:b/>
                <w:bCs/>
                <w:lang w:val="fr-FR"/>
              </w:rPr>
            </w:pPr>
            <w:r w:rsidRPr="00B953FA">
              <w:rPr>
                <w:b/>
                <w:lang w:val="fr-FR"/>
              </w:rPr>
              <w:t>Observations</w:t>
            </w:r>
          </w:p>
        </w:tc>
      </w:tr>
      <w:tr w:rsidR="00C77D5B" w:rsidRPr="00B953FA" w14:paraId="4EAC2400" w14:textId="77777777" w:rsidTr="00E140CF">
        <w:tc>
          <w:tcPr>
            <w:tcW w:w="2122" w:type="dxa"/>
          </w:tcPr>
          <w:p w14:paraId="5543E6BE" w14:textId="34F6F6B9" w:rsidR="00C77D5B" w:rsidRPr="00B953FA" w:rsidRDefault="00C77D5B" w:rsidP="00E00356">
            <w:pPr>
              <w:spacing w:before="60" w:after="220"/>
              <w:rPr>
                <w:sz w:val="20"/>
                <w:lang w:val="fr-FR"/>
              </w:rPr>
            </w:pPr>
            <w:r w:rsidRPr="00B953FA">
              <w:rPr>
                <w:sz w:val="20"/>
                <w:lang w:val="fr-FR"/>
              </w:rPr>
              <w:t>Plus général</w:t>
            </w:r>
          </w:p>
        </w:tc>
        <w:tc>
          <w:tcPr>
            <w:tcW w:w="3884" w:type="dxa"/>
          </w:tcPr>
          <w:p w14:paraId="28F7D999" w14:textId="54DD6F4C" w:rsidR="00C77D5B" w:rsidRPr="00B953FA" w:rsidRDefault="00C77D5B" w:rsidP="00E00356">
            <w:pPr>
              <w:spacing w:before="60" w:after="220"/>
              <w:rPr>
                <w:sz w:val="20"/>
                <w:lang w:val="fr-FR"/>
              </w:rPr>
            </w:pPr>
            <w:r w:rsidRPr="00B953FA">
              <w:rPr>
                <w:sz w:val="20"/>
                <w:lang w:val="fr-FR"/>
              </w:rPr>
              <w:t>Le droit de suite de l</w:t>
            </w:r>
            <w:r w:rsidR="000A0979" w:rsidRPr="00B953FA">
              <w:rPr>
                <w:sz w:val="20"/>
                <w:lang w:val="fr-FR"/>
              </w:rPr>
              <w:t>’</w:t>
            </w:r>
            <w:r w:rsidRPr="00B953FA">
              <w:rPr>
                <w:sz w:val="20"/>
                <w:lang w:val="fr-FR"/>
              </w:rPr>
              <w:t>auteur ou droit de suite des artistes est le droit de recevoir une redevance sur la revente pour chaque revente commerciale d</w:t>
            </w:r>
            <w:r w:rsidR="000A0979" w:rsidRPr="00B953FA">
              <w:rPr>
                <w:sz w:val="20"/>
                <w:lang w:val="fr-FR"/>
              </w:rPr>
              <w:t>’</w:t>
            </w:r>
            <w:r w:rsidRPr="00B953FA">
              <w:rPr>
                <w:sz w:val="20"/>
                <w:lang w:val="fr-FR"/>
              </w:rPr>
              <w:t>une œuvre d</w:t>
            </w:r>
            <w:r w:rsidR="000A0979" w:rsidRPr="00B953FA">
              <w:rPr>
                <w:sz w:val="20"/>
                <w:lang w:val="fr-FR"/>
              </w:rPr>
              <w:t>’</w:t>
            </w:r>
            <w:r w:rsidRPr="00B953FA">
              <w:rPr>
                <w:sz w:val="20"/>
                <w:lang w:val="fr-FR"/>
              </w:rPr>
              <w:t>art originale [et d</w:t>
            </w:r>
            <w:r w:rsidR="000A0979" w:rsidRPr="00B953FA">
              <w:rPr>
                <w:sz w:val="20"/>
                <w:lang w:val="fr-FR"/>
              </w:rPr>
              <w:t>’</w:t>
            </w:r>
            <w:r w:rsidRPr="00B953FA">
              <w:rPr>
                <w:sz w:val="20"/>
                <w:lang w:val="fr-FR"/>
              </w:rPr>
              <w:t xml:space="preserve">un manuscrit] </w:t>
            </w:r>
            <w:proofErr w:type="gramStart"/>
            <w:r w:rsidRPr="00B953FA">
              <w:rPr>
                <w:sz w:val="20"/>
                <w:lang w:val="fr-FR"/>
              </w:rPr>
              <w:t>suite à</w:t>
            </w:r>
            <w:proofErr w:type="gramEnd"/>
            <w:r w:rsidRPr="00B953FA">
              <w:rPr>
                <w:sz w:val="20"/>
                <w:lang w:val="fr-FR"/>
              </w:rPr>
              <w:t xml:space="preserve"> sa première vente ou transfert de propriété par l</w:t>
            </w:r>
            <w:r w:rsidR="000A0979" w:rsidRPr="00B953FA">
              <w:rPr>
                <w:sz w:val="20"/>
                <w:lang w:val="fr-FR"/>
              </w:rPr>
              <w:t>’</w:t>
            </w:r>
            <w:r w:rsidRPr="00B953FA">
              <w:rPr>
                <w:sz w:val="20"/>
                <w:lang w:val="fr-FR"/>
              </w:rPr>
              <w:t>auteur</w:t>
            </w:r>
            <w:r w:rsidRPr="00B953FA">
              <w:rPr>
                <w:rStyle w:val="FootnoteReference"/>
                <w:sz w:val="20"/>
                <w:lang w:val="fr-FR"/>
              </w:rPr>
              <w:footnoteReference w:id="36"/>
            </w:r>
            <w:r w:rsidR="003A6F74" w:rsidRPr="00B953FA">
              <w:rPr>
                <w:sz w:val="20"/>
                <w:lang w:val="fr-FR"/>
              </w:rPr>
              <w:t>.</w:t>
            </w:r>
          </w:p>
        </w:tc>
        <w:tc>
          <w:tcPr>
            <w:tcW w:w="3004" w:type="dxa"/>
          </w:tcPr>
          <w:p w14:paraId="47637C80" w14:textId="6ACABA3C" w:rsidR="00C77D5B" w:rsidRPr="00B953FA" w:rsidRDefault="00C77D5B" w:rsidP="00E00356">
            <w:pPr>
              <w:spacing w:before="60" w:after="220"/>
              <w:rPr>
                <w:sz w:val="20"/>
                <w:lang w:val="fr-FR"/>
              </w:rPr>
            </w:pPr>
            <w:r w:rsidRPr="00B953FA">
              <w:rPr>
                <w:sz w:val="20"/>
                <w:lang w:val="fr-FR"/>
              </w:rPr>
              <w:t>Concis et clair, mais diverses expressions ici nécessiteront une définition plus approfondie, telles que “redevance sur la revente”, “revente commerciale”, ce que l</w:t>
            </w:r>
            <w:r w:rsidR="000A0979" w:rsidRPr="00B953FA">
              <w:rPr>
                <w:sz w:val="20"/>
                <w:lang w:val="fr-FR"/>
              </w:rPr>
              <w:t>’</w:t>
            </w:r>
            <w:r w:rsidRPr="00B953FA">
              <w:rPr>
                <w:sz w:val="20"/>
                <w:lang w:val="fr-FR"/>
              </w:rPr>
              <w:t>on entend par “œuvre d</w:t>
            </w:r>
            <w:r w:rsidR="000A0979" w:rsidRPr="00B953FA">
              <w:rPr>
                <w:sz w:val="20"/>
                <w:lang w:val="fr-FR"/>
              </w:rPr>
              <w:t>’</w:t>
            </w:r>
            <w:r w:rsidRPr="00B953FA">
              <w:rPr>
                <w:sz w:val="20"/>
                <w:lang w:val="fr-FR"/>
              </w:rPr>
              <w:t>art originale” et qui doit jouir du droit, et la nature du droit.</w:t>
            </w:r>
          </w:p>
        </w:tc>
      </w:tr>
      <w:tr w:rsidR="00C77D5B" w:rsidRPr="00B953FA" w14:paraId="5EAFBED8" w14:textId="77777777" w:rsidTr="00E140CF">
        <w:tc>
          <w:tcPr>
            <w:tcW w:w="2122" w:type="dxa"/>
          </w:tcPr>
          <w:p w14:paraId="3CEDE440" w14:textId="0163E6B6" w:rsidR="00C77D5B" w:rsidRPr="00B953FA" w:rsidRDefault="00C77D5B" w:rsidP="00E00356">
            <w:pPr>
              <w:spacing w:before="60" w:after="220"/>
              <w:rPr>
                <w:sz w:val="20"/>
                <w:lang w:val="fr-FR"/>
              </w:rPr>
            </w:pPr>
            <w:r w:rsidRPr="00B953FA">
              <w:rPr>
                <w:sz w:val="20"/>
                <w:lang w:val="fr-FR"/>
              </w:rPr>
              <w:lastRenderedPageBreak/>
              <w:t>Plus détaillé</w:t>
            </w:r>
          </w:p>
        </w:tc>
        <w:tc>
          <w:tcPr>
            <w:tcW w:w="3884" w:type="dxa"/>
          </w:tcPr>
          <w:p w14:paraId="0D5A3356" w14:textId="7D2A511A" w:rsidR="00C77D5B" w:rsidRPr="00B953FA" w:rsidRDefault="00C77D5B" w:rsidP="00E00356">
            <w:pPr>
              <w:spacing w:before="60" w:after="220"/>
              <w:rPr>
                <w:sz w:val="20"/>
                <w:lang w:val="fr-FR"/>
              </w:rPr>
            </w:pPr>
            <w:r w:rsidRPr="00B953FA">
              <w:rPr>
                <w:sz w:val="20"/>
                <w:lang w:val="fr-FR"/>
              </w:rPr>
              <w:t>44.</w:t>
            </w:r>
            <w:r w:rsidR="00FB6E84" w:rsidRPr="00B953FA">
              <w:rPr>
                <w:sz w:val="20"/>
                <w:lang w:val="fr-FR"/>
              </w:rPr>
              <w:t xml:space="preserve"> </w:t>
            </w:r>
            <w:r w:rsidRPr="00B953FA">
              <w:rPr>
                <w:sz w:val="20"/>
                <w:lang w:val="fr-FR"/>
              </w:rPr>
              <w:t xml:space="preserve"> Les auteur</w:t>
            </w:r>
            <w:r w:rsidR="00D53C0A" w:rsidRPr="00B953FA">
              <w:rPr>
                <w:sz w:val="20"/>
                <w:lang w:val="fr-FR"/>
              </w:rPr>
              <w:t>s</w:t>
            </w:r>
            <w:r w:rsidRPr="00B953FA">
              <w:rPr>
                <w:sz w:val="20"/>
                <w:lang w:val="fr-FR"/>
              </w:rPr>
              <w:t xml:space="preserve"> d</w:t>
            </w:r>
            <w:r w:rsidR="000A0979" w:rsidRPr="00B953FA">
              <w:rPr>
                <w:sz w:val="20"/>
                <w:lang w:val="fr-FR"/>
              </w:rPr>
              <w:t>’</w:t>
            </w:r>
            <w:r w:rsidRPr="00B953FA">
              <w:rPr>
                <w:sz w:val="20"/>
                <w:lang w:val="fr-FR"/>
              </w:rPr>
              <w:t>œuvres graphiques et tridimensionnelles ont, nonobstant toute cession de l</w:t>
            </w:r>
            <w:r w:rsidR="000A0979" w:rsidRPr="00B953FA">
              <w:rPr>
                <w:sz w:val="20"/>
                <w:lang w:val="fr-FR"/>
              </w:rPr>
              <w:t>’</w:t>
            </w:r>
            <w:r w:rsidRPr="00B953FA">
              <w:rPr>
                <w:sz w:val="20"/>
                <w:lang w:val="fr-FR"/>
              </w:rPr>
              <w:t>œuvre originale, un droit inaliénable de participation au produit de toute vente de cette œuvre faite aux enchères publiques ou par l</w:t>
            </w:r>
            <w:r w:rsidR="000A0979" w:rsidRPr="00B953FA">
              <w:rPr>
                <w:sz w:val="20"/>
                <w:lang w:val="fr-FR"/>
              </w:rPr>
              <w:t>’</w:t>
            </w:r>
            <w:r w:rsidRPr="00B953FA">
              <w:rPr>
                <w:sz w:val="20"/>
                <w:lang w:val="fr-FR"/>
              </w:rPr>
              <w:t>intermédiaire d</w:t>
            </w:r>
            <w:r w:rsidR="000A0979" w:rsidRPr="00B953FA">
              <w:rPr>
                <w:sz w:val="20"/>
                <w:lang w:val="fr-FR"/>
              </w:rPr>
              <w:t>’</w:t>
            </w:r>
            <w:r w:rsidRPr="00B953FA">
              <w:rPr>
                <w:sz w:val="20"/>
                <w:lang w:val="fr-FR"/>
              </w:rPr>
              <w:t>un commerçant, quelles que soient les modalités de l</w:t>
            </w:r>
            <w:r w:rsidR="000A0979" w:rsidRPr="00B953FA">
              <w:rPr>
                <w:sz w:val="20"/>
                <w:lang w:val="fr-FR"/>
              </w:rPr>
              <w:t>’</w:t>
            </w:r>
            <w:r w:rsidRPr="00B953FA">
              <w:rPr>
                <w:sz w:val="20"/>
                <w:lang w:val="fr-FR"/>
              </w:rPr>
              <w:t>opération réalisée par ce dernier</w:t>
            </w:r>
            <w:r w:rsidRPr="00B953FA">
              <w:rPr>
                <w:rStyle w:val="FootnoteReference"/>
                <w:rFonts w:eastAsia="Times New Roman"/>
                <w:sz w:val="20"/>
                <w:lang w:val="fr-FR" w:eastAsia="fr-CH"/>
              </w:rPr>
              <w:footnoteReference w:id="37"/>
            </w:r>
            <w:r w:rsidRPr="00B953FA">
              <w:rPr>
                <w:sz w:val="20"/>
                <w:lang w:val="fr-FR"/>
              </w:rPr>
              <w:t xml:space="preserve">. </w:t>
            </w:r>
            <w:r w:rsidR="00FB6E84" w:rsidRPr="00B953FA">
              <w:rPr>
                <w:sz w:val="20"/>
                <w:lang w:val="fr-FR"/>
              </w:rPr>
              <w:t xml:space="preserve"> </w:t>
            </w:r>
          </w:p>
        </w:tc>
        <w:tc>
          <w:tcPr>
            <w:tcW w:w="3004" w:type="dxa"/>
          </w:tcPr>
          <w:p w14:paraId="587013AD" w14:textId="49AF39F5" w:rsidR="00C77D5B" w:rsidRPr="00B953FA" w:rsidRDefault="00C77D5B" w:rsidP="00E00356">
            <w:pPr>
              <w:spacing w:before="60" w:after="220"/>
              <w:rPr>
                <w:sz w:val="20"/>
                <w:lang w:val="fr-FR"/>
              </w:rPr>
            </w:pPr>
            <w:r w:rsidRPr="00B953FA">
              <w:rPr>
                <w:sz w:val="20"/>
                <w:lang w:val="fr-FR"/>
              </w:rPr>
              <w:t>Cela met en évidence le caractère inaliénable du droit, qui doit le recevoir et quand il se manifeste, mais limite cette situation à certaines ventes (faites aux enchères publiques ou par l</w:t>
            </w:r>
            <w:r w:rsidR="000A0979" w:rsidRPr="00B953FA">
              <w:rPr>
                <w:sz w:val="20"/>
                <w:lang w:val="fr-FR"/>
              </w:rPr>
              <w:t>’</w:t>
            </w:r>
            <w:r w:rsidRPr="00B953FA">
              <w:rPr>
                <w:sz w:val="20"/>
                <w:lang w:val="fr-FR"/>
              </w:rPr>
              <w:t>intermédiaire d</w:t>
            </w:r>
            <w:r w:rsidR="000A0979" w:rsidRPr="00B953FA">
              <w:rPr>
                <w:sz w:val="20"/>
                <w:lang w:val="fr-FR"/>
              </w:rPr>
              <w:t>’</w:t>
            </w:r>
            <w:r w:rsidRPr="00B953FA">
              <w:rPr>
                <w:sz w:val="20"/>
                <w:lang w:val="fr-FR"/>
              </w:rPr>
              <w:t>un commerçant).</w:t>
            </w:r>
          </w:p>
        </w:tc>
      </w:tr>
      <w:tr w:rsidR="00C77D5B" w:rsidRPr="00B953FA" w14:paraId="37ED73BE" w14:textId="77777777" w:rsidTr="00E140CF">
        <w:tc>
          <w:tcPr>
            <w:tcW w:w="2122" w:type="dxa"/>
          </w:tcPr>
          <w:p w14:paraId="17394CFF" w14:textId="18340A41" w:rsidR="00C77D5B" w:rsidRPr="00B953FA" w:rsidRDefault="00C77D5B" w:rsidP="00E00356">
            <w:pPr>
              <w:spacing w:before="60" w:after="220"/>
              <w:rPr>
                <w:sz w:val="20"/>
                <w:lang w:val="fr-FR"/>
              </w:rPr>
            </w:pPr>
            <w:r w:rsidRPr="00B953FA">
              <w:rPr>
                <w:sz w:val="20"/>
                <w:lang w:val="fr-FR"/>
              </w:rPr>
              <w:t>Quelques définitions utiles (pour l</w:t>
            </w:r>
            <w:r w:rsidR="000A0979" w:rsidRPr="00B953FA">
              <w:rPr>
                <w:sz w:val="20"/>
                <w:lang w:val="fr-FR"/>
              </w:rPr>
              <w:t>’</w:t>
            </w:r>
            <w:r w:rsidRPr="00B953FA">
              <w:rPr>
                <w:sz w:val="20"/>
                <w:lang w:val="fr-FR"/>
              </w:rPr>
              <w:t>ensemble des régimes législatifs)</w:t>
            </w:r>
          </w:p>
        </w:tc>
        <w:tc>
          <w:tcPr>
            <w:tcW w:w="3884" w:type="dxa"/>
          </w:tcPr>
          <w:p w14:paraId="0C4B9507" w14:textId="2915CCB6" w:rsidR="00C77D5B" w:rsidRPr="00B953FA" w:rsidRDefault="00C77D5B" w:rsidP="00E00356">
            <w:pPr>
              <w:spacing w:before="60" w:after="120"/>
              <w:rPr>
                <w:sz w:val="20"/>
                <w:lang w:val="fr-FR"/>
              </w:rPr>
            </w:pPr>
            <w:r w:rsidRPr="00B953FA">
              <w:rPr>
                <w:sz w:val="20"/>
                <w:lang w:val="fr-FR"/>
              </w:rPr>
              <w:t>“Œuvre d</w:t>
            </w:r>
            <w:r w:rsidR="000A0979" w:rsidRPr="00B953FA">
              <w:rPr>
                <w:sz w:val="20"/>
                <w:lang w:val="fr-FR"/>
              </w:rPr>
              <w:t>’</w:t>
            </w:r>
            <w:r w:rsidRPr="00B953FA">
              <w:rPr>
                <w:sz w:val="20"/>
                <w:lang w:val="fr-FR"/>
              </w:rPr>
              <w:t>art”</w:t>
            </w:r>
          </w:p>
          <w:p w14:paraId="4AA0DE79" w14:textId="4AD51FAA" w:rsidR="00C77D5B" w:rsidRPr="00B953FA" w:rsidRDefault="00C77D5B" w:rsidP="002D7EE2">
            <w:pPr>
              <w:spacing w:after="60"/>
              <w:rPr>
                <w:sz w:val="20"/>
                <w:lang w:val="fr-FR"/>
              </w:rPr>
            </w:pPr>
            <w:r w:rsidRPr="00B953FA">
              <w:rPr>
                <w:sz w:val="20"/>
                <w:lang w:val="fr-FR"/>
              </w:rPr>
              <w:t>1) Une œuvre d</w:t>
            </w:r>
            <w:r w:rsidR="000A0979" w:rsidRPr="00B953FA">
              <w:rPr>
                <w:sz w:val="20"/>
                <w:lang w:val="fr-FR"/>
              </w:rPr>
              <w:t>’</w:t>
            </w:r>
            <w:r w:rsidRPr="00B953FA">
              <w:rPr>
                <w:sz w:val="20"/>
                <w:lang w:val="fr-FR"/>
              </w:rPr>
              <w:t>art est une œuvre originale d</w:t>
            </w:r>
            <w:r w:rsidR="000A0979" w:rsidRPr="00B953FA">
              <w:rPr>
                <w:sz w:val="20"/>
                <w:lang w:val="fr-FR"/>
              </w:rPr>
              <w:t>’</w:t>
            </w:r>
            <w:r w:rsidRPr="00B953FA">
              <w:rPr>
                <w:sz w:val="20"/>
                <w:lang w:val="fr-FR"/>
              </w:rPr>
              <w:t>art visuel qui est soit</w:t>
            </w:r>
            <w:r w:rsidR="000A0979" w:rsidRPr="00B953FA">
              <w:rPr>
                <w:sz w:val="20"/>
                <w:lang w:val="fr-FR"/>
              </w:rPr>
              <w:t> :</w:t>
            </w:r>
          </w:p>
          <w:p w14:paraId="188392E3" w14:textId="4FF627D3" w:rsidR="00C77D5B" w:rsidRPr="00B953FA" w:rsidRDefault="00C77D5B" w:rsidP="002D7EE2">
            <w:pPr>
              <w:spacing w:after="60"/>
              <w:rPr>
                <w:sz w:val="20"/>
                <w:lang w:val="fr-FR"/>
              </w:rPr>
            </w:pPr>
            <w:r w:rsidRPr="00B953FA">
              <w:rPr>
                <w:sz w:val="20"/>
                <w:lang w:val="fr-FR"/>
              </w:rPr>
              <w:t xml:space="preserve">a) créée par le ou les </w:t>
            </w:r>
            <w:proofErr w:type="gramStart"/>
            <w:r w:rsidRPr="00B953FA">
              <w:rPr>
                <w:sz w:val="20"/>
                <w:lang w:val="fr-FR"/>
              </w:rPr>
              <w:t xml:space="preserve">artistes; </w:t>
            </w:r>
            <w:r w:rsidR="00FB6E84" w:rsidRPr="00B953FA">
              <w:rPr>
                <w:sz w:val="20"/>
                <w:lang w:val="fr-FR"/>
              </w:rPr>
              <w:t xml:space="preserve"> </w:t>
            </w:r>
            <w:r w:rsidRPr="00B953FA">
              <w:rPr>
                <w:sz w:val="20"/>
                <w:lang w:val="fr-FR"/>
              </w:rPr>
              <w:t>ou</w:t>
            </w:r>
            <w:proofErr w:type="gramEnd"/>
          </w:p>
          <w:p w14:paraId="0AA6DA85" w14:textId="05677B57" w:rsidR="00C77D5B" w:rsidRPr="00B953FA" w:rsidRDefault="00C77D5B" w:rsidP="002D7EE2">
            <w:pPr>
              <w:spacing w:after="120"/>
              <w:rPr>
                <w:sz w:val="20"/>
                <w:lang w:val="fr-FR"/>
              </w:rPr>
            </w:pPr>
            <w:r w:rsidRPr="00B953FA">
              <w:rPr>
                <w:sz w:val="20"/>
                <w:lang w:val="fr-FR"/>
              </w:rPr>
              <w:t>b) produite sous l</w:t>
            </w:r>
            <w:r w:rsidR="000A0979" w:rsidRPr="00B953FA">
              <w:rPr>
                <w:sz w:val="20"/>
                <w:lang w:val="fr-FR"/>
              </w:rPr>
              <w:t>’</w:t>
            </w:r>
            <w:r w:rsidRPr="00B953FA">
              <w:rPr>
                <w:sz w:val="20"/>
                <w:lang w:val="fr-FR"/>
              </w:rPr>
              <w:t>autorité de l</w:t>
            </w:r>
            <w:r w:rsidR="000A0979" w:rsidRPr="00B953FA">
              <w:rPr>
                <w:sz w:val="20"/>
                <w:lang w:val="fr-FR"/>
              </w:rPr>
              <w:t>’</w:t>
            </w:r>
            <w:r w:rsidRPr="00B953FA">
              <w:rPr>
                <w:sz w:val="20"/>
                <w:lang w:val="fr-FR"/>
              </w:rPr>
              <w:t>artiste ou des artistes</w:t>
            </w:r>
            <w:r w:rsidRPr="00B953FA">
              <w:rPr>
                <w:rStyle w:val="FootnoteReference"/>
                <w:rFonts w:eastAsia="Times New Roman"/>
                <w:sz w:val="20"/>
                <w:lang w:val="fr-FR" w:eastAsia="fr-CH"/>
              </w:rPr>
              <w:footnoteReference w:id="38"/>
            </w:r>
            <w:r w:rsidRPr="00B953FA">
              <w:rPr>
                <w:sz w:val="20"/>
                <w:lang w:val="fr-FR"/>
              </w:rPr>
              <w:t>.</w:t>
            </w:r>
          </w:p>
          <w:p w14:paraId="5A58974D" w14:textId="77777777" w:rsidR="00F37154" w:rsidRPr="00B953FA" w:rsidRDefault="00C77D5B" w:rsidP="002D7EE2">
            <w:pPr>
              <w:spacing w:after="60"/>
              <w:rPr>
                <w:sz w:val="20"/>
                <w:lang w:val="fr-FR"/>
              </w:rPr>
            </w:pPr>
            <w:r w:rsidRPr="00B953FA">
              <w:rPr>
                <w:sz w:val="20"/>
                <w:lang w:val="fr-FR"/>
              </w:rPr>
              <w:t>“Auteur”, en relation avec</w:t>
            </w:r>
          </w:p>
          <w:p w14:paraId="7139259A" w14:textId="2C8C4A10" w:rsidR="00A87D6E" w:rsidRPr="00B953FA" w:rsidRDefault="00C77D5B" w:rsidP="002D7EE2">
            <w:pPr>
              <w:pStyle w:val="ListParagraph"/>
              <w:numPr>
                <w:ilvl w:val="1"/>
                <w:numId w:val="3"/>
              </w:numPr>
              <w:tabs>
                <w:tab w:val="clear" w:pos="1134"/>
                <w:tab w:val="num" w:pos="316"/>
              </w:tabs>
              <w:spacing w:before="0" w:after="120"/>
              <w:ind w:left="32"/>
              <w:jc w:val="left"/>
              <w:rPr>
                <w:sz w:val="20"/>
                <w:szCs w:val="20"/>
              </w:rPr>
            </w:pPr>
            <w:proofErr w:type="gramStart"/>
            <w:r w:rsidRPr="00B953FA">
              <w:rPr>
                <w:sz w:val="20"/>
                <w:szCs w:val="20"/>
              </w:rPr>
              <w:t>une</w:t>
            </w:r>
            <w:proofErr w:type="gramEnd"/>
            <w:r w:rsidRPr="00B953FA">
              <w:rPr>
                <w:sz w:val="20"/>
                <w:szCs w:val="20"/>
              </w:rPr>
              <w:t xml:space="preserve"> œuvre littéraire, musicale, dramatique ou artistique, désigne la personne qui, la première, fait ou crée l</w:t>
            </w:r>
            <w:r w:rsidR="000A0979" w:rsidRPr="00B953FA">
              <w:rPr>
                <w:sz w:val="20"/>
                <w:szCs w:val="20"/>
              </w:rPr>
              <w:t>’</w:t>
            </w:r>
            <w:r w:rsidRPr="00B953FA">
              <w:rPr>
                <w:sz w:val="20"/>
                <w:szCs w:val="20"/>
              </w:rPr>
              <w:t>œuvre</w:t>
            </w:r>
            <w:r w:rsidR="00A87D6E" w:rsidRPr="00B953FA">
              <w:rPr>
                <w:sz w:val="20"/>
                <w:szCs w:val="20"/>
              </w:rPr>
              <w:t>;</w:t>
            </w:r>
          </w:p>
          <w:p w14:paraId="01F86C3D" w14:textId="2C7CB46F" w:rsidR="00C77D5B" w:rsidRPr="00B953FA" w:rsidRDefault="00A87D6E" w:rsidP="002D7EE2">
            <w:pPr>
              <w:spacing w:after="120"/>
              <w:rPr>
                <w:sz w:val="20"/>
                <w:lang w:val="fr-FR"/>
              </w:rPr>
            </w:pPr>
            <w:r w:rsidRPr="00B953FA">
              <w:rPr>
                <w:sz w:val="20"/>
                <w:lang w:val="fr-FR"/>
              </w:rPr>
              <w:t>…</w:t>
            </w:r>
            <w:r w:rsidR="00C77D5B" w:rsidRPr="00B953FA">
              <w:rPr>
                <w:rStyle w:val="FootnoteReference"/>
                <w:sz w:val="20"/>
                <w:lang w:val="fr-FR"/>
              </w:rPr>
              <w:footnoteReference w:id="39"/>
            </w:r>
            <w:r w:rsidR="00C77D5B" w:rsidRPr="00B953FA">
              <w:rPr>
                <w:sz w:val="20"/>
                <w:lang w:val="fr-FR"/>
              </w:rPr>
              <w:t>.</w:t>
            </w:r>
          </w:p>
          <w:p w14:paraId="325D0FD1" w14:textId="6B711F15" w:rsidR="00C77D5B" w:rsidRPr="00B953FA" w:rsidRDefault="00C77D5B" w:rsidP="002D7EE2">
            <w:pPr>
              <w:pStyle w:val="ONUMFS"/>
              <w:numPr>
                <w:ilvl w:val="0"/>
                <w:numId w:val="0"/>
              </w:numPr>
              <w:spacing w:after="120"/>
              <w:rPr>
                <w:sz w:val="20"/>
                <w:lang w:val="fr-FR"/>
              </w:rPr>
            </w:pPr>
            <w:r w:rsidRPr="00B953FA">
              <w:rPr>
                <w:sz w:val="20"/>
                <w:lang w:val="fr-FR"/>
              </w:rPr>
              <w:t xml:space="preserve">Le </w:t>
            </w:r>
            <w:r w:rsidR="00F37154" w:rsidRPr="00B953FA">
              <w:rPr>
                <w:sz w:val="20"/>
                <w:lang w:val="fr-FR"/>
              </w:rPr>
              <w:t>“d</w:t>
            </w:r>
            <w:r w:rsidRPr="00B953FA">
              <w:rPr>
                <w:sz w:val="20"/>
                <w:lang w:val="fr-FR"/>
              </w:rPr>
              <w:t>roit de suite” désigne le droit d</w:t>
            </w:r>
            <w:r w:rsidR="000A0979" w:rsidRPr="00B953FA">
              <w:rPr>
                <w:sz w:val="20"/>
                <w:lang w:val="fr-FR"/>
              </w:rPr>
              <w:t>’</w:t>
            </w:r>
            <w:r w:rsidRPr="00B953FA">
              <w:rPr>
                <w:sz w:val="20"/>
                <w:lang w:val="fr-FR"/>
              </w:rPr>
              <w:t>un artiste ou d</w:t>
            </w:r>
            <w:r w:rsidR="000A0979" w:rsidRPr="00B953FA">
              <w:rPr>
                <w:sz w:val="20"/>
                <w:lang w:val="fr-FR"/>
              </w:rPr>
              <w:t>’</w:t>
            </w:r>
            <w:r w:rsidRPr="00B953FA">
              <w:rPr>
                <w:sz w:val="20"/>
                <w:lang w:val="fr-FR"/>
              </w:rPr>
              <w:t>un groupe d</w:t>
            </w:r>
            <w:r w:rsidR="000A0979" w:rsidRPr="00B953FA">
              <w:rPr>
                <w:sz w:val="20"/>
                <w:lang w:val="fr-FR"/>
              </w:rPr>
              <w:t>’</w:t>
            </w:r>
            <w:r w:rsidRPr="00B953FA">
              <w:rPr>
                <w:sz w:val="20"/>
                <w:lang w:val="fr-FR"/>
              </w:rPr>
              <w:t>artistes ou de successeurs de recevoir un droit de suite sur la revente commerciale d</w:t>
            </w:r>
            <w:r w:rsidR="000A0979" w:rsidRPr="00B953FA">
              <w:rPr>
                <w:sz w:val="20"/>
                <w:lang w:val="fr-FR"/>
              </w:rPr>
              <w:t>’</w:t>
            </w:r>
            <w:r w:rsidRPr="00B953FA">
              <w:rPr>
                <w:sz w:val="20"/>
                <w:lang w:val="fr-FR"/>
              </w:rPr>
              <w:t>une œuvre d</w:t>
            </w:r>
            <w:r w:rsidR="000A0979" w:rsidRPr="00B953FA">
              <w:rPr>
                <w:sz w:val="20"/>
                <w:lang w:val="fr-FR"/>
              </w:rPr>
              <w:t>’</w:t>
            </w:r>
            <w:r w:rsidRPr="00B953FA">
              <w:rPr>
                <w:sz w:val="20"/>
                <w:lang w:val="fr-FR"/>
              </w:rPr>
              <w:t>art</w:t>
            </w:r>
            <w:r w:rsidRPr="00B953FA">
              <w:rPr>
                <w:rStyle w:val="FootnoteReference"/>
                <w:rFonts w:eastAsia="Times New Roman"/>
                <w:color w:val="202020"/>
                <w:sz w:val="20"/>
                <w:lang w:val="fr-FR" w:eastAsia="fr-CH"/>
              </w:rPr>
              <w:footnoteReference w:id="40"/>
            </w:r>
            <w:r w:rsidR="00FB6E84" w:rsidRPr="00B953FA">
              <w:rPr>
                <w:rFonts w:eastAsia="Times New Roman"/>
                <w:color w:val="202020"/>
                <w:sz w:val="20"/>
                <w:lang w:val="fr-FR" w:eastAsia="fr-CH"/>
              </w:rPr>
              <w:t>;</w:t>
            </w:r>
          </w:p>
          <w:p w14:paraId="37348C7C" w14:textId="77777777" w:rsidR="00C77D5B" w:rsidRPr="00B953FA" w:rsidRDefault="00C77D5B" w:rsidP="002D7EE2">
            <w:pPr>
              <w:spacing w:after="120"/>
              <w:rPr>
                <w:sz w:val="20"/>
                <w:lang w:val="fr-FR"/>
              </w:rPr>
            </w:pPr>
            <w:r w:rsidRPr="00B953FA">
              <w:rPr>
                <w:sz w:val="20"/>
                <w:lang w:val="fr-FR"/>
              </w:rPr>
              <w:t>“Revente commerciale” – voir aussi les définitions suggérées dans le tableau 5.</w:t>
            </w:r>
          </w:p>
        </w:tc>
        <w:tc>
          <w:tcPr>
            <w:tcW w:w="3004" w:type="dxa"/>
          </w:tcPr>
          <w:p w14:paraId="5BE8CBD6" w14:textId="623C8CF3" w:rsidR="00E13C9C" w:rsidRPr="002D7EE2" w:rsidRDefault="00E13C9C" w:rsidP="00E00356">
            <w:pPr>
              <w:pStyle w:val="ListParagraph"/>
              <w:numPr>
                <w:ilvl w:val="0"/>
                <w:numId w:val="57"/>
              </w:numPr>
              <w:spacing w:before="60" w:after="120"/>
              <w:ind w:left="261" w:hanging="261"/>
              <w:contextualSpacing w:val="0"/>
              <w:rPr>
                <w:sz w:val="20"/>
              </w:rPr>
            </w:pPr>
            <w:r w:rsidRPr="002D7EE2">
              <w:rPr>
                <w:sz w:val="20"/>
              </w:rPr>
              <w:t>Le fait de disposer d</w:t>
            </w:r>
            <w:r w:rsidR="000A0979" w:rsidRPr="002D7EE2">
              <w:rPr>
                <w:sz w:val="20"/>
              </w:rPr>
              <w:t>’</w:t>
            </w:r>
            <w:r w:rsidRPr="002D7EE2">
              <w:rPr>
                <w:sz w:val="20"/>
              </w:rPr>
              <w:t>un</w:t>
            </w:r>
            <w:r w:rsidR="009937C4" w:rsidRPr="002D7EE2">
              <w:rPr>
                <w:sz w:val="20"/>
              </w:rPr>
              <w:t xml:space="preserve"> ensemble</w:t>
            </w:r>
            <w:r w:rsidRPr="002D7EE2">
              <w:rPr>
                <w:sz w:val="20"/>
              </w:rPr>
              <w:t xml:space="preserve"> d</w:t>
            </w:r>
            <w:r w:rsidR="000A0979" w:rsidRPr="002D7EE2">
              <w:rPr>
                <w:sz w:val="20"/>
              </w:rPr>
              <w:t>’</w:t>
            </w:r>
            <w:r w:rsidRPr="002D7EE2">
              <w:rPr>
                <w:sz w:val="20"/>
              </w:rPr>
              <w:t>expressions définies qui sont ensuite utilisées dans le reste de la loi peut faciliter la rédaction et éviter les répétitions.</w:t>
            </w:r>
          </w:p>
          <w:p w14:paraId="75FE4D6E" w14:textId="089CCEF4" w:rsidR="00C77D5B" w:rsidRPr="00B953FA" w:rsidRDefault="00E13C9C" w:rsidP="002D7EE2">
            <w:pPr>
              <w:pStyle w:val="ListParagraph"/>
              <w:numPr>
                <w:ilvl w:val="0"/>
                <w:numId w:val="57"/>
              </w:numPr>
              <w:spacing w:after="220"/>
              <w:ind w:left="261" w:hanging="261"/>
              <w:rPr>
                <w:sz w:val="20"/>
              </w:rPr>
            </w:pPr>
            <w:r w:rsidRPr="00B953FA">
              <w:rPr>
                <w:sz w:val="20"/>
              </w:rPr>
              <w:t xml:space="preserve">La référence à </w:t>
            </w:r>
            <w:r w:rsidR="00C77D5B" w:rsidRPr="00B953FA">
              <w:rPr>
                <w:sz w:val="20"/>
              </w:rPr>
              <w:t>“</w:t>
            </w:r>
            <w:r w:rsidRPr="00B953FA">
              <w:rPr>
                <w:sz w:val="20"/>
              </w:rPr>
              <w:t xml:space="preserve">originale” </w:t>
            </w:r>
            <w:r w:rsidR="009937C4" w:rsidRPr="00B953FA">
              <w:rPr>
                <w:sz w:val="20"/>
              </w:rPr>
              <w:t>dans la définition de l</w:t>
            </w:r>
            <w:r w:rsidR="000A0979" w:rsidRPr="00B953FA">
              <w:rPr>
                <w:sz w:val="20"/>
              </w:rPr>
              <w:t>’</w:t>
            </w:r>
            <w:r w:rsidR="009937C4" w:rsidRPr="00B953FA">
              <w:rPr>
                <w:sz w:val="20"/>
              </w:rPr>
              <w:t>“</w:t>
            </w:r>
            <w:r w:rsidRPr="00B953FA">
              <w:rPr>
                <w:sz w:val="20"/>
              </w:rPr>
              <w:t>œuvre d</w:t>
            </w:r>
            <w:r w:rsidR="000A0979" w:rsidRPr="00B953FA">
              <w:rPr>
                <w:sz w:val="20"/>
              </w:rPr>
              <w:t>’</w:t>
            </w:r>
            <w:r w:rsidRPr="00B953FA">
              <w:rPr>
                <w:sz w:val="20"/>
              </w:rPr>
              <w:t>art</w:t>
            </w:r>
            <w:r w:rsidR="00C77D5B" w:rsidRPr="00B953FA">
              <w:rPr>
                <w:sz w:val="20"/>
              </w:rPr>
              <w:t xml:space="preserve">” </w:t>
            </w:r>
            <w:r w:rsidR="009937C4" w:rsidRPr="00B953FA">
              <w:rPr>
                <w:sz w:val="20"/>
              </w:rPr>
              <w:t>indique que le droit s</w:t>
            </w:r>
            <w:r w:rsidR="000A0979" w:rsidRPr="00B953FA">
              <w:rPr>
                <w:sz w:val="20"/>
              </w:rPr>
              <w:t>’</w:t>
            </w:r>
            <w:r w:rsidR="009937C4" w:rsidRPr="00B953FA">
              <w:rPr>
                <w:sz w:val="20"/>
              </w:rPr>
              <w:t>attache à la première incarnation matérielle ou tangible de l</w:t>
            </w:r>
            <w:r w:rsidR="000A0979" w:rsidRPr="00B953FA">
              <w:rPr>
                <w:sz w:val="20"/>
              </w:rPr>
              <w:t>’</w:t>
            </w:r>
            <w:r w:rsidR="009937C4" w:rsidRPr="00B953FA">
              <w:rPr>
                <w:sz w:val="20"/>
              </w:rPr>
              <w:t>œuvre “réalisée” par l</w:t>
            </w:r>
            <w:r w:rsidR="000A0979" w:rsidRPr="00B953FA">
              <w:rPr>
                <w:sz w:val="20"/>
              </w:rPr>
              <w:t>’</w:t>
            </w:r>
            <w:r w:rsidR="009937C4" w:rsidRPr="00B953FA">
              <w:rPr>
                <w:sz w:val="20"/>
              </w:rPr>
              <w:t xml:space="preserve">artiste ou sous son autorité. </w:t>
            </w:r>
            <w:r w:rsidR="007C2885" w:rsidRPr="00B953FA">
              <w:rPr>
                <w:sz w:val="20"/>
              </w:rPr>
              <w:t xml:space="preserve"> </w:t>
            </w:r>
          </w:p>
        </w:tc>
      </w:tr>
    </w:tbl>
    <w:p w14:paraId="2B7E0063" w14:textId="77777777" w:rsidR="00C77D5B" w:rsidRPr="00B953FA" w:rsidRDefault="00C77D5B" w:rsidP="002D7EE2">
      <w:pPr>
        <w:pStyle w:val="Heading1"/>
        <w:rPr>
          <w:lang w:val="fr-FR"/>
        </w:rPr>
      </w:pPr>
      <w:r w:rsidRPr="00B953FA">
        <w:rPr>
          <w:lang w:val="fr-FR"/>
        </w:rPr>
        <w:t>Les œuvres protégées par le droit de suite des artistes</w:t>
      </w:r>
    </w:p>
    <w:p w14:paraId="1BE1B0EE" w14:textId="09A74122" w:rsidR="00C77D5B" w:rsidRPr="00B953FA" w:rsidRDefault="00C77D5B" w:rsidP="002D7EE2">
      <w:pPr>
        <w:pStyle w:val="ONUMFS"/>
        <w:rPr>
          <w:lang w:val="fr-FR"/>
        </w:rPr>
      </w:pPr>
      <w:r w:rsidRPr="00B953FA">
        <w:rPr>
          <w:lang w:val="fr-FR"/>
        </w:rPr>
        <w:t>Comme indiqué précédemment, l</w:t>
      </w:r>
      <w:r w:rsidR="000A0979" w:rsidRPr="00B953FA">
        <w:rPr>
          <w:lang w:val="fr-FR"/>
        </w:rPr>
        <w:t>’</w:t>
      </w:r>
      <w:r w:rsidRPr="00B953FA">
        <w:rPr>
          <w:lang w:val="fr-FR"/>
        </w:rPr>
        <w:t>article 14</w:t>
      </w:r>
      <w:r w:rsidRPr="00B953FA">
        <w:rPr>
          <w:i/>
          <w:lang w:val="fr-FR"/>
        </w:rPr>
        <w:t xml:space="preserve">ter </w:t>
      </w:r>
      <w:r w:rsidRPr="00B953FA">
        <w:rPr>
          <w:lang w:val="fr-FR"/>
        </w:rPr>
        <w:t>de la Convention de Berne laisse une grande latitude quant aux types d</w:t>
      </w:r>
      <w:r w:rsidR="000A0979" w:rsidRPr="00B953FA">
        <w:rPr>
          <w:lang w:val="fr-FR"/>
        </w:rPr>
        <w:t>’</w:t>
      </w:r>
      <w:r w:rsidRPr="00B953FA">
        <w:rPr>
          <w:lang w:val="fr-FR"/>
        </w:rPr>
        <w:t>œuvres pouvant faire l</w:t>
      </w:r>
      <w:r w:rsidR="000A0979" w:rsidRPr="00B953FA">
        <w:rPr>
          <w:lang w:val="fr-FR"/>
        </w:rPr>
        <w:t>’</w:t>
      </w:r>
      <w:r w:rsidRPr="00B953FA">
        <w:rPr>
          <w:lang w:val="fr-FR"/>
        </w:rPr>
        <w:t>objet du droit de suite des artistes, ainsi qu</w:t>
      </w:r>
      <w:r w:rsidR="000A0979" w:rsidRPr="00B953FA">
        <w:rPr>
          <w:lang w:val="fr-FR"/>
        </w:rPr>
        <w:t>’</w:t>
      </w:r>
      <w:r w:rsidRPr="00B953FA">
        <w:rPr>
          <w:lang w:val="fr-FR"/>
        </w:rPr>
        <w:t>à celles qui peuvent en être exclu</w:t>
      </w:r>
      <w:r w:rsidR="00B953FA" w:rsidRPr="00B953FA">
        <w:rPr>
          <w:lang w:val="fr-FR"/>
        </w:rPr>
        <w:t>es.  Le</w:t>
      </w:r>
      <w:r w:rsidRPr="00B953FA">
        <w:rPr>
          <w:lang w:val="fr-FR"/>
        </w:rPr>
        <w:t>s régimes de droit de suite des artistes nationaux varient donc considérablement quant à ce qui est couvert et au degré de détail adopté dans la définition des catégories d</w:t>
      </w:r>
      <w:r w:rsidR="000A0979" w:rsidRPr="00B953FA">
        <w:rPr>
          <w:lang w:val="fr-FR"/>
        </w:rPr>
        <w:t>’</w:t>
      </w:r>
      <w:r w:rsidRPr="00B953FA">
        <w:rPr>
          <w:lang w:val="fr-FR"/>
        </w:rPr>
        <w:t>œuvres protégé</w:t>
      </w:r>
      <w:r w:rsidR="00B953FA" w:rsidRPr="00B953FA">
        <w:rPr>
          <w:lang w:val="fr-FR"/>
        </w:rPr>
        <w:t>es.  Co</w:t>
      </w:r>
      <w:r w:rsidRPr="00B953FA">
        <w:rPr>
          <w:lang w:val="fr-FR"/>
        </w:rPr>
        <w:t>mme point de départ, il convient de préciser que le droit de suite des artistes s</w:t>
      </w:r>
      <w:r w:rsidR="000A0979" w:rsidRPr="00B953FA">
        <w:rPr>
          <w:lang w:val="fr-FR"/>
        </w:rPr>
        <w:t>’</w:t>
      </w:r>
      <w:r w:rsidRPr="00B953FA">
        <w:rPr>
          <w:lang w:val="fr-FR"/>
        </w:rPr>
        <w:t>attache à la première incarnation matérielle de l</w:t>
      </w:r>
      <w:r w:rsidR="000A0979" w:rsidRPr="00B953FA">
        <w:rPr>
          <w:lang w:val="fr-FR"/>
        </w:rPr>
        <w:t>’</w:t>
      </w:r>
      <w:r w:rsidRPr="00B953FA">
        <w:rPr>
          <w:lang w:val="fr-FR"/>
        </w:rPr>
        <w:t>œuvre originale ou du manuscrit (voir “définitions utiles” dans le tableau précédent).</w:t>
      </w:r>
    </w:p>
    <w:p w14:paraId="3C4D6192" w14:textId="1B7808DC" w:rsidR="00C77D5B" w:rsidRPr="00B953FA" w:rsidRDefault="00C77D5B" w:rsidP="002D7EE2">
      <w:pPr>
        <w:pStyle w:val="ONUMFS"/>
        <w:keepNext/>
        <w:rPr>
          <w:lang w:val="fr-FR"/>
        </w:rPr>
      </w:pPr>
      <w:r w:rsidRPr="00B953FA">
        <w:rPr>
          <w:lang w:val="fr-FR"/>
        </w:rPr>
        <w:lastRenderedPageBreak/>
        <w:t>Les questions appelant ensuite l</w:t>
      </w:r>
      <w:r w:rsidR="000A0979" w:rsidRPr="00B953FA">
        <w:rPr>
          <w:lang w:val="fr-FR"/>
        </w:rPr>
        <w:t>’</w:t>
      </w:r>
      <w:r w:rsidRPr="00B953FA">
        <w:rPr>
          <w:lang w:val="fr-FR"/>
        </w:rPr>
        <w:t>attention lors de la conception de tout nouveau système de droit de suite des artistes sont les suivantes</w:t>
      </w:r>
      <w:r w:rsidR="000A0979" w:rsidRPr="00B953FA">
        <w:rPr>
          <w:lang w:val="fr-FR"/>
        </w:rPr>
        <w:t> :</w:t>
      </w:r>
    </w:p>
    <w:p w14:paraId="7FA4DFF9" w14:textId="5D043CE2" w:rsidR="00C77D5B" w:rsidRPr="00B953FA" w:rsidRDefault="00DF06A4" w:rsidP="002D7EE2">
      <w:pPr>
        <w:pStyle w:val="ONUMFS"/>
        <w:numPr>
          <w:ilvl w:val="0"/>
          <w:numId w:val="24"/>
        </w:numPr>
        <w:tabs>
          <w:tab w:val="clear" w:pos="567"/>
        </w:tabs>
        <w:spacing w:after="120"/>
        <w:ind w:left="1134" w:hanging="567"/>
        <w:rPr>
          <w:lang w:val="fr-FR"/>
        </w:rPr>
      </w:pPr>
      <w:r w:rsidRPr="00B953FA">
        <w:rPr>
          <w:lang w:val="fr-FR"/>
        </w:rPr>
        <w:t>L</w:t>
      </w:r>
      <w:r w:rsidR="00C77D5B" w:rsidRPr="00B953FA">
        <w:rPr>
          <w:lang w:val="fr-FR"/>
        </w:rPr>
        <w:t>e rédacteur législatif devrait</w:t>
      </w:r>
      <w:r w:rsidR="00FA1A0F">
        <w:rPr>
          <w:lang w:val="fr-FR"/>
        </w:rPr>
        <w:noBreakHyphen/>
      </w:r>
      <w:r w:rsidR="00C77D5B" w:rsidRPr="00B953FA">
        <w:rPr>
          <w:lang w:val="fr-FR"/>
        </w:rPr>
        <w:t>il utiliser une expression générale et inclusive pour désigner les œuvres qui doivent être soumises au droit de suite des artistes, par exemple, “toutes les œuvres graphiques et tridimensionnelles”, ce qui pourrait laisser en fin de compte à une juridiction nationale le soin de déterminer si un type d</w:t>
      </w:r>
      <w:r w:rsidR="000A0979" w:rsidRPr="00B953FA">
        <w:rPr>
          <w:lang w:val="fr-FR"/>
        </w:rPr>
        <w:t>’</w:t>
      </w:r>
      <w:r w:rsidR="00C77D5B" w:rsidRPr="00B953FA">
        <w:rPr>
          <w:lang w:val="fr-FR"/>
        </w:rPr>
        <w:t>œuvre qui se retrouve à la marge est à l</w:t>
      </w:r>
      <w:r w:rsidR="000A0979" w:rsidRPr="00B953FA">
        <w:rPr>
          <w:lang w:val="fr-FR"/>
        </w:rPr>
        <w:t>’</w:t>
      </w:r>
      <w:r w:rsidR="00C77D5B" w:rsidRPr="00B953FA">
        <w:rPr>
          <w:lang w:val="fr-FR"/>
        </w:rPr>
        <w:t>intérieur ou à l</w:t>
      </w:r>
      <w:r w:rsidR="000A0979" w:rsidRPr="00B953FA">
        <w:rPr>
          <w:lang w:val="fr-FR"/>
        </w:rPr>
        <w:t>’</w:t>
      </w:r>
      <w:r w:rsidR="00C77D5B" w:rsidRPr="00B953FA">
        <w:rPr>
          <w:lang w:val="fr-FR"/>
        </w:rPr>
        <w:t>extérieur du champ d</w:t>
      </w:r>
      <w:r w:rsidR="000A0979" w:rsidRPr="00B953FA">
        <w:rPr>
          <w:lang w:val="fr-FR"/>
        </w:rPr>
        <w:t>’</w:t>
      </w:r>
      <w:r w:rsidR="00C77D5B" w:rsidRPr="00B953FA">
        <w:rPr>
          <w:lang w:val="fr-FR"/>
        </w:rPr>
        <w:t>application de cette expression</w:t>
      </w:r>
      <w:r w:rsidR="00C77D5B" w:rsidRPr="00B953FA">
        <w:rPr>
          <w:vertAlign w:val="superscript"/>
          <w:lang w:val="fr-FR"/>
        </w:rPr>
        <w:footnoteReference w:id="41"/>
      </w:r>
      <w:r w:rsidR="00C77D5B" w:rsidRPr="00B953FA">
        <w:rPr>
          <w:lang w:val="fr-FR"/>
        </w:rPr>
        <w:t>?</w:t>
      </w:r>
    </w:p>
    <w:p w14:paraId="73314DAA" w14:textId="5B1A165F" w:rsidR="00C77D5B" w:rsidRPr="00B953FA" w:rsidRDefault="00DF06A4" w:rsidP="002D7EE2">
      <w:pPr>
        <w:pStyle w:val="ONUMFS"/>
        <w:numPr>
          <w:ilvl w:val="0"/>
          <w:numId w:val="24"/>
        </w:numPr>
        <w:tabs>
          <w:tab w:val="clear" w:pos="567"/>
        </w:tabs>
        <w:spacing w:after="120"/>
        <w:ind w:left="1134" w:hanging="567"/>
        <w:rPr>
          <w:lang w:val="fr-FR"/>
        </w:rPr>
      </w:pPr>
      <w:r w:rsidRPr="00B953FA">
        <w:rPr>
          <w:lang w:val="fr-FR"/>
        </w:rPr>
        <w:t>E</w:t>
      </w:r>
      <w:r w:rsidR="00C77D5B" w:rsidRPr="00B953FA">
        <w:rPr>
          <w:lang w:val="fr-FR"/>
        </w:rPr>
        <w:t>st</w:t>
      </w:r>
      <w:r w:rsidR="00FA1A0F">
        <w:rPr>
          <w:lang w:val="fr-FR"/>
        </w:rPr>
        <w:noBreakHyphen/>
      </w:r>
      <w:r w:rsidR="00C77D5B" w:rsidRPr="00B953FA">
        <w:rPr>
          <w:lang w:val="fr-FR"/>
        </w:rPr>
        <w:t>il préférable de fournir une liste détaillée et inclusive des types d</w:t>
      </w:r>
      <w:r w:rsidR="000A0979" w:rsidRPr="00B953FA">
        <w:rPr>
          <w:lang w:val="fr-FR"/>
        </w:rPr>
        <w:t>’</w:t>
      </w:r>
      <w:r w:rsidR="00C77D5B" w:rsidRPr="00B953FA">
        <w:rPr>
          <w:lang w:val="fr-FR"/>
        </w:rPr>
        <w:t>œuvres couverts, éventuellement avec une catégorie résiduelle pouvant être précisée dans le cadre d</w:t>
      </w:r>
      <w:r w:rsidR="000A0979" w:rsidRPr="00B953FA">
        <w:rPr>
          <w:lang w:val="fr-FR"/>
        </w:rPr>
        <w:t>’</w:t>
      </w:r>
      <w:r w:rsidR="00C77D5B" w:rsidRPr="00B953FA">
        <w:rPr>
          <w:lang w:val="fr-FR"/>
        </w:rPr>
        <w:t>un instrument législatif subordonné ultérieur ou d</w:t>
      </w:r>
      <w:r w:rsidR="000A0979" w:rsidRPr="00B953FA">
        <w:rPr>
          <w:lang w:val="fr-FR"/>
        </w:rPr>
        <w:t>’</w:t>
      </w:r>
      <w:r w:rsidR="00C77D5B" w:rsidRPr="00B953FA">
        <w:rPr>
          <w:lang w:val="fr-FR"/>
        </w:rPr>
        <w:t xml:space="preserve">une instruction </w:t>
      </w:r>
      <w:proofErr w:type="gramStart"/>
      <w:r w:rsidR="00C77D5B" w:rsidRPr="00B953FA">
        <w:rPr>
          <w:lang w:val="fr-FR"/>
        </w:rPr>
        <w:t>administrative?</w:t>
      </w:r>
      <w:proofErr w:type="gramEnd"/>
    </w:p>
    <w:p w14:paraId="457D567D" w14:textId="7BFA4CB8" w:rsidR="00C77D5B" w:rsidRPr="00B953FA" w:rsidRDefault="00DF06A4" w:rsidP="002D7EE2">
      <w:pPr>
        <w:pStyle w:val="ONUMFS"/>
        <w:numPr>
          <w:ilvl w:val="0"/>
          <w:numId w:val="24"/>
        </w:numPr>
        <w:tabs>
          <w:tab w:val="clear" w:pos="567"/>
        </w:tabs>
        <w:spacing w:after="120"/>
        <w:ind w:left="1134" w:hanging="567"/>
        <w:rPr>
          <w:lang w:val="fr-FR"/>
        </w:rPr>
      </w:pPr>
      <w:r w:rsidRPr="00B953FA">
        <w:rPr>
          <w:lang w:val="fr-FR"/>
        </w:rPr>
        <w:t>T</w:t>
      </w:r>
      <w:r w:rsidR="00C77D5B" w:rsidRPr="00B953FA">
        <w:rPr>
          <w:lang w:val="fr-FR"/>
        </w:rPr>
        <w:t>outes les catégories de photographies doivent</w:t>
      </w:r>
      <w:r w:rsidR="00FA1A0F">
        <w:rPr>
          <w:lang w:val="fr-FR"/>
        </w:rPr>
        <w:noBreakHyphen/>
      </w:r>
      <w:r w:rsidR="00C77D5B" w:rsidRPr="00B953FA">
        <w:rPr>
          <w:lang w:val="fr-FR"/>
        </w:rPr>
        <w:t xml:space="preserve">elles être </w:t>
      </w:r>
      <w:proofErr w:type="gramStart"/>
      <w:r w:rsidR="00C77D5B" w:rsidRPr="00B953FA">
        <w:rPr>
          <w:lang w:val="fr-FR"/>
        </w:rPr>
        <w:t>incluses?</w:t>
      </w:r>
      <w:proofErr w:type="gramEnd"/>
      <w:r w:rsidR="00C77D5B" w:rsidRPr="00B953FA">
        <w:rPr>
          <w:lang w:val="fr-FR"/>
        </w:rPr>
        <w:t xml:space="preserve">  Par exemple, cela devrait</w:t>
      </w:r>
      <w:r w:rsidR="00FA1A0F">
        <w:rPr>
          <w:lang w:val="fr-FR"/>
        </w:rPr>
        <w:noBreakHyphen/>
      </w:r>
      <w:r w:rsidR="00C77D5B" w:rsidRPr="00B953FA">
        <w:rPr>
          <w:lang w:val="fr-FR"/>
        </w:rPr>
        <w:t xml:space="preserve">il inclure des photographies simples prises avec un téléphone numérique ou des photographies documentaires ou </w:t>
      </w:r>
      <w:proofErr w:type="gramStart"/>
      <w:r w:rsidR="00C77D5B" w:rsidRPr="00B953FA">
        <w:rPr>
          <w:lang w:val="fr-FR"/>
        </w:rPr>
        <w:t>d</w:t>
      </w:r>
      <w:r w:rsidR="000A0979" w:rsidRPr="00B953FA">
        <w:rPr>
          <w:lang w:val="fr-FR"/>
        </w:rPr>
        <w:t>’</w:t>
      </w:r>
      <w:r w:rsidR="00C77D5B" w:rsidRPr="00B953FA">
        <w:rPr>
          <w:lang w:val="fr-FR"/>
        </w:rPr>
        <w:t>actualité?</w:t>
      </w:r>
      <w:proofErr w:type="gramEnd"/>
      <w:r w:rsidR="00C77D5B" w:rsidRPr="00B953FA">
        <w:rPr>
          <w:lang w:val="fr-FR"/>
        </w:rPr>
        <w:t xml:space="preserve">  À cet égard, il convient de noter que la Convention de Berne elle</w:t>
      </w:r>
      <w:r w:rsidR="00FA1A0F">
        <w:rPr>
          <w:lang w:val="fr-FR"/>
        </w:rPr>
        <w:noBreakHyphen/>
      </w:r>
      <w:r w:rsidR="00C77D5B" w:rsidRPr="00B953FA">
        <w:rPr>
          <w:lang w:val="fr-FR"/>
        </w:rPr>
        <w:t>même (à l</w:t>
      </w:r>
      <w:r w:rsidR="000A0979" w:rsidRPr="00B953FA">
        <w:rPr>
          <w:lang w:val="fr-FR"/>
        </w:rPr>
        <w:t>’</w:t>
      </w:r>
      <w:r w:rsidR="00C77D5B" w:rsidRPr="00B953FA">
        <w:rPr>
          <w:lang w:val="fr-FR"/>
        </w:rPr>
        <w:t>article 2.1)) fait référence aux “œuvres photographiques auxquelles sont assimilées les œuvres exprimées par un procédé analogue à la photographie”, ce qui laisse aux États membres une certaine flexibilité quant à la manière dont ils tracent la ligne en ce qui concerne la protection des photographies en tant qu</w:t>
      </w:r>
      <w:r w:rsidR="000A0979" w:rsidRPr="00B953FA">
        <w:rPr>
          <w:lang w:val="fr-FR"/>
        </w:rPr>
        <w:t>’</w:t>
      </w:r>
      <w:r w:rsidR="00C77D5B" w:rsidRPr="00B953FA">
        <w:rPr>
          <w:lang w:val="fr-FR"/>
        </w:rPr>
        <w:t>œuvres artistiques</w:t>
      </w:r>
      <w:r w:rsidRPr="00B953FA">
        <w:rPr>
          <w:lang w:val="fr-FR"/>
        </w:rPr>
        <w:t>.</w:t>
      </w:r>
    </w:p>
    <w:p w14:paraId="746BCA41" w14:textId="559E6154" w:rsidR="00C77D5B" w:rsidRPr="00B953FA" w:rsidRDefault="00DF06A4" w:rsidP="002D7EE2">
      <w:pPr>
        <w:pStyle w:val="ONUMFS"/>
        <w:numPr>
          <w:ilvl w:val="0"/>
          <w:numId w:val="24"/>
        </w:numPr>
        <w:tabs>
          <w:tab w:val="clear" w:pos="567"/>
        </w:tabs>
        <w:spacing w:after="120"/>
        <w:ind w:left="1134" w:hanging="567"/>
        <w:rPr>
          <w:lang w:val="fr-FR"/>
        </w:rPr>
      </w:pPr>
      <w:r w:rsidRPr="00B953FA">
        <w:rPr>
          <w:lang w:val="fr-FR"/>
        </w:rPr>
        <w:t>L</w:t>
      </w:r>
      <w:r w:rsidR="00C77D5B" w:rsidRPr="00B953FA">
        <w:rPr>
          <w:lang w:val="fr-FR"/>
        </w:rPr>
        <w:t>es œuvres d</w:t>
      </w:r>
      <w:r w:rsidR="000A0979" w:rsidRPr="00B953FA">
        <w:rPr>
          <w:lang w:val="fr-FR"/>
        </w:rPr>
        <w:t>’</w:t>
      </w:r>
      <w:r w:rsidR="00C77D5B" w:rsidRPr="00B953FA">
        <w:rPr>
          <w:lang w:val="fr-FR"/>
        </w:rPr>
        <w:t>artisanat, et plus généralement les œuvres d</w:t>
      </w:r>
      <w:r w:rsidR="000A0979" w:rsidRPr="00B953FA">
        <w:rPr>
          <w:lang w:val="fr-FR"/>
        </w:rPr>
        <w:t>’</w:t>
      </w:r>
      <w:r w:rsidR="00C77D5B" w:rsidRPr="00B953FA">
        <w:rPr>
          <w:lang w:val="fr-FR"/>
        </w:rPr>
        <w:t>art appliqué, doivent</w:t>
      </w:r>
      <w:r w:rsidR="00FA1A0F">
        <w:rPr>
          <w:lang w:val="fr-FR"/>
        </w:rPr>
        <w:noBreakHyphen/>
      </w:r>
      <w:r w:rsidR="00C77D5B" w:rsidRPr="00B953FA">
        <w:rPr>
          <w:lang w:val="fr-FR"/>
        </w:rPr>
        <w:t>elles être incluses dans la catégorie plus large des “œuvres artistiques</w:t>
      </w:r>
      <w:proofErr w:type="gramStart"/>
      <w:r w:rsidR="00C77D5B" w:rsidRPr="00B953FA">
        <w:rPr>
          <w:lang w:val="fr-FR"/>
        </w:rPr>
        <w:t>”?</w:t>
      </w:r>
      <w:proofErr w:type="gramEnd"/>
      <w:r w:rsidR="00C77D5B" w:rsidRPr="00B953FA">
        <w:rPr>
          <w:lang w:val="fr-FR"/>
        </w:rPr>
        <w:t xml:space="preserve">  Encore une fois, la Convention de Berne laisse ici une certaine latitude aux pays membres quant à la mesure dans laquelle ils doivent protéger les œuvres des arts appliqués en tant qu</w:t>
      </w:r>
      <w:r w:rsidR="000A0979" w:rsidRPr="00B953FA">
        <w:rPr>
          <w:lang w:val="fr-FR"/>
        </w:rPr>
        <w:t>’</w:t>
      </w:r>
      <w:r w:rsidR="00C77D5B" w:rsidRPr="00B953FA">
        <w:rPr>
          <w:lang w:val="fr-FR"/>
        </w:rPr>
        <w:t>œuvres artistiques ou sous un autre régime tels que les dessins ou modèles ou les lois types (voir les articles 2.7) et 7.4) de la Conventi</w:t>
      </w:r>
      <w:r w:rsidR="00B953FA" w:rsidRPr="00B953FA">
        <w:rPr>
          <w:lang w:val="fr-FR"/>
        </w:rPr>
        <w:t>on).  Le</w:t>
      </w:r>
      <w:r w:rsidR="00C77D5B" w:rsidRPr="00B953FA">
        <w:rPr>
          <w:lang w:val="fr-FR"/>
        </w:rPr>
        <w:t xml:space="preserve"> point de vue de certains pays, comme la France, est que les œuvres d</w:t>
      </w:r>
      <w:r w:rsidR="000A0979" w:rsidRPr="00B953FA">
        <w:rPr>
          <w:lang w:val="fr-FR"/>
        </w:rPr>
        <w:t>’</w:t>
      </w:r>
      <w:r w:rsidR="00C77D5B" w:rsidRPr="00B953FA">
        <w:rPr>
          <w:lang w:val="fr-FR"/>
        </w:rPr>
        <w:t>art appliqué doivent être interprétées au sens large comme relevant de la catégorie générale des œuvres artistiques, tandis que d</w:t>
      </w:r>
      <w:r w:rsidR="000A0979" w:rsidRPr="00B953FA">
        <w:rPr>
          <w:lang w:val="fr-FR"/>
        </w:rPr>
        <w:t>’</w:t>
      </w:r>
      <w:r w:rsidR="00C77D5B" w:rsidRPr="00B953FA">
        <w:rPr>
          <w:lang w:val="fr-FR"/>
        </w:rPr>
        <w:t>autres pays ont une approche plus limitée quant à ce qu</w:t>
      </w:r>
      <w:r w:rsidR="000A0979" w:rsidRPr="00B953FA">
        <w:rPr>
          <w:lang w:val="fr-FR"/>
        </w:rPr>
        <w:t>’</w:t>
      </w:r>
      <w:r w:rsidR="00C77D5B" w:rsidRPr="00B953FA">
        <w:rPr>
          <w:lang w:val="fr-FR"/>
        </w:rPr>
        <w:t>il convient d</w:t>
      </w:r>
      <w:r w:rsidR="000A0979" w:rsidRPr="00B953FA">
        <w:rPr>
          <w:lang w:val="fr-FR"/>
        </w:rPr>
        <w:t>’</w:t>
      </w:r>
      <w:r w:rsidR="00C77D5B" w:rsidRPr="00B953FA">
        <w:rPr>
          <w:lang w:val="fr-FR"/>
        </w:rPr>
        <w:t>inclure ici, par exemple certains types d</w:t>
      </w:r>
      <w:r w:rsidR="000A0979" w:rsidRPr="00B953FA">
        <w:rPr>
          <w:lang w:val="fr-FR"/>
        </w:rPr>
        <w:t>’</w:t>
      </w:r>
      <w:r w:rsidR="00C77D5B" w:rsidRPr="00B953FA">
        <w:rPr>
          <w:lang w:val="fr-FR"/>
        </w:rPr>
        <w:t>œuvres artisanales, mais pas tous les types d</w:t>
      </w:r>
      <w:r w:rsidR="000A0979" w:rsidRPr="00B953FA">
        <w:rPr>
          <w:lang w:val="fr-FR"/>
        </w:rPr>
        <w:t>’</w:t>
      </w:r>
      <w:r w:rsidR="00C77D5B" w:rsidRPr="00B953FA">
        <w:rPr>
          <w:lang w:val="fr-FR"/>
        </w:rPr>
        <w:t>œuvres d</w:t>
      </w:r>
      <w:r w:rsidR="000A0979" w:rsidRPr="00B953FA">
        <w:rPr>
          <w:lang w:val="fr-FR"/>
        </w:rPr>
        <w:t>’</w:t>
      </w:r>
      <w:r w:rsidR="00C77D5B" w:rsidRPr="00B953FA">
        <w:rPr>
          <w:lang w:val="fr-FR"/>
        </w:rPr>
        <w:t>art appliq</w:t>
      </w:r>
      <w:r w:rsidR="00B953FA" w:rsidRPr="00B953FA">
        <w:rPr>
          <w:lang w:val="fr-FR"/>
        </w:rPr>
        <w:t>ué.  En</w:t>
      </w:r>
      <w:r w:rsidR="00C77D5B" w:rsidRPr="00B953FA">
        <w:rPr>
          <w:lang w:val="fr-FR"/>
        </w:rPr>
        <w:t xml:space="preserve"> concevant un régime de droit de suite des artistes conforme à la Convention de Berne, les législateurs nationaux ont donc une certaine latitude quant à la mesure dans laquelle ils étendent la protection à toutes les catégories d</w:t>
      </w:r>
      <w:r w:rsidR="000A0979" w:rsidRPr="00B953FA">
        <w:rPr>
          <w:lang w:val="fr-FR"/>
        </w:rPr>
        <w:t>’</w:t>
      </w:r>
      <w:r w:rsidR="00C77D5B" w:rsidRPr="00B953FA">
        <w:rPr>
          <w:lang w:val="fr-FR"/>
        </w:rPr>
        <w:t>art appliqué ou seulement à certaines</w:t>
      </w:r>
      <w:r w:rsidRPr="00B953FA">
        <w:rPr>
          <w:lang w:val="fr-FR"/>
        </w:rPr>
        <w:t>.</w:t>
      </w:r>
    </w:p>
    <w:p w14:paraId="49B8040C" w14:textId="404E2977" w:rsidR="009937C4" w:rsidRPr="00B953FA" w:rsidRDefault="009937C4" w:rsidP="002D7EE2">
      <w:pPr>
        <w:pStyle w:val="ONUMFS"/>
        <w:numPr>
          <w:ilvl w:val="0"/>
          <w:numId w:val="24"/>
        </w:numPr>
        <w:tabs>
          <w:tab w:val="clear" w:pos="567"/>
        </w:tabs>
        <w:spacing w:after="120"/>
        <w:ind w:left="1134" w:hanging="567"/>
        <w:rPr>
          <w:szCs w:val="22"/>
          <w:lang w:val="fr-FR"/>
        </w:rPr>
      </w:pPr>
      <w:r w:rsidRPr="00B953FA">
        <w:rPr>
          <w:lang w:val="fr-FR"/>
        </w:rPr>
        <w:t xml:space="preserve">Une question peut se </w:t>
      </w:r>
      <w:r w:rsidRPr="00B953FA">
        <w:rPr>
          <w:szCs w:val="22"/>
          <w:lang w:val="fr-FR"/>
        </w:rPr>
        <w:t>poser en ce qui concerne les configurations de circuits (topographies des circuits intégrés)</w:t>
      </w:r>
      <w:r w:rsidR="000A0979" w:rsidRPr="00B953FA">
        <w:rPr>
          <w:szCs w:val="22"/>
          <w:lang w:val="fr-FR"/>
        </w:rPr>
        <w:t> :</w:t>
      </w:r>
      <w:r w:rsidRPr="00B953FA">
        <w:rPr>
          <w:szCs w:val="22"/>
          <w:lang w:val="fr-FR"/>
        </w:rPr>
        <w:t xml:space="preserve"> si elles sont, dans un sens, “artistiques”, on peut penser qu</w:t>
      </w:r>
      <w:r w:rsidR="000A0979" w:rsidRPr="00B953FA">
        <w:rPr>
          <w:szCs w:val="22"/>
          <w:lang w:val="fr-FR"/>
        </w:rPr>
        <w:t>’</w:t>
      </w:r>
      <w:r w:rsidRPr="00B953FA">
        <w:rPr>
          <w:szCs w:val="22"/>
          <w:lang w:val="fr-FR"/>
        </w:rPr>
        <w:t>elles se situent bien en dehors du champ d</w:t>
      </w:r>
      <w:r w:rsidR="000A0979" w:rsidRPr="00B953FA">
        <w:rPr>
          <w:szCs w:val="22"/>
          <w:lang w:val="fr-FR"/>
        </w:rPr>
        <w:t>’</w:t>
      </w:r>
      <w:r w:rsidRPr="00B953FA">
        <w:rPr>
          <w:szCs w:val="22"/>
          <w:lang w:val="fr-FR"/>
        </w:rPr>
        <w:t>application du droit de suite des artistes et qu</w:t>
      </w:r>
      <w:r w:rsidR="000A0979" w:rsidRPr="00B953FA">
        <w:rPr>
          <w:szCs w:val="22"/>
          <w:lang w:val="fr-FR"/>
        </w:rPr>
        <w:t>’</w:t>
      </w:r>
      <w:r w:rsidRPr="00B953FA">
        <w:rPr>
          <w:szCs w:val="22"/>
          <w:lang w:val="fr-FR"/>
        </w:rPr>
        <w:t>elles doivent être expressément exclues, comme c</w:t>
      </w:r>
      <w:r w:rsidR="000A0979" w:rsidRPr="00B953FA">
        <w:rPr>
          <w:szCs w:val="22"/>
          <w:lang w:val="fr-FR"/>
        </w:rPr>
        <w:t>’</w:t>
      </w:r>
      <w:r w:rsidRPr="00B953FA">
        <w:rPr>
          <w:szCs w:val="22"/>
          <w:lang w:val="fr-FR"/>
        </w:rPr>
        <w:t>est le cas en Australie (voir tableau</w:t>
      </w:r>
      <w:r w:rsidR="007C2885" w:rsidRPr="00B953FA">
        <w:rPr>
          <w:szCs w:val="22"/>
          <w:lang w:val="fr-FR"/>
        </w:rPr>
        <w:t> </w:t>
      </w:r>
      <w:r w:rsidRPr="00B953FA">
        <w:rPr>
          <w:szCs w:val="22"/>
          <w:lang w:val="fr-FR"/>
        </w:rPr>
        <w:t>6 ci</w:t>
      </w:r>
      <w:r w:rsidR="00FA1A0F">
        <w:rPr>
          <w:szCs w:val="22"/>
          <w:lang w:val="fr-FR"/>
        </w:rPr>
        <w:noBreakHyphen/>
      </w:r>
      <w:r w:rsidRPr="00B953FA">
        <w:rPr>
          <w:szCs w:val="22"/>
          <w:lang w:val="fr-FR"/>
        </w:rPr>
        <w:t>dessous).</w:t>
      </w:r>
    </w:p>
    <w:p w14:paraId="36457C3F" w14:textId="489F0D12" w:rsidR="00F37154" w:rsidRPr="00B953FA" w:rsidRDefault="00DF06A4" w:rsidP="002D7EE2">
      <w:pPr>
        <w:pStyle w:val="ONUMFS"/>
        <w:numPr>
          <w:ilvl w:val="0"/>
          <w:numId w:val="24"/>
        </w:numPr>
        <w:tabs>
          <w:tab w:val="clear" w:pos="567"/>
        </w:tabs>
        <w:spacing w:after="120"/>
        <w:ind w:left="1134" w:hanging="567"/>
        <w:rPr>
          <w:lang w:val="fr-FR"/>
        </w:rPr>
      </w:pPr>
      <w:r w:rsidRPr="00B953FA">
        <w:rPr>
          <w:lang w:val="fr-FR"/>
        </w:rPr>
        <w:t>E</w:t>
      </w:r>
      <w:r w:rsidR="00C77D5B" w:rsidRPr="00B953FA">
        <w:rPr>
          <w:lang w:val="fr-FR"/>
        </w:rPr>
        <w:t>n lien avec la question des œuvres d</w:t>
      </w:r>
      <w:r w:rsidR="000A0979" w:rsidRPr="00B953FA">
        <w:rPr>
          <w:lang w:val="fr-FR"/>
        </w:rPr>
        <w:t>’</w:t>
      </w:r>
      <w:r w:rsidR="00C77D5B" w:rsidRPr="00B953FA">
        <w:rPr>
          <w:lang w:val="fr-FR"/>
        </w:rPr>
        <w:t xml:space="preserve">art appliqué se pose la question de savoir si les œuvres incarnant des expressions culturelles traditionnelles créées par des </w:t>
      </w:r>
      <w:r w:rsidR="00C77D5B" w:rsidRPr="00B953FA">
        <w:rPr>
          <w:lang w:val="fr-FR"/>
        </w:rPr>
        <w:lastRenderedPageBreak/>
        <w:t>artistes autochtones doivent être inclus</w:t>
      </w:r>
      <w:r w:rsidR="00B953FA" w:rsidRPr="00B953FA">
        <w:rPr>
          <w:lang w:val="fr-FR"/>
        </w:rPr>
        <w:t>es.  Da</w:t>
      </w:r>
      <w:r w:rsidR="00C77D5B" w:rsidRPr="00B953FA">
        <w:rPr>
          <w:lang w:val="fr-FR"/>
        </w:rPr>
        <w:t>ns plusieurs pays, comme la Nouvelle</w:t>
      </w:r>
      <w:r w:rsidR="00FA1A0F">
        <w:rPr>
          <w:lang w:val="fr-FR"/>
        </w:rPr>
        <w:noBreakHyphen/>
      </w:r>
      <w:r w:rsidR="00C77D5B" w:rsidRPr="00B953FA">
        <w:rPr>
          <w:lang w:val="fr-FR"/>
        </w:rPr>
        <w:t>Zélande, cette situation est expressément prévue</w:t>
      </w:r>
      <w:r w:rsidR="00C77D5B" w:rsidRPr="00B953FA">
        <w:rPr>
          <w:rStyle w:val="FootnoteReference"/>
          <w:lang w:val="fr-FR"/>
        </w:rPr>
        <w:footnoteReference w:id="42"/>
      </w:r>
      <w:r w:rsidRPr="00B953FA">
        <w:rPr>
          <w:lang w:val="fr-FR"/>
        </w:rPr>
        <w:t>.</w:t>
      </w:r>
    </w:p>
    <w:p w14:paraId="3C2521F5" w14:textId="60BBE629" w:rsidR="009937C4" w:rsidRPr="00B953FA" w:rsidRDefault="009E314F" w:rsidP="002D7EE2">
      <w:pPr>
        <w:pStyle w:val="ONUMFS"/>
        <w:numPr>
          <w:ilvl w:val="0"/>
          <w:numId w:val="24"/>
        </w:numPr>
        <w:tabs>
          <w:tab w:val="clear" w:pos="567"/>
        </w:tabs>
        <w:spacing w:after="120"/>
        <w:ind w:left="1134" w:hanging="567"/>
        <w:rPr>
          <w:lang w:val="fr-FR"/>
        </w:rPr>
      </w:pPr>
      <w:r w:rsidRPr="00B953FA">
        <w:rPr>
          <w:lang w:val="fr-FR"/>
        </w:rPr>
        <w:t>Faut</w:t>
      </w:r>
      <w:r w:rsidR="00FA1A0F">
        <w:rPr>
          <w:lang w:val="fr-FR"/>
        </w:rPr>
        <w:noBreakHyphen/>
      </w:r>
      <w:r w:rsidRPr="00B953FA">
        <w:rPr>
          <w:lang w:val="fr-FR"/>
        </w:rPr>
        <w:t>il inclure les œuvres d</w:t>
      </w:r>
      <w:r w:rsidR="000A0979" w:rsidRPr="00B953FA">
        <w:rPr>
          <w:lang w:val="fr-FR"/>
        </w:rPr>
        <w:t>’</w:t>
      </w:r>
      <w:r w:rsidRPr="00B953FA">
        <w:rPr>
          <w:lang w:val="fr-FR"/>
        </w:rPr>
        <w:t>architecture et les œuvres artistiques qui s</w:t>
      </w:r>
      <w:r w:rsidR="000A0979" w:rsidRPr="00B953FA">
        <w:rPr>
          <w:lang w:val="fr-FR"/>
        </w:rPr>
        <w:t>’</w:t>
      </w:r>
      <w:r w:rsidRPr="00B953FA">
        <w:rPr>
          <w:lang w:val="fr-FR"/>
        </w:rPr>
        <w:t xml:space="preserve">y rapportent, telles que les dessins, les croquis et les </w:t>
      </w:r>
      <w:proofErr w:type="gramStart"/>
      <w:r w:rsidRPr="00B953FA">
        <w:rPr>
          <w:lang w:val="fr-FR"/>
        </w:rPr>
        <w:t>modèles?</w:t>
      </w:r>
      <w:proofErr w:type="gramEnd"/>
      <w:r w:rsidRPr="00B953FA">
        <w:rPr>
          <w:lang w:val="fr-FR"/>
        </w:rPr>
        <w:t xml:space="preserve"> </w:t>
      </w:r>
      <w:r w:rsidR="007C2885" w:rsidRPr="00B953FA">
        <w:rPr>
          <w:lang w:val="fr-FR"/>
        </w:rPr>
        <w:t xml:space="preserve"> </w:t>
      </w:r>
      <w:r w:rsidRPr="00B953FA">
        <w:rPr>
          <w:lang w:val="fr-FR"/>
        </w:rPr>
        <w:t xml:space="preserve">La définition des </w:t>
      </w:r>
      <w:r w:rsidR="0033027D" w:rsidRPr="00B953FA">
        <w:rPr>
          <w:lang w:val="fr-FR"/>
        </w:rPr>
        <w:t>“</w:t>
      </w:r>
      <w:r w:rsidRPr="00B953FA">
        <w:rPr>
          <w:lang w:val="fr-FR"/>
        </w:rPr>
        <w:t>œuvres protégées</w:t>
      </w:r>
      <w:r w:rsidR="0033027D" w:rsidRPr="00B953FA">
        <w:rPr>
          <w:lang w:val="fr-FR"/>
        </w:rPr>
        <w:t>”</w:t>
      </w:r>
      <w:r w:rsidRPr="00B953FA">
        <w:rPr>
          <w:lang w:val="fr-FR"/>
        </w:rPr>
        <w:t xml:space="preserve"> </w:t>
      </w:r>
      <w:r w:rsidR="0033027D" w:rsidRPr="00B953FA">
        <w:rPr>
          <w:lang w:val="fr-FR"/>
        </w:rPr>
        <w:t>en vertu de</w:t>
      </w:r>
      <w:r w:rsidRPr="00B953FA">
        <w:rPr>
          <w:lang w:val="fr-FR"/>
        </w:rPr>
        <w:t xml:space="preserve"> l</w:t>
      </w:r>
      <w:r w:rsidR="000A0979" w:rsidRPr="00B953FA">
        <w:rPr>
          <w:lang w:val="fr-FR"/>
        </w:rPr>
        <w:t>’</w:t>
      </w:r>
      <w:r w:rsidR="004A6BE2" w:rsidRPr="00B953FA">
        <w:rPr>
          <w:lang w:val="fr-FR"/>
        </w:rPr>
        <w:t>article 2</w:t>
      </w:r>
      <w:r w:rsidRPr="00B953FA">
        <w:rPr>
          <w:lang w:val="fr-FR"/>
        </w:rPr>
        <w:t xml:space="preserve">.1) de la Convention de Berne inclut les </w:t>
      </w:r>
      <w:r w:rsidR="0033027D" w:rsidRPr="00B953FA">
        <w:rPr>
          <w:lang w:val="fr-FR"/>
        </w:rPr>
        <w:t>“</w:t>
      </w:r>
      <w:r w:rsidRPr="00B953FA">
        <w:rPr>
          <w:lang w:val="fr-FR"/>
        </w:rPr>
        <w:t>œuvres</w:t>
      </w:r>
      <w:r w:rsidR="007C2885" w:rsidRPr="00B953FA">
        <w:rPr>
          <w:lang w:val="fr-FR"/>
        </w:rPr>
        <w:t xml:space="preserve">… </w:t>
      </w:r>
      <w:r w:rsidRPr="00B953FA">
        <w:rPr>
          <w:lang w:val="fr-FR"/>
        </w:rPr>
        <w:t xml:space="preserve"> </w:t>
      </w:r>
      <w:proofErr w:type="gramStart"/>
      <w:r w:rsidRPr="00B953FA">
        <w:rPr>
          <w:lang w:val="fr-FR"/>
        </w:rPr>
        <w:t>d</w:t>
      </w:r>
      <w:r w:rsidR="000A0979" w:rsidRPr="00B953FA">
        <w:rPr>
          <w:lang w:val="fr-FR"/>
        </w:rPr>
        <w:t>’</w:t>
      </w:r>
      <w:r w:rsidRPr="00B953FA">
        <w:rPr>
          <w:lang w:val="fr-FR"/>
        </w:rPr>
        <w:t>architecture</w:t>
      </w:r>
      <w:proofErr w:type="gramEnd"/>
      <w:r w:rsidR="0033027D" w:rsidRPr="00B953FA">
        <w:rPr>
          <w:lang w:val="fr-FR"/>
        </w:rPr>
        <w:t>”</w:t>
      </w:r>
      <w:r w:rsidRPr="00B953FA">
        <w:rPr>
          <w:lang w:val="fr-FR"/>
        </w:rPr>
        <w:t xml:space="preserve"> et, plus largement, les </w:t>
      </w:r>
      <w:r w:rsidR="0033027D" w:rsidRPr="00B953FA">
        <w:rPr>
          <w:lang w:val="fr-FR"/>
        </w:rPr>
        <w:t>“</w:t>
      </w:r>
      <w:r w:rsidRPr="00B953FA">
        <w:rPr>
          <w:lang w:val="fr-FR"/>
        </w:rPr>
        <w:t>les illustrations, les cartes géographiques, les plans, croquis et ouvrages plastiques relatifs à la géographie, à la topographie, à l</w:t>
      </w:r>
      <w:r w:rsidR="000A0979" w:rsidRPr="00B953FA">
        <w:rPr>
          <w:lang w:val="fr-FR"/>
        </w:rPr>
        <w:t>’</w:t>
      </w:r>
      <w:r w:rsidRPr="00B953FA">
        <w:rPr>
          <w:lang w:val="fr-FR"/>
        </w:rPr>
        <w:t>architecture ou aux sciences</w:t>
      </w:r>
      <w:r w:rsidR="0033027D" w:rsidRPr="00B953FA">
        <w:rPr>
          <w:lang w:val="fr-FR"/>
        </w:rPr>
        <w:t>”</w:t>
      </w:r>
      <w:r w:rsidRPr="00B953FA">
        <w:rPr>
          <w:lang w:val="fr-FR"/>
        </w:rPr>
        <w:t xml:space="preserve">. </w:t>
      </w:r>
      <w:r w:rsidR="007C2885" w:rsidRPr="00B953FA">
        <w:rPr>
          <w:lang w:val="fr-FR"/>
        </w:rPr>
        <w:t xml:space="preserve"> </w:t>
      </w:r>
      <w:r w:rsidRPr="00B953FA">
        <w:rPr>
          <w:lang w:val="fr-FR"/>
        </w:rPr>
        <w:t xml:space="preserve">En outre, certaines législations nationales incluent les bâtiments et les structures </w:t>
      </w:r>
      <w:r w:rsidR="0033027D" w:rsidRPr="00B953FA">
        <w:rPr>
          <w:lang w:val="fr-FR"/>
        </w:rPr>
        <w:t xml:space="preserve">de manière générale </w:t>
      </w:r>
      <w:r w:rsidRPr="00B953FA">
        <w:rPr>
          <w:lang w:val="fr-FR"/>
        </w:rPr>
        <w:t>dans le champ d</w:t>
      </w:r>
      <w:r w:rsidR="000A0979" w:rsidRPr="00B953FA">
        <w:rPr>
          <w:lang w:val="fr-FR"/>
        </w:rPr>
        <w:t>’</w:t>
      </w:r>
      <w:r w:rsidRPr="00B953FA">
        <w:rPr>
          <w:lang w:val="fr-FR"/>
        </w:rPr>
        <w:t>application du droit d</w:t>
      </w:r>
      <w:r w:rsidR="000A0979" w:rsidRPr="00B953FA">
        <w:rPr>
          <w:lang w:val="fr-FR"/>
        </w:rPr>
        <w:t>’</w:t>
      </w:r>
      <w:r w:rsidRPr="00B953FA">
        <w:rPr>
          <w:lang w:val="fr-FR"/>
        </w:rPr>
        <w:t>auteur sur les œuvres artistiques, sans préciser qu</w:t>
      </w:r>
      <w:r w:rsidR="000A0979" w:rsidRPr="00B953FA">
        <w:rPr>
          <w:lang w:val="fr-FR"/>
        </w:rPr>
        <w:t>’</w:t>
      </w:r>
      <w:r w:rsidRPr="00B953FA">
        <w:rPr>
          <w:lang w:val="fr-FR"/>
        </w:rPr>
        <w:t>il doit s</w:t>
      </w:r>
      <w:r w:rsidR="000A0979" w:rsidRPr="00B953FA">
        <w:rPr>
          <w:lang w:val="fr-FR"/>
        </w:rPr>
        <w:t>’</w:t>
      </w:r>
      <w:r w:rsidRPr="00B953FA">
        <w:rPr>
          <w:lang w:val="fr-FR"/>
        </w:rPr>
        <w:t>agir d</w:t>
      </w:r>
      <w:r w:rsidR="000A0979" w:rsidRPr="00B953FA">
        <w:rPr>
          <w:lang w:val="fr-FR"/>
        </w:rPr>
        <w:t>’</w:t>
      </w:r>
      <w:r w:rsidRPr="00B953FA">
        <w:rPr>
          <w:lang w:val="fr-FR"/>
        </w:rPr>
        <w:t>œuvres d</w:t>
      </w:r>
      <w:r w:rsidR="000A0979" w:rsidRPr="00B953FA">
        <w:rPr>
          <w:lang w:val="fr-FR"/>
        </w:rPr>
        <w:t>’</w:t>
      </w:r>
      <w:r w:rsidRPr="00B953FA">
        <w:rPr>
          <w:lang w:val="fr-FR"/>
        </w:rPr>
        <w:t>architecture</w:t>
      </w:r>
      <w:r w:rsidR="0033027D" w:rsidRPr="00B953FA">
        <w:rPr>
          <w:rStyle w:val="FootnoteReference"/>
          <w:lang w:val="fr-FR"/>
        </w:rPr>
        <w:footnoteReference w:id="43"/>
      </w:r>
      <w:r w:rsidRPr="00B953FA">
        <w:rPr>
          <w:lang w:val="fr-FR"/>
        </w:rPr>
        <w:t>.  D</w:t>
      </w:r>
      <w:r w:rsidR="000A0979" w:rsidRPr="00B953FA">
        <w:rPr>
          <w:lang w:val="fr-FR"/>
        </w:rPr>
        <w:t>’</w:t>
      </w:r>
      <w:r w:rsidRPr="00B953FA">
        <w:rPr>
          <w:lang w:val="fr-FR"/>
        </w:rPr>
        <w:t>autre part, des difficultés pratiques peuvent surgir dans l</w:t>
      </w:r>
      <w:r w:rsidR="000A0979" w:rsidRPr="00B953FA">
        <w:rPr>
          <w:lang w:val="fr-FR"/>
        </w:rPr>
        <w:t>’</w:t>
      </w:r>
      <w:r w:rsidRPr="00B953FA">
        <w:rPr>
          <w:lang w:val="fr-FR"/>
        </w:rPr>
        <w:t>application du droit de suite des artistes dans le cas de la revente de bâtiments, sans parler des œuvres artistiques telles que les fresques, les peintures murales et les sculptures incorporées dans le corps d</w:t>
      </w:r>
      <w:r w:rsidR="000A0979" w:rsidRPr="00B953FA">
        <w:rPr>
          <w:lang w:val="fr-FR"/>
        </w:rPr>
        <w:t>’</w:t>
      </w:r>
      <w:r w:rsidRPr="00B953FA">
        <w:rPr>
          <w:lang w:val="fr-FR"/>
        </w:rPr>
        <w:t>un bâtime</w:t>
      </w:r>
      <w:r w:rsidR="00B953FA" w:rsidRPr="00B953FA">
        <w:rPr>
          <w:lang w:val="fr-FR"/>
        </w:rPr>
        <w:t>nt.  C’e</w:t>
      </w:r>
      <w:r w:rsidRPr="00B953FA">
        <w:rPr>
          <w:lang w:val="fr-FR"/>
        </w:rPr>
        <w:t>st pourquoi de nombreuses lois nationales sur le droit de suite des artistes excluent cette catégorie d</w:t>
      </w:r>
      <w:r w:rsidR="000A0979" w:rsidRPr="00B953FA">
        <w:rPr>
          <w:lang w:val="fr-FR"/>
        </w:rPr>
        <w:t>’</w:t>
      </w:r>
      <w:r w:rsidRPr="00B953FA">
        <w:rPr>
          <w:lang w:val="fr-FR"/>
        </w:rPr>
        <w:t>œuvres artistiques.</w:t>
      </w:r>
    </w:p>
    <w:p w14:paraId="05320766" w14:textId="0DAAC556" w:rsidR="00C77D5B" w:rsidRPr="00B953FA" w:rsidRDefault="00DF06A4" w:rsidP="002D7EE2">
      <w:pPr>
        <w:pStyle w:val="ONUMFS"/>
        <w:numPr>
          <w:ilvl w:val="0"/>
          <w:numId w:val="24"/>
        </w:numPr>
        <w:tabs>
          <w:tab w:val="clear" w:pos="567"/>
        </w:tabs>
        <w:spacing w:after="120"/>
        <w:ind w:left="1134" w:hanging="567"/>
        <w:rPr>
          <w:lang w:val="fr-FR"/>
        </w:rPr>
      </w:pPr>
      <w:r w:rsidRPr="00B953FA">
        <w:rPr>
          <w:lang w:val="fr-FR"/>
        </w:rPr>
        <w:t>L</w:t>
      </w:r>
      <w:r w:rsidR="00C77D5B" w:rsidRPr="00B953FA">
        <w:rPr>
          <w:lang w:val="fr-FR"/>
        </w:rPr>
        <w:t>es œuvres non artistiques telles que les manuscrits d</w:t>
      </w:r>
      <w:r w:rsidR="000A0979" w:rsidRPr="00B953FA">
        <w:rPr>
          <w:lang w:val="fr-FR"/>
        </w:rPr>
        <w:t>’</w:t>
      </w:r>
      <w:r w:rsidR="00C77D5B" w:rsidRPr="00B953FA">
        <w:rPr>
          <w:lang w:val="fr-FR"/>
        </w:rPr>
        <w:t xml:space="preserve">œuvres littéraires, dramatiques ou musicales </w:t>
      </w:r>
      <w:r w:rsidR="0033027D" w:rsidRPr="00B953FA">
        <w:rPr>
          <w:lang w:val="fr-FR"/>
        </w:rPr>
        <w:t>doivent</w:t>
      </w:r>
      <w:r w:rsidR="00FA1A0F">
        <w:rPr>
          <w:lang w:val="fr-FR"/>
        </w:rPr>
        <w:noBreakHyphen/>
      </w:r>
      <w:r w:rsidR="00C77D5B" w:rsidRPr="00B953FA">
        <w:rPr>
          <w:lang w:val="fr-FR"/>
        </w:rPr>
        <w:t xml:space="preserve">elles être </w:t>
      </w:r>
      <w:proofErr w:type="gramStart"/>
      <w:r w:rsidR="00C77D5B" w:rsidRPr="00B953FA">
        <w:rPr>
          <w:lang w:val="fr-FR"/>
        </w:rPr>
        <w:t>protégées?</w:t>
      </w:r>
      <w:proofErr w:type="gramEnd"/>
      <w:r w:rsidR="0033027D" w:rsidRPr="00B953FA">
        <w:rPr>
          <w:lang w:val="fr-FR"/>
        </w:rPr>
        <w:t xml:space="preserve">  Ainsi qu</w:t>
      </w:r>
      <w:r w:rsidR="000A0979" w:rsidRPr="00B953FA">
        <w:rPr>
          <w:lang w:val="fr-FR"/>
        </w:rPr>
        <w:t>’</w:t>
      </w:r>
      <w:r w:rsidR="0033027D" w:rsidRPr="00B953FA">
        <w:rPr>
          <w:lang w:val="fr-FR"/>
        </w:rPr>
        <w:t>il a été dit plus haut, seules quelques législations nationales vont actuellement dans ce sens, bien que l</w:t>
      </w:r>
      <w:r w:rsidR="000A0979" w:rsidRPr="00B953FA">
        <w:rPr>
          <w:lang w:val="fr-FR"/>
        </w:rPr>
        <w:t>’</w:t>
      </w:r>
      <w:r w:rsidR="004A6BE2" w:rsidRPr="00B953FA">
        <w:rPr>
          <w:lang w:val="fr-FR"/>
        </w:rPr>
        <w:t>article 1</w:t>
      </w:r>
      <w:r w:rsidR="0033027D" w:rsidRPr="00B953FA">
        <w:rPr>
          <w:lang w:val="fr-FR"/>
        </w:rPr>
        <w:t>4</w:t>
      </w:r>
      <w:r w:rsidR="0033027D" w:rsidRPr="00B953FA">
        <w:rPr>
          <w:i/>
          <w:iCs/>
          <w:lang w:val="fr-FR"/>
        </w:rPr>
        <w:t xml:space="preserve">ter </w:t>
      </w:r>
      <w:r w:rsidR="0033027D" w:rsidRPr="00B953FA">
        <w:rPr>
          <w:lang w:val="fr-FR"/>
        </w:rPr>
        <w:t>de la Convention de Berne le permette et prévoie une limitation aux “manuscrits originaux des écrivains et compositeurs”.</w:t>
      </w:r>
    </w:p>
    <w:p w14:paraId="6B528342" w14:textId="0AC75DCD" w:rsidR="00C77D5B" w:rsidRPr="00B953FA" w:rsidRDefault="00DF06A4" w:rsidP="002D7EE2">
      <w:pPr>
        <w:pStyle w:val="ONUMFS"/>
        <w:numPr>
          <w:ilvl w:val="0"/>
          <w:numId w:val="24"/>
        </w:numPr>
        <w:tabs>
          <w:tab w:val="clear" w:pos="567"/>
        </w:tabs>
        <w:spacing w:after="120"/>
        <w:ind w:left="1134" w:hanging="567"/>
        <w:rPr>
          <w:lang w:val="fr-FR"/>
        </w:rPr>
      </w:pPr>
      <w:r w:rsidRPr="00B953FA">
        <w:rPr>
          <w:lang w:val="fr-FR"/>
        </w:rPr>
        <w:t>C</w:t>
      </w:r>
      <w:r w:rsidR="00C77D5B" w:rsidRPr="00B953FA">
        <w:rPr>
          <w:lang w:val="fr-FR"/>
        </w:rPr>
        <w:t>omment traiter les œuvres produites en série de copies ou de reproductions ainsi que les œuvres produites par une équipe d</w:t>
      </w:r>
      <w:r w:rsidR="000A0979" w:rsidRPr="00B953FA">
        <w:rPr>
          <w:lang w:val="fr-FR"/>
        </w:rPr>
        <w:t>’</w:t>
      </w:r>
      <w:r w:rsidR="00C77D5B" w:rsidRPr="00B953FA">
        <w:rPr>
          <w:lang w:val="fr-FR"/>
        </w:rPr>
        <w:t>assistants travaillant sous la direction d</w:t>
      </w:r>
      <w:r w:rsidR="000A0979" w:rsidRPr="00B953FA">
        <w:rPr>
          <w:lang w:val="fr-FR"/>
        </w:rPr>
        <w:t>’</w:t>
      </w:r>
      <w:r w:rsidR="00C77D5B" w:rsidRPr="00B953FA">
        <w:rPr>
          <w:lang w:val="fr-FR"/>
        </w:rPr>
        <w:t xml:space="preserve">un </w:t>
      </w:r>
      <w:proofErr w:type="gramStart"/>
      <w:r w:rsidR="00C77D5B" w:rsidRPr="00B953FA">
        <w:rPr>
          <w:lang w:val="fr-FR"/>
        </w:rPr>
        <w:t>auteur?</w:t>
      </w:r>
      <w:proofErr w:type="gramEnd"/>
      <w:r w:rsidR="007C2885" w:rsidRPr="00B953FA">
        <w:rPr>
          <w:lang w:val="fr-FR"/>
        </w:rPr>
        <w:t xml:space="preserve"> </w:t>
      </w:r>
      <w:r w:rsidR="0033027D" w:rsidRPr="00B953FA">
        <w:rPr>
          <w:lang w:val="fr-FR"/>
        </w:rPr>
        <w:t xml:space="preserve"> Comment les exigences d</w:t>
      </w:r>
      <w:r w:rsidR="000A0979" w:rsidRPr="00B953FA">
        <w:rPr>
          <w:lang w:val="fr-FR"/>
        </w:rPr>
        <w:t>’</w:t>
      </w:r>
      <w:r w:rsidR="0033027D" w:rsidRPr="00B953FA">
        <w:rPr>
          <w:lang w:val="fr-FR"/>
        </w:rPr>
        <w:t>originalité doivent</w:t>
      </w:r>
      <w:r w:rsidR="00FA1A0F">
        <w:rPr>
          <w:lang w:val="fr-FR"/>
        </w:rPr>
        <w:noBreakHyphen/>
      </w:r>
      <w:r w:rsidR="0033027D" w:rsidRPr="00B953FA">
        <w:rPr>
          <w:lang w:val="fr-FR"/>
        </w:rPr>
        <w:t xml:space="preserve">elles être appliquées dans ces </w:t>
      </w:r>
      <w:proofErr w:type="gramStart"/>
      <w:r w:rsidR="0033027D" w:rsidRPr="00B953FA">
        <w:rPr>
          <w:lang w:val="fr-FR"/>
        </w:rPr>
        <w:t>cas?</w:t>
      </w:r>
      <w:proofErr w:type="gramEnd"/>
    </w:p>
    <w:p w14:paraId="57826573" w14:textId="769C8DD7" w:rsidR="00C77D5B" w:rsidRPr="00B953FA" w:rsidRDefault="00DF06A4" w:rsidP="002D7EE2">
      <w:pPr>
        <w:pStyle w:val="ONUMFS"/>
        <w:numPr>
          <w:ilvl w:val="0"/>
          <w:numId w:val="24"/>
        </w:numPr>
        <w:tabs>
          <w:tab w:val="clear" w:pos="567"/>
        </w:tabs>
        <w:ind w:left="1134" w:hanging="567"/>
        <w:rPr>
          <w:lang w:val="fr-FR"/>
        </w:rPr>
      </w:pPr>
      <w:r w:rsidRPr="00B953FA">
        <w:rPr>
          <w:lang w:val="fr-FR"/>
        </w:rPr>
        <w:t>C</w:t>
      </w:r>
      <w:r w:rsidR="00C77D5B" w:rsidRPr="00B953FA">
        <w:rPr>
          <w:lang w:val="fr-FR"/>
        </w:rPr>
        <w:t xml:space="preserve">omment traiter les œuvres numériques, </w:t>
      </w:r>
      <w:r w:rsidR="000A0979" w:rsidRPr="00B953FA">
        <w:rPr>
          <w:lang w:val="fr-FR"/>
        </w:rPr>
        <w:t>y compris</w:t>
      </w:r>
      <w:r w:rsidR="00C77D5B" w:rsidRPr="00B953FA">
        <w:rPr>
          <w:lang w:val="fr-FR"/>
        </w:rPr>
        <w:t xml:space="preserve"> celles générées par </w:t>
      </w:r>
      <w:proofErr w:type="gramStart"/>
      <w:r w:rsidR="00C77D5B" w:rsidRPr="00B953FA">
        <w:rPr>
          <w:lang w:val="fr-FR"/>
        </w:rPr>
        <w:t>ordinateur?</w:t>
      </w:r>
      <w:proofErr w:type="gramEnd"/>
      <w:r w:rsidR="00C77D5B" w:rsidRPr="00B953FA">
        <w:rPr>
          <w:lang w:val="fr-FR"/>
        </w:rPr>
        <w:t xml:space="preserve">  La notion de droit de suite des artistes peut</w:t>
      </w:r>
      <w:r w:rsidR="00FA1A0F">
        <w:rPr>
          <w:lang w:val="fr-FR"/>
        </w:rPr>
        <w:noBreakHyphen/>
      </w:r>
      <w:r w:rsidR="00C77D5B" w:rsidRPr="00B953FA">
        <w:rPr>
          <w:lang w:val="fr-FR"/>
        </w:rPr>
        <w:t>elle être étendue aux œuvres d</w:t>
      </w:r>
      <w:r w:rsidR="000A0979" w:rsidRPr="00B953FA">
        <w:rPr>
          <w:lang w:val="fr-FR"/>
        </w:rPr>
        <w:t>’</w:t>
      </w:r>
      <w:r w:rsidR="00C77D5B" w:rsidRPr="00B953FA">
        <w:rPr>
          <w:lang w:val="fr-FR"/>
        </w:rPr>
        <w:t>art créées numériquement où l</w:t>
      </w:r>
      <w:r w:rsidR="000A0979" w:rsidRPr="00B953FA">
        <w:rPr>
          <w:lang w:val="fr-FR"/>
        </w:rPr>
        <w:t>’</w:t>
      </w:r>
      <w:r w:rsidR="00C77D5B" w:rsidRPr="00B953FA">
        <w:rPr>
          <w:lang w:val="fr-FR"/>
        </w:rPr>
        <w:t>exigence d</w:t>
      </w:r>
      <w:r w:rsidR="000A0979" w:rsidRPr="00B953FA">
        <w:rPr>
          <w:lang w:val="fr-FR"/>
        </w:rPr>
        <w:t>’</w:t>
      </w:r>
      <w:r w:rsidR="00C77D5B" w:rsidRPr="00B953FA">
        <w:rPr>
          <w:lang w:val="fr-FR"/>
        </w:rPr>
        <w:t xml:space="preserve">une première incarnation matérielle peut nécessiter une certaine </w:t>
      </w:r>
      <w:proofErr w:type="gramStart"/>
      <w:r w:rsidR="00C77D5B" w:rsidRPr="00B953FA">
        <w:rPr>
          <w:lang w:val="fr-FR"/>
        </w:rPr>
        <w:t>reconceptualisation?</w:t>
      </w:r>
      <w:proofErr w:type="gramEnd"/>
      <w:r w:rsidR="00C77D5B" w:rsidRPr="00B953FA">
        <w:rPr>
          <w:lang w:val="fr-FR"/>
        </w:rPr>
        <w:t xml:space="preserve">  Récemment, des œuvres artistiques incarnées par des jetons non fongibles ont atteint des prix très élevés lors de ventes aux enchères</w:t>
      </w:r>
      <w:r w:rsidR="0033027D" w:rsidRPr="00B953FA">
        <w:rPr>
          <w:lang w:val="fr-FR"/>
        </w:rPr>
        <w:t xml:space="preserve"> organisées par des maisons de vente aux enchères d</w:t>
      </w:r>
      <w:r w:rsidR="000A0979" w:rsidRPr="00B953FA">
        <w:rPr>
          <w:lang w:val="fr-FR"/>
        </w:rPr>
        <w:t>’</w:t>
      </w:r>
      <w:r w:rsidR="0033027D" w:rsidRPr="00B953FA">
        <w:rPr>
          <w:lang w:val="fr-FR"/>
        </w:rPr>
        <w:t>œuvres d</w:t>
      </w:r>
      <w:r w:rsidR="000A0979" w:rsidRPr="00B953FA">
        <w:rPr>
          <w:lang w:val="fr-FR"/>
        </w:rPr>
        <w:t>’</w:t>
      </w:r>
      <w:r w:rsidR="0033027D" w:rsidRPr="00B953FA">
        <w:rPr>
          <w:lang w:val="fr-FR"/>
        </w:rPr>
        <w:t>art renommées</w:t>
      </w:r>
      <w:r w:rsidR="00C77D5B" w:rsidRPr="00B953FA">
        <w:rPr>
          <w:rStyle w:val="FootnoteReference"/>
          <w:lang w:val="fr-FR"/>
        </w:rPr>
        <w:footnoteReference w:id="44"/>
      </w:r>
      <w:r w:rsidR="00C77D5B" w:rsidRPr="00B953FA">
        <w:rPr>
          <w:lang w:val="fr-FR"/>
        </w:rPr>
        <w:t>.</w:t>
      </w:r>
    </w:p>
    <w:p w14:paraId="407ACAF6" w14:textId="188EF8D0" w:rsidR="00C77D5B" w:rsidRPr="00B953FA" w:rsidRDefault="00C77D5B" w:rsidP="002D7EE2">
      <w:pPr>
        <w:pStyle w:val="ONUMFS"/>
        <w:rPr>
          <w:lang w:val="fr-FR"/>
        </w:rPr>
      </w:pPr>
      <w:r w:rsidRPr="00B953FA">
        <w:rPr>
          <w:lang w:val="fr-FR"/>
        </w:rPr>
        <w:t>Différentes réponses à ces questions se trouvent dans les régimes nationaux existants et peuvent donner lieu à des débats animés entre les décideurs politiques et les législateu</w:t>
      </w:r>
      <w:r w:rsidR="00B953FA" w:rsidRPr="00B953FA">
        <w:rPr>
          <w:lang w:val="fr-FR"/>
        </w:rPr>
        <w:t>rs.  La</w:t>
      </w:r>
      <w:r w:rsidRPr="00B953FA">
        <w:rPr>
          <w:lang w:val="fr-FR"/>
        </w:rPr>
        <w:t xml:space="preserve"> Convention de Berne offre toutefois cette souplesse et il est suggéré que les décideurs politiques et législatifs nationaux soient guidés ici par les circonstances particulières de leurs marchés de l</w:t>
      </w:r>
      <w:r w:rsidR="000A0979" w:rsidRPr="00B953FA">
        <w:rPr>
          <w:lang w:val="fr-FR"/>
        </w:rPr>
        <w:t>’</w:t>
      </w:r>
      <w:r w:rsidRPr="00B953FA">
        <w:rPr>
          <w:lang w:val="fr-FR"/>
        </w:rPr>
        <w:t>art ainsi que par leurs traditions juridiques et culturell</w:t>
      </w:r>
      <w:r w:rsidR="00B953FA" w:rsidRPr="00B953FA">
        <w:rPr>
          <w:lang w:val="fr-FR"/>
        </w:rPr>
        <w:t>es.  Ai</w:t>
      </w:r>
      <w:r w:rsidRPr="00B953FA">
        <w:rPr>
          <w:lang w:val="fr-FR"/>
        </w:rPr>
        <w:t>nsi, la protection des œuvres d</w:t>
      </w:r>
      <w:r w:rsidR="000A0979" w:rsidRPr="00B953FA">
        <w:rPr>
          <w:lang w:val="fr-FR"/>
        </w:rPr>
        <w:t>’</w:t>
      </w:r>
      <w:r w:rsidRPr="00B953FA">
        <w:rPr>
          <w:lang w:val="fr-FR"/>
        </w:rPr>
        <w:t>art (en tant qu</w:t>
      </w:r>
      <w:r w:rsidR="000A0979" w:rsidRPr="00B953FA">
        <w:rPr>
          <w:lang w:val="fr-FR"/>
        </w:rPr>
        <w:t>’</w:t>
      </w:r>
      <w:r w:rsidRPr="00B953FA">
        <w:rPr>
          <w:lang w:val="fr-FR"/>
        </w:rPr>
        <w:t>espèce d</w:t>
      </w:r>
      <w:r w:rsidR="000A0979" w:rsidRPr="00B953FA">
        <w:rPr>
          <w:lang w:val="fr-FR"/>
        </w:rPr>
        <w:t>’</w:t>
      </w:r>
      <w:r w:rsidRPr="00B953FA">
        <w:rPr>
          <w:lang w:val="fr-FR"/>
        </w:rPr>
        <w:t>œuvres d</w:t>
      </w:r>
      <w:r w:rsidR="000A0979" w:rsidRPr="00B953FA">
        <w:rPr>
          <w:lang w:val="fr-FR"/>
        </w:rPr>
        <w:t>’</w:t>
      </w:r>
      <w:r w:rsidRPr="00B953FA">
        <w:rPr>
          <w:lang w:val="fr-FR"/>
        </w:rPr>
        <w:t>art appliqué) peut revêtir une importance particulière dans certains pays, mais pas dans d</w:t>
      </w:r>
      <w:r w:rsidR="000A0979" w:rsidRPr="00B953FA">
        <w:rPr>
          <w:lang w:val="fr-FR"/>
        </w:rPr>
        <w:t>’</w:t>
      </w:r>
      <w:r w:rsidRPr="00B953FA">
        <w:rPr>
          <w:lang w:val="fr-FR"/>
        </w:rPr>
        <w:t xml:space="preserve">autres, tandis que les œuvres créées en </w:t>
      </w:r>
      <w:r w:rsidRPr="00B953FA">
        <w:rPr>
          <w:lang w:val="fr-FR"/>
        </w:rPr>
        <w:lastRenderedPageBreak/>
        <w:t>groupe peuvent être courantes dans certains mais pas dans d</w:t>
      </w:r>
      <w:r w:rsidR="000A0979" w:rsidRPr="00B953FA">
        <w:rPr>
          <w:lang w:val="fr-FR"/>
        </w:rPr>
        <w:t>’</w:t>
      </w:r>
      <w:r w:rsidRPr="00B953FA">
        <w:rPr>
          <w:lang w:val="fr-FR"/>
        </w:rPr>
        <w:t>autres, et il en va de même pour les productions numériqu</w:t>
      </w:r>
      <w:r w:rsidR="00B953FA" w:rsidRPr="00B953FA">
        <w:rPr>
          <w:lang w:val="fr-FR"/>
        </w:rPr>
        <w:t>es.  Pe</w:t>
      </w:r>
      <w:r w:rsidRPr="00B953FA">
        <w:rPr>
          <w:lang w:val="fr-FR"/>
        </w:rPr>
        <w:t>ut</w:t>
      </w:r>
      <w:r w:rsidR="00FA1A0F">
        <w:rPr>
          <w:lang w:val="fr-FR"/>
        </w:rPr>
        <w:noBreakHyphen/>
      </w:r>
      <w:r w:rsidRPr="00B953FA">
        <w:rPr>
          <w:lang w:val="fr-FR"/>
        </w:rPr>
        <w:t>être que la meilleure orientation ici est de prévoir un mécanisme dans tout régime législatif qui peut être ajusté aux nouvelles situations à mesure qu</w:t>
      </w:r>
      <w:r w:rsidR="000A0979" w:rsidRPr="00B953FA">
        <w:rPr>
          <w:lang w:val="fr-FR"/>
        </w:rPr>
        <w:t>’</w:t>
      </w:r>
      <w:r w:rsidRPr="00B953FA">
        <w:rPr>
          <w:lang w:val="fr-FR"/>
        </w:rPr>
        <w:t>elles se présentent.</w:t>
      </w:r>
    </w:p>
    <w:p w14:paraId="41C92592" w14:textId="5A3D4EA2" w:rsidR="00C77D5B" w:rsidRPr="00B953FA" w:rsidRDefault="00C77D5B" w:rsidP="002D7EE2">
      <w:pPr>
        <w:pStyle w:val="ONUMFS"/>
        <w:keepNext/>
        <w:rPr>
          <w:lang w:val="fr-FR"/>
        </w:rPr>
      </w:pPr>
      <w:r w:rsidRPr="00B953FA">
        <w:rPr>
          <w:lang w:val="fr-FR"/>
        </w:rPr>
        <w:t>Vous trouverez dans le tableau</w:t>
      </w:r>
      <w:r w:rsidR="00FB6E84" w:rsidRPr="00B953FA">
        <w:rPr>
          <w:lang w:val="fr-FR"/>
        </w:rPr>
        <w:t> </w:t>
      </w:r>
      <w:r w:rsidRPr="00B953FA">
        <w:rPr>
          <w:lang w:val="fr-FR"/>
        </w:rPr>
        <w:t>3 ci</w:t>
      </w:r>
      <w:r w:rsidR="00FA1A0F">
        <w:rPr>
          <w:lang w:val="fr-FR"/>
        </w:rPr>
        <w:noBreakHyphen/>
      </w:r>
      <w:r w:rsidRPr="00B953FA">
        <w:rPr>
          <w:lang w:val="fr-FR"/>
        </w:rPr>
        <w:t>dessous quelques exemples de dispositions suggéré</w:t>
      </w:r>
      <w:r w:rsidR="00B953FA" w:rsidRPr="00B953FA">
        <w:rPr>
          <w:lang w:val="fr-FR"/>
        </w:rPr>
        <w:t>es.  D’a</w:t>
      </w:r>
      <w:r w:rsidRPr="00B953FA">
        <w:rPr>
          <w:lang w:val="fr-FR"/>
        </w:rPr>
        <w:t>utres exemples de législations nationales figurent dans le tableau</w:t>
      </w:r>
      <w:r w:rsidR="00FB6E84" w:rsidRPr="00B953FA">
        <w:rPr>
          <w:lang w:val="fr-FR"/>
        </w:rPr>
        <w:t> </w:t>
      </w:r>
      <w:r w:rsidRPr="00B953FA">
        <w:rPr>
          <w:lang w:val="fr-FR"/>
        </w:rPr>
        <w:t>29.</w:t>
      </w:r>
    </w:p>
    <w:p w14:paraId="5CB32296" w14:textId="77777777" w:rsidR="00C77D5B" w:rsidRPr="00B953FA" w:rsidRDefault="00C77D5B" w:rsidP="002D7EE2">
      <w:pPr>
        <w:pStyle w:val="Heading2"/>
        <w:rPr>
          <w:lang w:val="fr-FR"/>
        </w:rPr>
      </w:pPr>
      <w:r w:rsidRPr="00B953FA">
        <w:rPr>
          <w:lang w:val="fr-FR"/>
        </w:rPr>
        <w:t>Tableau 3</w:t>
      </w:r>
    </w:p>
    <w:tbl>
      <w:tblPr>
        <w:tblStyle w:val="TableGrid"/>
        <w:tblW w:w="0" w:type="auto"/>
        <w:tblInd w:w="-5" w:type="dxa"/>
        <w:tblLook w:val="04A0" w:firstRow="1" w:lastRow="0" w:firstColumn="1" w:lastColumn="0" w:noHBand="0" w:noVBand="1"/>
      </w:tblPr>
      <w:tblGrid>
        <w:gridCol w:w="1478"/>
        <w:gridCol w:w="3402"/>
        <w:gridCol w:w="3774"/>
      </w:tblGrid>
      <w:tr w:rsidR="00C77D5B" w:rsidRPr="00B953FA" w14:paraId="33FA56A3" w14:textId="77777777" w:rsidTr="00E00356">
        <w:tc>
          <w:tcPr>
            <w:tcW w:w="1478" w:type="dxa"/>
          </w:tcPr>
          <w:p w14:paraId="5F42B872" w14:textId="77777777" w:rsidR="00C77D5B" w:rsidRPr="00B953FA" w:rsidRDefault="00C77D5B" w:rsidP="002D7EE2">
            <w:pPr>
              <w:keepNext/>
              <w:spacing w:after="220"/>
              <w:rPr>
                <w:lang w:val="fr-FR"/>
              </w:rPr>
            </w:pPr>
            <w:r w:rsidRPr="00B953FA">
              <w:rPr>
                <w:b/>
                <w:lang w:val="fr-FR"/>
              </w:rPr>
              <w:t>Type de disposition</w:t>
            </w:r>
          </w:p>
        </w:tc>
        <w:tc>
          <w:tcPr>
            <w:tcW w:w="3402" w:type="dxa"/>
          </w:tcPr>
          <w:p w14:paraId="1DAAD318" w14:textId="77777777" w:rsidR="00C77D5B" w:rsidRPr="00B953FA" w:rsidRDefault="00C77D5B" w:rsidP="002D7EE2">
            <w:pPr>
              <w:keepNext/>
              <w:spacing w:after="220"/>
              <w:rPr>
                <w:lang w:val="fr-FR"/>
              </w:rPr>
            </w:pPr>
            <w:r w:rsidRPr="00B953FA">
              <w:rPr>
                <w:b/>
                <w:lang w:val="fr-FR"/>
              </w:rPr>
              <w:t>Texte suggéré</w:t>
            </w:r>
          </w:p>
        </w:tc>
        <w:tc>
          <w:tcPr>
            <w:tcW w:w="3774" w:type="dxa"/>
          </w:tcPr>
          <w:p w14:paraId="3D7105DA" w14:textId="77777777" w:rsidR="00C77D5B" w:rsidRPr="00B953FA" w:rsidRDefault="00C77D5B" w:rsidP="002D7EE2">
            <w:pPr>
              <w:keepNext/>
              <w:spacing w:after="220"/>
              <w:rPr>
                <w:lang w:val="fr-FR"/>
              </w:rPr>
            </w:pPr>
            <w:r w:rsidRPr="00B953FA">
              <w:rPr>
                <w:b/>
                <w:lang w:val="fr-FR"/>
              </w:rPr>
              <w:t>Avantages et inconvénients</w:t>
            </w:r>
          </w:p>
        </w:tc>
      </w:tr>
      <w:tr w:rsidR="00C77D5B" w:rsidRPr="00B953FA" w14:paraId="0B7112E1" w14:textId="77777777" w:rsidTr="00E00356">
        <w:tc>
          <w:tcPr>
            <w:tcW w:w="1478" w:type="dxa"/>
          </w:tcPr>
          <w:p w14:paraId="25DA67E9" w14:textId="54B08C7C" w:rsidR="00C77D5B" w:rsidRPr="00B953FA" w:rsidRDefault="00C77D5B" w:rsidP="00E00356">
            <w:pPr>
              <w:spacing w:before="60" w:after="220"/>
              <w:rPr>
                <w:sz w:val="20"/>
                <w:lang w:val="fr-FR"/>
              </w:rPr>
            </w:pPr>
            <w:r w:rsidRPr="00B953FA">
              <w:rPr>
                <w:sz w:val="20"/>
                <w:lang w:val="fr-FR"/>
              </w:rPr>
              <w:t>Le plus général</w:t>
            </w:r>
          </w:p>
        </w:tc>
        <w:tc>
          <w:tcPr>
            <w:tcW w:w="3402" w:type="dxa"/>
          </w:tcPr>
          <w:p w14:paraId="46D10E11" w14:textId="46B90578" w:rsidR="00C77D5B" w:rsidRPr="00B953FA" w:rsidRDefault="0033027D" w:rsidP="00E00356">
            <w:pPr>
              <w:spacing w:before="60" w:after="220"/>
              <w:rPr>
                <w:iCs/>
                <w:sz w:val="20"/>
                <w:lang w:val="fr-FR"/>
              </w:rPr>
            </w:pPr>
            <w:r w:rsidRPr="00B953FA">
              <w:rPr>
                <w:iCs/>
                <w:sz w:val="20"/>
                <w:lang w:val="fr-FR"/>
              </w:rPr>
              <w:t>T</w:t>
            </w:r>
            <w:r w:rsidR="00C77D5B" w:rsidRPr="00B953FA">
              <w:rPr>
                <w:iCs/>
                <w:sz w:val="20"/>
                <w:lang w:val="fr-FR"/>
              </w:rPr>
              <w:t>outes les œuvres graphiques et tridimensionnelles originales</w:t>
            </w:r>
            <w:r w:rsidR="00C77D5B" w:rsidRPr="00B953FA">
              <w:rPr>
                <w:iCs/>
                <w:sz w:val="20"/>
                <w:vertAlign w:val="superscript"/>
                <w:lang w:val="fr-FR"/>
              </w:rPr>
              <w:footnoteReference w:id="45"/>
            </w:r>
            <w:r w:rsidR="00C77D5B" w:rsidRPr="00B953FA">
              <w:rPr>
                <w:iCs/>
                <w:sz w:val="20"/>
                <w:lang w:val="fr-FR"/>
              </w:rPr>
              <w:t xml:space="preserve"> [“et </w:t>
            </w:r>
            <w:r w:rsidRPr="00B953FA">
              <w:rPr>
                <w:iCs/>
                <w:sz w:val="20"/>
                <w:lang w:val="fr-FR"/>
              </w:rPr>
              <w:t xml:space="preserve">les </w:t>
            </w:r>
            <w:r w:rsidR="00C77D5B" w:rsidRPr="00B953FA">
              <w:rPr>
                <w:iCs/>
                <w:sz w:val="20"/>
                <w:lang w:val="fr-FR"/>
              </w:rPr>
              <w:t xml:space="preserve">manuscrits </w:t>
            </w:r>
            <w:r w:rsidRPr="00B953FA">
              <w:rPr>
                <w:iCs/>
                <w:sz w:val="20"/>
                <w:lang w:val="fr-FR"/>
              </w:rPr>
              <w:t xml:space="preserve">originaux </w:t>
            </w:r>
            <w:r w:rsidRPr="00B953FA">
              <w:rPr>
                <w:sz w:val="20"/>
                <w:lang w:val="fr-FR"/>
              </w:rPr>
              <w:t>des auteurs et compositeurs</w:t>
            </w:r>
            <w:r w:rsidR="00C77D5B" w:rsidRPr="00B953FA">
              <w:rPr>
                <w:iCs/>
                <w:sz w:val="20"/>
                <w:lang w:val="fr-FR"/>
              </w:rPr>
              <w:t>”].</w:t>
            </w:r>
          </w:p>
        </w:tc>
        <w:tc>
          <w:tcPr>
            <w:tcW w:w="3774" w:type="dxa"/>
          </w:tcPr>
          <w:p w14:paraId="5D157366" w14:textId="77777777" w:rsidR="00C77D5B" w:rsidRPr="00B953FA" w:rsidRDefault="00C77D5B" w:rsidP="00E00356">
            <w:pPr>
              <w:numPr>
                <w:ilvl w:val="0"/>
                <w:numId w:val="12"/>
              </w:numPr>
              <w:spacing w:before="60" w:after="60"/>
              <w:rPr>
                <w:sz w:val="20"/>
                <w:lang w:val="fr-FR"/>
              </w:rPr>
            </w:pPr>
            <w:r w:rsidRPr="00B953FA">
              <w:rPr>
                <w:sz w:val="20"/>
                <w:lang w:val="fr-FR"/>
              </w:rPr>
              <w:t>Protège toutes les œuvres artistiques et les manuscrits.</w:t>
            </w:r>
          </w:p>
          <w:p w14:paraId="1AF8E600" w14:textId="45E8C445" w:rsidR="00C77D5B" w:rsidRPr="00B953FA" w:rsidRDefault="00C77D5B" w:rsidP="002D7EE2">
            <w:pPr>
              <w:numPr>
                <w:ilvl w:val="0"/>
                <w:numId w:val="12"/>
              </w:numPr>
              <w:spacing w:after="60"/>
              <w:rPr>
                <w:sz w:val="20"/>
                <w:lang w:val="fr-FR"/>
              </w:rPr>
            </w:pPr>
            <w:r w:rsidRPr="00B953FA">
              <w:rPr>
                <w:sz w:val="20"/>
                <w:lang w:val="fr-FR"/>
              </w:rPr>
              <w:t>Ils doivent être “originaux”</w:t>
            </w:r>
            <w:r w:rsidR="0033027D" w:rsidRPr="00B953FA">
              <w:rPr>
                <w:sz w:val="20"/>
                <w:lang w:val="fr-FR"/>
              </w:rPr>
              <w:t xml:space="preserve">, </w:t>
            </w:r>
            <w:r w:rsidR="000A0979" w:rsidRPr="00B953FA">
              <w:rPr>
                <w:sz w:val="20"/>
                <w:lang w:val="fr-FR"/>
              </w:rPr>
              <w:t>à savoir</w:t>
            </w:r>
            <w:r w:rsidR="0033027D" w:rsidRPr="00B953FA">
              <w:rPr>
                <w:sz w:val="20"/>
                <w:lang w:val="fr-FR"/>
              </w:rPr>
              <w:t xml:space="preserve"> être les premières incarnations de l</w:t>
            </w:r>
            <w:r w:rsidR="000A0979" w:rsidRPr="00B953FA">
              <w:rPr>
                <w:sz w:val="20"/>
                <w:lang w:val="fr-FR"/>
              </w:rPr>
              <w:t>’</w:t>
            </w:r>
            <w:r w:rsidR="0033027D" w:rsidRPr="00B953FA">
              <w:rPr>
                <w:sz w:val="20"/>
                <w:lang w:val="fr-FR"/>
              </w:rPr>
              <w:t>œuvre</w:t>
            </w:r>
            <w:r w:rsidRPr="00B953FA">
              <w:rPr>
                <w:sz w:val="20"/>
                <w:lang w:val="fr-FR"/>
              </w:rPr>
              <w:t>.</w:t>
            </w:r>
          </w:p>
          <w:p w14:paraId="599C4E96" w14:textId="48A93B25" w:rsidR="00C77D5B" w:rsidRPr="00B953FA" w:rsidRDefault="00C77D5B" w:rsidP="002D7EE2">
            <w:pPr>
              <w:numPr>
                <w:ilvl w:val="0"/>
                <w:numId w:val="12"/>
              </w:numPr>
              <w:spacing w:after="60"/>
              <w:rPr>
                <w:sz w:val="20"/>
                <w:lang w:val="fr-FR"/>
              </w:rPr>
            </w:pPr>
            <w:r w:rsidRPr="00B953FA">
              <w:rPr>
                <w:sz w:val="20"/>
                <w:lang w:val="fr-FR"/>
              </w:rPr>
              <w:t>D</w:t>
            </w:r>
            <w:r w:rsidR="000A0979" w:rsidRPr="00B953FA">
              <w:rPr>
                <w:sz w:val="20"/>
                <w:lang w:val="fr-FR"/>
              </w:rPr>
              <w:t>’</w:t>
            </w:r>
            <w:r w:rsidRPr="00B953FA">
              <w:rPr>
                <w:sz w:val="20"/>
                <w:lang w:val="fr-FR"/>
              </w:rPr>
              <w:t>un point de vue rédactionnel, cela peut être l</w:t>
            </w:r>
            <w:r w:rsidR="000A0979" w:rsidRPr="00B953FA">
              <w:rPr>
                <w:sz w:val="20"/>
                <w:lang w:val="fr-FR"/>
              </w:rPr>
              <w:t>’</w:t>
            </w:r>
            <w:r w:rsidRPr="00B953FA">
              <w:rPr>
                <w:sz w:val="20"/>
                <w:lang w:val="fr-FR"/>
              </w:rPr>
              <w:t>approche la plus simple, car il n</w:t>
            </w:r>
            <w:r w:rsidR="000A0979" w:rsidRPr="00B953FA">
              <w:rPr>
                <w:sz w:val="20"/>
                <w:lang w:val="fr-FR"/>
              </w:rPr>
              <w:t>’</w:t>
            </w:r>
            <w:r w:rsidRPr="00B953FA">
              <w:rPr>
                <w:sz w:val="20"/>
                <w:lang w:val="fr-FR"/>
              </w:rPr>
              <w:t>y a pas de liste d</w:t>
            </w:r>
            <w:r w:rsidR="000A0979" w:rsidRPr="00B953FA">
              <w:rPr>
                <w:sz w:val="20"/>
                <w:lang w:val="fr-FR"/>
              </w:rPr>
              <w:t>’</w:t>
            </w:r>
            <w:r w:rsidRPr="00B953FA">
              <w:rPr>
                <w:sz w:val="20"/>
                <w:lang w:val="fr-FR"/>
              </w:rPr>
              <w:t>exemples joints et il appartiendra donc aux juridictions nationales de déterminer jusqu</w:t>
            </w:r>
            <w:r w:rsidR="000A0979" w:rsidRPr="00B953FA">
              <w:rPr>
                <w:sz w:val="20"/>
                <w:lang w:val="fr-FR"/>
              </w:rPr>
              <w:t>’</w:t>
            </w:r>
            <w:r w:rsidRPr="00B953FA">
              <w:rPr>
                <w:sz w:val="20"/>
                <w:lang w:val="fr-FR"/>
              </w:rPr>
              <w:t>où s</w:t>
            </w:r>
            <w:r w:rsidR="000A0979" w:rsidRPr="00B953FA">
              <w:rPr>
                <w:sz w:val="20"/>
                <w:lang w:val="fr-FR"/>
              </w:rPr>
              <w:t>’</w:t>
            </w:r>
            <w:r w:rsidRPr="00B953FA">
              <w:rPr>
                <w:sz w:val="20"/>
                <w:lang w:val="fr-FR"/>
              </w:rPr>
              <w:t>étend l</w:t>
            </w:r>
            <w:r w:rsidR="000A0979" w:rsidRPr="00B953FA">
              <w:rPr>
                <w:sz w:val="20"/>
                <w:lang w:val="fr-FR"/>
              </w:rPr>
              <w:t>’</w:t>
            </w:r>
            <w:r w:rsidRPr="00B953FA">
              <w:rPr>
                <w:sz w:val="20"/>
                <w:lang w:val="fr-FR"/>
              </w:rPr>
              <w:t>expression “toutes les œuvres originales graphiques et tridimensionnelles”.  Par exemple, cela inclut</w:t>
            </w:r>
            <w:r w:rsidR="00FA1A0F">
              <w:rPr>
                <w:sz w:val="20"/>
                <w:lang w:val="fr-FR"/>
              </w:rPr>
              <w:noBreakHyphen/>
            </w:r>
            <w:r w:rsidRPr="00B953FA">
              <w:rPr>
                <w:sz w:val="20"/>
                <w:lang w:val="fr-FR"/>
              </w:rPr>
              <w:t>il les œuvres d</w:t>
            </w:r>
            <w:r w:rsidR="000A0979" w:rsidRPr="00B953FA">
              <w:rPr>
                <w:sz w:val="20"/>
                <w:lang w:val="fr-FR"/>
              </w:rPr>
              <w:t>’</w:t>
            </w:r>
            <w:r w:rsidRPr="00B953FA">
              <w:rPr>
                <w:sz w:val="20"/>
                <w:lang w:val="fr-FR"/>
              </w:rPr>
              <w:t>art appliqué et les œuvres photographiques (sans parler d</w:t>
            </w:r>
            <w:r w:rsidR="000A0979" w:rsidRPr="00B953FA">
              <w:rPr>
                <w:sz w:val="20"/>
                <w:lang w:val="fr-FR"/>
              </w:rPr>
              <w:t>’</w:t>
            </w:r>
            <w:r w:rsidRPr="00B953FA">
              <w:rPr>
                <w:sz w:val="20"/>
                <w:lang w:val="fr-FR"/>
              </w:rPr>
              <w:t>autres types d</w:t>
            </w:r>
            <w:r w:rsidR="000A0979" w:rsidRPr="00B953FA">
              <w:rPr>
                <w:sz w:val="20"/>
                <w:lang w:val="fr-FR"/>
              </w:rPr>
              <w:t>’</w:t>
            </w:r>
            <w:r w:rsidRPr="00B953FA">
              <w:rPr>
                <w:sz w:val="20"/>
                <w:lang w:val="fr-FR"/>
              </w:rPr>
              <w:t>œuvres artistiques, telles que les sculptures, les dessins, etc.</w:t>
            </w:r>
            <w:proofErr w:type="gramStart"/>
            <w:r w:rsidRPr="00B953FA">
              <w:rPr>
                <w:sz w:val="20"/>
                <w:lang w:val="fr-FR"/>
              </w:rPr>
              <w:t>)?</w:t>
            </w:r>
            <w:proofErr w:type="gramEnd"/>
          </w:p>
          <w:p w14:paraId="5C7FC05C" w14:textId="2FDC0CB0" w:rsidR="00C77D5B" w:rsidRPr="00B953FA" w:rsidRDefault="00C77D5B" w:rsidP="002D7EE2">
            <w:pPr>
              <w:numPr>
                <w:ilvl w:val="0"/>
                <w:numId w:val="12"/>
              </w:numPr>
              <w:spacing w:after="60"/>
              <w:rPr>
                <w:sz w:val="20"/>
                <w:lang w:val="fr-FR"/>
              </w:rPr>
            </w:pPr>
            <w:r w:rsidRPr="00B953FA">
              <w:rPr>
                <w:sz w:val="20"/>
                <w:lang w:val="fr-FR"/>
              </w:rPr>
              <w:t>La vertu d</w:t>
            </w:r>
            <w:r w:rsidR="000A0979" w:rsidRPr="00B953FA">
              <w:rPr>
                <w:sz w:val="20"/>
                <w:lang w:val="fr-FR"/>
              </w:rPr>
              <w:t>’</w:t>
            </w:r>
            <w:r w:rsidRPr="00B953FA">
              <w:rPr>
                <w:sz w:val="20"/>
                <w:lang w:val="fr-FR"/>
              </w:rPr>
              <w:t>une disposition générale comme celle</w:t>
            </w:r>
            <w:r w:rsidR="00FA1A0F">
              <w:rPr>
                <w:sz w:val="20"/>
                <w:lang w:val="fr-FR"/>
              </w:rPr>
              <w:noBreakHyphen/>
            </w:r>
            <w:r w:rsidRPr="00B953FA">
              <w:rPr>
                <w:sz w:val="20"/>
                <w:lang w:val="fr-FR"/>
              </w:rPr>
              <w:t>ci est qu</w:t>
            </w:r>
            <w:r w:rsidR="000A0979" w:rsidRPr="00B953FA">
              <w:rPr>
                <w:sz w:val="20"/>
                <w:lang w:val="fr-FR"/>
              </w:rPr>
              <w:t>’</w:t>
            </w:r>
            <w:r w:rsidRPr="00B953FA">
              <w:rPr>
                <w:sz w:val="20"/>
                <w:lang w:val="fr-FR"/>
              </w:rPr>
              <w:t>elle devrait assurer la congruence entre le droit de suite des artistes et les lois nationales sur le droit d</w:t>
            </w:r>
            <w:r w:rsidR="000A0979" w:rsidRPr="00B953FA">
              <w:rPr>
                <w:sz w:val="20"/>
                <w:lang w:val="fr-FR"/>
              </w:rPr>
              <w:t>’</w:t>
            </w:r>
            <w:r w:rsidRPr="00B953FA">
              <w:rPr>
                <w:sz w:val="20"/>
                <w:lang w:val="fr-FR"/>
              </w:rPr>
              <w:t>auteur sur ces questions (bien qu</w:t>
            </w:r>
            <w:r w:rsidR="000A0979" w:rsidRPr="00B953FA">
              <w:rPr>
                <w:sz w:val="20"/>
                <w:lang w:val="fr-FR"/>
              </w:rPr>
              <w:t>’</w:t>
            </w:r>
            <w:r w:rsidRPr="00B953FA">
              <w:rPr>
                <w:sz w:val="20"/>
                <w:lang w:val="fr-FR"/>
              </w:rPr>
              <w:t>il puisse être préférable d</w:t>
            </w:r>
            <w:r w:rsidR="000A0979" w:rsidRPr="00B953FA">
              <w:rPr>
                <w:sz w:val="20"/>
                <w:lang w:val="fr-FR"/>
              </w:rPr>
              <w:t>’</w:t>
            </w:r>
            <w:r w:rsidRPr="00B953FA">
              <w:rPr>
                <w:sz w:val="20"/>
                <w:lang w:val="fr-FR"/>
              </w:rPr>
              <w:t>inclure une référence spécifique ici, telle que “en vertu de la loi sur le droit d</w:t>
            </w:r>
            <w:r w:rsidR="000A0979" w:rsidRPr="00B953FA">
              <w:rPr>
                <w:sz w:val="20"/>
                <w:lang w:val="fr-FR"/>
              </w:rPr>
              <w:t>’</w:t>
            </w:r>
            <w:r w:rsidRPr="00B953FA">
              <w:rPr>
                <w:sz w:val="20"/>
                <w:lang w:val="fr-FR"/>
              </w:rPr>
              <w:t>auteur, etc., de…”</w:t>
            </w:r>
            <w:r w:rsidR="000804CD">
              <w:rPr>
                <w:sz w:val="20"/>
                <w:lang w:val="fr-FR"/>
              </w:rPr>
              <w:t>)</w:t>
            </w:r>
            <w:r w:rsidRPr="00B953FA">
              <w:rPr>
                <w:sz w:val="20"/>
                <w:lang w:val="fr-FR"/>
              </w:rPr>
              <w:t>.</w:t>
            </w:r>
          </w:p>
          <w:p w14:paraId="1A1AA678" w14:textId="0E507827" w:rsidR="00C77D5B" w:rsidRPr="00B953FA" w:rsidRDefault="00C77D5B" w:rsidP="002D7EE2">
            <w:pPr>
              <w:numPr>
                <w:ilvl w:val="0"/>
                <w:numId w:val="12"/>
              </w:numPr>
              <w:spacing w:after="60"/>
              <w:rPr>
                <w:sz w:val="20"/>
                <w:lang w:val="fr-FR"/>
              </w:rPr>
            </w:pPr>
            <w:r w:rsidRPr="00B953FA">
              <w:rPr>
                <w:sz w:val="20"/>
                <w:lang w:val="fr-FR"/>
              </w:rPr>
              <w:t>Il est prévu d</w:t>
            </w:r>
            <w:r w:rsidR="000A0979" w:rsidRPr="00B953FA">
              <w:rPr>
                <w:sz w:val="20"/>
                <w:lang w:val="fr-FR"/>
              </w:rPr>
              <w:t>’</w:t>
            </w:r>
            <w:r w:rsidRPr="00B953FA">
              <w:rPr>
                <w:sz w:val="20"/>
                <w:lang w:val="fr-FR"/>
              </w:rPr>
              <w:t>étendre le droit de suite des artistes aux manuscrits originaux.</w:t>
            </w:r>
          </w:p>
        </w:tc>
      </w:tr>
      <w:tr w:rsidR="00C77D5B" w:rsidRPr="00B953FA" w14:paraId="0EED505A" w14:textId="77777777" w:rsidTr="00E00356">
        <w:tc>
          <w:tcPr>
            <w:tcW w:w="1478" w:type="dxa"/>
          </w:tcPr>
          <w:p w14:paraId="0BEDE795" w14:textId="77777777" w:rsidR="00C77D5B" w:rsidRPr="00B953FA" w:rsidRDefault="00C77D5B" w:rsidP="00E00356">
            <w:pPr>
              <w:keepLines/>
              <w:spacing w:before="60" w:after="220"/>
              <w:rPr>
                <w:sz w:val="20"/>
                <w:lang w:val="fr-FR"/>
              </w:rPr>
            </w:pPr>
            <w:r w:rsidRPr="00B953FA">
              <w:rPr>
                <w:sz w:val="20"/>
                <w:lang w:val="fr-FR"/>
              </w:rPr>
              <w:lastRenderedPageBreak/>
              <w:t>Liste inclusive (œuvres artistiques originales uniquement) (CE)</w:t>
            </w:r>
          </w:p>
        </w:tc>
        <w:tc>
          <w:tcPr>
            <w:tcW w:w="3402" w:type="dxa"/>
          </w:tcPr>
          <w:p w14:paraId="40D9E831" w14:textId="4805FF04" w:rsidR="00C77D5B" w:rsidRPr="00B953FA" w:rsidRDefault="00C77D5B" w:rsidP="00E00356">
            <w:pPr>
              <w:spacing w:before="60" w:after="220"/>
              <w:rPr>
                <w:iCs/>
                <w:sz w:val="20"/>
                <w:lang w:val="fr-FR"/>
              </w:rPr>
            </w:pPr>
            <w:r w:rsidRPr="00B953FA">
              <w:rPr>
                <w:iCs/>
                <w:sz w:val="20"/>
                <w:lang w:val="fr-FR"/>
              </w:rPr>
              <w:t>1.</w:t>
            </w:r>
            <w:r w:rsidR="00FB6E84" w:rsidRPr="00B953FA">
              <w:rPr>
                <w:iCs/>
                <w:sz w:val="20"/>
                <w:lang w:val="fr-FR"/>
              </w:rPr>
              <w:t xml:space="preserve"> </w:t>
            </w:r>
            <w:r w:rsidRPr="00B953FA">
              <w:rPr>
                <w:iCs/>
                <w:sz w:val="20"/>
                <w:lang w:val="fr-FR"/>
              </w:rPr>
              <w:t xml:space="preserve"> Aux fins de la présente directive, “</w:t>
            </w:r>
            <w:r w:rsidRPr="00B953FA">
              <w:rPr>
                <w:sz w:val="20"/>
                <w:lang w:val="fr-FR"/>
              </w:rPr>
              <w:t xml:space="preserve">œuvre </w:t>
            </w:r>
            <w:r w:rsidRPr="00B953FA">
              <w:rPr>
                <w:iCs/>
                <w:sz w:val="20"/>
                <w:lang w:val="fr-FR"/>
              </w:rPr>
              <w:t>d</w:t>
            </w:r>
            <w:r w:rsidR="000A0979" w:rsidRPr="00B953FA">
              <w:rPr>
                <w:iCs/>
                <w:sz w:val="20"/>
                <w:lang w:val="fr-FR"/>
              </w:rPr>
              <w:t>’</w:t>
            </w:r>
            <w:r w:rsidRPr="00B953FA">
              <w:rPr>
                <w:iCs/>
                <w:sz w:val="20"/>
                <w:lang w:val="fr-FR"/>
              </w:rPr>
              <w:t>art originale” désigne les œuvres d</w:t>
            </w:r>
            <w:r w:rsidR="000A0979" w:rsidRPr="00B953FA">
              <w:rPr>
                <w:iCs/>
                <w:sz w:val="20"/>
                <w:lang w:val="fr-FR"/>
              </w:rPr>
              <w:t>’</w:t>
            </w:r>
            <w:r w:rsidRPr="00B953FA">
              <w:rPr>
                <w:iCs/>
                <w:sz w:val="20"/>
                <w:lang w:val="fr-FR"/>
              </w:rPr>
              <w:t>art graphique ou plastique telles que les images, les collages, les tableaux, les dessins, les gravures, les estampes, les lithographies, les sculptures, les tapisseries, les céramiques, la verrerie et les photographies, à condition qu</w:t>
            </w:r>
            <w:r w:rsidR="000A0979" w:rsidRPr="00B953FA">
              <w:rPr>
                <w:iCs/>
                <w:sz w:val="20"/>
                <w:lang w:val="fr-FR"/>
              </w:rPr>
              <w:t>’</w:t>
            </w:r>
            <w:r w:rsidRPr="00B953FA">
              <w:rPr>
                <w:iCs/>
                <w:sz w:val="20"/>
                <w:lang w:val="fr-FR"/>
              </w:rPr>
              <w:t>elles soient réalisées par l</w:t>
            </w:r>
            <w:r w:rsidR="000A0979" w:rsidRPr="00B953FA">
              <w:rPr>
                <w:iCs/>
                <w:sz w:val="20"/>
                <w:lang w:val="fr-FR"/>
              </w:rPr>
              <w:t>’</w:t>
            </w:r>
            <w:r w:rsidRPr="00B953FA">
              <w:rPr>
                <w:iCs/>
                <w:sz w:val="20"/>
                <w:lang w:val="fr-FR"/>
              </w:rPr>
              <w:t>artiste lui</w:t>
            </w:r>
            <w:r w:rsidR="00FA1A0F">
              <w:rPr>
                <w:iCs/>
                <w:sz w:val="20"/>
                <w:lang w:val="fr-FR"/>
              </w:rPr>
              <w:noBreakHyphen/>
            </w:r>
            <w:r w:rsidRPr="00B953FA">
              <w:rPr>
                <w:iCs/>
                <w:sz w:val="20"/>
                <w:lang w:val="fr-FR"/>
              </w:rPr>
              <w:t>même ou qu</w:t>
            </w:r>
            <w:r w:rsidR="000A0979" w:rsidRPr="00B953FA">
              <w:rPr>
                <w:iCs/>
                <w:sz w:val="20"/>
                <w:lang w:val="fr-FR"/>
              </w:rPr>
              <w:t>’</w:t>
            </w:r>
            <w:r w:rsidRPr="00B953FA">
              <w:rPr>
                <w:iCs/>
                <w:sz w:val="20"/>
                <w:lang w:val="fr-FR"/>
              </w:rPr>
              <w:t>il s</w:t>
            </w:r>
            <w:r w:rsidR="000A0979" w:rsidRPr="00B953FA">
              <w:rPr>
                <w:iCs/>
                <w:sz w:val="20"/>
                <w:lang w:val="fr-FR"/>
              </w:rPr>
              <w:t>’</w:t>
            </w:r>
            <w:r w:rsidRPr="00B953FA">
              <w:rPr>
                <w:iCs/>
                <w:sz w:val="20"/>
                <w:lang w:val="fr-FR"/>
              </w:rPr>
              <w:t>agisse de copies considérées comme des œuvres d</w:t>
            </w:r>
            <w:r w:rsidR="000A0979" w:rsidRPr="00B953FA">
              <w:rPr>
                <w:iCs/>
                <w:sz w:val="20"/>
                <w:lang w:val="fr-FR"/>
              </w:rPr>
              <w:t>’</w:t>
            </w:r>
            <w:r w:rsidRPr="00B953FA">
              <w:rPr>
                <w:iCs/>
                <w:sz w:val="20"/>
                <w:lang w:val="fr-FR"/>
              </w:rPr>
              <w:t>art originales.</w:t>
            </w:r>
          </w:p>
          <w:p w14:paraId="02AD67F6" w14:textId="294A09D1" w:rsidR="00C77D5B" w:rsidRPr="00B953FA" w:rsidRDefault="00C77D5B" w:rsidP="00E00356">
            <w:pPr>
              <w:spacing w:before="60" w:after="220"/>
              <w:rPr>
                <w:iCs/>
                <w:sz w:val="20"/>
                <w:lang w:val="fr-FR"/>
              </w:rPr>
            </w:pPr>
            <w:r w:rsidRPr="00B953FA">
              <w:rPr>
                <w:iCs/>
                <w:sz w:val="20"/>
                <w:lang w:val="fr-FR"/>
              </w:rPr>
              <w:t xml:space="preserve">2. </w:t>
            </w:r>
            <w:r w:rsidR="00FB6E84" w:rsidRPr="00B953FA">
              <w:rPr>
                <w:iCs/>
                <w:sz w:val="20"/>
                <w:lang w:val="fr-FR"/>
              </w:rPr>
              <w:t xml:space="preserve"> </w:t>
            </w:r>
            <w:r w:rsidRPr="00B953FA">
              <w:rPr>
                <w:iCs/>
                <w:sz w:val="20"/>
                <w:lang w:val="fr-FR"/>
              </w:rPr>
              <w:t>Les copies d</w:t>
            </w:r>
            <w:r w:rsidR="000A0979" w:rsidRPr="00B953FA">
              <w:rPr>
                <w:iCs/>
                <w:sz w:val="20"/>
                <w:lang w:val="fr-FR"/>
              </w:rPr>
              <w:t>’</w:t>
            </w:r>
            <w:r w:rsidRPr="00B953FA">
              <w:rPr>
                <w:iCs/>
                <w:sz w:val="20"/>
                <w:lang w:val="fr-FR"/>
              </w:rPr>
              <w:t>œuvres d</w:t>
            </w:r>
            <w:r w:rsidR="000A0979" w:rsidRPr="00B953FA">
              <w:rPr>
                <w:iCs/>
                <w:sz w:val="20"/>
                <w:lang w:val="fr-FR"/>
              </w:rPr>
              <w:t>’</w:t>
            </w:r>
            <w:r w:rsidRPr="00B953FA">
              <w:rPr>
                <w:iCs/>
                <w:sz w:val="20"/>
                <w:lang w:val="fr-FR"/>
              </w:rPr>
              <w:t>art réalisées en nombre limité par l</w:t>
            </w:r>
            <w:r w:rsidR="000A0979" w:rsidRPr="00B953FA">
              <w:rPr>
                <w:iCs/>
                <w:sz w:val="20"/>
                <w:lang w:val="fr-FR"/>
              </w:rPr>
              <w:t>’</w:t>
            </w:r>
            <w:r w:rsidRPr="00B953FA">
              <w:rPr>
                <w:iCs/>
                <w:sz w:val="20"/>
                <w:lang w:val="fr-FR"/>
              </w:rPr>
              <w:t>artiste lui</w:t>
            </w:r>
            <w:r w:rsidR="00FA1A0F">
              <w:rPr>
                <w:iCs/>
                <w:sz w:val="20"/>
                <w:lang w:val="fr-FR"/>
              </w:rPr>
              <w:noBreakHyphen/>
            </w:r>
            <w:r w:rsidRPr="00B953FA">
              <w:rPr>
                <w:iCs/>
                <w:sz w:val="20"/>
                <w:lang w:val="fr-FR"/>
              </w:rPr>
              <w:t>même ou sous son autorité sont considérées comme des œuvres d</w:t>
            </w:r>
            <w:r w:rsidR="000A0979" w:rsidRPr="00B953FA">
              <w:rPr>
                <w:iCs/>
                <w:sz w:val="20"/>
                <w:lang w:val="fr-FR"/>
              </w:rPr>
              <w:t>’</w:t>
            </w:r>
            <w:r w:rsidRPr="00B953FA">
              <w:rPr>
                <w:iCs/>
                <w:sz w:val="20"/>
                <w:lang w:val="fr-FR"/>
              </w:rPr>
              <w:t>art original</w:t>
            </w:r>
            <w:r w:rsidR="00B953FA" w:rsidRPr="00B953FA">
              <w:rPr>
                <w:iCs/>
                <w:sz w:val="20"/>
                <w:lang w:val="fr-FR"/>
              </w:rPr>
              <w:t>es.  Ce</w:t>
            </w:r>
            <w:r w:rsidRPr="00B953FA">
              <w:rPr>
                <w:iCs/>
                <w:sz w:val="20"/>
                <w:lang w:val="fr-FR"/>
              </w:rPr>
              <w:t>s copies auront normalement été numérotées, signées ou autrement dûment autorisées par l</w:t>
            </w:r>
            <w:r w:rsidR="000A0979" w:rsidRPr="00B953FA">
              <w:rPr>
                <w:iCs/>
                <w:sz w:val="20"/>
                <w:lang w:val="fr-FR"/>
              </w:rPr>
              <w:t>’</w:t>
            </w:r>
            <w:r w:rsidRPr="00B953FA">
              <w:rPr>
                <w:iCs/>
                <w:sz w:val="20"/>
                <w:lang w:val="fr-FR"/>
              </w:rPr>
              <w:t>artiste</w:t>
            </w:r>
            <w:r w:rsidRPr="00B953FA">
              <w:rPr>
                <w:iCs/>
                <w:sz w:val="20"/>
                <w:vertAlign w:val="superscript"/>
                <w:lang w:val="fr-FR"/>
              </w:rPr>
              <w:footnoteReference w:id="46"/>
            </w:r>
            <w:r w:rsidRPr="00B953FA">
              <w:rPr>
                <w:iCs/>
                <w:sz w:val="20"/>
                <w:lang w:val="fr-FR"/>
              </w:rPr>
              <w:t>.</w:t>
            </w:r>
          </w:p>
        </w:tc>
        <w:tc>
          <w:tcPr>
            <w:tcW w:w="3774" w:type="dxa"/>
          </w:tcPr>
          <w:p w14:paraId="5179F8C5" w14:textId="502A2EC4" w:rsidR="00C77D5B" w:rsidRPr="00B953FA" w:rsidRDefault="00C77D5B" w:rsidP="00E00356">
            <w:pPr>
              <w:numPr>
                <w:ilvl w:val="0"/>
                <w:numId w:val="13"/>
              </w:numPr>
              <w:spacing w:before="60" w:after="60"/>
              <w:rPr>
                <w:sz w:val="20"/>
                <w:lang w:val="fr-FR"/>
              </w:rPr>
            </w:pPr>
            <w:r w:rsidRPr="00B953FA">
              <w:rPr>
                <w:sz w:val="20"/>
                <w:lang w:val="fr-FR"/>
              </w:rPr>
              <w:t>Bien qu</w:t>
            </w:r>
            <w:r w:rsidR="000A0979" w:rsidRPr="00B953FA">
              <w:rPr>
                <w:sz w:val="20"/>
                <w:lang w:val="fr-FR"/>
              </w:rPr>
              <w:t>’</w:t>
            </w:r>
            <w:r w:rsidRPr="00B953FA">
              <w:rPr>
                <w:sz w:val="20"/>
                <w:lang w:val="fr-FR"/>
              </w:rPr>
              <w:t>exprimée en termes généraux (“œuvres d</w:t>
            </w:r>
            <w:r w:rsidR="000A0979" w:rsidRPr="00B953FA">
              <w:rPr>
                <w:sz w:val="20"/>
                <w:lang w:val="fr-FR"/>
              </w:rPr>
              <w:t>’</w:t>
            </w:r>
            <w:r w:rsidRPr="00B953FA">
              <w:rPr>
                <w:sz w:val="20"/>
                <w:lang w:val="fr-FR"/>
              </w:rPr>
              <w:t>art graphique ou plastique”), la liste d</w:t>
            </w:r>
            <w:r w:rsidR="000A0979" w:rsidRPr="00B953FA">
              <w:rPr>
                <w:sz w:val="20"/>
                <w:lang w:val="fr-FR"/>
              </w:rPr>
              <w:t>’</w:t>
            </w:r>
            <w:r w:rsidRPr="00B953FA">
              <w:rPr>
                <w:sz w:val="20"/>
                <w:lang w:val="fr-FR"/>
              </w:rPr>
              <w:t>exemples commençant par “telles que” peut suggérer certaines limitations, par exemple en ce qui concerne certains types d</w:t>
            </w:r>
            <w:r w:rsidR="000A0979" w:rsidRPr="00B953FA">
              <w:rPr>
                <w:sz w:val="20"/>
                <w:lang w:val="fr-FR"/>
              </w:rPr>
              <w:t>’</w:t>
            </w:r>
            <w:r w:rsidRPr="00B953FA">
              <w:rPr>
                <w:sz w:val="20"/>
                <w:lang w:val="fr-FR"/>
              </w:rPr>
              <w:t>œuvres artisanales non répertoriées ou, plus généralement, des œuvres d</w:t>
            </w:r>
            <w:r w:rsidR="000A0979" w:rsidRPr="00B953FA">
              <w:rPr>
                <w:sz w:val="20"/>
                <w:lang w:val="fr-FR"/>
              </w:rPr>
              <w:t>’</w:t>
            </w:r>
            <w:r w:rsidRPr="00B953FA">
              <w:rPr>
                <w:sz w:val="20"/>
                <w:lang w:val="fr-FR"/>
              </w:rPr>
              <w:t>art appliqué.</w:t>
            </w:r>
          </w:p>
          <w:p w14:paraId="4F498472" w14:textId="44DF216F" w:rsidR="00C77D5B" w:rsidRPr="00B953FA" w:rsidRDefault="00C77D5B" w:rsidP="002D7EE2">
            <w:pPr>
              <w:numPr>
                <w:ilvl w:val="0"/>
                <w:numId w:val="13"/>
              </w:numPr>
              <w:spacing w:after="60"/>
              <w:rPr>
                <w:sz w:val="20"/>
                <w:lang w:val="fr-FR"/>
              </w:rPr>
            </w:pPr>
            <w:r w:rsidRPr="00B953FA">
              <w:rPr>
                <w:sz w:val="20"/>
                <w:lang w:val="fr-FR"/>
              </w:rPr>
              <w:t>L</w:t>
            </w:r>
            <w:r w:rsidR="000A0979" w:rsidRPr="00B953FA">
              <w:rPr>
                <w:sz w:val="20"/>
                <w:lang w:val="fr-FR"/>
              </w:rPr>
              <w:t>’</w:t>
            </w:r>
            <w:r w:rsidRPr="00B953FA">
              <w:rPr>
                <w:sz w:val="20"/>
                <w:lang w:val="fr-FR"/>
              </w:rPr>
              <w:t xml:space="preserve">alinéa 2 traite de la question des œuvres produites en nombre limité et suggère des critères qui pourraient être retenus </w:t>
            </w:r>
            <w:r w:rsidR="00F14849" w:rsidRPr="00B953FA">
              <w:rPr>
                <w:sz w:val="20"/>
                <w:lang w:val="fr-FR"/>
              </w:rPr>
              <w:t>pour que ces œuvres puissent toujours être traitées comme des œuvres d</w:t>
            </w:r>
            <w:r w:rsidR="000A0979" w:rsidRPr="00B953FA">
              <w:rPr>
                <w:sz w:val="20"/>
                <w:lang w:val="fr-FR"/>
              </w:rPr>
              <w:t>’</w:t>
            </w:r>
            <w:r w:rsidR="00F14849" w:rsidRPr="00B953FA">
              <w:rPr>
                <w:sz w:val="20"/>
                <w:lang w:val="fr-FR"/>
              </w:rPr>
              <w:t>art “originales”</w:t>
            </w:r>
            <w:r w:rsidRPr="00B953FA">
              <w:rPr>
                <w:sz w:val="20"/>
                <w:lang w:val="fr-FR"/>
              </w:rPr>
              <w:t>.</w:t>
            </w:r>
          </w:p>
          <w:p w14:paraId="526AE2F4" w14:textId="1B1750AB" w:rsidR="00C77D5B" w:rsidRPr="00B953FA" w:rsidRDefault="00C77D5B" w:rsidP="002D7EE2">
            <w:pPr>
              <w:numPr>
                <w:ilvl w:val="0"/>
                <w:numId w:val="13"/>
              </w:numPr>
              <w:spacing w:after="60"/>
              <w:rPr>
                <w:sz w:val="20"/>
                <w:lang w:val="fr-FR"/>
              </w:rPr>
            </w:pPr>
            <w:r w:rsidRPr="00B953FA">
              <w:rPr>
                <w:sz w:val="20"/>
                <w:lang w:val="fr-FR"/>
              </w:rPr>
              <w:t>Comme remarque générale sur l</w:t>
            </w:r>
            <w:r w:rsidR="000A0979" w:rsidRPr="00B953FA">
              <w:rPr>
                <w:sz w:val="20"/>
                <w:lang w:val="fr-FR"/>
              </w:rPr>
              <w:t>’</w:t>
            </w:r>
            <w:r w:rsidRPr="00B953FA">
              <w:rPr>
                <w:sz w:val="20"/>
                <w:lang w:val="fr-FR"/>
              </w:rPr>
              <w:t>alinéa 1, les adjectifs “graphique” et “plastique” peuvent être suffisants à eux seuls pour protéger toutes les œuvres artistiques bidimensionnelles et tridimensionnelles, ce qui rend inutile la liste d</w:t>
            </w:r>
            <w:r w:rsidR="000A0979" w:rsidRPr="00B953FA">
              <w:rPr>
                <w:sz w:val="20"/>
                <w:lang w:val="fr-FR"/>
              </w:rPr>
              <w:t>’</w:t>
            </w:r>
            <w:r w:rsidRPr="00B953FA">
              <w:rPr>
                <w:sz w:val="20"/>
                <w:lang w:val="fr-FR"/>
              </w:rPr>
              <w:t>exemples illustratifs qui suit.  (Bien que l</w:t>
            </w:r>
            <w:r w:rsidR="000A0979" w:rsidRPr="00B953FA">
              <w:rPr>
                <w:sz w:val="20"/>
                <w:lang w:val="fr-FR"/>
              </w:rPr>
              <w:t>’</w:t>
            </w:r>
            <w:r w:rsidRPr="00B953FA">
              <w:rPr>
                <w:sz w:val="20"/>
                <w:lang w:val="fr-FR"/>
              </w:rPr>
              <w:t>on puisse soutenir que cette dernière est toujours utile pour démontrer la portée de chaque expression</w:t>
            </w:r>
            <w:r w:rsidR="00D53C0A" w:rsidRPr="00B953FA">
              <w:rPr>
                <w:sz w:val="20"/>
                <w:lang w:val="fr-FR"/>
              </w:rPr>
              <w:t>.</w:t>
            </w:r>
            <w:r w:rsidRPr="00B953FA">
              <w:rPr>
                <w:sz w:val="20"/>
                <w:lang w:val="fr-FR"/>
              </w:rPr>
              <w:t>)</w:t>
            </w:r>
          </w:p>
          <w:p w14:paraId="699186CD" w14:textId="6353FA23" w:rsidR="00C77D5B" w:rsidRPr="00B953FA" w:rsidRDefault="00C77D5B" w:rsidP="002D7EE2">
            <w:pPr>
              <w:numPr>
                <w:ilvl w:val="0"/>
                <w:numId w:val="13"/>
              </w:numPr>
              <w:spacing w:after="60"/>
              <w:rPr>
                <w:sz w:val="20"/>
                <w:lang w:val="fr-FR"/>
              </w:rPr>
            </w:pPr>
            <w:r w:rsidRPr="00B953FA">
              <w:rPr>
                <w:sz w:val="20"/>
                <w:lang w:val="fr-FR"/>
              </w:rPr>
              <w:t>Il est donc suggéré que chaque système national travaille avec la terminologie adoptée dans sa propre loi nationale sur le droit d</w:t>
            </w:r>
            <w:r w:rsidR="000A0979" w:rsidRPr="00B953FA">
              <w:rPr>
                <w:sz w:val="20"/>
                <w:lang w:val="fr-FR"/>
              </w:rPr>
              <w:t>’</w:t>
            </w:r>
            <w:r w:rsidRPr="00B953FA">
              <w:rPr>
                <w:sz w:val="20"/>
                <w:lang w:val="fr-FR"/>
              </w:rPr>
              <w:t>auteur et s</w:t>
            </w:r>
            <w:r w:rsidR="000A0979" w:rsidRPr="00B953FA">
              <w:rPr>
                <w:sz w:val="20"/>
                <w:lang w:val="fr-FR"/>
              </w:rPr>
              <w:t>’</w:t>
            </w:r>
            <w:r w:rsidRPr="00B953FA">
              <w:rPr>
                <w:sz w:val="20"/>
                <w:lang w:val="fr-FR"/>
              </w:rPr>
              <w:t>efforce de corréler son système de droit de suite des artistes avec la définition générale de l</w:t>
            </w:r>
            <w:r w:rsidR="000A0979" w:rsidRPr="00B953FA">
              <w:rPr>
                <w:sz w:val="20"/>
                <w:lang w:val="fr-FR"/>
              </w:rPr>
              <w:t>’</w:t>
            </w:r>
            <w:r w:rsidRPr="00B953FA">
              <w:rPr>
                <w:sz w:val="20"/>
                <w:lang w:val="fr-FR"/>
              </w:rPr>
              <w:t>œuvre “artistique” utilisée dans cette loi.</w:t>
            </w:r>
          </w:p>
        </w:tc>
      </w:tr>
      <w:tr w:rsidR="00C77D5B" w:rsidRPr="00B953FA" w14:paraId="7D0290BA" w14:textId="77777777" w:rsidTr="00E00356">
        <w:tc>
          <w:tcPr>
            <w:tcW w:w="1478" w:type="dxa"/>
          </w:tcPr>
          <w:p w14:paraId="4130330F" w14:textId="279A23A6" w:rsidR="00C77D5B" w:rsidRPr="00B953FA" w:rsidRDefault="00C77D5B" w:rsidP="00E00356">
            <w:pPr>
              <w:spacing w:before="60" w:after="220"/>
              <w:rPr>
                <w:sz w:val="20"/>
                <w:lang w:val="fr-FR"/>
              </w:rPr>
            </w:pPr>
            <w:r w:rsidRPr="00B953FA">
              <w:rPr>
                <w:sz w:val="20"/>
                <w:lang w:val="fr-FR"/>
              </w:rPr>
              <w:t>Liste plus détaillée des œuvres artistiques ou “œuvres d</w:t>
            </w:r>
            <w:r w:rsidR="000A0979" w:rsidRPr="00B953FA">
              <w:rPr>
                <w:sz w:val="20"/>
                <w:lang w:val="fr-FR"/>
              </w:rPr>
              <w:t>’</w:t>
            </w:r>
            <w:r w:rsidRPr="00B953FA">
              <w:rPr>
                <w:sz w:val="20"/>
                <w:lang w:val="fr-FR"/>
              </w:rPr>
              <w:t>art” (Australie)</w:t>
            </w:r>
          </w:p>
        </w:tc>
        <w:tc>
          <w:tcPr>
            <w:tcW w:w="3402" w:type="dxa"/>
          </w:tcPr>
          <w:p w14:paraId="7123A049" w14:textId="61C0C43C" w:rsidR="00C77D5B" w:rsidRPr="00B953FA" w:rsidRDefault="00C77D5B" w:rsidP="00E00356">
            <w:pPr>
              <w:spacing w:before="60" w:after="60"/>
              <w:rPr>
                <w:iCs/>
                <w:sz w:val="20"/>
                <w:lang w:val="fr-FR"/>
              </w:rPr>
            </w:pPr>
            <w:r w:rsidRPr="00B953FA">
              <w:rPr>
                <w:iCs/>
                <w:sz w:val="20"/>
                <w:lang w:val="fr-FR"/>
              </w:rPr>
              <w:t>1) Une œuvre d</w:t>
            </w:r>
            <w:r w:rsidR="000A0979" w:rsidRPr="00B953FA">
              <w:rPr>
                <w:iCs/>
                <w:sz w:val="20"/>
                <w:lang w:val="fr-FR"/>
              </w:rPr>
              <w:t>’</w:t>
            </w:r>
            <w:r w:rsidRPr="00B953FA">
              <w:rPr>
                <w:iCs/>
                <w:sz w:val="20"/>
                <w:lang w:val="fr-FR"/>
              </w:rPr>
              <w:t>art est une œuvre d</w:t>
            </w:r>
            <w:r w:rsidR="000A0979" w:rsidRPr="00B953FA">
              <w:rPr>
                <w:iCs/>
                <w:sz w:val="20"/>
                <w:lang w:val="fr-FR"/>
              </w:rPr>
              <w:t>’</w:t>
            </w:r>
            <w:r w:rsidRPr="00B953FA">
              <w:rPr>
                <w:iCs/>
                <w:sz w:val="20"/>
                <w:lang w:val="fr-FR"/>
              </w:rPr>
              <w:t>art visuel originale qui est soit</w:t>
            </w:r>
            <w:r w:rsidR="000A0979" w:rsidRPr="00B953FA">
              <w:rPr>
                <w:iCs/>
                <w:sz w:val="20"/>
                <w:lang w:val="fr-FR"/>
              </w:rPr>
              <w:t> :</w:t>
            </w:r>
          </w:p>
          <w:p w14:paraId="7EC9088D"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créée</w:t>
            </w:r>
            <w:proofErr w:type="gramEnd"/>
            <w:r w:rsidRPr="00B953FA">
              <w:rPr>
                <w:iCs/>
                <w:sz w:val="20"/>
                <w:szCs w:val="20"/>
              </w:rPr>
              <w:t xml:space="preserve"> par le ou les artistes;  ou</w:t>
            </w:r>
          </w:p>
          <w:p w14:paraId="015A0921" w14:textId="5A13A083"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produit</w:t>
            </w:r>
            <w:proofErr w:type="gramEnd"/>
            <w:r w:rsidRPr="00B953FA">
              <w:rPr>
                <w:iCs/>
                <w:sz w:val="20"/>
                <w:szCs w:val="20"/>
              </w:rPr>
              <w:t xml:space="preserve"> sous l</w:t>
            </w:r>
            <w:r w:rsidR="000A0979" w:rsidRPr="00B953FA">
              <w:rPr>
                <w:iCs/>
                <w:sz w:val="20"/>
                <w:szCs w:val="20"/>
              </w:rPr>
              <w:t>’</w:t>
            </w:r>
            <w:r w:rsidRPr="00B953FA">
              <w:rPr>
                <w:iCs/>
                <w:sz w:val="20"/>
                <w:szCs w:val="20"/>
              </w:rPr>
              <w:t>autorité de l</w:t>
            </w:r>
            <w:r w:rsidR="000A0979" w:rsidRPr="00B953FA">
              <w:rPr>
                <w:iCs/>
                <w:sz w:val="20"/>
                <w:szCs w:val="20"/>
              </w:rPr>
              <w:t>’</w:t>
            </w:r>
            <w:r w:rsidRPr="00B953FA">
              <w:rPr>
                <w:iCs/>
                <w:sz w:val="20"/>
                <w:szCs w:val="20"/>
              </w:rPr>
              <w:t>artiste ou des artistes.</w:t>
            </w:r>
          </w:p>
          <w:p w14:paraId="761CECDC" w14:textId="03F0BB47" w:rsidR="00C77D5B" w:rsidRPr="00B953FA" w:rsidRDefault="00C77D5B" w:rsidP="002D7EE2">
            <w:pPr>
              <w:spacing w:after="60"/>
              <w:rPr>
                <w:iCs/>
                <w:sz w:val="20"/>
                <w:lang w:val="fr-FR"/>
              </w:rPr>
            </w:pPr>
            <w:r w:rsidRPr="00B953FA">
              <w:rPr>
                <w:iCs/>
                <w:sz w:val="20"/>
                <w:lang w:val="fr-FR"/>
              </w:rPr>
              <w:t>2) Les œuvres d</w:t>
            </w:r>
            <w:r w:rsidR="000A0979" w:rsidRPr="00B953FA">
              <w:rPr>
                <w:iCs/>
                <w:sz w:val="20"/>
                <w:lang w:val="fr-FR"/>
              </w:rPr>
              <w:t>’</w:t>
            </w:r>
            <w:r w:rsidRPr="00B953FA">
              <w:rPr>
                <w:iCs/>
                <w:sz w:val="20"/>
                <w:lang w:val="fr-FR"/>
              </w:rPr>
              <w:t>art visuel comprennent, sans toutefois s</w:t>
            </w:r>
            <w:r w:rsidR="000A0979" w:rsidRPr="00B953FA">
              <w:rPr>
                <w:iCs/>
                <w:sz w:val="20"/>
                <w:lang w:val="fr-FR"/>
              </w:rPr>
              <w:t>’</w:t>
            </w:r>
            <w:r w:rsidRPr="00B953FA">
              <w:rPr>
                <w:iCs/>
                <w:sz w:val="20"/>
                <w:lang w:val="fr-FR"/>
              </w:rPr>
              <w:t>y limiter, les éléments suivants</w:t>
            </w:r>
            <w:r w:rsidR="000A0979" w:rsidRPr="00B953FA">
              <w:rPr>
                <w:iCs/>
                <w:sz w:val="20"/>
                <w:lang w:val="fr-FR"/>
              </w:rPr>
              <w:t> :</w:t>
            </w:r>
          </w:p>
          <w:p w14:paraId="4EB7A4C4" w14:textId="41A74A11" w:rsidR="00C77D5B" w:rsidRPr="00B953FA" w:rsidRDefault="00C77D5B" w:rsidP="002D7EE2">
            <w:pPr>
              <w:pStyle w:val="ListParagraph"/>
              <w:numPr>
                <w:ilvl w:val="1"/>
                <w:numId w:val="26"/>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livres d</w:t>
            </w:r>
            <w:r w:rsidR="000A0979" w:rsidRPr="00B953FA">
              <w:rPr>
                <w:iCs/>
                <w:sz w:val="20"/>
                <w:szCs w:val="20"/>
              </w:rPr>
              <w:t>’</w:t>
            </w:r>
            <w:r w:rsidRPr="00B953FA">
              <w:rPr>
                <w:iCs/>
                <w:sz w:val="20"/>
                <w:szCs w:val="20"/>
              </w:rPr>
              <w:t>artistes;</w:t>
            </w:r>
          </w:p>
          <w:p w14:paraId="7638C758"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batiks;</w:t>
            </w:r>
          </w:p>
          <w:p w14:paraId="7B447A7E"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sculptures;</w:t>
            </w:r>
          </w:p>
          <w:p w14:paraId="0D1C39F9"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céramiques;</w:t>
            </w:r>
          </w:p>
          <w:p w14:paraId="0EE8C539"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collages;</w:t>
            </w:r>
          </w:p>
          <w:p w14:paraId="12E2E54A" w14:textId="79AB36D1"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lastRenderedPageBreak/>
              <w:t>les</w:t>
            </w:r>
            <w:proofErr w:type="gramEnd"/>
            <w:r w:rsidRPr="00B953FA">
              <w:rPr>
                <w:iCs/>
                <w:sz w:val="20"/>
                <w:szCs w:val="20"/>
              </w:rPr>
              <w:t xml:space="preserve"> œuvres d</w:t>
            </w:r>
            <w:r w:rsidR="000A0979" w:rsidRPr="00B953FA">
              <w:rPr>
                <w:iCs/>
                <w:sz w:val="20"/>
                <w:szCs w:val="20"/>
              </w:rPr>
              <w:t>’</w:t>
            </w:r>
            <w:r w:rsidRPr="00B953FA">
              <w:rPr>
                <w:iCs/>
                <w:sz w:val="20"/>
                <w:szCs w:val="20"/>
              </w:rPr>
              <w:t>art numériques;</w:t>
            </w:r>
          </w:p>
          <w:p w14:paraId="25830999"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dessins;</w:t>
            </w:r>
          </w:p>
          <w:p w14:paraId="2F13F186"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gravures;</w:t>
            </w:r>
          </w:p>
          <w:p w14:paraId="2B256B56" w14:textId="448C4BCA"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bijoux d</w:t>
            </w:r>
            <w:r w:rsidR="000A0979" w:rsidRPr="00B953FA">
              <w:rPr>
                <w:iCs/>
                <w:sz w:val="20"/>
                <w:szCs w:val="20"/>
              </w:rPr>
              <w:t>’</w:t>
            </w:r>
            <w:r w:rsidRPr="00B953FA">
              <w:rPr>
                <w:iCs/>
                <w:sz w:val="20"/>
                <w:szCs w:val="20"/>
              </w:rPr>
              <w:t>art;</w:t>
            </w:r>
          </w:p>
          <w:p w14:paraId="55938AEC"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la</w:t>
            </w:r>
            <w:proofErr w:type="gramEnd"/>
            <w:r w:rsidRPr="00B953FA">
              <w:rPr>
                <w:iCs/>
                <w:sz w:val="20"/>
                <w:szCs w:val="20"/>
              </w:rPr>
              <w:t xml:space="preserve"> verrerie;</w:t>
            </w:r>
          </w:p>
          <w:p w14:paraId="184560EB"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installations;</w:t>
            </w:r>
          </w:p>
          <w:p w14:paraId="38A3E167"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lithographies;</w:t>
            </w:r>
          </w:p>
          <w:p w14:paraId="020AF195" w14:textId="3BBCD86C"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œuvres d</w:t>
            </w:r>
            <w:r w:rsidR="000A0979" w:rsidRPr="00B953FA">
              <w:rPr>
                <w:iCs/>
                <w:sz w:val="20"/>
                <w:szCs w:val="20"/>
              </w:rPr>
              <w:t>’</w:t>
            </w:r>
            <w:r w:rsidRPr="00B953FA">
              <w:rPr>
                <w:iCs/>
                <w:sz w:val="20"/>
                <w:szCs w:val="20"/>
              </w:rPr>
              <w:t>art multimédias;</w:t>
            </w:r>
          </w:p>
          <w:p w14:paraId="78E28757"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tableaux;</w:t>
            </w:r>
          </w:p>
          <w:p w14:paraId="256F06E0"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photographies;</w:t>
            </w:r>
          </w:p>
          <w:p w14:paraId="2F6789EE"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images;</w:t>
            </w:r>
          </w:p>
          <w:p w14:paraId="32233F09"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estampes;</w:t>
            </w:r>
          </w:p>
          <w:p w14:paraId="0D36125E"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sculptures;</w:t>
            </w:r>
          </w:p>
          <w:p w14:paraId="6E6B484F"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tapisseries;</w:t>
            </w:r>
          </w:p>
          <w:p w14:paraId="24C1E654" w14:textId="3D0EBA54"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œuvres d</w:t>
            </w:r>
            <w:r w:rsidR="000A0979" w:rsidRPr="00B953FA">
              <w:rPr>
                <w:iCs/>
                <w:sz w:val="20"/>
                <w:szCs w:val="20"/>
              </w:rPr>
              <w:t>’</w:t>
            </w:r>
            <w:r w:rsidRPr="00B953FA">
              <w:rPr>
                <w:iCs/>
                <w:sz w:val="20"/>
                <w:szCs w:val="20"/>
              </w:rPr>
              <w:t>art vidéo;</w:t>
            </w:r>
          </w:p>
          <w:p w14:paraId="3DADE016"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tissages;</w:t>
            </w:r>
          </w:p>
          <w:p w14:paraId="527A6EFA" w14:textId="77777777" w:rsidR="00C77D5B" w:rsidRPr="00B953FA" w:rsidRDefault="00C77D5B" w:rsidP="002D7EE2">
            <w:pPr>
              <w:pStyle w:val="ListParagraph"/>
              <w:numPr>
                <w:ilvl w:val="1"/>
                <w:numId w:val="3"/>
              </w:numPr>
              <w:tabs>
                <w:tab w:val="clear" w:pos="1134"/>
                <w:tab w:val="num" w:pos="599"/>
              </w:tabs>
              <w:spacing w:before="0" w:after="60"/>
              <w:ind w:left="174"/>
              <w:contextualSpacing w:val="0"/>
              <w:jc w:val="left"/>
              <w:rPr>
                <w:iCs/>
                <w:sz w:val="20"/>
                <w:szCs w:val="20"/>
              </w:rPr>
            </w:pPr>
            <w:proofErr w:type="gramStart"/>
            <w:r w:rsidRPr="00B953FA">
              <w:rPr>
                <w:iCs/>
                <w:sz w:val="20"/>
                <w:szCs w:val="20"/>
              </w:rPr>
              <w:t>toute</w:t>
            </w:r>
            <w:proofErr w:type="gramEnd"/>
            <w:r w:rsidRPr="00B953FA">
              <w:rPr>
                <w:iCs/>
                <w:sz w:val="20"/>
                <w:szCs w:val="20"/>
              </w:rPr>
              <w:t xml:space="preserve"> autre chose prescrite par les règlements</w:t>
            </w:r>
            <w:r w:rsidRPr="00B953FA">
              <w:rPr>
                <w:sz w:val="20"/>
                <w:szCs w:val="20"/>
                <w:vertAlign w:val="superscript"/>
              </w:rPr>
              <w:footnoteReference w:id="47"/>
            </w:r>
            <w:r w:rsidRPr="00B953FA">
              <w:rPr>
                <w:iCs/>
                <w:sz w:val="20"/>
                <w:szCs w:val="20"/>
              </w:rPr>
              <w:t>.</w:t>
            </w:r>
          </w:p>
        </w:tc>
        <w:tc>
          <w:tcPr>
            <w:tcW w:w="3774" w:type="dxa"/>
          </w:tcPr>
          <w:p w14:paraId="3E00557F" w14:textId="77777777" w:rsidR="00C77D5B" w:rsidRPr="00B953FA" w:rsidRDefault="00C77D5B" w:rsidP="00E00356">
            <w:pPr>
              <w:numPr>
                <w:ilvl w:val="0"/>
                <w:numId w:val="15"/>
              </w:numPr>
              <w:spacing w:before="60" w:after="60"/>
              <w:rPr>
                <w:sz w:val="20"/>
                <w:lang w:val="fr-FR"/>
              </w:rPr>
            </w:pPr>
            <w:r w:rsidRPr="00B953FA">
              <w:rPr>
                <w:sz w:val="20"/>
                <w:lang w:val="fr-FR"/>
              </w:rPr>
              <w:lastRenderedPageBreak/>
              <w:t>Protège les œuvres produites conjointement et individuellement.</w:t>
            </w:r>
          </w:p>
          <w:p w14:paraId="2DDCB976" w14:textId="42D96208" w:rsidR="00C77D5B" w:rsidRPr="00B953FA" w:rsidRDefault="00C77D5B" w:rsidP="002D7EE2">
            <w:pPr>
              <w:numPr>
                <w:ilvl w:val="0"/>
                <w:numId w:val="15"/>
              </w:numPr>
              <w:spacing w:after="60"/>
              <w:rPr>
                <w:sz w:val="20"/>
                <w:lang w:val="fr-FR"/>
              </w:rPr>
            </w:pPr>
            <w:r w:rsidRPr="00B953FA">
              <w:rPr>
                <w:sz w:val="20"/>
                <w:lang w:val="fr-FR"/>
              </w:rPr>
              <w:t>Protège les œuvres créées avec des assistants, tant que cela se produit “sous l</w:t>
            </w:r>
            <w:r w:rsidR="000A0979" w:rsidRPr="00B953FA">
              <w:rPr>
                <w:sz w:val="20"/>
                <w:lang w:val="fr-FR"/>
              </w:rPr>
              <w:t>’</w:t>
            </w:r>
            <w:r w:rsidRPr="00B953FA">
              <w:rPr>
                <w:sz w:val="20"/>
                <w:lang w:val="fr-FR"/>
              </w:rPr>
              <w:t>autorité de l</w:t>
            </w:r>
            <w:r w:rsidR="000A0979" w:rsidRPr="00B953FA">
              <w:rPr>
                <w:sz w:val="20"/>
                <w:lang w:val="fr-FR"/>
              </w:rPr>
              <w:t>’</w:t>
            </w:r>
            <w:r w:rsidRPr="00B953FA">
              <w:rPr>
                <w:sz w:val="20"/>
                <w:lang w:val="fr-FR"/>
              </w:rPr>
              <w:t>artiste”.</w:t>
            </w:r>
          </w:p>
          <w:p w14:paraId="07C3B2EC" w14:textId="16BCB555" w:rsidR="00C77D5B" w:rsidRPr="00B953FA" w:rsidRDefault="00C77D5B" w:rsidP="002D7EE2">
            <w:pPr>
              <w:numPr>
                <w:ilvl w:val="0"/>
                <w:numId w:val="15"/>
              </w:numPr>
              <w:spacing w:after="60"/>
              <w:rPr>
                <w:sz w:val="20"/>
                <w:lang w:val="fr-FR"/>
              </w:rPr>
            </w:pPr>
            <w:r w:rsidRPr="00B953FA">
              <w:rPr>
                <w:sz w:val="20"/>
                <w:lang w:val="fr-FR"/>
              </w:rPr>
              <w:t>Fournit une liste détaillée, mais non exhaustive, des œuvres couvertes, avec la possibilité d</w:t>
            </w:r>
            <w:r w:rsidR="000A0979" w:rsidRPr="00B953FA">
              <w:rPr>
                <w:sz w:val="20"/>
                <w:lang w:val="fr-FR"/>
              </w:rPr>
              <w:t>’</w:t>
            </w:r>
            <w:r w:rsidRPr="00B953FA">
              <w:rPr>
                <w:sz w:val="20"/>
                <w:lang w:val="fr-FR"/>
              </w:rPr>
              <w:t>y ajouter une forme de législation subordonnée, par exemple des règlements, ou une forme d</w:t>
            </w:r>
            <w:r w:rsidR="000A0979" w:rsidRPr="00B953FA">
              <w:rPr>
                <w:sz w:val="20"/>
                <w:lang w:val="fr-FR"/>
              </w:rPr>
              <w:t>’</w:t>
            </w:r>
            <w:r w:rsidRPr="00B953FA">
              <w:rPr>
                <w:sz w:val="20"/>
                <w:lang w:val="fr-FR"/>
              </w:rPr>
              <w:t>instruction administrative ou ministérielle (il appartiendra à chaque pays de décider, conformément à ses dispositions constitutionnelles et législatives internes).</w:t>
            </w:r>
          </w:p>
          <w:p w14:paraId="79B3AD0C" w14:textId="26100154" w:rsidR="00C77D5B" w:rsidRPr="00B953FA" w:rsidRDefault="00C77D5B" w:rsidP="00E00356">
            <w:pPr>
              <w:numPr>
                <w:ilvl w:val="0"/>
                <w:numId w:val="15"/>
              </w:numPr>
              <w:spacing w:before="60" w:after="220"/>
              <w:rPr>
                <w:sz w:val="20"/>
                <w:lang w:val="fr-FR"/>
              </w:rPr>
            </w:pPr>
            <w:r w:rsidRPr="00B953FA">
              <w:rPr>
                <w:sz w:val="20"/>
                <w:lang w:val="fr-FR"/>
              </w:rPr>
              <w:lastRenderedPageBreak/>
              <w:t xml:space="preserve">Le problème avec les listes, même si elles ne sont pas exhaustives, est que des éléments peuvent être omis et donner lieu à des arguments quant </w:t>
            </w:r>
            <w:r w:rsidR="000A0979" w:rsidRPr="00B953FA">
              <w:rPr>
                <w:sz w:val="20"/>
                <w:lang w:val="fr-FR"/>
              </w:rPr>
              <w:t>à savoir</w:t>
            </w:r>
            <w:r w:rsidRPr="00B953FA">
              <w:rPr>
                <w:sz w:val="20"/>
                <w:lang w:val="fr-FR"/>
              </w:rPr>
              <w:t xml:space="preserve"> s</w:t>
            </w:r>
            <w:r w:rsidR="000A0979" w:rsidRPr="00B953FA">
              <w:rPr>
                <w:sz w:val="20"/>
                <w:lang w:val="fr-FR"/>
              </w:rPr>
              <w:t>’</w:t>
            </w:r>
            <w:r w:rsidRPr="00B953FA">
              <w:rPr>
                <w:sz w:val="20"/>
                <w:lang w:val="fr-FR"/>
              </w:rPr>
              <w:t>il s</w:t>
            </w:r>
            <w:r w:rsidR="000A0979" w:rsidRPr="00B953FA">
              <w:rPr>
                <w:sz w:val="20"/>
                <w:lang w:val="fr-FR"/>
              </w:rPr>
              <w:t>’</w:t>
            </w:r>
            <w:r w:rsidRPr="00B953FA">
              <w:rPr>
                <w:sz w:val="20"/>
                <w:lang w:val="fr-FR"/>
              </w:rPr>
              <w:t>agit toujours d</w:t>
            </w:r>
            <w:r w:rsidR="000A0979" w:rsidRPr="00B953FA">
              <w:rPr>
                <w:sz w:val="20"/>
                <w:lang w:val="fr-FR"/>
              </w:rPr>
              <w:t>’</w:t>
            </w:r>
            <w:r w:rsidRPr="00B953FA">
              <w:rPr>
                <w:sz w:val="20"/>
                <w:lang w:val="fr-FR"/>
              </w:rPr>
              <w:t>“œuvres d</w:t>
            </w:r>
            <w:r w:rsidR="000A0979" w:rsidRPr="00B953FA">
              <w:rPr>
                <w:sz w:val="20"/>
                <w:lang w:val="fr-FR"/>
              </w:rPr>
              <w:t>’</w:t>
            </w:r>
            <w:r w:rsidRPr="00B953FA">
              <w:rPr>
                <w:sz w:val="20"/>
                <w:lang w:val="fr-FR"/>
              </w:rPr>
              <w:t>art visuel”.</w:t>
            </w:r>
          </w:p>
        </w:tc>
      </w:tr>
      <w:tr w:rsidR="00C77D5B" w:rsidRPr="00B953FA" w14:paraId="71E8A2CB" w14:textId="77777777" w:rsidTr="00E00356">
        <w:tc>
          <w:tcPr>
            <w:tcW w:w="1478" w:type="dxa"/>
          </w:tcPr>
          <w:p w14:paraId="66773B03" w14:textId="77777777" w:rsidR="00C77D5B" w:rsidRPr="00B953FA" w:rsidRDefault="00C77D5B" w:rsidP="00E00356">
            <w:pPr>
              <w:spacing w:before="60" w:after="220"/>
              <w:rPr>
                <w:sz w:val="20"/>
                <w:lang w:val="fr-FR"/>
              </w:rPr>
            </w:pPr>
            <w:r w:rsidRPr="00B953FA">
              <w:rPr>
                <w:sz w:val="20"/>
                <w:lang w:val="fr-FR"/>
              </w:rPr>
              <w:lastRenderedPageBreak/>
              <w:t>Manuscrits originaux (projet suggéré)</w:t>
            </w:r>
          </w:p>
        </w:tc>
        <w:tc>
          <w:tcPr>
            <w:tcW w:w="3402" w:type="dxa"/>
          </w:tcPr>
          <w:p w14:paraId="071FBD48" w14:textId="4FF9C7EE" w:rsidR="00C77D5B" w:rsidRPr="00B953FA" w:rsidRDefault="00C77D5B" w:rsidP="00E00356">
            <w:pPr>
              <w:spacing w:before="60" w:after="60"/>
              <w:rPr>
                <w:iCs/>
                <w:sz w:val="20"/>
                <w:lang w:val="fr-FR"/>
              </w:rPr>
            </w:pPr>
            <w:r w:rsidRPr="00B953FA">
              <w:rPr>
                <w:iCs/>
                <w:sz w:val="20"/>
                <w:lang w:val="fr-FR"/>
              </w:rPr>
              <w:t>Selon le tableau 1 ci</w:t>
            </w:r>
            <w:r w:rsidR="00FA1A0F">
              <w:rPr>
                <w:iCs/>
                <w:sz w:val="20"/>
                <w:lang w:val="fr-FR"/>
              </w:rPr>
              <w:noBreakHyphen/>
            </w:r>
            <w:r w:rsidRPr="00B953FA">
              <w:rPr>
                <w:iCs/>
                <w:sz w:val="20"/>
                <w:lang w:val="fr-FR"/>
              </w:rPr>
              <w:t>dessus</w:t>
            </w:r>
          </w:p>
          <w:p w14:paraId="67AD28CE" w14:textId="519EDADC" w:rsidR="00C77D5B" w:rsidRPr="00B953FA" w:rsidRDefault="00C77D5B" w:rsidP="002D7EE2">
            <w:pPr>
              <w:spacing w:after="60"/>
              <w:rPr>
                <w:sz w:val="20"/>
                <w:lang w:val="fr-FR"/>
              </w:rPr>
            </w:pPr>
            <w:r w:rsidRPr="00B953FA">
              <w:rPr>
                <w:sz w:val="20"/>
                <w:lang w:val="fr-FR"/>
              </w:rPr>
              <w:t>Alternativement</w:t>
            </w:r>
            <w:r w:rsidR="000A0979" w:rsidRPr="00B953FA">
              <w:rPr>
                <w:sz w:val="20"/>
                <w:lang w:val="fr-FR"/>
              </w:rPr>
              <w:t> :</w:t>
            </w:r>
          </w:p>
          <w:p w14:paraId="790342C5" w14:textId="4475B5D5" w:rsidR="00C77D5B" w:rsidRPr="00B953FA" w:rsidRDefault="00C77D5B" w:rsidP="002D7EE2">
            <w:pPr>
              <w:spacing w:after="220"/>
              <w:rPr>
                <w:sz w:val="20"/>
                <w:lang w:val="fr-FR"/>
              </w:rPr>
            </w:pPr>
            <w:r w:rsidRPr="00B953FA">
              <w:rPr>
                <w:sz w:val="20"/>
                <w:lang w:val="fr-FR"/>
              </w:rPr>
              <w:t>“Manuscrit original” désigne la première réalisation matérielle d</w:t>
            </w:r>
            <w:r w:rsidR="000A0979" w:rsidRPr="00B953FA">
              <w:rPr>
                <w:sz w:val="20"/>
                <w:lang w:val="fr-FR"/>
              </w:rPr>
              <w:t>’</w:t>
            </w:r>
            <w:r w:rsidRPr="00B953FA">
              <w:rPr>
                <w:sz w:val="20"/>
                <w:lang w:val="fr-FR"/>
              </w:rPr>
              <w:t xml:space="preserve">une œuvre littéraire ou dramatique, </w:t>
            </w:r>
            <w:r w:rsidR="000A0979" w:rsidRPr="00B953FA">
              <w:rPr>
                <w:sz w:val="20"/>
                <w:lang w:val="fr-FR"/>
              </w:rPr>
              <w:t>y compris</w:t>
            </w:r>
            <w:r w:rsidRPr="00B953FA">
              <w:rPr>
                <w:sz w:val="20"/>
                <w:lang w:val="fr-FR"/>
              </w:rPr>
              <w:t xml:space="preserve"> des romans, des pièces de théâtre et d</w:t>
            </w:r>
            <w:r w:rsidR="000A0979" w:rsidRPr="00B953FA">
              <w:rPr>
                <w:sz w:val="20"/>
                <w:lang w:val="fr-FR"/>
              </w:rPr>
              <w:t>’</w:t>
            </w:r>
            <w:r w:rsidRPr="00B953FA">
              <w:rPr>
                <w:sz w:val="20"/>
                <w:lang w:val="fr-FR"/>
              </w:rPr>
              <w:t>autres écrits, ou d</w:t>
            </w:r>
            <w:r w:rsidR="000A0979" w:rsidRPr="00B953FA">
              <w:rPr>
                <w:sz w:val="20"/>
                <w:lang w:val="fr-FR"/>
              </w:rPr>
              <w:t>’</w:t>
            </w:r>
            <w:r w:rsidRPr="00B953FA">
              <w:rPr>
                <w:sz w:val="20"/>
                <w:lang w:val="fr-FR"/>
              </w:rPr>
              <w:t>une composition musicale.</w:t>
            </w:r>
          </w:p>
        </w:tc>
        <w:tc>
          <w:tcPr>
            <w:tcW w:w="3774" w:type="dxa"/>
          </w:tcPr>
          <w:p w14:paraId="0D257AE7" w14:textId="5229FDF0" w:rsidR="00C77D5B" w:rsidRPr="00B953FA" w:rsidRDefault="00C77D5B" w:rsidP="00E00356">
            <w:pPr>
              <w:numPr>
                <w:ilvl w:val="0"/>
                <w:numId w:val="15"/>
              </w:numPr>
              <w:spacing w:before="60" w:after="220"/>
              <w:rPr>
                <w:sz w:val="20"/>
                <w:lang w:val="fr-FR"/>
              </w:rPr>
            </w:pPr>
            <w:r w:rsidRPr="00B953FA">
              <w:rPr>
                <w:sz w:val="20"/>
                <w:lang w:val="fr-FR"/>
              </w:rPr>
              <w:t>La liste exhaustive d</w:t>
            </w:r>
            <w:r w:rsidR="000A0979" w:rsidRPr="00B953FA">
              <w:rPr>
                <w:sz w:val="20"/>
                <w:lang w:val="fr-FR"/>
              </w:rPr>
              <w:t>’</w:t>
            </w:r>
            <w:r w:rsidRPr="00B953FA">
              <w:rPr>
                <w:sz w:val="20"/>
                <w:lang w:val="fr-FR"/>
              </w:rPr>
              <w:t>exemples de ce que peut être un “manuscrit original” peut être utile.</w:t>
            </w:r>
          </w:p>
        </w:tc>
      </w:tr>
      <w:tr w:rsidR="00C77D5B" w:rsidRPr="00B953FA" w14:paraId="20CBAE68" w14:textId="77777777" w:rsidTr="00E00356">
        <w:tc>
          <w:tcPr>
            <w:tcW w:w="1478" w:type="dxa"/>
          </w:tcPr>
          <w:p w14:paraId="04BA2C67" w14:textId="14C29A84" w:rsidR="00C77D5B" w:rsidRPr="00B953FA" w:rsidRDefault="00F14849" w:rsidP="00E00356">
            <w:pPr>
              <w:spacing w:before="60" w:after="220"/>
              <w:rPr>
                <w:sz w:val="20"/>
                <w:lang w:val="fr-FR"/>
              </w:rPr>
            </w:pPr>
            <w:r w:rsidRPr="00B953FA">
              <w:rPr>
                <w:sz w:val="20"/>
                <w:lang w:val="fr-FR"/>
              </w:rPr>
              <w:t>Une autre approche</w:t>
            </w:r>
            <w:r w:rsidR="00C77D5B" w:rsidRPr="00B953FA">
              <w:rPr>
                <w:sz w:val="20"/>
                <w:lang w:val="fr-FR"/>
              </w:rPr>
              <w:t xml:space="preserve"> (Mexique)</w:t>
            </w:r>
          </w:p>
        </w:tc>
        <w:tc>
          <w:tcPr>
            <w:tcW w:w="3402" w:type="dxa"/>
          </w:tcPr>
          <w:p w14:paraId="75461932" w14:textId="04387C39" w:rsidR="00C77D5B" w:rsidRPr="00B953FA" w:rsidRDefault="00C77D5B" w:rsidP="00E00356">
            <w:pPr>
              <w:spacing w:before="60" w:after="220"/>
              <w:rPr>
                <w:iCs/>
                <w:sz w:val="20"/>
                <w:lang w:val="fr-FR"/>
              </w:rPr>
            </w:pPr>
            <w:r w:rsidRPr="00B953FA">
              <w:rPr>
                <w:iCs/>
                <w:sz w:val="20"/>
                <w:lang w:val="fr-FR"/>
              </w:rPr>
              <w:t>Les auteurs d</w:t>
            </w:r>
            <w:r w:rsidR="000A0979" w:rsidRPr="00B953FA">
              <w:rPr>
                <w:iCs/>
                <w:sz w:val="20"/>
                <w:lang w:val="fr-FR"/>
              </w:rPr>
              <w:t>’</w:t>
            </w:r>
            <w:r w:rsidRPr="00B953FA">
              <w:rPr>
                <w:iCs/>
                <w:sz w:val="20"/>
                <w:lang w:val="fr-FR"/>
              </w:rPr>
              <w:t>œuvres d</w:t>
            </w:r>
            <w:r w:rsidR="000A0979" w:rsidRPr="00B953FA">
              <w:rPr>
                <w:iCs/>
                <w:sz w:val="20"/>
                <w:lang w:val="fr-FR"/>
              </w:rPr>
              <w:t>’</w:t>
            </w:r>
            <w:r w:rsidRPr="00B953FA">
              <w:rPr>
                <w:iCs/>
                <w:sz w:val="20"/>
                <w:lang w:val="fr-FR"/>
              </w:rPr>
              <w:t>art tridimensionnelles et photographiques ont le droit de recevoir de la part du vendeur une part du prix de toute revente</w:t>
            </w:r>
            <w:r w:rsidR="00FB6E84" w:rsidRPr="00B953FA">
              <w:rPr>
                <w:iCs/>
                <w:sz w:val="20"/>
                <w:lang w:val="fr-FR"/>
              </w:rPr>
              <w:t xml:space="preserve">… </w:t>
            </w:r>
            <w:r w:rsidRPr="00B953FA">
              <w:rPr>
                <w:iCs/>
                <w:sz w:val="20"/>
                <w:lang w:val="fr-FR"/>
              </w:rPr>
              <w:t>à l</w:t>
            </w:r>
            <w:r w:rsidR="000A0979" w:rsidRPr="00B953FA">
              <w:rPr>
                <w:iCs/>
                <w:sz w:val="20"/>
                <w:lang w:val="fr-FR"/>
              </w:rPr>
              <w:t>’</w:t>
            </w:r>
            <w:r w:rsidRPr="00B953FA">
              <w:rPr>
                <w:iCs/>
                <w:sz w:val="20"/>
                <w:lang w:val="fr-FR"/>
              </w:rPr>
              <w:t>exception des œuvres d</w:t>
            </w:r>
            <w:r w:rsidR="000A0979" w:rsidRPr="00B953FA">
              <w:rPr>
                <w:iCs/>
                <w:sz w:val="20"/>
                <w:lang w:val="fr-FR"/>
              </w:rPr>
              <w:t>’</w:t>
            </w:r>
            <w:r w:rsidRPr="00B953FA">
              <w:rPr>
                <w:iCs/>
                <w:sz w:val="20"/>
                <w:lang w:val="fr-FR"/>
              </w:rPr>
              <w:t>art appliqué.</w:t>
            </w:r>
          </w:p>
          <w:p w14:paraId="1D4192B2" w14:textId="24926C61" w:rsidR="00C77D5B" w:rsidRPr="00B953FA" w:rsidRDefault="00C77D5B" w:rsidP="002D7EE2">
            <w:pPr>
              <w:spacing w:after="220"/>
              <w:rPr>
                <w:iCs/>
                <w:sz w:val="20"/>
                <w:lang w:val="fr-FR"/>
              </w:rPr>
            </w:pPr>
            <w:r w:rsidRPr="00B953FA">
              <w:rPr>
                <w:iCs/>
                <w:sz w:val="20"/>
                <w:lang w:val="fr-FR"/>
              </w:rPr>
              <w:t>IV) Le même droit s</w:t>
            </w:r>
            <w:r w:rsidR="000A0979" w:rsidRPr="00B953FA">
              <w:rPr>
                <w:iCs/>
                <w:sz w:val="20"/>
                <w:lang w:val="fr-FR"/>
              </w:rPr>
              <w:t>’</w:t>
            </w:r>
            <w:r w:rsidRPr="00B953FA">
              <w:rPr>
                <w:iCs/>
                <w:sz w:val="20"/>
                <w:lang w:val="fr-FR"/>
              </w:rPr>
              <w:t xml:space="preserve">applique </w:t>
            </w:r>
            <w:r w:rsidR="000A0979" w:rsidRPr="00B953FA">
              <w:rPr>
                <w:iCs/>
                <w:sz w:val="20"/>
                <w:lang w:val="fr-FR"/>
              </w:rPr>
              <w:t>à l’égard</w:t>
            </w:r>
            <w:r w:rsidRPr="00B953FA">
              <w:rPr>
                <w:iCs/>
                <w:sz w:val="20"/>
                <w:lang w:val="fr-FR"/>
              </w:rPr>
              <w:t xml:space="preserve"> des manuscrits originaux d</w:t>
            </w:r>
            <w:r w:rsidR="000A0979" w:rsidRPr="00B953FA">
              <w:rPr>
                <w:iCs/>
                <w:sz w:val="20"/>
                <w:lang w:val="fr-FR"/>
              </w:rPr>
              <w:t>’</w:t>
            </w:r>
            <w:r w:rsidRPr="00B953FA">
              <w:rPr>
                <w:iCs/>
                <w:sz w:val="20"/>
                <w:lang w:val="fr-FR"/>
              </w:rPr>
              <w:t>œuvres littéraires et artistiques</w:t>
            </w:r>
            <w:r w:rsidRPr="00B953FA">
              <w:rPr>
                <w:rStyle w:val="FootnoteReference"/>
                <w:color w:val="000000"/>
                <w:sz w:val="20"/>
                <w:lang w:val="fr-FR"/>
              </w:rPr>
              <w:footnoteReference w:id="48"/>
            </w:r>
            <w:r w:rsidRPr="00B953FA">
              <w:rPr>
                <w:iCs/>
                <w:sz w:val="20"/>
                <w:lang w:val="fr-FR"/>
              </w:rPr>
              <w:t>.</w:t>
            </w:r>
          </w:p>
        </w:tc>
        <w:tc>
          <w:tcPr>
            <w:tcW w:w="3774" w:type="dxa"/>
          </w:tcPr>
          <w:p w14:paraId="77A57022" w14:textId="6922970A" w:rsidR="00C77D5B" w:rsidRPr="00B953FA" w:rsidRDefault="00C77D5B" w:rsidP="00E00356">
            <w:pPr>
              <w:numPr>
                <w:ilvl w:val="0"/>
                <w:numId w:val="15"/>
              </w:numPr>
              <w:spacing w:before="60" w:after="220"/>
              <w:rPr>
                <w:sz w:val="20"/>
                <w:lang w:val="fr-FR"/>
              </w:rPr>
            </w:pPr>
            <w:r w:rsidRPr="00B953FA">
              <w:rPr>
                <w:sz w:val="20"/>
                <w:lang w:val="fr-FR"/>
              </w:rPr>
              <w:t xml:space="preserve">Semble exclure les œuvres artistiques bidimensionnelles autres que les œuvres photographiques, mais inclut les manuscrits </w:t>
            </w:r>
            <w:proofErr w:type="gramStart"/>
            <w:r w:rsidRPr="00B953FA">
              <w:rPr>
                <w:sz w:val="20"/>
                <w:lang w:val="fr-FR"/>
              </w:rPr>
              <w:t xml:space="preserve">originaux; </w:t>
            </w:r>
            <w:r w:rsidR="00FB6E84" w:rsidRPr="00B953FA">
              <w:rPr>
                <w:sz w:val="20"/>
                <w:lang w:val="fr-FR"/>
              </w:rPr>
              <w:t xml:space="preserve"> </w:t>
            </w:r>
            <w:r w:rsidRPr="00B953FA">
              <w:rPr>
                <w:sz w:val="20"/>
                <w:lang w:val="fr-FR"/>
              </w:rPr>
              <w:t>il</w:t>
            </w:r>
            <w:proofErr w:type="gramEnd"/>
            <w:r w:rsidRPr="00B953FA">
              <w:rPr>
                <w:sz w:val="20"/>
                <w:lang w:val="fr-FR"/>
              </w:rPr>
              <w:t xml:space="preserve"> existe une exception en ce qui concerne les œuvres d</w:t>
            </w:r>
            <w:r w:rsidR="000A0979" w:rsidRPr="00B953FA">
              <w:rPr>
                <w:sz w:val="20"/>
                <w:lang w:val="fr-FR"/>
              </w:rPr>
              <w:t>’</w:t>
            </w:r>
            <w:r w:rsidRPr="00B953FA">
              <w:rPr>
                <w:sz w:val="20"/>
                <w:lang w:val="fr-FR"/>
              </w:rPr>
              <w:t xml:space="preserve">art appliqué.  </w:t>
            </w:r>
          </w:p>
        </w:tc>
      </w:tr>
    </w:tbl>
    <w:p w14:paraId="40EE8E8B" w14:textId="77777777" w:rsidR="00C77D5B" w:rsidRPr="00B953FA" w:rsidRDefault="00C77D5B" w:rsidP="002D7EE2">
      <w:pPr>
        <w:pStyle w:val="Heading1"/>
        <w:rPr>
          <w:lang w:val="fr-FR"/>
        </w:rPr>
      </w:pPr>
      <w:r w:rsidRPr="00B953FA">
        <w:rPr>
          <w:lang w:val="fr-FR"/>
        </w:rPr>
        <w:t>Œuvres exclues du droit de suite des artistes</w:t>
      </w:r>
    </w:p>
    <w:p w14:paraId="1ADF3E45" w14:textId="6C845CB6" w:rsidR="00C77D5B" w:rsidRPr="00B953FA" w:rsidRDefault="00C77D5B" w:rsidP="002D7EE2">
      <w:pPr>
        <w:pStyle w:val="ONUMFS"/>
        <w:rPr>
          <w:lang w:val="fr-FR"/>
        </w:rPr>
      </w:pPr>
      <w:r w:rsidRPr="00B953FA">
        <w:rPr>
          <w:lang w:val="fr-FR"/>
        </w:rPr>
        <w:t>Il a été indiqué dans la section précédente que des décisions importantes devaient être prises quant aux sous</w:t>
      </w:r>
      <w:r w:rsidR="00FA1A0F">
        <w:rPr>
          <w:lang w:val="fr-FR"/>
        </w:rPr>
        <w:noBreakHyphen/>
      </w:r>
      <w:r w:rsidRPr="00B953FA">
        <w:rPr>
          <w:lang w:val="fr-FR"/>
        </w:rPr>
        <w:t>catégories d</w:t>
      </w:r>
      <w:r w:rsidR="000A0979" w:rsidRPr="00B953FA">
        <w:rPr>
          <w:lang w:val="fr-FR"/>
        </w:rPr>
        <w:t>’</w:t>
      </w:r>
      <w:r w:rsidRPr="00B953FA">
        <w:rPr>
          <w:lang w:val="fr-FR"/>
        </w:rPr>
        <w:t>œuvres qui devraient être soumises au droit de suite des artistes, par exemple, s</w:t>
      </w:r>
      <w:r w:rsidR="000A0979" w:rsidRPr="00B953FA">
        <w:rPr>
          <w:lang w:val="fr-FR"/>
        </w:rPr>
        <w:t>’</w:t>
      </w:r>
      <w:r w:rsidRPr="00B953FA">
        <w:rPr>
          <w:lang w:val="fr-FR"/>
        </w:rPr>
        <w:t>il fallait y inclure les œuvres d</w:t>
      </w:r>
      <w:r w:rsidR="000A0979" w:rsidRPr="00B953FA">
        <w:rPr>
          <w:lang w:val="fr-FR"/>
        </w:rPr>
        <w:t>’</w:t>
      </w:r>
      <w:r w:rsidRPr="00B953FA">
        <w:rPr>
          <w:lang w:val="fr-FR"/>
        </w:rPr>
        <w:t>artisanat, les œuvres d</w:t>
      </w:r>
      <w:r w:rsidR="000A0979" w:rsidRPr="00B953FA">
        <w:rPr>
          <w:lang w:val="fr-FR"/>
        </w:rPr>
        <w:t>’</w:t>
      </w:r>
      <w:r w:rsidRPr="00B953FA">
        <w:rPr>
          <w:lang w:val="fr-FR"/>
        </w:rPr>
        <w:t xml:space="preserve">art appliqué ou les </w:t>
      </w:r>
      <w:r w:rsidRPr="00B953FA">
        <w:rPr>
          <w:lang w:val="fr-FR"/>
        </w:rPr>
        <w:lastRenderedPageBreak/>
        <w:t>œuvres représentant les expressions culturelles traditionnelles des créateurs autochton</w:t>
      </w:r>
      <w:r w:rsidR="00B953FA" w:rsidRPr="00B953FA">
        <w:rPr>
          <w:lang w:val="fr-FR"/>
        </w:rPr>
        <w:t>es.  Il</w:t>
      </w:r>
      <w:r w:rsidRPr="00B953FA">
        <w:rPr>
          <w:lang w:val="fr-FR"/>
        </w:rPr>
        <w:t xml:space="preserve"> s</w:t>
      </w:r>
      <w:r w:rsidR="000A0979" w:rsidRPr="00B953FA">
        <w:rPr>
          <w:lang w:val="fr-FR"/>
        </w:rPr>
        <w:t>’</w:t>
      </w:r>
      <w:r w:rsidRPr="00B953FA">
        <w:rPr>
          <w:lang w:val="fr-FR"/>
        </w:rPr>
        <w:t>agit de décisions politiques que chaque pays devra prendre en fonction de sa situation particuliè</w:t>
      </w:r>
      <w:r w:rsidR="00B953FA" w:rsidRPr="00B953FA">
        <w:rPr>
          <w:lang w:val="fr-FR"/>
        </w:rPr>
        <w:t>re.  Le</w:t>
      </w:r>
      <w:r w:rsidRPr="00B953FA">
        <w:rPr>
          <w:lang w:val="fr-FR"/>
        </w:rPr>
        <w:t>s pays peuvent également décider d</w:t>
      </w:r>
      <w:r w:rsidR="000A0979" w:rsidRPr="00B953FA">
        <w:rPr>
          <w:lang w:val="fr-FR"/>
        </w:rPr>
        <w:t>’</w:t>
      </w:r>
      <w:r w:rsidRPr="00B953FA">
        <w:rPr>
          <w:lang w:val="fr-FR"/>
        </w:rPr>
        <w:t>exclure d</w:t>
      </w:r>
      <w:r w:rsidR="000A0979" w:rsidRPr="00B953FA">
        <w:rPr>
          <w:lang w:val="fr-FR"/>
        </w:rPr>
        <w:t>’</w:t>
      </w:r>
      <w:r w:rsidRPr="00B953FA">
        <w:rPr>
          <w:lang w:val="fr-FR"/>
        </w:rPr>
        <w:t>autres sous</w:t>
      </w:r>
      <w:r w:rsidR="00FA1A0F">
        <w:rPr>
          <w:lang w:val="fr-FR"/>
        </w:rPr>
        <w:noBreakHyphen/>
      </w:r>
      <w:r w:rsidRPr="00B953FA">
        <w:rPr>
          <w:lang w:val="fr-FR"/>
        </w:rPr>
        <w:t>catégories d</w:t>
      </w:r>
      <w:r w:rsidR="000A0979" w:rsidRPr="00B953FA">
        <w:rPr>
          <w:lang w:val="fr-FR"/>
        </w:rPr>
        <w:t>’</w:t>
      </w:r>
      <w:r w:rsidRPr="00B953FA">
        <w:rPr>
          <w:lang w:val="fr-FR"/>
        </w:rPr>
        <w:t>œuvres au motif que leurs incarnations originales n</w:t>
      </w:r>
      <w:r w:rsidR="000A0979" w:rsidRPr="00B953FA">
        <w:rPr>
          <w:lang w:val="fr-FR"/>
        </w:rPr>
        <w:t>’</w:t>
      </w:r>
      <w:r w:rsidRPr="00B953FA">
        <w:rPr>
          <w:lang w:val="fr-FR"/>
        </w:rPr>
        <w:t xml:space="preserve">ont que peu de rapport avec </w:t>
      </w:r>
      <w:r w:rsidR="001521C2" w:rsidRPr="00B953FA">
        <w:rPr>
          <w:lang w:val="fr-FR"/>
        </w:rPr>
        <w:t>celles</w:t>
      </w:r>
      <w:r w:rsidRPr="00B953FA">
        <w:rPr>
          <w:lang w:val="fr-FR"/>
        </w:rPr>
        <w:t xml:space="preserve"> d</w:t>
      </w:r>
      <w:r w:rsidR="000A0979" w:rsidRPr="00B953FA">
        <w:rPr>
          <w:lang w:val="fr-FR"/>
        </w:rPr>
        <w:t>’</w:t>
      </w:r>
      <w:r w:rsidRPr="00B953FA">
        <w:rPr>
          <w:lang w:val="fr-FR"/>
        </w:rPr>
        <w:t>œuvres artistiques plus traditionnelles telles que les tableaux et les sculptur</w:t>
      </w:r>
      <w:r w:rsidR="00B953FA" w:rsidRPr="00B953FA">
        <w:rPr>
          <w:lang w:val="fr-FR"/>
        </w:rPr>
        <w:t>es.  En</w:t>
      </w:r>
      <w:r w:rsidR="001521C2" w:rsidRPr="00B953FA">
        <w:rPr>
          <w:lang w:val="fr-FR"/>
        </w:rPr>
        <w:t xml:space="preserve"> conséquence, l</w:t>
      </w:r>
      <w:r w:rsidR="000A0979" w:rsidRPr="00B953FA">
        <w:rPr>
          <w:lang w:val="fr-FR"/>
        </w:rPr>
        <w:t>’</w:t>
      </w:r>
      <w:r w:rsidR="001521C2" w:rsidRPr="00B953FA">
        <w:rPr>
          <w:lang w:val="fr-FR"/>
        </w:rPr>
        <w:t>étendue de la protection par le droit de suite des artistes peut varier d</w:t>
      </w:r>
      <w:r w:rsidR="000A0979" w:rsidRPr="00B953FA">
        <w:rPr>
          <w:lang w:val="fr-FR"/>
        </w:rPr>
        <w:t>’</w:t>
      </w:r>
      <w:r w:rsidR="001521C2" w:rsidRPr="00B953FA">
        <w:rPr>
          <w:lang w:val="fr-FR"/>
        </w:rPr>
        <w:t>un pays à l</w:t>
      </w:r>
      <w:r w:rsidR="000A0979" w:rsidRPr="00B953FA">
        <w:rPr>
          <w:lang w:val="fr-FR"/>
        </w:rPr>
        <w:t>’</w:t>
      </w:r>
      <w:r w:rsidR="001521C2" w:rsidRPr="00B953FA">
        <w:rPr>
          <w:lang w:val="fr-FR"/>
        </w:rPr>
        <w:t>autre, même si le principe du droit est reconnu dans chacun d</w:t>
      </w:r>
      <w:r w:rsidR="000A0979" w:rsidRPr="00B953FA">
        <w:rPr>
          <w:lang w:val="fr-FR"/>
        </w:rPr>
        <w:t>’</w:t>
      </w:r>
      <w:r w:rsidR="001521C2" w:rsidRPr="00B953FA">
        <w:rPr>
          <w:lang w:val="fr-FR"/>
        </w:rPr>
        <w:t>entre eux et que les variations qui surviennent ne sont que marginal</w:t>
      </w:r>
      <w:r w:rsidR="00B953FA" w:rsidRPr="00B953FA">
        <w:rPr>
          <w:lang w:val="fr-FR"/>
        </w:rPr>
        <w:t>es.  Da</w:t>
      </w:r>
      <w:r w:rsidR="001521C2" w:rsidRPr="00B953FA">
        <w:rPr>
          <w:lang w:val="fr-FR"/>
        </w:rPr>
        <w:t>ns le cas du droit de suite des artistes étrangers, en raison des conditions de réciprocité applicables en vertu de l</w:t>
      </w:r>
      <w:r w:rsidR="000A0979" w:rsidRPr="00B953FA">
        <w:rPr>
          <w:lang w:val="fr-FR"/>
        </w:rPr>
        <w:t>’</w:t>
      </w:r>
      <w:r w:rsidR="004A6BE2" w:rsidRPr="00B953FA">
        <w:rPr>
          <w:lang w:val="fr-FR"/>
        </w:rPr>
        <w:t>article 1</w:t>
      </w:r>
      <w:r w:rsidR="001521C2" w:rsidRPr="00B953FA">
        <w:rPr>
          <w:lang w:val="fr-FR"/>
        </w:rPr>
        <w:t>4</w:t>
      </w:r>
      <w:r w:rsidR="001521C2" w:rsidRPr="00B953FA">
        <w:rPr>
          <w:i/>
          <w:iCs/>
          <w:lang w:val="fr-FR"/>
        </w:rPr>
        <w:t>ter</w:t>
      </w:r>
      <w:r w:rsidR="001521C2" w:rsidRPr="00B953FA">
        <w:rPr>
          <w:lang w:val="fr-FR"/>
        </w:rPr>
        <w:t xml:space="preserve">.2) de la Convention de Berne, cela peut conduire à des niveaux de protection différents, où, par exemple, le pays A </w:t>
      </w:r>
      <w:proofErr w:type="spellStart"/>
      <w:r w:rsidR="001521C2" w:rsidRPr="00B953FA">
        <w:rPr>
          <w:lang w:val="fr-FR"/>
        </w:rPr>
        <w:t>applique</w:t>
      </w:r>
      <w:proofErr w:type="spellEnd"/>
      <w:r w:rsidR="001521C2" w:rsidRPr="00B953FA">
        <w:rPr>
          <w:lang w:val="fr-FR"/>
        </w:rPr>
        <w:t xml:space="preserve"> le droit de suite des artistes à une catégorie d</w:t>
      </w:r>
      <w:r w:rsidR="000A0979" w:rsidRPr="00B953FA">
        <w:rPr>
          <w:lang w:val="fr-FR"/>
        </w:rPr>
        <w:t>’</w:t>
      </w:r>
      <w:r w:rsidR="001521C2" w:rsidRPr="00B953FA">
        <w:rPr>
          <w:lang w:val="fr-FR"/>
        </w:rPr>
        <w:t>œuvres qui est exclue de la protection au titre de ce droit dans le pays B</w:t>
      </w:r>
      <w:r w:rsidR="001521C2" w:rsidRPr="00B953FA">
        <w:rPr>
          <w:rStyle w:val="FootnoteReference"/>
          <w:lang w:val="fr-FR"/>
        </w:rPr>
        <w:footnoteReference w:id="49"/>
      </w:r>
      <w:r w:rsidR="001521C2" w:rsidRPr="00B953FA">
        <w:rPr>
          <w:lang w:val="fr-FR"/>
        </w:rPr>
        <w:t>.</w:t>
      </w:r>
    </w:p>
    <w:p w14:paraId="01649365" w14:textId="59C9D720" w:rsidR="00C77D5B" w:rsidRPr="00B953FA" w:rsidRDefault="00C77D5B" w:rsidP="002D7EE2">
      <w:pPr>
        <w:pStyle w:val="ONUMFS"/>
        <w:rPr>
          <w:lang w:val="fr-FR"/>
        </w:rPr>
      </w:pPr>
      <w:r w:rsidRPr="00B953FA">
        <w:rPr>
          <w:lang w:val="fr-FR"/>
        </w:rPr>
        <w:t>Les bâtiments et les œuvres architecturales, les dessins techniques et les schémas de configuration (topographies) pour les circuits intégrés sont des exemples d</w:t>
      </w:r>
      <w:r w:rsidR="000A0979" w:rsidRPr="00B953FA">
        <w:rPr>
          <w:lang w:val="fr-FR"/>
        </w:rPr>
        <w:t>’</w:t>
      </w:r>
      <w:r w:rsidRPr="00B953FA">
        <w:rPr>
          <w:lang w:val="fr-FR"/>
        </w:rPr>
        <w:t>exclusions</w:t>
      </w:r>
      <w:r w:rsidRPr="00B953FA">
        <w:rPr>
          <w:vertAlign w:val="superscript"/>
          <w:lang w:val="fr-FR"/>
        </w:rPr>
        <w:footnoteReference w:id="50"/>
      </w:r>
      <w:r w:rsidRPr="00B953FA">
        <w:rPr>
          <w:lang w:val="fr-FR"/>
        </w:rPr>
        <w:t>.  Les œuvres générées par ordinateur et les photographies simples ou documentaires (actualités) sont d</w:t>
      </w:r>
      <w:r w:rsidR="000A0979" w:rsidRPr="00B953FA">
        <w:rPr>
          <w:lang w:val="fr-FR"/>
        </w:rPr>
        <w:t>’</w:t>
      </w:r>
      <w:r w:rsidRPr="00B953FA">
        <w:rPr>
          <w:lang w:val="fr-FR"/>
        </w:rPr>
        <w:t>autres exemples susceptibles de justifier un examen législatif ou de faire l</w:t>
      </w:r>
      <w:r w:rsidR="000A0979" w:rsidRPr="00B953FA">
        <w:rPr>
          <w:lang w:val="fr-FR"/>
        </w:rPr>
        <w:t>’</w:t>
      </w:r>
      <w:r w:rsidRPr="00B953FA">
        <w:rPr>
          <w:lang w:val="fr-FR"/>
        </w:rPr>
        <w:t>objet d</w:t>
      </w:r>
      <w:r w:rsidR="000A0979" w:rsidRPr="00B953FA">
        <w:rPr>
          <w:lang w:val="fr-FR"/>
        </w:rPr>
        <w:t>’</w:t>
      </w:r>
      <w:r w:rsidRPr="00B953FA">
        <w:rPr>
          <w:lang w:val="fr-FR"/>
        </w:rPr>
        <w:t xml:space="preserve">une décision judiciaire à </w:t>
      </w:r>
      <w:r w:rsidRPr="00B953FA">
        <w:rPr>
          <w:szCs w:val="22"/>
          <w:lang w:val="fr-FR"/>
        </w:rPr>
        <w:t>mesure de l</w:t>
      </w:r>
      <w:r w:rsidR="000A0979" w:rsidRPr="00B953FA">
        <w:rPr>
          <w:szCs w:val="22"/>
          <w:lang w:val="fr-FR"/>
        </w:rPr>
        <w:t>’</w:t>
      </w:r>
      <w:r w:rsidRPr="00B953FA">
        <w:rPr>
          <w:szCs w:val="22"/>
          <w:lang w:val="fr-FR"/>
        </w:rPr>
        <w:t>évolution du régime de droit de suite des artist</w:t>
      </w:r>
      <w:r w:rsidR="00B953FA" w:rsidRPr="00B953FA">
        <w:rPr>
          <w:szCs w:val="22"/>
          <w:lang w:val="fr-FR"/>
        </w:rPr>
        <w:t xml:space="preserve">es.  </w:t>
      </w:r>
      <w:r w:rsidR="00B953FA" w:rsidRPr="00B953FA">
        <w:rPr>
          <w:lang w:val="fr-FR"/>
        </w:rPr>
        <w:t>Le</w:t>
      </w:r>
      <w:r w:rsidRPr="00B953FA">
        <w:rPr>
          <w:lang w:val="fr-FR"/>
        </w:rPr>
        <w:t>s techniques législatives pour traiter ces questions comprennent des exclusions spécifiques ou la disposition d</w:t>
      </w:r>
      <w:r w:rsidR="000A0979" w:rsidRPr="00B953FA">
        <w:rPr>
          <w:lang w:val="fr-FR"/>
        </w:rPr>
        <w:t>’</w:t>
      </w:r>
      <w:r w:rsidRPr="00B953FA">
        <w:rPr>
          <w:lang w:val="fr-FR"/>
        </w:rPr>
        <w:t>un pouvoir général de spécifier de telles exclusions à l</w:t>
      </w:r>
      <w:r w:rsidR="000A0979" w:rsidRPr="00B953FA">
        <w:rPr>
          <w:lang w:val="fr-FR"/>
        </w:rPr>
        <w:t>’</w:t>
      </w:r>
      <w:r w:rsidRPr="00B953FA">
        <w:rPr>
          <w:lang w:val="fr-FR"/>
        </w:rPr>
        <w:t>avenir par le biais d</w:t>
      </w:r>
      <w:r w:rsidR="000A0979" w:rsidRPr="00B953FA">
        <w:rPr>
          <w:lang w:val="fr-FR"/>
        </w:rPr>
        <w:t>’</w:t>
      </w:r>
      <w:r w:rsidRPr="00B953FA">
        <w:rPr>
          <w:lang w:val="fr-FR"/>
        </w:rPr>
        <w:t>une sorte d</w:t>
      </w:r>
      <w:r w:rsidR="000A0979" w:rsidRPr="00B953FA">
        <w:rPr>
          <w:lang w:val="fr-FR"/>
        </w:rPr>
        <w:t>’</w:t>
      </w:r>
      <w:r w:rsidRPr="00B953FA">
        <w:rPr>
          <w:lang w:val="fr-FR"/>
        </w:rPr>
        <w:t>instrument législatif subordonné ou de directives administratives.</w:t>
      </w:r>
    </w:p>
    <w:p w14:paraId="0A773142" w14:textId="77777777" w:rsidR="00C77D5B" w:rsidRPr="00B953FA" w:rsidRDefault="00C77D5B" w:rsidP="002D7EE2">
      <w:pPr>
        <w:pStyle w:val="Heading2"/>
        <w:rPr>
          <w:lang w:val="fr-FR"/>
        </w:rPr>
      </w:pPr>
      <w:r w:rsidRPr="00B953FA">
        <w:rPr>
          <w:lang w:val="fr-FR"/>
        </w:rPr>
        <w:t>Tableau 4</w:t>
      </w:r>
    </w:p>
    <w:tbl>
      <w:tblPr>
        <w:tblStyle w:val="TableGrid"/>
        <w:tblW w:w="0" w:type="auto"/>
        <w:tblInd w:w="-5" w:type="dxa"/>
        <w:tblLook w:val="04A0" w:firstRow="1" w:lastRow="0" w:firstColumn="1" w:lastColumn="0" w:noHBand="0" w:noVBand="1"/>
      </w:tblPr>
      <w:tblGrid>
        <w:gridCol w:w="1842"/>
        <w:gridCol w:w="3686"/>
        <w:gridCol w:w="3113"/>
      </w:tblGrid>
      <w:tr w:rsidR="00C77D5B" w:rsidRPr="00B953FA" w14:paraId="697C4659" w14:textId="77777777" w:rsidTr="00545780">
        <w:tc>
          <w:tcPr>
            <w:tcW w:w="1842" w:type="dxa"/>
          </w:tcPr>
          <w:p w14:paraId="19A960DC" w14:textId="77777777" w:rsidR="00C77D5B" w:rsidRPr="00B953FA" w:rsidRDefault="00C77D5B" w:rsidP="002D7EE2">
            <w:pPr>
              <w:spacing w:after="220"/>
              <w:rPr>
                <w:lang w:val="fr-FR"/>
              </w:rPr>
            </w:pPr>
            <w:r w:rsidRPr="00B953FA">
              <w:rPr>
                <w:b/>
                <w:lang w:val="fr-FR"/>
              </w:rPr>
              <w:t>Type de disposition</w:t>
            </w:r>
          </w:p>
        </w:tc>
        <w:tc>
          <w:tcPr>
            <w:tcW w:w="3686" w:type="dxa"/>
          </w:tcPr>
          <w:p w14:paraId="11F59986" w14:textId="77777777" w:rsidR="00C77D5B" w:rsidRPr="00B953FA" w:rsidRDefault="00C77D5B" w:rsidP="002D7EE2">
            <w:pPr>
              <w:spacing w:after="220"/>
              <w:rPr>
                <w:lang w:val="fr-FR"/>
              </w:rPr>
            </w:pPr>
            <w:r w:rsidRPr="00B953FA">
              <w:rPr>
                <w:b/>
                <w:lang w:val="fr-FR"/>
              </w:rPr>
              <w:t>Texte suggéré</w:t>
            </w:r>
          </w:p>
        </w:tc>
        <w:tc>
          <w:tcPr>
            <w:tcW w:w="3113" w:type="dxa"/>
          </w:tcPr>
          <w:p w14:paraId="160F715A" w14:textId="77777777" w:rsidR="00C77D5B" w:rsidRPr="00B953FA" w:rsidRDefault="00C77D5B" w:rsidP="002D7EE2">
            <w:pPr>
              <w:spacing w:after="220"/>
              <w:rPr>
                <w:lang w:val="fr-FR"/>
              </w:rPr>
            </w:pPr>
            <w:r w:rsidRPr="00B953FA">
              <w:rPr>
                <w:b/>
                <w:lang w:val="fr-FR"/>
              </w:rPr>
              <w:t>Observations</w:t>
            </w:r>
          </w:p>
        </w:tc>
      </w:tr>
      <w:tr w:rsidR="00C77D5B" w:rsidRPr="00B953FA" w14:paraId="29AA8768" w14:textId="77777777" w:rsidTr="00545780">
        <w:tc>
          <w:tcPr>
            <w:tcW w:w="1842" w:type="dxa"/>
          </w:tcPr>
          <w:p w14:paraId="5FA3B2D0" w14:textId="77777777" w:rsidR="00C77D5B" w:rsidRPr="00B953FA" w:rsidRDefault="00C77D5B" w:rsidP="002D7EE2">
            <w:pPr>
              <w:spacing w:after="220"/>
              <w:rPr>
                <w:b/>
                <w:sz w:val="20"/>
                <w:lang w:val="fr-FR"/>
              </w:rPr>
            </w:pPr>
            <w:r w:rsidRPr="00B953FA">
              <w:rPr>
                <w:sz w:val="20"/>
                <w:lang w:val="fr-FR"/>
              </w:rPr>
              <w:t>Exclusions particulières (Australie)</w:t>
            </w:r>
          </w:p>
        </w:tc>
        <w:tc>
          <w:tcPr>
            <w:tcW w:w="3686" w:type="dxa"/>
          </w:tcPr>
          <w:p w14:paraId="15F0D321" w14:textId="1A1B80ED" w:rsidR="00F37154" w:rsidRPr="00B953FA" w:rsidRDefault="00C77D5B" w:rsidP="002D7EE2">
            <w:pPr>
              <w:spacing w:after="60"/>
              <w:rPr>
                <w:bCs/>
                <w:sz w:val="20"/>
                <w:lang w:val="fr-FR"/>
              </w:rPr>
            </w:pPr>
            <w:r w:rsidRPr="00B953FA">
              <w:rPr>
                <w:bCs/>
                <w:sz w:val="20"/>
                <w:lang w:val="fr-FR"/>
              </w:rPr>
              <w:t>9.  Il n</w:t>
            </w:r>
            <w:r w:rsidR="000A0979" w:rsidRPr="00B953FA">
              <w:rPr>
                <w:bCs/>
                <w:sz w:val="20"/>
                <w:lang w:val="fr-FR"/>
              </w:rPr>
              <w:t>’</w:t>
            </w:r>
            <w:r w:rsidRPr="00B953FA">
              <w:rPr>
                <w:bCs/>
                <w:sz w:val="20"/>
                <w:lang w:val="fr-FR"/>
              </w:rPr>
              <w:t>y a aucun droit de suite sur la revente commerciale</w:t>
            </w:r>
          </w:p>
          <w:p w14:paraId="44AE9E3C" w14:textId="359C82B1" w:rsidR="00C77D5B" w:rsidRPr="00B953FA" w:rsidRDefault="00C77D5B" w:rsidP="002D7EE2">
            <w:pPr>
              <w:spacing w:after="60"/>
              <w:rPr>
                <w:sz w:val="20"/>
                <w:lang w:val="fr-FR"/>
              </w:rPr>
            </w:pPr>
            <w:r w:rsidRPr="00B953FA">
              <w:rPr>
                <w:bCs/>
                <w:sz w:val="20"/>
                <w:lang w:val="fr-FR"/>
              </w:rPr>
              <w:t>a) d</w:t>
            </w:r>
            <w:r w:rsidR="000A0979" w:rsidRPr="00B953FA">
              <w:rPr>
                <w:bCs/>
                <w:sz w:val="20"/>
                <w:lang w:val="fr-FR"/>
              </w:rPr>
              <w:t>’</w:t>
            </w:r>
            <w:r w:rsidRPr="00B953FA">
              <w:rPr>
                <w:bCs/>
                <w:sz w:val="20"/>
                <w:lang w:val="fr-FR"/>
              </w:rPr>
              <w:t xml:space="preserve">un </w:t>
            </w:r>
            <w:r w:rsidRPr="00B953FA">
              <w:rPr>
                <w:sz w:val="20"/>
                <w:lang w:val="fr-FR"/>
              </w:rPr>
              <w:t>bâtiment ou d</w:t>
            </w:r>
            <w:r w:rsidR="000A0979" w:rsidRPr="00B953FA">
              <w:rPr>
                <w:sz w:val="20"/>
                <w:lang w:val="fr-FR"/>
              </w:rPr>
              <w:t>’</w:t>
            </w:r>
            <w:r w:rsidRPr="00B953FA">
              <w:rPr>
                <w:sz w:val="20"/>
                <w:lang w:val="fr-FR"/>
              </w:rPr>
              <w:t xml:space="preserve">un </w:t>
            </w:r>
            <w:r w:rsidRPr="00B953FA">
              <w:rPr>
                <w:bCs/>
                <w:sz w:val="20"/>
                <w:lang w:val="fr-FR"/>
              </w:rPr>
              <w:t>dessin,</w:t>
            </w:r>
            <w:r w:rsidRPr="00B953FA">
              <w:rPr>
                <w:sz w:val="20"/>
                <w:lang w:val="fr-FR"/>
              </w:rPr>
              <w:t xml:space="preserve"> plan, ou modèle de </w:t>
            </w:r>
            <w:proofErr w:type="gramStart"/>
            <w:r w:rsidRPr="00B953FA">
              <w:rPr>
                <w:sz w:val="20"/>
                <w:lang w:val="fr-FR"/>
              </w:rPr>
              <w:t xml:space="preserve">bâtiment; </w:t>
            </w:r>
            <w:r w:rsidR="00FB6E84" w:rsidRPr="00B953FA">
              <w:rPr>
                <w:sz w:val="20"/>
                <w:lang w:val="fr-FR"/>
              </w:rPr>
              <w:t xml:space="preserve"> </w:t>
            </w:r>
            <w:r w:rsidRPr="00B953FA">
              <w:rPr>
                <w:sz w:val="20"/>
                <w:lang w:val="fr-FR"/>
              </w:rPr>
              <w:t>ou</w:t>
            </w:r>
            <w:proofErr w:type="gramEnd"/>
          </w:p>
          <w:p w14:paraId="79F93744" w14:textId="2DD1E621" w:rsidR="00C77D5B" w:rsidRPr="00B953FA" w:rsidRDefault="00C77D5B" w:rsidP="002D7EE2">
            <w:pPr>
              <w:spacing w:after="60"/>
              <w:rPr>
                <w:sz w:val="20"/>
                <w:lang w:val="fr-FR"/>
              </w:rPr>
            </w:pPr>
            <w:r w:rsidRPr="00B953FA">
              <w:rPr>
                <w:sz w:val="20"/>
                <w:lang w:val="fr-FR"/>
              </w:rPr>
              <w:t>b) d</w:t>
            </w:r>
            <w:r w:rsidR="000A0979" w:rsidRPr="00B953FA">
              <w:rPr>
                <w:sz w:val="20"/>
                <w:lang w:val="fr-FR"/>
              </w:rPr>
              <w:t>’</w:t>
            </w:r>
            <w:r w:rsidRPr="00B953FA">
              <w:rPr>
                <w:sz w:val="20"/>
                <w:lang w:val="fr-FR"/>
              </w:rPr>
              <w:t xml:space="preserve">une configuration de circuits au sens de la </w:t>
            </w:r>
            <w:r w:rsidR="00041DF8">
              <w:rPr>
                <w:sz w:val="20"/>
                <w:lang w:val="fr-FR"/>
              </w:rPr>
              <w:t>l</w:t>
            </w:r>
            <w:r w:rsidRPr="00B953FA">
              <w:rPr>
                <w:sz w:val="20"/>
                <w:lang w:val="fr-FR"/>
              </w:rPr>
              <w:t xml:space="preserve">oi </w:t>
            </w:r>
            <w:r w:rsidR="00F37154" w:rsidRPr="00B953FA">
              <w:rPr>
                <w:sz w:val="20"/>
                <w:lang w:val="fr-FR"/>
              </w:rPr>
              <w:t>de 1989</w:t>
            </w:r>
            <w:r w:rsidRPr="00B953FA">
              <w:rPr>
                <w:sz w:val="20"/>
                <w:lang w:val="fr-FR"/>
              </w:rPr>
              <w:t xml:space="preserve"> sur les configurations de </w:t>
            </w:r>
            <w:proofErr w:type="gramStart"/>
            <w:r w:rsidRPr="00B953FA">
              <w:rPr>
                <w:sz w:val="20"/>
                <w:lang w:val="fr-FR"/>
              </w:rPr>
              <w:t xml:space="preserve">circuits; </w:t>
            </w:r>
            <w:r w:rsidR="00FB6E84" w:rsidRPr="00B953FA">
              <w:rPr>
                <w:sz w:val="20"/>
                <w:lang w:val="fr-FR"/>
              </w:rPr>
              <w:t xml:space="preserve"> </w:t>
            </w:r>
            <w:r w:rsidRPr="00B953FA">
              <w:rPr>
                <w:sz w:val="20"/>
                <w:lang w:val="fr-FR"/>
              </w:rPr>
              <w:t>ou</w:t>
            </w:r>
            <w:proofErr w:type="gramEnd"/>
          </w:p>
          <w:p w14:paraId="68CA12E1" w14:textId="6819DE56" w:rsidR="00C77D5B" w:rsidRPr="00B953FA" w:rsidRDefault="00C77D5B" w:rsidP="002D7EE2">
            <w:pPr>
              <w:spacing w:after="60"/>
              <w:rPr>
                <w:bCs/>
                <w:sz w:val="20"/>
                <w:lang w:val="fr-FR"/>
              </w:rPr>
            </w:pPr>
            <w:r w:rsidRPr="00B953FA">
              <w:rPr>
                <w:bCs/>
                <w:sz w:val="20"/>
                <w:lang w:val="fr-FR"/>
              </w:rPr>
              <w:t>c) d</w:t>
            </w:r>
            <w:r w:rsidR="000A0979" w:rsidRPr="00B953FA">
              <w:rPr>
                <w:bCs/>
                <w:sz w:val="20"/>
                <w:lang w:val="fr-FR"/>
              </w:rPr>
              <w:t>’</w:t>
            </w:r>
            <w:r w:rsidRPr="00B953FA">
              <w:rPr>
                <w:bCs/>
                <w:sz w:val="20"/>
                <w:lang w:val="fr-FR"/>
              </w:rPr>
              <w:t>un manuscrit (sous quelque forme que ce soit) d</w:t>
            </w:r>
            <w:r w:rsidR="000A0979" w:rsidRPr="00B953FA">
              <w:rPr>
                <w:bCs/>
                <w:sz w:val="20"/>
                <w:lang w:val="fr-FR"/>
              </w:rPr>
              <w:t>’</w:t>
            </w:r>
            <w:r w:rsidRPr="00B953FA">
              <w:rPr>
                <w:bCs/>
                <w:sz w:val="20"/>
                <w:lang w:val="fr-FR"/>
              </w:rPr>
              <w:t>œuvre littéraire, artistique ou musicale</w:t>
            </w:r>
            <w:r w:rsidRPr="00B953FA">
              <w:rPr>
                <w:rStyle w:val="FootnoteReference"/>
                <w:bCs/>
                <w:sz w:val="20"/>
                <w:lang w:val="fr-FR"/>
              </w:rPr>
              <w:footnoteReference w:id="51"/>
            </w:r>
            <w:r w:rsidRPr="00B953FA">
              <w:rPr>
                <w:bCs/>
                <w:sz w:val="20"/>
                <w:lang w:val="fr-FR"/>
              </w:rPr>
              <w:t>.</w:t>
            </w:r>
          </w:p>
        </w:tc>
        <w:tc>
          <w:tcPr>
            <w:tcW w:w="3113" w:type="dxa"/>
          </w:tcPr>
          <w:p w14:paraId="020A8119" w14:textId="443684B6" w:rsidR="00F37154" w:rsidRPr="00B953FA" w:rsidRDefault="00C77D5B" w:rsidP="002D7EE2">
            <w:pPr>
              <w:numPr>
                <w:ilvl w:val="0"/>
                <w:numId w:val="15"/>
              </w:numPr>
              <w:spacing w:after="60"/>
              <w:rPr>
                <w:bCs/>
                <w:sz w:val="20"/>
                <w:lang w:val="fr-FR"/>
              </w:rPr>
            </w:pPr>
            <w:r w:rsidRPr="00B953FA">
              <w:rPr>
                <w:bCs/>
                <w:sz w:val="20"/>
                <w:lang w:val="fr-FR"/>
              </w:rPr>
              <w:t>Cela présente l</w:t>
            </w:r>
            <w:r w:rsidR="000A0979" w:rsidRPr="00B953FA">
              <w:rPr>
                <w:bCs/>
                <w:sz w:val="20"/>
                <w:lang w:val="fr-FR"/>
              </w:rPr>
              <w:t>’</w:t>
            </w:r>
            <w:r w:rsidRPr="00B953FA">
              <w:rPr>
                <w:bCs/>
                <w:sz w:val="20"/>
                <w:lang w:val="fr-FR"/>
              </w:rPr>
              <w:t xml:space="preserve">avantage de la certitude, </w:t>
            </w:r>
            <w:r w:rsidRPr="00B953FA">
              <w:rPr>
                <w:sz w:val="20"/>
                <w:lang w:val="fr-FR"/>
              </w:rPr>
              <w:t>car</w:t>
            </w:r>
            <w:r w:rsidRPr="00B953FA">
              <w:rPr>
                <w:bCs/>
                <w:sz w:val="20"/>
                <w:lang w:val="fr-FR"/>
              </w:rPr>
              <w:t xml:space="preserve"> ce qui n</w:t>
            </w:r>
            <w:r w:rsidR="000A0979" w:rsidRPr="00B953FA">
              <w:rPr>
                <w:bCs/>
                <w:sz w:val="20"/>
                <w:lang w:val="fr-FR"/>
              </w:rPr>
              <w:t>’</w:t>
            </w:r>
            <w:r w:rsidRPr="00B953FA">
              <w:rPr>
                <w:bCs/>
                <w:sz w:val="20"/>
                <w:lang w:val="fr-FR"/>
              </w:rPr>
              <w:t>est pas exclu peut très bien entrer dans le champ d</w:t>
            </w:r>
            <w:r w:rsidR="000A0979" w:rsidRPr="00B953FA">
              <w:rPr>
                <w:bCs/>
                <w:sz w:val="20"/>
                <w:lang w:val="fr-FR"/>
              </w:rPr>
              <w:t>’</w:t>
            </w:r>
            <w:r w:rsidRPr="00B953FA">
              <w:rPr>
                <w:bCs/>
                <w:sz w:val="20"/>
                <w:lang w:val="fr-FR"/>
              </w:rPr>
              <w:t>application du droit de suite des artistes, même s</w:t>
            </w:r>
            <w:r w:rsidR="000A0979" w:rsidRPr="00B953FA">
              <w:rPr>
                <w:bCs/>
                <w:sz w:val="20"/>
                <w:lang w:val="fr-FR"/>
              </w:rPr>
              <w:t>’</w:t>
            </w:r>
            <w:r w:rsidRPr="00B953FA">
              <w:rPr>
                <w:bCs/>
                <w:sz w:val="20"/>
                <w:lang w:val="fr-FR"/>
              </w:rPr>
              <w:t>il s</w:t>
            </w:r>
            <w:r w:rsidR="000A0979" w:rsidRPr="00B953FA">
              <w:rPr>
                <w:bCs/>
                <w:sz w:val="20"/>
                <w:lang w:val="fr-FR"/>
              </w:rPr>
              <w:t>’</w:t>
            </w:r>
            <w:r w:rsidRPr="00B953FA">
              <w:rPr>
                <w:bCs/>
                <w:sz w:val="20"/>
                <w:lang w:val="fr-FR"/>
              </w:rPr>
              <w:t>agit d</w:t>
            </w:r>
            <w:r w:rsidR="000A0979" w:rsidRPr="00B953FA">
              <w:rPr>
                <w:bCs/>
                <w:sz w:val="20"/>
                <w:lang w:val="fr-FR"/>
              </w:rPr>
              <w:t>’</w:t>
            </w:r>
            <w:r w:rsidRPr="00B953FA">
              <w:rPr>
                <w:bCs/>
                <w:sz w:val="20"/>
                <w:lang w:val="fr-FR"/>
              </w:rPr>
              <w:t>un élément qui n</w:t>
            </w:r>
            <w:r w:rsidR="000A0979" w:rsidRPr="00B953FA">
              <w:rPr>
                <w:bCs/>
                <w:sz w:val="20"/>
                <w:lang w:val="fr-FR"/>
              </w:rPr>
              <w:t>’</w:t>
            </w:r>
            <w:r w:rsidRPr="00B953FA">
              <w:rPr>
                <w:bCs/>
                <w:sz w:val="20"/>
                <w:lang w:val="fr-FR"/>
              </w:rPr>
              <w:t>est pas expressément inclus dans une liste fournie précédemment (comme dans le tableau</w:t>
            </w:r>
            <w:r w:rsidR="00FB6E84" w:rsidRPr="00B953FA">
              <w:rPr>
                <w:bCs/>
                <w:sz w:val="20"/>
                <w:lang w:val="fr-FR"/>
              </w:rPr>
              <w:t> </w:t>
            </w:r>
            <w:r w:rsidRPr="00B953FA">
              <w:rPr>
                <w:bCs/>
                <w:sz w:val="20"/>
                <w:lang w:val="fr-FR"/>
              </w:rPr>
              <w:t>3).</w:t>
            </w:r>
          </w:p>
          <w:p w14:paraId="4938066B" w14:textId="7FBAEAC7" w:rsidR="00C77D5B" w:rsidRPr="00B953FA" w:rsidRDefault="00C77D5B" w:rsidP="002D7EE2">
            <w:pPr>
              <w:numPr>
                <w:ilvl w:val="0"/>
                <w:numId w:val="15"/>
              </w:numPr>
              <w:spacing w:after="60"/>
              <w:rPr>
                <w:bCs/>
                <w:sz w:val="20"/>
                <w:lang w:val="fr-FR"/>
              </w:rPr>
            </w:pPr>
            <w:r w:rsidRPr="00B953FA">
              <w:rPr>
                <w:bCs/>
                <w:sz w:val="20"/>
                <w:lang w:val="fr-FR"/>
              </w:rPr>
              <w:t>Des problèmes peuvent survenir en ce qui concerne les œuvres d</w:t>
            </w:r>
            <w:r w:rsidR="000A0979" w:rsidRPr="00B953FA">
              <w:rPr>
                <w:bCs/>
                <w:sz w:val="20"/>
                <w:lang w:val="fr-FR"/>
              </w:rPr>
              <w:t>’</w:t>
            </w:r>
            <w:r w:rsidRPr="00B953FA">
              <w:rPr>
                <w:bCs/>
                <w:sz w:val="20"/>
                <w:lang w:val="fr-FR"/>
              </w:rPr>
              <w:t>art éphémères ou transitoires, telles que les sculptures de sable et d</w:t>
            </w:r>
            <w:r w:rsidR="000A0979" w:rsidRPr="00B953FA">
              <w:rPr>
                <w:bCs/>
                <w:sz w:val="20"/>
                <w:lang w:val="fr-FR"/>
              </w:rPr>
              <w:t>’</w:t>
            </w:r>
            <w:r w:rsidRPr="00B953FA">
              <w:rPr>
                <w:bCs/>
                <w:sz w:val="20"/>
                <w:lang w:val="fr-FR"/>
              </w:rPr>
              <w:t>eau ou les images produites au laser, entre autres, bien qu</w:t>
            </w:r>
            <w:r w:rsidR="000A0979" w:rsidRPr="00B953FA">
              <w:rPr>
                <w:bCs/>
                <w:sz w:val="20"/>
                <w:lang w:val="fr-FR"/>
              </w:rPr>
              <w:t>’</w:t>
            </w:r>
            <w:r w:rsidRPr="00B953FA">
              <w:rPr>
                <w:bCs/>
                <w:sz w:val="20"/>
                <w:lang w:val="fr-FR"/>
              </w:rPr>
              <w:t xml:space="preserve">en pratique, il puisse être </w:t>
            </w:r>
            <w:r w:rsidRPr="00B953FA">
              <w:rPr>
                <w:bCs/>
                <w:sz w:val="20"/>
                <w:lang w:val="fr-FR"/>
              </w:rPr>
              <w:lastRenderedPageBreak/>
              <w:t>très difficile pour celles</w:t>
            </w:r>
            <w:r w:rsidR="00FA1A0F">
              <w:rPr>
                <w:bCs/>
                <w:sz w:val="20"/>
                <w:lang w:val="fr-FR"/>
              </w:rPr>
              <w:noBreakHyphen/>
            </w:r>
            <w:r w:rsidRPr="00B953FA">
              <w:rPr>
                <w:bCs/>
                <w:sz w:val="20"/>
                <w:lang w:val="fr-FR"/>
              </w:rPr>
              <w:t>ci d</w:t>
            </w:r>
            <w:r w:rsidR="000A0979" w:rsidRPr="00B953FA">
              <w:rPr>
                <w:bCs/>
                <w:sz w:val="20"/>
                <w:lang w:val="fr-FR"/>
              </w:rPr>
              <w:t>’</w:t>
            </w:r>
            <w:r w:rsidRPr="00B953FA">
              <w:rPr>
                <w:bCs/>
                <w:sz w:val="20"/>
                <w:lang w:val="fr-FR"/>
              </w:rPr>
              <w:t>avoir autre chose qu</w:t>
            </w:r>
            <w:r w:rsidR="000A0979" w:rsidRPr="00B953FA">
              <w:rPr>
                <w:bCs/>
                <w:sz w:val="20"/>
                <w:lang w:val="fr-FR"/>
              </w:rPr>
              <w:t>’</w:t>
            </w:r>
            <w:r w:rsidRPr="00B953FA">
              <w:rPr>
                <w:bCs/>
                <w:sz w:val="20"/>
                <w:lang w:val="fr-FR"/>
              </w:rPr>
              <w:t xml:space="preserve">une </w:t>
            </w:r>
            <w:r w:rsidR="00F37154" w:rsidRPr="00B953FA">
              <w:rPr>
                <w:bCs/>
                <w:sz w:val="20"/>
                <w:lang w:val="fr-FR"/>
              </w:rPr>
              <w:t>“p</w:t>
            </w:r>
            <w:r w:rsidRPr="00B953FA">
              <w:rPr>
                <w:bCs/>
                <w:sz w:val="20"/>
                <w:lang w:val="fr-FR"/>
              </w:rPr>
              <w:t>remière incarnation”</w:t>
            </w:r>
            <w:r w:rsidR="008956E3" w:rsidRPr="00B953FA">
              <w:rPr>
                <w:bCs/>
                <w:sz w:val="20"/>
                <w:lang w:val="fr-FR"/>
              </w:rPr>
              <w:t xml:space="preserve"> qui dispara</w:t>
            </w:r>
            <w:r w:rsidR="00940E87">
              <w:rPr>
                <w:bCs/>
                <w:sz w:val="20"/>
                <w:lang w:val="fr-FR"/>
              </w:rPr>
              <w:t>î</w:t>
            </w:r>
            <w:r w:rsidR="008956E3" w:rsidRPr="00B953FA">
              <w:rPr>
                <w:bCs/>
                <w:sz w:val="20"/>
                <w:lang w:val="fr-FR"/>
              </w:rPr>
              <w:t>t ensuite</w:t>
            </w:r>
            <w:r w:rsidRPr="00B953FA">
              <w:rPr>
                <w:bCs/>
                <w:sz w:val="20"/>
                <w:lang w:val="fr-FR"/>
              </w:rPr>
              <w:t>.</w:t>
            </w:r>
          </w:p>
          <w:p w14:paraId="137FD211" w14:textId="3E6D287A" w:rsidR="00C77D5B" w:rsidRPr="00B953FA" w:rsidRDefault="00C77D5B" w:rsidP="002D7EE2">
            <w:pPr>
              <w:numPr>
                <w:ilvl w:val="0"/>
                <w:numId w:val="15"/>
              </w:numPr>
              <w:spacing w:after="60"/>
              <w:rPr>
                <w:b/>
                <w:sz w:val="20"/>
                <w:lang w:val="fr-FR"/>
              </w:rPr>
            </w:pPr>
            <w:r w:rsidRPr="00B953FA">
              <w:rPr>
                <w:bCs/>
                <w:sz w:val="20"/>
                <w:lang w:val="fr-FR"/>
              </w:rPr>
              <w:t>L</w:t>
            </w:r>
            <w:r w:rsidR="000A0979" w:rsidRPr="00B953FA">
              <w:rPr>
                <w:bCs/>
                <w:sz w:val="20"/>
                <w:lang w:val="fr-FR"/>
              </w:rPr>
              <w:t>’</w:t>
            </w:r>
            <w:r w:rsidRPr="00B953FA">
              <w:rPr>
                <w:bCs/>
                <w:sz w:val="20"/>
                <w:lang w:val="fr-FR"/>
              </w:rPr>
              <w:t>exclusion des “manuscrits” peut sembler inutile dans la mesure où le droit de suite des artistes prévu par la législation australienne ne s</w:t>
            </w:r>
            <w:r w:rsidR="000A0979" w:rsidRPr="00B953FA">
              <w:rPr>
                <w:bCs/>
                <w:sz w:val="20"/>
                <w:lang w:val="fr-FR"/>
              </w:rPr>
              <w:t>’</w:t>
            </w:r>
            <w:r w:rsidRPr="00B953FA">
              <w:rPr>
                <w:bCs/>
                <w:sz w:val="20"/>
                <w:lang w:val="fr-FR"/>
              </w:rPr>
              <w:t>applique qu</w:t>
            </w:r>
            <w:r w:rsidR="000A0979" w:rsidRPr="00B953FA">
              <w:rPr>
                <w:bCs/>
                <w:sz w:val="20"/>
                <w:lang w:val="fr-FR"/>
              </w:rPr>
              <w:t>’</w:t>
            </w:r>
            <w:r w:rsidRPr="00B953FA">
              <w:rPr>
                <w:bCs/>
                <w:sz w:val="20"/>
                <w:lang w:val="fr-FR"/>
              </w:rPr>
              <w:t>aux “œuvres d</w:t>
            </w:r>
            <w:r w:rsidR="000A0979" w:rsidRPr="00B953FA">
              <w:rPr>
                <w:bCs/>
                <w:sz w:val="20"/>
                <w:lang w:val="fr-FR"/>
              </w:rPr>
              <w:t>’</w:t>
            </w:r>
            <w:r w:rsidRPr="00B953FA">
              <w:rPr>
                <w:bCs/>
                <w:sz w:val="20"/>
                <w:lang w:val="fr-FR"/>
              </w:rPr>
              <w:t>art”, mais exclut vraisemblablement les manuscrits qui pourraient autrement prétendre à une protection en tant qu</w:t>
            </w:r>
            <w:r w:rsidR="000A0979" w:rsidRPr="00B953FA">
              <w:rPr>
                <w:bCs/>
                <w:sz w:val="20"/>
                <w:lang w:val="fr-FR"/>
              </w:rPr>
              <w:t>’</w:t>
            </w:r>
            <w:r w:rsidRPr="00B953FA">
              <w:rPr>
                <w:bCs/>
                <w:sz w:val="20"/>
                <w:lang w:val="fr-FR"/>
              </w:rPr>
              <w:t>œuvres artistiques en raison des éléments artistiques qu</w:t>
            </w:r>
            <w:r w:rsidR="000A0979" w:rsidRPr="00B953FA">
              <w:rPr>
                <w:bCs/>
                <w:sz w:val="20"/>
                <w:lang w:val="fr-FR"/>
              </w:rPr>
              <w:t>’</w:t>
            </w:r>
            <w:r w:rsidRPr="00B953FA">
              <w:rPr>
                <w:bCs/>
                <w:sz w:val="20"/>
                <w:lang w:val="fr-FR"/>
              </w:rPr>
              <w:t>ils contiennent.</w:t>
            </w:r>
          </w:p>
        </w:tc>
      </w:tr>
      <w:tr w:rsidR="00C77D5B" w:rsidRPr="00B953FA" w14:paraId="2B77A41F" w14:textId="77777777" w:rsidTr="00545780">
        <w:tc>
          <w:tcPr>
            <w:tcW w:w="1842" w:type="dxa"/>
          </w:tcPr>
          <w:p w14:paraId="0E196139" w14:textId="06689B8B" w:rsidR="00C77D5B" w:rsidRPr="00B953FA" w:rsidRDefault="00C77D5B" w:rsidP="002D7EE2">
            <w:pPr>
              <w:spacing w:after="220"/>
              <w:rPr>
                <w:bCs/>
                <w:sz w:val="20"/>
                <w:lang w:val="fr-FR"/>
              </w:rPr>
            </w:pPr>
            <w:r w:rsidRPr="00B953FA">
              <w:rPr>
                <w:bCs/>
                <w:sz w:val="20"/>
                <w:lang w:val="fr-FR"/>
              </w:rPr>
              <w:lastRenderedPageBreak/>
              <w:t>Un ensemble différent d</w:t>
            </w:r>
            <w:r w:rsidR="000A0979" w:rsidRPr="00B953FA">
              <w:rPr>
                <w:bCs/>
                <w:sz w:val="20"/>
                <w:lang w:val="fr-FR"/>
              </w:rPr>
              <w:t>’</w:t>
            </w:r>
            <w:r w:rsidRPr="00B953FA">
              <w:rPr>
                <w:bCs/>
                <w:sz w:val="20"/>
                <w:lang w:val="fr-FR"/>
              </w:rPr>
              <w:t>exclusions de certaines catégories (Sénégal)</w:t>
            </w:r>
          </w:p>
        </w:tc>
        <w:tc>
          <w:tcPr>
            <w:tcW w:w="3686" w:type="dxa"/>
          </w:tcPr>
          <w:p w14:paraId="7EB38346" w14:textId="3D2B21D0" w:rsidR="00C77D5B" w:rsidRPr="00B953FA" w:rsidRDefault="00C77D5B" w:rsidP="002D7EE2">
            <w:pPr>
              <w:spacing w:after="220"/>
              <w:rPr>
                <w:bCs/>
                <w:sz w:val="20"/>
                <w:lang w:val="fr-FR"/>
              </w:rPr>
            </w:pPr>
            <w:r w:rsidRPr="00B953FA">
              <w:rPr>
                <w:bCs/>
                <w:sz w:val="20"/>
                <w:lang w:val="fr-FR"/>
              </w:rPr>
              <w:t>Le droit de suite ne s</w:t>
            </w:r>
            <w:r w:rsidR="000A0979" w:rsidRPr="00B953FA">
              <w:rPr>
                <w:bCs/>
                <w:sz w:val="20"/>
                <w:lang w:val="fr-FR"/>
              </w:rPr>
              <w:t>’</w:t>
            </w:r>
            <w:r w:rsidRPr="00B953FA">
              <w:rPr>
                <w:bCs/>
                <w:sz w:val="20"/>
                <w:lang w:val="fr-FR"/>
              </w:rPr>
              <w:t xml:space="preserve">applique pas aux </w:t>
            </w:r>
            <w:r w:rsidRPr="00B953FA">
              <w:rPr>
                <w:bCs/>
                <w:iCs/>
                <w:sz w:val="20"/>
                <w:lang w:val="fr-FR"/>
              </w:rPr>
              <w:t>ouvrages d</w:t>
            </w:r>
            <w:r w:rsidR="000A0979" w:rsidRPr="00B953FA">
              <w:rPr>
                <w:bCs/>
                <w:iCs/>
                <w:sz w:val="20"/>
                <w:lang w:val="fr-FR"/>
              </w:rPr>
              <w:t>’</w:t>
            </w:r>
            <w:r w:rsidRPr="00B953FA">
              <w:rPr>
                <w:bCs/>
                <w:iCs/>
                <w:sz w:val="20"/>
                <w:lang w:val="fr-FR"/>
              </w:rPr>
              <w:t xml:space="preserve">architecture </w:t>
            </w:r>
            <w:r w:rsidRPr="00B953FA">
              <w:rPr>
                <w:bCs/>
                <w:sz w:val="20"/>
                <w:lang w:val="fr-FR"/>
              </w:rPr>
              <w:t>ou aux œuvres d</w:t>
            </w:r>
            <w:r w:rsidR="000A0979" w:rsidRPr="00B953FA">
              <w:rPr>
                <w:bCs/>
                <w:sz w:val="20"/>
                <w:lang w:val="fr-FR"/>
              </w:rPr>
              <w:t>’</w:t>
            </w:r>
            <w:r w:rsidRPr="00B953FA">
              <w:rPr>
                <w:bCs/>
                <w:sz w:val="20"/>
                <w:lang w:val="fr-FR"/>
              </w:rPr>
              <w:t>art appliqué</w:t>
            </w:r>
            <w:r w:rsidRPr="00B953FA">
              <w:rPr>
                <w:rStyle w:val="FootnoteReference"/>
                <w:sz w:val="20"/>
                <w:lang w:val="fr-FR"/>
              </w:rPr>
              <w:footnoteReference w:id="52"/>
            </w:r>
            <w:r w:rsidR="002D7EE2">
              <w:rPr>
                <w:bCs/>
                <w:sz w:val="20"/>
                <w:lang w:val="fr-FR"/>
              </w:rPr>
              <w:t>.</w:t>
            </w:r>
          </w:p>
        </w:tc>
        <w:tc>
          <w:tcPr>
            <w:tcW w:w="3113" w:type="dxa"/>
          </w:tcPr>
          <w:p w14:paraId="47BFFDC7" w14:textId="77777777" w:rsidR="00C77D5B" w:rsidRPr="00B953FA" w:rsidRDefault="00C77D5B" w:rsidP="002D7EE2">
            <w:pPr>
              <w:numPr>
                <w:ilvl w:val="0"/>
                <w:numId w:val="15"/>
              </w:numPr>
              <w:spacing w:after="60"/>
              <w:rPr>
                <w:bCs/>
                <w:sz w:val="20"/>
                <w:lang w:val="fr-FR"/>
              </w:rPr>
            </w:pPr>
            <w:r w:rsidRPr="00B953FA">
              <w:rPr>
                <w:bCs/>
                <w:sz w:val="20"/>
                <w:lang w:val="fr-FR"/>
              </w:rPr>
              <w:t>Exclusions particulières dans la législation en vigueur.</w:t>
            </w:r>
          </w:p>
        </w:tc>
      </w:tr>
      <w:tr w:rsidR="00C77D5B" w:rsidRPr="00B953FA" w14:paraId="30D89537" w14:textId="77777777" w:rsidTr="00545780">
        <w:tc>
          <w:tcPr>
            <w:tcW w:w="1842" w:type="dxa"/>
          </w:tcPr>
          <w:p w14:paraId="27DFF129" w14:textId="419036E7" w:rsidR="00C77D5B" w:rsidRPr="00B953FA" w:rsidRDefault="00C77D5B" w:rsidP="002D7EE2">
            <w:pPr>
              <w:spacing w:after="220"/>
              <w:rPr>
                <w:b/>
                <w:sz w:val="20"/>
                <w:lang w:val="fr-FR"/>
              </w:rPr>
            </w:pPr>
            <w:r w:rsidRPr="00B953FA">
              <w:rPr>
                <w:bCs/>
                <w:sz w:val="20"/>
                <w:lang w:val="fr-FR"/>
              </w:rPr>
              <w:t>Un autre ensemble d</w:t>
            </w:r>
            <w:r w:rsidR="000A0979" w:rsidRPr="00B953FA">
              <w:rPr>
                <w:bCs/>
                <w:sz w:val="20"/>
                <w:lang w:val="fr-FR"/>
              </w:rPr>
              <w:t>’</w:t>
            </w:r>
            <w:r w:rsidRPr="00B953FA">
              <w:rPr>
                <w:bCs/>
                <w:sz w:val="20"/>
                <w:lang w:val="fr-FR"/>
              </w:rPr>
              <w:t>exclusions (Kenya)</w:t>
            </w:r>
          </w:p>
        </w:tc>
        <w:tc>
          <w:tcPr>
            <w:tcW w:w="3686" w:type="dxa"/>
          </w:tcPr>
          <w:p w14:paraId="553378B3" w14:textId="7043A8DB" w:rsidR="00C77D5B" w:rsidRPr="00B953FA" w:rsidRDefault="00C77D5B" w:rsidP="002D7EE2">
            <w:pPr>
              <w:spacing w:after="60"/>
              <w:rPr>
                <w:bCs/>
                <w:sz w:val="20"/>
                <w:lang w:val="fr-FR"/>
              </w:rPr>
            </w:pPr>
            <w:r w:rsidRPr="00B953FA">
              <w:rPr>
                <w:bCs/>
                <w:sz w:val="20"/>
                <w:lang w:val="fr-FR"/>
              </w:rPr>
              <w:t>6) Aucun droit de suite n</w:t>
            </w:r>
            <w:r w:rsidR="000A0979" w:rsidRPr="00B953FA">
              <w:rPr>
                <w:bCs/>
                <w:sz w:val="20"/>
                <w:lang w:val="fr-FR"/>
              </w:rPr>
              <w:t>’</w:t>
            </w:r>
            <w:r w:rsidRPr="00B953FA">
              <w:rPr>
                <w:bCs/>
                <w:sz w:val="20"/>
                <w:lang w:val="fr-FR"/>
              </w:rPr>
              <w:t>est dû sur la revente commerciale d</w:t>
            </w:r>
            <w:r w:rsidR="000A0979" w:rsidRPr="00B953FA">
              <w:rPr>
                <w:bCs/>
                <w:sz w:val="20"/>
                <w:lang w:val="fr-FR"/>
              </w:rPr>
              <w:t>’</w:t>
            </w:r>
            <w:r w:rsidRPr="00B953FA">
              <w:rPr>
                <w:bCs/>
                <w:sz w:val="20"/>
                <w:lang w:val="fr-FR"/>
              </w:rPr>
              <w:t>une œuvre d</w:t>
            </w:r>
            <w:r w:rsidR="000A0979" w:rsidRPr="00B953FA">
              <w:rPr>
                <w:bCs/>
                <w:sz w:val="20"/>
                <w:lang w:val="fr-FR"/>
              </w:rPr>
              <w:t>’</w:t>
            </w:r>
            <w:r w:rsidRPr="00B953FA">
              <w:rPr>
                <w:bCs/>
                <w:sz w:val="20"/>
                <w:lang w:val="fr-FR"/>
              </w:rPr>
              <w:t>art</w:t>
            </w:r>
          </w:p>
          <w:p w14:paraId="4ACB934E" w14:textId="424F542A" w:rsidR="00A87D6E" w:rsidRPr="00B953FA" w:rsidRDefault="00A87D6E" w:rsidP="002D7EE2">
            <w:pPr>
              <w:spacing w:after="60"/>
              <w:rPr>
                <w:bCs/>
                <w:sz w:val="20"/>
                <w:lang w:val="fr-FR"/>
              </w:rPr>
            </w:pPr>
            <w:r w:rsidRPr="00B953FA">
              <w:rPr>
                <w:bCs/>
                <w:sz w:val="20"/>
                <w:lang w:val="fr-FR"/>
              </w:rPr>
              <w:t>…</w:t>
            </w:r>
          </w:p>
          <w:p w14:paraId="788D14C3" w14:textId="5B7B5325" w:rsidR="00F37154" w:rsidRPr="00B953FA" w:rsidRDefault="009155FF" w:rsidP="002D7EE2">
            <w:pPr>
              <w:pStyle w:val="ListParagraph"/>
              <w:tabs>
                <w:tab w:val="left" w:pos="552"/>
              </w:tabs>
              <w:spacing w:before="0" w:after="60"/>
              <w:ind w:left="178"/>
              <w:contextualSpacing w:val="0"/>
              <w:jc w:val="left"/>
              <w:rPr>
                <w:bCs/>
                <w:sz w:val="20"/>
                <w:szCs w:val="20"/>
              </w:rPr>
            </w:pPr>
            <w:r w:rsidRPr="00B953FA">
              <w:rPr>
                <w:bCs/>
                <w:sz w:val="20"/>
                <w:szCs w:val="20"/>
              </w:rPr>
              <w:t xml:space="preserve">b) </w:t>
            </w:r>
            <w:r w:rsidR="00C77D5B" w:rsidRPr="00B953FA">
              <w:rPr>
                <w:bCs/>
                <w:sz w:val="20"/>
                <w:szCs w:val="20"/>
              </w:rPr>
              <w:t>s</w:t>
            </w:r>
            <w:r w:rsidR="000A0979" w:rsidRPr="00B953FA">
              <w:rPr>
                <w:bCs/>
                <w:sz w:val="20"/>
                <w:szCs w:val="20"/>
              </w:rPr>
              <w:t>’</w:t>
            </w:r>
            <w:r w:rsidR="00C77D5B" w:rsidRPr="00B953FA">
              <w:rPr>
                <w:bCs/>
                <w:sz w:val="20"/>
                <w:szCs w:val="20"/>
              </w:rPr>
              <w:t>il s</w:t>
            </w:r>
            <w:r w:rsidR="000A0979" w:rsidRPr="00B953FA">
              <w:rPr>
                <w:bCs/>
                <w:sz w:val="20"/>
                <w:szCs w:val="20"/>
              </w:rPr>
              <w:t>’</w:t>
            </w:r>
            <w:r w:rsidR="00C77D5B" w:rsidRPr="00B953FA">
              <w:rPr>
                <w:bCs/>
                <w:sz w:val="20"/>
                <w:szCs w:val="20"/>
              </w:rPr>
              <w:t>agit de la revente d</w:t>
            </w:r>
            <w:r w:rsidR="000A0979" w:rsidRPr="00B953FA">
              <w:rPr>
                <w:bCs/>
                <w:sz w:val="20"/>
                <w:szCs w:val="20"/>
              </w:rPr>
              <w:t>’</w:t>
            </w:r>
            <w:r w:rsidR="00C77D5B" w:rsidRPr="00B953FA">
              <w:rPr>
                <w:bCs/>
                <w:sz w:val="20"/>
                <w:szCs w:val="20"/>
              </w:rPr>
              <w:t>un bâtiment ou d</w:t>
            </w:r>
            <w:r w:rsidR="000A0979" w:rsidRPr="00B953FA">
              <w:rPr>
                <w:bCs/>
                <w:sz w:val="20"/>
                <w:szCs w:val="20"/>
              </w:rPr>
              <w:t>’</w:t>
            </w:r>
            <w:r w:rsidR="00C77D5B" w:rsidRPr="00B953FA">
              <w:rPr>
                <w:bCs/>
                <w:sz w:val="20"/>
                <w:szCs w:val="20"/>
              </w:rPr>
              <w:t xml:space="preserve">un dessin, plan, ou modèle de </w:t>
            </w:r>
            <w:proofErr w:type="gramStart"/>
            <w:r w:rsidR="00C77D5B" w:rsidRPr="00B953FA">
              <w:rPr>
                <w:bCs/>
                <w:sz w:val="20"/>
                <w:szCs w:val="20"/>
              </w:rPr>
              <w:t>bâtiment;</w:t>
            </w:r>
            <w:proofErr w:type="gramEnd"/>
          </w:p>
          <w:p w14:paraId="4CDDFF41" w14:textId="68073BC6" w:rsidR="00C77D5B" w:rsidRPr="00B953FA" w:rsidRDefault="00C77D5B" w:rsidP="002D7EE2">
            <w:pPr>
              <w:pStyle w:val="ListParagraph"/>
              <w:tabs>
                <w:tab w:val="left" w:pos="552"/>
              </w:tabs>
              <w:spacing w:before="0" w:after="60"/>
              <w:ind w:left="178"/>
              <w:contextualSpacing w:val="0"/>
              <w:jc w:val="left"/>
              <w:rPr>
                <w:bCs/>
                <w:sz w:val="20"/>
                <w:szCs w:val="20"/>
              </w:rPr>
            </w:pPr>
            <w:r w:rsidRPr="00B953FA">
              <w:rPr>
                <w:bCs/>
                <w:sz w:val="20"/>
                <w:szCs w:val="20"/>
              </w:rPr>
              <w:t>…</w:t>
            </w:r>
          </w:p>
          <w:p w14:paraId="7B9642C4" w14:textId="2A5C4622" w:rsidR="00C77D5B" w:rsidRPr="00B953FA" w:rsidRDefault="00C77D5B" w:rsidP="002D7EE2">
            <w:pPr>
              <w:pStyle w:val="ListParagraph"/>
              <w:tabs>
                <w:tab w:val="left" w:pos="552"/>
              </w:tabs>
              <w:spacing w:before="0" w:after="60"/>
              <w:ind w:left="178"/>
              <w:contextualSpacing w:val="0"/>
              <w:jc w:val="left"/>
              <w:rPr>
                <w:bCs/>
                <w:sz w:val="20"/>
                <w:szCs w:val="20"/>
              </w:rPr>
            </w:pPr>
            <w:r w:rsidRPr="00B953FA">
              <w:rPr>
                <w:bCs/>
                <w:sz w:val="20"/>
                <w:szCs w:val="20"/>
              </w:rPr>
              <w:t>d) si les œuvres d</w:t>
            </w:r>
            <w:r w:rsidR="000A0979" w:rsidRPr="00B953FA">
              <w:rPr>
                <w:bCs/>
                <w:sz w:val="20"/>
                <w:szCs w:val="20"/>
              </w:rPr>
              <w:t>’</w:t>
            </w:r>
            <w:r w:rsidRPr="00B953FA">
              <w:rPr>
                <w:bCs/>
                <w:sz w:val="20"/>
                <w:szCs w:val="20"/>
              </w:rPr>
              <w:t>art produites proviennent d</w:t>
            </w:r>
            <w:r w:rsidR="000A0979" w:rsidRPr="00B953FA">
              <w:rPr>
                <w:bCs/>
                <w:sz w:val="20"/>
                <w:szCs w:val="20"/>
              </w:rPr>
              <w:t>’</w:t>
            </w:r>
            <w:r w:rsidRPr="00B953FA">
              <w:rPr>
                <w:bCs/>
                <w:sz w:val="20"/>
                <w:szCs w:val="20"/>
              </w:rPr>
              <w:t xml:space="preserve">exemplaires </w:t>
            </w:r>
            <w:proofErr w:type="gramStart"/>
            <w:r w:rsidRPr="00B953FA">
              <w:rPr>
                <w:bCs/>
                <w:sz w:val="20"/>
                <w:szCs w:val="20"/>
              </w:rPr>
              <w:t xml:space="preserve">identiques; </w:t>
            </w:r>
            <w:r w:rsidR="00FB6E84" w:rsidRPr="00B953FA">
              <w:rPr>
                <w:bCs/>
                <w:sz w:val="20"/>
                <w:szCs w:val="20"/>
              </w:rPr>
              <w:t xml:space="preserve"> </w:t>
            </w:r>
            <w:r w:rsidRPr="00B953FA">
              <w:rPr>
                <w:bCs/>
                <w:sz w:val="20"/>
                <w:szCs w:val="20"/>
              </w:rPr>
              <w:t>ou</w:t>
            </w:r>
            <w:proofErr w:type="gramEnd"/>
          </w:p>
          <w:p w14:paraId="7903FFE3" w14:textId="1F998C1E" w:rsidR="00C77D5B" w:rsidRPr="00B953FA" w:rsidRDefault="00C77D5B" w:rsidP="002D7EE2">
            <w:pPr>
              <w:pStyle w:val="ListParagraph"/>
              <w:tabs>
                <w:tab w:val="left" w:pos="552"/>
              </w:tabs>
              <w:spacing w:before="0"/>
              <w:ind w:left="178"/>
              <w:contextualSpacing w:val="0"/>
              <w:jc w:val="left"/>
              <w:rPr>
                <w:bCs/>
                <w:sz w:val="20"/>
                <w:szCs w:val="20"/>
              </w:rPr>
            </w:pPr>
            <w:r w:rsidRPr="00B953FA">
              <w:rPr>
                <w:bCs/>
                <w:sz w:val="20"/>
                <w:szCs w:val="20"/>
              </w:rPr>
              <w:t>e) s</w:t>
            </w:r>
            <w:r w:rsidR="000A0979" w:rsidRPr="00B953FA">
              <w:rPr>
                <w:bCs/>
                <w:sz w:val="20"/>
                <w:szCs w:val="20"/>
              </w:rPr>
              <w:t>’</w:t>
            </w:r>
            <w:r w:rsidRPr="00B953FA">
              <w:rPr>
                <w:bCs/>
                <w:sz w:val="20"/>
                <w:szCs w:val="20"/>
              </w:rPr>
              <w:t>il s</w:t>
            </w:r>
            <w:r w:rsidR="000A0979" w:rsidRPr="00B953FA">
              <w:rPr>
                <w:bCs/>
                <w:sz w:val="20"/>
                <w:szCs w:val="20"/>
              </w:rPr>
              <w:t>’</w:t>
            </w:r>
            <w:r w:rsidRPr="00B953FA">
              <w:rPr>
                <w:bCs/>
                <w:sz w:val="20"/>
                <w:szCs w:val="20"/>
              </w:rPr>
              <w:t>agit d</w:t>
            </w:r>
            <w:r w:rsidR="000A0979" w:rsidRPr="00B953FA">
              <w:rPr>
                <w:bCs/>
                <w:sz w:val="20"/>
                <w:szCs w:val="20"/>
              </w:rPr>
              <w:t>’</w:t>
            </w:r>
            <w:r w:rsidRPr="00B953FA">
              <w:rPr>
                <w:bCs/>
                <w:sz w:val="20"/>
                <w:szCs w:val="20"/>
              </w:rPr>
              <w:t>un manuscrit d</w:t>
            </w:r>
            <w:r w:rsidR="000A0979" w:rsidRPr="00B953FA">
              <w:rPr>
                <w:bCs/>
                <w:sz w:val="20"/>
                <w:szCs w:val="20"/>
              </w:rPr>
              <w:t>’</w:t>
            </w:r>
            <w:r w:rsidRPr="00B953FA">
              <w:rPr>
                <w:bCs/>
                <w:sz w:val="20"/>
                <w:szCs w:val="20"/>
              </w:rPr>
              <w:t>œuvre littéraire, dramatique ou musicale</w:t>
            </w:r>
            <w:r w:rsidRPr="00B953FA">
              <w:rPr>
                <w:rStyle w:val="FootnoteReference"/>
                <w:rFonts w:cs="Arial"/>
                <w:sz w:val="20"/>
                <w:szCs w:val="20"/>
                <w:lang w:eastAsia="fr-CH"/>
              </w:rPr>
              <w:footnoteReference w:id="53"/>
            </w:r>
            <w:r w:rsidRPr="00B953FA">
              <w:rPr>
                <w:bCs/>
                <w:sz w:val="20"/>
                <w:szCs w:val="20"/>
              </w:rPr>
              <w:t>.</w:t>
            </w:r>
          </w:p>
        </w:tc>
        <w:tc>
          <w:tcPr>
            <w:tcW w:w="3113" w:type="dxa"/>
          </w:tcPr>
          <w:p w14:paraId="2E027F40" w14:textId="5B39287F" w:rsidR="00C77D5B" w:rsidRPr="00B953FA" w:rsidRDefault="00C77D5B" w:rsidP="002D7EE2">
            <w:pPr>
              <w:numPr>
                <w:ilvl w:val="0"/>
                <w:numId w:val="15"/>
              </w:numPr>
              <w:spacing w:after="60"/>
              <w:rPr>
                <w:bCs/>
                <w:sz w:val="20"/>
                <w:lang w:val="fr-FR"/>
              </w:rPr>
            </w:pPr>
            <w:r w:rsidRPr="00B953FA">
              <w:rPr>
                <w:bCs/>
                <w:sz w:val="20"/>
                <w:lang w:val="fr-FR"/>
              </w:rPr>
              <w:t>L</w:t>
            </w:r>
            <w:r w:rsidR="000A0979" w:rsidRPr="00B953FA">
              <w:rPr>
                <w:bCs/>
                <w:sz w:val="20"/>
                <w:lang w:val="fr-FR"/>
              </w:rPr>
              <w:t>’</w:t>
            </w:r>
            <w:r w:rsidRPr="00B953FA">
              <w:rPr>
                <w:bCs/>
                <w:sz w:val="20"/>
                <w:lang w:val="fr-FR"/>
              </w:rPr>
              <w:t>exclusion des exemplaires identiques peut être mise en parallèle avec la position adoptée dans certaines législations, où les exemplaires exécutés en quantité limitée par l</w:t>
            </w:r>
            <w:r w:rsidR="000A0979" w:rsidRPr="00B953FA">
              <w:rPr>
                <w:bCs/>
                <w:sz w:val="20"/>
                <w:lang w:val="fr-FR"/>
              </w:rPr>
              <w:t>’</w:t>
            </w:r>
            <w:r w:rsidRPr="00B953FA">
              <w:rPr>
                <w:bCs/>
                <w:sz w:val="20"/>
                <w:lang w:val="fr-FR"/>
              </w:rPr>
              <w:t>artiste ou sous sa responsabilité peuvent bénéficier du droit de suite des artistes</w:t>
            </w:r>
            <w:r w:rsidR="000A0979" w:rsidRPr="00B953FA">
              <w:rPr>
                <w:bCs/>
                <w:sz w:val="20"/>
                <w:lang w:val="fr-FR"/>
              </w:rPr>
              <w:t> :</w:t>
            </w:r>
            <w:r w:rsidRPr="00B953FA">
              <w:rPr>
                <w:bCs/>
                <w:sz w:val="20"/>
                <w:lang w:val="fr-FR"/>
              </w:rPr>
              <w:t xml:space="preserve"> voir, par exemple, l</w:t>
            </w:r>
            <w:r w:rsidR="000A0979" w:rsidRPr="00B953FA">
              <w:rPr>
                <w:bCs/>
                <w:sz w:val="20"/>
                <w:lang w:val="fr-FR"/>
              </w:rPr>
              <w:t>’</w:t>
            </w:r>
            <w:r w:rsidR="00F37154" w:rsidRPr="00B953FA">
              <w:rPr>
                <w:bCs/>
                <w:sz w:val="20"/>
                <w:lang w:val="fr-FR"/>
              </w:rPr>
              <w:t>article 2</w:t>
            </w:r>
            <w:r w:rsidRPr="00B953FA">
              <w:rPr>
                <w:bCs/>
                <w:sz w:val="20"/>
                <w:lang w:val="fr-FR"/>
              </w:rPr>
              <w:t>.2), de la directive CE.</w:t>
            </w:r>
          </w:p>
        </w:tc>
      </w:tr>
      <w:tr w:rsidR="00C77D5B" w:rsidRPr="00B953FA" w14:paraId="1FC8D485" w14:textId="77777777" w:rsidTr="00545780">
        <w:tc>
          <w:tcPr>
            <w:tcW w:w="1842" w:type="dxa"/>
          </w:tcPr>
          <w:p w14:paraId="7FE12615" w14:textId="77777777" w:rsidR="00C77D5B" w:rsidRPr="00B953FA" w:rsidRDefault="00C77D5B" w:rsidP="002D7EE2">
            <w:pPr>
              <w:spacing w:after="220"/>
              <w:rPr>
                <w:sz w:val="20"/>
                <w:lang w:val="fr-FR"/>
              </w:rPr>
            </w:pPr>
            <w:r w:rsidRPr="00B953FA">
              <w:rPr>
                <w:sz w:val="20"/>
                <w:lang w:val="fr-FR"/>
              </w:rPr>
              <w:t>Proposition de catégories législatives exclues</w:t>
            </w:r>
          </w:p>
        </w:tc>
        <w:tc>
          <w:tcPr>
            <w:tcW w:w="3686" w:type="dxa"/>
          </w:tcPr>
          <w:p w14:paraId="7B7F024A" w14:textId="5D52F972" w:rsidR="00C77D5B" w:rsidRPr="00B953FA" w:rsidRDefault="00C77D5B" w:rsidP="002D7EE2">
            <w:pPr>
              <w:spacing w:after="60"/>
              <w:rPr>
                <w:iCs/>
                <w:sz w:val="20"/>
                <w:lang w:val="fr-FR"/>
              </w:rPr>
            </w:pPr>
            <w:r w:rsidRPr="00B953FA">
              <w:rPr>
                <w:iCs/>
                <w:sz w:val="20"/>
                <w:lang w:val="fr-FR"/>
              </w:rPr>
              <w:t>Le droit de suite des artistes ne s</w:t>
            </w:r>
            <w:r w:rsidR="000A0979" w:rsidRPr="00B953FA">
              <w:rPr>
                <w:iCs/>
                <w:sz w:val="20"/>
                <w:lang w:val="fr-FR"/>
              </w:rPr>
              <w:t>’</w:t>
            </w:r>
            <w:r w:rsidRPr="00B953FA">
              <w:rPr>
                <w:iCs/>
                <w:sz w:val="20"/>
                <w:lang w:val="fr-FR"/>
              </w:rPr>
              <w:t>applique pas à la revente pour</w:t>
            </w:r>
            <w:r w:rsidR="000A0979" w:rsidRPr="00B953FA">
              <w:rPr>
                <w:iCs/>
                <w:sz w:val="20"/>
                <w:lang w:val="fr-FR"/>
              </w:rPr>
              <w:t> :</w:t>
            </w:r>
          </w:p>
          <w:p w14:paraId="5287CB17" w14:textId="375C2CEA" w:rsidR="00C77D5B" w:rsidRPr="00B953FA" w:rsidRDefault="00C77D5B" w:rsidP="002D7EE2">
            <w:pPr>
              <w:pStyle w:val="ListParagraph"/>
              <w:numPr>
                <w:ilvl w:val="1"/>
                <w:numId w:val="3"/>
              </w:numPr>
              <w:tabs>
                <w:tab w:val="clear" w:pos="1134"/>
                <w:tab w:val="num" w:pos="599"/>
              </w:tabs>
              <w:spacing w:before="0" w:after="60"/>
              <w:ind w:left="181"/>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ouvrages d</w:t>
            </w:r>
            <w:r w:rsidR="000A0979" w:rsidRPr="00B953FA">
              <w:rPr>
                <w:iCs/>
                <w:sz w:val="20"/>
                <w:szCs w:val="20"/>
              </w:rPr>
              <w:t>’</w:t>
            </w:r>
            <w:r w:rsidRPr="00B953FA">
              <w:rPr>
                <w:iCs/>
                <w:sz w:val="20"/>
                <w:szCs w:val="20"/>
              </w:rPr>
              <w:t>architecture ou les dessins, plans ou modèles de ces ouvrages;</w:t>
            </w:r>
          </w:p>
          <w:p w14:paraId="3E871516" w14:textId="6CBF2BF2" w:rsidR="00C77D5B" w:rsidRPr="00B953FA" w:rsidRDefault="00C77D5B" w:rsidP="002D7EE2">
            <w:pPr>
              <w:pStyle w:val="ListParagraph"/>
              <w:numPr>
                <w:ilvl w:val="1"/>
                <w:numId w:val="3"/>
              </w:numPr>
              <w:tabs>
                <w:tab w:val="clear" w:pos="1134"/>
                <w:tab w:val="num" w:pos="599"/>
              </w:tabs>
              <w:spacing w:before="0" w:after="60"/>
              <w:ind w:left="181"/>
              <w:contextualSpacing w:val="0"/>
              <w:jc w:val="left"/>
              <w:rPr>
                <w:sz w:val="20"/>
                <w:szCs w:val="20"/>
              </w:rPr>
            </w:pPr>
            <w:proofErr w:type="gramStart"/>
            <w:r w:rsidRPr="00B953FA">
              <w:rPr>
                <w:sz w:val="20"/>
                <w:szCs w:val="20"/>
              </w:rPr>
              <w:t>les</w:t>
            </w:r>
            <w:proofErr w:type="gramEnd"/>
            <w:r w:rsidRPr="00B953FA">
              <w:rPr>
                <w:sz w:val="20"/>
                <w:szCs w:val="20"/>
              </w:rPr>
              <w:t xml:space="preserve"> dessins techniques d</w:t>
            </w:r>
            <w:r w:rsidR="000A0979" w:rsidRPr="00B953FA">
              <w:rPr>
                <w:sz w:val="20"/>
                <w:szCs w:val="20"/>
              </w:rPr>
              <w:t>’</w:t>
            </w:r>
            <w:r w:rsidRPr="00B953FA">
              <w:rPr>
                <w:sz w:val="20"/>
                <w:szCs w:val="20"/>
              </w:rPr>
              <w:t>articles utiles;</w:t>
            </w:r>
          </w:p>
          <w:p w14:paraId="5F40BDC3" w14:textId="77777777" w:rsidR="00C77D5B" w:rsidRPr="00B953FA" w:rsidRDefault="00C77D5B" w:rsidP="002D7EE2">
            <w:pPr>
              <w:pStyle w:val="ListParagraph"/>
              <w:numPr>
                <w:ilvl w:val="1"/>
                <w:numId w:val="3"/>
              </w:numPr>
              <w:tabs>
                <w:tab w:val="clear" w:pos="1134"/>
                <w:tab w:val="num" w:pos="598"/>
              </w:tabs>
              <w:spacing w:before="0" w:after="60"/>
              <w:ind w:left="176"/>
              <w:contextualSpacing w:val="0"/>
              <w:jc w:val="left"/>
              <w:rPr>
                <w:iCs/>
                <w:sz w:val="20"/>
                <w:szCs w:val="20"/>
              </w:rPr>
            </w:pPr>
            <w:proofErr w:type="gramStart"/>
            <w:r w:rsidRPr="00B953FA">
              <w:rPr>
                <w:iCs/>
                <w:sz w:val="20"/>
                <w:szCs w:val="20"/>
              </w:rPr>
              <w:t>les</w:t>
            </w:r>
            <w:proofErr w:type="gramEnd"/>
            <w:r w:rsidRPr="00B953FA">
              <w:rPr>
                <w:iCs/>
                <w:sz w:val="20"/>
                <w:szCs w:val="20"/>
              </w:rPr>
              <w:t xml:space="preserve"> schémas de configuration (topographies) de circuits intégrés;  ou</w:t>
            </w:r>
          </w:p>
          <w:p w14:paraId="51BCDAB3" w14:textId="77777777" w:rsidR="00C77D5B" w:rsidRPr="00B953FA" w:rsidRDefault="00C77D5B" w:rsidP="002D7EE2">
            <w:pPr>
              <w:pStyle w:val="ListParagraph"/>
              <w:numPr>
                <w:ilvl w:val="1"/>
                <w:numId w:val="3"/>
              </w:numPr>
              <w:tabs>
                <w:tab w:val="clear" w:pos="1134"/>
                <w:tab w:val="num" w:pos="598"/>
              </w:tabs>
              <w:spacing w:before="0" w:after="60"/>
              <w:ind w:left="176"/>
              <w:contextualSpacing w:val="0"/>
              <w:jc w:val="left"/>
              <w:rPr>
                <w:iCs/>
                <w:sz w:val="20"/>
                <w:szCs w:val="20"/>
              </w:rPr>
            </w:pPr>
            <w:proofErr w:type="gramStart"/>
            <w:r w:rsidRPr="00B953FA">
              <w:rPr>
                <w:iCs/>
                <w:sz w:val="20"/>
                <w:szCs w:val="20"/>
              </w:rPr>
              <w:lastRenderedPageBreak/>
              <w:t>les</w:t>
            </w:r>
            <w:proofErr w:type="gramEnd"/>
            <w:r w:rsidRPr="00B953FA">
              <w:rPr>
                <w:iCs/>
                <w:sz w:val="20"/>
                <w:szCs w:val="20"/>
              </w:rPr>
              <w:t xml:space="preserve"> œuvres générées par ordinateur</w:t>
            </w:r>
            <w:r w:rsidRPr="00B953FA">
              <w:rPr>
                <w:sz w:val="20"/>
                <w:szCs w:val="20"/>
                <w:vertAlign w:val="superscript"/>
              </w:rPr>
              <w:footnoteReference w:id="54"/>
            </w:r>
            <w:r w:rsidRPr="00B953FA">
              <w:rPr>
                <w:iCs/>
                <w:sz w:val="20"/>
                <w:szCs w:val="20"/>
              </w:rPr>
              <w:t>.</w:t>
            </w:r>
          </w:p>
        </w:tc>
        <w:tc>
          <w:tcPr>
            <w:tcW w:w="3113" w:type="dxa"/>
          </w:tcPr>
          <w:p w14:paraId="551EDE57" w14:textId="00A746E0" w:rsidR="00C77D5B" w:rsidRPr="00B953FA" w:rsidRDefault="00C77D5B" w:rsidP="002D7EE2">
            <w:pPr>
              <w:numPr>
                <w:ilvl w:val="0"/>
                <w:numId w:val="15"/>
              </w:numPr>
              <w:spacing w:after="60"/>
              <w:rPr>
                <w:sz w:val="20"/>
                <w:lang w:val="fr-FR"/>
              </w:rPr>
            </w:pPr>
            <w:r w:rsidRPr="00B953FA">
              <w:rPr>
                <w:sz w:val="20"/>
                <w:lang w:val="fr-FR"/>
              </w:rPr>
              <w:lastRenderedPageBreak/>
              <w:t xml:space="preserve">Cela </w:t>
            </w:r>
            <w:r w:rsidRPr="00B953FA">
              <w:rPr>
                <w:bCs/>
                <w:sz w:val="20"/>
                <w:lang w:val="fr-FR"/>
              </w:rPr>
              <w:t>présente l</w:t>
            </w:r>
            <w:r w:rsidR="000A0979" w:rsidRPr="00B953FA">
              <w:rPr>
                <w:bCs/>
                <w:sz w:val="20"/>
                <w:lang w:val="fr-FR"/>
              </w:rPr>
              <w:t>’</w:t>
            </w:r>
            <w:r w:rsidRPr="00B953FA">
              <w:rPr>
                <w:bCs/>
                <w:sz w:val="20"/>
                <w:lang w:val="fr-FR"/>
              </w:rPr>
              <w:t xml:space="preserve">avantage </w:t>
            </w:r>
            <w:r w:rsidRPr="00B953FA">
              <w:rPr>
                <w:sz w:val="20"/>
                <w:lang w:val="fr-FR"/>
              </w:rPr>
              <w:t>de la certitude, car ce qui n</w:t>
            </w:r>
            <w:r w:rsidR="000A0979" w:rsidRPr="00B953FA">
              <w:rPr>
                <w:sz w:val="20"/>
                <w:lang w:val="fr-FR"/>
              </w:rPr>
              <w:t>’</w:t>
            </w:r>
            <w:r w:rsidRPr="00B953FA">
              <w:rPr>
                <w:sz w:val="20"/>
                <w:lang w:val="fr-FR"/>
              </w:rPr>
              <w:t>est pas exclu peut très bien tomber dans le champ d</w:t>
            </w:r>
            <w:r w:rsidR="000A0979" w:rsidRPr="00B953FA">
              <w:rPr>
                <w:sz w:val="20"/>
                <w:lang w:val="fr-FR"/>
              </w:rPr>
              <w:t>’</w:t>
            </w:r>
            <w:r w:rsidRPr="00B953FA">
              <w:rPr>
                <w:sz w:val="20"/>
                <w:lang w:val="fr-FR"/>
              </w:rPr>
              <w:t>application du droit de suite des artistes même s</w:t>
            </w:r>
            <w:r w:rsidR="000A0979" w:rsidRPr="00B953FA">
              <w:rPr>
                <w:sz w:val="20"/>
                <w:lang w:val="fr-FR"/>
              </w:rPr>
              <w:t>’</w:t>
            </w:r>
            <w:r w:rsidRPr="00B953FA">
              <w:rPr>
                <w:sz w:val="20"/>
                <w:lang w:val="fr-FR"/>
              </w:rPr>
              <w:t>il n</w:t>
            </w:r>
            <w:r w:rsidR="000A0979" w:rsidRPr="00B953FA">
              <w:rPr>
                <w:sz w:val="20"/>
                <w:lang w:val="fr-FR"/>
              </w:rPr>
              <w:t>’</w:t>
            </w:r>
            <w:r w:rsidRPr="00B953FA">
              <w:rPr>
                <w:sz w:val="20"/>
                <w:lang w:val="fr-FR"/>
              </w:rPr>
              <w:t>est pas spécifiquement inclus dans une liste fournie précédemment (comme dans le tableau 3).</w:t>
            </w:r>
          </w:p>
          <w:p w14:paraId="1C449D3A" w14:textId="33FBF6D9" w:rsidR="00C77D5B" w:rsidRPr="00B953FA" w:rsidRDefault="00C77D5B" w:rsidP="002D7EE2">
            <w:pPr>
              <w:numPr>
                <w:ilvl w:val="0"/>
                <w:numId w:val="15"/>
              </w:numPr>
              <w:spacing w:after="60"/>
              <w:rPr>
                <w:sz w:val="20"/>
                <w:lang w:val="fr-FR"/>
              </w:rPr>
            </w:pPr>
            <w:r w:rsidRPr="00B953FA">
              <w:rPr>
                <w:sz w:val="20"/>
                <w:lang w:val="fr-FR"/>
              </w:rPr>
              <w:t>Des problèmes peuvent survenir en ce qui concerne les œuvres d</w:t>
            </w:r>
            <w:r w:rsidR="000A0979" w:rsidRPr="00B953FA">
              <w:rPr>
                <w:sz w:val="20"/>
                <w:lang w:val="fr-FR"/>
              </w:rPr>
              <w:t>’</w:t>
            </w:r>
            <w:r w:rsidRPr="00B953FA">
              <w:rPr>
                <w:sz w:val="20"/>
                <w:lang w:val="fr-FR"/>
              </w:rPr>
              <w:t xml:space="preserve">art éphémères </w:t>
            </w:r>
            <w:r w:rsidRPr="00B953FA">
              <w:rPr>
                <w:sz w:val="20"/>
                <w:lang w:val="fr-FR"/>
              </w:rPr>
              <w:lastRenderedPageBreak/>
              <w:t>ou transitoires, telles que les sculptures de sable et d</w:t>
            </w:r>
            <w:r w:rsidR="000A0979" w:rsidRPr="00B953FA">
              <w:rPr>
                <w:sz w:val="20"/>
                <w:lang w:val="fr-FR"/>
              </w:rPr>
              <w:t>’</w:t>
            </w:r>
            <w:r w:rsidRPr="00B953FA">
              <w:rPr>
                <w:sz w:val="20"/>
                <w:lang w:val="fr-FR"/>
              </w:rPr>
              <w:t>eau, les images produites au laser, etc., bien qu</w:t>
            </w:r>
            <w:r w:rsidR="000A0979" w:rsidRPr="00B953FA">
              <w:rPr>
                <w:sz w:val="20"/>
                <w:lang w:val="fr-FR"/>
              </w:rPr>
              <w:t>’</w:t>
            </w:r>
            <w:r w:rsidRPr="00B953FA">
              <w:rPr>
                <w:sz w:val="20"/>
                <w:lang w:val="fr-FR"/>
              </w:rPr>
              <w:t>en pratique, il puisse être très difficile pour celles</w:t>
            </w:r>
            <w:r w:rsidR="00FA1A0F">
              <w:rPr>
                <w:sz w:val="20"/>
                <w:lang w:val="fr-FR"/>
              </w:rPr>
              <w:noBreakHyphen/>
            </w:r>
            <w:r w:rsidRPr="00B953FA">
              <w:rPr>
                <w:sz w:val="20"/>
                <w:lang w:val="fr-FR"/>
              </w:rPr>
              <w:t>ci d</w:t>
            </w:r>
            <w:r w:rsidR="000A0979" w:rsidRPr="00B953FA">
              <w:rPr>
                <w:sz w:val="20"/>
                <w:lang w:val="fr-FR"/>
              </w:rPr>
              <w:t>’</w:t>
            </w:r>
            <w:r w:rsidRPr="00B953FA">
              <w:rPr>
                <w:sz w:val="20"/>
                <w:lang w:val="fr-FR"/>
              </w:rPr>
              <w:t>avoir autre chose qu</w:t>
            </w:r>
            <w:r w:rsidR="000A0979" w:rsidRPr="00B953FA">
              <w:rPr>
                <w:sz w:val="20"/>
                <w:lang w:val="fr-FR"/>
              </w:rPr>
              <w:t>’</w:t>
            </w:r>
            <w:r w:rsidRPr="00B953FA">
              <w:rPr>
                <w:sz w:val="20"/>
                <w:lang w:val="fr-FR"/>
              </w:rPr>
              <w:t>une “première incarnation”.</w:t>
            </w:r>
          </w:p>
          <w:p w14:paraId="0F5089F2" w14:textId="12D4A904" w:rsidR="00C77D5B" w:rsidRPr="00B953FA" w:rsidRDefault="00C77D5B" w:rsidP="002D7EE2">
            <w:pPr>
              <w:numPr>
                <w:ilvl w:val="0"/>
                <w:numId w:val="15"/>
              </w:numPr>
              <w:spacing w:after="220"/>
              <w:rPr>
                <w:sz w:val="20"/>
                <w:lang w:val="fr-FR"/>
              </w:rPr>
            </w:pPr>
            <w:r w:rsidRPr="00B953FA">
              <w:rPr>
                <w:sz w:val="20"/>
                <w:lang w:val="fr-FR"/>
              </w:rPr>
              <w:t>L</w:t>
            </w:r>
            <w:r w:rsidR="000A0979" w:rsidRPr="00B953FA">
              <w:rPr>
                <w:sz w:val="20"/>
                <w:lang w:val="fr-FR"/>
              </w:rPr>
              <w:t>’</w:t>
            </w:r>
            <w:r w:rsidRPr="00B953FA">
              <w:rPr>
                <w:sz w:val="20"/>
                <w:lang w:val="fr-FR"/>
              </w:rPr>
              <w:t>exclusion des “œuvres générées par ordinateur” peut s</w:t>
            </w:r>
            <w:r w:rsidR="000A0979" w:rsidRPr="00B953FA">
              <w:rPr>
                <w:sz w:val="20"/>
                <w:lang w:val="fr-FR"/>
              </w:rPr>
              <w:t>’</w:t>
            </w:r>
            <w:r w:rsidRPr="00B953FA">
              <w:rPr>
                <w:sz w:val="20"/>
                <w:lang w:val="fr-FR"/>
              </w:rPr>
              <w:t>avérer inutile si celles</w:t>
            </w:r>
            <w:r w:rsidR="00FA1A0F">
              <w:rPr>
                <w:sz w:val="20"/>
                <w:lang w:val="fr-FR"/>
              </w:rPr>
              <w:noBreakHyphen/>
            </w:r>
            <w:r w:rsidRPr="00B953FA">
              <w:rPr>
                <w:sz w:val="20"/>
                <w:lang w:val="fr-FR"/>
              </w:rPr>
              <w:t>ci n</w:t>
            </w:r>
            <w:r w:rsidR="000A0979" w:rsidRPr="00B953FA">
              <w:rPr>
                <w:sz w:val="20"/>
                <w:lang w:val="fr-FR"/>
              </w:rPr>
              <w:t>’</w:t>
            </w:r>
            <w:r w:rsidRPr="00B953FA">
              <w:rPr>
                <w:sz w:val="20"/>
                <w:lang w:val="fr-FR"/>
              </w:rPr>
              <w:t>ont pas d</w:t>
            </w:r>
            <w:r w:rsidR="000A0979" w:rsidRPr="00B953FA">
              <w:rPr>
                <w:sz w:val="20"/>
                <w:lang w:val="fr-FR"/>
              </w:rPr>
              <w:t>’</w:t>
            </w:r>
            <w:r w:rsidRPr="00B953FA">
              <w:rPr>
                <w:sz w:val="20"/>
                <w:lang w:val="fr-FR"/>
              </w:rPr>
              <w:t>auteur humain identifiab</w:t>
            </w:r>
            <w:r w:rsidR="00B953FA" w:rsidRPr="00B953FA">
              <w:rPr>
                <w:sz w:val="20"/>
                <w:lang w:val="fr-FR"/>
              </w:rPr>
              <w:t>le.  Bi</w:t>
            </w:r>
            <w:r w:rsidRPr="00B953FA">
              <w:rPr>
                <w:sz w:val="20"/>
                <w:lang w:val="fr-FR"/>
              </w:rPr>
              <w:t>en entendu, les législations nationales pourraient prévoir que le titulaire de droits sur une telle création pourrait néanmoins bénéficier du droit de suite des artiste</w:t>
            </w:r>
            <w:r w:rsidR="00600209" w:rsidRPr="00B953FA">
              <w:rPr>
                <w:sz w:val="20"/>
                <w:lang w:val="fr-FR"/>
              </w:rPr>
              <w:t>s, mais cela dépasserait le champ d</w:t>
            </w:r>
            <w:r w:rsidR="000A0979" w:rsidRPr="00B953FA">
              <w:rPr>
                <w:sz w:val="20"/>
                <w:lang w:val="fr-FR"/>
              </w:rPr>
              <w:t>’</w:t>
            </w:r>
            <w:r w:rsidR="00600209" w:rsidRPr="00B953FA">
              <w:rPr>
                <w:sz w:val="20"/>
                <w:lang w:val="fr-FR"/>
              </w:rPr>
              <w:t>application de l</w:t>
            </w:r>
            <w:r w:rsidR="000A0979" w:rsidRPr="00B953FA">
              <w:rPr>
                <w:sz w:val="20"/>
                <w:lang w:val="fr-FR"/>
              </w:rPr>
              <w:t>’</w:t>
            </w:r>
            <w:r w:rsidR="004A6BE2" w:rsidRPr="00B953FA">
              <w:rPr>
                <w:sz w:val="20"/>
                <w:lang w:val="fr-FR"/>
              </w:rPr>
              <w:t>article 1</w:t>
            </w:r>
            <w:r w:rsidR="00600209" w:rsidRPr="00B953FA">
              <w:rPr>
                <w:sz w:val="20"/>
                <w:lang w:val="fr-FR"/>
              </w:rPr>
              <w:t>4</w:t>
            </w:r>
            <w:r w:rsidR="00600209" w:rsidRPr="00B953FA">
              <w:rPr>
                <w:i/>
                <w:iCs/>
                <w:sz w:val="20"/>
                <w:lang w:val="fr-FR"/>
              </w:rPr>
              <w:t>ter</w:t>
            </w:r>
            <w:r w:rsidR="00600209" w:rsidRPr="00B953FA">
              <w:rPr>
                <w:sz w:val="20"/>
                <w:lang w:val="fr-FR"/>
              </w:rPr>
              <w:t xml:space="preserve"> de la Convention de Berne dans tous les cas. </w:t>
            </w:r>
            <w:r w:rsidR="007C2885" w:rsidRPr="00B953FA">
              <w:rPr>
                <w:sz w:val="20"/>
                <w:lang w:val="fr-FR"/>
              </w:rPr>
              <w:t xml:space="preserve"> </w:t>
            </w:r>
          </w:p>
        </w:tc>
      </w:tr>
      <w:tr w:rsidR="00C77D5B" w:rsidRPr="00B953FA" w14:paraId="236A5F59" w14:textId="77777777" w:rsidTr="00545780">
        <w:tc>
          <w:tcPr>
            <w:tcW w:w="1842" w:type="dxa"/>
          </w:tcPr>
          <w:p w14:paraId="768DB05B" w14:textId="6F986A04" w:rsidR="00C77D5B" w:rsidRPr="00B953FA" w:rsidRDefault="00C77D5B" w:rsidP="002D7EE2">
            <w:pPr>
              <w:spacing w:after="220"/>
              <w:rPr>
                <w:sz w:val="20"/>
                <w:lang w:val="fr-FR"/>
              </w:rPr>
            </w:pPr>
            <w:r w:rsidRPr="00B953FA">
              <w:rPr>
                <w:sz w:val="20"/>
                <w:lang w:val="fr-FR"/>
              </w:rPr>
              <w:lastRenderedPageBreak/>
              <w:t>Proposition de pouvoir d</w:t>
            </w:r>
            <w:r w:rsidR="000A0979" w:rsidRPr="00B953FA">
              <w:rPr>
                <w:sz w:val="20"/>
                <w:lang w:val="fr-FR"/>
              </w:rPr>
              <w:t>’</w:t>
            </w:r>
            <w:r w:rsidRPr="00B953FA">
              <w:rPr>
                <w:sz w:val="20"/>
                <w:lang w:val="fr-FR"/>
              </w:rPr>
              <w:t>exclusion par règlement ou instruction administrative</w:t>
            </w:r>
          </w:p>
        </w:tc>
        <w:tc>
          <w:tcPr>
            <w:tcW w:w="3686" w:type="dxa"/>
          </w:tcPr>
          <w:p w14:paraId="34B37C2F" w14:textId="7846B562" w:rsidR="00C77D5B" w:rsidRPr="00B953FA" w:rsidRDefault="00C77D5B" w:rsidP="002D7EE2">
            <w:pPr>
              <w:rPr>
                <w:sz w:val="20"/>
                <w:lang w:val="fr-FR"/>
              </w:rPr>
            </w:pPr>
            <w:r w:rsidRPr="00B953FA">
              <w:rPr>
                <w:sz w:val="20"/>
                <w:lang w:val="fr-FR"/>
              </w:rPr>
              <w:t>Ajouter au texte précédent</w:t>
            </w:r>
            <w:r w:rsidR="000A0979" w:rsidRPr="00B953FA">
              <w:rPr>
                <w:sz w:val="20"/>
                <w:lang w:val="fr-FR"/>
              </w:rPr>
              <w:t> :</w:t>
            </w:r>
          </w:p>
          <w:p w14:paraId="335DAE4D" w14:textId="485C2AD3" w:rsidR="00373048" w:rsidRPr="00B953FA" w:rsidRDefault="00373048" w:rsidP="002D7EE2">
            <w:pPr>
              <w:rPr>
                <w:sz w:val="20"/>
                <w:lang w:val="fr-FR"/>
              </w:rPr>
            </w:pPr>
            <w:r w:rsidRPr="00B953FA">
              <w:rPr>
                <w:sz w:val="20"/>
                <w:lang w:val="fr-FR"/>
              </w:rPr>
              <w:t>…</w:t>
            </w:r>
          </w:p>
          <w:p w14:paraId="64AFEAEB" w14:textId="3D9E7981" w:rsidR="00C77D5B" w:rsidRPr="00B953FA" w:rsidRDefault="00C77D5B" w:rsidP="002D7EE2">
            <w:pPr>
              <w:pStyle w:val="ListParagraph"/>
              <w:numPr>
                <w:ilvl w:val="1"/>
                <w:numId w:val="25"/>
              </w:numPr>
              <w:tabs>
                <w:tab w:val="clear" w:pos="1134"/>
                <w:tab w:val="left" w:pos="598"/>
              </w:tabs>
              <w:spacing w:before="0" w:after="220"/>
              <w:ind w:left="181"/>
              <w:contextualSpacing w:val="0"/>
              <w:jc w:val="left"/>
              <w:rPr>
                <w:sz w:val="20"/>
                <w:szCs w:val="20"/>
              </w:rPr>
            </w:pPr>
            <w:proofErr w:type="gramStart"/>
            <w:r w:rsidRPr="00B953FA">
              <w:rPr>
                <w:sz w:val="20"/>
                <w:szCs w:val="20"/>
              </w:rPr>
              <w:t>toute</w:t>
            </w:r>
            <w:proofErr w:type="gramEnd"/>
            <w:r w:rsidRPr="00B953FA">
              <w:rPr>
                <w:sz w:val="20"/>
                <w:szCs w:val="20"/>
              </w:rPr>
              <w:t xml:space="preserve"> autre catégorie d</w:t>
            </w:r>
            <w:r w:rsidR="000A0979" w:rsidRPr="00B953FA">
              <w:rPr>
                <w:sz w:val="20"/>
                <w:szCs w:val="20"/>
              </w:rPr>
              <w:t>’</w:t>
            </w:r>
            <w:r w:rsidRPr="00B953FA">
              <w:rPr>
                <w:sz w:val="20"/>
                <w:szCs w:val="20"/>
              </w:rPr>
              <w:t>œuvres artistiques [et de manuscrits] prescrite par les règlements [ou énumérée dans une instruction administrative du ministre, de l</w:t>
            </w:r>
            <w:r w:rsidR="000A0979" w:rsidRPr="00B953FA">
              <w:rPr>
                <w:sz w:val="20"/>
                <w:szCs w:val="20"/>
              </w:rPr>
              <w:t>’</w:t>
            </w:r>
            <w:r w:rsidRPr="00B953FA">
              <w:rPr>
                <w:sz w:val="20"/>
                <w:szCs w:val="20"/>
              </w:rPr>
              <w:t>Agence, etc.].</w:t>
            </w:r>
          </w:p>
        </w:tc>
        <w:tc>
          <w:tcPr>
            <w:tcW w:w="3113" w:type="dxa"/>
          </w:tcPr>
          <w:p w14:paraId="4BD41D06" w14:textId="65CA5269" w:rsidR="00C77D5B" w:rsidRPr="00B953FA" w:rsidRDefault="00C77D5B" w:rsidP="002D7EE2">
            <w:pPr>
              <w:numPr>
                <w:ilvl w:val="0"/>
                <w:numId w:val="15"/>
              </w:numPr>
              <w:spacing w:after="220"/>
              <w:rPr>
                <w:sz w:val="20"/>
                <w:lang w:val="fr-FR"/>
              </w:rPr>
            </w:pPr>
            <w:r w:rsidRPr="00B953FA">
              <w:rPr>
                <w:sz w:val="20"/>
                <w:lang w:val="fr-FR"/>
              </w:rPr>
              <w:t>Avoir ce pouvoir en réserve peut s</w:t>
            </w:r>
            <w:r w:rsidR="000A0979" w:rsidRPr="00B953FA">
              <w:rPr>
                <w:sz w:val="20"/>
                <w:lang w:val="fr-FR"/>
              </w:rPr>
              <w:t>’</w:t>
            </w:r>
            <w:r w:rsidRPr="00B953FA">
              <w:rPr>
                <w:sz w:val="20"/>
                <w:lang w:val="fr-FR"/>
              </w:rPr>
              <w:t>avérer utile.</w:t>
            </w:r>
          </w:p>
        </w:tc>
      </w:tr>
      <w:tr w:rsidR="00C77D5B" w:rsidRPr="00B953FA" w14:paraId="1FD5A2BE" w14:textId="77777777" w:rsidTr="00545780">
        <w:tc>
          <w:tcPr>
            <w:tcW w:w="1842" w:type="dxa"/>
          </w:tcPr>
          <w:p w14:paraId="42D8AFF3" w14:textId="141DDE24" w:rsidR="00C77D5B" w:rsidRPr="00B953FA" w:rsidRDefault="00C77D5B" w:rsidP="002D7EE2">
            <w:pPr>
              <w:spacing w:after="220"/>
              <w:rPr>
                <w:sz w:val="20"/>
                <w:lang w:val="fr-FR"/>
              </w:rPr>
            </w:pPr>
            <w:r w:rsidRPr="00B953FA">
              <w:rPr>
                <w:sz w:val="20"/>
                <w:lang w:val="fr-FR"/>
              </w:rPr>
              <w:t>Exclusion expresse des œuvres d</w:t>
            </w:r>
            <w:r w:rsidR="000A0979" w:rsidRPr="00B953FA">
              <w:rPr>
                <w:sz w:val="20"/>
                <w:lang w:val="fr-FR"/>
              </w:rPr>
              <w:t>’</w:t>
            </w:r>
            <w:r w:rsidRPr="00B953FA">
              <w:rPr>
                <w:sz w:val="20"/>
                <w:lang w:val="fr-FR"/>
              </w:rPr>
              <w:t>art appliqué (Mexique)</w:t>
            </w:r>
          </w:p>
        </w:tc>
        <w:tc>
          <w:tcPr>
            <w:tcW w:w="3686" w:type="dxa"/>
          </w:tcPr>
          <w:p w14:paraId="0DE2D638" w14:textId="32286305" w:rsidR="00C77D5B" w:rsidRPr="00B953FA" w:rsidRDefault="00C77D5B" w:rsidP="002D7EE2">
            <w:pPr>
              <w:spacing w:after="220"/>
              <w:rPr>
                <w:sz w:val="20"/>
                <w:lang w:val="fr-FR"/>
              </w:rPr>
            </w:pPr>
            <w:r w:rsidRPr="00B953FA">
              <w:rPr>
                <w:sz w:val="20"/>
                <w:lang w:val="fr-FR"/>
              </w:rPr>
              <w:t>… à l</w:t>
            </w:r>
            <w:r w:rsidR="000A0979" w:rsidRPr="00B953FA">
              <w:rPr>
                <w:sz w:val="20"/>
                <w:lang w:val="fr-FR"/>
              </w:rPr>
              <w:t>’</w:t>
            </w:r>
            <w:r w:rsidRPr="00B953FA">
              <w:rPr>
                <w:sz w:val="20"/>
                <w:lang w:val="fr-FR"/>
              </w:rPr>
              <w:t>exception des œuvres d</w:t>
            </w:r>
            <w:r w:rsidR="000A0979" w:rsidRPr="00B953FA">
              <w:rPr>
                <w:sz w:val="20"/>
                <w:lang w:val="fr-FR"/>
              </w:rPr>
              <w:t>’</w:t>
            </w:r>
            <w:r w:rsidRPr="00B953FA">
              <w:rPr>
                <w:sz w:val="20"/>
                <w:lang w:val="fr-FR"/>
              </w:rPr>
              <w:t>art appliqué</w:t>
            </w:r>
            <w:r w:rsidRPr="00B953FA">
              <w:rPr>
                <w:rStyle w:val="FootnoteReference"/>
                <w:sz w:val="20"/>
                <w:lang w:val="fr-FR"/>
              </w:rPr>
              <w:footnoteReference w:id="55"/>
            </w:r>
            <w:r w:rsidRPr="00B953FA">
              <w:rPr>
                <w:sz w:val="20"/>
                <w:lang w:val="fr-FR"/>
              </w:rPr>
              <w:t>.</w:t>
            </w:r>
          </w:p>
        </w:tc>
        <w:tc>
          <w:tcPr>
            <w:tcW w:w="3113" w:type="dxa"/>
          </w:tcPr>
          <w:p w14:paraId="5240ED1F" w14:textId="4C83012C" w:rsidR="00C77D5B" w:rsidRPr="00B953FA" w:rsidRDefault="00C77D5B" w:rsidP="002D7EE2">
            <w:pPr>
              <w:numPr>
                <w:ilvl w:val="0"/>
                <w:numId w:val="15"/>
              </w:numPr>
              <w:spacing w:after="220"/>
              <w:rPr>
                <w:sz w:val="20"/>
                <w:lang w:val="fr-FR"/>
              </w:rPr>
            </w:pPr>
            <w:r w:rsidRPr="00B953FA">
              <w:rPr>
                <w:sz w:val="20"/>
                <w:lang w:val="fr-FR"/>
              </w:rPr>
              <w:t>Voir également le tableau</w:t>
            </w:r>
            <w:r w:rsidR="00FB6E84" w:rsidRPr="00B953FA">
              <w:rPr>
                <w:sz w:val="20"/>
                <w:lang w:val="fr-FR"/>
              </w:rPr>
              <w:t> </w:t>
            </w:r>
            <w:r w:rsidRPr="00B953FA">
              <w:rPr>
                <w:sz w:val="20"/>
                <w:lang w:val="fr-FR"/>
              </w:rPr>
              <w:t>3 ci</w:t>
            </w:r>
            <w:r w:rsidR="00FA1A0F">
              <w:rPr>
                <w:sz w:val="20"/>
                <w:lang w:val="fr-FR"/>
              </w:rPr>
              <w:noBreakHyphen/>
            </w:r>
            <w:r w:rsidRPr="00B953FA">
              <w:rPr>
                <w:sz w:val="20"/>
                <w:lang w:val="fr-FR"/>
              </w:rPr>
              <w:t>dessus.</w:t>
            </w:r>
          </w:p>
        </w:tc>
      </w:tr>
    </w:tbl>
    <w:p w14:paraId="525E4FE6" w14:textId="4A6C10DA" w:rsidR="00A80AC5" w:rsidRPr="004D5436" w:rsidRDefault="00A80AC5" w:rsidP="002D7EE2">
      <w:pPr>
        <w:pStyle w:val="Heading1"/>
      </w:pPr>
      <w:r w:rsidRPr="004D5436">
        <w:t>Reventes prot</w:t>
      </w:r>
      <w:r w:rsidR="007B2A4E">
        <w:t>égé</w:t>
      </w:r>
      <w:r w:rsidRPr="004D5436">
        <w:t>es par le droit de suite des artistes</w:t>
      </w:r>
    </w:p>
    <w:p w14:paraId="072BFDF4" w14:textId="5C6D73E7" w:rsidR="00A80AC5" w:rsidRPr="004D5436" w:rsidRDefault="00A80AC5" w:rsidP="002D7EE2">
      <w:pPr>
        <w:pStyle w:val="ONUMFS"/>
        <w:rPr>
          <w:lang w:val="fr-FR"/>
        </w:rPr>
      </w:pPr>
      <w:r w:rsidRPr="004D5436">
        <w:rPr>
          <w:lang w:val="fr-FR"/>
        </w:rPr>
        <w:t xml:space="preserve">Toutes les reventes ne sont pas ou ne peuvent pas être protégées par le droit de suite des artistes.  Bien que, en principe, on puisse soutenir que </w:t>
      </w:r>
      <w:r w:rsidRPr="00352126">
        <w:rPr>
          <w:u w:val="single"/>
          <w:lang w:val="fr-FR"/>
        </w:rPr>
        <w:t>toutes</w:t>
      </w:r>
      <w:r w:rsidRPr="004D5436">
        <w:rPr>
          <w:lang w:val="fr-FR"/>
        </w:rPr>
        <w:t xml:space="preserve"> les reventes après le premier transfert de propriété par l’artiste devraient être couvertes, dans la pratique, cela peut se révéler impossible.  Par conséquent, en général, les régimes de droit de suite des artistes nationaux s’appliquent uniquement aux reventes impliquant un intermédiaire quelconque, tel qu’un agent ou une galerie, les reventes privées se produisant entre parties restant en dehors du régime.  La raison d’une telle exclusion peut sembler assez évidente – les difficultés logistiques qui se posent dans l’identification et le suivi des transactions bilatérales privées (une analogie grossière peut ici être établie avec le droit exclusif de communication, qui est limité aux communications “au public”).  Essentiellement, la distinction à faire ici est entre ce qui se passe </w:t>
      </w:r>
      <w:r w:rsidRPr="004D5436">
        <w:rPr>
          <w:lang w:val="fr-FR"/>
        </w:rPr>
        <w:lastRenderedPageBreak/>
        <w:t>en public et ce qui se passe en privé.  Toutefois, faire cette distinction présente des difficultés, en particulier si l’on rappelle que l’exclusion des ventes privées dans le cas du droit de suite des artistes peut entraîner un écart important dans les revenus des artistes issus de ces reventes.  À cet égard, l’article 14</w:t>
      </w:r>
      <w:r w:rsidRPr="004D5436">
        <w:rPr>
          <w:i/>
          <w:lang w:val="fr-FR"/>
        </w:rPr>
        <w:t xml:space="preserve">ter </w:t>
      </w:r>
      <w:r w:rsidRPr="004D5436">
        <w:rPr>
          <w:lang w:val="fr-FR"/>
        </w:rPr>
        <w:t>de la Convention de Berne ne fournit aucune indication, renvoyant uniquement à “toute vente de l’œuvre postérieure à la première cession par l’auteur de l’œuvre”.  Les législations nationales doivent donc déterminer elles</w:t>
      </w:r>
      <w:r w:rsidR="00FA1A0F">
        <w:rPr>
          <w:lang w:val="fr-FR"/>
        </w:rPr>
        <w:noBreakHyphen/>
      </w:r>
      <w:r w:rsidRPr="004D5436">
        <w:rPr>
          <w:lang w:val="fr-FR"/>
        </w:rPr>
        <w:t>mêmes la meilleure façon de délimiter les reventes qui seront soumises au droit de suite des artistes et celles qui ne le seront pas.</w:t>
      </w:r>
    </w:p>
    <w:p w14:paraId="3DBA337C" w14:textId="46E2055A" w:rsidR="00A80AC5" w:rsidRPr="004D5436" w:rsidRDefault="00A80AC5" w:rsidP="002D7EE2">
      <w:pPr>
        <w:pStyle w:val="ONUMFS"/>
        <w:rPr>
          <w:lang w:val="fr-FR"/>
        </w:rPr>
      </w:pPr>
      <w:r w:rsidRPr="004D5436">
        <w:rPr>
          <w:lang w:val="fr-FR"/>
        </w:rPr>
        <w:t>Certains régimes de droit de suite des artistes nationaux se concentrent sur l’intermédiaire ou l’institution impliqués dans une revente en tant que facteur déterminant pour savoir si une revente sera soumise au droit de suite des artistes.  Dans certains cas, cela peut signifier faire référence à l’implication d’une institution telle qu’une salle de vente, une galerie, une maison de vente aux enchères ou un musée.  Dans d’autres, l’accent est mis sur la personne de l’intermédiaire impliqué dans la revente, parfois qualifié de “professionnel du marché de l’art”, c’est</w:t>
      </w:r>
      <w:r w:rsidR="00FA1A0F">
        <w:rPr>
          <w:lang w:val="fr-FR"/>
        </w:rPr>
        <w:noBreakHyphen/>
      </w:r>
      <w:r w:rsidRPr="004D5436">
        <w:rPr>
          <w:lang w:val="fr-FR"/>
        </w:rPr>
        <w:t>à</w:t>
      </w:r>
      <w:r w:rsidR="00FA1A0F">
        <w:rPr>
          <w:lang w:val="fr-FR"/>
        </w:rPr>
        <w:noBreakHyphen/>
      </w:r>
      <w:r w:rsidRPr="004D5436">
        <w:rPr>
          <w:lang w:val="fr-FR"/>
        </w:rPr>
        <w:t>dire un agent, un courtier ou un négociateur.  Dans d’autres encore, l’accent est mis sur le caractère commercial de la revente, cet élément étant apporté par l’intervention d’un tel professionnel.  Par exemple, dans la loi australienne, l’expression “revente commerciale” est utilisée pour exclure les transactions de nature privée n’impliquant pas un “professionnel du marché de l’art”, terme qui est ensuite défini plus en détail.  Une autre question qui pourrait nécessiter des éclaircissements est de savoir si le premier transfert de propriété d’une œuvre (par l’artiste) doit être effectué contre de l’argent, c’est</w:t>
      </w:r>
      <w:r w:rsidR="00FA1A0F">
        <w:rPr>
          <w:lang w:val="fr-FR"/>
        </w:rPr>
        <w:noBreakHyphen/>
      </w:r>
      <w:r w:rsidRPr="004D5436">
        <w:rPr>
          <w:lang w:val="fr-FR"/>
        </w:rPr>
        <w:t>à</w:t>
      </w:r>
      <w:r w:rsidR="00FA1A0F">
        <w:rPr>
          <w:lang w:val="fr-FR"/>
        </w:rPr>
        <w:noBreakHyphen/>
      </w:r>
      <w:r w:rsidRPr="004D5436">
        <w:rPr>
          <w:lang w:val="fr-FR"/>
        </w:rPr>
        <w:t>dire s’il couvre également les situations où les œuvres sont données à la personne qui les revend ultérieurement ou sont transférées par l’artiste en échange d’autres avantages tels que la fourniture d’un logement ou d’autres services.  En principe, on peut penser que l’expression “premier transfert de propriété” couvre les situations où il n’y a pas de paiement en espèces, et il existe au moins une loi nationale (au Royaume</w:t>
      </w:r>
      <w:r w:rsidR="00FA1A0F">
        <w:rPr>
          <w:lang w:val="fr-FR"/>
        </w:rPr>
        <w:noBreakHyphen/>
      </w:r>
      <w:r w:rsidRPr="004D5436">
        <w:rPr>
          <w:lang w:val="fr-FR"/>
        </w:rPr>
        <w:t>Uni) qui le précise : voir le tableau 5 ci</w:t>
      </w:r>
      <w:r w:rsidR="00FA1A0F">
        <w:rPr>
          <w:lang w:val="fr-FR"/>
        </w:rPr>
        <w:noBreakHyphen/>
      </w:r>
      <w:r w:rsidRPr="004D5436">
        <w:rPr>
          <w:lang w:val="fr-FR"/>
        </w:rPr>
        <w:t>dessous.</w:t>
      </w:r>
    </w:p>
    <w:p w14:paraId="2B55FE94" w14:textId="1AAC3AD1" w:rsidR="00A80AC5" w:rsidRPr="004D5436" w:rsidRDefault="00A80AC5" w:rsidP="002D7EE2">
      <w:pPr>
        <w:pStyle w:val="ONUMFS"/>
        <w:rPr>
          <w:lang w:val="fr-FR"/>
        </w:rPr>
      </w:pPr>
      <w:r w:rsidRPr="004D5436">
        <w:rPr>
          <w:lang w:val="fr-FR"/>
        </w:rPr>
        <w:t>Quelques exemples de dispositions reflétant ces différentes approches rédactionnelles sont présentés dans le tableau ci</w:t>
      </w:r>
      <w:r w:rsidR="00FA1A0F">
        <w:rPr>
          <w:lang w:val="fr-FR"/>
        </w:rPr>
        <w:noBreakHyphen/>
      </w:r>
      <w:r w:rsidRPr="004D5436">
        <w:rPr>
          <w:lang w:val="fr-FR"/>
        </w:rPr>
        <w:t>dessous.</w:t>
      </w:r>
    </w:p>
    <w:p w14:paraId="1D144823" w14:textId="77777777" w:rsidR="00A80AC5" w:rsidRPr="004D5436" w:rsidRDefault="00A80AC5" w:rsidP="002D7EE2">
      <w:pPr>
        <w:pStyle w:val="Heading2"/>
      </w:pPr>
      <w:r w:rsidRPr="004D5436">
        <w:t>Tableau 5</w:t>
      </w:r>
    </w:p>
    <w:tbl>
      <w:tblPr>
        <w:tblStyle w:val="TableGrid"/>
        <w:tblW w:w="0" w:type="auto"/>
        <w:tblLook w:val="04A0" w:firstRow="1" w:lastRow="0" w:firstColumn="1" w:lastColumn="0" w:noHBand="0" w:noVBand="1"/>
      </w:tblPr>
      <w:tblGrid>
        <w:gridCol w:w="2263"/>
        <w:gridCol w:w="3544"/>
        <w:gridCol w:w="3402"/>
      </w:tblGrid>
      <w:tr w:rsidR="00A80AC5" w:rsidRPr="004D5436" w14:paraId="2E239D4E" w14:textId="77777777" w:rsidTr="00552E97">
        <w:tc>
          <w:tcPr>
            <w:tcW w:w="2263" w:type="dxa"/>
          </w:tcPr>
          <w:p w14:paraId="2E202E6C" w14:textId="77777777" w:rsidR="00A80AC5" w:rsidRPr="004D5436" w:rsidRDefault="00A80AC5" w:rsidP="002D7EE2">
            <w:pPr>
              <w:spacing w:after="220"/>
              <w:rPr>
                <w:lang w:val="fr-FR"/>
              </w:rPr>
            </w:pPr>
            <w:r w:rsidRPr="004D5436">
              <w:rPr>
                <w:b/>
                <w:lang w:val="fr-FR"/>
              </w:rPr>
              <w:t>Type de disposition</w:t>
            </w:r>
          </w:p>
        </w:tc>
        <w:tc>
          <w:tcPr>
            <w:tcW w:w="3544" w:type="dxa"/>
          </w:tcPr>
          <w:p w14:paraId="23A1B88F" w14:textId="77777777" w:rsidR="00A80AC5" w:rsidRPr="004D5436" w:rsidRDefault="00A80AC5" w:rsidP="002D7EE2">
            <w:pPr>
              <w:spacing w:after="220"/>
              <w:rPr>
                <w:lang w:val="fr-FR"/>
              </w:rPr>
            </w:pPr>
            <w:r w:rsidRPr="004D5436">
              <w:rPr>
                <w:b/>
                <w:lang w:val="fr-FR"/>
              </w:rPr>
              <w:t>Texte suggéré</w:t>
            </w:r>
          </w:p>
        </w:tc>
        <w:tc>
          <w:tcPr>
            <w:tcW w:w="3402" w:type="dxa"/>
          </w:tcPr>
          <w:p w14:paraId="0E31F8D4" w14:textId="77777777" w:rsidR="00A80AC5" w:rsidRPr="004D5436" w:rsidRDefault="00A80AC5" w:rsidP="002D7EE2">
            <w:pPr>
              <w:spacing w:after="220"/>
              <w:rPr>
                <w:lang w:val="fr-FR"/>
              </w:rPr>
            </w:pPr>
            <w:r w:rsidRPr="004D5436">
              <w:rPr>
                <w:b/>
                <w:lang w:val="fr-FR"/>
              </w:rPr>
              <w:t>Observations</w:t>
            </w:r>
          </w:p>
        </w:tc>
      </w:tr>
      <w:tr w:rsidR="00A80AC5" w:rsidRPr="004D5436" w14:paraId="26AFD3AA" w14:textId="77777777" w:rsidTr="00552E97">
        <w:tc>
          <w:tcPr>
            <w:tcW w:w="2263" w:type="dxa"/>
          </w:tcPr>
          <w:p w14:paraId="27568D55" w14:textId="77777777" w:rsidR="00A80AC5" w:rsidRPr="00352126" w:rsidRDefault="00A80AC5" w:rsidP="00552E97">
            <w:pPr>
              <w:spacing w:before="60" w:after="220"/>
              <w:rPr>
                <w:sz w:val="20"/>
                <w:lang w:val="fr-FR"/>
              </w:rPr>
            </w:pPr>
            <w:r w:rsidRPr="00352126">
              <w:rPr>
                <w:sz w:val="20"/>
                <w:lang w:val="fr-FR"/>
              </w:rPr>
              <w:t>Disposition générale (CE)</w:t>
            </w:r>
          </w:p>
        </w:tc>
        <w:tc>
          <w:tcPr>
            <w:tcW w:w="3544" w:type="dxa"/>
          </w:tcPr>
          <w:p w14:paraId="3E78C11B" w14:textId="77777777" w:rsidR="00A80AC5" w:rsidRPr="00352126" w:rsidRDefault="00A80AC5" w:rsidP="00552E97">
            <w:pPr>
              <w:spacing w:before="60" w:after="220"/>
              <w:rPr>
                <w:sz w:val="20"/>
                <w:lang w:val="fr-FR"/>
              </w:rPr>
            </w:pPr>
            <w:r w:rsidRPr="00352126">
              <w:rPr>
                <w:sz w:val="20"/>
                <w:lang w:val="fr-FR"/>
              </w:rPr>
              <w:t xml:space="preserve">Le droit visé au paragraphe 1 [droit de suite des artistes] s’applique à tous les actes de revente dans lesquels interviennent en tant que vendeurs, acheteurs ou intermédiaires des professionnels du marché de l’art, </w:t>
            </w:r>
            <w:proofErr w:type="gramStart"/>
            <w:r w:rsidRPr="00352126">
              <w:rPr>
                <w:sz w:val="20"/>
                <w:lang w:val="fr-FR"/>
              </w:rPr>
              <w:t>tels les salles</w:t>
            </w:r>
            <w:proofErr w:type="gramEnd"/>
            <w:r w:rsidRPr="00352126">
              <w:rPr>
                <w:sz w:val="20"/>
                <w:lang w:val="fr-FR"/>
              </w:rPr>
              <w:t xml:space="preserve"> de vente, les galeries d’art et, d’une manière générale, tout commerçant d’œuvres d’art</w:t>
            </w:r>
            <w:r w:rsidRPr="00352126">
              <w:rPr>
                <w:sz w:val="20"/>
                <w:vertAlign w:val="superscript"/>
                <w:lang w:val="fr-FR"/>
              </w:rPr>
              <w:footnoteReference w:id="56"/>
            </w:r>
            <w:r w:rsidRPr="00352126">
              <w:rPr>
                <w:sz w:val="20"/>
                <w:lang w:val="fr-FR"/>
              </w:rPr>
              <w:t>.</w:t>
            </w:r>
          </w:p>
        </w:tc>
        <w:tc>
          <w:tcPr>
            <w:tcW w:w="3402" w:type="dxa"/>
          </w:tcPr>
          <w:p w14:paraId="399510BC" w14:textId="77777777" w:rsidR="00A80AC5" w:rsidRPr="00352126" w:rsidRDefault="00A80AC5" w:rsidP="00552E97">
            <w:pPr>
              <w:numPr>
                <w:ilvl w:val="0"/>
                <w:numId w:val="15"/>
              </w:numPr>
              <w:spacing w:before="60" w:after="220"/>
              <w:rPr>
                <w:sz w:val="20"/>
                <w:lang w:val="fr-FR"/>
              </w:rPr>
            </w:pPr>
            <w:r w:rsidRPr="00352126">
              <w:rPr>
                <w:sz w:val="20"/>
                <w:lang w:val="fr-FR"/>
              </w:rPr>
              <w:t>Cela fait référence à des institutions ou organismes spécifiques (“les salles de vente, les galeries d’art”), mais se termine par la notion plus large de “tout commerçant d’œuvres d’art” qui est une catégorie par défaut large, bien qu’ouverte.  De toute évidence, cela s’étendrait aux maisons de vente aux enchères et aux courtiers qui organisent les reventes.</w:t>
            </w:r>
          </w:p>
        </w:tc>
      </w:tr>
      <w:tr w:rsidR="00A80AC5" w:rsidRPr="004D5436" w14:paraId="5DB2387C" w14:textId="77777777" w:rsidTr="00552E97">
        <w:tc>
          <w:tcPr>
            <w:tcW w:w="2263" w:type="dxa"/>
          </w:tcPr>
          <w:p w14:paraId="4257F2A8" w14:textId="77777777" w:rsidR="00A80AC5" w:rsidRPr="00352126" w:rsidRDefault="00A80AC5" w:rsidP="00552E97">
            <w:pPr>
              <w:spacing w:before="60" w:after="220"/>
              <w:rPr>
                <w:sz w:val="20"/>
                <w:lang w:val="fr-FR"/>
              </w:rPr>
            </w:pPr>
            <w:r w:rsidRPr="00352126">
              <w:rPr>
                <w:sz w:val="20"/>
                <w:lang w:val="fr-FR"/>
              </w:rPr>
              <w:lastRenderedPageBreak/>
              <w:t>Disposition plus détaillée (Australie)</w:t>
            </w:r>
          </w:p>
        </w:tc>
        <w:tc>
          <w:tcPr>
            <w:tcW w:w="3544" w:type="dxa"/>
          </w:tcPr>
          <w:p w14:paraId="4304DEF6" w14:textId="642DD632" w:rsidR="00A80AC5" w:rsidRPr="00352126" w:rsidRDefault="00A80AC5" w:rsidP="00552E97">
            <w:pPr>
              <w:pStyle w:val="ListParagraph"/>
              <w:numPr>
                <w:ilvl w:val="0"/>
                <w:numId w:val="34"/>
              </w:numPr>
              <w:tabs>
                <w:tab w:val="left" w:pos="264"/>
              </w:tabs>
              <w:spacing w:before="60" w:after="220"/>
              <w:ind w:left="0" w:firstLine="36"/>
              <w:rPr>
                <w:b/>
                <w:bCs/>
                <w:iCs/>
                <w:sz w:val="20"/>
                <w:szCs w:val="20"/>
              </w:rPr>
            </w:pPr>
            <w:r w:rsidRPr="00352126">
              <w:rPr>
                <w:b/>
                <w:bCs/>
                <w:iCs/>
                <w:sz w:val="20"/>
                <w:szCs w:val="20"/>
              </w:rPr>
              <w:t>Qu’est</w:t>
            </w:r>
            <w:r w:rsidR="00FA1A0F">
              <w:rPr>
                <w:b/>
                <w:bCs/>
                <w:iCs/>
                <w:sz w:val="20"/>
                <w:szCs w:val="20"/>
              </w:rPr>
              <w:noBreakHyphen/>
            </w:r>
            <w:r w:rsidRPr="00352126">
              <w:rPr>
                <w:b/>
                <w:bCs/>
                <w:iCs/>
                <w:sz w:val="20"/>
                <w:szCs w:val="20"/>
              </w:rPr>
              <w:t xml:space="preserve">ce que la revente commerciale d’une œuvre </w:t>
            </w:r>
            <w:proofErr w:type="gramStart"/>
            <w:r w:rsidRPr="00352126">
              <w:rPr>
                <w:b/>
                <w:bCs/>
                <w:iCs/>
                <w:sz w:val="20"/>
                <w:szCs w:val="20"/>
              </w:rPr>
              <w:t>d’art?</w:t>
            </w:r>
            <w:proofErr w:type="gramEnd"/>
          </w:p>
          <w:p w14:paraId="2CEA6B98" w14:textId="77777777" w:rsidR="00A80AC5" w:rsidRPr="00352126" w:rsidRDefault="00A80AC5" w:rsidP="00552E97">
            <w:pPr>
              <w:numPr>
                <w:ilvl w:val="0"/>
                <w:numId w:val="33"/>
              </w:numPr>
              <w:rPr>
                <w:sz w:val="20"/>
                <w:lang w:val="fr-FR"/>
              </w:rPr>
            </w:pPr>
            <w:r w:rsidRPr="00352126">
              <w:rPr>
                <w:sz w:val="20"/>
                <w:lang w:val="fr-FR"/>
              </w:rPr>
              <w:t>Il y a revente commerciale d’une œuvre d’art si :</w:t>
            </w:r>
          </w:p>
          <w:p w14:paraId="382E7319" w14:textId="77777777" w:rsidR="00A80AC5" w:rsidRPr="00352126" w:rsidRDefault="00A80AC5" w:rsidP="00552E97">
            <w:pPr>
              <w:pStyle w:val="ListParagraph"/>
              <w:numPr>
                <w:ilvl w:val="1"/>
                <w:numId w:val="3"/>
              </w:numPr>
              <w:tabs>
                <w:tab w:val="clear" w:pos="1134"/>
                <w:tab w:val="left" w:pos="742"/>
              </w:tabs>
              <w:spacing w:before="0" w:after="0"/>
              <w:ind w:left="317"/>
              <w:contextualSpacing w:val="0"/>
              <w:jc w:val="left"/>
              <w:rPr>
                <w:iCs/>
                <w:sz w:val="20"/>
                <w:szCs w:val="20"/>
              </w:rPr>
            </w:pPr>
            <w:proofErr w:type="gramStart"/>
            <w:r w:rsidRPr="00352126">
              <w:rPr>
                <w:iCs/>
                <w:sz w:val="20"/>
                <w:szCs w:val="20"/>
              </w:rPr>
              <w:t>la</w:t>
            </w:r>
            <w:proofErr w:type="gramEnd"/>
            <w:r w:rsidRPr="00352126">
              <w:rPr>
                <w:iCs/>
                <w:sz w:val="20"/>
                <w:szCs w:val="20"/>
              </w:rPr>
              <w:t xml:space="preserve"> propriété de l’œuvre d’art est transférée d’une personne à une autre en contrepartie d’une compensation pécuniaire;  et</w:t>
            </w:r>
          </w:p>
          <w:p w14:paraId="6902477E" w14:textId="77777777" w:rsidR="00A80AC5" w:rsidRPr="00352126" w:rsidRDefault="00A80AC5" w:rsidP="00552E97">
            <w:pPr>
              <w:pStyle w:val="ListParagraph"/>
              <w:keepLines/>
              <w:numPr>
                <w:ilvl w:val="1"/>
                <w:numId w:val="3"/>
              </w:numPr>
              <w:tabs>
                <w:tab w:val="clear" w:pos="1134"/>
                <w:tab w:val="left" w:pos="740"/>
              </w:tabs>
              <w:spacing w:before="0" w:after="0"/>
              <w:ind w:left="317"/>
              <w:contextualSpacing w:val="0"/>
              <w:jc w:val="left"/>
              <w:rPr>
                <w:iCs/>
                <w:sz w:val="20"/>
                <w:szCs w:val="20"/>
              </w:rPr>
            </w:pPr>
            <w:proofErr w:type="gramStart"/>
            <w:r w:rsidRPr="00352126">
              <w:rPr>
                <w:iCs/>
                <w:sz w:val="20"/>
                <w:szCs w:val="20"/>
              </w:rPr>
              <w:t>le</w:t>
            </w:r>
            <w:proofErr w:type="gramEnd"/>
            <w:r w:rsidRPr="00352126">
              <w:rPr>
                <w:iCs/>
                <w:sz w:val="20"/>
                <w:szCs w:val="20"/>
              </w:rPr>
              <w:t xml:space="preserve"> transfert n’est pas le premier transfert de propriété de l’œuvre d’art;  et</w:t>
            </w:r>
          </w:p>
          <w:p w14:paraId="177D9C92" w14:textId="77777777" w:rsidR="00A80AC5" w:rsidRPr="00352126" w:rsidRDefault="00A80AC5" w:rsidP="00552E97">
            <w:pPr>
              <w:pStyle w:val="ListParagraph"/>
              <w:numPr>
                <w:ilvl w:val="1"/>
                <w:numId w:val="3"/>
              </w:numPr>
              <w:tabs>
                <w:tab w:val="clear" w:pos="1134"/>
                <w:tab w:val="left" w:pos="740"/>
              </w:tabs>
              <w:spacing w:before="0" w:after="220"/>
              <w:ind w:left="317"/>
              <w:contextualSpacing w:val="0"/>
              <w:jc w:val="left"/>
              <w:rPr>
                <w:iCs/>
                <w:sz w:val="20"/>
                <w:szCs w:val="20"/>
              </w:rPr>
            </w:pPr>
            <w:proofErr w:type="gramStart"/>
            <w:r w:rsidRPr="00352126">
              <w:rPr>
                <w:iCs/>
                <w:sz w:val="20"/>
                <w:szCs w:val="20"/>
              </w:rPr>
              <w:t>le</w:t>
            </w:r>
            <w:proofErr w:type="gramEnd"/>
            <w:r w:rsidRPr="00352126">
              <w:rPr>
                <w:iCs/>
                <w:sz w:val="20"/>
                <w:szCs w:val="20"/>
              </w:rPr>
              <w:t xml:space="preserve"> transfert n’est pas autrement d’une classe exclue.</w:t>
            </w:r>
          </w:p>
          <w:p w14:paraId="48EC40D0" w14:textId="77777777" w:rsidR="00A80AC5" w:rsidRPr="00352126" w:rsidRDefault="00A80AC5" w:rsidP="002D7EE2">
            <w:pPr>
              <w:numPr>
                <w:ilvl w:val="0"/>
                <w:numId w:val="33"/>
              </w:numPr>
              <w:spacing w:after="220"/>
              <w:rPr>
                <w:iCs/>
                <w:sz w:val="20"/>
                <w:lang w:val="fr-FR"/>
              </w:rPr>
            </w:pPr>
            <w:r w:rsidRPr="00352126">
              <w:rPr>
                <w:iCs/>
                <w:sz w:val="20"/>
                <w:lang w:val="fr-FR"/>
              </w:rPr>
              <w:t>Le transfert de propriété d’une œuvre d’art d’un particulier à un autre dans des circonstances qui n’impliquent pas un professionnel du marché de l’art agissant en cette qualité est une classe de transfert exclu.</w:t>
            </w:r>
          </w:p>
          <w:p w14:paraId="2A7F591C" w14:textId="77777777" w:rsidR="00A80AC5" w:rsidRPr="00352126" w:rsidRDefault="00A80AC5" w:rsidP="00552E97">
            <w:pPr>
              <w:numPr>
                <w:ilvl w:val="0"/>
                <w:numId w:val="33"/>
              </w:numPr>
              <w:rPr>
                <w:iCs/>
                <w:sz w:val="20"/>
                <w:lang w:val="fr-FR"/>
              </w:rPr>
            </w:pPr>
            <w:r w:rsidRPr="00352126">
              <w:rPr>
                <w:iCs/>
                <w:sz w:val="20"/>
                <w:lang w:val="fr-FR"/>
              </w:rPr>
              <w:t>“Professionnel du marché de l’art” désigne :</w:t>
            </w:r>
          </w:p>
          <w:p w14:paraId="728A5013" w14:textId="226FF406" w:rsidR="00A80AC5" w:rsidRPr="00352126" w:rsidRDefault="00A80AC5" w:rsidP="00552E97">
            <w:pPr>
              <w:pStyle w:val="ListParagraph"/>
              <w:numPr>
                <w:ilvl w:val="1"/>
                <w:numId w:val="58"/>
              </w:numPr>
              <w:tabs>
                <w:tab w:val="clear" w:pos="1134"/>
                <w:tab w:val="left" w:pos="740"/>
              </w:tabs>
              <w:spacing w:before="0" w:after="0"/>
              <w:ind w:left="320"/>
              <w:contextualSpacing w:val="0"/>
              <w:jc w:val="left"/>
              <w:rPr>
                <w:iCs/>
                <w:sz w:val="20"/>
                <w:szCs w:val="20"/>
              </w:rPr>
            </w:pPr>
            <w:proofErr w:type="gramStart"/>
            <w:r w:rsidRPr="00352126">
              <w:rPr>
                <w:iCs/>
                <w:sz w:val="20"/>
                <w:szCs w:val="20"/>
              </w:rPr>
              <w:t>un</w:t>
            </w:r>
            <w:proofErr w:type="gramEnd"/>
            <w:r w:rsidRPr="00352126">
              <w:rPr>
                <w:iCs/>
                <w:sz w:val="20"/>
                <w:szCs w:val="20"/>
              </w:rPr>
              <w:t xml:space="preserve"> commissaire</w:t>
            </w:r>
            <w:r w:rsidR="00FA1A0F">
              <w:rPr>
                <w:iCs/>
                <w:sz w:val="20"/>
                <w:szCs w:val="20"/>
              </w:rPr>
              <w:noBreakHyphen/>
            </w:r>
            <w:r w:rsidRPr="00352126">
              <w:rPr>
                <w:iCs/>
                <w:sz w:val="20"/>
                <w:szCs w:val="20"/>
              </w:rPr>
              <w:t>priseur;</w:t>
            </w:r>
          </w:p>
          <w:p w14:paraId="3F2EDEFD" w14:textId="77777777" w:rsidR="00A80AC5" w:rsidRPr="00352126" w:rsidRDefault="00A80AC5" w:rsidP="00552E97">
            <w:pPr>
              <w:pStyle w:val="ListParagraph"/>
              <w:numPr>
                <w:ilvl w:val="1"/>
                <w:numId w:val="3"/>
              </w:numPr>
              <w:tabs>
                <w:tab w:val="clear" w:pos="1134"/>
                <w:tab w:val="left" w:pos="740"/>
              </w:tabs>
              <w:spacing w:before="0" w:after="0"/>
              <w:ind w:left="315"/>
              <w:contextualSpacing w:val="0"/>
              <w:jc w:val="left"/>
              <w:rPr>
                <w:iCs/>
                <w:sz w:val="20"/>
                <w:szCs w:val="20"/>
              </w:rPr>
            </w:pPr>
            <w:proofErr w:type="gramStart"/>
            <w:r w:rsidRPr="00352126">
              <w:rPr>
                <w:iCs/>
                <w:sz w:val="20"/>
                <w:szCs w:val="20"/>
              </w:rPr>
              <w:t>le</w:t>
            </w:r>
            <w:proofErr w:type="gramEnd"/>
            <w:r w:rsidRPr="00352126">
              <w:rPr>
                <w:iCs/>
                <w:sz w:val="20"/>
                <w:szCs w:val="20"/>
              </w:rPr>
              <w:t xml:space="preserve"> propriétaire ou l’exploitant d’une galerie d’art;</w:t>
            </w:r>
          </w:p>
          <w:p w14:paraId="042D73F2" w14:textId="77777777" w:rsidR="00A80AC5" w:rsidRPr="00352126" w:rsidRDefault="00A80AC5" w:rsidP="00552E97">
            <w:pPr>
              <w:pStyle w:val="ListParagraph"/>
              <w:numPr>
                <w:ilvl w:val="1"/>
                <w:numId w:val="3"/>
              </w:numPr>
              <w:tabs>
                <w:tab w:val="clear" w:pos="1134"/>
                <w:tab w:val="left" w:pos="740"/>
              </w:tabs>
              <w:spacing w:before="0" w:after="0"/>
              <w:ind w:left="315"/>
              <w:contextualSpacing w:val="0"/>
              <w:jc w:val="left"/>
              <w:rPr>
                <w:iCs/>
                <w:sz w:val="20"/>
                <w:szCs w:val="20"/>
              </w:rPr>
            </w:pPr>
            <w:proofErr w:type="gramStart"/>
            <w:r w:rsidRPr="00352126">
              <w:rPr>
                <w:iCs/>
                <w:sz w:val="20"/>
                <w:szCs w:val="20"/>
              </w:rPr>
              <w:t>le</w:t>
            </w:r>
            <w:proofErr w:type="gramEnd"/>
            <w:r w:rsidRPr="00352126">
              <w:rPr>
                <w:iCs/>
                <w:sz w:val="20"/>
                <w:szCs w:val="20"/>
              </w:rPr>
              <w:t xml:space="preserve"> propriétaire ou l’exploitant d’un musée;</w:t>
            </w:r>
          </w:p>
          <w:p w14:paraId="5EC5AAD5" w14:textId="77777777" w:rsidR="00A80AC5" w:rsidRPr="00352126" w:rsidRDefault="00A80AC5" w:rsidP="00552E97">
            <w:pPr>
              <w:pStyle w:val="ListParagraph"/>
              <w:numPr>
                <w:ilvl w:val="1"/>
                <w:numId w:val="3"/>
              </w:numPr>
              <w:tabs>
                <w:tab w:val="clear" w:pos="1134"/>
                <w:tab w:val="left" w:pos="740"/>
              </w:tabs>
              <w:spacing w:before="0" w:after="0"/>
              <w:ind w:left="315"/>
              <w:contextualSpacing w:val="0"/>
              <w:jc w:val="left"/>
              <w:rPr>
                <w:iCs/>
                <w:sz w:val="20"/>
                <w:szCs w:val="20"/>
              </w:rPr>
            </w:pPr>
            <w:proofErr w:type="gramStart"/>
            <w:r w:rsidRPr="00352126">
              <w:rPr>
                <w:iCs/>
                <w:sz w:val="20"/>
                <w:szCs w:val="20"/>
              </w:rPr>
              <w:t>un</w:t>
            </w:r>
            <w:proofErr w:type="gramEnd"/>
            <w:r w:rsidRPr="00352126">
              <w:rPr>
                <w:iCs/>
                <w:sz w:val="20"/>
                <w:szCs w:val="20"/>
              </w:rPr>
              <w:t xml:space="preserve"> marchand d’art;  ou</w:t>
            </w:r>
          </w:p>
          <w:p w14:paraId="603795C1" w14:textId="77777777" w:rsidR="00A80AC5" w:rsidRPr="00352126" w:rsidRDefault="00A80AC5" w:rsidP="00552E97">
            <w:pPr>
              <w:pStyle w:val="ListParagraph"/>
              <w:numPr>
                <w:ilvl w:val="1"/>
                <w:numId w:val="3"/>
              </w:numPr>
              <w:tabs>
                <w:tab w:val="clear" w:pos="1134"/>
                <w:tab w:val="left" w:pos="740"/>
              </w:tabs>
              <w:spacing w:before="0" w:after="0"/>
              <w:ind w:left="315"/>
              <w:contextualSpacing w:val="0"/>
              <w:jc w:val="left"/>
              <w:rPr>
                <w:iCs/>
                <w:sz w:val="20"/>
                <w:szCs w:val="20"/>
              </w:rPr>
            </w:pPr>
            <w:proofErr w:type="gramStart"/>
            <w:r w:rsidRPr="00352126">
              <w:rPr>
                <w:iCs/>
                <w:sz w:val="20"/>
                <w:szCs w:val="20"/>
              </w:rPr>
              <w:t>une</w:t>
            </w:r>
            <w:proofErr w:type="gramEnd"/>
            <w:r w:rsidRPr="00352126">
              <w:rPr>
                <w:iCs/>
                <w:sz w:val="20"/>
                <w:szCs w:val="20"/>
              </w:rPr>
              <w:t xml:space="preserve"> personne autrement impliquée dans le commerce d’œuvres d’art</w:t>
            </w:r>
            <w:r w:rsidRPr="00352126">
              <w:rPr>
                <w:sz w:val="20"/>
                <w:szCs w:val="20"/>
                <w:vertAlign w:val="superscript"/>
              </w:rPr>
              <w:footnoteReference w:id="57"/>
            </w:r>
            <w:r w:rsidRPr="00352126">
              <w:rPr>
                <w:iCs/>
                <w:sz w:val="20"/>
                <w:szCs w:val="20"/>
              </w:rPr>
              <w:t>.</w:t>
            </w:r>
          </w:p>
        </w:tc>
        <w:tc>
          <w:tcPr>
            <w:tcW w:w="3402" w:type="dxa"/>
          </w:tcPr>
          <w:p w14:paraId="4F78E7ED" w14:textId="77777777" w:rsidR="00A80AC5" w:rsidRPr="00352126" w:rsidRDefault="00A80AC5" w:rsidP="00552E97">
            <w:pPr>
              <w:numPr>
                <w:ilvl w:val="0"/>
                <w:numId w:val="27"/>
              </w:numPr>
              <w:spacing w:before="60"/>
              <w:rPr>
                <w:sz w:val="20"/>
                <w:lang w:val="fr-FR"/>
              </w:rPr>
            </w:pPr>
            <w:r w:rsidRPr="00352126">
              <w:rPr>
                <w:sz w:val="20"/>
                <w:lang w:val="fr-FR"/>
              </w:rPr>
              <w:t>La “revente commerciale” caractérise plus précisément la nature du droit de suite des artistes, tandis que la disposition décrit plus précisément le caractère de la revente.</w:t>
            </w:r>
          </w:p>
          <w:p w14:paraId="6C664EA1" w14:textId="77777777" w:rsidR="00A80AC5" w:rsidRPr="00352126" w:rsidRDefault="00A80AC5" w:rsidP="00552E97">
            <w:pPr>
              <w:numPr>
                <w:ilvl w:val="0"/>
                <w:numId w:val="27"/>
              </w:numPr>
              <w:rPr>
                <w:sz w:val="20"/>
                <w:lang w:val="fr-FR"/>
              </w:rPr>
            </w:pPr>
            <w:r w:rsidRPr="00352126">
              <w:rPr>
                <w:sz w:val="20"/>
                <w:lang w:val="fr-FR"/>
              </w:rPr>
              <w:t>Elle définit ensuite le caractère juridique de la “revente commerciale” en termes plus précis, comme impliquant le transfert de propriété à titre onéreux ou équivalent.</w:t>
            </w:r>
          </w:p>
          <w:p w14:paraId="2BE36708" w14:textId="77777777" w:rsidR="00A80AC5" w:rsidRPr="00352126" w:rsidRDefault="00A80AC5" w:rsidP="002D7EE2">
            <w:pPr>
              <w:numPr>
                <w:ilvl w:val="0"/>
                <w:numId w:val="27"/>
              </w:numPr>
              <w:spacing w:after="220"/>
              <w:rPr>
                <w:sz w:val="20"/>
                <w:lang w:val="fr-FR"/>
              </w:rPr>
            </w:pPr>
            <w:r w:rsidRPr="00352126">
              <w:rPr>
                <w:sz w:val="20"/>
                <w:lang w:val="fr-FR"/>
              </w:rPr>
              <w:t>“Classe exclue” fait référence aux catégories d’œuvres exclues du droit de suite des artistes en vertu de l’article 9 de la loi sur le droit de suite (voir tableau 4).</w:t>
            </w:r>
          </w:p>
          <w:p w14:paraId="4DF47127" w14:textId="77777777" w:rsidR="00A80AC5" w:rsidRPr="00352126" w:rsidRDefault="00A80AC5" w:rsidP="00552E97">
            <w:pPr>
              <w:numPr>
                <w:ilvl w:val="0"/>
                <w:numId w:val="27"/>
              </w:numPr>
              <w:rPr>
                <w:sz w:val="20"/>
                <w:lang w:val="fr-FR"/>
              </w:rPr>
            </w:pPr>
            <w:r w:rsidRPr="00352126">
              <w:rPr>
                <w:sz w:val="20"/>
                <w:lang w:val="fr-FR"/>
              </w:rPr>
              <w:t>L’intervention d’un “professionnel du marché de l’art” confère alors à la transaction le caractère d’une “revente commerciale” soumise au droit de suite des artistes et exclut les transactions entre particuliers.</w:t>
            </w:r>
          </w:p>
          <w:p w14:paraId="35A5B771" w14:textId="3512D6F3" w:rsidR="00A80AC5" w:rsidRPr="00352126" w:rsidRDefault="00A80AC5" w:rsidP="00552E97">
            <w:pPr>
              <w:numPr>
                <w:ilvl w:val="0"/>
                <w:numId w:val="27"/>
              </w:numPr>
              <w:rPr>
                <w:sz w:val="20"/>
                <w:lang w:val="fr-FR"/>
              </w:rPr>
            </w:pPr>
            <w:r w:rsidRPr="00352126">
              <w:rPr>
                <w:sz w:val="20"/>
                <w:lang w:val="fr-FR"/>
              </w:rPr>
              <w:t>L’expression “professionnel du marché de l’art” est ensuite définie dans des termes similaires à la disposition précédente de la directive CE (voir ci</w:t>
            </w:r>
            <w:r w:rsidR="00FA1A0F">
              <w:rPr>
                <w:sz w:val="20"/>
                <w:lang w:val="fr-FR"/>
              </w:rPr>
              <w:noBreakHyphen/>
            </w:r>
            <w:r w:rsidRPr="00352126">
              <w:rPr>
                <w:sz w:val="20"/>
                <w:lang w:val="fr-FR"/>
              </w:rPr>
              <w:t>dessus).</w:t>
            </w:r>
          </w:p>
          <w:p w14:paraId="317B2E76" w14:textId="06E8CC54" w:rsidR="00A80AC5" w:rsidRPr="00352126" w:rsidRDefault="00A80AC5" w:rsidP="00552E97">
            <w:pPr>
              <w:numPr>
                <w:ilvl w:val="0"/>
                <w:numId w:val="27"/>
              </w:numPr>
              <w:spacing w:after="120"/>
              <w:rPr>
                <w:sz w:val="20"/>
                <w:lang w:val="fr-FR"/>
              </w:rPr>
            </w:pPr>
            <w:r w:rsidRPr="00352126">
              <w:rPr>
                <w:sz w:val="20"/>
                <w:lang w:val="fr-FR"/>
              </w:rPr>
              <w:t>Les alinéas d) et e) de la définition fournissent des catégories par défaut ouvertes pour protéger les personnes qui ne relèvent pas des catégories plus établies, telles que les commissaires</w:t>
            </w:r>
            <w:r w:rsidR="00FA1A0F">
              <w:rPr>
                <w:sz w:val="20"/>
                <w:lang w:val="fr-FR"/>
              </w:rPr>
              <w:noBreakHyphen/>
            </w:r>
            <w:r w:rsidRPr="00352126">
              <w:rPr>
                <w:sz w:val="20"/>
                <w:lang w:val="fr-FR"/>
              </w:rPr>
              <w:t>priseurs, les galeries ou les musées, mais qui négocient toujours des œuvres d’art.</w:t>
            </w:r>
          </w:p>
        </w:tc>
      </w:tr>
      <w:tr w:rsidR="00A80AC5" w:rsidRPr="004D5436" w14:paraId="6516F690" w14:textId="77777777" w:rsidTr="00552E97">
        <w:tc>
          <w:tcPr>
            <w:tcW w:w="2263" w:type="dxa"/>
          </w:tcPr>
          <w:p w14:paraId="192DE22A" w14:textId="77777777" w:rsidR="00A80AC5" w:rsidRPr="00352126" w:rsidRDefault="00A80AC5" w:rsidP="00552E97">
            <w:pPr>
              <w:spacing w:before="60" w:after="220"/>
              <w:rPr>
                <w:sz w:val="20"/>
                <w:lang w:val="fr-FR"/>
              </w:rPr>
            </w:pPr>
            <w:r w:rsidRPr="00352126">
              <w:rPr>
                <w:sz w:val="20"/>
                <w:lang w:val="fr-FR"/>
              </w:rPr>
              <w:t>Quelques définitions utiles (Kenya et Malawi)</w:t>
            </w:r>
          </w:p>
        </w:tc>
        <w:tc>
          <w:tcPr>
            <w:tcW w:w="3544" w:type="dxa"/>
          </w:tcPr>
          <w:p w14:paraId="104A1511" w14:textId="33C1F144" w:rsidR="00A80AC5" w:rsidRPr="00352126" w:rsidRDefault="00A80AC5" w:rsidP="00552E97">
            <w:pPr>
              <w:spacing w:before="60" w:after="220"/>
              <w:rPr>
                <w:iCs/>
                <w:sz w:val="20"/>
                <w:lang w:val="fr-FR"/>
              </w:rPr>
            </w:pPr>
            <w:r w:rsidRPr="00352126">
              <w:rPr>
                <w:b/>
                <w:bCs/>
                <w:iCs/>
                <w:sz w:val="20"/>
                <w:lang w:val="fr-FR"/>
              </w:rPr>
              <w:t xml:space="preserve">“professionnel du marché de l’art” </w:t>
            </w:r>
            <w:r w:rsidRPr="00352126">
              <w:rPr>
                <w:iCs/>
                <w:sz w:val="20"/>
                <w:lang w:val="fr-FR"/>
              </w:rPr>
              <w:t>désigne un commissaire</w:t>
            </w:r>
            <w:r w:rsidR="00FA1A0F">
              <w:rPr>
                <w:iCs/>
                <w:sz w:val="20"/>
                <w:lang w:val="fr-FR"/>
              </w:rPr>
              <w:noBreakHyphen/>
            </w:r>
            <w:r w:rsidRPr="00352126">
              <w:rPr>
                <w:iCs/>
                <w:sz w:val="20"/>
                <w:lang w:val="fr-FR"/>
              </w:rPr>
              <w:t xml:space="preserve">priseur, le propriétaire ou l’exploitant d’une galerie ou d’un musée, un marchand d’art ou toute autre personne impliquée dans le commerce d’œuvres </w:t>
            </w:r>
            <w:proofErr w:type="gramStart"/>
            <w:r w:rsidRPr="00352126">
              <w:rPr>
                <w:iCs/>
                <w:sz w:val="20"/>
                <w:lang w:val="fr-FR"/>
              </w:rPr>
              <w:t>d’art;</w:t>
            </w:r>
            <w:proofErr w:type="gramEnd"/>
          </w:p>
          <w:p w14:paraId="0516DC4F" w14:textId="77777777" w:rsidR="00A80AC5" w:rsidRPr="00352126" w:rsidRDefault="00A80AC5" w:rsidP="002D7EE2">
            <w:pPr>
              <w:spacing w:after="220"/>
              <w:rPr>
                <w:iCs/>
                <w:sz w:val="20"/>
                <w:lang w:val="fr-FR"/>
              </w:rPr>
            </w:pPr>
            <w:r w:rsidRPr="00352126">
              <w:rPr>
                <w:b/>
                <w:bCs/>
                <w:iCs/>
                <w:sz w:val="20"/>
                <w:lang w:val="fr-FR"/>
              </w:rPr>
              <w:t xml:space="preserve">“revente commerciale” </w:t>
            </w:r>
            <w:r w:rsidRPr="00352126">
              <w:rPr>
                <w:iCs/>
                <w:sz w:val="20"/>
                <w:lang w:val="fr-FR"/>
              </w:rPr>
              <w:t xml:space="preserve">désigne le transfert ultérieur de la propriété d’une œuvre d’art d’une personne à une autre contre une contrepartie </w:t>
            </w:r>
            <w:r w:rsidRPr="00352126">
              <w:rPr>
                <w:iCs/>
                <w:sz w:val="20"/>
                <w:lang w:val="fr-FR"/>
              </w:rPr>
              <w:lastRenderedPageBreak/>
              <w:t xml:space="preserve">monétaire avec l’intervention d’un professionnel du marché de </w:t>
            </w:r>
            <w:proofErr w:type="gramStart"/>
            <w:r w:rsidRPr="00352126">
              <w:rPr>
                <w:iCs/>
                <w:sz w:val="20"/>
                <w:lang w:val="fr-FR"/>
              </w:rPr>
              <w:t>l’art;</w:t>
            </w:r>
            <w:proofErr w:type="gramEnd"/>
          </w:p>
          <w:p w14:paraId="590E7FD7" w14:textId="77777777" w:rsidR="00A80AC5" w:rsidRPr="00352126" w:rsidRDefault="00A80AC5" w:rsidP="002D7EE2">
            <w:pPr>
              <w:spacing w:after="220"/>
              <w:rPr>
                <w:iCs/>
                <w:sz w:val="20"/>
                <w:lang w:val="fr-FR"/>
              </w:rPr>
            </w:pPr>
            <w:r w:rsidRPr="00352126">
              <w:rPr>
                <w:b/>
                <w:bCs/>
                <w:iCs/>
                <w:sz w:val="20"/>
                <w:lang w:val="fr-FR"/>
              </w:rPr>
              <w:t xml:space="preserve">“droit de suite” </w:t>
            </w:r>
            <w:r w:rsidRPr="00352126">
              <w:rPr>
                <w:iCs/>
                <w:sz w:val="20"/>
                <w:lang w:val="fr-FR"/>
              </w:rPr>
              <w:t>désigne le droit d’un artiste ou d’un groupe d’artistes ou de leurs ayants droit de percevoir une redevance lors de la revente commerciale d’une œuvre d’art</w:t>
            </w:r>
            <w:r w:rsidRPr="00352126">
              <w:rPr>
                <w:rStyle w:val="FootnoteReference"/>
                <w:iCs/>
                <w:sz w:val="20"/>
                <w:lang w:val="fr-FR"/>
              </w:rPr>
              <w:footnoteReference w:id="58"/>
            </w:r>
            <w:r w:rsidRPr="00352126">
              <w:rPr>
                <w:iCs/>
                <w:sz w:val="20"/>
                <w:lang w:val="fr-FR"/>
              </w:rPr>
              <w:t>;</w:t>
            </w:r>
          </w:p>
          <w:p w14:paraId="1C4B3D57" w14:textId="77777777" w:rsidR="00A80AC5" w:rsidRPr="00352126" w:rsidRDefault="00A80AC5" w:rsidP="00552E97">
            <w:pPr>
              <w:rPr>
                <w:iCs/>
                <w:sz w:val="20"/>
                <w:lang w:val="fr-FR"/>
              </w:rPr>
            </w:pPr>
            <w:r w:rsidRPr="00352126">
              <w:rPr>
                <w:b/>
                <w:bCs/>
                <w:iCs/>
                <w:sz w:val="20"/>
                <w:lang w:val="fr-FR"/>
              </w:rPr>
              <w:t xml:space="preserve">“auteur” </w:t>
            </w:r>
            <w:r w:rsidRPr="00352126">
              <w:rPr>
                <w:iCs/>
                <w:sz w:val="20"/>
                <w:lang w:val="fr-FR"/>
              </w:rPr>
              <w:t>désign</w:t>
            </w:r>
            <w:r>
              <w:rPr>
                <w:iCs/>
                <w:sz w:val="20"/>
                <w:lang w:val="fr-FR"/>
              </w:rPr>
              <w:t>e :</w:t>
            </w:r>
          </w:p>
          <w:p w14:paraId="0C541CA4" w14:textId="7331C504" w:rsidR="00A80AC5" w:rsidRPr="00352126" w:rsidRDefault="00A80AC5" w:rsidP="00552E97">
            <w:pPr>
              <w:spacing w:after="220"/>
              <w:rPr>
                <w:b/>
                <w:bCs/>
                <w:iCs/>
                <w:sz w:val="20"/>
                <w:lang w:val="fr-FR"/>
              </w:rPr>
            </w:pPr>
            <w:r w:rsidRPr="00352126">
              <w:rPr>
                <w:iCs/>
                <w:sz w:val="20"/>
                <w:lang w:val="fr-FR"/>
              </w:rPr>
              <w:t xml:space="preserve">a) dans le cas d’une œuvre autre qu’une œuvre audiovisuelle, la personne qui crée </w:t>
            </w:r>
            <w:proofErr w:type="gramStart"/>
            <w:r w:rsidRPr="00352126">
              <w:rPr>
                <w:iCs/>
                <w:sz w:val="20"/>
                <w:lang w:val="fr-FR"/>
              </w:rPr>
              <w:t>l’œuvre;  ou</w:t>
            </w:r>
            <w:proofErr w:type="gramEnd"/>
            <w:r>
              <w:rPr>
                <w:iCs/>
                <w:sz w:val="20"/>
                <w:lang w:val="fr-FR"/>
              </w:rPr>
              <w:t>…</w:t>
            </w:r>
            <w:r w:rsidRPr="00352126">
              <w:rPr>
                <w:rStyle w:val="FootnoteReference"/>
                <w:iCs/>
                <w:sz w:val="20"/>
                <w:lang w:val="fr-FR"/>
              </w:rPr>
              <w:footnoteReference w:id="59"/>
            </w:r>
            <w:r w:rsidRPr="00352126">
              <w:rPr>
                <w:iCs/>
                <w:sz w:val="20"/>
                <w:lang w:val="fr-FR"/>
              </w:rPr>
              <w:t>.</w:t>
            </w:r>
          </w:p>
        </w:tc>
        <w:tc>
          <w:tcPr>
            <w:tcW w:w="3402" w:type="dxa"/>
          </w:tcPr>
          <w:p w14:paraId="11DB6B0A" w14:textId="77777777" w:rsidR="00A80AC5" w:rsidRPr="00352126" w:rsidRDefault="00A80AC5" w:rsidP="00552E97">
            <w:pPr>
              <w:numPr>
                <w:ilvl w:val="0"/>
                <w:numId w:val="27"/>
              </w:numPr>
              <w:spacing w:before="60"/>
              <w:rPr>
                <w:sz w:val="20"/>
                <w:lang w:val="fr-FR"/>
              </w:rPr>
            </w:pPr>
            <w:r w:rsidRPr="00352126">
              <w:rPr>
                <w:sz w:val="20"/>
                <w:lang w:val="fr-FR"/>
              </w:rPr>
              <w:lastRenderedPageBreak/>
              <w:t>Définitions utilisées dans plusieurs lois africaines dans leur formulation du droit protégé.</w:t>
            </w:r>
          </w:p>
          <w:p w14:paraId="29A61F99" w14:textId="77777777" w:rsidR="00A80AC5" w:rsidRPr="00352126" w:rsidRDefault="00A80AC5" w:rsidP="002D7EE2">
            <w:pPr>
              <w:numPr>
                <w:ilvl w:val="0"/>
                <w:numId w:val="27"/>
              </w:numPr>
              <w:spacing w:after="220"/>
              <w:rPr>
                <w:sz w:val="20"/>
                <w:lang w:val="fr-FR"/>
              </w:rPr>
            </w:pPr>
            <w:r w:rsidRPr="00352126">
              <w:rPr>
                <w:sz w:val="20"/>
                <w:lang w:val="fr-FR"/>
              </w:rPr>
              <w:t>Une définition de l’“auteur”, en particulier, peut aider à attirer l’attention sur la personne qui réalise la fixation initiale ou l’incorporation de l’œuvre d’art.</w:t>
            </w:r>
          </w:p>
        </w:tc>
      </w:tr>
      <w:tr w:rsidR="00A80AC5" w:rsidRPr="004D5436" w14:paraId="20588E3A" w14:textId="77777777" w:rsidTr="00552E97">
        <w:tc>
          <w:tcPr>
            <w:tcW w:w="2263" w:type="dxa"/>
          </w:tcPr>
          <w:p w14:paraId="3CFDE52E" w14:textId="77777777" w:rsidR="00A80AC5" w:rsidRPr="00352126" w:rsidRDefault="00A80AC5" w:rsidP="00552E97">
            <w:pPr>
              <w:spacing w:before="60" w:after="220"/>
              <w:rPr>
                <w:sz w:val="20"/>
                <w:lang w:val="fr-FR"/>
              </w:rPr>
            </w:pPr>
            <w:r w:rsidRPr="00352126">
              <w:rPr>
                <w:sz w:val="20"/>
                <w:lang w:val="fr-FR"/>
              </w:rPr>
              <w:t>Différente formulation (Pologne)</w:t>
            </w:r>
          </w:p>
        </w:tc>
        <w:tc>
          <w:tcPr>
            <w:tcW w:w="3544" w:type="dxa"/>
          </w:tcPr>
          <w:p w14:paraId="734DDAA4" w14:textId="45ED0648" w:rsidR="00A80AC5" w:rsidRPr="00352126" w:rsidRDefault="00A80AC5" w:rsidP="00552E97">
            <w:pPr>
              <w:rPr>
                <w:iCs/>
                <w:sz w:val="20"/>
                <w:lang w:val="fr-FR"/>
              </w:rPr>
            </w:pPr>
            <w:r w:rsidRPr="00352126">
              <w:rPr>
                <w:iCs/>
                <w:sz w:val="20"/>
                <w:lang w:val="fr-FR"/>
              </w:rPr>
              <w:t>19.</w:t>
            </w:r>
            <w:r w:rsidRPr="008D2132">
              <w:rPr>
                <w:iCs/>
                <w:sz w:val="20"/>
                <w:lang w:val="fr-FR"/>
              </w:rPr>
              <w:t>1</w:t>
            </w:r>
            <w:r w:rsidR="008D2132">
              <w:rPr>
                <w:iCs/>
                <w:sz w:val="20"/>
                <w:lang w:val="fr-FR"/>
              </w:rPr>
              <w:t>.</w:t>
            </w:r>
            <w:r w:rsidRPr="00352126">
              <w:rPr>
                <w:iCs/>
                <w:sz w:val="20"/>
                <w:lang w:val="fr-FR"/>
              </w:rPr>
              <w:t xml:space="preserve"> L’auteur et ses héritiers, en cas de revente à titre professionnel d’exemplaires originaux de l’œuvre artistique ou photographique, ont droit à une rémunération</w:t>
            </w:r>
          </w:p>
          <w:p w14:paraId="0CC9C9FB" w14:textId="77777777" w:rsidR="00A80AC5" w:rsidRPr="00352126" w:rsidRDefault="00A80AC5" w:rsidP="00552E97">
            <w:pPr>
              <w:rPr>
                <w:iCs/>
                <w:sz w:val="20"/>
                <w:lang w:val="fr-FR"/>
              </w:rPr>
            </w:pPr>
            <w:r w:rsidRPr="00352126">
              <w:rPr>
                <w:iCs/>
                <w:sz w:val="20"/>
                <w:lang w:val="fr-FR"/>
              </w:rPr>
              <w:t>…</w:t>
            </w:r>
          </w:p>
          <w:p w14:paraId="34565429" w14:textId="77777777" w:rsidR="00A80AC5" w:rsidRPr="00352126" w:rsidRDefault="00A80AC5" w:rsidP="00552E97">
            <w:pPr>
              <w:spacing w:after="120"/>
              <w:rPr>
                <w:iCs/>
                <w:sz w:val="20"/>
                <w:lang w:val="fr-FR"/>
              </w:rPr>
            </w:pPr>
            <w:r w:rsidRPr="00352126">
              <w:rPr>
                <w:iCs/>
                <w:sz w:val="20"/>
                <w:lang w:val="fr-FR"/>
              </w:rPr>
              <w:t>…</w:t>
            </w:r>
          </w:p>
          <w:p w14:paraId="6EE788A6" w14:textId="15195F3D" w:rsidR="00A80AC5" w:rsidRPr="00352126" w:rsidRDefault="00A80AC5" w:rsidP="00552E97">
            <w:pPr>
              <w:spacing w:after="120"/>
              <w:rPr>
                <w:iCs/>
                <w:sz w:val="20"/>
                <w:lang w:val="fr-FR"/>
              </w:rPr>
            </w:pPr>
            <w:r w:rsidRPr="00352126">
              <w:rPr>
                <w:iCs/>
                <w:sz w:val="20"/>
                <w:lang w:val="fr-FR"/>
              </w:rPr>
              <w:t>19</w:t>
            </w:r>
            <w:r w:rsidR="00EA2FA6" w:rsidRPr="00EA2FA6">
              <w:rPr>
                <w:iCs/>
                <w:sz w:val="20"/>
                <w:vertAlign w:val="superscript"/>
                <w:lang w:val="fr-FR"/>
              </w:rPr>
              <w:t>2</w:t>
            </w:r>
            <w:r w:rsidRPr="00352126">
              <w:rPr>
                <w:iCs/>
                <w:sz w:val="20"/>
                <w:lang w:val="fr-FR"/>
              </w:rPr>
              <w:t>.</w:t>
            </w:r>
            <w:r w:rsidR="00EA2FA6">
              <w:rPr>
                <w:iCs/>
                <w:sz w:val="20"/>
                <w:lang w:val="fr-FR"/>
              </w:rPr>
              <w:t xml:space="preserve"> </w:t>
            </w:r>
            <w:r w:rsidR="008D2132">
              <w:rPr>
                <w:iCs/>
                <w:sz w:val="20"/>
                <w:lang w:val="fr-FR"/>
              </w:rPr>
              <w:t>1</w:t>
            </w:r>
            <w:r w:rsidRPr="00352126">
              <w:rPr>
                <w:iCs/>
                <w:sz w:val="20"/>
                <w:lang w:val="fr-FR"/>
              </w:rPr>
              <w:t>. Conformément à l’article 19.1</w:t>
            </w:r>
            <w:r w:rsidR="00EA2FA6">
              <w:rPr>
                <w:iCs/>
                <w:sz w:val="20"/>
                <w:lang w:val="fr-FR"/>
              </w:rPr>
              <w:t>.</w:t>
            </w:r>
            <w:r w:rsidRPr="00352126">
              <w:rPr>
                <w:iCs/>
                <w:sz w:val="20"/>
                <w:lang w:val="fr-FR"/>
              </w:rPr>
              <w:t xml:space="preserve"> …, la revente s’entend de toute vente effectuée après la première cession de l’œuvre par l’auteur.</w:t>
            </w:r>
          </w:p>
          <w:p w14:paraId="43724DC1" w14:textId="3D2294D6" w:rsidR="00A80AC5" w:rsidRPr="00352126" w:rsidRDefault="00A80AC5" w:rsidP="002D7EE2">
            <w:pPr>
              <w:spacing w:after="220"/>
              <w:rPr>
                <w:b/>
                <w:bCs/>
                <w:iCs/>
                <w:sz w:val="20"/>
                <w:lang w:val="fr-FR"/>
              </w:rPr>
            </w:pPr>
            <w:r w:rsidRPr="00352126">
              <w:rPr>
                <w:iCs/>
                <w:sz w:val="20"/>
                <w:lang w:val="fr-FR"/>
              </w:rPr>
              <w:t>2. La revente professionnelle au sens de l’article 19.1</w:t>
            </w:r>
            <w:r w:rsidR="008D2132">
              <w:rPr>
                <w:iCs/>
                <w:sz w:val="20"/>
                <w:lang w:val="fr-FR"/>
              </w:rPr>
              <w:t>.</w:t>
            </w:r>
            <w:r w:rsidRPr="00352126">
              <w:rPr>
                <w:iCs/>
                <w:sz w:val="20"/>
                <w:lang w:val="fr-FR"/>
              </w:rPr>
              <w:t xml:space="preserve"> </w:t>
            </w:r>
            <w:proofErr w:type="gramStart"/>
            <w:r w:rsidRPr="00352126">
              <w:rPr>
                <w:iCs/>
                <w:sz w:val="20"/>
                <w:lang w:val="fr-FR"/>
              </w:rPr>
              <w:t>et</w:t>
            </w:r>
            <w:proofErr w:type="gramEnd"/>
            <w:r w:rsidRPr="00352126">
              <w:rPr>
                <w:iCs/>
                <w:sz w:val="20"/>
                <w:lang w:val="fr-FR"/>
              </w:rPr>
              <w:t xml:space="preserve"> de l’article 19</w:t>
            </w:r>
            <w:r w:rsidRPr="00EA2FA6">
              <w:rPr>
                <w:iCs/>
                <w:sz w:val="20"/>
                <w:vertAlign w:val="superscript"/>
                <w:lang w:val="fr-FR"/>
              </w:rPr>
              <w:t>1</w:t>
            </w:r>
            <w:r w:rsidRPr="00352126">
              <w:rPr>
                <w:iCs/>
                <w:sz w:val="20"/>
                <w:lang w:val="fr-FR"/>
              </w:rPr>
              <w:t xml:space="preserve"> désigne tout acte ayant le caractère d’une revente effectué, dans le cadre de l’activité exercée, par des vendeurs, acheteurs, intermédiaires et autres personnes qui s’occupent professionnellement du commerce d’œuvres d’art ou de manuscrits d’œuvres littéraires et musicales</w:t>
            </w:r>
            <w:r w:rsidRPr="00352126">
              <w:rPr>
                <w:rStyle w:val="FootnoteReference"/>
                <w:iCs/>
                <w:sz w:val="20"/>
                <w:lang w:val="fr-FR"/>
              </w:rPr>
              <w:footnoteReference w:id="60"/>
            </w:r>
            <w:r w:rsidRPr="00352126">
              <w:rPr>
                <w:iCs/>
                <w:sz w:val="20"/>
                <w:lang w:val="fr-FR"/>
              </w:rPr>
              <w:t>.</w:t>
            </w:r>
          </w:p>
        </w:tc>
        <w:tc>
          <w:tcPr>
            <w:tcW w:w="3402" w:type="dxa"/>
          </w:tcPr>
          <w:p w14:paraId="131DABEC" w14:textId="77777777" w:rsidR="00A80AC5" w:rsidRPr="00352126" w:rsidRDefault="00A80AC5" w:rsidP="00552E97">
            <w:pPr>
              <w:numPr>
                <w:ilvl w:val="0"/>
                <w:numId w:val="27"/>
              </w:numPr>
              <w:spacing w:before="60" w:after="120"/>
              <w:rPr>
                <w:sz w:val="20"/>
                <w:lang w:val="fr-FR"/>
              </w:rPr>
            </w:pPr>
            <w:r w:rsidRPr="00352126">
              <w:rPr>
                <w:sz w:val="20"/>
                <w:lang w:val="fr-FR"/>
              </w:rPr>
              <w:t>Formule le droit comme étant en relation avec les reventes “effectuées à titre professionnel”.</w:t>
            </w:r>
          </w:p>
          <w:p w14:paraId="74594929" w14:textId="77777777" w:rsidR="00A80AC5" w:rsidRPr="00352126" w:rsidRDefault="00A80AC5" w:rsidP="002D7EE2">
            <w:pPr>
              <w:numPr>
                <w:ilvl w:val="0"/>
                <w:numId w:val="27"/>
              </w:numPr>
              <w:spacing w:after="220"/>
              <w:rPr>
                <w:sz w:val="20"/>
                <w:lang w:val="fr-FR"/>
              </w:rPr>
            </w:pPr>
            <w:r w:rsidRPr="00352126">
              <w:rPr>
                <w:sz w:val="20"/>
                <w:lang w:val="fr-FR"/>
              </w:rPr>
              <w:t xml:space="preserve">A une définition générale se référant aux intermédiaires et autres sujets “s’occupant à titre professionnel du commerce d’œuvres d’art ou de manuscrits…” [La Pologne a un droit de suite des artistes en ce qui concerne les manuscrits].  </w:t>
            </w:r>
          </w:p>
        </w:tc>
      </w:tr>
      <w:tr w:rsidR="00A80AC5" w:rsidRPr="004D5436" w14:paraId="3E5AA56E" w14:textId="77777777" w:rsidTr="00552E97">
        <w:tc>
          <w:tcPr>
            <w:tcW w:w="2263" w:type="dxa"/>
          </w:tcPr>
          <w:p w14:paraId="005502F1" w14:textId="7CD6BC32" w:rsidR="00A80AC5" w:rsidRPr="00352126" w:rsidRDefault="00A80AC5" w:rsidP="00552E97">
            <w:pPr>
              <w:spacing w:before="60" w:after="220"/>
              <w:rPr>
                <w:sz w:val="20"/>
                <w:lang w:val="fr-FR"/>
              </w:rPr>
            </w:pPr>
            <w:r w:rsidRPr="00352126">
              <w:rPr>
                <w:sz w:val="20"/>
                <w:lang w:val="fr-FR"/>
              </w:rPr>
              <w:t>Premiers transferts sans contrepartie monétaire (Nouvelle</w:t>
            </w:r>
            <w:r w:rsidR="00FA1A0F">
              <w:rPr>
                <w:sz w:val="20"/>
                <w:lang w:val="fr-FR"/>
              </w:rPr>
              <w:noBreakHyphen/>
            </w:r>
            <w:r w:rsidRPr="00352126">
              <w:rPr>
                <w:sz w:val="20"/>
                <w:lang w:val="fr-FR"/>
              </w:rPr>
              <w:t>Zélande)</w:t>
            </w:r>
          </w:p>
        </w:tc>
        <w:tc>
          <w:tcPr>
            <w:tcW w:w="3544" w:type="dxa"/>
          </w:tcPr>
          <w:p w14:paraId="585E900C" w14:textId="77777777" w:rsidR="00A80AC5" w:rsidRPr="00352126" w:rsidRDefault="00A80AC5" w:rsidP="002D7EE2">
            <w:pPr>
              <w:spacing w:after="220"/>
              <w:rPr>
                <w:iCs/>
                <w:sz w:val="20"/>
                <w:lang w:val="fr-FR"/>
              </w:rPr>
            </w:pPr>
            <w:r w:rsidRPr="00352126">
              <w:rPr>
                <w:iCs/>
                <w:sz w:val="20"/>
                <w:lang w:val="fr-FR"/>
              </w:rPr>
              <w:t>12. – 1) La vente d’une œuvre peut être considérée comme une revente même si le premier transfert de propriété a été effectué sans contrepartie monétaire (ou autre)</w:t>
            </w:r>
            <w:r w:rsidRPr="00352126">
              <w:rPr>
                <w:rStyle w:val="FootnoteReference"/>
                <w:iCs/>
                <w:sz w:val="20"/>
                <w:lang w:val="fr-FR"/>
              </w:rPr>
              <w:footnoteReference w:id="61"/>
            </w:r>
            <w:r w:rsidRPr="00352126">
              <w:rPr>
                <w:iCs/>
                <w:sz w:val="20"/>
                <w:lang w:val="fr-FR"/>
              </w:rPr>
              <w:t>.</w:t>
            </w:r>
          </w:p>
        </w:tc>
        <w:tc>
          <w:tcPr>
            <w:tcW w:w="3402" w:type="dxa"/>
          </w:tcPr>
          <w:p w14:paraId="3EC8F48D" w14:textId="77777777" w:rsidR="00A80AC5" w:rsidRPr="00352126" w:rsidRDefault="00A80AC5" w:rsidP="00552E97">
            <w:pPr>
              <w:numPr>
                <w:ilvl w:val="0"/>
                <w:numId w:val="27"/>
              </w:numPr>
              <w:spacing w:before="60" w:after="220"/>
              <w:rPr>
                <w:sz w:val="20"/>
                <w:lang w:val="fr-FR"/>
              </w:rPr>
            </w:pPr>
            <w:r w:rsidRPr="00352126">
              <w:rPr>
                <w:sz w:val="20"/>
                <w:lang w:val="fr-FR"/>
              </w:rPr>
              <w:t>Cette disposition précise ce qui pourrait autrement être considéré comme acquis.</w:t>
            </w:r>
          </w:p>
        </w:tc>
      </w:tr>
      <w:tr w:rsidR="00A80AC5" w:rsidRPr="004D5436" w14:paraId="1BB71D21" w14:textId="77777777" w:rsidTr="00552E97">
        <w:tc>
          <w:tcPr>
            <w:tcW w:w="2263" w:type="dxa"/>
          </w:tcPr>
          <w:p w14:paraId="36894F7E" w14:textId="77777777" w:rsidR="00A80AC5" w:rsidRPr="00352126" w:rsidRDefault="00A80AC5" w:rsidP="00552E97">
            <w:pPr>
              <w:spacing w:before="60" w:after="220"/>
              <w:rPr>
                <w:sz w:val="20"/>
                <w:lang w:val="fr-FR"/>
              </w:rPr>
            </w:pPr>
            <w:r w:rsidRPr="00352126">
              <w:rPr>
                <w:sz w:val="20"/>
                <w:lang w:val="fr-FR"/>
              </w:rPr>
              <w:t>Autre formulation des reventes à couvrir (Mexique)</w:t>
            </w:r>
          </w:p>
        </w:tc>
        <w:tc>
          <w:tcPr>
            <w:tcW w:w="3544" w:type="dxa"/>
          </w:tcPr>
          <w:p w14:paraId="4CBB6924" w14:textId="77777777" w:rsidR="00A80AC5" w:rsidRPr="00352126" w:rsidRDefault="00A80AC5" w:rsidP="002D7EE2">
            <w:pPr>
              <w:spacing w:after="220"/>
              <w:rPr>
                <w:iCs/>
                <w:sz w:val="20"/>
                <w:lang w:val="fr-FR"/>
              </w:rPr>
            </w:pPr>
            <w:r w:rsidRPr="00352126">
              <w:rPr>
                <w:iCs/>
                <w:sz w:val="20"/>
                <w:lang w:val="fr-FR"/>
              </w:rPr>
              <w:t>... toute revente dans des conditions similaires à celles d’une vente aux enchères publiques, d’un établissement commercial ou avec l’intervention d’un commerçant ou d’un agent commercial...</w:t>
            </w:r>
            <w:r w:rsidRPr="00352126">
              <w:rPr>
                <w:rStyle w:val="FootnoteReference"/>
                <w:iCs/>
                <w:sz w:val="20"/>
                <w:lang w:val="fr-FR"/>
              </w:rPr>
              <w:footnoteReference w:id="62"/>
            </w:r>
            <w:r w:rsidRPr="00352126">
              <w:rPr>
                <w:iCs/>
                <w:sz w:val="20"/>
                <w:lang w:val="fr-FR"/>
              </w:rPr>
              <w:t>.</w:t>
            </w:r>
          </w:p>
        </w:tc>
        <w:tc>
          <w:tcPr>
            <w:tcW w:w="3402" w:type="dxa"/>
          </w:tcPr>
          <w:p w14:paraId="4CBD7826" w14:textId="0E2CB53F" w:rsidR="00A80AC5" w:rsidRPr="00352126" w:rsidRDefault="00A80AC5" w:rsidP="00552E97">
            <w:pPr>
              <w:numPr>
                <w:ilvl w:val="0"/>
                <w:numId w:val="27"/>
              </w:numPr>
              <w:spacing w:before="60" w:after="220"/>
              <w:rPr>
                <w:sz w:val="20"/>
                <w:lang w:val="fr-FR"/>
              </w:rPr>
            </w:pPr>
            <w:r w:rsidRPr="00352126">
              <w:rPr>
                <w:sz w:val="20"/>
                <w:lang w:val="fr-FR"/>
              </w:rPr>
              <w:t>Autre manière de restreindre la revente à une revente à caractère commercial, c’est</w:t>
            </w:r>
            <w:r w:rsidR="00FA1A0F">
              <w:rPr>
                <w:sz w:val="20"/>
                <w:lang w:val="fr-FR"/>
              </w:rPr>
              <w:noBreakHyphen/>
            </w:r>
            <w:r w:rsidRPr="00352126">
              <w:rPr>
                <w:sz w:val="20"/>
                <w:lang w:val="fr-FR"/>
              </w:rPr>
              <w:t>à</w:t>
            </w:r>
            <w:r w:rsidR="00FA1A0F">
              <w:rPr>
                <w:sz w:val="20"/>
                <w:lang w:val="fr-FR"/>
              </w:rPr>
              <w:noBreakHyphen/>
            </w:r>
            <w:r w:rsidRPr="00352126">
              <w:rPr>
                <w:sz w:val="20"/>
                <w:lang w:val="fr-FR"/>
              </w:rPr>
              <w:t>dire excluant les ventes entre particuliers.</w:t>
            </w:r>
          </w:p>
        </w:tc>
      </w:tr>
    </w:tbl>
    <w:p w14:paraId="5AE52DDD" w14:textId="77777777" w:rsidR="00A80AC5" w:rsidRPr="004D5436" w:rsidRDefault="00A80AC5" w:rsidP="002D7EE2">
      <w:pPr>
        <w:pStyle w:val="Heading1"/>
      </w:pPr>
      <w:r w:rsidRPr="004D5436">
        <w:lastRenderedPageBreak/>
        <w:t>Reventes exclues</w:t>
      </w:r>
    </w:p>
    <w:p w14:paraId="251D5DF0" w14:textId="29CEB822" w:rsidR="00A80AC5" w:rsidRPr="004D5436" w:rsidRDefault="00A80AC5" w:rsidP="002D7EE2">
      <w:pPr>
        <w:pStyle w:val="ONUMFS"/>
        <w:rPr>
          <w:bCs/>
          <w:lang w:val="fr-FR"/>
        </w:rPr>
      </w:pPr>
      <w:r w:rsidRPr="004D5436">
        <w:rPr>
          <w:lang w:val="fr-FR"/>
        </w:rPr>
        <w:t>Outre la question de la définition des types de reventes à protéger par le droit de suite des artistes, d’autres limitations d’ordre pratique doivent être envisagées.  Premièrement, devrait</w:t>
      </w:r>
      <w:r w:rsidR="00FA1A0F">
        <w:rPr>
          <w:lang w:val="fr-FR"/>
        </w:rPr>
        <w:noBreakHyphen/>
      </w:r>
      <w:r w:rsidRPr="004D5436">
        <w:rPr>
          <w:lang w:val="fr-FR"/>
        </w:rPr>
        <w:t xml:space="preserve">il y avoir des limites de prix minimum sur les reventes </w:t>
      </w:r>
      <w:proofErr w:type="gramStart"/>
      <w:r w:rsidRPr="004D5436">
        <w:rPr>
          <w:lang w:val="fr-FR"/>
        </w:rPr>
        <w:t>protégées?</w:t>
      </w:r>
      <w:proofErr w:type="gramEnd"/>
      <w:r w:rsidRPr="004D5436">
        <w:rPr>
          <w:lang w:val="fr-FR"/>
        </w:rPr>
        <w:t xml:space="preserve">  Si toutes les reventes sont protégées, cela peut créer des difficultés pour pouvoir opérer la collecte et la distribution du droit de suite des artistes de manière efficace et en temps opportun.  Deuxièmement, le droit de suite des artistes doit</w:t>
      </w:r>
      <w:r w:rsidR="00FA1A0F">
        <w:rPr>
          <w:lang w:val="fr-FR"/>
        </w:rPr>
        <w:noBreakHyphen/>
      </w:r>
      <w:r w:rsidRPr="004D5436">
        <w:rPr>
          <w:lang w:val="fr-FR"/>
        </w:rPr>
        <w:t xml:space="preserve">il s’appliquer aux reventes où le vendeur a directement acquis l’œuvre auprès de l’artiste dans un délai donné avant la </w:t>
      </w:r>
      <w:proofErr w:type="gramStart"/>
      <w:r w:rsidRPr="004D5436">
        <w:rPr>
          <w:lang w:val="fr-FR"/>
        </w:rPr>
        <w:t>revente?</w:t>
      </w:r>
      <w:proofErr w:type="gramEnd"/>
      <w:r w:rsidRPr="004D5436">
        <w:rPr>
          <w:lang w:val="fr-FR"/>
        </w:rPr>
        <w:t xml:space="preserve">  Dans ce cas, on pourrait penser qu’il s’est écoulé trop peu de temps avant que la valeur de l’œuvre ait été correctement éprouvée sur le marché et que l’acheteur ne devrait donc pas être désavantagé (un prix de revente maximum peut également être inclus ici pour maintenir la restriction dans </w:t>
      </w:r>
      <w:r>
        <w:rPr>
          <w:lang w:val="fr-FR"/>
        </w:rPr>
        <w:t xml:space="preserve">des </w:t>
      </w:r>
      <w:r w:rsidRPr="004D5436">
        <w:rPr>
          <w:lang w:val="fr-FR"/>
        </w:rPr>
        <w:t>limites raisonnables).  Des limitations de ce type se trouvent dans de nombreuses législations nationales, notamment dans la Directive CE, et aucune indication expresse à leur sujet ne se trouve dans le libellé de l’article 14</w:t>
      </w:r>
      <w:r w:rsidRPr="004D5436">
        <w:rPr>
          <w:i/>
          <w:lang w:val="fr-FR"/>
        </w:rPr>
        <w:t xml:space="preserve">ter </w:t>
      </w:r>
      <w:r w:rsidRPr="004D5436">
        <w:rPr>
          <w:lang w:val="fr-FR"/>
        </w:rPr>
        <w:t>de la Convention de Berne.  Quelques exemples de dispositions suggérées sont donnés dans le tableau 6 ci</w:t>
      </w:r>
      <w:r w:rsidR="00FA1A0F">
        <w:rPr>
          <w:lang w:val="fr-FR"/>
        </w:rPr>
        <w:noBreakHyphen/>
      </w:r>
      <w:r w:rsidRPr="004D5436">
        <w:rPr>
          <w:lang w:val="fr-FR"/>
        </w:rPr>
        <w:t>dessous.</w:t>
      </w:r>
    </w:p>
    <w:p w14:paraId="72A9942E" w14:textId="77777777" w:rsidR="00A80AC5" w:rsidRPr="004D5436" w:rsidRDefault="00A80AC5" w:rsidP="002D7EE2">
      <w:pPr>
        <w:pStyle w:val="ONUMFS"/>
        <w:rPr>
          <w:lang w:val="fr-FR"/>
        </w:rPr>
      </w:pPr>
      <w:r w:rsidRPr="004D5436">
        <w:rPr>
          <w:lang w:val="fr-FR"/>
        </w:rPr>
        <w:t>Une autre question à prendre éventuellement en considération serait de savoir si un régime de droit de suite des artistes national devrait prévoir une exception à son application fondée sur un motif d’ordre public.  Des exceptions à d’autres droits exclusifs tels que la reproduction, l’exécution, etc., se trouvent en d’autres endroits de la Convention de Berne, par exemple aux articles 9, 10 et 10</w:t>
      </w:r>
      <w:r w:rsidRPr="004D5436">
        <w:rPr>
          <w:i/>
          <w:lang w:val="fr-FR"/>
        </w:rPr>
        <w:t xml:space="preserve">bis.  </w:t>
      </w:r>
      <w:r w:rsidRPr="004D5436">
        <w:rPr>
          <w:lang w:val="fr-FR"/>
        </w:rPr>
        <w:t>Il peut être difficile de concevoir des types analogues d’exceptions ou de limitations qui pourraient être faites dans le cas du droit de suite des artistes, bien qu’une exception possible – la revente aux enchères à des fins caritatives – se trouve dans une loi nationale récemment adoptée</w:t>
      </w:r>
      <w:r w:rsidRPr="004D5436">
        <w:rPr>
          <w:vertAlign w:val="superscript"/>
          <w:lang w:val="fr-FR"/>
        </w:rPr>
        <w:footnoteReference w:id="63"/>
      </w:r>
      <w:r w:rsidRPr="004D5436">
        <w:rPr>
          <w:lang w:val="fr-FR"/>
        </w:rPr>
        <w:t>.  L’article 14</w:t>
      </w:r>
      <w:r w:rsidRPr="004D5436">
        <w:rPr>
          <w:i/>
          <w:lang w:val="fr-FR"/>
        </w:rPr>
        <w:t xml:space="preserve">ter </w:t>
      </w:r>
      <w:r w:rsidRPr="004D5436">
        <w:rPr>
          <w:lang w:val="fr-FR"/>
        </w:rPr>
        <w:t>de la Convention de Berne ne contient rien sur cette question, mais, d’une manière générale, on peut affirmer que le droit inaliénable qui y est décrit ne devrait pas être soumis à d’autres exceptions ou limitations autres que celles qui pourraient être nécessaires pour des raisons pratiques telles que décrites dans le paragraphe précédent.</w:t>
      </w:r>
    </w:p>
    <w:p w14:paraId="6EA69A4D" w14:textId="77777777" w:rsidR="00A80AC5" w:rsidRPr="004D5436" w:rsidRDefault="00A80AC5" w:rsidP="00545780">
      <w:pPr>
        <w:pStyle w:val="Heading2"/>
      </w:pPr>
      <w:r w:rsidRPr="004D5436">
        <w:t>Tableau 6</w:t>
      </w:r>
    </w:p>
    <w:tbl>
      <w:tblPr>
        <w:tblStyle w:val="TableGrid"/>
        <w:tblW w:w="0" w:type="auto"/>
        <w:tblLook w:val="04A0" w:firstRow="1" w:lastRow="0" w:firstColumn="1" w:lastColumn="0" w:noHBand="0" w:noVBand="1"/>
      </w:tblPr>
      <w:tblGrid>
        <w:gridCol w:w="2263"/>
        <w:gridCol w:w="3544"/>
        <w:gridCol w:w="3203"/>
      </w:tblGrid>
      <w:tr w:rsidR="00A80AC5" w:rsidRPr="004D5436" w14:paraId="685CB8AC" w14:textId="77777777" w:rsidTr="00545780">
        <w:tc>
          <w:tcPr>
            <w:tcW w:w="2263" w:type="dxa"/>
          </w:tcPr>
          <w:p w14:paraId="087A63E7" w14:textId="77777777" w:rsidR="00A80AC5" w:rsidRPr="004D5436" w:rsidRDefault="00A80AC5" w:rsidP="00545780">
            <w:pPr>
              <w:spacing w:after="220"/>
              <w:rPr>
                <w:b/>
                <w:lang w:val="fr-FR"/>
              </w:rPr>
            </w:pPr>
            <w:r w:rsidRPr="004D5436">
              <w:rPr>
                <w:b/>
                <w:bCs/>
                <w:lang w:val="fr-FR"/>
              </w:rPr>
              <w:t>Type de disposition</w:t>
            </w:r>
          </w:p>
        </w:tc>
        <w:tc>
          <w:tcPr>
            <w:tcW w:w="3544" w:type="dxa"/>
          </w:tcPr>
          <w:p w14:paraId="5A5745FF" w14:textId="77777777" w:rsidR="00A80AC5" w:rsidRPr="004D5436" w:rsidRDefault="00A80AC5" w:rsidP="00545780">
            <w:pPr>
              <w:spacing w:after="220"/>
              <w:rPr>
                <w:b/>
                <w:lang w:val="fr-FR"/>
              </w:rPr>
            </w:pPr>
            <w:r w:rsidRPr="004D5436">
              <w:rPr>
                <w:b/>
                <w:bCs/>
                <w:lang w:val="fr-FR"/>
              </w:rPr>
              <w:t>Texte suggéré</w:t>
            </w:r>
          </w:p>
        </w:tc>
        <w:tc>
          <w:tcPr>
            <w:tcW w:w="3203" w:type="dxa"/>
          </w:tcPr>
          <w:p w14:paraId="61252080" w14:textId="77777777" w:rsidR="00A80AC5" w:rsidRPr="004D5436" w:rsidRDefault="00A80AC5" w:rsidP="00545780">
            <w:pPr>
              <w:keepLines/>
              <w:spacing w:after="220"/>
              <w:rPr>
                <w:b/>
                <w:lang w:val="fr-FR"/>
              </w:rPr>
            </w:pPr>
            <w:r w:rsidRPr="004D5436">
              <w:rPr>
                <w:b/>
                <w:bCs/>
                <w:lang w:val="fr-FR"/>
              </w:rPr>
              <w:t>Observations</w:t>
            </w:r>
          </w:p>
        </w:tc>
      </w:tr>
      <w:tr w:rsidR="00A80AC5" w:rsidRPr="004D5436" w14:paraId="1F0C252B" w14:textId="77777777" w:rsidTr="00545780">
        <w:trPr>
          <w:trHeight w:val="3466"/>
        </w:trPr>
        <w:tc>
          <w:tcPr>
            <w:tcW w:w="2263" w:type="dxa"/>
          </w:tcPr>
          <w:p w14:paraId="48258716" w14:textId="77777777" w:rsidR="00A80AC5" w:rsidRPr="00D84876" w:rsidRDefault="00A80AC5" w:rsidP="00545780">
            <w:pPr>
              <w:spacing w:before="60" w:after="220"/>
              <w:rPr>
                <w:bCs/>
                <w:sz w:val="20"/>
                <w:lang w:val="fr-FR"/>
              </w:rPr>
            </w:pPr>
            <w:r w:rsidRPr="00D84876">
              <w:rPr>
                <w:bCs/>
                <w:sz w:val="20"/>
                <w:lang w:val="fr-FR"/>
              </w:rPr>
              <w:t>Fournir un seuil de prix minimal pour le droit de suite des artistes (CE)</w:t>
            </w:r>
          </w:p>
        </w:tc>
        <w:tc>
          <w:tcPr>
            <w:tcW w:w="3544" w:type="dxa"/>
          </w:tcPr>
          <w:p w14:paraId="62BC2058" w14:textId="77777777" w:rsidR="00A80AC5" w:rsidRPr="00D84876" w:rsidRDefault="00A80AC5" w:rsidP="00545780">
            <w:pPr>
              <w:spacing w:before="60" w:after="220"/>
              <w:rPr>
                <w:iCs/>
                <w:sz w:val="20"/>
                <w:lang w:val="fr-FR"/>
              </w:rPr>
            </w:pPr>
            <w:r w:rsidRPr="00D84876">
              <w:rPr>
                <w:iCs/>
                <w:sz w:val="20"/>
                <w:lang w:val="fr-FR"/>
              </w:rPr>
              <w:t>Le prix de vente minimal ne peut en aucun cas être supérieur</w:t>
            </w:r>
            <w:r>
              <w:rPr>
                <w:iCs/>
                <w:sz w:val="20"/>
                <w:lang w:val="fr-FR"/>
              </w:rPr>
              <w:t xml:space="preserve"> à…</w:t>
            </w:r>
            <w:r w:rsidRPr="00D84876">
              <w:rPr>
                <w:iCs/>
                <w:sz w:val="20"/>
                <w:vertAlign w:val="superscript"/>
                <w:lang w:val="fr-FR"/>
              </w:rPr>
              <w:footnoteReference w:id="64"/>
            </w:r>
          </w:p>
        </w:tc>
        <w:tc>
          <w:tcPr>
            <w:tcW w:w="3203" w:type="dxa"/>
          </w:tcPr>
          <w:p w14:paraId="6631C980" w14:textId="77777777" w:rsidR="00A80AC5" w:rsidRPr="00D84876" w:rsidRDefault="00A80AC5" w:rsidP="00545780">
            <w:pPr>
              <w:keepLines/>
              <w:numPr>
                <w:ilvl w:val="0"/>
                <w:numId w:val="28"/>
              </w:numPr>
              <w:spacing w:before="60" w:after="220"/>
              <w:rPr>
                <w:bCs/>
                <w:sz w:val="20"/>
                <w:lang w:val="fr-FR"/>
              </w:rPr>
            </w:pPr>
            <w:r w:rsidRPr="00D84876">
              <w:rPr>
                <w:bCs/>
                <w:sz w:val="20"/>
                <w:lang w:val="fr-FR"/>
              </w:rPr>
              <w:t xml:space="preserve">La spécification d’un seuil de prix dépendra de la situation économique et sociale du pays adoptant un système droit de suite des artistes, par exemple en Australie, un minimum de 1 000 dollars australiens est </w:t>
            </w:r>
            <w:proofErr w:type="gramStart"/>
            <w:r w:rsidRPr="00D84876">
              <w:rPr>
                <w:bCs/>
                <w:sz w:val="20"/>
                <w:lang w:val="fr-FR"/>
              </w:rPr>
              <w:t>prescrit;  au</w:t>
            </w:r>
            <w:proofErr w:type="gramEnd"/>
            <w:r w:rsidRPr="00D84876">
              <w:rPr>
                <w:bCs/>
                <w:sz w:val="20"/>
                <w:lang w:val="fr-FR"/>
              </w:rPr>
              <w:t xml:space="preserve"> Kenya, c’est 20 000 shillings;  au Sénégal, c’est 200 000 F CFA.</w:t>
            </w:r>
          </w:p>
        </w:tc>
      </w:tr>
      <w:tr w:rsidR="00A80AC5" w:rsidRPr="004D5436" w14:paraId="7603EC16" w14:textId="77777777" w:rsidTr="00545780">
        <w:tc>
          <w:tcPr>
            <w:tcW w:w="2263" w:type="dxa"/>
          </w:tcPr>
          <w:p w14:paraId="2FFAAB27" w14:textId="77777777" w:rsidR="00A80AC5" w:rsidRPr="00D84876" w:rsidRDefault="00A80AC5" w:rsidP="00545780">
            <w:pPr>
              <w:spacing w:before="60" w:after="220"/>
              <w:rPr>
                <w:bCs/>
                <w:sz w:val="20"/>
                <w:lang w:val="fr-FR"/>
              </w:rPr>
            </w:pPr>
            <w:r w:rsidRPr="00D84876">
              <w:rPr>
                <w:bCs/>
                <w:sz w:val="20"/>
                <w:lang w:val="fr-FR"/>
              </w:rPr>
              <w:lastRenderedPageBreak/>
              <w:t>Disposition plus détaillée (Australie)</w:t>
            </w:r>
          </w:p>
        </w:tc>
        <w:tc>
          <w:tcPr>
            <w:tcW w:w="3544" w:type="dxa"/>
          </w:tcPr>
          <w:p w14:paraId="3E84CA6A" w14:textId="77777777" w:rsidR="00A80AC5" w:rsidRPr="00D84876" w:rsidRDefault="00A80AC5" w:rsidP="00545780">
            <w:pPr>
              <w:spacing w:before="60" w:after="120"/>
              <w:rPr>
                <w:iCs/>
                <w:sz w:val="20"/>
                <w:lang w:val="fr-FR"/>
              </w:rPr>
            </w:pPr>
            <w:r w:rsidRPr="00D84876">
              <w:rPr>
                <w:iCs/>
                <w:sz w:val="20"/>
                <w:lang w:val="fr-FR"/>
              </w:rPr>
              <w:t>Il existe un droit de suite des artistes sur la revente commerciale d’une œuvre d’art pour un prix de vente inférieur à :</w:t>
            </w:r>
          </w:p>
          <w:p w14:paraId="075616C8" w14:textId="77777777" w:rsidR="00A80AC5" w:rsidRPr="00D84876" w:rsidRDefault="00A80AC5" w:rsidP="00545780">
            <w:pPr>
              <w:pStyle w:val="ListParagraph"/>
              <w:numPr>
                <w:ilvl w:val="1"/>
                <w:numId w:val="3"/>
              </w:numPr>
              <w:tabs>
                <w:tab w:val="clear" w:pos="1134"/>
                <w:tab w:val="left" w:pos="597"/>
              </w:tabs>
              <w:spacing w:before="60" w:after="120"/>
              <w:ind w:left="177"/>
              <w:contextualSpacing w:val="0"/>
              <w:jc w:val="left"/>
              <w:rPr>
                <w:iCs/>
                <w:sz w:val="20"/>
                <w:szCs w:val="20"/>
              </w:rPr>
            </w:pPr>
            <w:r w:rsidRPr="00D84876">
              <w:rPr>
                <w:iCs/>
                <w:sz w:val="20"/>
                <w:szCs w:val="20"/>
              </w:rPr>
              <w:t xml:space="preserve">1 000 dollars australiens ou, si le prix de vente est payé dans une devise étrangère, le montant calculé en utilisant le taux de change applicable au moment de la revente commerciale qui équivaut 1 000 dollars </w:t>
            </w:r>
            <w:proofErr w:type="gramStart"/>
            <w:r w:rsidRPr="00D84876">
              <w:rPr>
                <w:iCs/>
                <w:sz w:val="20"/>
                <w:szCs w:val="20"/>
              </w:rPr>
              <w:t>australiens;  ou</w:t>
            </w:r>
            <w:proofErr w:type="gramEnd"/>
          </w:p>
          <w:p w14:paraId="0CB4BB12" w14:textId="77777777" w:rsidR="00A80AC5" w:rsidRPr="00D84876" w:rsidRDefault="00A80AC5" w:rsidP="00545780">
            <w:pPr>
              <w:pStyle w:val="ListParagraph"/>
              <w:numPr>
                <w:ilvl w:val="1"/>
                <w:numId w:val="3"/>
              </w:numPr>
              <w:tabs>
                <w:tab w:val="clear" w:pos="1134"/>
              </w:tabs>
              <w:spacing w:before="60" w:after="220"/>
              <w:ind w:left="177"/>
              <w:contextualSpacing w:val="0"/>
              <w:jc w:val="left"/>
              <w:rPr>
                <w:iCs/>
                <w:sz w:val="20"/>
                <w:szCs w:val="20"/>
              </w:rPr>
            </w:pPr>
            <w:proofErr w:type="gramStart"/>
            <w:r w:rsidRPr="00D84876">
              <w:rPr>
                <w:iCs/>
                <w:sz w:val="20"/>
                <w:szCs w:val="20"/>
              </w:rPr>
              <w:t>si</w:t>
            </w:r>
            <w:proofErr w:type="gramEnd"/>
            <w:r w:rsidRPr="00D84876">
              <w:rPr>
                <w:iCs/>
                <w:sz w:val="20"/>
                <w:szCs w:val="20"/>
              </w:rPr>
              <w:t xml:space="preserve"> un montant plus élevé est prescrit par les règlements</w:t>
            </w:r>
            <w:r>
              <w:rPr>
                <w:iCs/>
                <w:sz w:val="20"/>
                <w:szCs w:val="20"/>
              </w:rPr>
              <w:t> :</w:t>
            </w:r>
            <w:r w:rsidRPr="00D84876">
              <w:rPr>
                <w:iCs/>
                <w:sz w:val="20"/>
                <w:szCs w:val="20"/>
              </w:rPr>
              <w:t xml:space="preserve"> ce montant plus élevé</w:t>
            </w:r>
            <w:r w:rsidRPr="00D84876">
              <w:rPr>
                <w:sz w:val="20"/>
                <w:szCs w:val="20"/>
                <w:vertAlign w:val="superscript"/>
              </w:rPr>
              <w:footnoteReference w:id="65"/>
            </w:r>
            <w:r w:rsidRPr="00D84876">
              <w:rPr>
                <w:iCs/>
                <w:sz w:val="20"/>
                <w:szCs w:val="20"/>
              </w:rPr>
              <w:t>.</w:t>
            </w:r>
          </w:p>
        </w:tc>
        <w:tc>
          <w:tcPr>
            <w:tcW w:w="3203" w:type="dxa"/>
          </w:tcPr>
          <w:p w14:paraId="0C794ECD" w14:textId="77777777" w:rsidR="00A80AC5" w:rsidRPr="00D84876" w:rsidRDefault="00A80AC5" w:rsidP="00545780">
            <w:pPr>
              <w:keepLines/>
              <w:numPr>
                <w:ilvl w:val="0"/>
                <w:numId w:val="28"/>
              </w:numPr>
              <w:spacing w:before="60" w:after="60"/>
              <w:rPr>
                <w:bCs/>
                <w:sz w:val="20"/>
                <w:u w:val="single"/>
                <w:lang w:val="fr-FR"/>
              </w:rPr>
            </w:pPr>
            <w:r w:rsidRPr="00D84876">
              <w:rPr>
                <w:bCs/>
                <w:sz w:val="20"/>
                <w:lang w:val="fr-FR"/>
              </w:rPr>
              <w:t>Contient une référence aux taux de change.</w:t>
            </w:r>
          </w:p>
          <w:p w14:paraId="24D0B6DC" w14:textId="77777777" w:rsidR="00A80AC5" w:rsidRPr="00D84876" w:rsidRDefault="00A80AC5" w:rsidP="00545780">
            <w:pPr>
              <w:keepLines/>
              <w:numPr>
                <w:ilvl w:val="0"/>
                <w:numId w:val="28"/>
              </w:numPr>
              <w:spacing w:before="60" w:after="220"/>
              <w:rPr>
                <w:bCs/>
                <w:sz w:val="20"/>
                <w:lang w:val="fr-FR"/>
              </w:rPr>
            </w:pPr>
            <w:r w:rsidRPr="00D84876">
              <w:rPr>
                <w:bCs/>
                <w:sz w:val="20"/>
                <w:lang w:val="fr-FR"/>
              </w:rPr>
              <w:t>Permet de prescrire un seuil plus élevé à l’avenir.</w:t>
            </w:r>
          </w:p>
        </w:tc>
      </w:tr>
      <w:tr w:rsidR="00A80AC5" w:rsidRPr="004D5436" w14:paraId="5A5FB2B5" w14:textId="77777777" w:rsidTr="00545780">
        <w:tc>
          <w:tcPr>
            <w:tcW w:w="2263" w:type="dxa"/>
          </w:tcPr>
          <w:p w14:paraId="0F8503DA" w14:textId="77777777" w:rsidR="00A80AC5" w:rsidRPr="00D84876" w:rsidRDefault="00A80AC5" w:rsidP="00545780">
            <w:pPr>
              <w:spacing w:before="60" w:after="220"/>
              <w:rPr>
                <w:bCs/>
                <w:sz w:val="20"/>
                <w:lang w:val="fr-FR"/>
              </w:rPr>
            </w:pPr>
            <w:r w:rsidRPr="00D84876">
              <w:rPr>
                <w:bCs/>
                <w:sz w:val="20"/>
                <w:lang w:val="fr-FR"/>
              </w:rPr>
              <w:t>Délais pour le droit de suite des artistes (CE)</w:t>
            </w:r>
          </w:p>
        </w:tc>
        <w:tc>
          <w:tcPr>
            <w:tcW w:w="3544" w:type="dxa"/>
          </w:tcPr>
          <w:p w14:paraId="7CF17F69" w14:textId="77777777" w:rsidR="00A80AC5" w:rsidRPr="00D84876" w:rsidRDefault="00A80AC5" w:rsidP="00545780">
            <w:pPr>
              <w:spacing w:before="60" w:after="120"/>
              <w:rPr>
                <w:b/>
                <w:bCs/>
                <w:iCs/>
                <w:sz w:val="20"/>
                <w:lang w:val="fr-FR"/>
              </w:rPr>
            </w:pPr>
            <w:r w:rsidRPr="00D84876">
              <w:rPr>
                <w:iCs/>
                <w:sz w:val="20"/>
                <w:lang w:val="fr-FR"/>
              </w:rPr>
              <w:t>Les États membres peuvent prévoir que le droit visé au paragraphe 1 ne s’applique pas aux actes de revente lorsque le vendeur a acquis l’œuvre directement de l’auteur moins de trois ans avant cette revente et que le prix de revente ne dépasse pas 10 000 euros</w:t>
            </w:r>
            <w:r w:rsidRPr="00D84876">
              <w:rPr>
                <w:iCs/>
                <w:sz w:val="20"/>
                <w:vertAlign w:val="superscript"/>
                <w:lang w:val="fr-FR"/>
              </w:rPr>
              <w:footnoteReference w:id="66"/>
            </w:r>
            <w:r w:rsidRPr="00D84876">
              <w:rPr>
                <w:iCs/>
                <w:sz w:val="20"/>
                <w:lang w:val="fr-FR"/>
              </w:rPr>
              <w:t>.</w:t>
            </w:r>
          </w:p>
        </w:tc>
        <w:tc>
          <w:tcPr>
            <w:tcW w:w="3203" w:type="dxa"/>
          </w:tcPr>
          <w:p w14:paraId="57B1C858" w14:textId="77777777" w:rsidR="00A80AC5" w:rsidRPr="00D84876" w:rsidRDefault="00A80AC5" w:rsidP="00545780">
            <w:pPr>
              <w:keepLines/>
              <w:numPr>
                <w:ilvl w:val="0"/>
                <w:numId w:val="29"/>
              </w:numPr>
              <w:spacing w:before="60" w:after="220"/>
              <w:rPr>
                <w:bCs/>
                <w:sz w:val="20"/>
                <w:lang w:val="fr-FR"/>
              </w:rPr>
            </w:pPr>
            <w:r w:rsidRPr="00D84876">
              <w:rPr>
                <w:bCs/>
                <w:sz w:val="20"/>
                <w:lang w:val="fr-FR"/>
              </w:rPr>
              <w:t>Le législateur peut estimer qu’il s’agit d’une disposition équitable pour l’acquéreur lorsqu’un plafond est fixé pour le prix de revente dans le délai imparti.</w:t>
            </w:r>
          </w:p>
        </w:tc>
      </w:tr>
      <w:tr w:rsidR="00A80AC5" w:rsidRPr="004D5436" w14:paraId="64DDA474" w14:textId="77777777" w:rsidTr="00545780">
        <w:tc>
          <w:tcPr>
            <w:tcW w:w="2263" w:type="dxa"/>
          </w:tcPr>
          <w:p w14:paraId="2457A252" w14:textId="77777777" w:rsidR="00A80AC5" w:rsidRPr="00D84876" w:rsidRDefault="00A80AC5" w:rsidP="00545780">
            <w:pPr>
              <w:spacing w:before="60" w:after="220"/>
              <w:rPr>
                <w:bCs/>
                <w:sz w:val="20"/>
                <w:lang w:val="fr-FR"/>
              </w:rPr>
            </w:pPr>
            <w:r w:rsidRPr="00D84876">
              <w:rPr>
                <w:bCs/>
                <w:sz w:val="20"/>
                <w:lang w:val="fr-FR"/>
              </w:rPr>
              <w:t>Liste des reventes exclues (Kenya)</w:t>
            </w:r>
          </w:p>
        </w:tc>
        <w:tc>
          <w:tcPr>
            <w:tcW w:w="3544" w:type="dxa"/>
          </w:tcPr>
          <w:p w14:paraId="50FAF217" w14:textId="77777777" w:rsidR="00A80AC5" w:rsidRPr="00D84876" w:rsidRDefault="00A80AC5" w:rsidP="00545780">
            <w:pPr>
              <w:spacing w:before="60" w:after="120"/>
              <w:rPr>
                <w:iCs/>
                <w:sz w:val="20"/>
                <w:lang w:val="fr-FR"/>
              </w:rPr>
            </w:pPr>
            <w:r w:rsidRPr="00D84876">
              <w:rPr>
                <w:iCs/>
                <w:sz w:val="20"/>
                <w:lang w:val="fr-FR"/>
              </w:rPr>
              <w:t>26D (6) Aucune redevance au titre du droit de suite n’est due sur la revente commerciale d’une œuvre d’art</w:t>
            </w:r>
          </w:p>
          <w:p w14:paraId="46262F14" w14:textId="77777777" w:rsidR="00A80AC5" w:rsidRPr="00D84876" w:rsidRDefault="00A80AC5" w:rsidP="00545780">
            <w:pPr>
              <w:spacing w:before="60" w:after="120"/>
              <w:rPr>
                <w:iCs/>
                <w:sz w:val="20"/>
                <w:lang w:val="fr-FR"/>
              </w:rPr>
            </w:pPr>
            <w:r w:rsidRPr="00D84876">
              <w:rPr>
                <w:iCs/>
                <w:sz w:val="20"/>
                <w:lang w:val="fr-FR"/>
              </w:rPr>
              <w:t>a) si le prix de vente est inférieur à 20 000 </w:t>
            </w:r>
            <w:proofErr w:type="gramStart"/>
            <w:r w:rsidRPr="00D84876">
              <w:rPr>
                <w:iCs/>
                <w:sz w:val="20"/>
                <w:lang w:val="fr-FR"/>
              </w:rPr>
              <w:t>shillings;</w:t>
            </w:r>
            <w:proofErr w:type="gramEnd"/>
          </w:p>
          <w:p w14:paraId="41E8DA1F" w14:textId="77777777" w:rsidR="00A80AC5" w:rsidRPr="00D84876" w:rsidRDefault="00A80AC5" w:rsidP="00545780">
            <w:pPr>
              <w:spacing w:before="60" w:after="120"/>
              <w:rPr>
                <w:iCs/>
                <w:sz w:val="20"/>
                <w:lang w:val="fr-FR"/>
              </w:rPr>
            </w:pPr>
            <w:r w:rsidRPr="00D84876">
              <w:rPr>
                <w:iCs/>
                <w:sz w:val="20"/>
                <w:lang w:val="fr-FR"/>
              </w:rPr>
              <w:t xml:space="preserve">b) s’il s’agit de la revente d’un bâtiment, ou d’un dessin, plan ou modèle de </w:t>
            </w:r>
            <w:proofErr w:type="gramStart"/>
            <w:r w:rsidRPr="00D84876">
              <w:rPr>
                <w:iCs/>
                <w:sz w:val="20"/>
                <w:lang w:val="fr-FR"/>
              </w:rPr>
              <w:t>bâtiment;</w:t>
            </w:r>
            <w:proofErr w:type="gramEnd"/>
          </w:p>
          <w:p w14:paraId="1D04B885" w14:textId="77777777" w:rsidR="00A80AC5" w:rsidRPr="00D84876" w:rsidRDefault="00A80AC5" w:rsidP="00545780">
            <w:pPr>
              <w:spacing w:before="60" w:after="120"/>
              <w:rPr>
                <w:iCs/>
                <w:sz w:val="20"/>
                <w:lang w:val="fr-FR"/>
              </w:rPr>
            </w:pPr>
            <w:r w:rsidRPr="00D84876">
              <w:rPr>
                <w:iCs/>
                <w:sz w:val="20"/>
                <w:lang w:val="fr-FR"/>
              </w:rPr>
              <w:t xml:space="preserve">c) s’il s’agit d’une vente aux enchères à des fins </w:t>
            </w:r>
            <w:proofErr w:type="gramStart"/>
            <w:r w:rsidRPr="00D84876">
              <w:rPr>
                <w:iCs/>
                <w:sz w:val="20"/>
                <w:lang w:val="fr-FR"/>
              </w:rPr>
              <w:t>caritatives;</w:t>
            </w:r>
            <w:proofErr w:type="gramEnd"/>
          </w:p>
          <w:p w14:paraId="59279750" w14:textId="77777777" w:rsidR="00A80AC5" w:rsidRPr="00D84876" w:rsidRDefault="00A80AC5" w:rsidP="00545780">
            <w:pPr>
              <w:spacing w:before="60" w:after="120"/>
              <w:rPr>
                <w:iCs/>
                <w:sz w:val="20"/>
                <w:lang w:val="fr-FR"/>
              </w:rPr>
            </w:pPr>
            <w:r w:rsidRPr="00D84876">
              <w:rPr>
                <w:iCs/>
                <w:sz w:val="20"/>
                <w:lang w:val="fr-FR"/>
              </w:rPr>
              <w:t xml:space="preserve">d) si les œuvres d’art produites sont des copies </w:t>
            </w:r>
            <w:proofErr w:type="gramStart"/>
            <w:r w:rsidRPr="00D84876">
              <w:rPr>
                <w:iCs/>
                <w:sz w:val="20"/>
                <w:lang w:val="fr-FR"/>
              </w:rPr>
              <w:t>identiques;  ou</w:t>
            </w:r>
            <w:proofErr w:type="gramEnd"/>
          </w:p>
          <w:p w14:paraId="5EE4BF76" w14:textId="77777777" w:rsidR="00A80AC5" w:rsidRPr="00D84876" w:rsidRDefault="00A80AC5" w:rsidP="00545780">
            <w:pPr>
              <w:spacing w:before="60" w:after="120"/>
              <w:rPr>
                <w:iCs/>
                <w:sz w:val="20"/>
                <w:lang w:val="fr-FR"/>
              </w:rPr>
            </w:pPr>
            <w:r w:rsidRPr="00D84876">
              <w:rPr>
                <w:iCs/>
                <w:sz w:val="20"/>
                <w:lang w:val="fr-FR"/>
              </w:rPr>
              <w:t>e) s’il s’agit d’un manuscrit d’une œuvre littéraire, dramatique ou musicale</w:t>
            </w:r>
            <w:r w:rsidRPr="00D84876">
              <w:rPr>
                <w:rStyle w:val="FootnoteReference"/>
                <w:iCs/>
                <w:sz w:val="20"/>
                <w:lang w:val="fr-FR"/>
              </w:rPr>
              <w:footnoteReference w:id="67"/>
            </w:r>
            <w:r>
              <w:rPr>
                <w:iCs/>
                <w:sz w:val="20"/>
                <w:lang w:val="fr-FR"/>
              </w:rPr>
              <w:t>.</w:t>
            </w:r>
          </w:p>
        </w:tc>
        <w:tc>
          <w:tcPr>
            <w:tcW w:w="3203" w:type="dxa"/>
          </w:tcPr>
          <w:p w14:paraId="0892052F" w14:textId="77777777" w:rsidR="00A80AC5" w:rsidRPr="00D84876" w:rsidRDefault="00A80AC5" w:rsidP="00545780">
            <w:pPr>
              <w:keepLines/>
              <w:numPr>
                <w:ilvl w:val="0"/>
                <w:numId w:val="29"/>
              </w:numPr>
              <w:spacing w:before="60" w:after="220"/>
              <w:rPr>
                <w:bCs/>
                <w:sz w:val="20"/>
                <w:lang w:val="fr-FR"/>
              </w:rPr>
            </w:pPr>
            <w:r w:rsidRPr="00D84876">
              <w:rPr>
                <w:bCs/>
                <w:sz w:val="20"/>
                <w:lang w:val="fr-FR"/>
              </w:rPr>
              <w:t>Ces diverses exclusions incluent les ventes aux enchères à des fins caritatives.</w:t>
            </w:r>
          </w:p>
        </w:tc>
      </w:tr>
      <w:tr w:rsidR="00A80AC5" w:rsidRPr="004D5436" w14:paraId="5D5D1619" w14:textId="77777777" w:rsidTr="00545780">
        <w:tc>
          <w:tcPr>
            <w:tcW w:w="2263" w:type="dxa"/>
          </w:tcPr>
          <w:p w14:paraId="25FAE1D1" w14:textId="77777777" w:rsidR="00A80AC5" w:rsidRPr="00D84876" w:rsidRDefault="00A80AC5" w:rsidP="00545780">
            <w:pPr>
              <w:spacing w:before="60" w:after="220"/>
              <w:rPr>
                <w:bCs/>
                <w:sz w:val="20"/>
                <w:lang w:val="fr-FR"/>
              </w:rPr>
            </w:pPr>
            <w:r w:rsidRPr="00D84876">
              <w:rPr>
                <w:bCs/>
                <w:sz w:val="20"/>
                <w:lang w:val="fr-FR"/>
              </w:rPr>
              <w:lastRenderedPageBreak/>
              <w:t>Exclusions de certaines reventes et ventes aux musées (Suède)</w:t>
            </w:r>
          </w:p>
        </w:tc>
        <w:tc>
          <w:tcPr>
            <w:tcW w:w="3544" w:type="dxa"/>
          </w:tcPr>
          <w:p w14:paraId="24B5C314" w14:textId="77777777" w:rsidR="00A80AC5" w:rsidRPr="00D84876" w:rsidRDefault="00A80AC5" w:rsidP="003866EB">
            <w:pPr>
              <w:keepNext/>
              <w:spacing w:before="60" w:after="120"/>
              <w:rPr>
                <w:iCs/>
                <w:sz w:val="20"/>
                <w:lang w:val="fr-FR"/>
              </w:rPr>
            </w:pPr>
            <w:r w:rsidRPr="00D84876">
              <w:rPr>
                <w:iCs/>
                <w:sz w:val="20"/>
                <w:lang w:val="fr-FR"/>
              </w:rPr>
              <w:t>Article 26n.  …</w:t>
            </w:r>
          </w:p>
          <w:p w14:paraId="6C0999EC" w14:textId="77777777" w:rsidR="00A80AC5" w:rsidRPr="00D84876" w:rsidRDefault="00A80AC5" w:rsidP="003866EB">
            <w:pPr>
              <w:keepNext/>
              <w:spacing w:before="60" w:after="120"/>
              <w:rPr>
                <w:iCs/>
                <w:sz w:val="20"/>
                <w:lang w:val="fr-FR"/>
              </w:rPr>
            </w:pPr>
            <w:r w:rsidRPr="00D84876">
              <w:rPr>
                <w:iCs/>
                <w:sz w:val="20"/>
                <w:lang w:val="fr-FR"/>
              </w:rPr>
              <w:t>L’auteur n’a pas droit à rémunération si :</w:t>
            </w:r>
          </w:p>
          <w:p w14:paraId="4762F3C3" w14:textId="77777777" w:rsidR="00A80AC5" w:rsidRPr="00D84876" w:rsidRDefault="00A80AC5" w:rsidP="003866EB">
            <w:pPr>
              <w:keepNext/>
              <w:spacing w:before="60" w:after="120"/>
              <w:rPr>
                <w:iCs/>
                <w:sz w:val="20"/>
                <w:lang w:val="fr-FR"/>
              </w:rPr>
            </w:pPr>
            <w:r w:rsidRPr="00D84876">
              <w:rPr>
                <w:iCs/>
                <w:sz w:val="20"/>
                <w:lang w:val="fr-FR"/>
              </w:rPr>
              <w:t>…</w:t>
            </w:r>
          </w:p>
          <w:p w14:paraId="3A2E5196" w14:textId="77777777" w:rsidR="00A80AC5" w:rsidRPr="00D84876" w:rsidRDefault="00A80AC5" w:rsidP="00545780">
            <w:pPr>
              <w:spacing w:before="60" w:after="220"/>
              <w:rPr>
                <w:iCs/>
                <w:sz w:val="20"/>
                <w:lang w:val="fr-FR"/>
              </w:rPr>
            </w:pPr>
            <w:r w:rsidRPr="00D84876">
              <w:rPr>
                <w:iCs/>
                <w:sz w:val="20"/>
                <w:lang w:val="fr-FR"/>
              </w:rPr>
              <w:t xml:space="preserve">2.  la vente concerne une copie d’une œuvre d’architecture sous la forme d’un bâtiment, </w:t>
            </w:r>
            <w:proofErr w:type="gramStart"/>
            <w:r w:rsidRPr="00D84876">
              <w:rPr>
                <w:iCs/>
                <w:sz w:val="20"/>
                <w:lang w:val="fr-FR"/>
              </w:rPr>
              <w:t>ou</w:t>
            </w:r>
            <w:proofErr w:type="gramEnd"/>
          </w:p>
          <w:p w14:paraId="1DFCC7DA" w14:textId="77777777" w:rsidR="00A80AC5" w:rsidRPr="00D84876" w:rsidRDefault="00A80AC5" w:rsidP="00545780">
            <w:pPr>
              <w:spacing w:before="60" w:after="220"/>
              <w:rPr>
                <w:iCs/>
                <w:sz w:val="20"/>
                <w:lang w:val="fr-FR"/>
              </w:rPr>
            </w:pPr>
            <w:r w:rsidRPr="00D84876">
              <w:rPr>
                <w:iCs/>
                <w:sz w:val="20"/>
                <w:lang w:val="fr-FR"/>
              </w:rPr>
              <w:t>3.  la vente est effectuée par un particulier à un musée ouvert au public et exerçant son activité sans but lucratif, si aucun professionnel du marché de l’art n’a participé à la vente</w:t>
            </w:r>
            <w:r w:rsidRPr="00D84876">
              <w:rPr>
                <w:rStyle w:val="FootnoteReference"/>
                <w:iCs/>
                <w:sz w:val="20"/>
                <w:lang w:val="fr-FR"/>
              </w:rPr>
              <w:footnoteReference w:id="68"/>
            </w:r>
            <w:r w:rsidRPr="00D84876">
              <w:rPr>
                <w:iCs/>
                <w:sz w:val="20"/>
                <w:lang w:val="fr-FR"/>
              </w:rPr>
              <w:t>.</w:t>
            </w:r>
          </w:p>
        </w:tc>
        <w:tc>
          <w:tcPr>
            <w:tcW w:w="3203" w:type="dxa"/>
          </w:tcPr>
          <w:p w14:paraId="058BC04E" w14:textId="77777777" w:rsidR="00A80AC5" w:rsidRPr="00D84876" w:rsidRDefault="00A80AC5" w:rsidP="00545780">
            <w:pPr>
              <w:keepLines/>
              <w:numPr>
                <w:ilvl w:val="0"/>
                <w:numId w:val="29"/>
              </w:numPr>
              <w:spacing w:before="60" w:after="220"/>
              <w:rPr>
                <w:bCs/>
                <w:sz w:val="20"/>
                <w:lang w:val="fr-FR"/>
              </w:rPr>
            </w:pPr>
            <w:r w:rsidRPr="00D84876">
              <w:rPr>
                <w:bCs/>
                <w:sz w:val="20"/>
                <w:lang w:val="fr-FR"/>
              </w:rPr>
              <w:t>D’autres exceptions sont prévues ici pour les bâtiments qui incorporent des œuvres architecturales et les ventes privées à des musées publics dans certaines circonstances.</w:t>
            </w:r>
          </w:p>
        </w:tc>
      </w:tr>
    </w:tbl>
    <w:p w14:paraId="5725ABE6" w14:textId="77777777" w:rsidR="00A80AC5" w:rsidRPr="004D5436" w:rsidRDefault="00A80AC5" w:rsidP="002D7EE2">
      <w:pPr>
        <w:pStyle w:val="Heading1"/>
      </w:pPr>
      <w:r w:rsidRPr="004D5436">
        <w:t>Ce qui est inclus dans le prix de (re)vente</w:t>
      </w:r>
    </w:p>
    <w:p w14:paraId="5B408932" w14:textId="77777777" w:rsidR="00A80AC5" w:rsidRPr="00545780" w:rsidRDefault="00A80AC5" w:rsidP="002D7EE2">
      <w:pPr>
        <w:pStyle w:val="ONUMFS"/>
        <w:rPr>
          <w:iCs/>
          <w:lang w:val="fr-FR"/>
        </w:rPr>
      </w:pPr>
      <w:r w:rsidRPr="004D5436">
        <w:rPr>
          <w:lang w:val="fr-FR"/>
        </w:rPr>
        <w:t>Le prix de (re)vente est le prix perçu pour l’œuvre au coup de marteau dans le cas d’une vente aux enchères ou le prix autrement convenu d’être payé au vendeur lorsqu’il y a eu intervention d’un professionnel du marché de l’art.  En règle générale, il ne devrait y avoir aucune déduction de ce prix aux fins du calcul du droit de suite des artistes, car cela rendra la tâche de calcul beaucoup plus simple à effectuer et est, bien sûr, plus juste pour l’auteur.  Il ne s’agit pas d’une question directement abordée à l’article 14</w:t>
      </w:r>
      <w:r w:rsidRPr="004D5436">
        <w:rPr>
          <w:i/>
          <w:lang w:val="fr-FR"/>
        </w:rPr>
        <w:t>ter</w:t>
      </w:r>
      <w:r w:rsidRPr="004D5436">
        <w:rPr>
          <w:lang w:val="fr-FR"/>
        </w:rPr>
        <w:t xml:space="preserve"> de la Convention de Berne.</w:t>
      </w:r>
    </w:p>
    <w:p w14:paraId="55DC198E" w14:textId="77777777" w:rsidR="00A80AC5" w:rsidRPr="004D5436" w:rsidRDefault="00A80AC5" w:rsidP="002D7EE2">
      <w:pPr>
        <w:pStyle w:val="ONUMFS"/>
        <w:rPr>
          <w:lang w:val="fr-FR"/>
        </w:rPr>
      </w:pPr>
      <w:r w:rsidRPr="004D5436">
        <w:rPr>
          <w:lang w:val="fr-FR"/>
        </w:rPr>
        <w:t>Dans le cadre de certains régimes de droit de suite des artistes nationaux, le prix de vente n’inclut pas les taxes pouvant être dues sur la vente, par exemple dans l’Union européenne</w:t>
      </w:r>
      <w:r w:rsidRPr="004D5436">
        <w:rPr>
          <w:vertAlign w:val="superscript"/>
          <w:lang w:val="fr-FR"/>
        </w:rPr>
        <w:footnoteReference w:id="69"/>
      </w:r>
      <w:r w:rsidRPr="004D5436">
        <w:rPr>
          <w:lang w:val="fr-FR"/>
        </w:rPr>
        <w:t>.  Dans d’autres pays, comme l’Australie, la taxe sur la valeur ajoutée (ou taxe sur les biens et services) est incluse dans le prix de revente, contrairement aux autres taxes</w:t>
      </w:r>
      <w:r w:rsidRPr="004D5436">
        <w:rPr>
          <w:vertAlign w:val="superscript"/>
          <w:lang w:val="fr-FR"/>
        </w:rPr>
        <w:footnoteReference w:id="70"/>
      </w:r>
      <w:r w:rsidRPr="004D5436">
        <w:rPr>
          <w:lang w:val="fr-FR"/>
        </w:rPr>
        <w:t>.  Une autre question à prendre en considération est de savoir si la prime de l’acheteur payable par les enchérisseurs gagnants aux enchères (généralement un pourcentage du prix de vente) doit être incluse dans le prix de vente pour le calcul du droit de suite des artistes.  Il s’agit d’une question litigieuse car cela peut être signalé comme le prix de revente global, mais la composante prime de l’acheteur passe généralement à la maison de vente aux enchères plutôt qu’au vendeur.</w:t>
      </w:r>
    </w:p>
    <w:p w14:paraId="77CD46FB" w14:textId="77777777" w:rsidR="00A80AC5" w:rsidRPr="004D5436" w:rsidRDefault="00A80AC5" w:rsidP="002D7EE2">
      <w:pPr>
        <w:pStyle w:val="ONUMFS"/>
        <w:rPr>
          <w:lang w:val="fr-FR"/>
        </w:rPr>
      </w:pPr>
      <w:r w:rsidRPr="004D5436">
        <w:rPr>
          <w:lang w:val="fr-FR"/>
        </w:rPr>
        <w:t>Pour déterminer le prix de (re)vente du droit de suite des artistes, chaque pays devra examiner attentivement la manière dont fonctionnent à la fois le marché de la revente d’œuvres d’art et son système fiscal, car ces questions peuvent être traitées différemment d’un pays à l’autre.  En gardant cela à l’esprit, quelques exemples de dispositions sont proposés dans le tableau suivant.</w:t>
      </w:r>
    </w:p>
    <w:p w14:paraId="192908B1" w14:textId="77777777" w:rsidR="00A80AC5" w:rsidRPr="004D5436" w:rsidRDefault="00A80AC5" w:rsidP="002D7EE2">
      <w:pPr>
        <w:pStyle w:val="Heading2"/>
      </w:pPr>
      <w:r w:rsidRPr="004D5436">
        <w:lastRenderedPageBreak/>
        <w:t>Tableau 7</w:t>
      </w:r>
    </w:p>
    <w:tbl>
      <w:tblPr>
        <w:tblStyle w:val="TableGrid"/>
        <w:tblW w:w="9493" w:type="dxa"/>
        <w:tblLook w:val="04A0" w:firstRow="1" w:lastRow="0" w:firstColumn="1" w:lastColumn="0" w:noHBand="0" w:noVBand="1"/>
      </w:tblPr>
      <w:tblGrid>
        <w:gridCol w:w="1980"/>
        <w:gridCol w:w="3685"/>
        <w:gridCol w:w="3828"/>
      </w:tblGrid>
      <w:tr w:rsidR="00A80AC5" w:rsidRPr="004D5436" w14:paraId="28F97671" w14:textId="77777777" w:rsidTr="003866EB">
        <w:tc>
          <w:tcPr>
            <w:tcW w:w="1980" w:type="dxa"/>
          </w:tcPr>
          <w:p w14:paraId="563F2B5E" w14:textId="77777777" w:rsidR="00A80AC5" w:rsidRPr="004D5436" w:rsidRDefault="00A80AC5" w:rsidP="003866EB">
            <w:pPr>
              <w:keepNext/>
              <w:spacing w:after="220"/>
              <w:rPr>
                <w:lang w:val="fr-FR"/>
              </w:rPr>
            </w:pPr>
            <w:r w:rsidRPr="004D5436">
              <w:rPr>
                <w:b/>
                <w:lang w:val="fr-FR"/>
              </w:rPr>
              <w:t>Type de disposition</w:t>
            </w:r>
          </w:p>
        </w:tc>
        <w:tc>
          <w:tcPr>
            <w:tcW w:w="3685" w:type="dxa"/>
          </w:tcPr>
          <w:p w14:paraId="506F9069" w14:textId="77777777" w:rsidR="00A80AC5" w:rsidRPr="004D5436" w:rsidRDefault="00A80AC5" w:rsidP="003866EB">
            <w:pPr>
              <w:keepNext/>
              <w:spacing w:after="220"/>
              <w:rPr>
                <w:lang w:val="fr-FR"/>
              </w:rPr>
            </w:pPr>
            <w:r w:rsidRPr="004D5436">
              <w:rPr>
                <w:b/>
                <w:lang w:val="fr-FR"/>
              </w:rPr>
              <w:t>Texte suggéré</w:t>
            </w:r>
          </w:p>
        </w:tc>
        <w:tc>
          <w:tcPr>
            <w:tcW w:w="3828" w:type="dxa"/>
          </w:tcPr>
          <w:p w14:paraId="6303EF1F" w14:textId="77777777" w:rsidR="00A80AC5" w:rsidRPr="004D5436" w:rsidRDefault="00A80AC5" w:rsidP="003866EB">
            <w:pPr>
              <w:keepNext/>
              <w:spacing w:after="220"/>
              <w:rPr>
                <w:lang w:val="fr-FR"/>
              </w:rPr>
            </w:pPr>
            <w:r w:rsidRPr="004D5436">
              <w:rPr>
                <w:b/>
                <w:lang w:val="fr-FR"/>
              </w:rPr>
              <w:t>Observations</w:t>
            </w:r>
          </w:p>
        </w:tc>
      </w:tr>
      <w:tr w:rsidR="00A80AC5" w:rsidRPr="004D5436" w14:paraId="75E0D0B2" w14:textId="77777777" w:rsidTr="003866EB">
        <w:tc>
          <w:tcPr>
            <w:tcW w:w="1980" w:type="dxa"/>
          </w:tcPr>
          <w:p w14:paraId="0541A266" w14:textId="77777777" w:rsidR="00A80AC5" w:rsidRPr="00D84876" w:rsidRDefault="00A80AC5" w:rsidP="003866EB">
            <w:pPr>
              <w:spacing w:before="60" w:after="220"/>
              <w:rPr>
                <w:sz w:val="20"/>
                <w:lang w:val="fr-FR"/>
              </w:rPr>
            </w:pPr>
            <w:r w:rsidRPr="00D84876">
              <w:rPr>
                <w:sz w:val="20"/>
                <w:lang w:val="fr-FR"/>
              </w:rPr>
              <w:t>Hors taxes généralement du prix de revente.</w:t>
            </w:r>
          </w:p>
        </w:tc>
        <w:tc>
          <w:tcPr>
            <w:tcW w:w="3685" w:type="dxa"/>
          </w:tcPr>
          <w:p w14:paraId="41FFD242" w14:textId="77777777" w:rsidR="00A80AC5" w:rsidRPr="00D84876" w:rsidRDefault="00A80AC5" w:rsidP="003866EB">
            <w:pPr>
              <w:spacing w:before="60" w:after="220"/>
              <w:rPr>
                <w:sz w:val="20"/>
                <w:lang w:val="fr-FR"/>
              </w:rPr>
            </w:pPr>
            <w:r w:rsidRPr="00D84876">
              <w:rPr>
                <w:sz w:val="20"/>
                <w:lang w:val="fr-FR"/>
              </w:rPr>
              <w:t>Les prix de vente visés aux articles 3 et 4 s’entendent hors taxe</w:t>
            </w:r>
            <w:r w:rsidRPr="00D84876">
              <w:rPr>
                <w:sz w:val="20"/>
                <w:vertAlign w:val="superscript"/>
                <w:lang w:val="fr-FR"/>
              </w:rPr>
              <w:footnoteReference w:id="71"/>
            </w:r>
            <w:r w:rsidRPr="00D84876">
              <w:rPr>
                <w:sz w:val="20"/>
                <w:lang w:val="fr-FR"/>
              </w:rPr>
              <w:t>.</w:t>
            </w:r>
          </w:p>
        </w:tc>
        <w:tc>
          <w:tcPr>
            <w:tcW w:w="3828" w:type="dxa"/>
          </w:tcPr>
          <w:p w14:paraId="0E321874" w14:textId="77777777" w:rsidR="00A80AC5" w:rsidRPr="00D84876" w:rsidRDefault="00A80AC5" w:rsidP="003866EB">
            <w:pPr>
              <w:numPr>
                <w:ilvl w:val="0"/>
                <w:numId w:val="29"/>
              </w:numPr>
              <w:spacing w:before="60" w:after="120"/>
              <w:rPr>
                <w:sz w:val="20"/>
                <w:lang w:val="fr-FR"/>
              </w:rPr>
            </w:pPr>
            <w:proofErr w:type="gramStart"/>
            <w:r w:rsidRPr="00D84876">
              <w:rPr>
                <w:sz w:val="20"/>
                <w:lang w:val="fr-FR"/>
              </w:rPr>
              <w:t>Hors</w:t>
            </w:r>
            <w:proofErr w:type="gramEnd"/>
            <w:r w:rsidRPr="00D84876">
              <w:rPr>
                <w:sz w:val="20"/>
                <w:lang w:val="fr-FR"/>
              </w:rPr>
              <w:t xml:space="preserve"> toutes taxes à payer sur la vente, y compris la TVA (la plus courante).</w:t>
            </w:r>
          </w:p>
          <w:p w14:paraId="32E0D1E3" w14:textId="77777777" w:rsidR="00A80AC5" w:rsidRPr="00D84876" w:rsidRDefault="00A80AC5" w:rsidP="003866EB">
            <w:pPr>
              <w:numPr>
                <w:ilvl w:val="0"/>
                <w:numId w:val="29"/>
              </w:numPr>
              <w:spacing w:before="60" w:after="220"/>
              <w:rPr>
                <w:sz w:val="20"/>
                <w:lang w:val="fr-FR"/>
              </w:rPr>
            </w:pPr>
            <w:r w:rsidRPr="00D84876">
              <w:rPr>
                <w:sz w:val="20"/>
                <w:lang w:val="fr-FR"/>
              </w:rPr>
              <w:t>Réduit le montant de droit de suite des artistes dû à l’auteur.</w:t>
            </w:r>
          </w:p>
        </w:tc>
      </w:tr>
      <w:tr w:rsidR="00A80AC5" w:rsidRPr="004D5436" w14:paraId="7424E5E2" w14:textId="77777777" w:rsidTr="003866EB">
        <w:tc>
          <w:tcPr>
            <w:tcW w:w="1980" w:type="dxa"/>
          </w:tcPr>
          <w:p w14:paraId="4CB337B2" w14:textId="77777777" w:rsidR="00A80AC5" w:rsidRPr="00D84876" w:rsidRDefault="00A80AC5" w:rsidP="003866EB">
            <w:pPr>
              <w:spacing w:before="60" w:after="220"/>
              <w:rPr>
                <w:sz w:val="20"/>
                <w:lang w:val="fr-FR"/>
              </w:rPr>
            </w:pPr>
            <w:r w:rsidRPr="00D84876">
              <w:rPr>
                <w:sz w:val="20"/>
                <w:lang w:val="fr-FR"/>
              </w:rPr>
              <w:t>Taxes comprises, mais hors frais d’acquisition.</w:t>
            </w:r>
          </w:p>
        </w:tc>
        <w:tc>
          <w:tcPr>
            <w:tcW w:w="3685" w:type="dxa"/>
          </w:tcPr>
          <w:p w14:paraId="126C8B66" w14:textId="77777777" w:rsidR="00A80AC5" w:rsidRPr="00D84876" w:rsidRDefault="00A80AC5" w:rsidP="003866EB">
            <w:pPr>
              <w:spacing w:before="60" w:after="220"/>
              <w:rPr>
                <w:iCs/>
                <w:sz w:val="20"/>
                <w:lang w:val="fr-FR"/>
              </w:rPr>
            </w:pPr>
            <w:r w:rsidRPr="00D84876">
              <w:rPr>
                <w:iCs/>
                <w:sz w:val="20"/>
                <w:lang w:val="fr-FR"/>
              </w:rPr>
              <w:t>Le prix de vente lors de la revente commerciale d’une œuvre d’art désigne le montant payé pour l’œuvre d’art par l’acheteur lors de la revente commerciale, y compris la taxe sur les produits et services, mais n’inclut pas les primes d’achat ou autres taxes payables sur la vente</w:t>
            </w:r>
            <w:r w:rsidRPr="00D84876">
              <w:rPr>
                <w:iCs/>
                <w:sz w:val="20"/>
                <w:vertAlign w:val="superscript"/>
                <w:lang w:val="fr-FR"/>
              </w:rPr>
              <w:footnoteReference w:id="72"/>
            </w:r>
            <w:r w:rsidRPr="00D84876">
              <w:rPr>
                <w:iCs/>
                <w:sz w:val="20"/>
                <w:lang w:val="fr-FR"/>
              </w:rPr>
              <w:t>.</w:t>
            </w:r>
          </w:p>
        </w:tc>
        <w:tc>
          <w:tcPr>
            <w:tcW w:w="3828" w:type="dxa"/>
          </w:tcPr>
          <w:p w14:paraId="692C7276" w14:textId="77777777" w:rsidR="00A80AC5" w:rsidRPr="00D84876" w:rsidRDefault="00A80AC5" w:rsidP="003866EB">
            <w:pPr>
              <w:numPr>
                <w:ilvl w:val="0"/>
                <w:numId w:val="30"/>
              </w:numPr>
              <w:spacing w:before="60" w:after="120"/>
              <w:rPr>
                <w:sz w:val="20"/>
                <w:lang w:val="fr-FR"/>
              </w:rPr>
            </w:pPr>
            <w:r w:rsidRPr="00D84876">
              <w:rPr>
                <w:sz w:val="20"/>
                <w:lang w:val="fr-FR"/>
              </w:rPr>
              <w:t>Inclut la taxe sur les produits et services (dans le calcul, ce qui devrait augmenter le prix de vente sur lequel le droit de suite des artistes est calculé.</w:t>
            </w:r>
          </w:p>
          <w:p w14:paraId="693011B9" w14:textId="77777777" w:rsidR="00A80AC5" w:rsidRPr="00D84876" w:rsidRDefault="00A80AC5" w:rsidP="003866EB">
            <w:pPr>
              <w:numPr>
                <w:ilvl w:val="0"/>
                <w:numId w:val="30"/>
              </w:numPr>
              <w:spacing w:before="60" w:after="220"/>
              <w:rPr>
                <w:sz w:val="20"/>
                <w:lang w:val="fr-FR"/>
              </w:rPr>
            </w:pPr>
            <w:r w:rsidRPr="00D84876">
              <w:rPr>
                <w:sz w:val="20"/>
                <w:lang w:val="fr-FR"/>
              </w:rPr>
              <w:t>Exclut les autres taxes et la prime de l’acheteur.</w:t>
            </w:r>
          </w:p>
        </w:tc>
      </w:tr>
      <w:tr w:rsidR="00A80AC5" w:rsidRPr="004D5436" w14:paraId="4998DC12" w14:textId="77777777" w:rsidTr="003866EB">
        <w:tc>
          <w:tcPr>
            <w:tcW w:w="1980" w:type="dxa"/>
          </w:tcPr>
          <w:p w14:paraId="4693FCB9" w14:textId="77777777" w:rsidR="00A80AC5" w:rsidRPr="00D84876" w:rsidRDefault="00A80AC5" w:rsidP="003866EB">
            <w:pPr>
              <w:spacing w:before="60" w:after="220"/>
              <w:rPr>
                <w:sz w:val="20"/>
                <w:lang w:val="fr-FR"/>
              </w:rPr>
            </w:pPr>
            <w:r w:rsidRPr="00D84876">
              <w:rPr>
                <w:sz w:val="20"/>
                <w:lang w:val="fr-FR"/>
              </w:rPr>
              <w:t xml:space="preserve">Ventes aux enchères publiques et autres ventes hors taxes </w:t>
            </w:r>
          </w:p>
        </w:tc>
        <w:tc>
          <w:tcPr>
            <w:tcW w:w="3685" w:type="dxa"/>
          </w:tcPr>
          <w:p w14:paraId="36531528" w14:textId="77777777" w:rsidR="00A80AC5" w:rsidRPr="00D84876" w:rsidRDefault="00A80AC5" w:rsidP="003866EB">
            <w:pPr>
              <w:spacing w:before="60" w:after="220"/>
              <w:rPr>
                <w:iCs/>
                <w:sz w:val="20"/>
                <w:lang w:val="fr-FR"/>
              </w:rPr>
            </w:pPr>
            <w:r w:rsidRPr="00D84876">
              <w:rPr>
                <w:iCs/>
                <w:sz w:val="20"/>
                <w:lang w:val="fr-FR"/>
              </w:rPr>
              <w:t>Le prix de vente de chaque œuvre pris en considération pour la perception du droit de suite est, hors taxes, le prix d’adjudication en cas de vente aux enchères publiques et, pour les autres ventes, le prix de cession perçu par le vendeur</w:t>
            </w:r>
            <w:r w:rsidRPr="00D84876">
              <w:rPr>
                <w:rStyle w:val="FootnoteReference"/>
                <w:iCs/>
                <w:sz w:val="20"/>
                <w:lang w:val="fr-FR"/>
              </w:rPr>
              <w:footnoteReference w:id="73"/>
            </w:r>
            <w:r w:rsidRPr="00D84876">
              <w:rPr>
                <w:iCs/>
                <w:sz w:val="20"/>
                <w:lang w:val="fr-FR"/>
              </w:rPr>
              <w:t>.</w:t>
            </w:r>
          </w:p>
        </w:tc>
        <w:tc>
          <w:tcPr>
            <w:tcW w:w="3828" w:type="dxa"/>
          </w:tcPr>
          <w:p w14:paraId="2C5F721B" w14:textId="77777777" w:rsidR="00A80AC5" w:rsidRPr="00D84876" w:rsidRDefault="00A80AC5" w:rsidP="003866EB">
            <w:pPr>
              <w:numPr>
                <w:ilvl w:val="0"/>
                <w:numId w:val="30"/>
              </w:numPr>
              <w:spacing w:before="60" w:after="120"/>
              <w:rPr>
                <w:sz w:val="20"/>
                <w:lang w:val="fr-FR"/>
              </w:rPr>
            </w:pPr>
            <w:r w:rsidRPr="00D84876">
              <w:rPr>
                <w:sz w:val="20"/>
                <w:lang w:val="fr-FR"/>
              </w:rPr>
              <w:t>Fait référence aux ventes dans des ventes aux enchères publiques (le prix d’adjudication) et “autres ventes”.</w:t>
            </w:r>
          </w:p>
          <w:p w14:paraId="64A92FBA" w14:textId="77777777" w:rsidR="00A80AC5" w:rsidRPr="00D84876" w:rsidRDefault="00A80AC5" w:rsidP="003866EB">
            <w:pPr>
              <w:numPr>
                <w:ilvl w:val="0"/>
                <w:numId w:val="30"/>
              </w:numPr>
              <w:spacing w:before="60" w:after="220"/>
              <w:rPr>
                <w:sz w:val="20"/>
                <w:lang w:val="fr-FR"/>
              </w:rPr>
            </w:pPr>
            <w:r w:rsidRPr="00D84876">
              <w:rPr>
                <w:sz w:val="20"/>
                <w:lang w:val="fr-FR"/>
              </w:rPr>
              <w:t>Hors taxes</w:t>
            </w:r>
          </w:p>
        </w:tc>
      </w:tr>
    </w:tbl>
    <w:p w14:paraId="083F6ECA" w14:textId="77777777" w:rsidR="00A80AC5" w:rsidRPr="004D5436" w:rsidRDefault="00A80AC5" w:rsidP="002D7EE2">
      <w:pPr>
        <w:pStyle w:val="Heading1"/>
      </w:pPr>
      <w:r w:rsidRPr="004D5436">
        <w:t>Taux à appliquer</w:t>
      </w:r>
    </w:p>
    <w:p w14:paraId="048A0378" w14:textId="77777777" w:rsidR="00A80AC5" w:rsidRPr="004D5436" w:rsidRDefault="00A80AC5" w:rsidP="002D7EE2">
      <w:pPr>
        <w:pStyle w:val="ONUMFS"/>
        <w:rPr>
          <w:lang w:val="fr-FR"/>
        </w:rPr>
      </w:pPr>
      <w:r w:rsidRPr="004D5436">
        <w:rPr>
          <w:lang w:val="fr-FR"/>
        </w:rPr>
        <w:t>L’article 14</w:t>
      </w:r>
      <w:r w:rsidRPr="004D5436">
        <w:rPr>
          <w:i/>
          <w:lang w:val="fr-FR"/>
        </w:rPr>
        <w:t>ter</w:t>
      </w:r>
      <w:r w:rsidRPr="004D5436">
        <w:rPr>
          <w:lang w:val="fr-FR"/>
        </w:rPr>
        <w:t xml:space="preserve"> de la Convention de Berne ne fournit ici aucune indication, si ce n’est la stipulation générale selon laquelle l’auteur a “le droit inaliénable à un intérêt dans toute vente de l’œuvre postérieure à la première cession par l’auteur de l’œuvre”.  Il appartient donc à chaque régime national de déterminer comment cet “intérêt” doit être quantifié, mais on peut supposer qu’il s’agit d’une part du produit de la revente.  De nombreuses lois nationales qualifient cet “intérêt” de “redevance” et c’est le terme utilisé dans le présent instrument.</w:t>
      </w:r>
    </w:p>
    <w:p w14:paraId="3DB3BC08" w14:textId="1ED22282" w:rsidR="00A80AC5" w:rsidRPr="004D5436" w:rsidRDefault="00A80AC5" w:rsidP="002D7EE2">
      <w:pPr>
        <w:pStyle w:val="ONUMFS"/>
        <w:rPr>
          <w:lang w:val="fr-FR"/>
        </w:rPr>
      </w:pPr>
      <w:r w:rsidRPr="004D5436">
        <w:rPr>
          <w:lang w:val="fr-FR"/>
        </w:rPr>
        <w:t>L’on trouve diverses approches pour la fixation du montant de cette redevance dans les législations européennes et nationales.  Celles</w:t>
      </w:r>
      <w:r w:rsidR="00FA1A0F">
        <w:rPr>
          <w:lang w:val="fr-FR"/>
        </w:rPr>
        <w:noBreakHyphen/>
      </w:r>
      <w:r w:rsidRPr="004D5436">
        <w:rPr>
          <w:lang w:val="fr-FR"/>
        </w:rPr>
        <w:t>ci sont généralement basées sur un pourcentage du prix de revente (entre 2% et 10%)</w:t>
      </w:r>
      <w:r w:rsidRPr="004D5436">
        <w:rPr>
          <w:rStyle w:val="FootnoteReference"/>
          <w:lang w:val="fr-FR"/>
        </w:rPr>
        <w:footnoteReference w:id="74"/>
      </w:r>
      <w:r w:rsidRPr="004D5436">
        <w:rPr>
          <w:lang w:val="fr-FR"/>
        </w:rPr>
        <w:t>, et il peut y avoir un niveau minimal ou seuil fixé avant que le droit de suite des artistes ne devienne exigible (voir le tableau 6 ci</w:t>
      </w:r>
      <w:r w:rsidR="00FA1A0F">
        <w:rPr>
          <w:lang w:val="fr-FR"/>
        </w:rPr>
        <w:noBreakHyphen/>
      </w:r>
      <w:r w:rsidRPr="004D5436">
        <w:rPr>
          <w:lang w:val="fr-FR"/>
        </w:rPr>
        <w:t xml:space="preserve">dessus).  Dans certains cas, comme dans l’UE, un niveau maximal est également imposé quant au montant absolu qui peut être facturé.  Alors qu’une telle limitation est autorisée en vertu de </w:t>
      </w:r>
      <w:r w:rsidRPr="004D5436">
        <w:rPr>
          <w:lang w:val="fr-FR"/>
        </w:rPr>
        <w:lastRenderedPageBreak/>
        <w:t>l’article 14</w:t>
      </w:r>
      <w:r w:rsidRPr="004D5436">
        <w:rPr>
          <w:i/>
          <w:lang w:val="fr-FR"/>
        </w:rPr>
        <w:t xml:space="preserve">ter </w:t>
      </w:r>
      <w:r w:rsidRPr="004D5436">
        <w:rPr>
          <w:lang w:val="fr-FR"/>
        </w:rPr>
        <w:t xml:space="preserve">qui se réfère simplement à “un intérêt” dans toute vente, laissant aux </w:t>
      </w:r>
      <w:r w:rsidRPr="00D84876">
        <w:rPr>
          <w:lang w:val="fr-FR"/>
        </w:rPr>
        <w:t>législateurs nationaux le soin de déterminer eux</w:t>
      </w:r>
      <w:r w:rsidR="00FA1A0F">
        <w:rPr>
          <w:lang w:val="fr-FR"/>
        </w:rPr>
        <w:noBreakHyphen/>
      </w:r>
      <w:r w:rsidRPr="00D84876">
        <w:rPr>
          <w:lang w:val="fr-FR"/>
        </w:rPr>
        <w:t>mêmes.  En dehors de l’UE, ces législateurs</w:t>
      </w:r>
      <w:r w:rsidRPr="004D5436">
        <w:rPr>
          <w:lang w:val="fr-FR"/>
        </w:rPr>
        <w:t xml:space="preserve"> peuvent déterminer qu’il n’y a pas de raison politique convaincante d’imposer un plafond (cela ne semble pas avoir été inclus dans d’autres régimes de droit de suite des artistes nationaux à ce jour)</w:t>
      </w:r>
      <w:r w:rsidRPr="004D5436">
        <w:rPr>
          <w:vertAlign w:val="superscript"/>
          <w:lang w:val="fr-FR"/>
        </w:rPr>
        <w:footnoteReference w:id="75"/>
      </w:r>
      <w:r w:rsidRPr="004D5436">
        <w:rPr>
          <w:lang w:val="fr-FR"/>
        </w:rPr>
        <w:t>.</w:t>
      </w:r>
    </w:p>
    <w:p w14:paraId="3341438B" w14:textId="7CDD9084" w:rsidR="00A80AC5" w:rsidRPr="004D5436" w:rsidRDefault="00A80AC5" w:rsidP="002D7EE2">
      <w:pPr>
        <w:pStyle w:val="ONUMFS"/>
        <w:keepLines/>
        <w:rPr>
          <w:lang w:val="fr-FR"/>
        </w:rPr>
      </w:pPr>
      <w:r w:rsidRPr="004D5436">
        <w:rPr>
          <w:lang w:val="fr-FR"/>
        </w:rPr>
        <w:t xml:space="preserve">Laissant de côté la question des montants maximums de droit de suite des artistes qui peuvent être facturés, une échelle mobile de pourcentages en fonction du montant de la revente peut également être adoptée.  Là encore, il s’agit d’une caractéristique du régime de l’UE, mais qui peut ajouter à la complexité de l’administration du régime, et ne se retrouve généralement pas dans d’autres régimes non communautaires qui appliquent simplement un pourcentage spécifié du prix de revente.  La </w:t>
      </w:r>
      <w:r w:rsidR="00041DF8">
        <w:rPr>
          <w:lang w:val="fr-FR"/>
        </w:rPr>
        <w:t>L</w:t>
      </w:r>
      <w:r w:rsidRPr="004D5436">
        <w:rPr>
          <w:lang w:val="fr-FR"/>
        </w:rPr>
        <w:t>oi type de Tunis n’indique pas de pourcentage préférentiel, mais une note à l’article 4</w:t>
      </w:r>
      <w:r w:rsidRPr="004D5436">
        <w:rPr>
          <w:i/>
          <w:lang w:val="fr-FR"/>
        </w:rPr>
        <w:t>bis</w:t>
      </w:r>
      <w:r w:rsidRPr="004D5436">
        <w:rPr>
          <w:lang w:val="fr-FR"/>
        </w:rPr>
        <w:t xml:space="preserve"> indique qu’à l’époque de la </w:t>
      </w:r>
      <w:r w:rsidR="00041DF8">
        <w:rPr>
          <w:lang w:val="fr-FR"/>
        </w:rPr>
        <w:t>L</w:t>
      </w:r>
      <w:r w:rsidRPr="004D5436">
        <w:rPr>
          <w:lang w:val="fr-FR"/>
        </w:rPr>
        <w:t>oi type (1976), la moyenne générale appliquée dans les quelques pays qui avaient mis en place des régimes de droit de suite des artistes était de 5% du prix de revente</w:t>
      </w:r>
      <w:r w:rsidRPr="004D5436">
        <w:rPr>
          <w:vertAlign w:val="superscript"/>
          <w:lang w:val="fr-FR"/>
        </w:rPr>
        <w:footnoteReference w:id="76"/>
      </w:r>
      <w:r w:rsidRPr="004D5436">
        <w:rPr>
          <w:lang w:val="fr-FR"/>
        </w:rPr>
        <w:t>.</w:t>
      </w:r>
    </w:p>
    <w:p w14:paraId="69C8EDA8" w14:textId="29251760" w:rsidR="00A80AC5" w:rsidRPr="004D5436" w:rsidRDefault="00A80AC5" w:rsidP="002D7EE2">
      <w:pPr>
        <w:pStyle w:val="ONUMFS"/>
        <w:rPr>
          <w:lang w:val="fr-FR"/>
        </w:rPr>
      </w:pPr>
      <w:r w:rsidRPr="004D5436">
        <w:rPr>
          <w:lang w:val="fr-FR"/>
        </w:rPr>
        <w:t>Quelques pays basent leur redevance sur un pourcentage de la plus</w:t>
      </w:r>
      <w:r w:rsidR="00FA1A0F">
        <w:rPr>
          <w:lang w:val="fr-FR"/>
        </w:rPr>
        <w:noBreakHyphen/>
      </w:r>
      <w:r w:rsidRPr="004D5436">
        <w:rPr>
          <w:lang w:val="fr-FR"/>
        </w:rPr>
        <w:t>value à la revente, par exemple le Brésil, où il est fixé à 5% de la plus</w:t>
      </w:r>
      <w:r w:rsidR="00FA1A0F">
        <w:rPr>
          <w:lang w:val="fr-FR"/>
        </w:rPr>
        <w:noBreakHyphen/>
      </w:r>
      <w:r w:rsidRPr="004D5436">
        <w:rPr>
          <w:lang w:val="fr-FR"/>
        </w:rPr>
        <w:t>value</w:t>
      </w:r>
      <w:r w:rsidRPr="004D5436">
        <w:rPr>
          <w:vertAlign w:val="superscript"/>
          <w:lang w:val="fr-FR"/>
        </w:rPr>
        <w:footnoteReference w:id="77"/>
      </w:r>
      <w:r w:rsidRPr="004D5436">
        <w:rPr>
          <w:lang w:val="fr-FR"/>
        </w:rPr>
        <w:t>, mais c’est maintenant relativement rare.  Bien que l’article 14</w:t>
      </w:r>
      <w:r w:rsidRPr="004D5436">
        <w:rPr>
          <w:i/>
          <w:lang w:val="fr-FR"/>
        </w:rPr>
        <w:t xml:space="preserve">ter </w:t>
      </w:r>
      <w:r w:rsidRPr="004D5436">
        <w:rPr>
          <w:lang w:val="fr-FR"/>
        </w:rPr>
        <w:t>ne traite pas directement cette question (voir alinéa 14.d) ci</w:t>
      </w:r>
      <w:r w:rsidR="00FA1A0F">
        <w:rPr>
          <w:lang w:val="fr-FR"/>
        </w:rPr>
        <w:noBreakHyphen/>
      </w:r>
      <w:r w:rsidRPr="004D5436">
        <w:rPr>
          <w:lang w:val="fr-FR"/>
        </w:rPr>
        <w:t>dessus), nous estimons qu’il ne s’agit pas d’une approche souhaitable à adopter dans tout nouveau régime national de droit de suite des artistes à l’étude.  Indépendamment de tout autre élément, un tel système peut être difficile à mettre en œuvre dans la pratique et dépendra de la divulgation complète des détails de chaque revente pour déterminer le bénéfice réel réalisé sur la revente.  En outre, par principe, il est incompatible avec la notion de droit de suite des artistes en tant que redevance sur toutes les reventes commerciales, et donc avec l’approche générale suggérée ici de placer le droit de suite des artistes sur la même base que les autres droits patrimoniaux exclusifs de l’auteur reconnus par la Convention de Berne.  En effet, il fait de l’auteur un coparticipant à “l’investissement” réalisé par l’acheteur de l’œuvre originale ou du manuscrit, le paiement ne devenant exigible que lorsqu’un profit est réalisé à la revente.</w:t>
      </w:r>
    </w:p>
    <w:p w14:paraId="5C522EC8" w14:textId="556B978B" w:rsidR="00A80AC5" w:rsidRPr="004D5436" w:rsidRDefault="00A80AC5" w:rsidP="002D7EE2">
      <w:pPr>
        <w:pStyle w:val="ONUMFS"/>
        <w:rPr>
          <w:lang w:val="fr-FR"/>
        </w:rPr>
      </w:pPr>
      <w:r w:rsidRPr="004D5436">
        <w:rPr>
          <w:lang w:val="fr-FR"/>
        </w:rPr>
        <w:t>Des exemples de dispositions reflétant ces différentes approches, y compris le pourcentage de participation aux bénéfices de la revente, sont présentés dans le tableau ci</w:t>
      </w:r>
      <w:r w:rsidR="00FA1A0F">
        <w:rPr>
          <w:lang w:val="fr-FR"/>
        </w:rPr>
        <w:noBreakHyphen/>
      </w:r>
      <w:r w:rsidRPr="004D5436">
        <w:rPr>
          <w:lang w:val="fr-FR"/>
        </w:rPr>
        <w:t>dessous.</w:t>
      </w:r>
    </w:p>
    <w:p w14:paraId="57D985F2" w14:textId="77777777" w:rsidR="00A80AC5" w:rsidRPr="004D5436" w:rsidRDefault="00A80AC5" w:rsidP="002D7EE2">
      <w:pPr>
        <w:pStyle w:val="Heading2"/>
      </w:pPr>
      <w:r w:rsidRPr="004D5436">
        <w:lastRenderedPageBreak/>
        <w:t>Tableau 8</w:t>
      </w:r>
    </w:p>
    <w:tbl>
      <w:tblPr>
        <w:tblStyle w:val="TableGrid"/>
        <w:tblW w:w="5000" w:type="pct"/>
        <w:jc w:val="center"/>
        <w:tblLook w:val="04A0" w:firstRow="1" w:lastRow="0" w:firstColumn="1" w:lastColumn="0" w:noHBand="0" w:noVBand="1"/>
      </w:tblPr>
      <w:tblGrid>
        <w:gridCol w:w="1749"/>
        <w:gridCol w:w="2923"/>
        <w:gridCol w:w="4673"/>
      </w:tblGrid>
      <w:tr w:rsidR="00A80AC5" w:rsidRPr="004D5436" w14:paraId="34DB3CD6" w14:textId="77777777" w:rsidTr="00545780">
        <w:trPr>
          <w:trHeight w:val="53"/>
          <w:jc w:val="center"/>
        </w:trPr>
        <w:tc>
          <w:tcPr>
            <w:tcW w:w="936" w:type="pct"/>
          </w:tcPr>
          <w:p w14:paraId="4EF48634" w14:textId="77777777" w:rsidR="00A80AC5" w:rsidRPr="004D5436" w:rsidRDefault="00A80AC5" w:rsidP="003866EB">
            <w:pPr>
              <w:keepNext/>
              <w:spacing w:after="220"/>
              <w:rPr>
                <w:bCs/>
                <w:lang w:val="fr-FR"/>
              </w:rPr>
            </w:pPr>
            <w:r w:rsidRPr="004D5436">
              <w:rPr>
                <w:b/>
                <w:lang w:val="fr-FR"/>
              </w:rPr>
              <w:t>Type de disposition</w:t>
            </w:r>
          </w:p>
        </w:tc>
        <w:tc>
          <w:tcPr>
            <w:tcW w:w="1564" w:type="pct"/>
          </w:tcPr>
          <w:p w14:paraId="15CD6B4F" w14:textId="77777777" w:rsidR="00A80AC5" w:rsidRPr="004D5436" w:rsidRDefault="00A80AC5" w:rsidP="003866EB">
            <w:pPr>
              <w:keepNext/>
              <w:spacing w:after="220"/>
              <w:rPr>
                <w:iCs/>
                <w:lang w:val="fr-FR"/>
              </w:rPr>
            </w:pPr>
            <w:r w:rsidRPr="004D5436">
              <w:rPr>
                <w:b/>
                <w:bCs/>
                <w:lang w:val="fr-FR"/>
              </w:rPr>
              <w:t>Texte suggéré</w:t>
            </w:r>
          </w:p>
        </w:tc>
        <w:tc>
          <w:tcPr>
            <w:tcW w:w="2500" w:type="pct"/>
          </w:tcPr>
          <w:p w14:paraId="049A7731" w14:textId="77777777" w:rsidR="00A80AC5" w:rsidRPr="004D5436" w:rsidRDefault="00A80AC5" w:rsidP="003866EB">
            <w:pPr>
              <w:keepNext/>
              <w:spacing w:after="220"/>
              <w:rPr>
                <w:bCs/>
                <w:lang w:val="fr-FR"/>
              </w:rPr>
            </w:pPr>
            <w:r w:rsidRPr="004D5436">
              <w:rPr>
                <w:b/>
                <w:bCs/>
                <w:lang w:val="fr-FR"/>
              </w:rPr>
              <w:t>Observations</w:t>
            </w:r>
          </w:p>
        </w:tc>
      </w:tr>
      <w:tr w:rsidR="00A80AC5" w:rsidRPr="004D5436" w14:paraId="6B65BDFE" w14:textId="77777777" w:rsidTr="003866EB">
        <w:trPr>
          <w:trHeight w:val="3783"/>
          <w:jc w:val="center"/>
        </w:trPr>
        <w:tc>
          <w:tcPr>
            <w:tcW w:w="936" w:type="pct"/>
          </w:tcPr>
          <w:p w14:paraId="59B9B3C2" w14:textId="77777777" w:rsidR="00A80AC5" w:rsidRPr="00D84876" w:rsidRDefault="00A80AC5" w:rsidP="003866EB">
            <w:pPr>
              <w:spacing w:before="60" w:after="220"/>
              <w:rPr>
                <w:bCs/>
                <w:sz w:val="20"/>
                <w:lang w:val="fr-FR"/>
              </w:rPr>
            </w:pPr>
            <w:r w:rsidRPr="00D84876">
              <w:rPr>
                <w:bCs/>
                <w:sz w:val="20"/>
                <w:lang w:val="fr-FR"/>
              </w:rPr>
              <w:t>Pourcentage simple du prix de revente (Australie, Sénégal)</w:t>
            </w:r>
          </w:p>
        </w:tc>
        <w:tc>
          <w:tcPr>
            <w:tcW w:w="1564" w:type="pct"/>
          </w:tcPr>
          <w:p w14:paraId="44320765" w14:textId="77777777" w:rsidR="00A80AC5" w:rsidRPr="00D84876" w:rsidRDefault="00A80AC5" w:rsidP="003866EB">
            <w:pPr>
              <w:spacing w:before="60" w:after="220"/>
              <w:rPr>
                <w:iCs/>
                <w:sz w:val="20"/>
                <w:lang w:val="fr-FR"/>
              </w:rPr>
            </w:pPr>
            <w:r w:rsidRPr="00D84876">
              <w:rPr>
                <w:iCs/>
                <w:sz w:val="20"/>
                <w:lang w:val="fr-FR"/>
              </w:rPr>
              <w:t>La redevance au titre du droit de suite des artistes est fixée à 5% du prix de vente lors de la revente commerciale d’une œuvre d’art</w:t>
            </w:r>
            <w:r w:rsidRPr="00D84876">
              <w:rPr>
                <w:iCs/>
                <w:sz w:val="20"/>
                <w:vertAlign w:val="superscript"/>
                <w:lang w:val="fr-FR"/>
              </w:rPr>
              <w:footnoteReference w:id="78"/>
            </w:r>
            <w:r w:rsidRPr="00D84876">
              <w:rPr>
                <w:iCs/>
                <w:sz w:val="20"/>
                <w:lang w:val="fr-FR"/>
              </w:rPr>
              <w:t>.</w:t>
            </w:r>
          </w:p>
        </w:tc>
        <w:tc>
          <w:tcPr>
            <w:tcW w:w="2500" w:type="pct"/>
          </w:tcPr>
          <w:p w14:paraId="4E529970" w14:textId="77777777" w:rsidR="00A80AC5" w:rsidRPr="00D84876" w:rsidRDefault="00A80AC5" w:rsidP="003866EB">
            <w:pPr>
              <w:numPr>
                <w:ilvl w:val="0"/>
                <w:numId w:val="31"/>
              </w:numPr>
              <w:spacing w:before="60" w:after="60"/>
              <w:rPr>
                <w:bCs/>
                <w:sz w:val="20"/>
                <w:lang w:val="fr-FR"/>
              </w:rPr>
            </w:pPr>
            <w:r w:rsidRPr="00D84876">
              <w:rPr>
                <w:bCs/>
                <w:sz w:val="20"/>
                <w:lang w:val="fr-FR"/>
              </w:rPr>
              <w:t xml:space="preserve">Cela semble généralement conforme aux taux adoptés dans les juridictions </w:t>
            </w:r>
            <w:proofErr w:type="gramStart"/>
            <w:r w:rsidRPr="00D84876">
              <w:rPr>
                <w:bCs/>
                <w:sz w:val="20"/>
                <w:lang w:val="fr-FR"/>
              </w:rPr>
              <w:t>non membres</w:t>
            </w:r>
            <w:proofErr w:type="gramEnd"/>
            <w:r w:rsidRPr="00D84876">
              <w:rPr>
                <w:bCs/>
                <w:sz w:val="20"/>
                <w:lang w:val="fr-FR"/>
              </w:rPr>
              <w:t xml:space="preserve"> de l’UE.</w:t>
            </w:r>
          </w:p>
          <w:p w14:paraId="51D53F2B" w14:textId="77777777" w:rsidR="00A80AC5" w:rsidRPr="00D84876" w:rsidRDefault="00A80AC5" w:rsidP="003866EB">
            <w:pPr>
              <w:numPr>
                <w:ilvl w:val="0"/>
                <w:numId w:val="31"/>
              </w:numPr>
              <w:spacing w:after="60"/>
              <w:rPr>
                <w:sz w:val="20"/>
                <w:lang w:val="fr-FR"/>
              </w:rPr>
            </w:pPr>
            <w:r w:rsidRPr="00D84876">
              <w:rPr>
                <w:sz w:val="20"/>
                <w:lang w:val="fr-FR"/>
              </w:rPr>
              <w:t>Des pourcentages inférieurs, par exemple jusqu’à 2%, pourraient également être justifiés – il n’y a ici aucune restriction en vertu de la Convention de Berne ou de tout autre instrument international.</w:t>
            </w:r>
          </w:p>
          <w:p w14:paraId="7CE53A85" w14:textId="55FB6268" w:rsidR="00A80AC5" w:rsidRPr="00D84876" w:rsidRDefault="00A80AC5" w:rsidP="003866EB">
            <w:pPr>
              <w:numPr>
                <w:ilvl w:val="0"/>
                <w:numId w:val="31"/>
              </w:numPr>
              <w:spacing w:after="60"/>
              <w:rPr>
                <w:sz w:val="20"/>
                <w:lang w:val="fr-FR"/>
              </w:rPr>
            </w:pPr>
            <w:r w:rsidRPr="00D84876">
              <w:rPr>
                <w:sz w:val="20"/>
                <w:lang w:val="fr-FR"/>
              </w:rPr>
              <w:t>Il n’y a pas de limite supérieure fixée ici sur le prix de revente qui peut être soumis au droit de suite des artistes, c’est</w:t>
            </w:r>
            <w:r w:rsidR="00FA1A0F">
              <w:rPr>
                <w:sz w:val="20"/>
                <w:lang w:val="fr-FR"/>
              </w:rPr>
              <w:noBreakHyphen/>
            </w:r>
            <w:r w:rsidRPr="00D84876">
              <w:rPr>
                <w:sz w:val="20"/>
                <w:lang w:val="fr-FR"/>
              </w:rPr>
              <w:t>à</w:t>
            </w:r>
            <w:r w:rsidR="00FA1A0F">
              <w:rPr>
                <w:sz w:val="20"/>
                <w:lang w:val="fr-FR"/>
              </w:rPr>
              <w:noBreakHyphen/>
            </w:r>
            <w:r w:rsidRPr="00D84876">
              <w:rPr>
                <w:sz w:val="20"/>
                <w:lang w:val="fr-FR"/>
              </w:rPr>
              <w:t>dire qu’il est de 5% sur un tableau vendu 10 000 </w:t>
            </w:r>
            <w:r>
              <w:rPr>
                <w:sz w:val="20"/>
                <w:lang w:val="fr-FR"/>
              </w:rPr>
              <w:t>dollars</w:t>
            </w:r>
            <w:r w:rsidRPr="00D84876">
              <w:rPr>
                <w:sz w:val="20"/>
                <w:lang w:val="fr-FR"/>
              </w:rPr>
              <w:t xml:space="preserve">, </w:t>
            </w:r>
            <w:r>
              <w:rPr>
                <w:sz w:val="20"/>
                <w:lang w:val="fr-FR"/>
              </w:rPr>
              <w:t>un</w:t>
            </w:r>
            <w:r w:rsidRPr="00D84876">
              <w:rPr>
                <w:sz w:val="20"/>
                <w:lang w:val="fr-FR"/>
              </w:rPr>
              <w:t> </w:t>
            </w:r>
            <w:r>
              <w:rPr>
                <w:sz w:val="20"/>
                <w:lang w:val="fr-FR"/>
              </w:rPr>
              <w:t>million de dollars</w:t>
            </w:r>
            <w:r w:rsidRPr="00D84876">
              <w:rPr>
                <w:sz w:val="20"/>
                <w:lang w:val="fr-FR"/>
              </w:rPr>
              <w:t xml:space="preserve"> ou plus.</w:t>
            </w:r>
          </w:p>
          <w:p w14:paraId="010301B9" w14:textId="77777777" w:rsidR="00A80AC5" w:rsidRPr="00D84876" w:rsidRDefault="00A80AC5" w:rsidP="00545780">
            <w:pPr>
              <w:numPr>
                <w:ilvl w:val="0"/>
                <w:numId w:val="31"/>
              </w:numPr>
              <w:spacing w:after="220"/>
              <w:rPr>
                <w:sz w:val="20"/>
                <w:lang w:val="fr-FR"/>
              </w:rPr>
            </w:pPr>
            <w:r w:rsidRPr="00D84876">
              <w:rPr>
                <w:sz w:val="20"/>
                <w:lang w:val="fr-FR"/>
              </w:rPr>
              <w:t>Un pourcentage fixe est généralement plus facile à appliquer en pratique.</w:t>
            </w:r>
          </w:p>
        </w:tc>
      </w:tr>
      <w:tr w:rsidR="00A80AC5" w:rsidRPr="004D5436" w14:paraId="75585E80" w14:textId="77777777" w:rsidTr="00545780">
        <w:trPr>
          <w:trHeight w:val="20"/>
          <w:jc w:val="center"/>
        </w:trPr>
        <w:tc>
          <w:tcPr>
            <w:tcW w:w="936" w:type="pct"/>
          </w:tcPr>
          <w:p w14:paraId="3936A46C" w14:textId="77777777" w:rsidR="00A80AC5" w:rsidRPr="00D84876" w:rsidRDefault="00A80AC5" w:rsidP="003866EB">
            <w:pPr>
              <w:keepNext/>
              <w:spacing w:before="60" w:after="220"/>
              <w:rPr>
                <w:bCs/>
                <w:sz w:val="20"/>
                <w:lang w:val="fr-FR"/>
              </w:rPr>
            </w:pPr>
            <w:r w:rsidRPr="00D84876">
              <w:rPr>
                <w:bCs/>
                <w:sz w:val="20"/>
                <w:lang w:val="fr-FR"/>
              </w:rPr>
              <w:t>Échelle mobile (CE)</w:t>
            </w:r>
          </w:p>
        </w:tc>
        <w:tc>
          <w:tcPr>
            <w:tcW w:w="1564" w:type="pct"/>
          </w:tcPr>
          <w:p w14:paraId="004E9EE0" w14:textId="77777777" w:rsidR="00A80AC5" w:rsidRPr="00D84876" w:rsidRDefault="00A80AC5" w:rsidP="003866EB">
            <w:pPr>
              <w:keepNext/>
              <w:spacing w:before="60" w:after="120"/>
              <w:rPr>
                <w:iCs/>
                <w:sz w:val="20"/>
                <w:lang w:val="fr-FR"/>
              </w:rPr>
            </w:pPr>
            <w:r w:rsidRPr="00D84876">
              <w:rPr>
                <w:iCs/>
                <w:sz w:val="20"/>
                <w:lang w:val="fr-FR"/>
              </w:rPr>
              <w:t>Le droit prévu à l’article 1</w:t>
            </w:r>
            <w:r w:rsidRPr="00D84876">
              <w:rPr>
                <w:iCs/>
                <w:sz w:val="20"/>
                <w:vertAlign w:val="superscript"/>
                <w:lang w:val="fr-FR"/>
              </w:rPr>
              <w:t>er</w:t>
            </w:r>
            <w:r w:rsidRPr="00D84876">
              <w:rPr>
                <w:iCs/>
                <w:sz w:val="20"/>
                <w:lang w:val="fr-FR"/>
              </w:rPr>
              <w:t xml:space="preserve"> est fixé comme suit :</w:t>
            </w:r>
          </w:p>
          <w:p w14:paraId="6331B078" w14:textId="77777777" w:rsidR="00A80AC5" w:rsidRPr="00D84876" w:rsidRDefault="00A80AC5" w:rsidP="003866EB">
            <w:pPr>
              <w:keepNext/>
              <w:spacing w:after="120"/>
              <w:rPr>
                <w:iCs/>
                <w:sz w:val="20"/>
                <w:lang w:val="fr-FR"/>
              </w:rPr>
            </w:pPr>
            <w:r w:rsidRPr="00D84876">
              <w:rPr>
                <w:iCs/>
                <w:sz w:val="20"/>
                <w:lang w:val="fr-FR"/>
              </w:rPr>
              <w:t xml:space="preserve">a) 4% pour la première tranche de 50 000 euros du prix de </w:t>
            </w:r>
            <w:proofErr w:type="gramStart"/>
            <w:r w:rsidRPr="00D84876">
              <w:rPr>
                <w:iCs/>
                <w:sz w:val="20"/>
                <w:lang w:val="fr-FR"/>
              </w:rPr>
              <w:t>vente;</w:t>
            </w:r>
            <w:proofErr w:type="gramEnd"/>
          </w:p>
          <w:p w14:paraId="044BD52C" w14:textId="77777777" w:rsidR="00A80AC5" w:rsidRPr="00D84876" w:rsidRDefault="00A80AC5" w:rsidP="003866EB">
            <w:pPr>
              <w:keepNext/>
              <w:spacing w:after="120"/>
              <w:rPr>
                <w:iCs/>
                <w:sz w:val="20"/>
                <w:lang w:val="fr-FR"/>
              </w:rPr>
            </w:pPr>
            <w:r w:rsidRPr="00D84876">
              <w:rPr>
                <w:iCs/>
                <w:sz w:val="20"/>
                <w:lang w:val="fr-FR"/>
              </w:rPr>
              <w:t>b) 3% pour la tranche du prix de vente comprise entre 50 000,01 et 200 000 </w:t>
            </w:r>
            <w:proofErr w:type="gramStart"/>
            <w:r w:rsidRPr="00D84876">
              <w:rPr>
                <w:iCs/>
                <w:sz w:val="20"/>
                <w:lang w:val="fr-FR"/>
              </w:rPr>
              <w:t>euros;</w:t>
            </w:r>
            <w:proofErr w:type="gramEnd"/>
          </w:p>
          <w:p w14:paraId="6C3DB839" w14:textId="77777777" w:rsidR="00A80AC5" w:rsidRPr="00D84876" w:rsidRDefault="00A80AC5" w:rsidP="003866EB">
            <w:pPr>
              <w:keepNext/>
              <w:spacing w:after="120"/>
              <w:rPr>
                <w:iCs/>
                <w:sz w:val="20"/>
                <w:lang w:val="fr-FR"/>
              </w:rPr>
            </w:pPr>
            <w:r w:rsidRPr="00D84876">
              <w:rPr>
                <w:iCs/>
                <w:sz w:val="20"/>
                <w:lang w:val="fr-FR"/>
              </w:rPr>
              <w:t>c) 1% pour la tranche du prix de vente comprise entre 200 000,01 et 350 000 </w:t>
            </w:r>
            <w:proofErr w:type="gramStart"/>
            <w:r w:rsidRPr="00D84876">
              <w:rPr>
                <w:iCs/>
                <w:sz w:val="20"/>
                <w:lang w:val="fr-FR"/>
              </w:rPr>
              <w:t>euros;</w:t>
            </w:r>
            <w:proofErr w:type="gramEnd"/>
          </w:p>
          <w:p w14:paraId="16D1483D" w14:textId="77777777" w:rsidR="00A80AC5" w:rsidRPr="00D84876" w:rsidRDefault="00A80AC5" w:rsidP="003866EB">
            <w:pPr>
              <w:keepNext/>
              <w:spacing w:after="120"/>
              <w:rPr>
                <w:iCs/>
                <w:sz w:val="20"/>
                <w:lang w:val="fr-FR"/>
              </w:rPr>
            </w:pPr>
            <w:r w:rsidRPr="00D84876">
              <w:rPr>
                <w:iCs/>
                <w:sz w:val="20"/>
                <w:lang w:val="fr-FR"/>
              </w:rPr>
              <w:t>d) 0,5% pour la tranche du prix de vente comprise entre 350 000,01 et 500 000 </w:t>
            </w:r>
            <w:proofErr w:type="gramStart"/>
            <w:r w:rsidRPr="00D84876">
              <w:rPr>
                <w:iCs/>
                <w:sz w:val="20"/>
                <w:lang w:val="fr-FR"/>
              </w:rPr>
              <w:t>euros;</w:t>
            </w:r>
            <w:proofErr w:type="gramEnd"/>
          </w:p>
          <w:p w14:paraId="75CD046E" w14:textId="77777777" w:rsidR="00A80AC5" w:rsidRPr="00D84876" w:rsidRDefault="00A80AC5" w:rsidP="003866EB">
            <w:pPr>
              <w:keepNext/>
              <w:spacing w:after="120"/>
              <w:rPr>
                <w:iCs/>
                <w:sz w:val="20"/>
                <w:lang w:val="fr-FR"/>
              </w:rPr>
            </w:pPr>
            <w:r w:rsidRPr="00D84876">
              <w:rPr>
                <w:iCs/>
                <w:sz w:val="20"/>
                <w:lang w:val="fr-FR"/>
              </w:rPr>
              <w:t>e) 0,25% pour la tranche du prix de vente dépassant 500 000 euros</w:t>
            </w:r>
            <w:r w:rsidRPr="00D84876">
              <w:rPr>
                <w:sz w:val="20"/>
                <w:vertAlign w:val="superscript"/>
                <w:lang w:val="fr-FR"/>
              </w:rPr>
              <w:footnoteReference w:id="79"/>
            </w:r>
            <w:r w:rsidRPr="00D84876">
              <w:rPr>
                <w:iCs/>
                <w:sz w:val="20"/>
                <w:lang w:val="fr-FR"/>
              </w:rPr>
              <w:t>.</w:t>
            </w:r>
          </w:p>
        </w:tc>
        <w:tc>
          <w:tcPr>
            <w:tcW w:w="2500" w:type="pct"/>
          </w:tcPr>
          <w:p w14:paraId="552FD99C" w14:textId="77777777" w:rsidR="00A80AC5" w:rsidRPr="00D84876" w:rsidRDefault="00A80AC5" w:rsidP="003866EB">
            <w:pPr>
              <w:keepNext/>
              <w:numPr>
                <w:ilvl w:val="0"/>
                <w:numId w:val="32"/>
              </w:numPr>
              <w:spacing w:before="60" w:after="220"/>
              <w:rPr>
                <w:bCs/>
                <w:sz w:val="20"/>
                <w:lang w:val="fr-FR"/>
              </w:rPr>
            </w:pPr>
            <w:r w:rsidRPr="00D84876">
              <w:rPr>
                <w:bCs/>
                <w:sz w:val="20"/>
                <w:lang w:val="fr-FR"/>
              </w:rPr>
              <w:t>Cette échelle mobile est appliquée dans tous les États membres de l’UE.</w:t>
            </w:r>
          </w:p>
          <w:p w14:paraId="27BC1402" w14:textId="77777777" w:rsidR="00A80AC5" w:rsidRPr="00D84876" w:rsidRDefault="00A80AC5" w:rsidP="00545780">
            <w:pPr>
              <w:keepNext/>
              <w:numPr>
                <w:ilvl w:val="0"/>
                <w:numId w:val="32"/>
              </w:numPr>
              <w:spacing w:after="220"/>
              <w:rPr>
                <w:sz w:val="20"/>
                <w:lang w:val="fr-FR"/>
              </w:rPr>
            </w:pPr>
            <w:proofErr w:type="spellStart"/>
            <w:r w:rsidRPr="00D84876">
              <w:rPr>
                <w:sz w:val="20"/>
                <w:lang w:val="fr-FR"/>
              </w:rPr>
              <w:t>Peut être</w:t>
            </w:r>
            <w:proofErr w:type="spellEnd"/>
            <w:r w:rsidRPr="00D84876">
              <w:rPr>
                <w:sz w:val="20"/>
                <w:lang w:val="fr-FR"/>
              </w:rPr>
              <w:t xml:space="preserve"> plus compliqué à déterminer dans chaque cas bien que cela puisse être fait rapidement dans le cadre d’une gestion collective du droit de suite des artistes.</w:t>
            </w:r>
          </w:p>
        </w:tc>
      </w:tr>
      <w:tr w:rsidR="00A80AC5" w:rsidRPr="004D5436" w14:paraId="76229D8E" w14:textId="77777777" w:rsidTr="00545780">
        <w:trPr>
          <w:trHeight w:val="20"/>
          <w:jc w:val="center"/>
        </w:trPr>
        <w:tc>
          <w:tcPr>
            <w:tcW w:w="936" w:type="pct"/>
          </w:tcPr>
          <w:p w14:paraId="5A2E432B" w14:textId="77777777" w:rsidR="00A80AC5" w:rsidRPr="006949AB" w:rsidRDefault="00A80AC5" w:rsidP="003866EB">
            <w:pPr>
              <w:spacing w:before="60" w:after="220"/>
              <w:rPr>
                <w:bCs/>
                <w:sz w:val="20"/>
                <w:lang w:val="fr-FR"/>
              </w:rPr>
            </w:pPr>
            <w:r w:rsidRPr="006949AB">
              <w:rPr>
                <w:bCs/>
                <w:sz w:val="20"/>
                <w:lang w:val="fr-FR"/>
              </w:rPr>
              <w:t>Plafonnement du montant total du droit de suite des artistes (CE)</w:t>
            </w:r>
          </w:p>
        </w:tc>
        <w:tc>
          <w:tcPr>
            <w:tcW w:w="1564" w:type="pct"/>
          </w:tcPr>
          <w:p w14:paraId="3BD3AD66" w14:textId="77777777" w:rsidR="00A80AC5" w:rsidRPr="006949AB" w:rsidRDefault="00A80AC5" w:rsidP="003866EB">
            <w:pPr>
              <w:spacing w:before="60" w:after="220"/>
              <w:rPr>
                <w:bCs/>
                <w:sz w:val="20"/>
                <w:lang w:val="fr-FR"/>
              </w:rPr>
            </w:pPr>
            <w:r w:rsidRPr="006949AB">
              <w:rPr>
                <w:bCs/>
                <w:sz w:val="20"/>
                <w:lang w:val="fr-FR"/>
              </w:rPr>
              <w:t>Toutefois, le montant total du droit de suite des artistes ne peut en aucun cas dépasser 3 000 euros.  Le montant total du droit de suite des artistes ne peut dépasser…</w:t>
            </w:r>
            <w:r w:rsidRPr="006949AB">
              <w:rPr>
                <w:bCs/>
                <w:sz w:val="20"/>
                <w:vertAlign w:val="superscript"/>
                <w:lang w:val="fr-FR"/>
              </w:rPr>
              <w:footnoteReference w:id="80"/>
            </w:r>
          </w:p>
        </w:tc>
        <w:tc>
          <w:tcPr>
            <w:tcW w:w="2500" w:type="pct"/>
          </w:tcPr>
          <w:p w14:paraId="42B007A8" w14:textId="68C05B7C" w:rsidR="00A80AC5" w:rsidRPr="006949AB" w:rsidRDefault="00A80AC5" w:rsidP="003866EB">
            <w:pPr>
              <w:keepNext/>
              <w:numPr>
                <w:ilvl w:val="0"/>
                <w:numId w:val="32"/>
              </w:numPr>
              <w:spacing w:before="60" w:after="220"/>
              <w:rPr>
                <w:bCs/>
                <w:sz w:val="20"/>
                <w:lang w:val="fr-FR"/>
              </w:rPr>
            </w:pPr>
            <w:r w:rsidRPr="006949AB">
              <w:rPr>
                <w:bCs/>
                <w:sz w:val="20"/>
                <w:lang w:val="fr-FR"/>
              </w:rPr>
              <w:t>Voir les arguments avancés ci</w:t>
            </w:r>
            <w:r w:rsidR="00FA1A0F">
              <w:rPr>
                <w:bCs/>
                <w:sz w:val="20"/>
                <w:lang w:val="fr-FR"/>
              </w:rPr>
              <w:noBreakHyphen/>
            </w:r>
            <w:r w:rsidRPr="006949AB">
              <w:rPr>
                <w:bCs/>
                <w:sz w:val="20"/>
                <w:lang w:val="fr-FR"/>
              </w:rPr>
              <w:t>dessus au paragraphe 42.</w:t>
            </w:r>
          </w:p>
        </w:tc>
      </w:tr>
      <w:tr w:rsidR="00A80AC5" w:rsidRPr="004D5436" w14:paraId="752E303F" w14:textId="77777777" w:rsidTr="00545780">
        <w:trPr>
          <w:trHeight w:val="20"/>
          <w:jc w:val="center"/>
        </w:trPr>
        <w:tc>
          <w:tcPr>
            <w:tcW w:w="936" w:type="pct"/>
          </w:tcPr>
          <w:p w14:paraId="29035583" w14:textId="77777777" w:rsidR="00A80AC5" w:rsidRPr="006949AB" w:rsidRDefault="00A80AC5" w:rsidP="003866EB">
            <w:pPr>
              <w:spacing w:before="60" w:after="220"/>
              <w:rPr>
                <w:bCs/>
                <w:sz w:val="20"/>
                <w:lang w:val="fr-FR"/>
              </w:rPr>
            </w:pPr>
            <w:r w:rsidRPr="006949AB">
              <w:rPr>
                <w:bCs/>
                <w:sz w:val="20"/>
                <w:lang w:val="fr-FR"/>
              </w:rPr>
              <w:lastRenderedPageBreak/>
              <w:t>Niveau minimal pour le droit de suite des artistes (Australie, Kenya)</w:t>
            </w:r>
          </w:p>
        </w:tc>
        <w:tc>
          <w:tcPr>
            <w:tcW w:w="1564" w:type="pct"/>
          </w:tcPr>
          <w:p w14:paraId="7FF43F0E" w14:textId="77777777" w:rsidR="00A80AC5" w:rsidRPr="006949AB" w:rsidRDefault="00A80AC5" w:rsidP="003866EB">
            <w:pPr>
              <w:keepLines/>
              <w:spacing w:before="60" w:after="220"/>
              <w:rPr>
                <w:bCs/>
                <w:sz w:val="20"/>
                <w:lang w:val="fr-FR"/>
              </w:rPr>
            </w:pPr>
            <w:r w:rsidRPr="006949AB">
              <w:rPr>
                <w:bCs/>
                <w:sz w:val="20"/>
                <w:lang w:val="fr-FR"/>
              </w:rPr>
              <w:t xml:space="preserve">Aucun droit de suite des artistes n’est payable si le prix de revente est inférieur </w:t>
            </w:r>
            <w:proofErr w:type="gramStart"/>
            <w:r w:rsidRPr="006949AB">
              <w:rPr>
                <w:bCs/>
                <w:sz w:val="20"/>
                <w:lang w:val="fr-FR"/>
              </w:rPr>
              <w:t>à….</w:t>
            </w:r>
            <w:proofErr w:type="gramEnd"/>
            <w:r w:rsidRPr="006949AB">
              <w:rPr>
                <w:bCs/>
                <w:sz w:val="20"/>
                <w:lang w:val="fr-FR"/>
              </w:rPr>
              <w:t>ou tout autre montant qui peut être prescrit par règlement [instruction du ministre, etc.]</w:t>
            </w:r>
            <w:r w:rsidRPr="006949AB">
              <w:rPr>
                <w:bCs/>
                <w:sz w:val="20"/>
                <w:vertAlign w:val="superscript"/>
                <w:lang w:val="fr-FR"/>
              </w:rPr>
              <w:footnoteReference w:id="81"/>
            </w:r>
          </w:p>
        </w:tc>
        <w:tc>
          <w:tcPr>
            <w:tcW w:w="2500" w:type="pct"/>
          </w:tcPr>
          <w:p w14:paraId="5823EC54" w14:textId="77777777" w:rsidR="00A80AC5" w:rsidRPr="006949AB" w:rsidRDefault="00A80AC5" w:rsidP="003866EB">
            <w:pPr>
              <w:keepNext/>
              <w:numPr>
                <w:ilvl w:val="0"/>
                <w:numId w:val="32"/>
              </w:numPr>
              <w:spacing w:before="60" w:after="220"/>
              <w:rPr>
                <w:bCs/>
                <w:sz w:val="20"/>
                <w:lang w:val="fr-FR"/>
              </w:rPr>
            </w:pPr>
            <w:r w:rsidRPr="006949AB">
              <w:rPr>
                <w:bCs/>
                <w:sz w:val="20"/>
                <w:lang w:val="fr-FR"/>
              </w:rPr>
              <w:t>Avoir un seuil pour le paiement du droit de suite des artistes peut faciliter l’administration du régime, et la possibilité d’augmenter (ou de diminuer) ce montant par voie de règlement, etc., peut s’avérer utile à l’avenir.</w:t>
            </w:r>
          </w:p>
        </w:tc>
      </w:tr>
      <w:tr w:rsidR="00A80AC5" w:rsidRPr="004D5436" w14:paraId="54F7B4F5" w14:textId="77777777" w:rsidTr="00545780">
        <w:trPr>
          <w:trHeight w:val="20"/>
          <w:jc w:val="center"/>
        </w:trPr>
        <w:tc>
          <w:tcPr>
            <w:tcW w:w="936" w:type="pct"/>
          </w:tcPr>
          <w:p w14:paraId="07FDEA02" w14:textId="77777777" w:rsidR="00A80AC5" w:rsidRPr="006949AB" w:rsidRDefault="00A80AC5" w:rsidP="003866EB">
            <w:pPr>
              <w:spacing w:before="60" w:after="220"/>
              <w:rPr>
                <w:bCs/>
                <w:sz w:val="20"/>
                <w:lang w:val="fr-FR"/>
              </w:rPr>
            </w:pPr>
            <w:r w:rsidRPr="006949AB">
              <w:rPr>
                <w:bCs/>
                <w:sz w:val="20"/>
                <w:lang w:val="fr-FR"/>
              </w:rPr>
              <w:t>Part en pourcentage dans l’augmentation de la valeur de l’œuvre (Brésil)</w:t>
            </w:r>
          </w:p>
        </w:tc>
        <w:tc>
          <w:tcPr>
            <w:tcW w:w="1564" w:type="pct"/>
          </w:tcPr>
          <w:p w14:paraId="330711CA" w14:textId="4CDB5D4F" w:rsidR="00A80AC5" w:rsidRPr="006949AB" w:rsidRDefault="00A80AC5" w:rsidP="003866EB">
            <w:pPr>
              <w:spacing w:before="60" w:after="220"/>
              <w:rPr>
                <w:bCs/>
                <w:sz w:val="20"/>
                <w:lang w:val="fr-FR"/>
              </w:rPr>
            </w:pPr>
            <w:r w:rsidRPr="006949AB">
              <w:rPr>
                <w:bCs/>
                <w:sz w:val="20"/>
                <w:lang w:val="fr-FR"/>
              </w:rPr>
              <w:t>L’auteur a le droit irrévocable et inaliénable de percevoir un minimum de 5% de toute plus</w:t>
            </w:r>
            <w:r w:rsidR="00FA1A0F">
              <w:rPr>
                <w:bCs/>
                <w:sz w:val="20"/>
                <w:lang w:val="fr-FR"/>
              </w:rPr>
              <w:noBreakHyphen/>
            </w:r>
            <w:r w:rsidRPr="006949AB">
              <w:rPr>
                <w:bCs/>
                <w:sz w:val="20"/>
                <w:lang w:val="fr-FR"/>
              </w:rPr>
              <w:t>value réalisée lors de chaque revente d’une œuvre d’art ou d’un manuscrit original dont il a cédé la propriété</w:t>
            </w:r>
            <w:r w:rsidRPr="006949AB">
              <w:rPr>
                <w:rStyle w:val="FootnoteReference"/>
                <w:bCs/>
                <w:sz w:val="20"/>
                <w:lang w:val="fr-FR"/>
              </w:rPr>
              <w:footnoteReference w:id="82"/>
            </w:r>
            <w:r w:rsidRPr="006949AB">
              <w:rPr>
                <w:bCs/>
                <w:sz w:val="20"/>
                <w:lang w:val="fr-FR"/>
              </w:rPr>
              <w:t>.</w:t>
            </w:r>
          </w:p>
        </w:tc>
        <w:tc>
          <w:tcPr>
            <w:tcW w:w="2500" w:type="pct"/>
          </w:tcPr>
          <w:p w14:paraId="31423BAA" w14:textId="4DE7803E" w:rsidR="00A80AC5" w:rsidRPr="006949AB" w:rsidRDefault="00A80AC5" w:rsidP="003866EB">
            <w:pPr>
              <w:keepNext/>
              <w:numPr>
                <w:ilvl w:val="0"/>
                <w:numId w:val="32"/>
              </w:numPr>
              <w:spacing w:before="60" w:after="220"/>
              <w:rPr>
                <w:bCs/>
                <w:sz w:val="20"/>
                <w:lang w:val="fr-FR"/>
              </w:rPr>
            </w:pPr>
            <w:r w:rsidRPr="006949AB">
              <w:rPr>
                <w:bCs/>
                <w:sz w:val="20"/>
                <w:lang w:val="fr-FR"/>
              </w:rPr>
              <w:t>Il peut être difficile de déterminer le bénéfice réalisé sur chaque revente.  Ces difficultés peuvent être aggravées en l’absence de dispositifs de gestion collective (voir la partie II du présent instrument) si les titulaires de droits doivent s’en charger eux</w:t>
            </w:r>
            <w:r w:rsidR="00FA1A0F">
              <w:rPr>
                <w:bCs/>
                <w:sz w:val="20"/>
                <w:lang w:val="fr-FR"/>
              </w:rPr>
              <w:noBreakHyphen/>
            </w:r>
            <w:r w:rsidRPr="006949AB">
              <w:rPr>
                <w:bCs/>
                <w:sz w:val="20"/>
                <w:lang w:val="fr-FR"/>
              </w:rPr>
              <w:t>mêmes.</w:t>
            </w:r>
          </w:p>
        </w:tc>
      </w:tr>
    </w:tbl>
    <w:p w14:paraId="5F5E8B02" w14:textId="77777777" w:rsidR="00A80AC5" w:rsidRPr="00FD7E39" w:rsidRDefault="00A80AC5" w:rsidP="002D7EE2">
      <w:pPr>
        <w:pStyle w:val="Heading1"/>
      </w:pPr>
      <w:r w:rsidRPr="00FD7E39">
        <w:t xml:space="preserve">Qui est responsable du droit de suite des </w:t>
      </w:r>
      <w:proofErr w:type="gramStart"/>
      <w:r w:rsidRPr="00FD7E39">
        <w:t>artistes?</w:t>
      </w:r>
      <w:proofErr w:type="gramEnd"/>
    </w:p>
    <w:p w14:paraId="4907B753" w14:textId="77777777" w:rsidR="00A80AC5" w:rsidRPr="00FD7E39" w:rsidRDefault="00A80AC5" w:rsidP="002D7EE2">
      <w:pPr>
        <w:pStyle w:val="ONUMFS"/>
        <w:rPr>
          <w:lang w:val="fr-FR"/>
        </w:rPr>
      </w:pPr>
      <w:r w:rsidRPr="00FD7E39">
        <w:rPr>
          <w:lang w:val="fr-FR"/>
        </w:rPr>
        <w:t>Au départ, il s’agira généralement du vendeur de l’œuvre soumise au droit de suite des artistes, mais il peut y avoir d’autres parties qui sont secondairement ou accessoirement responsables du paiement, notamment les intermédiaires et les professionnels du marché de l’art et, en dernier ressort, l’acheteur.  Les législations nationales disposent ici d’une grande marge de manœuvre, car l’article 14</w:t>
      </w:r>
      <w:r w:rsidRPr="00FD7E39">
        <w:rPr>
          <w:i/>
          <w:iCs/>
          <w:lang w:val="fr-FR"/>
        </w:rPr>
        <w:t>ter</w:t>
      </w:r>
      <w:r w:rsidRPr="00FD7E39">
        <w:rPr>
          <w:lang w:val="fr-FR"/>
        </w:rPr>
        <w:t xml:space="preserve"> de la Convention de Berne n’indique pas clairement qui doit être responsable du paiement du droit de suite des artistes.  À cet égard, il est utile de noter la disposition suivante de l’article 1.4 de la Directive CE, qui offre aux États membres diverses options dans la mise en œuvre de cette obligation :</w:t>
      </w:r>
    </w:p>
    <w:p w14:paraId="4810BEB2" w14:textId="77777777" w:rsidR="00A80AC5" w:rsidRPr="00FD7E39" w:rsidRDefault="00A80AC5" w:rsidP="002D7EE2">
      <w:pPr>
        <w:pStyle w:val="ONUMFS"/>
        <w:numPr>
          <w:ilvl w:val="0"/>
          <w:numId w:val="0"/>
        </w:numPr>
        <w:ind w:left="567"/>
        <w:rPr>
          <w:iCs/>
          <w:sz w:val="20"/>
          <w:lang w:val="fr-FR"/>
        </w:rPr>
      </w:pPr>
      <w:r w:rsidRPr="00FD7E39">
        <w:rPr>
          <w:iCs/>
          <w:sz w:val="20"/>
          <w:lang w:val="fr-FR"/>
        </w:rPr>
        <w:t>La redevance est à la charge du vendeur.  Les États membres peuvent prévoir qu’une des personnes physiques ou morales visées au paragraphe 2 autre que le vendeur est seule responsable ou partage la responsabilité avec le vendeur du paiement de la redevance.</w:t>
      </w:r>
    </w:p>
    <w:p w14:paraId="4570A0CF" w14:textId="77777777" w:rsidR="00A80AC5" w:rsidRPr="00FD7E39" w:rsidRDefault="00A80AC5" w:rsidP="002D7EE2">
      <w:pPr>
        <w:pStyle w:val="ONUMFS"/>
        <w:numPr>
          <w:ilvl w:val="0"/>
          <w:numId w:val="0"/>
        </w:numPr>
        <w:ind w:left="567"/>
        <w:rPr>
          <w:iCs/>
          <w:szCs w:val="22"/>
          <w:lang w:val="fr-FR"/>
        </w:rPr>
      </w:pPr>
      <w:r w:rsidRPr="00FD7E39">
        <w:rPr>
          <w:iCs/>
          <w:sz w:val="20"/>
          <w:lang w:val="fr-FR"/>
        </w:rPr>
        <w:t xml:space="preserve">[Les personnes visées au paragraphe 2 sont les suivantes : “vendeurs, acheteurs ou intermédiaires des professionnels du marché de l’art, </w:t>
      </w:r>
      <w:proofErr w:type="gramStart"/>
      <w:r w:rsidRPr="00FD7E39">
        <w:rPr>
          <w:iCs/>
          <w:sz w:val="20"/>
          <w:lang w:val="fr-FR"/>
        </w:rPr>
        <w:t>tels les salles</w:t>
      </w:r>
      <w:proofErr w:type="gramEnd"/>
      <w:r w:rsidRPr="00FD7E39">
        <w:rPr>
          <w:iCs/>
          <w:sz w:val="20"/>
          <w:lang w:val="fr-FR"/>
        </w:rPr>
        <w:t xml:space="preserve"> de vente, les galeries d’art et, d’une manière générale, tout commerçant d’œuvres d’art”.]</w:t>
      </w:r>
    </w:p>
    <w:p w14:paraId="0CD5FF7E" w14:textId="77777777" w:rsidR="00A80AC5" w:rsidRPr="00FD7E39" w:rsidRDefault="00A80AC5" w:rsidP="002D7EE2">
      <w:pPr>
        <w:pStyle w:val="ONUMFS"/>
        <w:rPr>
          <w:lang w:val="fr-FR"/>
        </w:rPr>
      </w:pPr>
      <w:r w:rsidRPr="00FD7E39">
        <w:rPr>
          <w:lang w:val="fr-FR"/>
        </w:rPr>
        <w:t>Divers modèles sont présentés dans les exemples de dispositions du tableau suivant.  Comme nous le verrons, la question de savoir qui devrait être responsable du droit de suite des artistes peut donner lieu à des problèmes complexes, ce qui signifie qu’il n’est pas facile de concevoir des solutions législatives simples qui répondront aux permutations factuelles qui peuvent se produire.</w:t>
      </w:r>
    </w:p>
    <w:p w14:paraId="08B73388" w14:textId="77777777" w:rsidR="00A80AC5" w:rsidRPr="00FD7E39" w:rsidRDefault="00A80AC5" w:rsidP="002D7EE2">
      <w:pPr>
        <w:pStyle w:val="Heading2"/>
      </w:pPr>
      <w:r w:rsidRPr="00FD7E39">
        <w:lastRenderedPageBreak/>
        <w:t>Tableau 9</w:t>
      </w:r>
    </w:p>
    <w:tbl>
      <w:tblPr>
        <w:tblStyle w:val="TableGrid"/>
        <w:tblW w:w="0" w:type="auto"/>
        <w:tblInd w:w="-5" w:type="dxa"/>
        <w:tblLook w:val="04A0" w:firstRow="1" w:lastRow="0" w:firstColumn="1" w:lastColumn="0" w:noHBand="0" w:noVBand="1"/>
      </w:tblPr>
      <w:tblGrid>
        <w:gridCol w:w="2552"/>
        <w:gridCol w:w="3544"/>
        <w:gridCol w:w="2693"/>
      </w:tblGrid>
      <w:tr w:rsidR="00A80AC5" w:rsidRPr="00FD7E39" w14:paraId="7BFBBA70" w14:textId="77777777" w:rsidTr="003866EB">
        <w:tc>
          <w:tcPr>
            <w:tcW w:w="2552" w:type="dxa"/>
          </w:tcPr>
          <w:p w14:paraId="7740A911" w14:textId="77777777" w:rsidR="00A80AC5" w:rsidRPr="00FD7E39" w:rsidRDefault="00A80AC5" w:rsidP="003866EB">
            <w:pPr>
              <w:keepNext/>
              <w:spacing w:after="220"/>
              <w:rPr>
                <w:lang w:val="fr-FR"/>
              </w:rPr>
            </w:pPr>
            <w:r w:rsidRPr="00FD7E39">
              <w:rPr>
                <w:b/>
                <w:lang w:val="fr-FR"/>
              </w:rPr>
              <w:t>Type de disposition</w:t>
            </w:r>
          </w:p>
        </w:tc>
        <w:tc>
          <w:tcPr>
            <w:tcW w:w="3544" w:type="dxa"/>
          </w:tcPr>
          <w:p w14:paraId="06A2E804" w14:textId="77777777" w:rsidR="00A80AC5" w:rsidRPr="00FD7E39" w:rsidRDefault="00A80AC5" w:rsidP="003866EB">
            <w:pPr>
              <w:keepNext/>
              <w:spacing w:after="220"/>
              <w:rPr>
                <w:lang w:val="fr-FR"/>
              </w:rPr>
            </w:pPr>
            <w:r w:rsidRPr="00FD7E39">
              <w:rPr>
                <w:b/>
                <w:lang w:val="fr-FR"/>
              </w:rPr>
              <w:t>Texte suggéré</w:t>
            </w:r>
          </w:p>
        </w:tc>
        <w:tc>
          <w:tcPr>
            <w:tcW w:w="2693" w:type="dxa"/>
          </w:tcPr>
          <w:p w14:paraId="32AB983A" w14:textId="77777777" w:rsidR="00A80AC5" w:rsidRPr="00FD7E39" w:rsidRDefault="00A80AC5" w:rsidP="003866EB">
            <w:pPr>
              <w:keepNext/>
              <w:spacing w:after="220"/>
              <w:rPr>
                <w:lang w:val="fr-FR"/>
              </w:rPr>
            </w:pPr>
            <w:r w:rsidRPr="00FD7E39">
              <w:rPr>
                <w:b/>
                <w:lang w:val="fr-FR"/>
              </w:rPr>
              <w:t>Observations</w:t>
            </w:r>
          </w:p>
        </w:tc>
      </w:tr>
      <w:tr w:rsidR="00A80AC5" w:rsidRPr="00FD7E39" w14:paraId="4F319E1E" w14:textId="77777777" w:rsidTr="003866EB">
        <w:tc>
          <w:tcPr>
            <w:tcW w:w="2552" w:type="dxa"/>
          </w:tcPr>
          <w:p w14:paraId="032C64EF" w14:textId="098B3755" w:rsidR="00A80AC5" w:rsidRPr="009F2E31" w:rsidRDefault="00A80AC5" w:rsidP="003866EB">
            <w:pPr>
              <w:spacing w:before="60" w:after="220"/>
              <w:rPr>
                <w:sz w:val="20"/>
                <w:lang w:val="fr-FR"/>
              </w:rPr>
            </w:pPr>
            <w:r w:rsidRPr="009F2E31">
              <w:rPr>
                <w:sz w:val="20"/>
                <w:lang w:val="fr-FR"/>
              </w:rPr>
              <w:t>Vendeur seul responsable (Guatemala)</w:t>
            </w:r>
          </w:p>
        </w:tc>
        <w:tc>
          <w:tcPr>
            <w:tcW w:w="3544" w:type="dxa"/>
          </w:tcPr>
          <w:p w14:paraId="5928DD3E" w14:textId="77777777" w:rsidR="00A80AC5" w:rsidRPr="009F2E31" w:rsidRDefault="00A80AC5" w:rsidP="003866EB">
            <w:pPr>
              <w:spacing w:before="60" w:after="220"/>
              <w:rPr>
                <w:sz w:val="20"/>
                <w:lang w:val="fr-FR"/>
              </w:rPr>
            </w:pPr>
            <w:r w:rsidRPr="009F2E31">
              <w:rPr>
                <w:sz w:val="20"/>
                <w:lang w:val="fr-FR"/>
              </w:rPr>
              <w:t>Le droit de suite des artistes sera à la charge du vendeur de l’œuvre d’art originale [et du manuscrit]</w:t>
            </w:r>
            <w:r w:rsidRPr="009F2E31">
              <w:rPr>
                <w:sz w:val="20"/>
                <w:vertAlign w:val="superscript"/>
                <w:lang w:val="fr-FR"/>
              </w:rPr>
              <w:footnoteReference w:id="83"/>
            </w:r>
            <w:r w:rsidRPr="009F2E31">
              <w:rPr>
                <w:sz w:val="20"/>
                <w:lang w:val="fr-FR"/>
              </w:rPr>
              <w:t>.</w:t>
            </w:r>
          </w:p>
        </w:tc>
        <w:tc>
          <w:tcPr>
            <w:tcW w:w="2693" w:type="dxa"/>
          </w:tcPr>
          <w:p w14:paraId="0FBC8B1D" w14:textId="77777777" w:rsidR="00A80AC5" w:rsidRPr="009F2E31" w:rsidRDefault="00A80AC5" w:rsidP="003866EB">
            <w:pPr>
              <w:numPr>
                <w:ilvl w:val="0"/>
                <w:numId w:val="35"/>
              </w:numPr>
              <w:spacing w:before="60" w:after="220"/>
              <w:rPr>
                <w:sz w:val="20"/>
                <w:lang w:val="fr-FR"/>
              </w:rPr>
            </w:pPr>
            <w:r w:rsidRPr="009F2E31">
              <w:rPr>
                <w:sz w:val="20"/>
                <w:lang w:val="fr-FR"/>
              </w:rPr>
              <w:t>Il s’agit de la solution la plus simple, mais elle ne fournit aucune sauvegarde lorsque le vendeur est incapable de payer ou se révèle introuvable.</w:t>
            </w:r>
          </w:p>
        </w:tc>
      </w:tr>
      <w:tr w:rsidR="00A80AC5" w:rsidRPr="00FD7E39" w14:paraId="7ACB883D" w14:textId="77777777" w:rsidTr="003866EB">
        <w:tc>
          <w:tcPr>
            <w:tcW w:w="2552" w:type="dxa"/>
          </w:tcPr>
          <w:p w14:paraId="3D8BC2C9" w14:textId="3CD67A7E" w:rsidR="00A80AC5" w:rsidRPr="009F2E31" w:rsidRDefault="00A80AC5" w:rsidP="003866EB">
            <w:pPr>
              <w:spacing w:before="60" w:after="220"/>
              <w:rPr>
                <w:sz w:val="20"/>
                <w:lang w:val="fr-FR"/>
              </w:rPr>
            </w:pPr>
            <w:r w:rsidRPr="009F2E31">
              <w:rPr>
                <w:sz w:val="20"/>
                <w:lang w:val="fr-FR"/>
              </w:rPr>
              <w:t>Responsabilité initiale du vendeur, mais les États peuvent prévoir une responsabilité supplémentaire des autres parties impliquées dans la revente (CE)</w:t>
            </w:r>
          </w:p>
        </w:tc>
        <w:tc>
          <w:tcPr>
            <w:tcW w:w="3544" w:type="dxa"/>
          </w:tcPr>
          <w:p w14:paraId="35BC6359" w14:textId="77777777" w:rsidR="00A80AC5" w:rsidRPr="009F2E31" w:rsidRDefault="00A80AC5" w:rsidP="003866EB">
            <w:pPr>
              <w:spacing w:before="60" w:after="220"/>
              <w:rPr>
                <w:sz w:val="20"/>
                <w:lang w:val="fr-FR"/>
              </w:rPr>
            </w:pPr>
            <w:r w:rsidRPr="009F2E31">
              <w:rPr>
                <w:rFonts w:eastAsia="Times New Roman"/>
                <w:sz w:val="20"/>
                <w:lang w:val="fr-FR" w:eastAsia="fr-CH"/>
              </w:rPr>
              <w:t>4.  Le droit visé au paragraphe 1 est à la charge du vendeur.  Les États membres peuvent prévoir que l’une des personnes physiques ou morales visées au paragraphe 2, autre que le vendeur, est seule responsable du paiement du droit ou partage avec le vendeur cette responsabilité</w:t>
            </w:r>
            <w:r w:rsidRPr="009F2E31">
              <w:rPr>
                <w:rStyle w:val="FootnoteReference"/>
                <w:rFonts w:eastAsia="Times New Roman"/>
                <w:sz w:val="20"/>
                <w:lang w:val="fr-FR" w:eastAsia="fr-CH"/>
              </w:rPr>
              <w:footnoteReference w:id="84"/>
            </w:r>
            <w:r w:rsidRPr="009F2E31">
              <w:rPr>
                <w:rFonts w:eastAsia="Times New Roman"/>
                <w:sz w:val="20"/>
                <w:lang w:val="fr-FR" w:eastAsia="fr-CH"/>
              </w:rPr>
              <w:t>.</w:t>
            </w:r>
          </w:p>
        </w:tc>
        <w:tc>
          <w:tcPr>
            <w:tcW w:w="2693" w:type="dxa"/>
          </w:tcPr>
          <w:p w14:paraId="173C2E5E" w14:textId="77777777" w:rsidR="00A80AC5" w:rsidRPr="009F2E31" w:rsidRDefault="00A80AC5" w:rsidP="003866EB">
            <w:pPr>
              <w:numPr>
                <w:ilvl w:val="0"/>
                <w:numId w:val="35"/>
              </w:numPr>
              <w:spacing w:before="60" w:after="220"/>
              <w:rPr>
                <w:sz w:val="20"/>
                <w:lang w:val="fr-FR"/>
              </w:rPr>
            </w:pPr>
            <w:r w:rsidRPr="009F2E31">
              <w:rPr>
                <w:sz w:val="20"/>
                <w:lang w:val="fr-FR"/>
              </w:rPr>
              <w:t>Les parties visées à l’article 1.2 sont “les vendeurs, les acheteurs ou les intermédiaires professionnels du marché de l’art, tels que les salles de vente, les galeries d’art, et, de manière générale, tout marchand d’œuvres d’art”.</w:t>
            </w:r>
          </w:p>
        </w:tc>
      </w:tr>
      <w:tr w:rsidR="00A80AC5" w:rsidRPr="00FD7E39" w14:paraId="53BD6476" w14:textId="77777777" w:rsidTr="003866EB">
        <w:tc>
          <w:tcPr>
            <w:tcW w:w="2552" w:type="dxa"/>
          </w:tcPr>
          <w:p w14:paraId="6D367FEC" w14:textId="0B25F99C" w:rsidR="00A80AC5" w:rsidRPr="009F2E31" w:rsidRDefault="00A80AC5" w:rsidP="003866EB">
            <w:pPr>
              <w:spacing w:before="60" w:after="220"/>
              <w:rPr>
                <w:sz w:val="20"/>
                <w:lang w:val="fr-FR"/>
              </w:rPr>
            </w:pPr>
            <w:r w:rsidRPr="009F2E31">
              <w:rPr>
                <w:sz w:val="20"/>
                <w:lang w:val="fr-FR"/>
              </w:rPr>
              <w:t>Responsabilités solidaires entre le vendeur et le professionnel du marché de l’art (Espagne)</w:t>
            </w:r>
          </w:p>
        </w:tc>
        <w:tc>
          <w:tcPr>
            <w:tcW w:w="3544" w:type="dxa"/>
          </w:tcPr>
          <w:p w14:paraId="5ED67300" w14:textId="77777777" w:rsidR="00A80AC5" w:rsidRPr="009F2E31" w:rsidRDefault="00A80AC5" w:rsidP="003866EB">
            <w:pPr>
              <w:spacing w:before="60" w:after="220"/>
              <w:rPr>
                <w:iCs/>
                <w:sz w:val="20"/>
                <w:lang w:val="fr-FR"/>
              </w:rPr>
            </w:pPr>
            <w:r w:rsidRPr="009F2E31">
              <w:rPr>
                <w:iCs/>
                <w:sz w:val="20"/>
                <w:lang w:val="fr-FR"/>
              </w:rPr>
              <w:t>Les professionnels du marché de l’art intervenant dans les reventes soumises au droit de suite des artistes seront solidairement responsables avec le vendeur du paiement du droit de suite des artistes</w:t>
            </w:r>
            <w:r w:rsidRPr="009F2E31">
              <w:rPr>
                <w:iCs/>
                <w:sz w:val="20"/>
                <w:vertAlign w:val="superscript"/>
                <w:lang w:val="fr-FR"/>
              </w:rPr>
              <w:footnoteReference w:id="85"/>
            </w:r>
            <w:r w:rsidRPr="009F2E31">
              <w:rPr>
                <w:iCs/>
                <w:sz w:val="20"/>
                <w:lang w:val="fr-FR"/>
              </w:rPr>
              <w:t>.</w:t>
            </w:r>
          </w:p>
        </w:tc>
        <w:tc>
          <w:tcPr>
            <w:tcW w:w="2693" w:type="dxa"/>
          </w:tcPr>
          <w:p w14:paraId="6406A0FD" w14:textId="77777777" w:rsidR="00A80AC5" w:rsidRPr="009F2E31" w:rsidRDefault="00A80AC5" w:rsidP="003866EB">
            <w:pPr>
              <w:numPr>
                <w:ilvl w:val="0"/>
                <w:numId w:val="35"/>
              </w:numPr>
              <w:spacing w:before="60" w:after="220"/>
              <w:rPr>
                <w:sz w:val="20"/>
                <w:lang w:val="fr-FR"/>
              </w:rPr>
            </w:pPr>
            <w:r w:rsidRPr="009F2E31">
              <w:rPr>
                <w:sz w:val="20"/>
                <w:lang w:val="fr-FR"/>
              </w:rPr>
              <w:t>La responsabilité solidaire fait référence à une obligation à l’égard de laquelle des poursuites peuvent être engagées pour l’ensemble de l’obligation contre toutes les parties (conjointement) ou contre l’une d’entre elles (individuellement).</w:t>
            </w:r>
          </w:p>
          <w:p w14:paraId="6D5AE984" w14:textId="77777777" w:rsidR="00A80AC5" w:rsidRPr="009F2E31" w:rsidRDefault="00A80AC5" w:rsidP="003866EB">
            <w:pPr>
              <w:numPr>
                <w:ilvl w:val="0"/>
                <w:numId w:val="35"/>
              </w:numPr>
              <w:spacing w:before="60" w:after="220"/>
              <w:rPr>
                <w:sz w:val="20"/>
                <w:lang w:val="fr-FR"/>
              </w:rPr>
            </w:pPr>
            <w:r w:rsidRPr="009F2E31">
              <w:rPr>
                <w:sz w:val="20"/>
                <w:lang w:val="fr-FR"/>
              </w:rPr>
              <w:t>La responsabilité conjointe et solidaire s’étend ici aux professionnels du marché de l’art, mais pas à l’acheteur (comme dans l’exemple de disposition suivant).</w:t>
            </w:r>
          </w:p>
        </w:tc>
      </w:tr>
      <w:tr w:rsidR="00A80AC5" w:rsidRPr="00FD7E39" w14:paraId="02480373" w14:textId="77777777" w:rsidTr="003866EB">
        <w:tc>
          <w:tcPr>
            <w:tcW w:w="2552" w:type="dxa"/>
          </w:tcPr>
          <w:p w14:paraId="23C3F848" w14:textId="0848B9DC" w:rsidR="00A80AC5" w:rsidRPr="009F2E31" w:rsidRDefault="00A80AC5" w:rsidP="003866EB">
            <w:pPr>
              <w:spacing w:before="60" w:after="220"/>
              <w:rPr>
                <w:sz w:val="20"/>
                <w:lang w:val="fr-FR"/>
              </w:rPr>
            </w:pPr>
            <w:r w:rsidRPr="009F2E31">
              <w:rPr>
                <w:sz w:val="20"/>
                <w:lang w:val="fr-FR"/>
              </w:rPr>
              <w:lastRenderedPageBreak/>
              <w:t>Responsabilité solidaire entre vendeur, professionnel du marché de l’art et acheteur (Royaume</w:t>
            </w:r>
            <w:r w:rsidR="00FA1A0F">
              <w:rPr>
                <w:sz w:val="20"/>
                <w:lang w:val="fr-FR"/>
              </w:rPr>
              <w:noBreakHyphen/>
            </w:r>
            <w:r w:rsidRPr="009F2E31">
              <w:rPr>
                <w:sz w:val="20"/>
                <w:lang w:val="fr-FR"/>
              </w:rPr>
              <w:t>Uni)</w:t>
            </w:r>
          </w:p>
        </w:tc>
        <w:tc>
          <w:tcPr>
            <w:tcW w:w="3544" w:type="dxa"/>
          </w:tcPr>
          <w:p w14:paraId="3018ADD6" w14:textId="77777777" w:rsidR="00A80AC5" w:rsidRPr="009F2E31" w:rsidRDefault="00A80AC5" w:rsidP="003866EB">
            <w:pPr>
              <w:spacing w:before="60" w:after="60"/>
              <w:rPr>
                <w:iCs/>
                <w:sz w:val="20"/>
                <w:lang w:val="fr-FR"/>
              </w:rPr>
            </w:pPr>
            <w:r w:rsidRPr="009F2E31">
              <w:rPr>
                <w:iCs/>
                <w:sz w:val="20"/>
                <w:lang w:val="fr-FR"/>
              </w:rPr>
              <w:t>1) Sont conjointement et solidairement tenus au paiement du droit de suite dû au titre d’une vente :</w:t>
            </w:r>
          </w:p>
          <w:p w14:paraId="3DD1AFC0" w14:textId="77777777" w:rsidR="00A80AC5" w:rsidRPr="009F2E31" w:rsidRDefault="00A80AC5" w:rsidP="003866EB">
            <w:pPr>
              <w:pStyle w:val="ListParagraph"/>
              <w:numPr>
                <w:ilvl w:val="1"/>
                <w:numId w:val="3"/>
              </w:numPr>
              <w:tabs>
                <w:tab w:val="clear" w:pos="1134"/>
              </w:tabs>
              <w:spacing w:before="0" w:after="60"/>
              <w:ind w:left="191"/>
              <w:contextualSpacing w:val="0"/>
              <w:jc w:val="left"/>
              <w:rPr>
                <w:iCs/>
                <w:sz w:val="20"/>
                <w:szCs w:val="20"/>
              </w:rPr>
            </w:pPr>
            <w:proofErr w:type="gramStart"/>
            <w:r w:rsidRPr="009F2E31">
              <w:rPr>
                <w:iCs/>
                <w:sz w:val="20"/>
                <w:szCs w:val="20"/>
              </w:rPr>
              <w:t>le</w:t>
            </w:r>
            <w:proofErr w:type="gramEnd"/>
            <w:r w:rsidRPr="009F2E31">
              <w:rPr>
                <w:iCs/>
                <w:sz w:val="20"/>
                <w:szCs w:val="20"/>
              </w:rPr>
              <w:t xml:space="preserve"> vendeur;  et</w:t>
            </w:r>
          </w:p>
          <w:p w14:paraId="30503DC1" w14:textId="77777777" w:rsidR="00A80AC5" w:rsidRPr="009F2E31" w:rsidRDefault="00A80AC5" w:rsidP="003866EB">
            <w:pPr>
              <w:pStyle w:val="ListParagraph"/>
              <w:numPr>
                <w:ilvl w:val="1"/>
                <w:numId w:val="3"/>
              </w:numPr>
              <w:tabs>
                <w:tab w:val="clear" w:pos="1134"/>
              </w:tabs>
              <w:spacing w:before="0" w:after="120"/>
              <w:ind w:left="191"/>
              <w:contextualSpacing w:val="0"/>
              <w:jc w:val="left"/>
              <w:rPr>
                <w:iCs/>
                <w:sz w:val="20"/>
                <w:szCs w:val="20"/>
              </w:rPr>
            </w:pPr>
            <w:proofErr w:type="gramStart"/>
            <w:r w:rsidRPr="009F2E31">
              <w:rPr>
                <w:iCs/>
                <w:sz w:val="20"/>
                <w:szCs w:val="20"/>
              </w:rPr>
              <w:t>la</w:t>
            </w:r>
            <w:proofErr w:type="gramEnd"/>
            <w:r w:rsidRPr="009F2E31">
              <w:rPr>
                <w:iCs/>
                <w:sz w:val="20"/>
                <w:szCs w:val="20"/>
              </w:rPr>
              <w:t xml:space="preserve"> personne concernée (au sens du paragraphe 2)).</w:t>
            </w:r>
          </w:p>
          <w:p w14:paraId="115DE943" w14:textId="77777777" w:rsidR="00A80AC5" w:rsidRPr="009F2E31" w:rsidRDefault="00A80AC5" w:rsidP="003866EB">
            <w:pPr>
              <w:keepNext/>
              <w:keepLines/>
              <w:spacing w:after="60"/>
              <w:rPr>
                <w:iCs/>
                <w:sz w:val="20"/>
                <w:lang w:val="fr-FR"/>
              </w:rPr>
            </w:pPr>
            <w:r w:rsidRPr="009F2E31">
              <w:rPr>
                <w:iCs/>
                <w:sz w:val="20"/>
                <w:lang w:val="fr-FR"/>
              </w:rPr>
              <w:t>2) La personne concernée est :</w:t>
            </w:r>
          </w:p>
          <w:p w14:paraId="5ACA6224" w14:textId="77777777" w:rsidR="00A80AC5" w:rsidRPr="009F2E31" w:rsidRDefault="00A80AC5" w:rsidP="003866EB">
            <w:pPr>
              <w:pStyle w:val="ListParagraph"/>
              <w:numPr>
                <w:ilvl w:val="1"/>
                <w:numId w:val="24"/>
              </w:numPr>
              <w:tabs>
                <w:tab w:val="clear" w:pos="1134"/>
                <w:tab w:val="left" w:pos="610"/>
              </w:tabs>
              <w:spacing w:before="0" w:after="60"/>
              <w:ind w:left="191"/>
              <w:contextualSpacing w:val="0"/>
              <w:jc w:val="left"/>
              <w:rPr>
                <w:iCs/>
                <w:sz w:val="20"/>
                <w:szCs w:val="20"/>
              </w:rPr>
            </w:pPr>
            <w:proofErr w:type="gramStart"/>
            <w:r w:rsidRPr="009F2E31">
              <w:rPr>
                <w:iCs/>
                <w:sz w:val="20"/>
                <w:szCs w:val="20"/>
              </w:rPr>
              <w:t>l’agent</w:t>
            </w:r>
            <w:proofErr w:type="gramEnd"/>
            <w:r w:rsidRPr="009F2E31">
              <w:rPr>
                <w:iCs/>
                <w:sz w:val="20"/>
                <w:szCs w:val="20"/>
              </w:rPr>
              <w:t xml:space="preserve"> du vendeur;  ou</w:t>
            </w:r>
          </w:p>
          <w:p w14:paraId="2123DEC4" w14:textId="77777777" w:rsidR="00A80AC5" w:rsidRPr="009F2E31" w:rsidRDefault="00A80AC5" w:rsidP="003866EB">
            <w:pPr>
              <w:pStyle w:val="ListParagraph"/>
              <w:numPr>
                <w:ilvl w:val="1"/>
                <w:numId w:val="24"/>
              </w:numPr>
              <w:tabs>
                <w:tab w:val="clear" w:pos="1134"/>
                <w:tab w:val="left" w:pos="610"/>
              </w:tabs>
              <w:spacing w:before="0" w:after="60"/>
              <w:ind w:left="191"/>
              <w:contextualSpacing w:val="0"/>
              <w:jc w:val="left"/>
              <w:rPr>
                <w:iCs/>
                <w:sz w:val="20"/>
                <w:szCs w:val="20"/>
              </w:rPr>
            </w:pPr>
            <w:proofErr w:type="gramStart"/>
            <w:r w:rsidRPr="009F2E31">
              <w:rPr>
                <w:iCs/>
                <w:sz w:val="20"/>
                <w:szCs w:val="20"/>
              </w:rPr>
              <w:t>en</w:t>
            </w:r>
            <w:proofErr w:type="gramEnd"/>
            <w:r w:rsidRPr="009F2E31">
              <w:rPr>
                <w:iCs/>
                <w:sz w:val="20"/>
                <w:szCs w:val="20"/>
              </w:rPr>
              <w:t xml:space="preserve"> l’absence d’un tel agent, l’agent de l’acheteur;  ou</w:t>
            </w:r>
          </w:p>
          <w:p w14:paraId="7825B6F4" w14:textId="77777777" w:rsidR="00A80AC5" w:rsidRPr="009F2E31" w:rsidRDefault="00A80AC5" w:rsidP="003866EB">
            <w:pPr>
              <w:pStyle w:val="ListParagraph"/>
              <w:numPr>
                <w:ilvl w:val="1"/>
                <w:numId w:val="24"/>
              </w:numPr>
              <w:tabs>
                <w:tab w:val="clear" w:pos="1134"/>
                <w:tab w:val="left" w:pos="610"/>
              </w:tabs>
              <w:spacing w:before="0" w:after="120"/>
              <w:ind w:left="191"/>
              <w:contextualSpacing w:val="0"/>
              <w:jc w:val="left"/>
              <w:rPr>
                <w:iCs/>
                <w:sz w:val="20"/>
                <w:szCs w:val="20"/>
              </w:rPr>
            </w:pPr>
            <w:proofErr w:type="gramStart"/>
            <w:r w:rsidRPr="009F2E31">
              <w:rPr>
                <w:iCs/>
                <w:sz w:val="20"/>
                <w:szCs w:val="20"/>
              </w:rPr>
              <w:t>en</w:t>
            </w:r>
            <w:proofErr w:type="gramEnd"/>
            <w:r w:rsidRPr="009F2E31">
              <w:rPr>
                <w:iCs/>
                <w:sz w:val="20"/>
                <w:szCs w:val="20"/>
              </w:rPr>
              <w:t xml:space="preserve"> l’absence de tels agents, l’acheteur.</w:t>
            </w:r>
          </w:p>
          <w:p w14:paraId="59E89FDB" w14:textId="77777777" w:rsidR="00A80AC5" w:rsidRPr="009F2E31" w:rsidRDefault="00A80AC5" w:rsidP="003866EB">
            <w:pPr>
              <w:spacing w:after="120"/>
              <w:rPr>
                <w:iCs/>
                <w:sz w:val="20"/>
                <w:lang w:val="fr-FR"/>
              </w:rPr>
            </w:pPr>
            <w:r w:rsidRPr="009F2E31">
              <w:rPr>
                <w:iCs/>
                <w:sz w:val="20"/>
                <w:lang w:val="fr-FR"/>
              </w:rPr>
              <w:t xml:space="preserve">3) La responsabilité est engagée dès la réalisation de la </w:t>
            </w:r>
            <w:proofErr w:type="gramStart"/>
            <w:r w:rsidRPr="009F2E31">
              <w:rPr>
                <w:iCs/>
                <w:sz w:val="20"/>
                <w:lang w:val="fr-FR"/>
              </w:rPr>
              <w:t>vente;  toutefois</w:t>
            </w:r>
            <w:proofErr w:type="gramEnd"/>
            <w:r w:rsidRPr="009F2E31">
              <w:rPr>
                <w:iCs/>
                <w:sz w:val="20"/>
                <w:lang w:val="fr-FR"/>
              </w:rPr>
              <w:t>, la personne responsable peut retenir le paiement jusqu’à ce que la preuve du droit au paiement de la redevance soit apportée.</w:t>
            </w:r>
          </w:p>
          <w:p w14:paraId="4C498015" w14:textId="77777777" w:rsidR="00A80AC5" w:rsidRPr="009F2E31" w:rsidRDefault="00A80AC5" w:rsidP="002D7EE2">
            <w:pPr>
              <w:spacing w:after="220"/>
              <w:rPr>
                <w:iCs/>
                <w:sz w:val="20"/>
                <w:lang w:val="fr-FR"/>
              </w:rPr>
            </w:pPr>
            <w:r w:rsidRPr="009F2E31">
              <w:rPr>
                <w:iCs/>
                <w:sz w:val="20"/>
                <w:lang w:val="fr-FR"/>
              </w:rPr>
              <w:t>4) Toute obligation de payer une redevance de suite relative à un droit de suite qui appartient à deux ou plusieurs personnes en tant que propriétaires communs est acquittée par le paiement du montant total de la redevance à l’une de ces personnes</w:t>
            </w:r>
            <w:r w:rsidRPr="009F2E31">
              <w:rPr>
                <w:iCs/>
                <w:sz w:val="20"/>
                <w:vertAlign w:val="superscript"/>
                <w:lang w:val="fr-FR"/>
              </w:rPr>
              <w:footnoteReference w:id="86"/>
            </w:r>
            <w:r w:rsidRPr="009F2E31">
              <w:rPr>
                <w:iCs/>
                <w:sz w:val="20"/>
                <w:lang w:val="fr-FR"/>
              </w:rPr>
              <w:t>.</w:t>
            </w:r>
          </w:p>
        </w:tc>
        <w:tc>
          <w:tcPr>
            <w:tcW w:w="2693" w:type="dxa"/>
          </w:tcPr>
          <w:p w14:paraId="3AC37235" w14:textId="77777777" w:rsidR="00A80AC5" w:rsidRPr="009F2E31" w:rsidRDefault="00A80AC5" w:rsidP="003866EB">
            <w:pPr>
              <w:numPr>
                <w:ilvl w:val="0"/>
                <w:numId w:val="36"/>
              </w:numPr>
              <w:spacing w:before="60" w:after="120"/>
              <w:rPr>
                <w:sz w:val="20"/>
                <w:lang w:val="fr-FR"/>
              </w:rPr>
            </w:pPr>
            <w:r w:rsidRPr="009F2E31">
              <w:rPr>
                <w:sz w:val="20"/>
                <w:lang w:val="fr-FR"/>
              </w:rPr>
              <w:t>Cette disposition prévoit une cascade de responsabilités, du vendeur à l’agent du vendeur, à l’agent de l’acheteur et, enfin, à l’acheteur.</w:t>
            </w:r>
          </w:p>
          <w:p w14:paraId="77012727" w14:textId="77777777" w:rsidR="00A80AC5" w:rsidRPr="009F2E31" w:rsidRDefault="00A80AC5" w:rsidP="002D7EE2">
            <w:pPr>
              <w:numPr>
                <w:ilvl w:val="0"/>
                <w:numId w:val="36"/>
              </w:numPr>
              <w:spacing w:after="220"/>
              <w:rPr>
                <w:sz w:val="20"/>
                <w:lang w:val="fr-FR"/>
              </w:rPr>
            </w:pPr>
            <w:r w:rsidRPr="009F2E31">
              <w:rPr>
                <w:sz w:val="20"/>
                <w:lang w:val="fr-FR"/>
              </w:rPr>
              <w:t>En définitive, l’auteur ne perd pas son droit au droit de suite des artistes si l’une ou l’autre de ces parties est encore disponible.</w:t>
            </w:r>
          </w:p>
        </w:tc>
      </w:tr>
      <w:tr w:rsidR="00A80AC5" w:rsidRPr="00FD7E39" w14:paraId="1E5B9DF5" w14:textId="77777777" w:rsidTr="003866EB">
        <w:tc>
          <w:tcPr>
            <w:tcW w:w="2552" w:type="dxa"/>
          </w:tcPr>
          <w:p w14:paraId="1FB9050E" w14:textId="690EE245" w:rsidR="00A80AC5" w:rsidRPr="009F2E31" w:rsidRDefault="00A80AC5" w:rsidP="003866EB">
            <w:pPr>
              <w:spacing w:before="60" w:after="220"/>
              <w:rPr>
                <w:sz w:val="20"/>
                <w:lang w:val="fr-FR"/>
              </w:rPr>
            </w:pPr>
            <w:r w:rsidRPr="009F2E31">
              <w:rPr>
                <w:sz w:val="20"/>
                <w:lang w:val="fr-FR"/>
              </w:rPr>
              <w:t>Responsabilité conjointe et solidaire – formulation alternative (Australie)</w:t>
            </w:r>
          </w:p>
        </w:tc>
        <w:tc>
          <w:tcPr>
            <w:tcW w:w="3544" w:type="dxa"/>
          </w:tcPr>
          <w:p w14:paraId="1803BF5C" w14:textId="77777777" w:rsidR="00A80AC5" w:rsidRPr="009F2E31" w:rsidRDefault="00A80AC5" w:rsidP="003866EB">
            <w:pPr>
              <w:spacing w:before="60" w:after="60"/>
              <w:rPr>
                <w:iCs/>
                <w:sz w:val="20"/>
                <w:lang w:val="fr-FR"/>
              </w:rPr>
            </w:pPr>
            <w:r w:rsidRPr="009F2E31">
              <w:rPr>
                <w:iCs/>
                <w:sz w:val="20"/>
                <w:lang w:val="fr-FR"/>
              </w:rPr>
              <w:t>Les personnes suivantes sont conjointement et solidairement tenues de payer un droit de suite sur la revente commerciale d’une œuvre d’art :</w:t>
            </w:r>
          </w:p>
          <w:p w14:paraId="62D0EBA9" w14:textId="77777777" w:rsidR="00A80AC5" w:rsidRPr="009F2E31" w:rsidRDefault="00A80AC5" w:rsidP="003866EB">
            <w:pPr>
              <w:pStyle w:val="ListParagraph"/>
              <w:numPr>
                <w:ilvl w:val="1"/>
                <w:numId w:val="23"/>
              </w:numPr>
              <w:tabs>
                <w:tab w:val="clear" w:pos="1134"/>
                <w:tab w:val="left" w:pos="633"/>
              </w:tabs>
              <w:spacing w:before="0" w:after="60"/>
              <w:ind w:left="191"/>
              <w:contextualSpacing w:val="0"/>
              <w:jc w:val="left"/>
              <w:rPr>
                <w:iCs/>
                <w:sz w:val="20"/>
                <w:szCs w:val="20"/>
              </w:rPr>
            </w:pPr>
            <w:proofErr w:type="gramStart"/>
            <w:r w:rsidRPr="009F2E31">
              <w:rPr>
                <w:iCs/>
                <w:sz w:val="20"/>
                <w:szCs w:val="20"/>
              </w:rPr>
              <w:t>le</w:t>
            </w:r>
            <w:proofErr w:type="gramEnd"/>
            <w:r w:rsidRPr="009F2E31">
              <w:rPr>
                <w:iCs/>
                <w:sz w:val="20"/>
                <w:szCs w:val="20"/>
              </w:rPr>
              <w:t xml:space="preserve"> vendeur ou, s’il y a plus d’un vendeur, tous les vendeurs;  et</w:t>
            </w:r>
          </w:p>
          <w:p w14:paraId="03ED97ED" w14:textId="77777777" w:rsidR="00A80AC5" w:rsidRPr="009F2E31" w:rsidRDefault="00A80AC5" w:rsidP="003866EB">
            <w:pPr>
              <w:pStyle w:val="ListParagraph"/>
              <w:numPr>
                <w:ilvl w:val="1"/>
                <w:numId w:val="23"/>
              </w:numPr>
              <w:tabs>
                <w:tab w:val="clear" w:pos="1134"/>
                <w:tab w:val="left" w:pos="633"/>
              </w:tabs>
              <w:spacing w:before="0" w:after="60"/>
              <w:ind w:left="191"/>
              <w:contextualSpacing w:val="0"/>
              <w:jc w:val="left"/>
              <w:rPr>
                <w:iCs/>
                <w:sz w:val="20"/>
                <w:szCs w:val="20"/>
              </w:rPr>
            </w:pPr>
            <w:proofErr w:type="gramStart"/>
            <w:r w:rsidRPr="009F2E31">
              <w:rPr>
                <w:iCs/>
                <w:sz w:val="20"/>
                <w:szCs w:val="20"/>
              </w:rPr>
              <w:t>toute</w:t>
            </w:r>
            <w:proofErr w:type="gramEnd"/>
            <w:r w:rsidRPr="009F2E31">
              <w:rPr>
                <w:iCs/>
                <w:sz w:val="20"/>
                <w:szCs w:val="20"/>
              </w:rPr>
              <w:t xml:space="preserve"> personne agissant en qualité de professionnel du marché de l’art et de mandataire du vendeur;  et</w:t>
            </w:r>
          </w:p>
          <w:p w14:paraId="4CEA174B" w14:textId="77777777" w:rsidR="00A80AC5" w:rsidRPr="009F2E31" w:rsidRDefault="00A80AC5" w:rsidP="003866EB">
            <w:pPr>
              <w:pStyle w:val="ListParagraph"/>
              <w:numPr>
                <w:ilvl w:val="1"/>
                <w:numId w:val="23"/>
              </w:numPr>
              <w:tabs>
                <w:tab w:val="clear" w:pos="1134"/>
                <w:tab w:val="left" w:pos="633"/>
              </w:tabs>
              <w:spacing w:before="0" w:after="60"/>
              <w:ind w:left="191"/>
              <w:contextualSpacing w:val="0"/>
              <w:jc w:val="left"/>
              <w:rPr>
                <w:iCs/>
                <w:sz w:val="20"/>
                <w:szCs w:val="20"/>
              </w:rPr>
            </w:pPr>
            <w:proofErr w:type="gramStart"/>
            <w:r w:rsidRPr="009F2E31">
              <w:rPr>
                <w:iCs/>
                <w:sz w:val="20"/>
                <w:szCs w:val="20"/>
              </w:rPr>
              <w:t>à</w:t>
            </w:r>
            <w:proofErr w:type="gramEnd"/>
            <w:r w:rsidRPr="009F2E31">
              <w:rPr>
                <w:iCs/>
                <w:sz w:val="20"/>
                <w:szCs w:val="20"/>
              </w:rPr>
              <w:t xml:space="preserve"> défaut d’un tel mandataire, chaque personne agissant en qualité de professionnel du marché de l’art et de mandataire de l’acheteur;  et</w:t>
            </w:r>
          </w:p>
          <w:p w14:paraId="4B8C7AED" w14:textId="77777777" w:rsidR="00A80AC5" w:rsidRPr="009F2E31" w:rsidRDefault="00A80AC5" w:rsidP="003866EB">
            <w:pPr>
              <w:pStyle w:val="ListParagraph"/>
              <w:numPr>
                <w:ilvl w:val="1"/>
                <w:numId w:val="23"/>
              </w:numPr>
              <w:tabs>
                <w:tab w:val="clear" w:pos="1134"/>
                <w:tab w:val="left" w:pos="633"/>
              </w:tabs>
              <w:spacing w:before="0" w:after="220"/>
              <w:ind w:left="191"/>
              <w:contextualSpacing w:val="0"/>
              <w:jc w:val="left"/>
              <w:rPr>
                <w:iCs/>
                <w:sz w:val="20"/>
                <w:szCs w:val="20"/>
              </w:rPr>
            </w:pPr>
            <w:proofErr w:type="gramStart"/>
            <w:r w:rsidRPr="009F2E31">
              <w:rPr>
                <w:iCs/>
                <w:sz w:val="20"/>
                <w:szCs w:val="20"/>
              </w:rPr>
              <w:t>s’il</w:t>
            </w:r>
            <w:proofErr w:type="gramEnd"/>
            <w:r w:rsidRPr="009F2E31">
              <w:rPr>
                <w:iCs/>
                <w:sz w:val="20"/>
                <w:szCs w:val="20"/>
              </w:rPr>
              <w:t xml:space="preserve"> n’y a pas de tels agents, l’acheteur ou, s’il y a plus d’un acheteur, tous les acheteurs</w:t>
            </w:r>
            <w:r w:rsidRPr="009F2E31">
              <w:rPr>
                <w:sz w:val="20"/>
                <w:szCs w:val="20"/>
                <w:vertAlign w:val="superscript"/>
              </w:rPr>
              <w:footnoteReference w:id="87"/>
            </w:r>
            <w:r w:rsidRPr="009F2E31">
              <w:rPr>
                <w:iCs/>
                <w:sz w:val="20"/>
                <w:szCs w:val="20"/>
              </w:rPr>
              <w:t>.</w:t>
            </w:r>
          </w:p>
        </w:tc>
        <w:tc>
          <w:tcPr>
            <w:tcW w:w="2693" w:type="dxa"/>
          </w:tcPr>
          <w:p w14:paraId="6754B867" w14:textId="77777777" w:rsidR="00A80AC5" w:rsidRPr="009F2E31" w:rsidRDefault="00A80AC5" w:rsidP="003866EB">
            <w:pPr>
              <w:numPr>
                <w:ilvl w:val="0"/>
                <w:numId w:val="37"/>
              </w:numPr>
              <w:spacing w:before="60" w:after="120"/>
              <w:rPr>
                <w:sz w:val="20"/>
                <w:lang w:val="fr-FR"/>
              </w:rPr>
            </w:pPr>
            <w:r w:rsidRPr="009F2E31">
              <w:rPr>
                <w:sz w:val="20"/>
                <w:lang w:val="fr-FR"/>
              </w:rPr>
              <w:t>Un effet de cascade légèrement différent, jusqu’à l’acheteur à la fin.</w:t>
            </w:r>
          </w:p>
          <w:p w14:paraId="38332D3F" w14:textId="77777777" w:rsidR="00A80AC5" w:rsidRPr="009F2E31" w:rsidRDefault="00A80AC5" w:rsidP="002D7EE2">
            <w:pPr>
              <w:numPr>
                <w:ilvl w:val="0"/>
                <w:numId w:val="37"/>
              </w:numPr>
              <w:spacing w:after="220"/>
              <w:rPr>
                <w:sz w:val="20"/>
                <w:lang w:val="fr-FR"/>
              </w:rPr>
            </w:pPr>
            <w:r w:rsidRPr="009F2E31">
              <w:rPr>
                <w:sz w:val="20"/>
                <w:lang w:val="fr-FR"/>
              </w:rPr>
              <w:t>Permet aux vendeurs multiples, aux professionnels du marché de l’art et aux acheteurs de s’exprimer.</w:t>
            </w:r>
          </w:p>
        </w:tc>
      </w:tr>
      <w:tr w:rsidR="00A80AC5" w:rsidRPr="00FD7E39" w14:paraId="7C2B73B8" w14:textId="77777777" w:rsidTr="003866EB">
        <w:tc>
          <w:tcPr>
            <w:tcW w:w="2552" w:type="dxa"/>
          </w:tcPr>
          <w:p w14:paraId="3BC79233" w14:textId="3B70AF64" w:rsidR="00A80AC5" w:rsidRPr="009F2E31" w:rsidRDefault="00A80AC5" w:rsidP="003866EB">
            <w:pPr>
              <w:spacing w:before="60" w:after="220"/>
              <w:rPr>
                <w:sz w:val="20"/>
                <w:lang w:val="fr-FR"/>
              </w:rPr>
            </w:pPr>
            <w:r w:rsidRPr="009F2E31">
              <w:rPr>
                <w:sz w:val="20"/>
                <w:lang w:val="fr-FR"/>
              </w:rPr>
              <w:lastRenderedPageBreak/>
              <w:t>Professionnel du marché de l’art responsable au départ (France)</w:t>
            </w:r>
          </w:p>
        </w:tc>
        <w:tc>
          <w:tcPr>
            <w:tcW w:w="3544" w:type="dxa"/>
          </w:tcPr>
          <w:p w14:paraId="72409254" w14:textId="22285FE3" w:rsidR="00A80AC5" w:rsidRPr="009F2E31" w:rsidRDefault="00A80AC5" w:rsidP="003866EB">
            <w:pPr>
              <w:pStyle w:val="HTMLPreformatted"/>
              <w:keepLines/>
              <w:shd w:val="clear" w:color="auto" w:fill="F8F9FA"/>
              <w:spacing w:before="60"/>
              <w:rPr>
                <w:rFonts w:ascii="Arial" w:hAnsi="Arial" w:cs="Arial"/>
              </w:rPr>
            </w:pPr>
            <w:r w:rsidRPr="009F2E31">
              <w:rPr>
                <w:rFonts w:ascii="Arial" w:hAnsi="Arial" w:cs="Arial"/>
              </w:rPr>
              <w:t>I. – En cas de vente d’une œuvre originale graphique ou plastique aux enchères publiques, le professionnel du marché de l’art responsable du paiement du droit de suite est, selon le cas, la société de ventes volontaires ou le commissaire</w:t>
            </w:r>
            <w:r w:rsidR="00FA1A0F">
              <w:rPr>
                <w:rFonts w:ascii="Arial" w:hAnsi="Arial" w:cs="Arial"/>
              </w:rPr>
              <w:noBreakHyphen/>
            </w:r>
            <w:r w:rsidRPr="009F2E31">
              <w:rPr>
                <w:rFonts w:ascii="Arial" w:hAnsi="Arial" w:cs="Arial"/>
              </w:rPr>
              <w:t>priseur judiciaire.</w:t>
            </w:r>
          </w:p>
          <w:p w14:paraId="323A9E9F" w14:textId="77777777" w:rsidR="00A80AC5" w:rsidRPr="009F2E31" w:rsidRDefault="00A80AC5" w:rsidP="003866EB">
            <w:pPr>
              <w:pStyle w:val="HTMLPreformatted"/>
              <w:shd w:val="clear" w:color="auto" w:fill="F8F9FA"/>
              <w:rPr>
                <w:rFonts w:ascii="Arial" w:hAnsi="Arial" w:cs="Arial"/>
              </w:rPr>
            </w:pPr>
            <w:r w:rsidRPr="009F2E31">
              <w:rPr>
                <w:rFonts w:ascii="Arial" w:hAnsi="Arial" w:cs="Arial"/>
              </w:rPr>
              <w:t>II.  – Dans les autres cas, le professionnel du marché de l’art intervenant dans la vente est responsable du paiement du droit de suite.  Si la vente fait intervenir plusieurs professionnels, le professionnel responsable du paiement du droit de suite est :</w:t>
            </w:r>
          </w:p>
          <w:p w14:paraId="0DE40837" w14:textId="77777777" w:rsidR="00A80AC5" w:rsidRPr="009F2E31" w:rsidRDefault="00A80AC5" w:rsidP="003866EB">
            <w:pPr>
              <w:pStyle w:val="HTMLPreformatted"/>
              <w:shd w:val="clear" w:color="auto" w:fill="F8F9FA"/>
              <w:rPr>
                <w:rFonts w:ascii="Arial" w:hAnsi="Arial" w:cs="Arial"/>
              </w:rPr>
            </w:pPr>
            <w:r w:rsidRPr="009F2E31">
              <w:rPr>
                <w:rFonts w:ascii="Arial" w:hAnsi="Arial" w:cs="Arial"/>
              </w:rPr>
              <w:t xml:space="preserve">1° Le vendeur, s’il agit dans le cadre de son activité </w:t>
            </w:r>
            <w:proofErr w:type="gramStart"/>
            <w:r w:rsidRPr="009F2E31">
              <w:rPr>
                <w:rFonts w:ascii="Arial" w:hAnsi="Arial" w:cs="Arial"/>
              </w:rPr>
              <w:t>professionnelle;</w:t>
            </w:r>
            <w:proofErr w:type="gramEnd"/>
          </w:p>
          <w:p w14:paraId="001BE047" w14:textId="77777777" w:rsidR="00A80AC5" w:rsidRPr="009F2E31" w:rsidRDefault="00A80AC5" w:rsidP="003866EB">
            <w:pPr>
              <w:pStyle w:val="HTMLPreformatted"/>
              <w:shd w:val="clear" w:color="auto" w:fill="F8F9FA"/>
              <w:rPr>
                <w:rFonts w:ascii="Arial" w:hAnsi="Arial" w:cs="Arial"/>
              </w:rPr>
            </w:pPr>
            <w:r w:rsidRPr="009F2E31">
              <w:rPr>
                <w:rFonts w:ascii="Arial" w:hAnsi="Arial" w:cs="Arial"/>
              </w:rPr>
              <w:t xml:space="preserve">2° A défaut, le professionnel du marché de l’art qui reçoit, en tant qu’intermédiaire, le paiement de </w:t>
            </w:r>
            <w:proofErr w:type="gramStart"/>
            <w:r w:rsidRPr="009F2E31">
              <w:rPr>
                <w:rFonts w:ascii="Arial" w:hAnsi="Arial" w:cs="Arial"/>
              </w:rPr>
              <w:t>l’acheteur;</w:t>
            </w:r>
            <w:proofErr w:type="gramEnd"/>
          </w:p>
          <w:p w14:paraId="4877C368" w14:textId="77777777" w:rsidR="00A80AC5" w:rsidRPr="009F2E31" w:rsidRDefault="00A80AC5" w:rsidP="003866EB">
            <w:pPr>
              <w:pStyle w:val="HTMLPreformatted"/>
              <w:shd w:val="clear" w:color="auto" w:fill="F8F9FA"/>
              <w:rPr>
                <w:iCs/>
              </w:rPr>
            </w:pPr>
            <w:r w:rsidRPr="009F2E31">
              <w:rPr>
                <w:rFonts w:ascii="Arial" w:hAnsi="Arial" w:cs="Arial"/>
              </w:rPr>
              <w:t>3° A défaut, l’acheteur, s’il agit dans le cadre de son activité professionnelle</w:t>
            </w:r>
            <w:r w:rsidRPr="009F2E31">
              <w:rPr>
                <w:rStyle w:val="FootnoteReference"/>
                <w:rFonts w:ascii="Arial" w:hAnsi="Arial" w:cs="Arial"/>
              </w:rPr>
              <w:footnoteReference w:id="88"/>
            </w:r>
            <w:r w:rsidRPr="009F2E31">
              <w:rPr>
                <w:rFonts w:ascii="Arial" w:hAnsi="Arial" w:cs="Arial"/>
              </w:rPr>
              <w:t>.</w:t>
            </w:r>
          </w:p>
        </w:tc>
        <w:tc>
          <w:tcPr>
            <w:tcW w:w="2693" w:type="dxa"/>
          </w:tcPr>
          <w:p w14:paraId="35904ECA" w14:textId="77777777" w:rsidR="00A80AC5" w:rsidRPr="009F2E31" w:rsidRDefault="00A80AC5" w:rsidP="003866EB">
            <w:pPr>
              <w:numPr>
                <w:ilvl w:val="0"/>
                <w:numId w:val="37"/>
              </w:numPr>
              <w:spacing w:before="60" w:after="220"/>
              <w:rPr>
                <w:sz w:val="20"/>
                <w:lang w:val="fr-FR"/>
              </w:rPr>
            </w:pPr>
            <w:r w:rsidRPr="009F2E31">
              <w:rPr>
                <w:sz w:val="20"/>
                <w:lang w:val="fr-FR"/>
              </w:rPr>
              <w:t>Une autre façon de déterminer la responsabilité du paiement du droit de suite des artistes, en commençant par le professionnel du marché de l’art.</w:t>
            </w:r>
          </w:p>
        </w:tc>
      </w:tr>
    </w:tbl>
    <w:p w14:paraId="2A035FF8" w14:textId="6960EEC4" w:rsidR="00A80AC5" w:rsidRPr="00FD7E39" w:rsidRDefault="00A80AC5" w:rsidP="002D7EE2">
      <w:pPr>
        <w:pStyle w:val="Heading1"/>
      </w:pPr>
      <w:r w:rsidRPr="00FD7E39">
        <w:t>Comment le droit de suite des artistes est</w:t>
      </w:r>
      <w:r w:rsidR="00FA1A0F">
        <w:noBreakHyphen/>
      </w:r>
      <w:r w:rsidRPr="00FD7E39">
        <w:t xml:space="preserve">il </w:t>
      </w:r>
      <w:proofErr w:type="gramStart"/>
      <w:r w:rsidRPr="00FD7E39">
        <w:t>administr</w:t>
      </w:r>
      <w:r w:rsidR="007B2A4E">
        <w:t>é</w:t>
      </w:r>
      <w:r w:rsidRPr="00FD7E39">
        <w:t>?</w:t>
      </w:r>
      <w:proofErr w:type="gramEnd"/>
    </w:p>
    <w:p w14:paraId="5E8565F6" w14:textId="0630B3BB" w:rsidR="00A80AC5" w:rsidRPr="00FD7E39" w:rsidRDefault="00A80AC5" w:rsidP="002D7EE2">
      <w:pPr>
        <w:pStyle w:val="ONUMFS"/>
        <w:rPr>
          <w:lang w:val="fr-FR"/>
        </w:rPr>
      </w:pPr>
      <w:r w:rsidRPr="00FD7E39">
        <w:rPr>
          <w:lang w:val="fr-FR"/>
        </w:rPr>
        <w:t>Aucune directive spécifique à ce sujet n’est fournie par l’article 14</w:t>
      </w:r>
      <w:r w:rsidRPr="00FD7E39">
        <w:rPr>
          <w:i/>
          <w:lang w:val="fr-FR"/>
        </w:rPr>
        <w:t>ter</w:t>
      </w:r>
      <w:r w:rsidRPr="00FD7E39">
        <w:rPr>
          <w:lang w:val="fr-FR"/>
        </w:rPr>
        <w:t>, qui laisse aux législateurs nationaux un éventail d’options : il peut s’agir d’un droit que seul l’auteur peut faire valoir ou qui peut être exercé par une organisation de gestion collective sur une base volontaire ou obligatoire</w:t>
      </w:r>
      <w:r w:rsidRPr="00FD7E39">
        <w:rPr>
          <w:vertAlign w:val="superscript"/>
          <w:lang w:val="fr-FR"/>
        </w:rPr>
        <w:footnoteReference w:id="89"/>
      </w:r>
      <w:r w:rsidRPr="00FD7E39">
        <w:rPr>
          <w:lang w:val="fr-FR"/>
        </w:rPr>
        <w:t>.  Les pays ayant une longue tradition l’administration collective peuvent faire valoir que le droit de suite des artistes devrait faire l’objet d’une gestion collective obligatoire plutôt que facultative.  Cela peut être convaincant du point de vue de l’efficience et de l’efficacité, mais le présent instrument n’exprime pas une opinion dans un sens ou dans l’autre : c’est une question que les législateurs et les décideurs nationaux devraient déterminer eux</w:t>
      </w:r>
      <w:r w:rsidR="00FA1A0F">
        <w:rPr>
          <w:lang w:val="fr-FR"/>
        </w:rPr>
        <w:noBreakHyphen/>
      </w:r>
      <w:r w:rsidRPr="00FD7E39">
        <w:rPr>
          <w:lang w:val="fr-FR"/>
        </w:rPr>
        <w:t>mêmes, en tenant compte de leurs spécificités juridiques, sociales et culturelles.  La partie II du présent instrument aborde ces questions opérationnelles importantes de façon plus détaillée.</w:t>
      </w:r>
    </w:p>
    <w:p w14:paraId="3EA58966" w14:textId="77777777" w:rsidR="00A80AC5" w:rsidRPr="00FD7E39" w:rsidRDefault="00A80AC5" w:rsidP="002D7EE2">
      <w:pPr>
        <w:pStyle w:val="ONUMFS"/>
        <w:rPr>
          <w:lang w:val="fr-FR"/>
        </w:rPr>
      </w:pPr>
      <w:r w:rsidRPr="00FD7E39">
        <w:rPr>
          <w:lang w:val="fr-FR"/>
        </w:rPr>
        <w:t>Si la gestion collective, qu’elle soit obligatoire ou facultative, est prévue dans un régime de droit de suite des artistes national existant ou proposé, il peut être pratique de prévoir que cette gestion soit assurée par une organisation existante plutôt que par la création d’une nouvelle organisation spécifiquement chargée de cette tâche.  Si, dans l’idéal, la création d’une nouvelle organisation de gestion collective se consacrant uniquement au droit de suite des artistes est l’approche la plus souhaitable, dans certains pays, cela peut s’avérer impossible et il peut être plus pratique de confier ce rôle à une organisation de gestion collective existante qui opère dans des domaines connexes.</w:t>
      </w:r>
    </w:p>
    <w:p w14:paraId="6F94F1A2" w14:textId="6214AA10" w:rsidR="00A80AC5" w:rsidRPr="00FD7E39" w:rsidRDefault="00A80AC5" w:rsidP="00C02FC0">
      <w:pPr>
        <w:pStyle w:val="ONUMFS"/>
        <w:keepLines/>
        <w:rPr>
          <w:lang w:val="fr-FR"/>
        </w:rPr>
      </w:pPr>
      <w:r w:rsidRPr="00FD7E39">
        <w:rPr>
          <w:lang w:val="fr-FR"/>
        </w:rPr>
        <w:lastRenderedPageBreak/>
        <w:t>Les organisations de gestion collective peuvent également être habilitées à demander certaines informations sur les reventes qui ne sont pas disponibles pour les auteurs individuels.  En fonction du style législatif, ces questions peuvent ne pas être traitées dans la législation principale elle</w:t>
      </w:r>
      <w:r w:rsidR="00FA1A0F">
        <w:rPr>
          <w:lang w:val="fr-FR"/>
        </w:rPr>
        <w:noBreakHyphen/>
      </w:r>
      <w:r w:rsidRPr="00FD7E39">
        <w:rPr>
          <w:lang w:val="fr-FR"/>
        </w:rPr>
        <w:t>même, mais peuvent être laissées à l’appréciation d’une forme de législation subordonnée, telle qu’un règlement ou un décret</w:t>
      </w:r>
      <w:r w:rsidRPr="00FD7E39">
        <w:rPr>
          <w:vertAlign w:val="superscript"/>
          <w:lang w:val="fr-FR"/>
        </w:rPr>
        <w:footnoteReference w:id="90"/>
      </w:r>
      <w:r w:rsidRPr="00FD7E39">
        <w:rPr>
          <w:lang w:val="fr-FR"/>
        </w:rPr>
        <w:t>.  Ces questions sont abordées de façon plus détaillée dans la partie II du présent instrument, aux paragraphes 42 et suivants et dans le tableau 23.</w:t>
      </w:r>
    </w:p>
    <w:p w14:paraId="4006BD0D" w14:textId="77777777" w:rsidR="00A80AC5" w:rsidRPr="00FD7E39" w:rsidRDefault="00A80AC5" w:rsidP="002D7EE2">
      <w:pPr>
        <w:pStyle w:val="ONUMFS"/>
        <w:rPr>
          <w:lang w:val="fr-FR"/>
        </w:rPr>
      </w:pPr>
      <w:r w:rsidRPr="00FD7E39">
        <w:rPr>
          <w:lang w:val="fr-FR"/>
        </w:rPr>
        <w:t>Une question qui est parfois soulevée dans le contexte de l’application des droits est de savoir si la reconnaissance législative du droit de suite des artistes est nécessaire en premier lieu, étant donné qu’il peut y avoir d’autres moyens de protéger les intérêts des artistes dans la revente de leurs œuvres au moyen de contrats ou de technologies telles que les NFT, la chaîne de blocs ou encore les contrats intelligents.  Ces questions dépassent le cadre du présent instrument, qui porte sur la mise en œuvre de régimes législatifs dans le cadre de l’article 14</w:t>
      </w:r>
      <w:r w:rsidRPr="00FD7E39">
        <w:rPr>
          <w:i/>
          <w:iCs/>
          <w:lang w:val="fr-FR"/>
        </w:rPr>
        <w:t xml:space="preserve">ter </w:t>
      </w:r>
      <w:r w:rsidRPr="00FD7E39">
        <w:rPr>
          <w:lang w:val="fr-FR"/>
        </w:rPr>
        <w:t>de la Convention de Berne.  Toutefois, il convient de noter que ces approches ont suscité un intérêt considérable, en particulier dans les pays où la législation ne reconnaît pas encore officiellement le droit de suite des artistes</w:t>
      </w:r>
      <w:r w:rsidRPr="00FD7E39">
        <w:rPr>
          <w:rStyle w:val="FootnoteReference"/>
          <w:lang w:val="fr-FR"/>
        </w:rPr>
        <w:footnoteReference w:id="91"/>
      </w:r>
      <w:r w:rsidRPr="00FD7E39">
        <w:rPr>
          <w:lang w:val="fr-FR"/>
        </w:rPr>
        <w:t>, et il se peut qu’à l’avenir, elles soient utilement combinées à la mise en œuvre de régimes législatifs relatifs au droit de suite des artistes.  Cela dit, si l’on se fie uniquement aux solutions contractuelles, telles que les clauses par lesquelles les acheteurs d’une œuvre s’engagent à reverser un droit de suite à l’auteur original, des problèmes de défaut de lien contractuel peuvent survenir tout au long de la chaîne de contrats entre le vendeur, l’intermédiaire et l’acheteur.  Des problèmes techniques peuvent également survenir lorsque les NFT et la chaîne de blocs sont utilisés</w:t>
      </w:r>
      <w:r w:rsidRPr="00FD7E39">
        <w:rPr>
          <w:rStyle w:val="FootnoteReference"/>
          <w:lang w:val="fr-FR"/>
        </w:rPr>
        <w:footnoteReference w:id="92"/>
      </w:r>
      <w:r w:rsidRPr="00FD7E39">
        <w:rPr>
          <w:lang w:val="fr-FR"/>
        </w:rPr>
        <w:t xml:space="preserve"> et que les acheteurs ultérieurs ne reversent pas leur droit de suite ou ne sont pas tenus de le faire</w:t>
      </w:r>
      <w:r w:rsidRPr="00FD7E39">
        <w:rPr>
          <w:rStyle w:val="FootnoteReference"/>
          <w:lang w:val="fr-FR"/>
        </w:rPr>
        <w:footnoteReference w:id="93"/>
      </w:r>
      <w:r w:rsidRPr="00FD7E39">
        <w:rPr>
          <w:lang w:val="fr-FR"/>
        </w:rPr>
        <w:t>.  Au cœur de ces solutions contractuelles et technologiques se trouve la question du droit de l’artiste original à réclamer le paiement d’un droit de suite, en l’absence d’une reconnaissance juridique claire de ce droit.  Logiquement, cela souligne la nécessité de reconnaître ce droit dans le droit national, et c’est la fonction du droit énoncé à l’article 14</w:t>
      </w:r>
      <w:r w:rsidRPr="00FD7E39">
        <w:rPr>
          <w:i/>
          <w:iCs/>
          <w:lang w:val="fr-FR"/>
        </w:rPr>
        <w:t>bis de</w:t>
      </w:r>
      <w:r w:rsidRPr="00FD7E39">
        <w:rPr>
          <w:lang w:val="fr-FR"/>
        </w:rPr>
        <w:t xml:space="preserve"> la Convention de Berne.  Par conséquent, le présent instrument s’intéresse principalement à la création et à la mise en œuvre d’un tel droit dans les législations nationales, plutôt qu’à d’autres solutions qui pourraient bien apporter des compléments bénéfiques aux régimes de droit de suite.</w:t>
      </w:r>
    </w:p>
    <w:p w14:paraId="5D8F7676" w14:textId="77777777" w:rsidR="00A80AC5" w:rsidRPr="00FD7E39" w:rsidRDefault="00A80AC5" w:rsidP="002D7EE2">
      <w:pPr>
        <w:pStyle w:val="Heading2"/>
      </w:pPr>
      <w:r w:rsidRPr="00FD7E39">
        <w:lastRenderedPageBreak/>
        <w:t>Tableau 10</w:t>
      </w:r>
    </w:p>
    <w:tbl>
      <w:tblPr>
        <w:tblStyle w:val="TableGrid"/>
        <w:tblW w:w="5000" w:type="pct"/>
        <w:tblLook w:val="04A0" w:firstRow="1" w:lastRow="0" w:firstColumn="1" w:lastColumn="0" w:noHBand="0" w:noVBand="1"/>
      </w:tblPr>
      <w:tblGrid>
        <w:gridCol w:w="1749"/>
        <w:gridCol w:w="3802"/>
        <w:gridCol w:w="3794"/>
      </w:tblGrid>
      <w:tr w:rsidR="00A80AC5" w:rsidRPr="00FD7E39" w14:paraId="044A51B1" w14:textId="77777777" w:rsidTr="00D93A25">
        <w:trPr>
          <w:trHeight w:val="555"/>
        </w:trPr>
        <w:tc>
          <w:tcPr>
            <w:tcW w:w="936" w:type="pct"/>
          </w:tcPr>
          <w:p w14:paraId="63C0656E" w14:textId="77777777" w:rsidR="00A80AC5" w:rsidRPr="00FD7E39" w:rsidRDefault="00A80AC5" w:rsidP="002D7EE2">
            <w:pPr>
              <w:keepNext/>
              <w:spacing w:after="220"/>
              <w:rPr>
                <w:bCs/>
                <w:lang w:val="fr-FR"/>
              </w:rPr>
            </w:pPr>
            <w:r w:rsidRPr="00FD7E39">
              <w:rPr>
                <w:b/>
                <w:bCs/>
                <w:lang w:val="fr-FR"/>
              </w:rPr>
              <w:t>Type de disposition</w:t>
            </w:r>
          </w:p>
        </w:tc>
        <w:tc>
          <w:tcPr>
            <w:tcW w:w="2034" w:type="pct"/>
          </w:tcPr>
          <w:p w14:paraId="6700219F" w14:textId="77777777" w:rsidR="00A80AC5" w:rsidRPr="00FD7E39" w:rsidRDefault="00A80AC5" w:rsidP="002D7EE2">
            <w:pPr>
              <w:keepNext/>
              <w:spacing w:after="220"/>
              <w:rPr>
                <w:bCs/>
                <w:lang w:val="fr-FR"/>
              </w:rPr>
            </w:pPr>
            <w:r w:rsidRPr="00FD7E39">
              <w:rPr>
                <w:b/>
                <w:bCs/>
                <w:lang w:val="fr-FR"/>
              </w:rPr>
              <w:t>Texte suggéré</w:t>
            </w:r>
          </w:p>
        </w:tc>
        <w:tc>
          <w:tcPr>
            <w:tcW w:w="2030" w:type="pct"/>
          </w:tcPr>
          <w:p w14:paraId="0B16C9D9" w14:textId="77777777" w:rsidR="00A80AC5" w:rsidRPr="00FD7E39" w:rsidRDefault="00A80AC5" w:rsidP="002D7EE2">
            <w:pPr>
              <w:keepNext/>
              <w:spacing w:after="220"/>
              <w:rPr>
                <w:bCs/>
                <w:lang w:val="fr-FR"/>
              </w:rPr>
            </w:pPr>
            <w:r w:rsidRPr="00FD7E39">
              <w:rPr>
                <w:b/>
                <w:bCs/>
                <w:lang w:val="fr-FR"/>
              </w:rPr>
              <w:t>Observations</w:t>
            </w:r>
          </w:p>
        </w:tc>
      </w:tr>
      <w:tr w:rsidR="00A80AC5" w:rsidRPr="00FD7E39" w14:paraId="43DFF990" w14:textId="77777777" w:rsidTr="009F2E31">
        <w:trPr>
          <w:trHeight w:val="1235"/>
        </w:trPr>
        <w:tc>
          <w:tcPr>
            <w:tcW w:w="936" w:type="pct"/>
          </w:tcPr>
          <w:p w14:paraId="322CAE32" w14:textId="6D056844" w:rsidR="00A80AC5" w:rsidRPr="009F2E31" w:rsidRDefault="00A80AC5" w:rsidP="003866EB">
            <w:pPr>
              <w:spacing w:before="60" w:after="220"/>
              <w:rPr>
                <w:bCs/>
                <w:sz w:val="20"/>
                <w:szCs w:val="18"/>
                <w:lang w:val="fr-FR"/>
              </w:rPr>
            </w:pPr>
            <w:r w:rsidRPr="009F2E31">
              <w:rPr>
                <w:bCs/>
                <w:sz w:val="20"/>
                <w:szCs w:val="18"/>
                <w:lang w:val="fr-FR"/>
              </w:rPr>
              <w:t>Article 14</w:t>
            </w:r>
            <w:r w:rsidRPr="009F2E31">
              <w:rPr>
                <w:bCs/>
                <w:i/>
                <w:iCs/>
                <w:sz w:val="20"/>
                <w:szCs w:val="18"/>
                <w:lang w:val="fr-FR"/>
              </w:rPr>
              <w:t>ter</w:t>
            </w:r>
            <w:r w:rsidRPr="009F2E31">
              <w:rPr>
                <w:bCs/>
                <w:sz w:val="20"/>
                <w:szCs w:val="18"/>
                <w:lang w:val="fr-FR"/>
              </w:rPr>
              <w:t>.3) de la Convention de Berne</w:t>
            </w:r>
          </w:p>
        </w:tc>
        <w:tc>
          <w:tcPr>
            <w:tcW w:w="2034" w:type="pct"/>
          </w:tcPr>
          <w:p w14:paraId="77238529" w14:textId="77777777" w:rsidR="00A80AC5" w:rsidRPr="009F2E31" w:rsidRDefault="00A80AC5" w:rsidP="003866EB">
            <w:pPr>
              <w:spacing w:before="60" w:after="220"/>
              <w:rPr>
                <w:iCs/>
                <w:sz w:val="20"/>
                <w:szCs w:val="18"/>
                <w:lang w:val="fr-FR"/>
              </w:rPr>
            </w:pPr>
            <w:r w:rsidRPr="009F2E31">
              <w:rPr>
                <w:iCs/>
                <w:sz w:val="20"/>
                <w:szCs w:val="18"/>
                <w:lang w:val="fr-FR"/>
              </w:rPr>
              <w:t>Les modalités et les taux de la perception [des droits de suite des artistes] sont déterminés par chaque législation nationale.</w:t>
            </w:r>
          </w:p>
        </w:tc>
        <w:tc>
          <w:tcPr>
            <w:tcW w:w="2030" w:type="pct"/>
          </w:tcPr>
          <w:p w14:paraId="28B85D4C" w14:textId="77777777" w:rsidR="00A80AC5" w:rsidRPr="009F2E31" w:rsidRDefault="00A80AC5" w:rsidP="003866EB">
            <w:pPr>
              <w:numPr>
                <w:ilvl w:val="0"/>
                <w:numId w:val="38"/>
              </w:numPr>
              <w:spacing w:before="60" w:after="220"/>
              <w:rPr>
                <w:bCs/>
                <w:sz w:val="20"/>
                <w:szCs w:val="18"/>
                <w:lang w:val="fr-FR"/>
              </w:rPr>
            </w:pPr>
            <w:r w:rsidRPr="009F2E31">
              <w:rPr>
                <w:bCs/>
                <w:sz w:val="20"/>
                <w:szCs w:val="18"/>
                <w:lang w:val="fr-FR"/>
              </w:rPr>
              <w:t>La question est du ressort du droit national.</w:t>
            </w:r>
          </w:p>
        </w:tc>
      </w:tr>
      <w:tr w:rsidR="00A80AC5" w:rsidRPr="00FD7E39" w14:paraId="2C68C5BB" w14:textId="77777777" w:rsidTr="009F2E31">
        <w:trPr>
          <w:trHeight w:val="1692"/>
        </w:trPr>
        <w:tc>
          <w:tcPr>
            <w:tcW w:w="936" w:type="pct"/>
          </w:tcPr>
          <w:p w14:paraId="0275D1B3" w14:textId="037DE9D9" w:rsidR="00A80AC5" w:rsidRPr="009F2E31" w:rsidRDefault="00A80AC5" w:rsidP="003866EB">
            <w:pPr>
              <w:spacing w:before="60" w:after="220"/>
              <w:rPr>
                <w:bCs/>
                <w:sz w:val="20"/>
                <w:szCs w:val="18"/>
                <w:lang w:val="fr-FR"/>
              </w:rPr>
            </w:pPr>
            <w:r w:rsidRPr="009F2E31">
              <w:rPr>
                <w:bCs/>
                <w:sz w:val="20"/>
                <w:szCs w:val="18"/>
                <w:lang w:val="fr-FR"/>
              </w:rPr>
              <w:t>Gestion collective laissée comme option (CE)</w:t>
            </w:r>
          </w:p>
        </w:tc>
        <w:tc>
          <w:tcPr>
            <w:tcW w:w="2034" w:type="pct"/>
          </w:tcPr>
          <w:p w14:paraId="7CFA5EF8" w14:textId="77777777" w:rsidR="00A80AC5" w:rsidRPr="009F2E31" w:rsidRDefault="00A80AC5" w:rsidP="003866EB">
            <w:pPr>
              <w:spacing w:before="60" w:after="120"/>
              <w:rPr>
                <w:iCs/>
                <w:sz w:val="20"/>
                <w:szCs w:val="18"/>
                <w:lang w:val="fr-FR"/>
              </w:rPr>
            </w:pPr>
            <w:r w:rsidRPr="009F2E31">
              <w:rPr>
                <w:iCs/>
                <w:sz w:val="20"/>
                <w:szCs w:val="18"/>
                <w:lang w:val="fr-FR"/>
              </w:rPr>
              <w:t>Art. 6.2</w:t>
            </w:r>
          </w:p>
          <w:p w14:paraId="2C1A50F9" w14:textId="77777777" w:rsidR="00A80AC5" w:rsidRPr="009F2E31" w:rsidRDefault="00A80AC5" w:rsidP="003866EB">
            <w:pPr>
              <w:spacing w:before="60" w:after="220"/>
              <w:rPr>
                <w:iCs/>
                <w:sz w:val="20"/>
                <w:szCs w:val="18"/>
                <w:lang w:val="fr-FR"/>
              </w:rPr>
            </w:pPr>
            <w:r w:rsidRPr="009F2E31">
              <w:rPr>
                <w:iCs/>
                <w:sz w:val="20"/>
                <w:szCs w:val="18"/>
                <w:lang w:val="fr-FR"/>
              </w:rPr>
              <w:t>2.  Les États membres peuvent prévoir la gestion collective obligatoire ou facultative du droit prévu à l’article 1</w:t>
            </w:r>
            <w:r w:rsidRPr="009F2E31">
              <w:rPr>
                <w:iCs/>
                <w:sz w:val="20"/>
                <w:szCs w:val="18"/>
                <w:vertAlign w:val="superscript"/>
                <w:lang w:val="fr-FR"/>
              </w:rPr>
              <w:t>er</w:t>
            </w:r>
            <w:r w:rsidRPr="009F2E31">
              <w:rPr>
                <w:rStyle w:val="FootnoteReference"/>
                <w:iCs/>
                <w:sz w:val="20"/>
                <w:szCs w:val="18"/>
                <w:lang w:val="fr-FR"/>
              </w:rPr>
              <w:footnoteReference w:id="94"/>
            </w:r>
            <w:r w:rsidRPr="009F2E31">
              <w:rPr>
                <w:iCs/>
                <w:sz w:val="20"/>
                <w:szCs w:val="18"/>
                <w:lang w:val="fr-FR"/>
              </w:rPr>
              <w:t>.</w:t>
            </w:r>
          </w:p>
        </w:tc>
        <w:tc>
          <w:tcPr>
            <w:tcW w:w="2030" w:type="pct"/>
          </w:tcPr>
          <w:p w14:paraId="08A13B33" w14:textId="51CA1B88" w:rsidR="00A80AC5" w:rsidRPr="009F2E31" w:rsidRDefault="00A80AC5" w:rsidP="003866EB">
            <w:pPr>
              <w:numPr>
                <w:ilvl w:val="0"/>
                <w:numId w:val="38"/>
              </w:numPr>
              <w:spacing w:before="60" w:after="220"/>
              <w:rPr>
                <w:bCs/>
                <w:sz w:val="20"/>
                <w:szCs w:val="18"/>
                <w:lang w:val="fr-FR"/>
              </w:rPr>
            </w:pPr>
            <w:r w:rsidRPr="009F2E31">
              <w:rPr>
                <w:bCs/>
                <w:sz w:val="20"/>
                <w:szCs w:val="18"/>
                <w:lang w:val="fr-FR"/>
              </w:rPr>
              <w:t>Le droit de l’Union européenne laisse aux législations nationales le soin de déterminer si elles adopteront la gestion collective et, dans l’affirmative, si celle</w:t>
            </w:r>
            <w:r w:rsidR="00FA1A0F">
              <w:rPr>
                <w:bCs/>
                <w:sz w:val="20"/>
                <w:szCs w:val="18"/>
                <w:lang w:val="fr-FR"/>
              </w:rPr>
              <w:noBreakHyphen/>
            </w:r>
            <w:r w:rsidRPr="009F2E31">
              <w:rPr>
                <w:bCs/>
                <w:sz w:val="20"/>
                <w:szCs w:val="18"/>
                <w:lang w:val="fr-FR"/>
              </w:rPr>
              <w:t>ci sera obligatoire ou facultative.</w:t>
            </w:r>
          </w:p>
        </w:tc>
      </w:tr>
      <w:tr w:rsidR="00A80AC5" w:rsidRPr="00FD7E39" w14:paraId="11E1E03F" w14:textId="77777777" w:rsidTr="009F2E31">
        <w:trPr>
          <w:trHeight w:val="1611"/>
        </w:trPr>
        <w:tc>
          <w:tcPr>
            <w:tcW w:w="936" w:type="pct"/>
          </w:tcPr>
          <w:p w14:paraId="4A76653C" w14:textId="1080E81A" w:rsidR="00A80AC5" w:rsidRPr="009F2E31" w:rsidRDefault="00A80AC5" w:rsidP="003866EB">
            <w:pPr>
              <w:spacing w:before="60" w:after="220"/>
              <w:rPr>
                <w:bCs/>
                <w:sz w:val="20"/>
                <w:szCs w:val="18"/>
                <w:lang w:val="fr-FR"/>
              </w:rPr>
            </w:pPr>
            <w:r w:rsidRPr="009F2E31">
              <w:rPr>
                <w:bCs/>
                <w:sz w:val="20"/>
                <w:szCs w:val="18"/>
                <w:lang w:val="fr-FR"/>
              </w:rPr>
              <w:t>Autres options adoptées dans les législations nationales</w:t>
            </w:r>
          </w:p>
        </w:tc>
        <w:tc>
          <w:tcPr>
            <w:tcW w:w="2034" w:type="pct"/>
          </w:tcPr>
          <w:p w14:paraId="3B168185" w14:textId="77777777" w:rsidR="00A80AC5" w:rsidRPr="009F2E31" w:rsidRDefault="00A80AC5" w:rsidP="003866EB">
            <w:pPr>
              <w:spacing w:before="60" w:after="220"/>
              <w:rPr>
                <w:iCs/>
                <w:sz w:val="20"/>
                <w:szCs w:val="18"/>
                <w:lang w:val="fr-FR"/>
              </w:rPr>
            </w:pPr>
            <w:r w:rsidRPr="009F2E31">
              <w:rPr>
                <w:iCs/>
                <w:sz w:val="20"/>
                <w:szCs w:val="18"/>
                <w:lang w:val="fr-FR"/>
              </w:rPr>
              <w:t>Voir également le tableau 19 de la partie II pour des exemples de dispositions des lois nationales traitant des modalités de mise en œuvre des régimes nationaux de droit de suite des artistes.</w:t>
            </w:r>
          </w:p>
        </w:tc>
        <w:tc>
          <w:tcPr>
            <w:tcW w:w="2030" w:type="pct"/>
          </w:tcPr>
          <w:p w14:paraId="6973932C" w14:textId="77777777" w:rsidR="00A80AC5" w:rsidRPr="009F2E31" w:rsidRDefault="00A80AC5" w:rsidP="003866EB">
            <w:pPr>
              <w:spacing w:before="60" w:after="220"/>
              <w:ind w:left="360"/>
              <w:rPr>
                <w:bCs/>
                <w:sz w:val="20"/>
                <w:szCs w:val="18"/>
                <w:lang w:val="fr-FR"/>
              </w:rPr>
            </w:pPr>
          </w:p>
        </w:tc>
      </w:tr>
    </w:tbl>
    <w:p w14:paraId="21647B86" w14:textId="4EE00669" w:rsidR="00A80AC5" w:rsidRPr="00FD7E39" w:rsidRDefault="00A80AC5" w:rsidP="002D7EE2">
      <w:pPr>
        <w:pStyle w:val="Heading1"/>
      </w:pPr>
      <w:r w:rsidRPr="00FD7E39">
        <w:t>Dur</w:t>
      </w:r>
      <w:r w:rsidR="007B2A4E">
        <w:t>é</w:t>
      </w:r>
      <w:r w:rsidRPr="00FD7E39">
        <w:t>e du droit de suite des artistes</w:t>
      </w:r>
    </w:p>
    <w:p w14:paraId="26E384B8" w14:textId="77777777" w:rsidR="00A80AC5" w:rsidRPr="00FD7E39" w:rsidRDefault="00A80AC5" w:rsidP="002D7EE2">
      <w:pPr>
        <w:pStyle w:val="ONUMFS"/>
        <w:rPr>
          <w:lang w:val="fr-FR"/>
        </w:rPr>
      </w:pPr>
      <w:r w:rsidRPr="00FD7E39">
        <w:rPr>
          <w:lang w:val="fr-FR"/>
        </w:rPr>
        <w:t>Généralement, elle est liée à la durée des droits patrimoniaux sur l’œuvre soumise au droit de suite des artistes, sachant que l’article 14</w:t>
      </w:r>
      <w:r w:rsidRPr="00FD7E39">
        <w:rPr>
          <w:i/>
          <w:lang w:val="fr-FR"/>
        </w:rPr>
        <w:t>t</w:t>
      </w:r>
      <w:r w:rsidRPr="00FD7E39">
        <w:rPr>
          <w:i/>
          <w:iCs/>
          <w:lang w:val="fr-FR"/>
        </w:rPr>
        <w:t>er</w:t>
      </w:r>
      <w:r w:rsidRPr="00FD7E39">
        <w:rPr>
          <w:lang w:val="fr-FR"/>
        </w:rPr>
        <w:t xml:space="preserve"> de la Convention de Berne ne contient aucune prescription à cet égard, bien qu’il envisage clairement que le droit de suite des artistes puisse subsister après le décès de l’artiste.  Lorsqu’une loi nationale lie le droit de suite des artistes aux autres droits patrimoniaux, il n’est pas nécessaire d’indiquer une durée de protection spécifique, car la durée générale de protection des œuvres littéraires et artistiques s’appliquera – la vie de l’auteur et 50 ans après sa mort selon la durée minimale de la Convention de Berne et la durée de vie et 70 ans après sa mort dans la CE et dans certains autres pays comme l’Australie (et plus longtemps encore, dans certains autres).</w:t>
      </w:r>
    </w:p>
    <w:p w14:paraId="016753CD" w14:textId="775DC67F" w:rsidR="00A80AC5" w:rsidRPr="00FD7E39" w:rsidRDefault="00A80AC5" w:rsidP="002D7EE2">
      <w:pPr>
        <w:pStyle w:val="ONUMFS"/>
        <w:rPr>
          <w:lang w:val="fr-FR"/>
        </w:rPr>
      </w:pPr>
      <w:r w:rsidRPr="00FD7E39">
        <w:rPr>
          <w:lang w:val="fr-FR"/>
        </w:rPr>
        <w:t>Néanmoins, les législateurs nationaux peuvent souhaiter stipuler la durée de protection du droit de suite des artistes par souci de transparence.  Un exemple notable est celui du Mexique, avec une durée de cent ans après la mort de l’auteur</w:t>
      </w:r>
      <w:r w:rsidRPr="00FD7E39">
        <w:rPr>
          <w:vertAlign w:val="superscript"/>
          <w:lang w:val="fr-FR"/>
        </w:rPr>
        <w:footnoteReference w:id="95"/>
      </w:r>
      <w:r w:rsidRPr="00FD7E39">
        <w:rPr>
          <w:lang w:val="fr-FR"/>
        </w:rPr>
        <w:t>.  Des exemples de dispositions sont contenus dans le tableau ci</w:t>
      </w:r>
      <w:r w:rsidR="00FA1A0F">
        <w:rPr>
          <w:lang w:val="fr-FR"/>
        </w:rPr>
        <w:noBreakHyphen/>
      </w:r>
      <w:r w:rsidRPr="00FD7E39">
        <w:rPr>
          <w:lang w:val="fr-FR"/>
        </w:rPr>
        <w:t>dessous.</w:t>
      </w:r>
    </w:p>
    <w:p w14:paraId="7406817D" w14:textId="77777777" w:rsidR="00A80AC5" w:rsidRPr="00FD7E39" w:rsidRDefault="00A80AC5" w:rsidP="002D7EE2">
      <w:pPr>
        <w:pStyle w:val="Heading2"/>
      </w:pPr>
      <w:r w:rsidRPr="00FD7E39">
        <w:lastRenderedPageBreak/>
        <w:t>Tableau 11</w:t>
      </w:r>
    </w:p>
    <w:tbl>
      <w:tblPr>
        <w:tblStyle w:val="TableGrid"/>
        <w:tblW w:w="0" w:type="auto"/>
        <w:tblInd w:w="-5" w:type="dxa"/>
        <w:tblLook w:val="04A0" w:firstRow="1" w:lastRow="0" w:firstColumn="1" w:lastColumn="0" w:noHBand="0" w:noVBand="1"/>
      </w:tblPr>
      <w:tblGrid>
        <w:gridCol w:w="2268"/>
        <w:gridCol w:w="3261"/>
        <w:gridCol w:w="3486"/>
      </w:tblGrid>
      <w:tr w:rsidR="00A80AC5" w:rsidRPr="00FD7E39" w14:paraId="5AF02429" w14:textId="77777777" w:rsidTr="00E548E4">
        <w:tc>
          <w:tcPr>
            <w:tcW w:w="2268" w:type="dxa"/>
          </w:tcPr>
          <w:p w14:paraId="38A28416" w14:textId="77777777" w:rsidR="00A80AC5" w:rsidRPr="00FD7E39" w:rsidRDefault="00A80AC5" w:rsidP="00EF001E">
            <w:pPr>
              <w:keepNext/>
              <w:spacing w:after="220"/>
              <w:rPr>
                <w:lang w:val="fr-FR"/>
              </w:rPr>
            </w:pPr>
            <w:r w:rsidRPr="00FD7E39">
              <w:rPr>
                <w:b/>
                <w:lang w:val="fr-FR"/>
              </w:rPr>
              <w:t>Type de disposition</w:t>
            </w:r>
          </w:p>
        </w:tc>
        <w:tc>
          <w:tcPr>
            <w:tcW w:w="3261" w:type="dxa"/>
          </w:tcPr>
          <w:p w14:paraId="4DB1FFC1" w14:textId="77777777" w:rsidR="00A80AC5" w:rsidRPr="00FD7E39" w:rsidRDefault="00A80AC5" w:rsidP="00EF001E">
            <w:pPr>
              <w:keepNext/>
              <w:spacing w:after="220"/>
              <w:rPr>
                <w:lang w:val="fr-FR"/>
              </w:rPr>
            </w:pPr>
            <w:r w:rsidRPr="00FD7E39">
              <w:rPr>
                <w:b/>
                <w:lang w:val="fr-FR"/>
              </w:rPr>
              <w:t>Texte suggéré</w:t>
            </w:r>
          </w:p>
        </w:tc>
        <w:tc>
          <w:tcPr>
            <w:tcW w:w="3486" w:type="dxa"/>
          </w:tcPr>
          <w:p w14:paraId="40AD7F0E" w14:textId="77777777" w:rsidR="00A80AC5" w:rsidRPr="00FD7E39" w:rsidRDefault="00A80AC5" w:rsidP="00EF001E">
            <w:pPr>
              <w:keepNext/>
              <w:spacing w:after="220"/>
              <w:rPr>
                <w:lang w:val="fr-FR"/>
              </w:rPr>
            </w:pPr>
            <w:r w:rsidRPr="00FD7E39">
              <w:rPr>
                <w:b/>
                <w:lang w:val="fr-FR"/>
              </w:rPr>
              <w:t>Observations</w:t>
            </w:r>
          </w:p>
        </w:tc>
      </w:tr>
      <w:tr w:rsidR="00A80AC5" w:rsidRPr="00FD7E39" w14:paraId="4EA8684B" w14:textId="77777777" w:rsidTr="00E548E4">
        <w:tc>
          <w:tcPr>
            <w:tcW w:w="2268" w:type="dxa"/>
          </w:tcPr>
          <w:p w14:paraId="49A81E33" w14:textId="2522A313" w:rsidR="00A80AC5" w:rsidRPr="009F2E31" w:rsidRDefault="00A80AC5" w:rsidP="00EF001E">
            <w:pPr>
              <w:spacing w:before="60" w:after="220"/>
              <w:rPr>
                <w:sz w:val="20"/>
                <w:szCs w:val="18"/>
                <w:lang w:val="fr-FR"/>
              </w:rPr>
            </w:pPr>
            <w:r w:rsidRPr="009F2E31">
              <w:rPr>
                <w:sz w:val="20"/>
                <w:szCs w:val="18"/>
                <w:lang w:val="fr-FR"/>
              </w:rPr>
              <w:t>Disposition simple liant le droit de suite des artistes aux droits patrimoniaux (Royaume</w:t>
            </w:r>
            <w:r w:rsidR="00FA1A0F">
              <w:rPr>
                <w:sz w:val="20"/>
                <w:szCs w:val="18"/>
                <w:lang w:val="fr-FR"/>
              </w:rPr>
              <w:noBreakHyphen/>
            </w:r>
            <w:r w:rsidRPr="009F2E31">
              <w:rPr>
                <w:sz w:val="20"/>
                <w:szCs w:val="18"/>
                <w:lang w:val="fr-FR"/>
              </w:rPr>
              <w:t>Uni)</w:t>
            </w:r>
          </w:p>
        </w:tc>
        <w:tc>
          <w:tcPr>
            <w:tcW w:w="3261" w:type="dxa"/>
          </w:tcPr>
          <w:p w14:paraId="519B542E" w14:textId="77777777" w:rsidR="00A80AC5" w:rsidRPr="009F2E31" w:rsidRDefault="00A80AC5" w:rsidP="00EF001E">
            <w:pPr>
              <w:spacing w:before="60" w:after="220"/>
              <w:rPr>
                <w:iCs/>
                <w:sz w:val="20"/>
                <w:szCs w:val="18"/>
                <w:lang w:val="fr-FR"/>
              </w:rPr>
            </w:pPr>
            <w:r w:rsidRPr="009F2E31">
              <w:rPr>
                <w:iCs/>
                <w:sz w:val="20"/>
                <w:szCs w:val="18"/>
                <w:lang w:val="fr-FR"/>
              </w:rPr>
              <w:t>Le droit de suite dans une œuvre continue de subsister tant que le droit d’auteur existe sur l’œuvre</w:t>
            </w:r>
            <w:r w:rsidRPr="009F2E31">
              <w:rPr>
                <w:iCs/>
                <w:sz w:val="20"/>
                <w:szCs w:val="18"/>
                <w:vertAlign w:val="superscript"/>
                <w:lang w:val="fr-FR"/>
              </w:rPr>
              <w:footnoteReference w:id="96"/>
            </w:r>
            <w:r w:rsidRPr="009F2E31">
              <w:rPr>
                <w:iCs/>
                <w:sz w:val="20"/>
                <w:szCs w:val="18"/>
                <w:lang w:val="fr-FR"/>
              </w:rPr>
              <w:t>.</w:t>
            </w:r>
          </w:p>
        </w:tc>
        <w:tc>
          <w:tcPr>
            <w:tcW w:w="3486" w:type="dxa"/>
          </w:tcPr>
          <w:p w14:paraId="4EF957C1" w14:textId="77777777" w:rsidR="00A80AC5" w:rsidRPr="009F2E31" w:rsidRDefault="00A80AC5" w:rsidP="00EF001E">
            <w:pPr>
              <w:spacing w:before="60" w:after="220"/>
              <w:rPr>
                <w:sz w:val="20"/>
                <w:szCs w:val="18"/>
                <w:lang w:val="fr-FR"/>
              </w:rPr>
            </w:pPr>
            <w:r w:rsidRPr="009F2E31">
              <w:rPr>
                <w:sz w:val="20"/>
                <w:szCs w:val="18"/>
                <w:lang w:val="fr-FR"/>
              </w:rPr>
              <w:t>Le droit de suite des artistes continue aussi longtemps que le droit d’auteur existe sur l’œuvre soumise au droit de suite des artistes, par exemple, cela peut être entre 50 et 100 ans</w:t>
            </w:r>
            <w:r w:rsidRPr="009F2E31">
              <w:rPr>
                <w:sz w:val="20"/>
                <w:szCs w:val="18"/>
                <w:vertAlign w:val="superscript"/>
                <w:lang w:val="fr-FR"/>
              </w:rPr>
              <w:footnoteReference w:id="97"/>
            </w:r>
            <w:r w:rsidRPr="009F2E31">
              <w:rPr>
                <w:sz w:val="20"/>
                <w:szCs w:val="18"/>
                <w:lang w:val="fr-FR"/>
              </w:rPr>
              <w:t xml:space="preserve"> après la mort de l’auteur, selon les dispositions des lois nationales sur le droit d’auteur.</w:t>
            </w:r>
          </w:p>
        </w:tc>
      </w:tr>
      <w:tr w:rsidR="00A80AC5" w:rsidRPr="00FD7E39" w14:paraId="0C219611" w14:textId="77777777" w:rsidTr="00E548E4">
        <w:tc>
          <w:tcPr>
            <w:tcW w:w="2268" w:type="dxa"/>
          </w:tcPr>
          <w:p w14:paraId="2DB5F5A4" w14:textId="7041BDFE" w:rsidR="00A80AC5" w:rsidRPr="009F2E31" w:rsidRDefault="00A80AC5" w:rsidP="00EF001E">
            <w:pPr>
              <w:keepLines/>
              <w:spacing w:before="60" w:after="220"/>
              <w:rPr>
                <w:sz w:val="20"/>
                <w:szCs w:val="18"/>
                <w:lang w:val="fr-FR"/>
              </w:rPr>
            </w:pPr>
            <w:r w:rsidRPr="009F2E31">
              <w:rPr>
                <w:sz w:val="20"/>
                <w:szCs w:val="18"/>
                <w:lang w:val="fr-FR"/>
              </w:rPr>
              <w:t>Disposition précisant une durée spécifique (qui peut être la même que pour d’autres droits) mais traitant également le cas des œuvres à auteurs multiples (Australie)</w:t>
            </w:r>
          </w:p>
        </w:tc>
        <w:tc>
          <w:tcPr>
            <w:tcW w:w="3261" w:type="dxa"/>
          </w:tcPr>
          <w:p w14:paraId="389D59BD" w14:textId="77777777" w:rsidR="00A80AC5" w:rsidRPr="009F2E31" w:rsidRDefault="00A80AC5" w:rsidP="00EF001E">
            <w:pPr>
              <w:keepLines/>
              <w:spacing w:before="60" w:after="120"/>
              <w:rPr>
                <w:b/>
                <w:bCs/>
                <w:iCs/>
                <w:sz w:val="20"/>
                <w:szCs w:val="18"/>
                <w:lang w:val="fr-FR"/>
              </w:rPr>
            </w:pPr>
            <w:r w:rsidRPr="009F2E31">
              <w:rPr>
                <w:b/>
                <w:bCs/>
                <w:iCs/>
                <w:sz w:val="20"/>
                <w:szCs w:val="18"/>
                <w:lang w:val="fr-FR"/>
              </w:rPr>
              <w:t>32 Durée du droit de suite</w:t>
            </w:r>
          </w:p>
          <w:p w14:paraId="0788743E" w14:textId="77777777" w:rsidR="00A80AC5" w:rsidRPr="009F2E31" w:rsidRDefault="00A80AC5" w:rsidP="00EF001E">
            <w:pPr>
              <w:keepLines/>
              <w:spacing w:after="60"/>
              <w:rPr>
                <w:iCs/>
                <w:sz w:val="20"/>
                <w:szCs w:val="18"/>
                <w:lang w:val="fr-FR"/>
              </w:rPr>
            </w:pPr>
            <w:r w:rsidRPr="009F2E31">
              <w:rPr>
                <w:iCs/>
                <w:sz w:val="20"/>
                <w:szCs w:val="18"/>
                <w:lang w:val="fr-FR"/>
              </w:rPr>
              <w:t>Le droit de suite subsiste sur une œuvre originale jusqu’à la fin des 70 ans après :</w:t>
            </w:r>
          </w:p>
          <w:p w14:paraId="18E01411" w14:textId="77777777" w:rsidR="00A80AC5" w:rsidRPr="009F2E31" w:rsidRDefault="00A80AC5" w:rsidP="00EF001E">
            <w:pPr>
              <w:pStyle w:val="ListParagraph"/>
              <w:keepLines/>
              <w:numPr>
                <w:ilvl w:val="1"/>
                <w:numId w:val="3"/>
              </w:numPr>
              <w:tabs>
                <w:tab w:val="clear" w:pos="1134"/>
                <w:tab w:val="left" w:pos="552"/>
              </w:tabs>
              <w:spacing w:before="0" w:after="60"/>
              <w:ind w:left="176"/>
              <w:contextualSpacing w:val="0"/>
              <w:jc w:val="left"/>
              <w:rPr>
                <w:iCs/>
                <w:sz w:val="20"/>
                <w:szCs w:val="18"/>
              </w:rPr>
            </w:pPr>
            <w:proofErr w:type="gramStart"/>
            <w:r w:rsidRPr="009F2E31">
              <w:rPr>
                <w:iCs/>
                <w:sz w:val="20"/>
                <w:szCs w:val="18"/>
              </w:rPr>
              <w:t>s’il</w:t>
            </w:r>
            <w:proofErr w:type="gramEnd"/>
            <w:r w:rsidRPr="009F2E31">
              <w:rPr>
                <w:iCs/>
                <w:sz w:val="20"/>
                <w:szCs w:val="18"/>
              </w:rPr>
              <w:t xml:space="preserve"> n’y a qu’un seul artiste pour l’œuvre d’art – la fin de l’année civile au cours de laquelle l’artiste décède;  ou</w:t>
            </w:r>
          </w:p>
          <w:p w14:paraId="676E83B9" w14:textId="77777777" w:rsidR="00A80AC5" w:rsidRPr="009F2E31" w:rsidRDefault="00A80AC5" w:rsidP="00EF001E">
            <w:pPr>
              <w:pStyle w:val="ListParagraph"/>
              <w:keepLines/>
              <w:numPr>
                <w:ilvl w:val="1"/>
                <w:numId w:val="3"/>
              </w:numPr>
              <w:tabs>
                <w:tab w:val="clear" w:pos="1134"/>
                <w:tab w:val="left" w:pos="552"/>
              </w:tabs>
              <w:spacing w:before="0" w:after="220"/>
              <w:ind w:left="176"/>
              <w:contextualSpacing w:val="0"/>
              <w:jc w:val="left"/>
              <w:rPr>
                <w:sz w:val="20"/>
                <w:szCs w:val="18"/>
              </w:rPr>
            </w:pPr>
            <w:proofErr w:type="gramStart"/>
            <w:r w:rsidRPr="009F2E31">
              <w:rPr>
                <w:sz w:val="20"/>
                <w:szCs w:val="18"/>
              </w:rPr>
              <w:t>s’il</w:t>
            </w:r>
            <w:proofErr w:type="gramEnd"/>
            <w:r w:rsidRPr="009F2E31">
              <w:rPr>
                <w:sz w:val="20"/>
                <w:szCs w:val="18"/>
              </w:rPr>
              <w:t xml:space="preserve"> y a plus d’un artiste pour l’œuvre d’art, alors, par rapport à la proportion du droit de suite détenu par ou via un artiste particulier – la fin de l’année civile au cours de laquelle l’artiste décède</w:t>
            </w:r>
            <w:r w:rsidRPr="009F2E31">
              <w:rPr>
                <w:sz w:val="20"/>
                <w:szCs w:val="18"/>
                <w:vertAlign w:val="superscript"/>
              </w:rPr>
              <w:footnoteReference w:id="98"/>
            </w:r>
            <w:r w:rsidRPr="009F2E31">
              <w:rPr>
                <w:sz w:val="20"/>
                <w:szCs w:val="18"/>
              </w:rPr>
              <w:t>.</w:t>
            </w:r>
          </w:p>
        </w:tc>
        <w:tc>
          <w:tcPr>
            <w:tcW w:w="3486" w:type="dxa"/>
          </w:tcPr>
          <w:p w14:paraId="6EFFBA99" w14:textId="77777777" w:rsidR="00EF001E" w:rsidRDefault="00A80AC5" w:rsidP="00EF001E">
            <w:pPr>
              <w:keepLines/>
              <w:numPr>
                <w:ilvl w:val="0"/>
                <w:numId w:val="39"/>
              </w:numPr>
              <w:spacing w:before="60" w:after="60"/>
              <w:rPr>
                <w:sz w:val="20"/>
                <w:szCs w:val="18"/>
                <w:lang w:val="fr-FR"/>
              </w:rPr>
            </w:pPr>
            <w:r w:rsidRPr="009F2E31">
              <w:rPr>
                <w:sz w:val="20"/>
                <w:szCs w:val="18"/>
                <w:lang w:val="fr-FR"/>
              </w:rPr>
              <w:t xml:space="preserve">Commence par le cas habituel d’un seul auteur.  </w:t>
            </w:r>
          </w:p>
          <w:p w14:paraId="0DAB9FE4" w14:textId="1A9C10EB" w:rsidR="00A80AC5" w:rsidRPr="009F2E31" w:rsidRDefault="00A80AC5" w:rsidP="00EF001E">
            <w:pPr>
              <w:keepLines/>
              <w:numPr>
                <w:ilvl w:val="0"/>
                <w:numId w:val="39"/>
              </w:numPr>
              <w:spacing w:before="60" w:after="220"/>
              <w:rPr>
                <w:sz w:val="20"/>
                <w:szCs w:val="18"/>
                <w:lang w:val="fr-FR"/>
              </w:rPr>
            </w:pPr>
            <w:r w:rsidRPr="009F2E31">
              <w:rPr>
                <w:sz w:val="20"/>
                <w:szCs w:val="18"/>
                <w:lang w:val="fr-FR"/>
              </w:rPr>
              <w:t>Puis traite des œuvres avec plus d’un artiste.  À noter cependant que l’expression “plus d’un artiste” peut être plus large que l’expression “œuvre de collaboration” qui suppose en général un certain degré de collaboration entre les auteurs et à l’égard de laquelle l’article 7</w:t>
            </w:r>
            <w:r w:rsidRPr="009F2E31">
              <w:rPr>
                <w:i/>
                <w:iCs/>
                <w:sz w:val="20"/>
                <w:szCs w:val="18"/>
                <w:lang w:val="fr-FR"/>
              </w:rPr>
              <w:t>bis</w:t>
            </w:r>
            <w:r w:rsidRPr="009F2E31">
              <w:rPr>
                <w:sz w:val="20"/>
                <w:szCs w:val="18"/>
                <w:lang w:val="fr-FR"/>
              </w:rPr>
              <w:t xml:space="preserve"> de la Convention de Berne prévoit que la durée de la protection dans son ensemble devrait être liée à la mort du dernier auteur survivant</w:t>
            </w:r>
            <w:r w:rsidRPr="009F2E31">
              <w:rPr>
                <w:rStyle w:val="FootnoteReference"/>
                <w:sz w:val="20"/>
                <w:szCs w:val="18"/>
                <w:lang w:val="fr-FR"/>
              </w:rPr>
              <w:footnoteReference w:id="99"/>
            </w:r>
            <w:r w:rsidRPr="009F2E31">
              <w:rPr>
                <w:sz w:val="20"/>
                <w:szCs w:val="18"/>
                <w:lang w:val="fr-FR"/>
              </w:rPr>
              <w:t>.</w:t>
            </w:r>
            <w:r w:rsidR="00EF001E">
              <w:rPr>
                <w:sz w:val="20"/>
                <w:szCs w:val="18"/>
                <w:lang w:val="fr-FR"/>
              </w:rPr>
              <w:t xml:space="preserve">  </w:t>
            </w:r>
            <w:r w:rsidRPr="009F2E31">
              <w:rPr>
                <w:sz w:val="20"/>
                <w:szCs w:val="18"/>
                <w:lang w:val="fr-FR"/>
              </w:rPr>
              <w:t>Cependant, la disposition ici n’adopte pas cette approche, de sorte que la part du droit de suite des artistes en cas d’artistes multiples expirera à des moments différents, en fonction de la date du décès de l’artiste, qui peut être différente aussi de la durée de protection des autres droits patrimoniaux sur l’œuvre.</w:t>
            </w:r>
          </w:p>
        </w:tc>
      </w:tr>
      <w:tr w:rsidR="00A80AC5" w:rsidRPr="00FD7E39" w14:paraId="19DB9B97" w14:textId="77777777" w:rsidTr="00E548E4">
        <w:tc>
          <w:tcPr>
            <w:tcW w:w="2268" w:type="dxa"/>
          </w:tcPr>
          <w:p w14:paraId="7F86D267" w14:textId="3CD6D5A9" w:rsidR="00A80AC5" w:rsidRPr="009F2E31" w:rsidRDefault="00A80AC5" w:rsidP="00C02FC0">
            <w:pPr>
              <w:keepLines/>
              <w:spacing w:before="60" w:after="220"/>
              <w:rPr>
                <w:sz w:val="20"/>
                <w:szCs w:val="18"/>
                <w:lang w:val="fr-FR"/>
              </w:rPr>
            </w:pPr>
            <w:r w:rsidRPr="009F2E31">
              <w:rPr>
                <w:sz w:val="20"/>
                <w:szCs w:val="18"/>
                <w:lang w:val="fr-FR"/>
              </w:rPr>
              <w:lastRenderedPageBreak/>
              <w:t>Autre disposition prévoyant une durée de protection spécifique (Nouvelle</w:t>
            </w:r>
            <w:r w:rsidR="00FA1A0F">
              <w:rPr>
                <w:sz w:val="20"/>
                <w:szCs w:val="18"/>
                <w:lang w:val="fr-FR"/>
              </w:rPr>
              <w:noBreakHyphen/>
            </w:r>
            <w:r w:rsidRPr="009F2E31">
              <w:rPr>
                <w:sz w:val="20"/>
                <w:szCs w:val="18"/>
                <w:lang w:val="fr-FR"/>
              </w:rPr>
              <w:t>Zélande)</w:t>
            </w:r>
          </w:p>
        </w:tc>
        <w:tc>
          <w:tcPr>
            <w:tcW w:w="3261" w:type="dxa"/>
          </w:tcPr>
          <w:p w14:paraId="7242BD84" w14:textId="77777777" w:rsidR="00A80AC5" w:rsidRPr="009F2E31" w:rsidRDefault="00A80AC5" w:rsidP="00C02FC0">
            <w:pPr>
              <w:keepLines/>
              <w:spacing w:before="60" w:after="120"/>
              <w:rPr>
                <w:b/>
                <w:bCs/>
                <w:iCs/>
                <w:sz w:val="20"/>
                <w:szCs w:val="18"/>
                <w:lang w:val="fr-FR"/>
              </w:rPr>
            </w:pPr>
            <w:r w:rsidRPr="009F2E31">
              <w:rPr>
                <w:b/>
                <w:bCs/>
                <w:iCs/>
                <w:sz w:val="20"/>
                <w:szCs w:val="18"/>
                <w:lang w:val="fr-FR"/>
              </w:rPr>
              <w:t>15 Durée de protection du droit de suite</w:t>
            </w:r>
          </w:p>
          <w:p w14:paraId="056D53CA" w14:textId="77777777" w:rsidR="00A80AC5" w:rsidRPr="009F2E31" w:rsidRDefault="00A80AC5" w:rsidP="00C02FC0">
            <w:pPr>
              <w:keepLines/>
              <w:spacing w:after="120"/>
              <w:rPr>
                <w:iCs/>
                <w:sz w:val="20"/>
                <w:szCs w:val="18"/>
                <w:lang w:val="fr-FR"/>
              </w:rPr>
            </w:pPr>
            <w:r w:rsidRPr="009F2E31">
              <w:rPr>
                <w:iCs/>
                <w:sz w:val="20"/>
                <w:szCs w:val="18"/>
                <w:lang w:val="fr-FR"/>
              </w:rPr>
              <w:t>1) Cet article définit la période pendant laquelle la revente remplissant les conditions requises d’une œuvre d’art visuelle originale donne lieu à un droit de suite.</w:t>
            </w:r>
          </w:p>
          <w:p w14:paraId="4E340FF9" w14:textId="77777777" w:rsidR="00A80AC5" w:rsidRPr="009F2E31" w:rsidRDefault="00A80AC5" w:rsidP="00C02FC0">
            <w:pPr>
              <w:keepLines/>
              <w:spacing w:after="60"/>
              <w:rPr>
                <w:iCs/>
                <w:sz w:val="20"/>
                <w:szCs w:val="18"/>
                <w:lang w:val="fr-FR"/>
              </w:rPr>
            </w:pPr>
            <w:r w:rsidRPr="009F2E31">
              <w:rPr>
                <w:iCs/>
                <w:sz w:val="20"/>
                <w:szCs w:val="18"/>
                <w:lang w:val="fr-FR"/>
              </w:rPr>
              <w:t>2) Cette période commence à la création de l’œuvre et se termine à la fin du dernier jour (date d’expiration) de la période suivante :</w:t>
            </w:r>
          </w:p>
          <w:p w14:paraId="3E55A803" w14:textId="77777777" w:rsidR="00A80AC5" w:rsidRPr="009F2E31" w:rsidRDefault="00A80AC5" w:rsidP="00C02FC0">
            <w:pPr>
              <w:keepLines/>
              <w:spacing w:after="60"/>
              <w:rPr>
                <w:iCs/>
                <w:sz w:val="20"/>
                <w:szCs w:val="18"/>
                <w:lang w:val="fr-FR"/>
              </w:rPr>
            </w:pPr>
            <w:r w:rsidRPr="009F2E31">
              <w:rPr>
                <w:iCs/>
                <w:sz w:val="20"/>
                <w:szCs w:val="18"/>
                <w:lang w:val="fr-FR"/>
              </w:rPr>
              <w:t xml:space="preserve">a) si l’œuvre est créée par un seul artiste, la période de 50 ans suivant la fin de l’année civile au cours de laquelle l’artiste </w:t>
            </w:r>
            <w:proofErr w:type="gramStart"/>
            <w:r w:rsidRPr="009F2E31">
              <w:rPr>
                <w:iCs/>
                <w:sz w:val="20"/>
                <w:szCs w:val="18"/>
                <w:lang w:val="fr-FR"/>
              </w:rPr>
              <w:t>décède;</w:t>
            </w:r>
            <w:proofErr w:type="gramEnd"/>
          </w:p>
          <w:p w14:paraId="771B4BC9" w14:textId="77777777" w:rsidR="00A80AC5" w:rsidRPr="009F2E31" w:rsidRDefault="00A80AC5" w:rsidP="00C02FC0">
            <w:pPr>
              <w:keepLines/>
              <w:spacing w:after="120"/>
              <w:rPr>
                <w:iCs/>
                <w:sz w:val="20"/>
                <w:szCs w:val="18"/>
                <w:lang w:val="fr-FR"/>
              </w:rPr>
            </w:pPr>
            <w:r w:rsidRPr="009F2E31">
              <w:rPr>
                <w:iCs/>
                <w:sz w:val="20"/>
                <w:szCs w:val="18"/>
                <w:lang w:val="fr-FR"/>
              </w:rPr>
              <w:t>b) si l’œuvre est créée conjointement par deux artistes ou plus, la période de 50 ans suivant la fin de l’année civile au cours de laquelle le dernier de ces artistes décède.</w:t>
            </w:r>
          </w:p>
        </w:tc>
        <w:tc>
          <w:tcPr>
            <w:tcW w:w="3486" w:type="dxa"/>
          </w:tcPr>
          <w:p w14:paraId="6D374FE8" w14:textId="77777777" w:rsidR="00A80AC5" w:rsidRPr="009F2E31" w:rsidRDefault="00A80AC5" w:rsidP="00C02FC0">
            <w:pPr>
              <w:keepLines/>
              <w:numPr>
                <w:ilvl w:val="0"/>
                <w:numId w:val="39"/>
              </w:numPr>
              <w:spacing w:before="60" w:after="60"/>
              <w:rPr>
                <w:sz w:val="20"/>
                <w:szCs w:val="18"/>
                <w:lang w:val="fr-FR"/>
              </w:rPr>
            </w:pPr>
            <w:r w:rsidRPr="009F2E31">
              <w:rPr>
                <w:sz w:val="20"/>
                <w:szCs w:val="18"/>
                <w:lang w:val="fr-FR"/>
              </w:rPr>
              <w:t>S’applique uniquement à la durée de vie plus 50 ans, comme le prévoit la Convention de Berne.</w:t>
            </w:r>
          </w:p>
          <w:p w14:paraId="7E017B14" w14:textId="77777777" w:rsidR="00A80AC5" w:rsidRPr="009F2E31" w:rsidRDefault="00A80AC5" w:rsidP="002D7EE2">
            <w:pPr>
              <w:keepLines/>
              <w:numPr>
                <w:ilvl w:val="0"/>
                <w:numId w:val="39"/>
              </w:numPr>
              <w:spacing w:after="220"/>
              <w:rPr>
                <w:sz w:val="20"/>
                <w:szCs w:val="18"/>
                <w:lang w:val="fr-FR"/>
              </w:rPr>
            </w:pPr>
            <w:r w:rsidRPr="009F2E31">
              <w:rPr>
                <w:sz w:val="20"/>
                <w:szCs w:val="18"/>
                <w:lang w:val="fr-FR"/>
              </w:rPr>
              <w:t>La disposition concernant plusieurs auteurs est conforme à l’article 7</w:t>
            </w:r>
            <w:r w:rsidRPr="009F2E31">
              <w:rPr>
                <w:i/>
                <w:iCs/>
                <w:sz w:val="20"/>
                <w:szCs w:val="18"/>
                <w:lang w:val="fr-FR"/>
              </w:rPr>
              <w:t>bis</w:t>
            </w:r>
            <w:r w:rsidRPr="009F2E31">
              <w:rPr>
                <w:sz w:val="20"/>
                <w:szCs w:val="18"/>
                <w:lang w:val="fr-FR"/>
              </w:rPr>
              <w:t xml:space="preserve"> de la Convention de Berne.</w:t>
            </w:r>
          </w:p>
        </w:tc>
      </w:tr>
      <w:tr w:rsidR="00A80AC5" w:rsidRPr="00FD7E39" w14:paraId="67D855E1" w14:textId="77777777" w:rsidTr="00E548E4">
        <w:tc>
          <w:tcPr>
            <w:tcW w:w="2268" w:type="dxa"/>
          </w:tcPr>
          <w:p w14:paraId="18ECA3EF" w14:textId="08B245F9" w:rsidR="00A80AC5" w:rsidRPr="009F2E31" w:rsidRDefault="00A80AC5" w:rsidP="00C02FC0">
            <w:pPr>
              <w:keepLines/>
              <w:spacing w:before="60" w:after="220"/>
              <w:rPr>
                <w:sz w:val="20"/>
                <w:szCs w:val="18"/>
                <w:lang w:val="fr-FR"/>
              </w:rPr>
            </w:pPr>
            <w:r w:rsidRPr="009F2E31">
              <w:rPr>
                <w:sz w:val="20"/>
                <w:szCs w:val="18"/>
                <w:lang w:val="fr-FR"/>
              </w:rPr>
              <w:t>Lien entre la durée de protection du droit de suite et la durée de protection des droits patrimoniaux en général (Brésil)</w:t>
            </w:r>
          </w:p>
        </w:tc>
        <w:tc>
          <w:tcPr>
            <w:tcW w:w="3261" w:type="dxa"/>
          </w:tcPr>
          <w:p w14:paraId="4959C484" w14:textId="77777777" w:rsidR="00A80AC5" w:rsidRPr="009F2E31" w:rsidRDefault="00A80AC5" w:rsidP="00C02FC0">
            <w:pPr>
              <w:keepLines/>
              <w:spacing w:before="60" w:after="220"/>
              <w:rPr>
                <w:iCs/>
                <w:sz w:val="20"/>
                <w:szCs w:val="18"/>
                <w:lang w:val="fr-FR"/>
              </w:rPr>
            </w:pPr>
            <w:r w:rsidRPr="009F2E31">
              <w:rPr>
                <w:iCs/>
                <w:sz w:val="20"/>
                <w:szCs w:val="18"/>
                <w:lang w:val="fr-FR"/>
              </w:rPr>
              <w:t>Les droits patrimoniaux de l’auteur sont protégés pendant une durée de 70 ans à compter de la date du 1</w:t>
            </w:r>
            <w:r w:rsidRPr="009F2E31">
              <w:rPr>
                <w:iCs/>
                <w:sz w:val="20"/>
                <w:szCs w:val="18"/>
                <w:vertAlign w:val="superscript"/>
                <w:lang w:val="fr-FR"/>
              </w:rPr>
              <w:t>er</w:t>
            </w:r>
            <w:r w:rsidRPr="009F2E31">
              <w:rPr>
                <w:iCs/>
                <w:sz w:val="20"/>
                <w:szCs w:val="18"/>
                <w:lang w:val="fr-FR"/>
              </w:rPr>
              <w:t> janvier de l’année qui suit son décès…</w:t>
            </w:r>
            <w:r w:rsidRPr="009F2E31">
              <w:rPr>
                <w:rStyle w:val="FootnoteReference"/>
                <w:iCs/>
                <w:sz w:val="20"/>
                <w:szCs w:val="18"/>
                <w:lang w:val="fr-FR"/>
              </w:rPr>
              <w:footnoteReference w:id="100"/>
            </w:r>
          </w:p>
        </w:tc>
        <w:tc>
          <w:tcPr>
            <w:tcW w:w="3486" w:type="dxa"/>
          </w:tcPr>
          <w:p w14:paraId="13D4DABE" w14:textId="77777777" w:rsidR="00A80AC5" w:rsidRPr="00FD7E39" w:rsidRDefault="00A80AC5" w:rsidP="002D7EE2">
            <w:pPr>
              <w:keepLines/>
              <w:spacing w:after="220"/>
              <w:ind w:left="360"/>
              <w:rPr>
                <w:lang w:val="fr-FR"/>
              </w:rPr>
            </w:pPr>
          </w:p>
        </w:tc>
      </w:tr>
    </w:tbl>
    <w:p w14:paraId="7163950B" w14:textId="1FD0E675" w:rsidR="00A80AC5" w:rsidRPr="00FD7E39" w:rsidRDefault="00A80AC5" w:rsidP="002D7EE2">
      <w:pPr>
        <w:pStyle w:val="Heading1"/>
      </w:pPr>
      <w:r w:rsidRPr="00FD7E39">
        <w:t>Autres caract</w:t>
      </w:r>
      <w:r w:rsidR="007B2A4E">
        <w:t>é</w:t>
      </w:r>
      <w:r w:rsidRPr="00FD7E39">
        <w:t>ristiques du droit de suite des artistes – ali</w:t>
      </w:r>
      <w:r w:rsidR="007B2A4E">
        <w:t>é</w:t>
      </w:r>
      <w:r w:rsidRPr="00FD7E39">
        <w:t>nation et renonciation</w:t>
      </w:r>
    </w:p>
    <w:p w14:paraId="1459ADF3" w14:textId="065FA6D9" w:rsidR="00A80AC5" w:rsidRPr="00FD7E39" w:rsidRDefault="00A80AC5" w:rsidP="002D7EE2">
      <w:pPr>
        <w:pStyle w:val="ONUMFS"/>
        <w:rPr>
          <w:lang w:val="fr-FR"/>
        </w:rPr>
      </w:pPr>
      <w:r w:rsidRPr="00FD7E39">
        <w:rPr>
          <w:lang w:val="fr-FR"/>
        </w:rPr>
        <w:t>En vertu de l’article 14</w:t>
      </w:r>
      <w:r w:rsidRPr="00FD7E39">
        <w:rPr>
          <w:i/>
          <w:lang w:val="fr-FR"/>
        </w:rPr>
        <w:t>ter</w:t>
      </w:r>
      <w:r w:rsidRPr="00FD7E39">
        <w:rPr>
          <w:lang w:val="fr-FR"/>
        </w:rPr>
        <w:t>.1) de la Convention de Berne, le droit de suite des artistes doit être un “droit inaliénable”, c’est</w:t>
      </w:r>
      <w:r w:rsidR="00FA1A0F">
        <w:rPr>
          <w:lang w:val="fr-FR"/>
        </w:rPr>
        <w:noBreakHyphen/>
      </w:r>
      <w:r w:rsidRPr="00FD7E39">
        <w:rPr>
          <w:lang w:val="fr-FR"/>
        </w:rPr>
        <w:t>à</w:t>
      </w:r>
      <w:r w:rsidR="00FA1A0F">
        <w:rPr>
          <w:lang w:val="fr-FR"/>
        </w:rPr>
        <w:noBreakHyphen/>
      </w:r>
      <w:r w:rsidRPr="00FD7E39">
        <w:rPr>
          <w:lang w:val="fr-FR"/>
        </w:rPr>
        <w:t>dire un droit de l’auteur qui ne peut être vendu ou cédé par lui (on trouve ici une analogie avec le droit moral).  Les législations nationales décrivent cette exigence de différentes manières, par exemple comme “inaliénable et irrévocable” comme en Uruguay et “absolument inaliénable” en Australie.  Certaines, comme au Royaume</w:t>
      </w:r>
      <w:r w:rsidR="00FA1A0F">
        <w:rPr>
          <w:lang w:val="fr-FR"/>
        </w:rPr>
        <w:noBreakHyphen/>
      </w:r>
      <w:r w:rsidRPr="00FD7E39">
        <w:rPr>
          <w:lang w:val="fr-FR"/>
        </w:rPr>
        <w:t>Uni, cherchent à énoncer cette restriction plus en détail, par exemple en prévoyant que le droit de suite des artistes ne peut être hypothéqué ou grevé d’une charge en garantie d’une dette.  Dans le même temps, ces restrictions ne devraient pas affecter les arrangements relatifs au droit de suite des artistes qui peuvent être conclus pour qu’une organisation de gestion collective gère le droit lorsque la législation nationale prévoit la gestion collective du droi</w:t>
      </w:r>
      <w:r>
        <w:rPr>
          <w:lang w:val="fr-FR"/>
        </w:rPr>
        <w:t>t</w:t>
      </w:r>
      <w:r w:rsidRPr="00FD7E39">
        <w:rPr>
          <w:lang w:val="fr-FR"/>
        </w:rPr>
        <w:t>.  Une autre possibilité prévue dans au moins une loi nationale est que le droit de suite des artistes peut être attribué à une organisation caritative ou à un autre organisme culturel public</w:t>
      </w:r>
      <w:r w:rsidRPr="00FD7E39">
        <w:rPr>
          <w:vertAlign w:val="superscript"/>
          <w:lang w:val="fr-FR"/>
        </w:rPr>
        <w:footnoteReference w:id="101"/>
      </w:r>
      <w:r w:rsidRPr="00FD7E39">
        <w:rPr>
          <w:lang w:val="fr-FR"/>
        </w:rPr>
        <w:t>.  Bien qu’il puisse y avoir de bonnes raisons d’ordre public pour une telle exception, on peut, par principe, faire valoir que cette dernière approche est incompatible avec l’exigence d’inaliénabilité énoncée à l’article 14</w:t>
      </w:r>
      <w:r w:rsidRPr="00FD7E39">
        <w:rPr>
          <w:i/>
          <w:lang w:val="fr-FR"/>
        </w:rPr>
        <w:t>ter</w:t>
      </w:r>
      <w:r w:rsidRPr="00FD7E39">
        <w:rPr>
          <w:lang w:val="fr-FR"/>
        </w:rPr>
        <w:t>.1)</w:t>
      </w:r>
      <w:r w:rsidRPr="00FD7E39">
        <w:rPr>
          <w:i/>
          <w:lang w:val="fr-FR"/>
        </w:rPr>
        <w:t xml:space="preserve"> </w:t>
      </w:r>
      <w:r w:rsidRPr="00FD7E39">
        <w:rPr>
          <w:lang w:val="fr-FR"/>
        </w:rPr>
        <w:t>et aucune disposition allant dans ce sens n’est incluse ci</w:t>
      </w:r>
      <w:r w:rsidR="00FA1A0F">
        <w:rPr>
          <w:lang w:val="fr-FR"/>
        </w:rPr>
        <w:noBreakHyphen/>
      </w:r>
      <w:r w:rsidRPr="00FD7E39">
        <w:rPr>
          <w:lang w:val="fr-FR"/>
        </w:rPr>
        <w:t>dessous.</w:t>
      </w:r>
    </w:p>
    <w:p w14:paraId="4F730CEE" w14:textId="3BE71CCE" w:rsidR="00A80AC5" w:rsidRPr="00FD7E39" w:rsidRDefault="00A80AC5" w:rsidP="002D7EE2">
      <w:pPr>
        <w:pStyle w:val="ONUMFS"/>
        <w:rPr>
          <w:lang w:val="fr-FR"/>
        </w:rPr>
      </w:pPr>
      <w:r w:rsidRPr="00FD7E39">
        <w:rPr>
          <w:lang w:val="fr-FR"/>
        </w:rPr>
        <w:lastRenderedPageBreak/>
        <w:t>Une autre question importante est de savoir si l’auteur peu</w:t>
      </w:r>
      <w:r>
        <w:rPr>
          <w:lang w:val="fr-FR"/>
        </w:rPr>
        <w:t>t</w:t>
      </w:r>
      <w:r w:rsidRPr="00FD7E39">
        <w:rPr>
          <w:lang w:val="fr-FR"/>
        </w:rPr>
        <w:t xml:space="preserve"> renoncer au droit de suite des artistes à l’avance, c’est</w:t>
      </w:r>
      <w:r w:rsidR="00FA1A0F">
        <w:rPr>
          <w:lang w:val="fr-FR"/>
        </w:rPr>
        <w:noBreakHyphen/>
      </w:r>
      <w:r w:rsidRPr="00FD7E39">
        <w:rPr>
          <w:lang w:val="fr-FR"/>
        </w:rPr>
        <w:t>à</w:t>
      </w:r>
      <w:r w:rsidR="00FA1A0F">
        <w:rPr>
          <w:lang w:val="fr-FR"/>
        </w:rPr>
        <w:noBreakHyphen/>
      </w:r>
      <w:r w:rsidRPr="00FD7E39">
        <w:rPr>
          <w:lang w:val="fr-FR"/>
        </w:rPr>
        <w:t>dire dans le cadre d’une transaction particulière ou plus généralement (cette question n’est pas abordée directement à l’article 14</w:t>
      </w:r>
      <w:r w:rsidRPr="00FD7E39">
        <w:rPr>
          <w:i/>
          <w:lang w:val="fr-FR"/>
        </w:rPr>
        <w:t>ter</w:t>
      </w:r>
      <w:r w:rsidRPr="00FD7E39">
        <w:rPr>
          <w:lang w:val="fr-FR"/>
        </w:rPr>
        <w:t xml:space="preserve"> mais, en principe, elle pourrait affaiblir l’exigence d’inaliénabilité).  Plusieurs législations nationales contiennent une telle restriction explicite, et il s’agit clairement d’une restriction qui protège les intérêts de l’auteur.  Une autre loi récemment adoptée (Nouvelle</w:t>
      </w:r>
      <w:r w:rsidR="00FA1A0F">
        <w:rPr>
          <w:lang w:val="fr-FR"/>
        </w:rPr>
        <w:noBreakHyphen/>
      </w:r>
      <w:r w:rsidRPr="00FD7E39">
        <w:rPr>
          <w:lang w:val="fr-FR"/>
        </w:rPr>
        <w:t>Zélande) autorise les titulaires de droits de suite des artistes de renoncer au paiement du droit de suite : voir également le tableau 12 ci</w:t>
      </w:r>
      <w:r w:rsidR="00FA1A0F">
        <w:rPr>
          <w:lang w:val="fr-FR"/>
        </w:rPr>
        <w:noBreakHyphen/>
      </w:r>
      <w:r w:rsidRPr="00FD7E39">
        <w:rPr>
          <w:lang w:val="fr-FR"/>
        </w:rPr>
        <w:t>dessous.</w:t>
      </w:r>
    </w:p>
    <w:p w14:paraId="0BC3F582" w14:textId="0273FE4B" w:rsidR="00A80AC5" w:rsidRPr="00FD7E39" w:rsidRDefault="00A80AC5" w:rsidP="002D7EE2">
      <w:pPr>
        <w:pStyle w:val="ONUMFS"/>
        <w:keepNext/>
        <w:rPr>
          <w:lang w:val="fr-FR"/>
        </w:rPr>
      </w:pPr>
      <w:r w:rsidRPr="00FD7E39">
        <w:rPr>
          <w:lang w:val="fr-FR"/>
        </w:rPr>
        <w:t>On trouvera ci</w:t>
      </w:r>
      <w:r w:rsidR="00FA1A0F">
        <w:rPr>
          <w:lang w:val="fr-FR"/>
        </w:rPr>
        <w:noBreakHyphen/>
      </w:r>
      <w:r w:rsidRPr="00FD7E39">
        <w:rPr>
          <w:lang w:val="fr-FR"/>
        </w:rPr>
        <w:t>après dans le tableau 12 quelques exemples de dispositions.</w:t>
      </w:r>
    </w:p>
    <w:p w14:paraId="77AE370B" w14:textId="77777777" w:rsidR="00A80AC5" w:rsidRPr="00FD7E39" w:rsidRDefault="00A80AC5" w:rsidP="002D7EE2">
      <w:pPr>
        <w:pStyle w:val="Heading2"/>
      </w:pPr>
      <w:r w:rsidRPr="00FD7E39">
        <w:t>Tableau 12</w:t>
      </w:r>
    </w:p>
    <w:tbl>
      <w:tblPr>
        <w:tblStyle w:val="TableGrid"/>
        <w:tblW w:w="0" w:type="auto"/>
        <w:tblInd w:w="-5" w:type="dxa"/>
        <w:tblLook w:val="04A0" w:firstRow="1" w:lastRow="0" w:firstColumn="1" w:lastColumn="0" w:noHBand="0" w:noVBand="1"/>
      </w:tblPr>
      <w:tblGrid>
        <w:gridCol w:w="2694"/>
        <w:gridCol w:w="2976"/>
        <w:gridCol w:w="3345"/>
      </w:tblGrid>
      <w:tr w:rsidR="00A80AC5" w:rsidRPr="00FD7E39" w14:paraId="24CFFEAF" w14:textId="77777777" w:rsidTr="00D93A25">
        <w:tc>
          <w:tcPr>
            <w:tcW w:w="2694" w:type="dxa"/>
          </w:tcPr>
          <w:p w14:paraId="71829163" w14:textId="77777777" w:rsidR="00A80AC5" w:rsidRPr="00FD7E39" w:rsidRDefault="00A80AC5" w:rsidP="002D7EE2">
            <w:pPr>
              <w:spacing w:after="220"/>
              <w:rPr>
                <w:lang w:val="fr-FR"/>
              </w:rPr>
            </w:pPr>
            <w:r w:rsidRPr="00FD7E39">
              <w:rPr>
                <w:b/>
                <w:lang w:val="fr-FR"/>
              </w:rPr>
              <w:t>Type de disposition</w:t>
            </w:r>
          </w:p>
        </w:tc>
        <w:tc>
          <w:tcPr>
            <w:tcW w:w="2976" w:type="dxa"/>
          </w:tcPr>
          <w:p w14:paraId="39106E7D" w14:textId="77777777" w:rsidR="00A80AC5" w:rsidRPr="00FD7E39" w:rsidRDefault="00A80AC5" w:rsidP="002D7EE2">
            <w:pPr>
              <w:spacing w:after="220"/>
              <w:rPr>
                <w:lang w:val="fr-FR"/>
              </w:rPr>
            </w:pPr>
            <w:r w:rsidRPr="00FD7E39">
              <w:rPr>
                <w:b/>
                <w:lang w:val="fr-FR"/>
              </w:rPr>
              <w:t>Texte suggéré</w:t>
            </w:r>
          </w:p>
        </w:tc>
        <w:tc>
          <w:tcPr>
            <w:tcW w:w="3345" w:type="dxa"/>
          </w:tcPr>
          <w:p w14:paraId="466B7E10" w14:textId="77777777" w:rsidR="00A80AC5" w:rsidRPr="00FD7E39" w:rsidRDefault="00A80AC5" w:rsidP="002D7EE2">
            <w:pPr>
              <w:spacing w:after="220"/>
              <w:rPr>
                <w:lang w:val="fr-FR"/>
              </w:rPr>
            </w:pPr>
            <w:r w:rsidRPr="00FD7E39">
              <w:rPr>
                <w:b/>
                <w:lang w:val="fr-FR"/>
              </w:rPr>
              <w:t>Observations</w:t>
            </w:r>
          </w:p>
        </w:tc>
      </w:tr>
      <w:tr w:rsidR="00A80AC5" w:rsidRPr="00FD7E39" w14:paraId="27738650" w14:textId="77777777" w:rsidTr="00D93A25">
        <w:tc>
          <w:tcPr>
            <w:tcW w:w="2694" w:type="dxa"/>
          </w:tcPr>
          <w:p w14:paraId="5A6A555E" w14:textId="2446F5FE" w:rsidR="00A80AC5" w:rsidRPr="009F2E31" w:rsidRDefault="00A80AC5" w:rsidP="00C02FC0">
            <w:pPr>
              <w:spacing w:before="60" w:after="220"/>
              <w:rPr>
                <w:sz w:val="20"/>
                <w:szCs w:val="18"/>
                <w:lang w:val="fr-FR"/>
              </w:rPr>
            </w:pPr>
            <w:r w:rsidRPr="009F2E31">
              <w:rPr>
                <w:sz w:val="20"/>
                <w:szCs w:val="18"/>
                <w:lang w:val="fr-FR"/>
              </w:rPr>
              <w:t>Disposition simple interdisant à la fois la cession et la renonciation (CE)</w:t>
            </w:r>
          </w:p>
        </w:tc>
        <w:tc>
          <w:tcPr>
            <w:tcW w:w="2976" w:type="dxa"/>
          </w:tcPr>
          <w:p w14:paraId="3C59D02A" w14:textId="77777777" w:rsidR="00A80AC5" w:rsidRPr="009F2E31" w:rsidRDefault="00A80AC5" w:rsidP="00C02FC0">
            <w:pPr>
              <w:spacing w:before="60" w:after="160"/>
              <w:rPr>
                <w:iCs/>
                <w:sz w:val="20"/>
                <w:szCs w:val="18"/>
                <w:lang w:val="fr-FR"/>
              </w:rPr>
            </w:pPr>
            <w:r w:rsidRPr="009F2E31">
              <w:rPr>
                <w:iCs/>
                <w:sz w:val="20"/>
                <w:szCs w:val="18"/>
                <w:lang w:val="fr-FR"/>
              </w:rPr>
              <w:t>1.  Les États membres prévoient, au profit de l’auteur d’une œuvre d’art originale, un droit de suite, défini comme un droit inaliénable auquel il ne peut être renoncé, même de façon anticipée, à percevoir un pourcentage sur le prix obtenu pour toute revente de cette œuvre après le premier transfert opéré par l’auteur</w:t>
            </w:r>
            <w:r w:rsidRPr="009F2E31">
              <w:rPr>
                <w:sz w:val="20"/>
                <w:szCs w:val="18"/>
                <w:vertAlign w:val="superscript"/>
                <w:lang w:val="fr-FR"/>
              </w:rPr>
              <w:footnoteReference w:id="102"/>
            </w:r>
            <w:r w:rsidRPr="009F2E31">
              <w:rPr>
                <w:iCs/>
                <w:sz w:val="20"/>
                <w:szCs w:val="18"/>
                <w:lang w:val="fr-FR"/>
              </w:rPr>
              <w:t>.</w:t>
            </w:r>
          </w:p>
        </w:tc>
        <w:tc>
          <w:tcPr>
            <w:tcW w:w="3345" w:type="dxa"/>
          </w:tcPr>
          <w:p w14:paraId="5C93AD01" w14:textId="77777777" w:rsidR="00A80AC5" w:rsidRPr="009F2E31" w:rsidRDefault="00A80AC5" w:rsidP="00C02FC0">
            <w:pPr>
              <w:numPr>
                <w:ilvl w:val="0"/>
                <w:numId w:val="41"/>
              </w:numPr>
              <w:spacing w:before="60" w:after="60"/>
              <w:rPr>
                <w:sz w:val="20"/>
                <w:szCs w:val="18"/>
                <w:lang w:val="fr-FR"/>
              </w:rPr>
            </w:pPr>
            <w:r w:rsidRPr="009F2E31">
              <w:rPr>
                <w:sz w:val="20"/>
                <w:szCs w:val="18"/>
                <w:lang w:val="fr-FR"/>
              </w:rPr>
              <w:t>Cela interdit à la fois l’aliénation ou le transfert du droit de suite des artistes ainsi que la renonciation à l’exercice du droit dans les termes les plus clairs.</w:t>
            </w:r>
          </w:p>
          <w:p w14:paraId="2860DFB9" w14:textId="77777777" w:rsidR="00A80AC5" w:rsidRPr="009F2E31" w:rsidRDefault="00A80AC5" w:rsidP="00C02FC0">
            <w:pPr>
              <w:numPr>
                <w:ilvl w:val="0"/>
                <w:numId w:val="41"/>
              </w:numPr>
              <w:spacing w:before="60" w:after="160"/>
              <w:rPr>
                <w:sz w:val="20"/>
                <w:szCs w:val="18"/>
                <w:lang w:val="fr-FR"/>
              </w:rPr>
            </w:pPr>
            <w:r w:rsidRPr="009F2E31">
              <w:rPr>
                <w:sz w:val="20"/>
                <w:szCs w:val="18"/>
                <w:lang w:val="fr-FR"/>
              </w:rPr>
              <w:t>Demander si “aliénation” nécessite une définition plus précise, il peut, par exemple, être utile d’indiquer, comme dans l’exemple suivant, qu’elle inclut les transferts par voie de donation ainsi que les transferts à titre onéreux.</w:t>
            </w:r>
          </w:p>
        </w:tc>
      </w:tr>
      <w:tr w:rsidR="00A80AC5" w:rsidRPr="00FD7E39" w14:paraId="4E9FF701" w14:textId="77777777" w:rsidTr="00D93A25">
        <w:tc>
          <w:tcPr>
            <w:tcW w:w="2694" w:type="dxa"/>
          </w:tcPr>
          <w:p w14:paraId="15F47731" w14:textId="5157D41C" w:rsidR="00A80AC5" w:rsidRPr="009F2E31" w:rsidRDefault="00A80AC5" w:rsidP="00C02FC0">
            <w:pPr>
              <w:spacing w:before="60" w:after="220"/>
              <w:rPr>
                <w:sz w:val="20"/>
                <w:szCs w:val="18"/>
                <w:lang w:val="fr-FR"/>
              </w:rPr>
            </w:pPr>
            <w:r w:rsidRPr="009F2E31">
              <w:rPr>
                <w:sz w:val="20"/>
                <w:szCs w:val="18"/>
                <w:lang w:val="fr-FR"/>
              </w:rPr>
              <w:t>Disposition similaire interdisant la cession ou la renonciation (Grèce)</w:t>
            </w:r>
          </w:p>
        </w:tc>
        <w:tc>
          <w:tcPr>
            <w:tcW w:w="2976" w:type="dxa"/>
          </w:tcPr>
          <w:p w14:paraId="5E8D5B41" w14:textId="77777777" w:rsidR="00A80AC5" w:rsidRPr="009F2E31" w:rsidRDefault="00A80AC5" w:rsidP="00C02FC0">
            <w:pPr>
              <w:spacing w:before="60" w:after="160"/>
              <w:rPr>
                <w:iCs/>
                <w:sz w:val="20"/>
                <w:szCs w:val="18"/>
                <w:lang w:val="fr-FR"/>
              </w:rPr>
            </w:pPr>
            <w:r w:rsidRPr="009F2E31">
              <w:rPr>
                <w:b/>
                <w:bCs/>
                <w:iCs/>
                <w:sz w:val="20"/>
                <w:szCs w:val="18"/>
                <w:lang w:val="fr-FR"/>
              </w:rPr>
              <w:t xml:space="preserve">1. </w:t>
            </w:r>
            <w:r w:rsidRPr="009F2E31">
              <w:rPr>
                <w:b/>
                <w:sz w:val="20"/>
                <w:szCs w:val="18"/>
                <w:lang w:val="fr-FR"/>
              </w:rPr>
              <w:t xml:space="preserve"> </w:t>
            </w:r>
            <w:r w:rsidRPr="009F2E31">
              <w:rPr>
                <w:iCs/>
                <w:sz w:val="20"/>
                <w:szCs w:val="18"/>
                <w:lang w:val="fr-FR"/>
              </w:rPr>
              <w:t>L’auteur d’une œuvre d’art originale dispose d’un droit de suite, défini comme un droit inaliénable entre vifs, auquel il ne peut être renoncé, même par anticipation, pour percevoir une redevance proportionnelle au prix obtenu pour toute revente de l’œuvre, postérieure au premier transfert de l’œuvre par l’auteur</w:t>
            </w:r>
            <w:r w:rsidRPr="009F2E31">
              <w:rPr>
                <w:rStyle w:val="FootnoteReference"/>
                <w:iCs/>
                <w:sz w:val="20"/>
                <w:szCs w:val="18"/>
                <w:lang w:val="fr-FR"/>
              </w:rPr>
              <w:footnoteReference w:id="103"/>
            </w:r>
            <w:r w:rsidRPr="009F2E31">
              <w:rPr>
                <w:iCs/>
                <w:sz w:val="20"/>
                <w:szCs w:val="18"/>
                <w:lang w:val="fr-FR"/>
              </w:rPr>
              <w:t>.</w:t>
            </w:r>
          </w:p>
        </w:tc>
        <w:tc>
          <w:tcPr>
            <w:tcW w:w="3345" w:type="dxa"/>
          </w:tcPr>
          <w:p w14:paraId="6FF2BF40" w14:textId="77777777" w:rsidR="00A80AC5" w:rsidRPr="009F2E31" w:rsidRDefault="00A80AC5" w:rsidP="00C02FC0">
            <w:pPr>
              <w:numPr>
                <w:ilvl w:val="0"/>
                <w:numId w:val="41"/>
              </w:numPr>
              <w:spacing w:before="60" w:after="160"/>
              <w:rPr>
                <w:sz w:val="20"/>
                <w:szCs w:val="18"/>
                <w:lang w:val="fr-FR"/>
              </w:rPr>
            </w:pPr>
            <w:r w:rsidRPr="009F2E31">
              <w:rPr>
                <w:sz w:val="20"/>
                <w:szCs w:val="18"/>
                <w:lang w:val="fr-FR"/>
              </w:rPr>
              <w:t>Précise qu’il ne peut être renoncé au droit de suite par anticipation (très protectrice de l’auteur).</w:t>
            </w:r>
          </w:p>
        </w:tc>
      </w:tr>
      <w:tr w:rsidR="00A80AC5" w:rsidRPr="00FD7E39" w14:paraId="3A850210" w14:textId="77777777" w:rsidTr="00D93A25">
        <w:tc>
          <w:tcPr>
            <w:tcW w:w="2694" w:type="dxa"/>
          </w:tcPr>
          <w:p w14:paraId="69D3CBD6" w14:textId="317110E9" w:rsidR="00A80AC5" w:rsidRPr="009F2E31" w:rsidRDefault="00A80AC5" w:rsidP="00C02FC0">
            <w:pPr>
              <w:spacing w:before="60" w:after="220"/>
              <w:rPr>
                <w:sz w:val="20"/>
                <w:szCs w:val="18"/>
                <w:lang w:val="fr-FR"/>
              </w:rPr>
            </w:pPr>
            <w:r w:rsidRPr="009F2E31">
              <w:rPr>
                <w:sz w:val="20"/>
                <w:szCs w:val="18"/>
                <w:lang w:val="fr-FR"/>
              </w:rPr>
              <w:t>Disposition plus détaillée interdisant la cession, l’imputation et la renonciation (Royaume</w:t>
            </w:r>
            <w:r w:rsidR="00FA1A0F">
              <w:rPr>
                <w:sz w:val="20"/>
                <w:szCs w:val="18"/>
                <w:lang w:val="fr-FR"/>
              </w:rPr>
              <w:noBreakHyphen/>
            </w:r>
            <w:r w:rsidRPr="009F2E31">
              <w:rPr>
                <w:sz w:val="20"/>
                <w:szCs w:val="18"/>
                <w:lang w:val="fr-FR"/>
              </w:rPr>
              <w:t>Uni)</w:t>
            </w:r>
          </w:p>
        </w:tc>
        <w:tc>
          <w:tcPr>
            <w:tcW w:w="2976" w:type="dxa"/>
          </w:tcPr>
          <w:p w14:paraId="7D3FAED9" w14:textId="77777777" w:rsidR="00A80AC5" w:rsidRPr="009F2E31" w:rsidRDefault="00A80AC5" w:rsidP="00C02FC0">
            <w:pPr>
              <w:spacing w:before="60" w:after="120"/>
              <w:rPr>
                <w:iCs/>
                <w:sz w:val="20"/>
                <w:szCs w:val="18"/>
                <w:lang w:val="fr-FR"/>
              </w:rPr>
            </w:pPr>
            <w:r w:rsidRPr="009F2E31">
              <w:rPr>
                <w:iCs/>
                <w:sz w:val="20"/>
                <w:szCs w:val="18"/>
                <w:lang w:val="fr-FR"/>
              </w:rPr>
              <w:t>7.1) Le droit de suite n’est pas cessible.</w:t>
            </w:r>
          </w:p>
          <w:p w14:paraId="0F23C06F" w14:textId="77777777" w:rsidR="00A80AC5" w:rsidRPr="009F2E31" w:rsidRDefault="00A80AC5" w:rsidP="00C02FC0">
            <w:pPr>
              <w:spacing w:after="120"/>
              <w:rPr>
                <w:iCs/>
                <w:sz w:val="20"/>
                <w:szCs w:val="18"/>
                <w:lang w:val="fr-FR"/>
              </w:rPr>
            </w:pPr>
            <w:r w:rsidRPr="009F2E31">
              <w:rPr>
                <w:iCs/>
                <w:sz w:val="20"/>
                <w:szCs w:val="18"/>
                <w:lang w:val="fr-FR"/>
              </w:rPr>
              <w:t>2) Toute imputation sur un droit de suite est nulle.</w:t>
            </w:r>
          </w:p>
          <w:p w14:paraId="699A10B4" w14:textId="77777777" w:rsidR="00A80AC5" w:rsidRPr="009F2E31" w:rsidRDefault="00A80AC5" w:rsidP="00C02FC0">
            <w:pPr>
              <w:spacing w:after="120"/>
              <w:rPr>
                <w:iCs/>
                <w:sz w:val="20"/>
                <w:szCs w:val="18"/>
                <w:lang w:val="fr-FR"/>
              </w:rPr>
            </w:pPr>
            <w:r w:rsidRPr="009F2E31">
              <w:rPr>
                <w:iCs/>
                <w:sz w:val="20"/>
                <w:szCs w:val="18"/>
                <w:lang w:val="fr-FR"/>
              </w:rPr>
              <w:t>…</w:t>
            </w:r>
          </w:p>
          <w:p w14:paraId="567FB3F0" w14:textId="77777777" w:rsidR="00A80AC5" w:rsidRPr="009F2E31" w:rsidRDefault="00A80AC5" w:rsidP="00C02FC0">
            <w:pPr>
              <w:spacing w:after="120"/>
              <w:rPr>
                <w:iCs/>
                <w:sz w:val="20"/>
                <w:szCs w:val="18"/>
                <w:lang w:val="fr-FR"/>
              </w:rPr>
            </w:pPr>
            <w:r w:rsidRPr="009F2E31">
              <w:rPr>
                <w:iCs/>
                <w:sz w:val="20"/>
                <w:szCs w:val="18"/>
                <w:lang w:val="fr-FR"/>
              </w:rPr>
              <w:t>8.1) La renonciation au droit de suite est sans effet.</w:t>
            </w:r>
          </w:p>
          <w:p w14:paraId="7C26E343" w14:textId="77777777" w:rsidR="00A80AC5" w:rsidRPr="009F2E31" w:rsidRDefault="00A80AC5" w:rsidP="00C02FC0">
            <w:pPr>
              <w:spacing w:after="120"/>
              <w:rPr>
                <w:iCs/>
                <w:sz w:val="20"/>
                <w:szCs w:val="18"/>
                <w:lang w:val="fr-FR"/>
              </w:rPr>
            </w:pPr>
            <w:r w:rsidRPr="009F2E31">
              <w:rPr>
                <w:iCs/>
                <w:sz w:val="20"/>
                <w:szCs w:val="18"/>
                <w:lang w:val="fr-FR"/>
              </w:rPr>
              <w:lastRenderedPageBreak/>
              <w:t>2) Tout accord de partage ou de remboursement des redevances de revente est nul.</w:t>
            </w:r>
          </w:p>
          <w:p w14:paraId="7AE982D0" w14:textId="77777777" w:rsidR="00A80AC5" w:rsidRPr="009F2E31" w:rsidRDefault="00A80AC5" w:rsidP="00C02FC0">
            <w:pPr>
              <w:spacing w:after="120"/>
              <w:rPr>
                <w:iCs/>
                <w:sz w:val="20"/>
                <w:szCs w:val="18"/>
                <w:lang w:val="fr-FR"/>
              </w:rPr>
            </w:pPr>
            <w:r w:rsidRPr="009F2E31">
              <w:rPr>
                <w:iCs/>
                <w:sz w:val="20"/>
                <w:szCs w:val="18"/>
                <w:lang w:val="fr-FR"/>
              </w:rPr>
              <w:t>5) L’alinéa 2) est sans effet sur tout accord conclu avec une organisation de gestion collective aux fins de la gestion du droit de suite conformément à la règle 14</w:t>
            </w:r>
            <w:r w:rsidRPr="009F2E31">
              <w:rPr>
                <w:iCs/>
                <w:sz w:val="20"/>
                <w:szCs w:val="18"/>
                <w:vertAlign w:val="superscript"/>
                <w:lang w:val="fr-FR"/>
              </w:rPr>
              <w:footnoteReference w:id="104"/>
            </w:r>
            <w:r w:rsidRPr="009F2E31">
              <w:rPr>
                <w:iCs/>
                <w:sz w:val="20"/>
                <w:szCs w:val="18"/>
                <w:lang w:val="fr-FR"/>
              </w:rPr>
              <w:t>.</w:t>
            </w:r>
          </w:p>
        </w:tc>
        <w:tc>
          <w:tcPr>
            <w:tcW w:w="3345" w:type="dxa"/>
          </w:tcPr>
          <w:p w14:paraId="6B4C60F8" w14:textId="77777777" w:rsidR="00A80AC5" w:rsidRPr="009F2E31" w:rsidRDefault="00A80AC5" w:rsidP="00C02FC0">
            <w:pPr>
              <w:numPr>
                <w:ilvl w:val="0"/>
                <w:numId w:val="39"/>
              </w:numPr>
              <w:spacing w:before="60" w:after="60"/>
              <w:rPr>
                <w:sz w:val="20"/>
                <w:szCs w:val="18"/>
                <w:lang w:val="fr-FR"/>
              </w:rPr>
            </w:pPr>
            <w:r w:rsidRPr="009F2E31">
              <w:rPr>
                <w:sz w:val="20"/>
                <w:szCs w:val="18"/>
                <w:lang w:val="fr-FR"/>
              </w:rPr>
              <w:lastRenderedPageBreak/>
              <w:t>Précise que l’aliénation (transfert ou cession) s’étend aux transferts gratuits par voie de donation.</w:t>
            </w:r>
          </w:p>
          <w:p w14:paraId="6C30EA39" w14:textId="77777777" w:rsidR="00A80AC5" w:rsidRPr="009F2E31" w:rsidRDefault="00A80AC5" w:rsidP="002D7EE2">
            <w:pPr>
              <w:numPr>
                <w:ilvl w:val="0"/>
                <w:numId w:val="39"/>
              </w:numPr>
              <w:spacing w:after="160"/>
              <w:rPr>
                <w:sz w:val="20"/>
                <w:szCs w:val="18"/>
                <w:lang w:val="fr-FR"/>
              </w:rPr>
            </w:pPr>
            <w:r w:rsidRPr="009F2E31">
              <w:rPr>
                <w:sz w:val="20"/>
                <w:szCs w:val="18"/>
                <w:lang w:val="fr-FR"/>
              </w:rPr>
              <w:t>Précise que l’interdiction d’aliénation ne permet pas au titulaire de droit de suite des artistes de le grever d’une sûreté.</w:t>
            </w:r>
          </w:p>
          <w:p w14:paraId="2B968EB6" w14:textId="77777777" w:rsidR="00A80AC5" w:rsidRPr="009F2E31" w:rsidRDefault="00A80AC5" w:rsidP="00C02FC0">
            <w:pPr>
              <w:numPr>
                <w:ilvl w:val="0"/>
                <w:numId w:val="39"/>
              </w:numPr>
              <w:spacing w:after="60"/>
              <w:rPr>
                <w:sz w:val="20"/>
                <w:szCs w:val="18"/>
                <w:lang w:val="fr-FR"/>
              </w:rPr>
            </w:pPr>
            <w:r w:rsidRPr="009F2E31">
              <w:rPr>
                <w:sz w:val="20"/>
                <w:szCs w:val="18"/>
                <w:lang w:val="fr-FR"/>
              </w:rPr>
              <w:lastRenderedPageBreak/>
              <w:t>Interdit la renonciation au droit de suite des artistes.</w:t>
            </w:r>
          </w:p>
          <w:p w14:paraId="49ED954A" w14:textId="77777777" w:rsidR="00A80AC5" w:rsidRPr="009F2E31" w:rsidRDefault="00A80AC5" w:rsidP="002D7EE2">
            <w:pPr>
              <w:numPr>
                <w:ilvl w:val="0"/>
                <w:numId w:val="39"/>
              </w:numPr>
              <w:spacing w:after="160"/>
              <w:rPr>
                <w:sz w:val="20"/>
                <w:szCs w:val="18"/>
                <w:lang w:val="fr-FR"/>
              </w:rPr>
            </w:pPr>
            <w:r w:rsidRPr="009F2E31">
              <w:rPr>
                <w:sz w:val="20"/>
                <w:szCs w:val="18"/>
                <w:lang w:val="fr-FR"/>
              </w:rPr>
              <w:t>Exclut les accords de partage du droit de suite des artistes en dehors des accords conclus avec l’organisation de gestion collective en relation avec la gestion du droit, par exemple les frais de gestion et autres.</w:t>
            </w:r>
          </w:p>
        </w:tc>
      </w:tr>
      <w:tr w:rsidR="00A80AC5" w:rsidRPr="00FD7E39" w14:paraId="3F2B34ED" w14:textId="77777777" w:rsidTr="00D93A25">
        <w:tc>
          <w:tcPr>
            <w:tcW w:w="2694" w:type="dxa"/>
          </w:tcPr>
          <w:p w14:paraId="1BACF2E9" w14:textId="59A29335" w:rsidR="00A80AC5" w:rsidRPr="009F2E31" w:rsidRDefault="00A80AC5" w:rsidP="00C02FC0">
            <w:pPr>
              <w:spacing w:before="60" w:after="220"/>
              <w:rPr>
                <w:sz w:val="20"/>
                <w:szCs w:val="18"/>
                <w:lang w:val="fr-FR"/>
              </w:rPr>
            </w:pPr>
            <w:r w:rsidRPr="009F2E31">
              <w:rPr>
                <w:sz w:val="20"/>
                <w:szCs w:val="18"/>
                <w:lang w:val="fr-FR"/>
              </w:rPr>
              <w:lastRenderedPageBreak/>
              <w:t>Autre disposition détaillée concernant la cession et la renonciation (Australie)</w:t>
            </w:r>
          </w:p>
        </w:tc>
        <w:tc>
          <w:tcPr>
            <w:tcW w:w="2976" w:type="dxa"/>
          </w:tcPr>
          <w:p w14:paraId="54EF98FA" w14:textId="77777777" w:rsidR="00A80AC5" w:rsidRPr="009F2E31" w:rsidRDefault="00A80AC5" w:rsidP="00C02FC0">
            <w:pPr>
              <w:spacing w:before="60" w:after="120"/>
              <w:rPr>
                <w:b/>
                <w:bCs/>
                <w:iCs/>
                <w:sz w:val="20"/>
                <w:szCs w:val="18"/>
                <w:lang w:val="fr-FR"/>
              </w:rPr>
            </w:pPr>
            <w:r w:rsidRPr="009F2E31">
              <w:rPr>
                <w:b/>
                <w:bCs/>
                <w:iCs/>
                <w:sz w:val="20"/>
                <w:szCs w:val="18"/>
                <w:lang w:val="fr-FR"/>
              </w:rPr>
              <w:t>33 Caractère inaliénable du droit de suite</w:t>
            </w:r>
          </w:p>
          <w:p w14:paraId="06CCA1D7" w14:textId="77777777" w:rsidR="00A80AC5" w:rsidRPr="009F2E31" w:rsidRDefault="00A80AC5" w:rsidP="002D7EE2">
            <w:pPr>
              <w:spacing w:after="160"/>
              <w:rPr>
                <w:iCs/>
                <w:sz w:val="20"/>
                <w:szCs w:val="18"/>
                <w:lang w:val="fr-FR"/>
              </w:rPr>
            </w:pPr>
            <w:r w:rsidRPr="009F2E31">
              <w:rPr>
                <w:iCs/>
                <w:sz w:val="20"/>
                <w:szCs w:val="18"/>
                <w:lang w:val="fr-FR"/>
              </w:rPr>
              <w:t>…le droit de suite est absolument inaliénable, que ce soit par le biais ou à la suite d’une vente, de la cession, d’une imputation, d’une exécution, d’une faillite, d’une insolvabilité ou de toute autre manière.</w:t>
            </w:r>
          </w:p>
          <w:p w14:paraId="7369619C" w14:textId="77777777" w:rsidR="00A80AC5" w:rsidRPr="009F2E31" w:rsidRDefault="00A80AC5" w:rsidP="00C02FC0">
            <w:pPr>
              <w:spacing w:after="120"/>
              <w:rPr>
                <w:b/>
                <w:bCs/>
                <w:iCs/>
                <w:sz w:val="20"/>
                <w:szCs w:val="18"/>
                <w:lang w:val="fr-FR"/>
              </w:rPr>
            </w:pPr>
            <w:r w:rsidRPr="009F2E31">
              <w:rPr>
                <w:b/>
                <w:bCs/>
                <w:iCs/>
                <w:sz w:val="20"/>
                <w:szCs w:val="18"/>
                <w:lang w:val="fr-FR"/>
              </w:rPr>
              <w:t>34 Renonciation, etc.</w:t>
            </w:r>
          </w:p>
          <w:p w14:paraId="2CD299D4" w14:textId="77777777" w:rsidR="00A80AC5" w:rsidRPr="009F2E31" w:rsidRDefault="00A80AC5" w:rsidP="00C02FC0">
            <w:pPr>
              <w:spacing w:after="120"/>
              <w:rPr>
                <w:iCs/>
                <w:sz w:val="20"/>
                <w:szCs w:val="18"/>
                <w:lang w:val="fr-FR"/>
              </w:rPr>
            </w:pPr>
            <w:r w:rsidRPr="009F2E31">
              <w:rPr>
                <w:iCs/>
                <w:sz w:val="20"/>
                <w:szCs w:val="18"/>
                <w:lang w:val="fr-FR"/>
              </w:rPr>
              <w:t>1) La renonciation au droit de suite est sans effet.</w:t>
            </w:r>
          </w:p>
          <w:p w14:paraId="2664331B" w14:textId="77777777" w:rsidR="00A80AC5" w:rsidRPr="009F2E31" w:rsidRDefault="00A80AC5" w:rsidP="002D7EE2">
            <w:pPr>
              <w:spacing w:after="160"/>
              <w:rPr>
                <w:iCs/>
                <w:sz w:val="20"/>
                <w:szCs w:val="18"/>
                <w:lang w:val="fr-FR"/>
              </w:rPr>
            </w:pPr>
            <w:r w:rsidRPr="009F2E31">
              <w:rPr>
                <w:iCs/>
                <w:sz w:val="20"/>
                <w:szCs w:val="18"/>
                <w:lang w:val="fr-FR"/>
              </w:rPr>
              <w:t>2) Un accord de partage ou de remboursement d’une redevance de revente, autre que celui autorisé par d’autres dispositions de la présente loi, est nul</w:t>
            </w:r>
            <w:r w:rsidRPr="009F2E31">
              <w:rPr>
                <w:iCs/>
                <w:sz w:val="20"/>
                <w:szCs w:val="18"/>
                <w:vertAlign w:val="superscript"/>
                <w:lang w:val="fr-FR"/>
              </w:rPr>
              <w:footnoteReference w:id="105"/>
            </w:r>
            <w:r w:rsidRPr="009F2E31">
              <w:rPr>
                <w:iCs/>
                <w:sz w:val="20"/>
                <w:szCs w:val="18"/>
                <w:lang w:val="fr-FR"/>
              </w:rPr>
              <w:t>.</w:t>
            </w:r>
          </w:p>
        </w:tc>
        <w:tc>
          <w:tcPr>
            <w:tcW w:w="3345" w:type="dxa"/>
          </w:tcPr>
          <w:p w14:paraId="6D096B85" w14:textId="77777777" w:rsidR="00A80AC5" w:rsidRPr="009F2E31" w:rsidRDefault="00A80AC5" w:rsidP="00C02FC0">
            <w:pPr>
              <w:numPr>
                <w:ilvl w:val="0"/>
                <w:numId w:val="40"/>
              </w:numPr>
              <w:spacing w:before="60" w:after="60"/>
              <w:rPr>
                <w:sz w:val="20"/>
                <w:szCs w:val="18"/>
                <w:lang w:val="fr-FR"/>
              </w:rPr>
            </w:pPr>
            <w:r w:rsidRPr="009F2E31">
              <w:rPr>
                <w:sz w:val="20"/>
                <w:szCs w:val="18"/>
                <w:lang w:val="fr-FR"/>
              </w:rPr>
              <w:t>Variante de la disposition précédente.</w:t>
            </w:r>
          </w:p>
          <w:p w14:paraId="1D6ECFEB" w14:textId="067564FB" w:rsidR="00A80AC5" w:rsidRPr="009F2E31" w:rsidRDefault="00A80AC5" w:rsidP="002D7EE2">
            <w:pPr>
              <w:numPr>
                <w:ilvl w:val="0"/>
                <w:numId w:val="40"/>
              </w:numPr>
              <w:spacing w:after="160"/>
              <w:rPr>
                <w:sz w:val="20"/>
                <w:szCs w:val="18"/>
                <w:lang w:val="fr-FR"/>
              </w:rPr>
            </w:pPr>
            <w:r w:rsidRPr="009F2E31">
              <w:rPr>
                <w:sz w:val="20"/>
                <w:szCs w:val="18"/>
                <w:lang w:val="fr-FR"/>
              </w:rPr>
              <w:t>Le sous</w:t>
            </w:r>
            <w:r w:rsidR="00FA1A0F">
              <w:rPr>
                <w:sz w:val="20"/>
                <w:szCs w:val="18"/>
                <w:lang w:val="fr-FR"/>
              </w:rPr>
              <w:noBreakHyphen/>
            </w:r>
            <w:r w:rsidRPr="009F2E31">
              <w:rPr>
                <w:sz w:val="20"/>
                <w:szCs w:val="18"/>
                <w:lang w:val="fr-FR"/>
              </w:rPr>
              <w:t>alinéa 34)2) permet des arrangements pris avec une organisation de gestion collective pour gérer le droit de suite des artistes.</w:t>
            </w:r>
          </w:p>
        </w:tc>
      </w:tr>
      <w:tr w:rsidR="00A80AC5" w:rsidRPr="00FD7E39" w14:paraId="4B3F34FC" w14:textId="77777777" w:rsidTr="00D93A25">
        <w:tc>
          <w:tcPr>
            <w:tcW w:w="2694" w:type="dxa"/>
          </w:tcPr>
          <w:p w14:paraId="779A37AB" w14:textId="4CF64CEB" w:rsidR="00A80AC5" w:rsidRPr="009F2E31" w:rsidRDefault="00A80AC5" w:rsidP="00C02FC0">
            <w:pPr>
              <w:spacing w:before="60" w:after="220"/>
              <w:rPr>
                <w:sz w:val="20"/>
                <w:szCs w:val="18"/>
                <w:lang w:val="fr-FR"/>
              </w:rPr>
            </w:pPr>
            <w:r w:rsidRPr="009F2E31">
              <w:rPr>
                <w:sz w:val="20"/>
                <w:szCs w:val="18"/>
                <w:lang w:val="fr-FR"/>
              </w:rPr>
              <w:t>Disposition supplémentaire traitant de la cession, de la renonciation et d’autres questions postérieures à l’aliénation (Lettonie)</w:t>
            </w:r>
          </w:p>
        </w:tc>
        <w:tc>
          <w:tcPr>
            <w:tcW w:w="2976" w:type="dxa"/>
          </w:tcPr>
          <w:p w14:paraId="72569793" w14:textId="77777777" w:rsidR="00A80AC5" w:rsidRPr="009F2E31" w:rsidRDefault="00A80AC5" w:rsidP="00C02FC0">
            <w:pPr>
              <w:spacing w:before="60" w:after="120"/>
              <w:rPr>
                <w:iCs/>
                <w:sz w:val="20"/>
                <w:szCs w:val="18"/>
                <w:lang w:val="fr-FR"/>
              </w:rPr>
            </w:pPr>
            <w:r w:rsidRPr="009F2E31">
              <w:rPr>
                <w:iCs/>
                <w:sz w:val="20"/>
                <w:szCs w:val="18"/>
                <w:lang w:val="fr-FR"/>
              </w:rPr>
              <w:t>17.1) Les auteurs conservent des droits inaliénables à une rémunération pour les œuvres d’art visuel originales aliénées qui ont été cédées à un tiers.  Un accord en vertu duquel l’auteur renonce à son droit à une rémunération future est nul.  Le transfert de propriété de l’œuvre d’art visuel originale de l’auteur à un tiers, avec ou sans rémunération, est considéré comme la première aliénation de cette œuvre.</w:t>
            </w:r>
          </w:p>
          <w:p w14:paraId="7F01D75D" w14:textId="77777777" w:rsidR="00A80AC5" w:rsidRPr="009F2E31" w:rsidRDefault="00A80AC5" w:rsidP="00C02FC0">
            <w:pPr>
              <w:spacing w:after="120"/>
              <w:rPr>
                <w:iCs/>
                <w:sz w:val="20"/>
                <w:szCs w:val="18"/>
                <w:lang w:val="fr-FR"/>
              </w:rPr>
            </w:pPr>
            <w:r w:rsidRPr="009F2E31">
              <w:rPr>
                <w:iCs/>
                <w:sz w:val="20"/>
                <w:szCs w:val="18"/>
                <w:lang w:val="fr-FR"/>
              </w:rPr>
              <w:t>…</w:t>
            </w:r>
          </w:p>
          <w:p w14:paraId="04AFF975" w14:textId="4BEE08D8" w:rsidR="00A80AC5" w:rsidRPr="009F2E31" w:rsidRDefault="00A80AC5" w:rsidP="002D7EE2">
            <w:pPr>
              <w:spacing w:after="160"/>
              <w:rPr>
                <w:iCs/>
                <w:sz w:val="20"/>
                <w:szCs w:val="18"/>
                <w:lang w:val="fr-FR"/>
              </w:rPr>
            </w:pPr>
            <w:r w:rsidRPr="009F2E31">
              <w:rPr>
                <w:iCs/>
                <w:sz w:val="20"/>
                <w:szCs w:val="18"/>
                <w:lang w:val="fr-FR"/>
              </w:rPr>
              <w:t xml:space="preserve">7) Le propriétaire de l’œuvre d’art visuelle originale a le devoir de donner à l’auteur de l’œuvre aliénée la possibilité de réaliser le droit de reproduire l’œuvre, ainsi que </w:t>
            </w:r>
            <w:r w:rsidRPr="009F2E31">
              <w:rPr>
                <w:iCs/>
                <w:sz w:val="20"/>
                <w:szCs w:val="18"/>
                <w:lang w:val="fr-FR"/>
              </w:rPr>
              <w:lastRenderedPageBreak/>
              <w:t>d’exposer l’œuvre dans une exposition personnelle.  L’auteur a le devoir de veiller lui</w:t>
            </w:r>
            <w:r w:rsidR="00FA1A0F">
              <w:rPr>
                <w:iCs/>
                <w:sz w:val="20"/>
                <w:szCs w:val="18"/>
                <w:lang w:val="fr-FR"/>
              </w:rPr>
              <w:noBreakHyphen/>
            </w:r>
            <w:r w:rsidRPr="009F2E31">
              <w:rPr>
                <w:iCs/>
                <w:sz w:val="20"/>
                <w:szCs w:val="18"/>
                <w:lang w:val="fr-FR"/>
              </w:rPr>
              <w:t>même à la préservation de l’œuvre en la livrant à destination et en la récupérant au lieu de reproduction ou d’exposition, sauf disposition contraire du contrat</w:t>
            </w:r>
            <w:r w:rsidRPr="009F2E31">
              <w:rPr>
                <w:rStyle w:val="FootnoteReference"/>
                <w:iCs/>
                <w:sz w:val="20"/>
                <w:szCs w:val="18"/>
                <w:lang w:val="fr-FR"/>
              </w:rPr>
              <w:footnoteReference w:id="106"/>
            </w:r>
            <w:r w:rsidRPr="009F2E31">
              <w:rPr>
                <w:iCs/>
                <w:sz w:val="20"/>
                <w:szCs w:val="18"/>
                <w:lang w:val="fr-FR"/>
              </w:rPr>
              <w:t>.</w:t>
            </w:r>
          </w:p>
        </w:tc>
        <w:tc>
          <w:tcPr>
            <w:tcW w:w="3345" w:type="dxa"/>
          </w:tcPr>
          <w:p w14:paraId="6E01BBEB" w14:textId="77777777" w:rsidR="00A80AC5" w:rsidRPr="009F2E31" w:rsidRDefault="00A80AC5" w:rsidP="00C02FC0">
            <w:pPr>
              <w:numPr>
                <w:ilvl w:val="0"/>
                <w:numId w:val="40"/>
              </w:numPr>
              <w:spacing w:before="60" w:after="60"/>
              <w:rPr>
                <w:sz w:val="20"/>
                <w:szCs w:val="18"/>
                <w:lang w:val="fr-FR"/>
              </w:rPr>
            </w:pPr>
            <w:r w:rsidRPr="009F2E31">
              <w:rPr>
                <w:sz w:val="20"/>
                <w:szCs w:val="18"/>
                <w:lang w:val="fr-FR"/>
              </w:rPr>
              <w:lastRenderedPageBreak/>
              <w:t>Une autre variante de ce qui précède.</w:t>
            </w:r>
          </w:p>
          <w:p w14:paraId="53930BF9" w14:textId="77777777" w:rsidR="00A80AC5" w:rsidRPr="009F2E31" w:rsidRDefault="00A80AC5" w:rsidP="002D7EE2">
            <w:pPr>
              <w:numPr>
                <w:ilvl w:val="0"/>
                <w:numId w:val="40"/>
              </w:numPr>
              <w:spacing w:after="160"/>
              <w:rPr>
                <w:sz w:val="20"/>
                <w:szCs w:val="18"/>
                <w:lang w:val="fr-FR"/>
              </w:rPr>
            </w:pPr>
            <w:r w:rsidRPr="009F2E31">
              <w:rPr>
                <w:sz w:val="20"/>
                <w:szCs w:val="18"/>
                <w:lang w:val="fr-FR"/>
              </w:rPr>
              <w:t>L’alinéa 7) prévoit une réserve intéressante pour l’artiste afin que ce dernier puisse accéder à l’œuvre aliénée à des fins d’“exposition personnelle”, ainsi que des obligations correspondantes en ce qui concerne la conservation de l’œuvre lorsqu’elle est en sa possession.</w:t>
            </w:r>
          </w:p>
        </w:tc>
      </w:tr>
      <w:tr w:rsidR="00A80AC5" w:rsidRPr="00FD7E39" w14:paraId="776A4AB4" w14:textId="77777777" w:rsidTr="00D93A25">
        <w:tc>
          <w:tcPr>
            <w:tcW w:w="2694" w:type="dxa"/>
          </w:tcPr>
          <w:p w14:paraId="52E0861B" w14:textId="1FF1A618" w:rsidR="00A80AC5" w:rsidRPr="009F2E31" w:rsidRDefault="00A80AC5" w:rsidP="00C02FC0">
            <w:pPr>
              <w:spacing w:before="60" w:after="220"/>
              <w:rPr>
                <w:sz w:val="20"/>
                <w:szCs w:val="18"/>
                <w:lang w:val="fr-FR"/>
              </w:rPr>
            </w:pPr>
            <w:r w:rsidRPr="009F2E31">
              <w:rPr>
                <w:sz w:val="20"/>
                <w:szCs w:val="18"/>
                <w:lang w:val="fr-FR"/>
              </w:rPr>
              <w:t>Renonciation aux paiements des droits de suite des artistes (Nouvelle</w:t>
            </w:r>
            <w:r w:rsidR="00FA1A0F">
              <w:rPr>
                <w:sz w:val="20"/>
                <w:szCs w:val="18"/>
                <w:lang w:val="fr-FR"/>
              </w:rPr>
              <w:noBreakHyphen/>
            </w:r>
            <w:r w:rsidRPr="009F2E31">
              <w:rPr>
                <w:sz w:val="20"/>
                <w:szCs w:val="18"/>
                <w:lang w:val="fr-FR"/>
              </w:rPr>
              <w:t>Zélande)</w:t>
            </w:r>
          </w:p>
        </w:tc>
        <w:tc>
          <w:tcPr>
            <w:tcW w:w="2976" w:type="dxa"/>
          </w:tcPr>
          <w:p w14:paraId="0A859C7E" w14:textId="77777777" w:rsidR="00A80AC5" w:rsidRPr="009F2E31" w:rsidRDefault="00A80AC5" w:rsidP="00C02FC0">
            <w:pPr>
              <w:spacing w:before="60" w:after="60"/>
              <w:rPr>
                <w:b/>
                <w:bCs/>
                <w:iCs/>
                <w:sz w:val="20"/>
                <w:szCs w:val="18"/>
                <w:lang w:val="fr-FR"/>
              </w:rPr>
            </w:pPr>
            <w:r w:rsidRPr="009F2E31">
              <w:rPr>
                <w:b/>
                <w:bCs/>
                <w:iCs/>
                <w:sz w:val="20"/>
                <w:szCs w:val="18"/>
                <w:lang w:val="fr-FR"/>
              </w:rPr>
              <w:t>19 Le titulaire du droit peut renoncer au paiement du droit de suite</w:t>
            </w:r>
          </w:p>
          <w:p w14:paraId="42D149B7" w14:textId="77777777" w:rsidR="00A80AC5" w:rsidRPr="009F2E31" w:rsidRDefault="00A80AC5" w:rsidP="00C02FC0">
            <w:pPr>
              <w:spacing w:after="60"/>
              <w:rPr>
                <w:iCs/>
                <w:sz w:val="20"/>
                <w:szCs w:val="18"/>
                <w:lang w:val="fr-FR"/>
              </w:rPr>
            </w:pPr>
            <w:r w:rsidRPr="009F2E31">
              <w:rPr>
                <w:iCs/>
                <w:sz w:val="20"/>
                <w:szCs w:val="18"/>
                <w:lang w:val="fr-FR"/>
              </w:rPr>
              <w:t>1) Le titulaire du droit peut, conformément à la procédure prévue par le règlement, refuser de recevoir :</w:t>
            </w:r>
          </w:p>
          <w:p w14:paraId="7205D74E" w14:textId="77777777" w:rsidR="00A80AC5" w:rsidRPr="009F2E31" w:rsidRDefault="00A80AC5" w:rsidP="00C02FC0">
            <w:pPr>
              <w:spacing w:after="60"/>
              <w:rPr>
                <w:iCs/>
                <w:sz w:val="20"/>
                <w:szCs w:val="18"/>
                <w:lang w:val="fr-FR"/>
              </w:rPr>
            </w:pPr>
            <w:r w:rsidRPr="009F2E31">
              <w:rPr>
                <w:iCs/>
                <w:sz w:val="20"/>
                <w:szCs w:val="18"/>
                <w:lang w:val="fr-FR"/>
              </w:rPr>
              <w:t>a) le paiement de tout ou partie du droit de suite :</w:t>
            </w:r>
          </w:p>
          <w:p w14:paraId="6521C5C4" w14:textId="77777777" w:rsidR="00A80AC5" w:rsidRPr="009F2E31" w:rsidRDefault="00A80AC5" w:rsidP="00C02FC0">
            <w:pPr>
              <w:spacing w:after="60"/>
              <w:rPr>
                <w:iCs/>
                <w:sz w:val="20"/>
                <w:szCs w:val="18"/>
                <w:lang w:val="fr-FR"/>
              </w:rPr>
            </w:pPr>
            <w:r w:rsidRPr="009F2E31">
              <w:rPr>
                <w:iCs/>
                <w:sz w:val="20"/>
                <w:szCs w:val="18"/>
                <w:lang w:val="fr-FR"/>
              </w:rPr>
              <w:t>b) le paiement d’un droit de suite sur la revente future de tout ou partie de ses œuvres d’art visuel.</w:t>
            </w:r>
          </w:p>
          <w:p w14:paraId="5BACE8E9" w14:textId="77777777" w:rsidR="00A80AC5" w:rsidRPr="009F2E31" w:rsidRDefault="00A80AC5" w:rsidP="00C02FC0">
            <w:pPr>
              <w:spacing w:after="60"/>
              <w:rPr>
                <w:iCs/>
                <w:sz w:val="20"/>
                <w:szCs w:val="18"/>
                <w:lang w:val="fr-FR"/>
              </w:rPr>
            </w:pPr>
            <w:r w:rsidRPr="009F2E31">
              <w:rPr>
                <w:iCs/>
                <w:sz w:val="20"/>
                <w:szCs w:val="18"/>
                <w:lang w:val="fr-FR"/>
              </w:rPr>
              <w:t>2) Si un titulaire de droits renonce à recevoir le paiement d’un montant quelconque du droit de suite, l’organisme de perception doit utiliser ou gérer ce montant de la manière prévue par le règlement.</w:t>
            </w:r>
          </w:p>
          <w:p w14:paraId="13702464" w14:textId="77777777" w:rsidR="00A80AC5" w:rsidRPr="009F2E31" w:rsidRDefault="00A80AC5" w:rsidP="002D7EE2">
            <w:pPr>
              <w:spacing w:after="160"/>
              <w:rPr>
                <w:iCs/>
                <w:sz w:val="20"/>
                <w:szCs w:val="18"/>
                <w:lang w:val="fr-FR"/>
              </w:rPr>
            </w:pPr>
            <w:r w:rsidRPr="009F2E31">
              <w:rPr>
                <w:iCs/>
                <w:sz w:val="20"/>
                <w:szCs w:val="18"/>
                <w:lang w:val="fr-FR"/>
              </w:rPr>
              <w:t>3) Un titulaire de droits peut, conformément à la procédure indiquée par le règlement, opter pour le paiement d’une redevance sur les reventes futures de tout ou partie des œuvres d’art auquel il avait précédemment renoncé en vertu du paragraphe 1.b)</w:t>
            </w:r>
            <w:r w:rsidRPr="009F2E31">
              <w:rPr>
                <w:rStyle w:val="FootnoteReference"/>
                <w:iCs/>
                <w:sz w:val="20"/>
                <w:szCs w:val="18"/>
                <w:lang w:val="fr-FR"/>
              </w:rPr>
              <w:footnoteReference w:id="107"/>
            </w:r>
            <w:r w:rsidRPr="009F2E31">
              <w:rPr>
                <w:iCs/>
                <w:sz w:val="20"/>
                <w:szCs w:val="18"/>
                <w:lang w:val="fr-FR"/>
              </w:rPr>
              <w:t>.</w:t>
            </w:r>
          </w:p>
        </w:tc>
        <w:tc>
          <w:tcPr>
            <w:tcW w:w="3345" w:type="dxa"/>
          </w:tcPr>
          <w:p w14:paraId="5030B977" w14:textId="77777777" w:rsidR="00A80AC5" w:rsidRPr="009F2E31" w:rsidRDefault="00A80AC5" w:rsidP="00C02FC0">
            <w:pPr>
              <w:numPr>
                <w:ilvl w:val="0"/>
                <w:numId w:val="40"/>
              </w:numPr>
              <w:spacing w:before="60" w:after="60"/>
              <w:rPr>
                <w:sz w:val="20"/>
                <w:szCs w:val="18"/>
                <w:lang w:val="fr-FR"/>
              </w:rPr>
            </w:pPr>
            <w:r w:rsidRPr="009F2E31">
              <w:rPr>
                <w:sz w:val="20"/>
                <w:szCs w:val="18"/>
                <w:lang w:val="fr-FR"/>
              </w:rPr>
              <w:t>Permet au titulaire de droits de renoncer aux paiements des droits de suite des artistes.</w:t>
            </w:r>
          </w:p>
          <w:p w14:paraId="7847D95A" w14:textId="77777777" w:rsidR="00A80AC5" w:rsidRPr="009F2E31" w:rsidRDefault="00A80AC5" w:rsidP="002D7EE2">
            <w:pPr>
              <w:numPr>
                <w:ilvl w:val="0"/>
                <w:numId w:val="40"/>
              </w:numPr>
              <w:spacing w:after="160"/>
              <w:rPr>
                <w:sz w:val="20"/>
                <w:szCs w:val="18"/>
                <w:lang w:val="fr-FR"/>
              </w:rPr>
            </w:pPr>
            <w:r w:rsidRPr="009F2E31">
              <w:rPr>
                <w:sz w:val="20"/>
                <w:szCs w:val="18"/>
                <w:lang w:val="fr-FR"/>
              </w:rPr>
              <w:t>Les paiements de droits de suite des artistes sont ensuite gérés par l’organisation de gestion collective comme le précise le règlement, qui prévoit désormais le paiement de ces droits à un fonds culturel parallèlement aux autres paiements au titre des droits de suite des artistes non attribués</w:t>
            </w:r>
            <w:r w:rsidRPr="009F2E31">
              <w:rPr>
                <w:rStyle w:val="FootnoteReference"/>
                <w:sz w:val="20"/>
                <w:szCs w:val="18"/>
                <w:lang w:val="fr-FR"/>
              </w:rPr>
              <w:footnoteReference w:id="108"/>
            </w:r>
            <w:r w:rsidRPr="009F2E31">
              <w:rPr>
                <w:sz w:val="20"/>
                <w:szCs w:val="18"/>
                <w:lang w:val="fr-FR"/>
              </w:rPr>
              <w:t>.</w:t>
            </w:r>
          </w:p>
        </w:tc>
      </w:tr>
    </w:tbl>
    <w:p w14:paraId="0148AEBF" w14:textId="77777777" w:rsidR="00A80AC5" w:rsidRPr="00361D1F" w:rsidRDefault="00A80AC5" w:rsidP="002D7EE2">
      <w:pPr>
        <w:pStyle w:val="Heading1"/>
      </w:pPr>
      <w:r w:rsidRPr="00361D1F">
        <w:t>Droit au droit de suite des artistes et demandeurs étrangers</w:t>
      </w:r>
    </w:p>
    <w:p w14:paraId="5C647C33" w14:textId="1FA2E5F3" w:rsidR="00A80AC5" w:rsidRPr="00361D1F" w:rsidRDefault="00A80AC5" w:rsidP="002D7EE2">
      <w:pPr>
        <w:pStyle w:val="ONUMFS"/>
        <w:rPr>
          <w:lang w:val="fr-FR"/>
        </w:rPr>
      </w:pPr>
      <w:r w:rsidRPr="00361D1F">
        <w:rPr>
          <w:lang w:val="fr-FR"/>
        </w:rPr>
        <w:t>Dans la mesure où le droit de suite des artistes est une exigence facultative en vertu de la Convention de Berne qui peut être étendue, sous réserve de réciprocité substantielle, aux auteurs étrangers, il n’y a aucune obligation pour les lois nationales de soumettre le droit de suite des artistes au traitement national ou de l’étendre au</w:t>
      </w:r>
      <w:r w:rsidR="00FA1A0F">
        <w:rPr>
          <w:lang w:val="fr-FR"/>
        </w:rPr>
        <w:noBreakHyphen/>
      </w:r>
      <w:r w:rsidRPr="00361D1F">
        <w:rPr>
          <w:lang w:val="fr-FR"/>
        </w:rPr>
        <w:t>delà des auteurs nationaux.  Certains pays peuvent même accorder une protection au droit de suite des artistes dans le cadre de législations distinctes de leur législation nationale sur le droit d’auteur, soulignant ainsi le fait que la protection pour les artistes étrangers est disponible uniquement s’il existe une protection réciproque (c’est le cas de l’Australie et de la Nouvelle</w:t>
      </w:r>
      <w:r w:rsidR="00FA1A0F">
        <w:rPr>
          <w:lang w:val="fr-FR"/>
        </w:rPr>
        <w:noBreakHyphen/>
      </w:r>
      <w:r w:rsidRPr="00361D1F">
        <w:rPr>
          <w:lang w:val="fr-FR"/>
        </w:rPr>
        <w:t>Zélande).</w:t>
      </w:r>
    </w:p>
    <w:p w14:paraId="15FD8DD1" w14:textId="77777777" w:rsidR="00A80AC5" w:rsidRPr="00361D1F" w:rsidRDefault="00A80AC5" w:rsidP="002D7EE2">
      <w:pPr>
        <w:pStyle w:val="ONUMFS"/>
        <w:rPr>
          <w:lang w:val="fr-FR"/>
        </w:rPr>
      </w:pPr>
      <w:r w:rsidRPr="00361D1F">
        <w:rPr>
          <w:lang w:val="fr-FR"/>
        </w:rPr>
        <w:lastRenderedPageBreak/>
        <w:t>En ce qui concerne le droit de réclamer le droit de suite des artistes, les lois nationales subordonnent généralement ce droit à une condition de nationalité ou de résidence permanente au moment de la revente commerciale.  En appliquant les mêmes critères de nationalité ou de résidence permanente, on peut alors prévoir d’étendre la protection du droit de suite des artistes aux ressortissants et résidents de pays ayant des formes de protection sensiblement similaires, comme le prévoit l’article 14</w:t>
      </w:r>
      <w:r w:rsidRPr="00361D1F">
        <w:rPr>
          <w:i/>
          <w:lang w:val="fr-FR"/>
        </w:rPr>
        <w:t xml:space="preserve">ter </w:t>
      </w:r>
      <w:r w:rsidRPr="00361D1F">
        <w:rPr>
          <w:lang w:val="fr-FR"/>
        </w:rPr>
        <w:t>de la Convention de Berne.</w:t>
      </w:r>
    </w:p>
    <w:p w14:paraId="3B364F56" w14:textId="3E6DCF72" w:rsidR="00A80AC5" w:rsidRPr="00361D1F" w:rsidRDefault="00A80AC5" w:rsidP="002D7EE2">
      <w:pPr>
        <w:pStyle w:val="ONUMFS"/>
        <w:rPr>
          <w:lang w:val="fr-FR"/>
        </w:rPr>
      </w:pPr>
      <w:r w:rsidRPr="00361D1F">
        <w:rPr>
          <w:lang w:val="fr-FR"/>
        </w:rPr>
        <w:t>Quelques exemples de dispositions tirées et adaptées des législations nationales et de l’UE sont présentés dans le tableau 13 ci</w:t>
      </w:r>
      <w:r w:rsidR="00FA1A0F">
        <w:rPr>
          <w:lang w:val="fr-FR"/>
        </w:rPr>
        <w:noBreakHyphen/>
      </w:r>
      <w:r w:rsidRPr="00361D1F">
        <w:rPr>
          <w:lang w:val="fr-FR"/>
        </w:rPr>
        <w:t>dessous.</w:t>
      </w:r>
    </w:p>
    <w:p w14:paraId="2D8E69DD" w14:textId="77777777" w:rsidR="00A80AC5" w:rsidRPr="00361D1F" w:rsidRDefault="00A80AC5" w:rsidP="002D7EE2">
      <w:pPr>
        <w:pStyle w:val="Heading2"/>
      </w:pPr>
      <w:r w:rsidRPr="00361D1F">
        <w:t>Tableau 13</w:t>
      </w:r>
    </w:p>
    <w:tbl>
      <w:tblPr>
        <w:tblStyle w:val="TableGrid"/>
        <w:tblW w:w="0" w:type="auto"/>
        <w:tblInd w:w="-5" w:type="dxa"/>
        <w:tblLayout w:type="fixed"/>
        <w:tblLook w:val="04A0" w:firstRow="1" w:lastRow="0" w:firstColumn="1" w:lastColumn="0" w:noHBand="0" w:noVBand="1"/>
      </w:tblPr>
      <w:tblGrid>
        <w:gridCol w:w="2127"/>
        <w:gridCol w:w="3543"/>
        <w:gridCol w:w="3397"/>
      </w:tblGrid>
      <w:tr w:rsidR="00A80AC5" w:rsidRPr="00361D1F" w14:paraId="7FB06F36" w14:textId="77777777" w:rsidTr="00D93A25">
        <w:tc>
          <w:tcPr>
            <w:tcW w:w="2127" w:type="dxa"/>
          </w:tcPr>
          <w:p w14:paraId="4B801209" w14:textId="77777777" w:rsidR="00A80AC5" w:rsidRPr="00361D1F" w:rsidRDefault="00A80AC5" w:rsidP="002D7EE2">
            <w:pPr>
              <w:keepNext/>
              <w:spacing w:after="220"/>
              <w:rPr>
                <w:lang w:val="fr-FR"/>
              </w:rPr>
            </w:pPr>
            <w:r w:rsidRPr="00361D1F">
              <w:rPr>
                <w:b/>
                <w:lang w:val="fr-FR"/>
              </w:rPr>
              <w:t>Type de disposition</w:t>
            </w:r>
          </w:p>
        </w:tc>
        <w:tc>
          <w:tcPr>
            <w:tcW w:w="3543" w:type="dxa"/>
          </w:tcPr>
          <w:p w14:paraId="0B40B971" w14:textId="77777777" w:rsidR="00A80AC5" w:rsidRPr="00361D1F" w:rsidRDefault="00A80AC5" w:rsidP="002D7EE2">
            <w:pPr>
              <w:keepNext/>
              <w:spacing w:after="220"/>
              <w:rPr>
                <w:lang w:val="fr-FR"/>
              </w:rPr>
            </w:pPr>
            <w:r w:rsidRPr="00361D1F">
              <w:rPr>
                <w:b/>
                <w:lang w:val="fr-FR"/>
              </w:rPr>
              <w:t>Texte suggéré</w:t>
            </w:r>
          </w:p>
        </w:tc>
        <w:tc>
          <w:tcPr>
            <w:tcW w:w="3397" w:type="dxa"/>
          </w:tcPr>
          <w:p w14:paraId="4D16D32E" w14:textId="77777777" w:rsidR="00A80AC5" w:rsidRPr="00361D1F" w:rsidRDefault="00A80AC5" w:rsidP="002D7EE2">
            <w:pPr>
              <w:keepNext/>
              <w:spacing w:after="220"/>
              <w:rPr>
                <w:lang w:val="fr-FR"/>
              </w:rPr>
            </w:pPr>
            <w:r w:rsidRPr="00361D1F">
              <w:rPr>
                <w:b/>
                <w:lang w:val="fr-FR"/>
              </w:rPr>
              <w:t>Observations</w:t>
            </w:r>
          </w:p>
        </w:tc>
      </w:tr>
      <w:tr w:rsidR="00A80AC5" w:rsidRPr="00361D1F" w14:paraId="244F34FE" w14:textId="77777777" w:rsidTr="00D93A25">
        <w:tc>
          <w:tcPr>
            <w:tcW w:w="2127" w:type="dxa"/>
          </w:tcPr>
          <w:p w14:paraId="2EA77336" w14:textId="6C589658" w:rsidR="00A80AC5" w:rsidRPr="00361D1F" w:rsidRDefault="00A80AC5" w:rsidP="00C02FC0">
            <w:pPr>
              <w:spacing w:before="60" w:after="220"/>
              <w:rPr>
                <w:sz w:val="20"/>
                <w:lang w:val="fr-FR"/>
              </w:rPr>
            </w:pPr>
            <w:r w:rsidRPr="00361D1F">
              <w:rPr>
                <w:sz w:val="20"/>
                <w:lang w:val="fr-FR"/>
              </w:rPr>
              <w:t>Droit en vertu de la législation nationale (Royaume</w:t>
            </w:r>
            <w:r w:rsidR="00FA1A0F">
              <w:rPr>
                <w:sz w:val="20"/>
                <w:lang w:val="fr-FR"/>
              </w:rPr>
              <w:noBreakHyphen/>
            </w:r>
            <w:r w:rsidRPr="00361D1F">
              <w:rPr>
                <w:sz w:val="20"/>
                <w:lang w:val="fr-FR"/>
              </w:rPr>
              <w:t>Uni)</w:t>
            </w:r>
          </w:p>
        </w:tc>
        <w:tc>
          <w:tcPr>
            <w:tcW w:w="3543" w:type="dxa"/>
          </w:tcPr>
          <w:p w14:paraId="68FBBD8D" w14:textId="77777777" w:rsidR="00A80AC5" w:rsidRPr="00361D1F" w:rsidRDefault="00A80AC5" w:rsidP="00C02FC0">
            <w:pPr>
              <w:autoSpaceDE w:val="0"/>
              <w:autoSpaceDN w:val="0"/>
              <w:adjustRightInd w:val="0"/>
              <w:spacing w:before="60"/>
              <w:rPr>
                <w:rFonts w:eastAsia="Times New Roman"/>
                <w:sz w:val="20"/>
                <w:lang w:val="fr-FR" w:eastAsia="fr-CH"/>
              </w:rPr>
            </w:pPr>
            <w:r w:rsidRPr="00361D1F">
              <w:rPr>
                <w:rFonts w:eastAsia="Times New Roman"/>
                <w:b/>
                <w:bCs/>
                <w:sz w:val="20"/>
                <w:lang w:val="fr-FR" w:eastAsia="fr-CH"/>
              </w:rPr>
              <w:t>Exigences relatives à la nationalité, etc</w:t>
            </w:r>
            <w:r w:rsidRPr="00361D1F">
              <w:rPr>
                <w:rFonts w:eastAsia="Times New Roman"/>
                <w:sz w:val="20"/>
                <w:lang w:val="fr-FR" w:eastAsia="fr-CH"/>
              </w:rPr>
              <w:t>.</w:t>
            </w:r>
          </w:p>
          <w:p w14:paraId="1CA3A962" w14:textId="77777777" w:rsidR="00A80AC5" w:rsidRPr="00361D1F" w:rsidRDefault="00A80AC5" w:rsidP="002D7EE2">
            <w:pPr>
              <w:autoSpaceDE w:val="0"/>
              <w:autoSpaceDN w:val="0"/>
              <w:adjustRightInd w:val="0"/>
              <w:spacing w:after="60"/>
              <w:rPr>
                <w:rFonts w:eastAsia="Times New Roman"/>
                <w:sz w:val="20"/>
                <w:lang w:val="fr-FR" w:eastAsia="fr-CH"/>
              </w:rPr>
            </w:pPr>
            <w:r w:rsidRPr="00361D1F">
              <w:rPr>
                <w:rFonts w:eastAsia="Times New Roman"/>
                <w:sz w:val="20"/>
                <w:lang w:val="fr-FR" w:eastAsia="fr-CH"/>
              </w:rPr>
              <w:t>10.–1) Le droit de suite peut être exercé à l’égard d’une vente uniquement par une personne qui, à la date du contrat, est :</w:t>
            </w:r>
          </w:p>
          <w:p w14:paraId="4DA5E24D" w14:textId="77777777" w:rsidR="00A80AC5" w:rsidRPr="00361D1F" w:rsidRDefault="00A80AC5" w:rsidP="002D7EE2">
            <w:pPr>
              <w:autoSpaceDE w:val="0"/>
              <w:autoSpaceDN w:val="0"/>
              <w:adjustRightInd w:val="0"/>
              <w:spacing w:after="60"/>
              <w:rPr>
                <w:rFonts w:eastAsia="Times New Roman"/>
                <w:sz w:val="20"/>
                <w:lang w:val="fr-FR" w:eastAsia="fr-CH"/>
              </w:rPr>
            </w:pPr>
            <w:r w:rsidRPr="00361D1F">
              <w:rPr>
                <w:rFonts w:eastAsia="Times New Roman"/>
                <w:sz w:val="20"/>
                <w:lang w:val="fr-FR" w:eastAsia="fr-CH"/>
              </w:rPr>
              <w:t xml:space="preserve">a) une personne remplissant les conditions </w:t>
            </w:r>
            <w:proofErr w:type="gramStart"/>
            <w:r w:rsidRPr="00361D1F">
              <w:rPr>
                <w:rFonts w:eastAsia="Times New Roman"/>
                <w:sz w:val="20"/>
                <w:lang w:val="fr-FR" w:eastAsia="fr-CH"/>
              </w:rPr>
              <w:t>requises;</w:t>
            </w:r>
            <w:proofErr w:type="gramEnd"/>
          </w:p>
          <w:p w14:paraId="6FE78BAC" w14:textId="77777777" w:rsidR="00A80AC5" w:rsidRPr="00361D1F" w:rsidRDefault="00A80AC5" w:rsidP="002D7EE2">
            <w:pPr>
              <w:autoSpaceDE w:val="0"/>
              <w:autoSpaceDN w:val="0"/>
              <w:adjustRightInd w:val="0"/>
              <w:spacing w:after="60"/>
              <w:rPr>
                <w:rFonts w:eastAsia="Times New Roman"/>
                <w:sz w:val="20"/>
                <w:lang w:val="fr-FR" w:eastAsia="fr-CH"/>
              </w:rPr>
            </w:pPr>
            <w:r w:rsidRPr="00361D1F">
              <w:rPr>
                <w:rFonts w:eastAsia="Times New Roman"/>
                <w:sz w:val="20"/>
                <w:lang w:val="fr-FR" w:eastAsia="fr-CH"/>
              </w:rPr>
              <w:t>…</w:t>
            </w:r>
          </w:p>
          <w:p w14:paraId="20E62E50" w14:textId="77777777" w:rsidR="00A80AC5" w:rsidRPr="00361D1F" w:rsidRDefault="00A80AC5" w:rsidP="002D7EE2">
            <w:pPr>
              <w:autoSpaceDE w:val="0"/>
              <w:autoSpaceDN w:val="0"/>
              <w:adjustRightInd w:val="0"/>
              <w:spacing w:after="60"/>
              <w:rPr>
                <w:rFonts w:eastAsia="Times New Roman"/>
                <w:sz w:val="20"/>
                <w:lang w:val="fr-FR" w:eastAsia="fr-CH"/>
              </w:rPr>
            </w:pPr>
            <w:r w:rsidRPr="00361D1F">
              <w:rPr>
                <w:rFonts w:eastAsia="Times New Roman"/>
                <w:sz w:val="20"/>
                <w:lang w:val="fr-FR" w:eastAsia="fr-CH"/>
              </w:rPr>
              <w:t xml:space="preserve">3) </w:t>
            </w:r>
            <w:proofErr w:type="gramStart"/>
            <w:r w:rsidRPr="00361D1F">
              <w:rPr>
                <w:rFonts w:eastAsia="Times New Roman"/>
                <w:sz w:val="20"/>
                <w:lang w:val="fr-FR" w:eastAsia="fr-CH"/>
              </w:rPr>
              <w:t>On entend par “personne</w:t>
            </w:r>
            <w:proofErr w:type="gramEnd"/>
            <w:r w:rsidRPr="00361D1F">
              <w:rPr>
                <w:rFonts w:eastAsia="Times New Roman"/>
                <w:sz w:val="20"/>
                <w:lang w:val="fr-FR" w:eastAsia="fr-CH"/>
              </w:rPr>
              <w:t xml:space="preserve"> remplissant les conditions requises” une personne physique :</w:t>
            </w:r>
          </w:p>
          <w:p w14:paraId="398B6B09" w14:textId="77777777" w:rsidR="00A80AC5" w:rsidRPr="00361D1F" w:rsidRDefault="00A80AC5" w:rsidP="002D7EE2">
            <w:pPr>
              <w:autoSpaceDE w:val="0"/>
              <w:autoSpaceDN w:val="0"/>
              <w:adjustRightInd w:val="0"/>
              <w:spacing w:after="60"/>
              <w:rPr>
                <w:rFonts w:eastAsia="Times New Roman"/>
                <w:sz w:val="20"/>
                <w:lang w:val="fr-FR" w:eastAsia="fr-CH"/>
              </w:rPr>
            </w:pPr>
            <w:r w:rsidRPr="00361D1F">
              <w:rPr>
                <w:rFonts w:eastAsia="Times New Roman"/>
                <w:sz w:val="20"/>
                <w:lang w:val="fr-FR" w:eastAsia="fr-CH"/>
              </w:rPr>
              <w:t xml:space="preserve">a) ressortissante d’un État appartenant à l’Espace économique </w:t>
            </w:r>
            <w:proofErr w:type="gramStart"/>
            <w:r w:rsidRPr="00361D1F">
              <w:rPr>
                <w:rFonts w:eastAsia="Times New Roman"/>
                <w:sz w:val="20"/>
                <w:lang w:val="fr-FR" w:eastAsia="fr-CH"/>
              </w:rPr>
              <w:t>européen;  ou</w:t>
            </w:r>
            <w:proofErr w:type="gramEnd"/>
          </w:p>
          <w:p w14:paraId="3496060C" w14:textId="77777777" w:rsidR="00A80AC5" w:rsidRPr="00361D1F" w:rsidRDefault="00A80AC5" w:rsidP="002D7EE2">
            <w:pPr>
              <w:spacing w:after="60"/>
              <w:rPr>
                <w:sz w:val="20"/>
                <w:lang w:val="fr-FR"/>
              </w:rPr>
            </w:pPr>
            <w:r w:rsidRPr="00361D1F">
              <w:rPr>
                <w:sz w:val="20"/>
                <w:lang w:val="fr-FR" w:eastAsia="fr-CH"/>
              </w:rPr>
              <w:t>b) ressortissante d’un pays figurant dans la liste n° 2</w:t>
            </w:r>
            <w:r w:rsidRPr="00361D1F">
              <w:rPr>
                <w:rStyle w:val="FootnoteReference"/>
                <w:sz w:val="20"/>
                <w:lang w:val="fr-FR" w:eastAsia="fr-CH"/>
              </w:rPr>
              <w:footnoteReference w:id="109"/>
            </w:r>
            <w:r w:rsidRPr="00361D1F">
              <w:rPr>
                <w:sz w:val="20"/>
                <w:lang w:val="fr-FR"/>
              </w:rPr>
              <w:t>.</w:t>
            </w:r>
          </w:p>
        </w:tc>
        <w:tc>
          <w:tcPr>
            <w:tcW w:w="3397" w:type="dxa"/>
          </w:tcPr>
          <w:p w14:paraId="7A72C2A9" w14:textId="77777777" w:rsidR="00A80AC5" w:rsidRPr="00361D1F" w:rsidRDefault="00A80AC5" w:rsidP="00C02FC0">
            <w:pPr>
              <w:numPr>
                <w:ilvl w:val="0"/>
                <w:numId w:val="40"/>
              </w:numPr>
              <w:spacing w:before="60" w:after="60"/>
              <w:rPr>
                <w:sz w:val="20"/>
                <w:lang w:val="fr-FR"/>
              </w:rPr>
            </w:pPr>
            <w:r w:rsidRPr="00361D1F">
              <w:rPr>
                <w:sz w:val="20"/>
                <w:lang w:val="fr-FR"/>
              </w:rPr>
              <w:t>Droit découlant de la nationalité au moment de la revente (cas le plus clair).</w:t>
            </w:r>
          </w:p>
          <w:p w14:paraId="1FA2D877" w14:textId="77777777" w:rsidR="00A80AC5" w:rsidRPr="00361D1F" w:rsidRDefault="00A80AC5" w:rsidP="00C02FC0">
            <w:pPr>
              <w:numPr>
                <w:ilvl w:val="0"/>
                <w:numId w:val="40"/>
              </w:numPr>
              <w:spacing w:after="60"/>
              <w:rPr>
                <w:sz w:val="20"/>
                <w:lang w:val="fr-FR"/>
              </w:rPr>
            </w:pPr>
            <w:r w:rsidRPr="00361D1F">
              <w:rPr>
                <w:sz w:val="20"/>
                <w:lang w:val="fr-FR"/>
              </w:rPr>
              <w:t>Se demander si cela devrait s’étendre à la résidence permanente à l’heure actuelle – on peut objecter que la nationalité d’un auteur reste généralement constante alors que la résidence permanente peut changer fréquemment et être plus difficile à déterminer par rapport à la date de revente.</w:t>
            </w:r>
          </w:p>
          <w:p w14:paraId="45570580" w14:textId="38140A64" w:rsidR="00A80AC5" w:rsidRPr="00361D1F" w:rsidRDefault="00A80AC5" w:rsidP="00C02FC0">
            <w:pPr>
              <w:numPr>
                <w:ilvl w:val="0"/>
                <w:numId w:val="40"/>
              </w:numPr>
              <w:spacing w:after="60"/>
              <w:rPr>
                <w:sz w:val="20"/>
                <w:lang w:val="fr-FR"/>
              </w:rPr>
            </w:pPr>
            <w:r w:rsidRPr="00361D1F">
              <w:rPr>
                <w:sz w:val="20"/>
                <w:lang w:val="fr-FR"/>
              </w:rPr>
              <w:t>Une alternative à l’exigence de résidence permanente pourrait être l’“assimilation” des non</w:t>
            </w:r>
            <w:r w:rsidR="00FA1A0F">
              <w:rPr>
                <w:sz w:val="20"/>
                <w:lang w:val="fr-FR"/>
              </w:rPr>
              <w:noBreakHyphen/>
            </w:r>
            <w:r w:rsidRPr="00361D1F">
              <w:rPr>
                <w:sz w:val="20"/>
                <w:lang w:val="fr-FR"/>
              </w:rPr>
              <w:t>ressortissants comme en France et au Sénégal (voir exemple suivant).</w:t>
            </w:r>
          </w:p>
          <w:p w14:paraId="367AE926" w14:textId="77777777" w:rsidR="00A80AC5" w:rsidRPr="00361D1F" w:rsidRDefault="00A80AC5" w:rsidP="002D7EE2">
            <w:pPr>
              <w:numPr>
                <w:ilvl w:val="0"/>
                <w:numId w:val="40"/>
              </w:numPr>
              <w:spacing w:after="120"/>
              <w:rPr>
                <w:sz w:val="20"/>
                <w:lang w:val="fr-FR"/>
              </w:rPr>
            </w:pPr>
            <w:r w:rsidRPr="00361D1F">
              <w:rPr>
                <w:sz w:val="20"/>
                <w:lang w:val="fr-FR"/>
              </w:rPr>
              <w:t>D’autres exigences s’appliquent aux institutions (“organismes remplissant les conditions requises”) en ce qui concerne la succession après le décès de l’artiste : règle 10.3)</w:t>
            </w:r>
          </w:p>
        </w:tc>
      </w:tr>
      <w:tr w:rsidR="00A80AC5" w:rsidRPr="00361D1F" w14:paraId="7EB65267" w14:textId="77777777" w:rsidTr="00D93A25">
        <w:tc>
          <w:tcPr>
            <w:tcW w:w="2127" w:type="dxa"/>
          </w:tcPr>
          <w:p w14:paraId="0DB0B41E" w14:textId="5E8501A1" w:rsidR="00A80AC5" w:rsidRPr="00361D1F" w:rsidRDefault="00A80AC5" w:rsidP="002D7EE2">
            <w:pPr>
              <w:keepLines/>
              <w:spacing w:after="220"/>
              <w:rPr>
                <w:sz w:val="20"/>
                <w:lang w:val="fr-FR"/>
              </w:rPr>
            </w:pPr>
            <w:r w:rsidRPr="00361D1F">
              <w:rPr>
                <w:sz w:val="20"/>
                <w:lang w:val="fr-FR"/>
              </w:rPr>
              <w:t>Assimilation plutôt que résidence permanente dans le cas des non</w:t>
            </w:r>
            <w:r w:rsidR="00FA1A0F">
              <w:rPr>
                <w:sz w:val="20"/>
                <w:lang w:val="fr-FR"/>
              </w:rPr>
              <w:noBreakHyphen/>
            </w:r>
            <w:r w:rsidRPr="00361D1F">
              <w:rPr>
                <w:sz w:val="20"/>
                <w:lang w:val="fr-FR"/>
              </w:rPr>
              <w:t>ressortissants (Sénégal, France)</w:t>
            </w:r>
          </w:p>
        </w:tc>
        <w:tc>
          <w:tcPr>
            <w:tcW w:w="3543" w:type="dxa"/>
          </w:tcPr>
          <w:p w14:paraId="4EFA8D15" w14:textId="77777777" w:rsidR="00A80AC5" w:rsidRPr="00361D1F" w:rsidRDefault="00A80AC5" w:rsidP="002D7EE2">
            <w:pPr>
              <w:spacing w:after="220"/>
              <w:rPr>
                <w:sz w:val="20"/>
                <w:lang w:val="fr-FR"/>
              </w:rPr>
            </w:pPr>
            <w:r w:rsidRPr="00361D1F">
              <w:rPr>
                <w:sz w:val="20"/>
                <w:lang w:val="fr-FR"/>
              </w:rPr>
              <w:t xml:space="preserve">Les auteurs non ressortissants de… qui, au cours de leur carrière artistique, ont participé à la vie artistique de… et ont eu, pendant au moins cinq ans, même non consécutifs, leur résidence en… peuvent, sans condition de réciprocité, bénéficier du droit de </w:t>
            </w:r>
            <w:r w:rsidRPr="00361D1F">
              <w:rPr>
                <w:sz w:val="20"/>
                <w:lang w:val="fr-FR"/>
              </w:rPr>
              <w:lastRenderedPageBreak/>
              <w:t>suite des artistes, ainsi que leurs ayants droit</w:t>
            </w:r>
            <w:r w:rsidRPr="00361D1F">
              <w:rPr>
                <w:sz w:val="20"/>
                <w:vertAlign w:val="superscript"/>
                <w:lang w:val="fr-FR"/>
              </w:rPr>
              <w:footnoteReference w:id="110"/>
            </w:r>
            <w:r w:rsidRPr="00361D1F">
              <w:rPr>
                <w:sz w:val="20"/>
                <w:lang w:val="fr-FR"/>
              </w:rPr>
              <w:t>.</w:t>
            </w:r>
          </w:p>
        </w:tc>
        <w:tc>
          <w:tcPr>
            <w:tcW w:w="3397" w:type="dxa"/>
          </w:tcPr>
          <w:p w14:paraId="7D034294" w14:textId="77777777" w:rsidR="00A80AC5" w:rsidRPr="00361D1F" w:rsidRDefault="00A80AC5" w:rsidP="002D7EE2">
            <w:pPr>
              <w:numPr>
                <w:ilvl w:val="0"/>
                <w:numId w:val="40"/>
              </w:numPr>
              <w:spacing w:after="60"/>
              <w:rPr>
                <w:sz w:val="20"/>
                <w:lang w:val="fr-FR"/>
              </w:rPr>
            </w:pPr>
            <w:r w:rsidRPr="00361D1F">
              <w:rPr>
                <w:sz w:val="20"/>
                <w:lang w:val="fr-FR"/>
              </w:rPr>
              <w:lastRenderedPageBreak/>
              <w:t>Cela nécessite un lien actif avec la vie artistique du pays dans lequel l’auteur a résidé (un minimum de cinq ans est requis).</w:t>
            </w:r>
          </w:p>
          <w:p w14:paraId="011E33D0" w14:textId="77777777" w:rsidR="00A80AC5" w:rsidRPr="00361D1F" w:rsidRDefault="00A80AC5" w:rsidP="002D7EE2">
            <w:pPr>
              <w:keepLines/>
              <w:numPr>
                <w:ilvl w:val="0"/>
                <w:numId w:val="40"/>
              </w:numPr>
              <w:spacing w:after="60"/>
              <w:rPr>
                <w:sz w:val="20"/>
                <w:lang w:val="fr-FR"/>
              </w:rPr>
            </w:pPr>
            <w:r w:rsidRPr="00361D1F">
              <w:rPr>
                <w:sz w:val="20"/>
                <w:lang w:val="fr-FR"/>
              </w:rPr>
              <w:lastRenderedPageBreak/>
              <w:t>Il n’est pas certain que ce lien et cette résidence soient exigés au moment de la revente commerciale, mais si ces exigences ont été satisfaites précédemment, on peut penser que cet héritage devrait donner à l’auteur le droit au droit de suite des artistes même s’il n’est plus résident, par exemple dans le cas d’un artiste français résidant depuis longtemps au Sénégal, mais qui vit maintenant en France au moment de la revente.</w:t>
            </w:r>
          </w:p>
        </w:tc>
      </w:tr>
      <w:tr w:rsidR="00A80AC5" w:rsidRPr="00361D1F" w14:paraId="67338A00" w14:textId="77777777" w:rsidTr="00D93A25">
        <w:tc>
          <w:tcPr>
            <w:tcW w:w="2127" w:type="dxa"/>
          </w:tcPr>
          <w:p w14:paraId="33844131" w14:textId="77777777" w:rsidR="00A80AC5" w:rsidRPr="00361D1F" w:rsidRDefault="00A80AC5" w:rsidP="00C02FC0">
            <w:pPr>
              <w:spacing w:before="60" w:after="220"/>
              <w:rPr>
                <w:sz w:val="20"/>
                <w:lang w:val="fr-FR"/>
              </w:rPr>
            </w:pPr>
            <w:r w:rsidRPr="00361D1F">
              <w:rPr>
                <w:sz w:val="20"/>
                <w:lang w:val="fr-FR"/>
              </w:rPr>
              <w:lastRenderedPageBreak/>
              <w:t>Protection des ressortissants étrangers d’États dotés de régimes de droit de suite des artistes (France)</w:t>
            </w:r>
          </w:p>
        </w:tc>
        <w:tc>
          <w:tcPr>
            <w:tcW w:w="3543" w:type="dxa"/>
          </w:tcPr>
          <w:p w14:paraId="73C5B8E8" w14:textId="1D44B261" w:rsidR="00A80AC5" w:rsidRPr="00361D1F" w:rsidRDefault="00A80AC5" w:rsidP="00C02FC0">
            <w:pPr>
              <w:spacing w:before="60" w:after="60"/>
              <w:rPr>
                <w:sz w:val="20"/>
                <w:lang w:val="fr-FR"/>
              </w:rPr>
            </w:pPr>
            <w:r w:rsidRPr="00361D1F">
              <w:rPr>
                <w:sz w:val="20"/>
                <w:lang w:val="fr-FR"/>
              </w:rPr>
              <w:t>Article R 122</w:t>
            </w:r>
            <w:r w:rsidR="00FA1A0F">
              <w:rPr>
                <w:sz w:val="20"/>
                <w:lang w:val="fr-FR"/>
              </w:rPr>
              <w:noBreakHyphen/>
            </w:r>
            <w:r w:rsidRPr="00361D1F">
              <w:rPr>
                <w:sz w:val="20"/>
                <w:lang w:val="fr-FR"/>
              </w:rPr>
              <w:t>4.</w:t>
            </w:r>
          </w:p>
          <w:p w14:paraId="0353A0C2" w14:textId="3446376D" w:rsidR="00A80AC5" w:rsidRPr="00361D1F" w:rsidRDefault="00A80AC5" w:rsidP="00C02FC0">
            <w:pPr>
              <w:spacing w:before="60" w:after="60"/>
              <w:rPr>
                <w:sz w:val="20"/>
                <w:lang w:val="fr-FR"/>
              </w:rPr>
            </w:pPr>
            <w:r w:rsidRPr="00361D1F">
              <w:rPr>
                <w:sz w:val="20"/>
                <w:lang w:val="fr-FR"/>
              </w:rPr>
              <w:t>Les auteurs non ressortissants d’un État membre de la Communauté européenne ou d’un État partie à l’accord sur l’Espace économique européen ainsi que leurs ayants droit au sens des dispositions de l’article 123</w:t>
            </w:r>
            <w:r w:rsidR="00FA1A0F">
              <w:rPr>
                <w:sz w:val="20"/>
                <w:lang w:val="fr-FR"/>
              </w:rPr>
              <w:noBreakHyphen/>
            </w:r>
            <w:r w:rsidRPr="00361D1F">
              <w:rPr>
                <w:sz w:val="20"/>
                <w:lang w:val="fr-FR"/>
              </w:rPr>
              <w:t>7 bénéficient du droit de suite dans les conditions prévues par le présent code si leur législation nationale fait bénéficier de ce droit les auteurs ressortissants des États mentionnés ci</w:t>
            </w:r>
            <w:r w:rsidR="00FA1A0F">
              <w:rPr>
                <w:sz w:val="20"/>
                <w:lang w:val="fr-FR"/>
              </w:rPr>
              <w:noBreakHyphen/>
            </w:r>
            <w:r w:rsidRPr="00361D1F">
              <w:rPr>
                <w:sz w:val="20"/>
                <w:lang w:val="fr-FR"/>
              </w:rPr>
              <w:t>dessus ainsi que leurs ayants droit et pour la durée pendant laquelle ils sont admis à exercer ce droit dans leur pays</w:t>
            </w:r>
            <w:r w:rsidRPr="00361D1F">
              <w:rPr>
                <w:sz w:val="20"/>
                <w:vertAlign w:val="superscript"/>
                <w:lang w:val="fr-FR"/>
              </w:rPr>
              <w:footnoteReference w:id="111"/>
            </w:r>
            <w:r w:rsidRPr="00361D1F">
              <w:rPr>
                <w:sz w:val="20"/>
                <w:lang w:val="fr-FR"/>
              </w:rPr>
              <w:t>.</w:t>
            </w:r>
          </w:p>
        </w:tc>
        <w:tc>
          <w:tcPr>
            <w:tcW w:w="3397" w:type="dxa"/>
          </w:tcPr>
          <w:p w14:paraId="3A4AEB59" w14:textId="77777777" w:rsidR="00A80AC5" w:rsidRPr="00361D1F" w:rsidRDefault="00A80AC5" w:rsidP="00C02FC0">
            <w:pPr>
              <w:numPr>
                <w:ilvl w:val="0"/>
                <w:numId w:val="40"/>
              </w:numPr>
              <w:spacing w:before="60" w:after="220"/>
              <w:rPr>
                <w:sz w:val="20"/>
                <w:lang w:val="fr-FR"/>
              </w:rPr>
            </w:pPr>
            <w:r w:rsidRPr="00361D1F">
              <w:rPr>
                <w:sz w:val="20"/>
                <w:lang w:val="fr-FR"/>
              </w:rPr>
              <w:t xml:space="preserve">Offre une protection pour les auteurs étrangers de pays disposant d’un mécanise similaire de protection du droit de suite des </w:t>
            </w:r>
            <w:proofErr w:type="gramStart"/>
            <w:r w:rsidRPr="00361D1F">
              <w:rPr>
                <w:sz w:val="20"/>
                <w:lang w:val="fr-FR"/>
              </w:rPr>
              <w:t>artistes;  en</w:t>
            </w:r>
            <w:proofErr w:type="gramEnd"/>
            <w:r w:rsidRPr="00361D1F">
              <w:rPr>
                <w:sz w:val="20"/>
                <w:lang w:val="fr-FR"/>
              </w:rPr>
              <w:t xml:space="preserve"> d’autres termes, la protection est prévue sur la base de la réciprocité substantielle.</w:t>
            </w:r>
          </w:p>
        </w:tc>
      </w:tr>
      <w:tr w:rsidR="00A80AC5" w:rsidRPr="00361D1F" w14:paraId="63535E70" w14:textId="77777777" w:rsidTr="00D93A25">
        <w:tc>
          <w:tcPr>
            <w:tcW w:w="2127" w:type="dxa"/>
          </w:tcPr>
          <w:p w14:paraId="3F421C95" w14:textId="77777777" w:rsidR="00A80AC5" w:rsidRPr="00361D1F" w:rsidRDefault="00A80AC5" w:rsidP="00C02FC0">
            <w:pPr>
              <w:spacing w:before="60" w:after="220"/>
              <w:rPr>
                <w:sz w:val="20"/>
                <w:lang w:val="fr-FR"/>
              </w:rPr>
            </w:pPr>
            <w:r w:rsidRPr="00361D1F">
              <w:rPr>
                <w:sz w:val="20"/>
                <w:lang w:val="fr-FR"/>
              </w:rPr>
              <w:t>Protection des auteurs ressortissants de pays tiers (CE)</w:t>
            </w:r>
          </w:p>
        </w:tc>
        <w:tc>
          <w:tcPr>
            <w:tcW w:w="3543" w:type="dxa"/>
          </w:tcPr>
          <w:p w14:paraId="664F6043" w14:textId="77777777" w:rsidR="00A80AC5" w:rsidRPr="00361D1F" w:rsidRDefault="00A80AC5" w:rsidP="00C02FC0">
            <w:pPr>
              <w:spacing w:before="60" w:after="60"/>
              <w:rPr>
                <w:b/>
                <w:bCs/>
                <w:iCs/>
                <w:sz w:val="20"/>
                <w:lang w:val="fr-FR"/>
              </w:rPr>
            </w:pPr>
            <w:r w:rsidRPr="00361D1F">
              <w:rPr>
                <w:b/>
                <w:bCs/>
                <w:iCs/>
                <w:sz w:val="20"/>
                <w:lang w:val="fr-FR"/>
              </w:rPr>
              <w:t>Article 7</w:t>
            </w:r>
          </w:p>
          <w:p w14:paraId="0E2CC5E8" w14:textId="77777777" w:rsidR="00A80AC5" w:rsidRPr="00361D1F" w:rsidRDefault="00A80AC5" w:rsidP="00C02FC0">
            <w:pPr>
              <w:spacing w:before="60" w:after="60"/>
              <w:rPr>
                <w:b/>
                <w:bCs/>
                <w:iCs/>
                <w:sz w:val="20"/>
                <w:lang w:val="fr-FR"/>
              </w:rPr>
            </w:pPr>
            <w:r w:rsidRPr="00361D1F">
              <w:rPr>
                <w:b/>
                <w:bCs/>
                <w:iCs/>
                <w:sz w:val="20"/>
                <w:lang w:val="fr-FR"/>
              </w:rPr>
              <w:t>Bénéficiaires des pays tiers</w:t>
            </w:r>
          </w:p>
          <w:p w14:paraId="66B10768" w14:textId="77777777" w:rsidR="00A80AC5" w:rsidRPr="00361D1F" w:rsidRDefault="00A80AC5" w:rsidP="00C02FC0">
            <w:pPr>
              <w:spacing w:before="60" w:after="60"/>
              <w:rPr>
                <w:iCs/>
                <w:sz w:val="20"/>
                <w:lang w:val="fr-FR"/>
              </w:rPr>
            </w:pPr>
            <w:r w:rsidRPr="00361D1F">
              <w:rPr>
                <w:iCs/>
                <w:sz w:val="20"/>
                <w:lang w:val="fr-FR"/>
              </w:rPr>
              <w:t>1.  Les États membres prévoient que les auteurs ressortissants de pays tiers et, sous réserve de l’article 8, paragraphe 2, leurs ayants droit bénéficieront du droit de suite conformément à la présente directive et à la législation de l’État membre concerné uniquement si la législation du pays dont est ressortissant l’auteur ou son ayant droit admet la protection dans ce pays du droit de suite des auteurs des États membres et de leurs ayants droit.</w:t>
            </w:r>
          </w:p>
          <w:p w14:paraId="30760E7A" w14:textId="77777777" w:rsidR="00A80AC5" w:rsidRPr="00361D1F" w:rsidRDefault="00A80AC5" w:rsidP="00C02FC0">
            <w:pPr>
              <w:spacing w:before="60" w:after="60"/>
              <w:rPr>
                <w:iCs/>
                <w:sz w:val="20"/>
                <w:lang w:val="fr-FR"/>
              </w:rPr>
            </w:pPr>
            <w:r w:rsidRPr="00361D1F">
              <w:rPr>
                <w:iCs/>
                <w:sz w:val="20"/>
                <w:lang w:val="fr-FR"/>
              </w:rPr>
              <w:t xml:space="preserve">2.  En tenant compte des données fournies par les États membres, la Commission publie, dans les meilleurs délais, une liste indicative des pays tiers qui remplissent la </w:t>
            </w:r>
            <w:r w:rsidRPr="00361D1F">
              <w:rPr>
                <w:iCs/>
                <w:sz w:val="20"/>
                <w:lang w:val="fr-FR"/>
              </w:rPr>
              <w:lastRenderedPageBreak/>
              <w:t>condition visée au paragraphe 1.  Cette liste est tenue à jour.</w:t>
            </w:r>
          </w:p>
          <w:p w14:paraId="3C16352A" w14:textId="77777777" w:rsidR="00A80AC5" w:rsidRPr="00361D1F" w:rsidRDefault="00A80AC5" w:rsidP="00C02FC0">
            <w:pPr>
              <w:spacing w:before="60" w:after="220"/>
              <w:rPr>
                <w:iCs/>
                <w:sz w:val="20"/>
                <w:lang w:val="fr-FR"/>
              </w:rPr>
            </w:pPr>
            <w:r w:rsidRPr="00361D1F">
              <w:rPr>
                <w:iCs/>
                <w:sz w:val="20"/>
                <w:lang w:val="fr-FR"/>
              </w:rPr>
              <w:t>3.  Tout État membre peut, aux fins de la protection du droit de suite, traiter les auteurs qui ne sont pas ressortissants d’un État membre, mais qui ont leur résidence habituelle dans cet État membre de la même manière que ses propres ressortissants</w:t>
            </w:r>
            <w:r w:rsidRPr="00361D1F">
              <w:rPr>
                <w:iCs/>
                <w:sz w:val="20"/>
                <w:vertAlign w:val="superscript"/>
                <w:lang w:val="fr-FR"/>
              </w:rPr>
              <w:footnoteReference w:id="112"/>
            </w:r>
            <w:r w:rsidRPr="00361D1F">
              <w:rPr>
                <w:iCs/>
                <w:sz w:val="20"/>
                <w:lang w:val="fr-FR"/>
              </w:rPr>
              <w:t>.</w:t>
            </w:r>
          </w:p>
        </w:tc>
        <w:tc>
          <w:tcPr>
            <w:tcW w:w="3397" w:type="dxa"/>
          </w:tcPr>
          <w:p w14:paraId="3B0253BD" w14:textId="77777777" w:rsidR="00A80AC5" w:rsidRPr="00361D1F" w:rsidRDefault="00A80AC5" w:rsidP="00C02FC0">
            <w:pPr>
              <w:numPr>
                <w:ilvl w:val="0"/>
                <w:numId w:val="40"/>
              </w:numPr>
              <w:spacing w:before="60" w:after="220"/>
              <w:rPr>
                <w:sz w:val="20"/>
                <w:lang w:val="fr-FR"/>
              </w:rPr>
            </w:pPr>
            <w:r w:rsidRPr="00361D1F">
              <w:rPr>
                <w:sz w:val="20"/>
                <w:lang w:val="fr-FR"/>
              </w:rPr>
              <w:lastRenderedPageBreak/>
              <w:t>Prévoit l’application de la protection sur la base de la réciprocité.</w:t>
            </w:r>
          </w:p>
        </w:tc>
      </w:tr>
      <w:tr w:rsidR="00A80AC5" w:rsidRPr="00361D1F" w14:paraId="09512175" w14:textId="77777777" w:rsidTr="00D93A25">
        <w:tc>
          <w:tcPr>
            <w:tcW w:w="2127" w:type="dxa"/>
          </w:tcPr>
          <w:p w14:paraId="105AD44B" w14:textId="77777777" w:rsidR="00A80AC5" w:rsidRPr="00361D1F" w:rsidRDefault="00A80AC5" w:rsidP="00C02FC0">
            <w:pPr>
              <w:spacing w:before="60" w:after="220"/>
              <w:rPr>
                <w:sz w:val="20"/>
                <w:lang w:val="fr-FR"/>
              </w:rPr>
            </w:pPr>
            <w:r w:rsidRPr="00361D1F">
              <w:rPr>
                <w:sz w:val="20"/>
                <w:lang w:val="fr-FR"/>
              </w:rPr>
              <w:t>Dispositions plus détaillées concernant les œuvres créées par un ou plusieurs auteurs ainsi que les auteurs étrangers</w:t>
            </w:r>
          </w:p>
        </w:tc>
        <w:tc>
          <w:tcPr>
            <w:tcW w:w="3543" w:type="dxa"/>
          </w:tcPr>
          <w:p w14:paraId="078F006A" w14:textId="77777777" w:rsidR="00A80AC5" w:rsidRPr="00361D1F" w:rsidRDefault="00A80AC5" w:rsidP="00C02FC0">
            <w:pPr>
              <w:spacing w:before="60" w:after="60"/>
              <w:rPr>
                <w:b/>
                <w:bCs/>
                <w:iCs/>
                <w:sz w:val="20"/>
                <w:lang w:val="fr-FR"/>
              </w:rPr>
            </w:pPr>
            <w:r w:rsidRPr="00361D1F">
              <w:rPr>
                <w:b/>
                <w:bCs/>
                <w:iCs/>
                <w:sz w:val="20"/>
                <w:lang w:val="fr-FR"/>
              </w:rPr>
              <w:t>12</w:t>
            </w:r>
            <w:r>
              <w:rPr>
                <w:b/>
                <w:bCs/>
                <w:iCs/>
                <w:sz w:val="20"/>
                <w:lang w:val="fr-FR"/>
              </w:rPr>
              <w:t xml:space="preserve">. </w:t>
            </w:r>
            <w:r w:rsidRPr="00361D1F">
              <w:rPr>
                <w:b/>
                <w:bCs/>
                <w:iCs/>
                <w:sz w:val="20"/>
                <w:lang w:val="fr-FR"/>
              </w:rPr>
              <w:t xml:space="preserve"> Qui détient le droit de </w:t>
            </w:r>
            <w:proofErr w:type="gramStart"/>
            <w:r w:rsidRPr="00361D1F">
              <w:rPr>
                <w:b/>
                <w:bCs/>
                <w:iCs/>
                <w:sz w:val="20"/>
                <w:lang w:val="fr-FR"/>
              </w:rPr>
              <w:t>suite?</w:t>
            </w:r>
            <w:proofErr w:type="gramEnd"/>
          </w:p>
          <w:p w14:paraId="140F9AB5" w14:textId="77777777" w:rsidR="00A80AC5" w:rsidRPr="00361D1F" w:rsidRDefault="00A80AC5" w:rsidP="002D7EE2">
            <w:pPr>
              <w:spacing w:after="60"/>
              <w:rPr>
                <w:i/>
                <w:sz w:val="20"/>
                <w:lang w:val="fr-FR"/>
              </w:rPr>
            </w:pPr>
            <w:r w:rsidRPr="00361D1F">
              <w:rPr>
                <w:i/>
                <w:sz w:val="20"/>
                <w:lang w:val="fr-FR"/>
              </w:rPr>
              <w:t>Œuvre créée par un seul artiste vivant</w:t>
            </w:r>
          </w:p>
          <w:p w14:paraId="35AECE12" w14:textId="77777777" w:rsidR="00A80AC5" w:rsidRPr="00361D1F" w:rsidRDefault="00A80AC5" w:rsidP="002D7EE2">
            <w:pPr>
              <w:spacing w:after="60"/>
              <w:rPr>
                <w:iCs/>
                <w:sz w:val="20"/>
                <w:lang w:val="fr-FR"/>
              </w:rPr>
            </w:pPr>
            <w:r w:rsidRPr="00361D1F">
              <w:rPr>
                <w:iCs/>
                <w:sz w:val="20"/>
                <w:lang w:val="fr-FR"/>
              </w:rPr>
              <w:t>1) Si une œuvre a été créée par un seul artiste identifié et vivant au moment de la revente commerciale de l’œuvre, le droit de suite des artistes sur la revente commerciale est détenu par l’artiste, à condition qu’il satisfasse au critère de résidence au moment de la revente commerciale.</w:t>
            </w:r>
          </w:p>
          <w:p w14:paraId="0E246AD9" w14:textId="77777777" w:rsidR="00A80AC5" w:rsidRPr="00361D1F" w:rsidRDefault="00A80AC5" w:rsidP="002D7EE2">
            <w:pPr>
              <w:keepLines/>
              <w:spacing w:after="60"/>
              <w:rPr>
                <w:iCs/>
                <w:sz w:val="20"/>
                <w:lang w:val="fr-FR"/>
              </w:rPr>
            </w:pPr>
            <w:r w:rsidRPr="00361D1F">
              <w:rPr>
                <w:iCs/>
                <w:sz w:val="20"/>
                <w:lang w:val="fr-FR"/>
              </w:rPr>
              <w:t>…</w:t>
            </w:r>
          </w:p>
          <w:p w14:paraId="2623C64C" w14:textId="77777777" w:rsidR="00A80AC5" w:rsidRPr="00361D1F" w:rsidRDefault="00A80AC5" w:rsidP="002D7EE2">
            <w:pPr>
              <w:keepLines/>
              <w:spacing w:after="60"/>
              <w:rPr>
                <w:i/>
                <w:sz w:val="20"/>
                <w:lang w:val="fr-FR"/>
              </w:rPr>
            </w:pPr>
            <w:r w:rsidRPr="00361D1F">
              <w:rPr>
                <w:i/>
                <w:sz w:val="20"/>
                <w:lang w:val="fr-FR"/>
              </w:rPr>
              <w:t>Œuvre créée par plus d’un artiste</w:t>
            </w:r>
          </w:p>
          <w:p w14:paraId="457B25AE" w14:textId="77777777" w:rsidR="00A80AC5" w:rsidRPr="00361D1F" w:rsidRDefault="00A80AC5" w:rsidP="002D7EE2">
            <w:pPr>
              <w:keepLines/>
              <w:spacing w:after="60"/>
              <w:rPr>
                <w:iCs/>
                <w:sz w:val="20"/>
                <w:lang w:val="fr-FR"/>
              </w:rPr>
            </w:pPr>
            <w:r w:rsidRPr="00361D1F">
              <w:rPr>
                <w:iCs/>
                <w:sz w:val="20"/>
                <w:lang w:val="fr-FR"/>
              </w:rPr>
              <w:t>3) Si une œuvre d’art a été créée par plus d’un artiste, le droit de suite de l’artiste sur une revente commerciale de l’œuvre d’art est détenu par :</w:t>
            </w:r>
          </w:p>
          <w:p w14:paraId="20615669" w14:textId="318B1D99" w:rsidR="00A80AC5" w:rsidRPr="00361D1F" w:rsidRDefault="00A80AC5" w:rsidP="002D7EE2">
            <w:pPr>
              <w:keepLines/>
              <w:spacing w:after="60"/>
              <w:rPr>
                <w:iCs/>
                <w:sz w:val="20"/>
                <w:lang w:val="fr-FR"/>
              </w:rPr>
            </w:pPr>
            <w:r w:rsidRPr="00361D1F">
              <w:rPr>
                <w:iCs/>
                <w:sz w:val="20"/>
                <w:lang w:val="fr-FR"/>
              </w:rPr>
              <w:t>a) pour chaque artiste vivant au moment de la revente – l’artiste, à condition qu’il soit identifié et qu’il satisfasse au critère de résidence à ce moment</w:t>
            </w:r>
            <w:r w:rsidR="00FA1A0F">
              <w:rPr>
                <w:iCs/>
                <w:sz w:val="20"/>
                <w:lang w:val="fr-FR"/>
              </w:rPr>
              <w:noBreakHyphen/>
            </w:r>
            <w:proofErr w:type="gramStart"/>
            <w:r w:rsidRPr="00361D1F">
              <w:rPr>
                <w:iCs/>
                <w:sz w:val="20"/>
                <w:lang w:val="fr-FR"/>
              </w:rPr>
              <w:t>là;  et</w:t>
            </w:r>
            <w:proofErr w:type="gramEnd"/>
          </w:p>
          <w:p w14:paraId="513CB796" w14:textId="77777777" w:rsidR="00A80AC5" w:rsidRPr="00361D1F" w:rsidRDefault="00A80AC5" w:rsidP="002D7EE2">
            <w:pPr>
              <w:keepLines/>
              <w:spacing w:after="60"/>
              <w:rPr>
                <w:iCs/>
                <w:sz w:val="20"/>
                <w:lang w:val="fr-FR"/>
              </w:rPr>
            </w:pPr>
            <w:r w:rsidRPr="00361D1F">
              <w:rPr>
                <w:iCs/>
                <w:sz w:val="20"/>
                <w:lang w:val="fr-FR"/>
              </w:rPr>
              <w:t xml:space="preserve">b) pour chaque artiste qui est identifié, mais qui n’est plus en vie au moment de la revente commerciale, qui a satisfait au critère de résidence immédiatement avant son décès et par l’intermédiaire duquel il n’y a qu’un seul ayant cause du droit – cette entité, à condition que l’entité satisfasse au critère de résidence au moment de la revente commerciale et au critère de </w:t>
            </w:r>
            <w:proofErr w:type="gramStart"/>
            <w:r w:rsidRPr="00361D1F">
              <w:rPr>
                <w:iCs/>
                <w:sz w:val="20"/>
                <w:lang w:val="fr-FR"/>
              </w:rPr>
              <w:t>succession;  et</w:t>
            </w:r>
            <w:proofErr w:type="gramEnd"/>
          </w:p>
          <w:p w14:paraId="215BCD3C" w14:textId="77777777" w:rsidR="00A80AC5" w:rsidRPr="00361D1F" w:rsidRDefault="00A80AC5" w:rsidP="002D7EE2">
            <w:pPr>
              <w:keepLines/>
              <w:spacing w:after="60"/>
              <w:rPr>
                <w:iCs/>
                <w:sz w:val="20"/>
                <w:lang w:val="fr-FR"/>
              </w:rPr>
            </w:pPr>
            <w:r w:rsidRPr="00361D1F">
              <w:rPr>
                <w:iCs/>
                <w:sz w:val="20"/>
                <w:lang w:val="fr-FR"/>
              </w:rPr>
              <w:lastRenderedPageBreak/>
              <w:t>c) pour chaque artiste qui est identifié, mais qui n’est plus en vie au moment de la revente commerciale, qui a satisfait au critère de résidence immédiatement avant son décès et par l’intermédiaire duquel il y a plus d’un ayant cause du droit – chacune de ces entités qui satisfont au critère de résidence au moment de la revente commerciale et au critère de succession.</w:t>
            </w:r>
          </w:p>
          <w:p w14:paraId="59DD452C" w14:textId="77777777" w:rsidR="00A80AC5" w:rsidRPr="00361D1F" w:rsidRDefault="00A80AC5" w:rsidP="002D7EE2">
            <w:pPr>
              <w:keepNext/>
              <w:keepLines/>
              <w:spacing w:after="60"/>
              <w:rPr>
                <w:iCs/>
                <w:sz w:val="20"/>
                <w:lang w:val="fr-FR"/>
              </w:rPr>
            </w:pPr>
            <w:r w:rsidRPr="00361D1F">
              <w:rPr>
                <w:i/>
                <w:sz w:val="20"/>
                <w:lang w:val="fr-FR"/>
              </w:rPr>
              <w:t xml:space="preserve">Ayants </w:t>
            </w:r>
            <w:proofErr w:type="gramStart"/>
            <w:r w:rsidRPr="00361D1F">
              <w:rPr>
                <w:i/>
                <w:sz w:val="20"/>
                <w:lang w:val="fr-FR"/>
              </w:rPr>
              <w:t>cause ultérieurs</w:t>
            </w:r>
            <w:proofErr w:type="gramEnd"/>
          </w:p>
          <w:p w14:paraId="18B382AD" w14:textId="77777777" w:rsidR="00A80AC5" w:rsidRPr="00361D1F" w:rsidRDefault="00A80AC5" w:rsidP="002D7EE2">
            <w:pPr>
              <w:keepNext/>
              <w:keepLines/>
              <w:spacing w:after="60"/>
              <w:rPr>
                <w:iCs/>
                <w:sz w:val="20"/>
                <w:lang w:val="fr-FR"/>
              </w:rPr>
            </w:pPr>
            <w:r w:rsidRPr="00361D1F">
              <w:rPr>
                <w:iCs/>
                <w:sz w:val="20"/>
                <w:lang w:val="fr-FR"/>
              </w:rPr>
              <w:t>4) Si une entité détient un intérêt dans le droit de suite sur la revente commerciale d’une œuvre d’art par application du paragraphe 2) ou 3), ou par une application antérieure du présent paragraphe, mais que l’entité est décédée ou a été liquidée au moment de la revente commerciale suivante de l’œuvre, le droit de suite est détenu sur la revente commerciale suivante de l’œuvre par :</w:t>
            </w:r>
          </w:p>
          <w:p w14:paraId="39A8EA95" w14:textId="77777777" w:rsidR="00A80AC5" w:rsidRPr="00361D1F" w:rsidRDefault="00A80AC5" w:rsidP="002D7EE2">
            <w:pPr>
              <w:keepNext/>
              <w:keepLines/>
              <w:spacing w:after="60"/>
              <w:rPr>
                <w:iCs/>
                <w:sz w:val="20"/>
                <w:lang w:val="fr-FR"/>
              </w:rPr>
            </w:pPr>
            <w:r w:rsidRPr="00361D1F">
              <w:rPr>
                <w:iCs/>
                <w:sz w:val="20"/>
                <w:lang w:val="fr-FR"/>
              </w:rPr>
              <w:t xml:space="preserve">a) s’il n’y a qu’un seul ayant cause du droit – cette entité, à condition qu’elle satisfasse au critère de résidence au moment de la revente commerciale suivante et au critère de </w:t>
            </w:r>
            <w:proofErr w:type="gramStart"/>
            <w:r w:rsidRPr="00361D1F">
              <w:rPr>
                <w:iCs/>
                <w:sz w:val="20"/>
                <w:lang w:val="fr-FR"/>
              </w:rPr>
              <w:t>succession;  et</w:t>
            </w:r>
            <w:proofErr w:type="gramEnd"/>
          </w:p>
          <w:p w14:paraId="203C37C3" w14:textId="77777777" w:rsidR="00A80AC5" w:rsidRPr="00361D1F" w:rsidRDefault="00A80AC5" w:rsidP="002D7EE2">
            <w:pPr>
              <w:keepNext/>
              <w:keepLines/>
              <w:spacing w:after="60"/>
              <w:rPr>
                <w:iCs/>
                <w:sz w:val="20"/>
                <w:lang w:val="fr-FR"/>
              </w:rPr>
            </w:pPr>
            <w:r w:rsidRPr="00361D1F">
              <w:rPr>
                <w:iCs/>
                <w:sz w:val="20"/>
                <w:lang w:val="fr-FR"/>
              </w:rPr>
              <w:t>b) s’il y a plus d’un ayant cause du droit – chacune de ces entités qui satisfait au critère de résidence au moment de la revente commerciale suivante et au critère de succession.</w:t>
            </w:r>
          </w:p>
          <w:p w14:paraId="41340151" w14:textId="77777777" w:rsidR="00A80AC5" w:rsidRPr="00361D1F" w:rsidRDefault="00A80AC5" w:rsidP="002D7EE2">
            <w:pPr>
              <w:keepNext/>
              <w:keepLines/>
              <w:spacing w:after="60"/>
              <w:rPr>
                <w:iCs/>
                <w:sz w:val="20"/>
                <w:lang w:val="fr-FR"/>
              </w:rPr>
            </w:pPr>
            <w:r w:rsidRPr="00361D1F">
              <w:rPr>
                <w:iCs/>
                <w:sz w:val="20"/>
                <w:lang w:val="fr-FR"/>
              </w:rPr>
              <w:t>…</w:t>
            </w:r>
          </w:p>
          <w:p w14:paraId="0323533A" w14:textId="77777777" w:rsidR="00A80AC5" w:rsidRPr="00361D1F" w:rsidRDefault="00A80AC5" w:rsidP="002D7EE2">
            <w:pPr>
              <w:keepNext/>
              <w:keepLines/>
              <w:spacing w:after="60"/>
              <w:rPr>
                <w:b/>
                <w:bCs/>
                <w:iCs/>
                <w:sz w:val="20"/>
                <w:lang w:val="fr-FR"/>
              </w:rPr>
            </w:pPr>
            <w:r w:rsidRPr="00361D1F">
              <w:rPr>
                <w:b/>
                <w:bCs/>
                <w:iCs/>
                <w:sz w:val="20"/>
                <w:lang w:val="fr-FR"/>
              </w:rPr>
              <w:t>14.  Critère de résidence</w:t>
            </w:r>
          </w:p>
          <w:p w14:paraId="7D3C8087" w14:textId="01F60BAE" w:rsidR="00A80AC5" w:rsidRPr="00361D1F" w:rsidRDefault="00A80AC5" w:rsidP="002D7EE2">
            <w:pPr>
              <w:keepNext/>
              <w:keepLines/>
              <w:spacing w:after="60"/>
              <w:rPr>
                <w:iCs/>
                <w:sz w:val="20"/>
                <w:lang w:val="fr-FR"/>
              </w:rPr>
            </w:pPr>
            <w:r w:rsidRPr="00361D1F">
              <w:rPr>
                <w:iCs/>
                <w:sz w:val="20"/>
                <w:lang w:val="fr-FR"/>
              </w:rPr>
              <w:t>1) Un particulier satisfait au critère de résidence à un moment donné si, à ce moment</w:t>
            </w:r>
            <w:r w:rsidR="00FA1A0F">
              <w:rPr>
                <w:iCs/>
                <w:sz w:val="20"/>
                <w:lang w:val="fr-FR"/>
              </w:rPr>
              <w:noBreakHyphen/>
            </w:r>
            <w:r w:rsidRPr="00361D1F">
              <w:rPr>
                <w:iCs/>
                <w:sz w:val="20"/>
                <w:lang w:val="fr-FR"/>
              </w:rPr>
              <w:t>là, le particulier est :</w:t>
            </w:r>
          </w:p>
          <w:p w14:paraId="151BBE8C" w14:textId="77777777" w:rsidR="00A80AC5" w:rsidRPr="00361D1F" w:rsidRDefault="00A80AC5" w:rsidP="002D7EE2">
            <w:pPr>
              <w:pStyle w:val="ListParagraph"/>
              <w:numPr>
                <w:ilvl w:val="1"/>
                <w:numId w:val="3"/>
              </w:numPr>
              <w:tabs>
                <w:tab w:val="clear" w:pos="1134"/>
              </w:tabs>
              <w:spacing w:before="0" w:after="60"/>
              <w:ind w:left="181"/>
              <w:contextualSpacing w:val="0"/>
              <w:jc w:val="left"/>
              <w:rPr>
                <w:rFonts w:cs="Arial"/>
                <w:iCs/>
                <w:sz w:val="20"/>
                <w:szCs w:val="20"/>
              </w:rPr>
            </w:pPr>
            <w:proofErr w:type="gramStart"/>
            <w:r w:rsidRPr="00361D1F">
              <w:rPr>
                <w:rFonts w:cs="Arial"/>
                <w:iCs/>
                <w:sz w:val="20"/>
                <w:szCs w:val="20"/>
              </w:rPr>
              <w:t>un</w:t>
            </w:r>
            <w:proofErr w:type="gramEnd"/>
            <w:r w:rsidRPr="00361D1F">
              <w:rPr>
                <w:rFonts w:cs="Arial"/>
                <w:iCs/>
                <w:sz w:val="20"/>
                <w:szCs w:val="20"/>
              </w:rPr>
              <w:t xml:space="preserve"> citoyen australien;  ou</w:t>
            </w:r>
          </w:p>
          <w:p w14:paraId="6469C2DF" w14:textId="77777777" w:rsidR="00A80AC5" w:rsidRPr="00361D1F" w:rsidRDefault="00A80AC5" w:rsidP="002D7EE2">
            <w:pPr>
              <w:pStyle w:val="ListParagraph"/>
              <w:numPr>
                <w:ilvl w:val="1"/>
                <w:numId w:val="3"/>
              </w:numPr>
              <w:tabs>
                <w:tab w:val="clear" w:pos="1134"/>
              </w:tabs>
              <w:spacing w:before="0" w:after="60"/>
              <w:ind w:left="181"/>
              <w:contextualSpacing w:val="0"/>
              <w:jc w:val="left"/>
              <w:rPr>
                <w:rFonts w:cs="Arial"/>
                <w:iCs/>
                <w:sz w:val="20"/>
                <w:szCs w:val="20"/>
              </w:rPr>
            </w:pPr>
            <w:proofErr w:type="gramStart"/>
            <w:r w:rsidRPr="00361D1F">
              <w:rPr>
                <w:rFonts w:cs="Arial"/>
                <w:iCs/>
                <w:sz w:val="20"/>
                <w:szCs w:val="20"/>
              </w:rPr>
              <w:t>un</w:t>
            </w:r>
            <w:proofErr w:type="gramEnd"/>
            <w:r w:rsidRPr="00361D1F">
              <w:rPr>
                <w:rFonts w:cs="Arial"/>
                <w:iCs/>
                <w:sz w:val="20"/>
                <w:szCs w:val="20"/>
              </w:rPr>
              <w:t xml:space="preserve"> résident permanent de l’Australie;  ou</w:t>
            </w:r>
          </w:p>
          <w:p w14:paraId="4865BFD3" w14:textId="77777777" w:rsidR="00A80AC5" w:rsidRPr="00361D1F" w:rsidRDefault="00A80AC5" w:rsidP="002D7EE2">
            <w:pPr>
              <w:pStyle w:val="ListParagraph"/>
              <w:numPr>
                <w:ilvl w:val="1"/>
                <w:numId w:val="3"/>
              </w:numPr>
              <w:tabs>
                <w:tab w:val="clear" w:pos="1134"/>
              </w:tabs>
              <w:spacing w:before="0" w:after="60"/>
              <w:ind w:left="181"/>
              <w:contextualSpacing w:val="0"/>
              <w:jc w:val="left"/>
              <w:rPr>
                <w:rFonts w:cs="Arial"/>
                <w:iCs/>
                <w:sz w:val="20"/>
                <w:szCs w:val="20"/>
              </w:rPr>
            </w:pPr>
            <w:proofErr w:type="gramStart"/>
            <w:r w:rsidRPr="00361D1F">
              <w:rPr>
                <w:rFonts w:cs="Arial"/>
                <w:iCs/>
                <w:sz w:val="20"/>
                <w:szCs w:val="20"/>
              </w:rPr>
              <w:t>un</w:t>
            </w:r>
            <w:proofErr w:type="gramEnd"/>
            <w:r w:rsidRPr="00361D1F">
              <w:rPr>
                <w:rFonts w:cs="Arial"/>
                <w:iCs/>
                <w:sz w:val="20"/>
                <w:szCs w:val="20"/>
              </w:rPr>
              <w:t xml:space="preserve"> ressortissant ou un citoyen d’un pays désigné comme pays pratiquant la réciprocité.</w:t>
            </w:r>
          </w:p>
          <w:p w14:paraId="027CE131" w14:textId="77777777" w:rsidR="00A80AC5" w:rsidRPr="00361D1F" w:rsidRDefault="00A80AC5" w:rsidP="002D7EE2">
            <w:pPr>
              <w:spacing w:after="60"/>
              <w:rPr>
                <w:iCs/>
                <w:sz w:val="20"/>
                <w:lang w:val="fr-FR"/>
              </w:rPr>
            </w:pPr>
            <w:r w:rsidRPr="00361D1F">
              <w:rPr>
                <w:iCs/>
                <w:sz w:val="20"/>
                <w:lang w:val="fr-FR"/>
              </w:rPr>
              <w:t>2) </w:t>
            </w:r>
            <w:proofErr w:type="gramStart"/>
            <w:r w:rsidRPr="00361D1F">
              <w:rPr>
                <w:iCs/>
                <w:sz w:val="20"/>
                <w:lang w:val="fr-FR"/>
              </w:rPr>
              <w:t>Une société satisfait</w:t>
            </w:r>
            <w:proofErr w:type="gramEnd"/>
            <w:r w:rsidRPr="00361D1F">
              <w:rPr>
                <w:iCs/>
                <w:sz w:val="20"/>
                <w:lang w:val="fr-FR"/>
              </w:rPr>
              <w:t xml:space="preserve"> au critère de résidence à un moment donné si :</w:t>
            </w:r>
          </w:p>
          <w:p w14:paraId="0BD7B89F" w14:textId="605C0F00" w:rsidR="00A80AC5" w:rsidRPr="00361D1F" w:rsidRDefault="00A80AC5" w:rsidP="002D7EE2">
            <w:pPr>
              <w:spacing w:after="60"/>
              <w:ind w:left="168"/>
              <w:rPr>
                <w:iCs/>
                <w:sz w:val="20"/>
                <w:lang w:val="fr-FR"/>
              </w:rPr>
            </w:pPr>
            <w:r w:rsidRPr="00361D1F">
              <w:rPr>
                <w:iCs/>
                <w:sz w:val="20"/>
                <w:lang w:val="fr-FR"/>
              </w:rPr>
              <w:t xml:space="preserve">a) elle est constituée en vertu de la </w:t>
            </w:r>
            <w:r w:rsidR="00041DF8">
              <w:rPr>
                <w:iCs/>
                <w:sz w:val="20"/>
                <w:lang w:val="fr-FR"/>
              </w:rPr>
              <w:t>l</w:t>
            </w:r>
            <w:r w:rsidRPr="00361D1F">
              <w:rPr>
                <w:iCs/>
                <w:sz w:val="20"/>
                <w:lang w:val="fr-FR"/>
              </w:rPr>
              <w:t xml:space="preserve">oi sur les sociétés de 2001, ou en vertu de la loi d’un pays désigné comme pays pratiquant la </w:t>
            </w:r>
            <w:proofErr w:type="gramStart"/>
            <w:r w:rsidRPr="00361D1F">
              <w:rPr>
                <w:iCs/>
                <w:sz w:val="20"/>
                <w:lang w:val="fr-FR"/>
              </w:rPr>
              <w:t>réciprocité;  ou</w:t>
            </w:r>
            <w:proofErr w:type="gramEnd"/>
          </w:p>
          <w:p w14:paraId="6DD2587E" w14:textId="203953BE" w:rsidR="00A80AC5" w:rsidRPr="00361D1F" w:rsidRDefault="00A80AC5" w:rsidP="002D7EE2">
            <w:pPr>
              <w:spacing w:after="60"/>
              <w:ind w:left="168"/>
              <w:rPr>
                <w:iCs/>
                <w:sz w:val="20"/>
                <w:lang w:val="fr-FR"/>
              </w:rPr>
            </w:pPr>
            <w:r w:rsidRPr="00361D1F">
              <w:rPr>
                <w:iCs/>
                <w:sz w:val="20"/>
                <w:lang w:val="fr-FR"/>
              </w:rPr>
              <w:t>b) elle exploite une entreprise, à ce moment</w:t>
            </w:r>
            <w:r w:rsidR="00FA1A0F">
              <w:rPr>
                <w:iCs/>
                <w:sz w:val="20"/>
                <w:lang w:val="fr-FR"/>
              </w:rPr>
              <w:noBreakHyphen/>
            </w:r>
            <w:r w:rsidRPr="00361D1F">
              <w:rPr>
                <w:iCs/>
                <w:sz w:val="20"/>
                <w:lang w:val="fr-FR"/>
              </w:rPr>
              <w:t xml:space="preserve">là, en Australie ou dans un </w:t>
            </w:r>
            <w:r w:rsidRPr="00361D1F">
              <w:rPr>
                <w:iCs/>
                <w:sz w:val="20"/>
                <w:lang w:val="fr-FR"/>
              </w:rPr>
              <w:lastRenderedPageBreak/>
              <w:t>pays désigné comme pays pratiquant la réciprocité.</w:t>
            </w:r>
          </w:p>
          <w:p w14:paraId="3999DB77" w14:textId="233F17A8" w:rsidR="00A80AC5" w:rsidRPr="00361D1F" w:rsidRDefault="00A80AC5" w:rsidP="002D7EE2">
            <w:pPr>
              <w:spacing w:after="60"/>
              <w:rPr>
                <w:iCs/>
                <w:sz w:val="20"/>
                <w:lang w:val="fr-FR"/>
              </w:rPr>
            </w:pPr>
            <w:r w:rsidRPr="00361D1F">
              <w:rPr>
                <w:iCs/>
                <w:sz w:val="20"/>
                <w:lang w:val="fr-FR"/>
              </w:rPr>
              <w:t>3) Un organisme sans personnalité morale satisfait au critère de résidence à un moment donné s’il exploite une entreprise, à ce moment</w:t>
            </w:r>
            <w:r w:rsidR="00FA1A0F">
              <w:rPr>
                <w:iCs/>
                <w:sz w:val="20"/>
                <w:lang w:val="fr-FR"/>
              </w:rPr>
              <w:noBreakHyphen/>
            </w:r>
            <w:r w:rsidRPr="00361D1F">
              <w:rPr>
                <w:iCs/>
                <w:sz w:val="20"/>
                <w:lang w:val="fr-FR"/>
              </w:rPr>
              <w:t>là, en Australie ou dans un pays désigné comme pratiquant la réciprocité</w:t>
            </w:r>
            <w:r w:rsidRPr="00361D1F">
              <w:rPr>
                <w:sz w:val="20"/>
                <w:vertAlign w:val="superscript"/>
                <w:lang w:val="fr-FR"/>
              </w:rPr>
              <w:footnoteReference w:id="113"/>
            </w:r>
            <w:r w:rsidRPr="00361D1F">
              <w:rPr>
                <w:iCs/>
                <w:sz w:val="20"/>
                <w:lang w:val="fr-FR"/>
              </w:rPr>
              <w:t>.</w:t>
            </w:r>
          </w:p>
          <w:p w14:paraId="5E853EF8" w14:textId="77777777" w:rsidR="00A80AC5" w:rsidRPr="00361D1F" w:rsidRDefault="00A80AC5" w:rsidP="002D7EE2">
            <w:pPr>
              <w:spacing w:after="60"/>
              <w:rPr>
                <w:iCs/>
                <w:sz w:val="20"/>
                <w:lang w:val="fr-FR"/>
              </w:rPr>
            </w:pPr>
            <w:r w:rsidRPr="00361D1F">
              <w:rPr>
                <w:iCs/>
                <w:sz w:val="20"/>
                <w:lang w:val="fr-FR"/>
              </w:rPr>
              <w:t>…</w:t>
            </w:r>
          </w:p>
          <w:p w14:paraId="38CD88A9" w14:textId="77777777" w:rsidR="00A80AC5" w:rsidRPr="00361D1F" w:rsidRDefault="00A80AC5" w:rsidP="002D7EE2">
            <w:pPr>
              <w:spacing w:after="60"/>
              <w:rPr>
                <w:b/>
                <w:bCs/>
                <w:iCs/>
                <w:sz w:val="20"/>
                <w:lang w:val="fr-FR"/>
              </w:rPr>
            </w:pPr>
            <w:r w:rsidRPr="00361D1F">
              <w:rPr>
                <w:b/>
                <w:bCs/>
                <w:iCs/>
                <w:sz w:val="20"/>
                <w:lang w:val="fr-FR"/>
              </w:rPr>
              <w:t>53 Règlement d’application</w:t>
            </w:r>
          </w:p>
          <w:p w14:paraId="400089B2" w14:textId="77777777" w:rsidR="00A80AC5" w:rsidRPr="00361D1F" w:rsidRDefault="00A80AC5" w:rsidP="002D7EE2">
            <w:pPr>
              <w:spacing w:after="60"/>
              <w:rPr>
                <w:iCs/>
                <w:sz w:val="20"/>
                <w:lang w:val="fr-FR"/>
              </w:rPr>
            </w:pPr>
            <w:r w:rsidRPr="00361D1F">
              <w:rPr>
                <w:iCs/>
                <w:sz w:val="20"/>
                <w:lang w:val="fr-FR"/>
              </w:rPr>
              <w:t>Le gouverneur général peut édicter des dispositions réglementaires comportant les prescriptions</w:t>
            </w:r>
          </w:p>
          <w:p w14:paraId="6FAF4462" w14:textId="77777777" w:rsidR="00A80AC5" w:rsidRPr="00361D1F" w:rsidRDefault="00A80AC5" w:rsidP="002D7EE2">
            <w:pPr>
              <w:spacing w:after="60"/>
              <w:rPr>
                <w:iCs/>
                <w:sz w:val="20"/>
                <w:lang w:val="fr-FR"/>
              </w:rPr>
            </w:pPr>
            <w:r w:rsidRPr="00361D1F">
              <w:rPr>
                <w:iCs/>
                <w:sz w:val="20"/>
                <w:lang w:val="fr-FR"/>
              </w:rPr>
              <w:t xml:space="preserve">a) exigées ou autorisées par la présente loi, </w:t>
            </w:r>
            <w:proofErr w:type="gramStart"/>
            <w:r w:rsidRPr="00361D1F">
              <w:rPr>
                <w:iCs/>
                <w:sz w:val="20"/>
                <w:lang w:val="fr-FR"/>
              </w:rPr>
              <w:t>ou</w:t>
            </w:r>
            <w:proofErr w:type="gramEnd"/>
          </w:p>
          <w:p w14:paraId="31DF51D3" w14:textId="77777777" w:rsidR="00A80AC5" w:rsidRPr="00361D1F" w:rsidRDefault="00A80AC5" w:rsidP="002D7EE2">
            <w:pPr>
              <w:spacing w:after="60"/>
              <w:rPr>
                <w:sz w:val="20"/>
                <w:lang w:val="fr-FR"/>
              </w:rPr>
            </w:pPr>
            <w:r w:rsidRPr="00361D1F">
              <w:rPr>
                <w:sz w:val="20"/>
                <w:lang w:val="fr-FR"/>
              </w:rPr>
              <w:t>b) nécessaires ou utiles pour l’application ou la mise à effet de la présente loi.</w:t>
            </w:r>
          </w:p>
          <w:p w14:paraId="5F52C69F" w14:textId="77777777" w:rsidR="00A80AC5" w:rsidRPr="00361D1F" w:rsidRDefault="00A80AC5" w:rsidP="002D7EE2">
            <w:pPr>
              <w:spacing w:before="220" w:after="220"/>
              <w:rPr>
                <w:b/>
                <w:bCs/>
                <w:sz w:val="20"/>
                <w:lang w:val="fr-FR"/>
              </w:rPr>
            </w:pPr>
            <w:r w:rsidRPr="00361D1F">
              <w:rPr>
                <w:b/>
                <w:bCs/>
                <w:sz w:val="20"/>
                <w:lang w:val="fr-FR"/>
              </w:rPr>
              <w:t>Règle 6A :</w:t>
            </w:r>
          </w:p>
          <w:p w14:paraId="059A99BB" w14:textId="77777777" w:rsidR="00A80AC5" w:rsidRPr="00361D1F" w:rsidRDefault="00A80AC5" w:rsidP="002D7EE2">
            <w:pPr>
              <w:spacing w:after="60"/>
              <w:rPr>
                <w:b/>
                <w:bCs/>
                <w:sz w:val="20"/>
                <w:lang w:val="fr-FR"/>
              </w:rPr>
            </w:pPr>
            <w:r w:rsidRPr="00361D1F">
              <w:rPr>
                <w:b/>
                <w:bCs/>
                <w:sz w:val="20"/>
                <w:lang w:val="fr-FR"/>
              </w:rPr>
              <w:t>Critère de résidence – particuliers</w:t>
            </w:r>
          </w:p>
          <w:p w14:paraId="170857DA" w14:textId="01367570" w:rsidR="00A80AC5" w:rsidRPr="00361D1F" w:rsidRDefault="00A80AC5" w:rsidP="002D7EE2">
            <w:pPr>
              <w:spacing w:after="60"/>
              <w:rPr>
                <w:sz w:val="20"/>
                <w:lang w:val="fr-FR"/>
              </w:rPr>
            </w:pPr>
            <w:r w:rsidRPr="00361D1F">
              <w:rPr>
                <w:sz w:val="20"/>
                <w:lang w:val="fr-FR"/>
              </w:rPr>
              <w:t>Aux fins du paragraphe 14.1.c) de la loi, les pays ci</w:t>
            </w:r>
            <w:r w:rsidR="00FA1A0F">
              <w:rPr>
                <w:sz w:val="20"/>
                <w:lang w:val="fr-FR"/>
              </w:rPr>
              <w:noBreakHyphen/>
            </w:r>
            <w:r w:rsidRPr="00361D1F">
              <w:rPr>
                <w:sz w:val="20"/>
                <w:lang w:val="fr-FR"/>
              </w:rPr>
              <w:t>après sont désignés comme pays pratiquant la réciprocité :</w:t>
            </w:r>
          </w:p>
          <w:p w14:paraId="361F1386" w14:textId="77777777" w:rsidR="00A80AC5" w:rsidRPr="00361D1F" w:rsidRDefault="00A80AC5" w:rsidP="002D7EE2">
            <w:pPr>
              <w:pStyle w:val="ListParagraph"/>
              <w:numPr>
                <w:ilvl w:val="0"/>
                <w:numId w:val="43"/>
              </w:numPr>
              <w:spacing w:before="0"/>
              <w:jc w:val="left"/>
              <w:rPr>
                <w:rFonts w:cs="Arial"/>
                <w:sz w:val="20"/>
                <w:szCs w:val="20"/>
              </w:rPr>
            </w:pPr>
            <w:proofErr w:type="gramStart"/>
            <w:r w:rsidRPr="00361D1F">
              <w:rPr>
                <w:rFonts w:cs="Arial"/>
                <w:sz w:val="20"/>
                <w:szCs w:val="20"/>
              </w:rPr>
              <w:t>Allemagne;</w:t>
            </w:r>
            <w:proofErr w:type="gramEnd"/>
          </w:p>
          <w:p w14:paraId="613CC089"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Autriche;</w:t>
            </w:r>
            <w:proofErr w:type="gramEnd"/>
          </w:p>
          <w:p w14:paraId="72B34532"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Belgique;</w:t>
            </w:r>
            <w:proofErr w:type="gramEnd"/>
          </w:p>
          <w:p w14:paraId="627291EA"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Danemark;</w:t>
            </w:r>
            <w:proofErr w:type="gramEnd"/>
          </w:p>
          <w:p w14:paraId="6054967F"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Espagne;</w:t>
            </w:r>
            <w:proofErr w:type="gramEnd"/>
          </w:p>
          <w:p w14:paraId="281E73D5"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Finlande;</w:t>
            </w:r>
            <w:proofErr w:type="gramEnd"/>
          </w:p>
          <w:p w14:paraId="334E8939"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France;</w:t>
            </w:r>
            <w:proofErr w:type="gramEnd"/>
          </w:p>
          <w:p w14:paraId="66F31730"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Hongrie;</w:t>
            </w:r>
            <w:proofErr w:type="gramEnd"/>
          </w:p>
          <w:p w14:paraId="16CD7138"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Irlande;</w:t>
            </w:r>
            <w:proofErr w:type="gramEnd"/>
          </w:p>
          <w:p w14:paraId="627D3095"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Italie;</w:t>
            </w:r>
            <w:proofErr w:type="gramEnd"/>
          </w:p>
          <w:p w14:paraId="77BDA9A7"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Lettonie;</w:t>
            </w:r>
            <w:proofErr w:type="gramEnd"/>
          </w:p>
          <w:p w14:paraId="42227097"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Norvège;</w:t>
            </w:r>
            <w:proofErr w:type="gramEnd"/>
          </w:p>
          <w:p w14:paraId="3E4633B0" w14:textId="46209F47" w:rsidR="00A80AC5" w:rsidRPr="00361D1F" w:rsidRDefault="00A80AC5" w:rsidP="002D7EE2">
            <w:pPr>
              <w:pStyle w:val="ListParagraph"/>
              <w:numPr>
                <w:ilvl w:val="0"/>
                <w:numId w:val="43"/>
              </w:numPr>
              <w:jc w:val="left"/>
              <w:rPr>
                <w:rFonts w:cs="Arial"/>
                <w:sz w:val="20"/>
                <w:szCs w:val="20"/>
              </w:rPr>
            </w:pPr>
            <w:r w:rsidRPr="00361D1F">
              <w:rPr>
                <w:rFonts w:cs="Arial"/>
                <w:sz w:val="20"/>
                <w:szCs w:val="20"/>
              </w:rPr>
              <w:t>Pays</w:t>
            </w:r>
            <w:r w:rsidR="00FA1A0F">
              <w:rPr>
                <w:rFonts w:cs="Arial"/>
                <w:sz w:val="20"/>
                <w:szCs w:val="20"/>
              </w:rPr>
              <w:noBreakHyphen/>
            </w:r>
            <w:proofErr w:type="gramStart"/>
            <w:r w:rsidRPr="00361D1F">
              <w:rPr>
                <w:rFonts w:cs="Arial"/>
                <w:sz w:val="20"/>
                <w:szCs w:val="20"/>
              </w:rPr>
              <w:t>Bas;</w:t>
            </w:r>
            <w:proofErr w:type="gramEnd"/>
          </w:p>
          <w:p w14:paraId="2639B0D2" w14:textId="77777777" w:rsidR="00A80AC5" w:rsidRPr="00361D1F" w:rsidRDefault="00A80AC5" w:rsidP="002D7EE2">
            <w:pPr>
              <w:pStyle w:val="ListParagraph"/>
              <w:numPr>
                <w:ilvl w:val="0"/>
                <w:numId w:val="43"/>
              </w:numPr>
              <w:jc w:val="left"/>
              <w:rPr>
                <w:rFonts w:cs="Arial"/>
                <w:sz w:val="20"/>
                <w:szCs w:val="20"/>
              </w:rPr>
            </w:pPr>
            <w:proofErr w:type="gramStart"/>
            <w:r w:rsidRPr="00361D1F">
              <w:rPr>
                <w:rFonts w:cs="Arial"/>
                <w:sz w:val="20"/>
                <w:szCs w:val="20"/>
              </w:rPr>
              <w:t>Portugal;</w:t>
            </w:r>
            <w:proofErr w:type="gramEnd"/>
          </w:p>
          <w:p w14:paraId="0E411F84" w14:textId="77777777" w:rsidR="00A80AC5" w:rsidRPr="00361D1F" w:rsidRDefault="00A80AC5" w:rsidP="002D7EE2">
            <w:pPr>
              <w:pStyle w:val="ListParagraph"/>
              <w:numPr>
                <w:ilvl w:val="0"/>
                <w:numId w:val="43"/>
              </w:numPr>
              <w:jc w:val="left"/>
              <w:rPr>
                <w:rFonts w:cs="Arial"/>
                <w:sz w:val="20"/>
                <w:szCs w:val="20"/>
              </w:rPr>
            </w:pPr>
            <w:r w:rsidRPr="00361D1F">
              <w:rPr>
                <w:rFonts w:cs="Arial"/>
                <w:sz w:val="20"/>
                <w:szCs w:val="20"/>
              </w:rPr>
              <w:t xml:space="preserve">République </w:t>
            </w:r>
            <w:proofErr w:type="gramStart"/>
            <w:r w:rsidRPr="00361D1F">
              <w:rPr>
                <w:rFonts w:cs="Arial"/>
                <w:sz w:val="20"/>
                <w:szCs w:val="20"/>
              </w:rPr>
              <w:t>tchèque;</w:t>
            </w:r>
            <w:proofErr w:type="gramEnd"/>
          </w:p>
          <w:p w14:paraId="7362B968" w14:textId="3733D1DD" w:rsidR="00A80AC5" w:rsidRPr="00361D1F" w:rsidRDefault="00A80AC5" w:rsidP="002D7EE2">
            <w:pPr>
              <w:pStyle w:val="ListParagraph"/>
              <w:numPr>
                <w:ilvl w:val="0"/>
                <w:numId w:val="43"/>
              </w:numPr>
              <w:jc w:val="left"/>
              <w:rPr>
                <w:rFonts w:cs="Arial"/>
                <w:sz w:val="20"/>
                <w:szCs w:val="20"/>
              </w:rPr>
            </w:pPr>
            <w:r w:rsidRPr="00361D1F">
              <w:rPr>
                <w:rFonts w:cs="Arial"/>
                <w:sz w:val="20"/>
                <w:szCs w:val="20"/>
              </w:rPr>
              <w:t>Royaume</w:t>
            </w:r>
            <w:r w:rsidR="00FA1A0F">
              <w:rPr>
                <w:rFonts w:cs="Arial"/>
                <w:sz w:val="20"/>
                <w:szCs w:val="20"/>
              </w:rPr>
              <w:noBreakHyphen/>
            </w:r>
            <w:proofErr w:type="gramStart"/>
            <w:r w:rsidRPr="00361D1F">
              <w:rPr>
                <w:rFonts w:cs="Arial"/>
                <w:sz w:val="20"/>
                <w:szCs w:val="20"/>
              </w:rPr>
              <w:t>Uni;</w:t>
            </w:r>
            <w:proofErr w:type="gramEnd"/>
          </w:p>
          <w:p w14:paraId="2D6FBC4D" w14:textId="77777777" w:rsidR="00A80AC5" w:rsidRPr="00361D1F" w:rsidRDefault="00A80AC5" w:rsidP="002D7EE2">
            <w:pPr>
              <w:pStyle w:val="ListParagraph"/>
              <w:numPr>
                <w:ilvl w:val="0"/>
                <w:numId w:val="43"/>
              </w:numPr>
              <w:jc w:val="left"/>
              <w:rPr>
                <w:rFonts w:cs="Arial"/>
                <w:sz w:val="20"/>
                <w:szCs w:val="20"/>
              </w:rPr>
            </w:pPr>
            <w:r w:rsidRPr="00361D1F">
              <w:rPr>
                <w:rFonts w:cs="Arial"/>
                <w:sz w:val="20"/>
                <w:szCs w:val="20"/>
              </w:rPr>
              <w:t>Suède</w:t>
            </w:r>
            <w:r w:rsidRPr="00361D1F">
              <w:rPr>
                <w:rFonts w:cs="Arial"/>
                <w:sz w:val="20"/>
                <w:szCs w:val="20"/>
                <w:vertAlign w:val="superscript"/>
              </w:rPr>
              <w:footnoteReference w:id="114"/>
            </w:r>
          </w:p>
        </w:tc>
        <w:tc>
          <w:tcPr>
            <w:tcW w:w="3397" w:type="dxa"/>
          </w:tcPr>
          <w:p w14:paraId="329790A5" w14:textId="77777777" w:rsidR="00A80AC5" w:rsidRPr="00361D1F" w:rsidRDefault="00A80AC5" w:rsidP="002D7EE2">
            <w:pPr>
              <w:numPr>
                <w:ilvl w:val="0"/>
                <w:numId w:val="42"/>
              </w:numPr>
              <w:spacing w:before="240" w:after="60"/>
              <w:rPr>
                <w:sz w:val="20"/>
                <w:lang w:val="fr-FR"/>
              </w:rPr>
            </w:pPr>
            <w:r w:rsidRPr="00361D1F">
              <w:rPr>
                <w:sz w:val="20"/>
                <w:lang w:val="fr-FR"/>
              </w:rPr>
              <w:lastRenderedPageBreak/>
              <w:t>Traite avec des auteurs individuels et multiples (paragraphes 1) et 2)).</w:t>
            </w:r>
          </w:p>
          <w:p w14:paraId="7B94C608" w14:textId="56DE3F4B" w:rsidR="00A80AC5" w:rsidRPr="00361D1F" w:rsidRDefault="00A80AC5" w:rsidP="002D7EE2">
            <w:pPr>
              <w:numPr>
                <w:ilvl w:val="0"/>
                <w:numId w:val="42"/>
              </w:numPr>
              <w:spacing w:after="60"/>
              <w:rPr>
                <w:sz w:val="20"/>
                <w:lang w:val="fr-FR"/>
              </w:rPr>
            </w:pPr>
            <w:r w:rsidRPr="00361D1F">
              <w:rPr>
                <w:sz w:val="20"/>
                <w:lang w:val="fr-FR"/>
              </w:rPr>
              <w:t>Laisse la possibilité d’étendre le statut de personne remplissant les conditions requises aux résidents permanents (voir les objections à cela ci</w:t>
            </w:r>
            <w:r w:rsidR="00FA1A0F">
              <w:rPr>
                <w:sz w:val="20"/>
                <w:lang w:val="fr-FR"/>
              </w:rPr>
              <w:noBreakHyphen/>
            </w:r>
            <w:r w:rsidRPr="00361D1F">
              <w:rPr>
                <w:sz w:val="20"/>
                <w:lang w:val="fr-FR"/>
              </w:rPr>
              <w:t>dessus).</w:t>
            </w:r>
          </w:p>
          <w:p w14:paraId="157E14AC" w14:textId="77777777" w:rsidR="00A80AC5" w:rsidRPr="00361D1F" w:rsidRDefault="00A80AC5" w:rsidP="002D7EE2">
            <w:pPr>
              <w:rPr>
                <w:sz w:val="20"/>
                <w:lang w:val="fr-FR"/>
              </w:rPr>
            </w:pPr>
          </w:p>
          <w:p w14:paraId="20EBD664" w14:textId="77777777" w:rsidR="00A80AC5" w:rsidRPr="00361D1F" w:rsidRDefault="00A80AC5" w:rsidP="002D7EE2">
            <w:pPr>
              <w:rPr>
                <w:sz w:val="20"/>
                <w:lang w:val="fr-FR"/>
              </w:rPr>
            </w:pPr>
          </w:p>
          <w:p w14:paraId="128C6DE2" w14:textId="77777777" w:rsidR="00A80AC5" w:rsidRPr="00361D1F" w:rsidRDefault="00A80AC5" w:rsidP="002D7EE2">
            <w:pPr>
              <w:rPr>
                <w:sz w:val="20"/>
                <w:lang w:val="fr-FR"/>
              </w:rPr>
            </w:pPr>
          </w:p>
          <w:p w14:paraId="30602961" w14:textId="77777777" w:rsidR="00A80AC5" w:rsidRPr="00361D1F" w:rsidRDefault="00A80AC5" w:rsidP="002D7EE2">
            <w:pPr>
              <w:rPr>
                <w:sz w:val="20"/>
                <w:lang w:val="fr-FR"/>
              </w:rPr>
            </w:pPr>
          </w:p>
          <w:p w14:paraId="74204381" w14:textId="77777777" w:rsidR="00A80AC5" w:rsidRPr="00361D1F" w:rsidRDefault="00A80AC5" w:rsidP="002D7EE2">
            <w:pPr>
              <w:rPr>
                <w:sz w:val="20"/>
                <w:lang w:val="fr-FR"/>
              </w:rPr>
            </w:pPr>
          </w:p>
          <w:p w14:paraId="14CAA0D4" w14:textId="77777777" w:rsidR="00A80AC5" w:rsidRPr="00361D1F" w:rsidRDefault="00A80AC5" w:rsidP="002D7EE2">
            <w:pPr>
              <w:rPr>
                <w:sz w:val="20"/>
                <w:lang w:val="fr-FR"/>
              </w:rPr>
            </w:pPr>
          </w:p>
          <w:p w14:paraId="3C88AD52" w14:textId="77777777" w:rsidR="00A80AC5" w:rsidRPr="00361D1F" w:rsidRDefault="00A80AC5" w:rsidP="002D7EE2">
            <w:pPr>
              <w:rPr>
                <w:sz w:val="20"/>
                <w:lang w:val="fr-FR"/>
              </w:rPr>
            </w:pPr>
          </w:p>
          <w:p w14:paraId="626E077E" w14:textId="77777777" w:rsidR="00A80AC5" w:rsidRPr="00361D1F" w:rsidRDefault="00A80AC5" w:rsidP="002D7EE2">
            <w:pPr>
              <w:rPr>
                <w:sz w:val="20"/>
                <w:lang w:val="fr-FR"/>
              </w:rPr>
            </w:pPr>
          </w:p>
          <w:p w14:paraId="32224B69" w14:textId="77777777" w:rsidR="00A80AC5" w:rsidRPr="00361D1F" w:rsidRDefault="00A80AC5" w:rsidP="002D7EE2">
            <w:pPr>
              <w:rPr>
                <w:sz w:val="20"/>
                <w:lang w:val="fr-FR"/>
              </w:rPr>
            </w:pPr>
          </w:p>
          <w:p w14:paraId="68B3BE6E" w14:textId="77777777" w:rsidR="00A80AC5" w:rsidRPr="00361D1F" w:rsidRDefault="00A80AC5" w:rsidP="002D7EE2">
            <w:pPr>
              <w:rPr>
                <w:sz w:val="20"/>
                <w:lang w:val="fr-FR"/>
              </w:rPr>
            </w:pPr>
          </w:p>
          <w:p w14:paraId="529D6025" w14:textId="77777777" w:rsidR="00A80AC5" w:rsidRPr="00361D1F" w:rsidRDefault="00A80AC5" w:rsidP="002D7EE2">
            <w:pPr>
              <w:rPr>
                <w:sz w:val="20"/>
                <w:lang w:val="fr-FR"/>
              </w:rPr>
            </w:pPr>
          </w:p>
          <w:p w14:paraId="7A7E51A4" w14:textId="77777777" w:rsidR="00A80AC5" w:rsidRPr="00361D1F" w:rsidRDefault="00A80AC5" w:rsidP="002D7EE2">
            <w:pPr>
              <w:rPr>
                <w:sz w:val="20"/>
                <w:lang w:val="fr-FR"/>
              </w:rPr>
            </w:pPr>
          </w:p>
          <w:p w14:paraId="5B0EF77D" w14:textId="77777777" w:rsidR="00A80AC5" w:rsidRPr="00361D1F" w:rsidRDefault="00A80AC5" w:rsidP="002D7EE2">
            <w:pPr>
              <w:rPr>
                <w:sz w:val="20"/>
                <w:lang w:val="fr-FR"/>
              </w:rPr>
            </w:pPr>
          </w:p>
          <w:p w14:paraId="68395A70" w14:textId="77777777" w:rsidR="00A80AC5" w:rsidRPr="00361D1F" w:rsidRDefault="00A80AC5" w:rsidP="002D7EE2">
            <w:pPr>
              <w:rPr>
                <w:sz w:val="20"/>
                <w:lang w:val="fr-FR"/>
              </w:rPr>
            </w:pPr>
          </w:p>
          <w:p w14:paraId="7B4F6755" w14:textId="77777777" w:rsidR="00A80AC5" w:rsidRPr="00361D1F" w:rsidRDefault="00A80AC5" w:rsidP="002D7EE2">
            <w:pPr>
              <w:rPr>
                <w:sz w:val="20"/>
                <w:lang w:val="fr-FR"/>
              </w:rPr>
            </w:pPr>
          </w:p>
          <w:p w14:paraId="303C1041" w14:textId="77777777" w:rsidR="00A80AC5" w:rsidRPr="00361D1F" w:rsidRDefault="00A80AC5" w:rsidP="002D7EE2">
            <w:pPr>
              <w:numPr>
                <w:ilvl w:val="0"/>
                <w:numId w:val="42"/>
              </w:numPr>
              <w:spacing w:after="220"/>
              <w:rPr>
                <w:sz w:val="20"/>
                <w:lang w:val="fr-FR"/>
              </w:rPr>
            </w:pPr>
            <w:r w:rsidRPr="00361D1F">
              <w:rPr>
                <w:sz w:val="20"/>
                <w:lang w:val="fr-FR"/>
              </w:rPr>
              <w:t>Prévoit la reconnaissance des ressortissants [et des résidents permanents] d’un “pays pratiquant la réciprocité” (voir la disposition suivante).</w:t>
            </w:r>
          </w:p>
          <w:p w14:paraId="0B486881" w14:textId="77777777" w:rsidR="00A80AC5" w:rsidRPr="00361D1F" w:rsidRDefault="00A80AC5" w:rsidP="002D7EE2">
            <w:pPr>
              <w:numPr>
                <w:ilvl w:val="0"/>
                <w:numId w:val="42"/>
              </w:numPr>
              <w:spacing w:after="220"/>
              <w:rPr>
                <w:sz w:val="20"/>
                <w:lang w:val="fr-FR"/>
              </w:rPr>
            </w:pPr>
            <w:r w:rsidRPr="00361D1F">
              <w:rPr>
                <w:sz w:val="20"/>
                <w:lang w:val="fr-FR"/>
              </w:rPr>
              <w:t>S’applique aux ayants cause (paragraphe 4), qui doivent également satisfaire aux mêmes exigences de nationalité [ou de résidence permanente]</w:t>
            </w:r>
          </w:p>
          <w:p w14:paraId="73DDDD00" w14:textId="77777777" w:rsidR="00A80AC5" w:rsidRDefault="00A80AC5" w:rsidP="002D7EE2">
            <w:pPr>
              <w:spacing w:after="220"/>
              <w:ind w:left="360"/>
              <w:rPr>
                <w:sz w:val="20"/>
                <w:lang w:val="fr-FR"/>
              </w:rPr>
            </w:pPr>
          </w:p>
          <w:p w14:paraId="349F1EA9" w14:textId="77777777" w:rsidR="00C02FC0" w:rsidRDefault="00C02FC0" w:rsidP="002D7EE2">
            <w:pPr>
              <w:spacing w:after="220"/>
              <w:ind w:left="360"/>
              <w:rPr>
                <w:sz w:val="20"/>
                <w:lang w:val="fr-FR"/>
              </w:rPr>
            </w:pPr>
          </w:p>
          <w:p w14:paraId="4D6385BB" w14:textId="77777777" w:rsidR="00C02FC0" w:rsidRDefault="00C02FC0" w:rsidP="002D7EE2">
            <w:pPr>
              <w:spacing w:after="220"/>
              <w:ind w:left="360"/>
              <w:rPr>
                <w:sz w:val="20"/>
                <w:lang w:val="fr-FR"/>
              </w:rPr>
            </w:pPr>
          </w:p>
          <w:p w14:paraId="7F8383D8" w14:textId="77777777" w:rsidR="00C02FC0" w:rsidRPr="00361D1F" w:rsidRDefault="00C02FC0" w:rsidP="002D7EE2">
            <w:pPr>
              <w:spacing w:after="220"/>
              <w:ind w:left="360"/>
              <w:rPr>
                <w:sz w:val="20"/>
                <w:lang w:val="fr-FR"/>
              </w:rPr>
            </w:pPr>
          </w:p>
          <w:p w14:paraId="2174356C" w14:textId="77777777" w:rsidR="00A80AC5" w:rsidRPr="00361D1F" w:rsidRDefault="00A80AC5" w:rsidP="002D7EE2">
            <w:pPr>
              <w:spacing w:after="220"/>
              <w:ind w:left="360"/>
              <w:rPr>
                <w:sz w:val="20"/>
                <w:lang w:val="fr-FR"/>
              </w:rPr>
            </w:pPr>
          </w:p>
          <w:p w14:paraId="023243C9" w14:textId="53450CBF" w:rsidR="00A80AC5" w:rsidRPr="00361D1F" w:rsidRDefault="00A80AC5" w:rsidP="002D7EE2">
            <w:pPr>
              <w:numPr>
                <w:ilvl w:val="0"/>
                <w:numId w:val="42"/>
              </w:numPr>
              <w:spacing w:after="240"/>
              <w:rPr>
                <w:sz w:val="20"/>
                <w:lang w:val="fr-FR"/>
              </w:rPr>
            </w:pPr>
            <w:r w:rsidRPr="00361D1F">
              <w:rPr>
                <w:sz w:val="20"/>
                <w:lang w:val="fr-FR"/>
              </w:rPr>
              <w:t xml:space="preserve">Reconnaît qu’un ayant </w:t>
            </w:r>
            <w:proofErr w:type="spellStart"/>
            <w:r w:rsidRPr="00361D1F">
              <w:rPr>
                <w:sz w:val="20"/>
                <w:lang w:val="fr-FR"/>
              </w:rPr>
              <w:t>cause</w:t>
            </w:r>
            <w:proofErr w:type="spellEnd"/>
            <w:r w:rsidRPr="00361D1F">
              <w:rPr>
                <w:sz w:val="20"/>
                <w:lang w:val="fr-FR"/>
              </w:rPr>
              <w:t xml:space="preserve"> peut être une société, mais note que les catégories de personnes morales qui peuvent être incluses ici peuvent être limitées aux institutions caritatives ou autres institutions publiques (voir aussi le tableau 14 ci</w:t>
            </w:r>
            <w:r w:rsidR="00FA1A0F">
              <w:rPr>
                <w:sz w:val="20"/>
                <w:lang w:val="fr-FR"/>
              </w:rPr>
              <w:noBreakHyphen/>
            </w:r>
            <w:r w:rsidRPr="00361D1F">
              <w:rPr>
                <w:sz w:val="20"/>
                <w:lang w:val="fr-FR"/>
              </w:rPr>
              <w:t>dessous).</w:t>
            </w:r>
          </w:p>
          <w:p w14:paraId="5D5F1770" w14:textId="7017E4C6" w:rsidR="00A80AC5" w:rsidRDefault="00A80AC5" w:rsidP="002D7EE2">
            <w:pPr>
              <w:numPr>
                <w:ilvl w:val="0"/>
                <w:numId w:val="42"/>
              </w:numPr>
              <w:spacing w:after="240"/>
              <w:rPr>
                <w:sz w:val="20"/>
                <w:lang w:val="fr-FR"/>
              </w:rPr>
            </w:pPr>
            <w:r w:rsidRPr="00361D1F">
              <w:rPr>
                <w:sz w:val="20"/>
                <w:lang w:val="fr-FR"/>
              </w:rPr>
              <w:t>Selon la disposition relative à la capacité d’édicter des règles dans la principale législation, des règles peuvent être créées pour préciser la liste des pays pratiquant la réciprocité – concrètement, tous les membres de la Communauté européenne, ainsi que le Royaume</w:t>
            </w:r>
            <w:r w:rsidR="00FA1A0F">
              <w:rPr>
                <w:sz w:val="20"/>
                <w:lang w:val="fr-FR"/>
              </w:rPr>
              <w:noBreakHyphen/>
            </w:r>
            <w:r w:rsidRPr="00361D1F">
              <w:rPr>
                <w:sz w:val="20"/>
                <w:lang w:val="fr-FR"/>
              </w:rPr>
              <w:t>Uni, ancien membre de l’UE.</w:t>
            </w:r>
          </w:p>
          <w:p w14:paraId="2412FDFB" w14:textId="77777777" w:rsidR="00A80AC5" w:rsidRDefault="00A80AC5" w:rsidP="002D7EE2">
            <w:pPr>
              <w:spacing w:after="240"/>
              <w:ind w:left="360"/>
              <w:rPr>
                <w:sz w:val="20"/>
                <w:lang w:val="fr-FR"/>
              </w:rPr>
            </w:pPr>
          </w:p>
          <w:p w14:paraId="07A64BF2" w14:textId="77777777" w:rsidR="00A80AC5" w:rsidRDefault="00A80AC5" w:rsidP="002D7EE2">
            <w:pPr>
              <w:spacing w:after="240"/>
              <w:ind w:left="360"/>
              <w:rPr>
                <w:sz w:val="20"/>
                <w:lang w:val="fr-FR"/>
              </w:rPr>
            </w:pPr>
          </w:p>
          <w:p w14:paraId="11BC3A84" w14:textId="77777777" w:rsidR="00A80AC5" w:rsidRDefault="00A80AC5" w:rsidP="002D7EE2">
            <w:pPr>
              <w:spacing w:after="240"/>
              <w:ind w:left="360"/>
              <w:rPr>
                <w:sz w:val="20"/>
                <w:lang w:val="fr-FR"/>
              </w:rPr>
            </w:pPr>
          </w:p>
          <w:p w14:paraId="7D1D84E2" w14:textId="77777777" w:rsidR="00A80AC5" w:rsidRDefault="00A80AC5" w:rsidP="002D7EE2">
            <w:pPr>
              <w:spacing w:after="240"/>
              <w:ind w:left="360"/>
              <w:rPr>
                <w:sz w:val="20"/>
                <w:lang w:val="fr-FR"/>
              </w:rPr>
            </w:pPr>
          </w:p>
          <w:p w14:paraId="707FD560" w14:textId="77777777" w:rsidR="00A80AC5" w:rsidRDefault="00A80AC5" w:rsidP="002D7EE2">
            <w:pPr>
              <w:spacing w:after="240"/>
              <w:ind w:left="360"/>
              <w:rPr>
                <w:sz w:val="20"/>
                <w:lang w:val="fr-FR"/>
              </w:rPr>
            </w:pPr>
          </w:p>
          <w:p w14:paraId="7329A6B4" w14:textId="77777777" w:rsidR="00A80AC5" w:rsidRDefault="00A80AC5" w:rsidP="002D7EE2">
            <w:pPr>
              <w:spacing w:after="240"/>
              <w:ind w:left="360"/>
              <w:rPr>
                <w:sz w:val="20"/>
                <w:lang w:val="fr-FR"/>
              </w:rPr>
            </w:pPr>
          </w:p>
          <w:p w14:paraId="1FED37B6" w14:textId="77777777" w:rsidR="00A80AC5" w:rsidRDefault="00A80AC5" w:rsidP="002D7EE2">
            <w:pPr>
              <w:spacing w:after="240"/>
              <w:ind w:left="360"/>
              <w:rPr>
                <w:sz w:val="20"/>
                <w:lang w:val="fr-FR"/>
              </w:rPr>
            </w:pPr>
          </w:p>
          <w:p w14:paraId="6A7EFF61" w14:textId="77777777" w:rsidR="00A80AC5" w:rsidRDefault="00A80AC5" w:rsidP="002D7EE2">
            <w:pPr>
              <w:spacing w:after="240"/>
              <w:ind w:left="360"/>
              <w:rPr>
                <w:sz w:val="20"/>
                <w:lang w:val="fr-FR"/>
              </w:rPr>
            </w:pPr>
          </w:p>
          <w:p w14:paraId="25182A45" w14:textId="77777777" w:rsidR="00A80AC5" w:rsidRDefault="00A80AC5" w:rsidP="002D7EE2">
            <w:pPr>
              <w:spacing w:after="240"/>
              <w:ind w:left="360"/>
              <w:rPr>
                <w:sz w:val="20"/>
                <w:lang w:val="fr-FR"/>
              </w:rPr>
            </w:pPr>
          </w:p>
          <w:p w14:paraId="2B1A607A" w14:textId="77777777" w:rsidR="00A80AC5" w:rsidRDefault="00A80AC5" w:rsidP="002D7EE2">
            <w:pPr>
              <w:spacing w:after="240"/>
              <w:ind w:left="360"/>
              <w:rPr>
                <w:sz w:val="20"/>
                <w:lang w:val="fr-FR"/>
              </w:rPr>
            </w:pPr>
          </w:p>
          <w:p w14:paraId="2DF3DFC5" w14:textId="77777777" w:rsidR="00A80AC5" w:rsidRDefault="00A80AC5" w:rsidP="002D7EE2">
            <w:pPr>
              <w:spacing w:after="240"/>
              <w:ind w:left="360"/>
              <w:rPr>
                <w:sz w:val="20"/>
                <w:lang w:val="fr-FR"/>
              </w:rPr>
            </w:pPr>
          </w:p>
          <w:p w14:paraId="7FDC4BEC" w14:textId="77777777" w:rsidR="00A80AC5" w:rsidRDefault="00A80AC5" w:rsidP="002D7EE2">
            <w:pPr>
              <w:spacing w:after="240"/>
              <w:ind w:left="360"/>
              <w:rPr>
                <w:sz w:val="20"/>
                <w:lang w:val="fr-FR"/>
              </w:rPr>
            </w:pPr>
          </w:p>
          <w:p w14:paraId="4159A840" w14:textId="77777777" w:rsidR="00A80AC5" w:rsidRDefault="00A80AC5" w:rsidP="002D7EE2">
            <w:pPr>
              <w:spacing w:after="240"/>
              <w:ind w:left="360"/>
              <w:rPr>
                <w:sz w:val="20"/>
                <w:lang w:val="fr-FR"/>
              </w:rPr>
            </w:pPr>
          </w:p>
          <w:p w14:paraId="2798817C" w14:textId="77777777" w:rsidR="00A80AC5" w:rsidRDefault="00A80AC5" w:rsidP="002D7EE2">
            <w:pPr>
              <w:spacing w:after="240"/>
              <w:ind w:left="360"/>
              <w:rPr>
                <w:sz w:val="20"/>
                <w:lang w:val="fr-FR"/>
              </w:rPr>
            </w:pPr>
          </w:p>
          <w:p w14:paraId="20AC2A8C" w14:textId="77777777" w:rsidR="00A80AC5" w:rsidRDefault="00A80AC5" w:rsidP="002D7EE2">
            <w:pPr>
              <w:spacing w:after="240"/>
              <w:ind w:left="360"/>
              <w:rPr>
                <w:sz w:val="20"/>
                <w:lang w:val="fr-FR"/>
              </w:rPr>
            </w:pPr>
          </w:p>
          <w:p w14:paraId="07E8EEB1" w14:textId="77777777" w:rsidR="00A80AC5" w:rsidRDefault="00A80AC5" w:rsidP="002D7EE2">
            <w:pPr>
              <w:spacing w:after="240"/>
              <w:ind w:left="360"/>
              <w:rPr>
                <w:sz w:val="20"/>
                <w:lang w:val="fr-FR"/>
              </w:rPr>
            </w:pPr>
          </w:p>
          <w:p w14:paraId="0E19A7C3" w14:textId="77777777" w:rsidR="00A80AC5" w:rsidRDefault="00A80AC5" w:rsidP="002D7EE2">
            <w:pPr>
              <w:spacing w:after="240"/>
              <w:ind w:left="360"/>
              <w:rPr>
                <w:sz w:val="20"/>
                <w:lang w:val="fr-FR"/>
              </w:rPr>
            </w:pPr>
          </w:p>
          <w:p w14:paraId="0945A4CE" w14:textId="77777777" w:rsidR="00A80AC5" w:rsidRDefault="00A80AC5" w:rsidP="002D7EE2">
            <w:pPr>
              <w:spacing w:after="240"/>
              <w:ind w:left="360"/>
              <w:rPr>
                <w:sz w:val="20"/>
                <w:lang w:val="fr-FR"/>
              </w:rPr>
            </w:pPr>
          </w:p>
          <w:p w14:paraId="4FD038D1" w14:textId="77777777" w:rsidR="00A80AC5" w:rsidRDefault="00A80AC5" w:rsidP="002D7EE2">
            <w:pPr>
              <w:spacing w:after="240"/>
              <w:ind w:left="360"/>
              <w:rPr>
                <w:sz w:val="20"/>
                <w:lang w:val="fr-FR"/>
              </w:rPr>
            </w:pPr>
          </w:p>
          <w:p w14:paraId="02209CCC" w14:textId="77777777" w:rsidR="00A80AC5" w:rsidRDefault="00A80AC5" w:rsidP="002D7EE2">
            <w:pPr>
              <w:spacing w:after="240"/>
              <w:ind w:left="360"/>
              <w:rPr>
                <w:sz w:val="20"/>
                <w:lang w:val="fr-FR"/>
              </w:rPr>
            </w:pPr>
          </w:p>
          <w:p w14:paraId="382BDCAE" w14:textId="77777777" w:rsidR="00A80AC5" w:rsidRDefault="00A80AC5" w:rsidP="002D7EE2">
            <w:pPr>
              <w:spacing w:after="240"/>
              <w:ind w:left="360"/>
              <w:rPr>
                <w:sz w:val="20"/>
                <w:lang w:val="fr-FR"/>
              </w:rPr>
            </w:pPr>
          </w:p>
          <w:p w14:paraId="05BDDD41" w14:textId="77777777" w:rsidR="00A80AC5" w:rsidRDefault="00A80AC5" w:rsidP="002D7EE2">
            <w:pPr>
              <w:spacing w:after="240"/>
              <w:ind w:left="360"/>
              <w:rPr>
                <w:sz w:val="20"/>
                <w:lang w:val="fr-FR"/>
              </w:rPr>
            </w:pPr>
          </w:p>
          <w:p w14:paraId="5FDDA927" w14:textId="77777777" w:rsidR="00A80AC5" w:rsidRDefault="00A80AC5" w:rsidP="002D7EE2">
            <w:pPr>
              <w:spacing w:after="240"/>
              <w:ind w:left="360"/>
              <w:rPr>
                <w:sz w:val="20"/>
                <w:lang w:val="fr-FR"/>
              </w:rPr>
            </w:pPr>
          </w:p>
          <w:p w14:paraId="55AF3341" w14:textId="77777777" w:rsidR="00A80AC5" w:rsidRDefault="00A80AC5" w:rsidP="002D7EE2">
            <w:pPr>
              <w:spacing w:after="240"/>
              <w:ind w:left="360"/>
              <w:rPr>
                <w:sz w:val="20"/>
                <w:lang w:val="fr-FR"/>
              </w:rPr>
            </w:pPr>
          </w:p>
          <w:p w14:paraId="3D4E28A5" w14:textId="77777777" w:rsidR="00A80AC5" w:rsidRDefault="00A80AC5" w:rsidP="002D7EE2">
            <w:pPr>
              <w:spacing w:after="240"/>
              <w:ind w:left="360"/>
              <w:rPr>
                <w:sz w:val="20"/>
                <w:lang w:val="fr-FR"/>
              </w:rPr>
            </w:pPr>
          </w:p>
          <w:p w14:paraId="7A7A0839" w14:textId="77777777" w:rsidR="00A80AC5" w:rsidRDefault="00A80AC5" w:rsidP="002D7EE2">
            <w:pPr>
              <w:spacing w:after="240"/>
              <w:ind w:left="360"/>
              <w:rPr>
                <w:sz w:val="20"/>
                <w:lang w:val="fr-FR"/>
              </w:rPr>
            </w:pPr>
          </w:p>
          <w:p w14:paraId="369A5B15" w14:textId="77777777" w:rsidR="00A80AC5" w:rsidRPr="00361D1F" w:rsidRDefault="00A80AC5" w:rsidP="002D7EE2">
            <w:pPr>
              <w:spacing w:after="240"/>
              <w:ind w:left="360"/>
              <w:rPr>
                <w:sz w:val="20"/>
                <w:lang w:val="fr-FR"/>
              </w:rPr>
            </w:pPr>
          </w:p>
          <w:p w14:paraId="5AA50F84" w14:textId="10503430" w:rsidR="00A80AC5" w:rsidRPr="00361D1F" w:rsidRDefault="00A80AC5" w:rsidP="002D7EE2">
            <w:pPr>
              <w:numPr>
                <w:ilvl w:val="0"/>
                <w:numId w:val="42"/>
              </w:numPr>
              <w:spacing w:after="240"/>
              <w:rPr>
                <w:sz w:val="20"/>
                <w:lang w:val="fr-FR"/>
              </w:rPr>
            </w:pPr>
            <w:r w:rsidRPr="00361D1F">
              <w:rPr>
                <w:sz w:val="20"/>
                <w:lang w:val="fr-FR"/>
              </w:rPr>
              <w:t>Ce règlement a été mis en place il y a plus d’une dizaine d’années après la création du régime de droit de suite des artistes en Australie et étendu aux pays de l’UE et au Royaume</w:t>
            </w:r>
            <w:r w:rsidR="00FA1A0F">
              <w:rPr>
                <w:sz w:val="20"/>
                <w:lang w:val="fr-FR"/>
              </w:rPr>
              <w:noBreakHyphen/>
            </w:r>
            <w:r w:rsidRPr="00361D1F">
              <w:rPr>
                <w:sz w:val="20"/>
                <w:lang w:val="fr-FR"/>
              </w:rPr>
              <w:t>Uni.</w:t>
            </w:r>
          </w:p>
        </w:tc>
      </w:tr>
      <w:tr w:rsidR="00A80AC5" w:rsidRPr="00361D1F" w14:paraId="188D210B" w14:textId="77777777" w:rsidTr="00D93A25">
        <w:tc>
          <w:tcPr>
            <w:tcW w:w="2127" w:type="dxa"/>
          </w:tcPr>
          <w:p w14:paraId="087D4B91" w14:textId="39C64657" w:rsidR="00A80AC5" w:rsidRPr="00361D1F" w:rsidRDefault="00A80AC5" w:rsidP="00C02FC0">
            <w:pPr>
              <w:keepLines/>
              <w:spacing w:before="60" w:after="220"/>
              <w:rPr>
                <w:sz w:val="20"/>
                <w:lang w:val="fr-FR"/>
              </w:rPr>
            </w:pPr>
            <w:r w:rsidRPr="00361D1F">
              <w:rPr>
                <w:sz w:val="20"/>
                <w:lang w:val="fr-FR"/>
              </w:rPr>
              <w:lastRenderedPageBreak/>
              <w:t>Autre formulation du droit à la protection, y compris pour un auteur étranger (Nouvelle</w:t>
            </w:r>
            <w:r w:rsidR="00FA1A0F">
              <w:rPr>
                <w:sz w:val="20"/>
                <w:lang w:val="fr-FR"/>
              </w:rPr>
              <w:noBreakHyphen/>
            </w:r>
            <w:r w:rsidRPr="00361D1F">
              <w:rPr>
                <w:sz w:val="20"/>
                <w:lang w:val="fr-FR"/>
              </w:rPr>
              <w:t>Zélande)</w:t>
            </w:r>
          </w:p>
        </w:tc>
        <w:tc>
          <w:tcPr>
            <w:tcW w:w="3543" w:type="dxa"/>
          </w:tcPr>
          <w:p w14:paraId="49C8A6C8" w14:textId="77777777" w:rsidR="00A80AC5" w:rsidRPr="00361D1F" w:rsidRDefault="00A80AC5" w:rsidP="00C02FC0">
            <w:pPr>
              <w:autoSpaceDE w:val="0"/>
              <w:autoSpaceDN w:val="0"/>
              <w:adjustRightInd w:val="0"/>
              <w:spacing w:before="60"/>
              <w:rPr>
                <w:b/>
                <w:bCs/>
                <w:sz w:val="20"/>
                <w:lang w:val="fr-FR" w:eastAsia="fr-CH"/>
              </w:rPr>
            </w:pPr>
            <w:r w:rsidRPr="00361D1F">
              <w:rPr>
                <w:rFonts w:eastAsia="Times New Roman"/>
                <w:b/>
                <w:bCs/>
                <w:sz w:val="20"/>
                <w:lang w:val="fr-FR" w:eastAsia="fr-CH"/>
              </w:rPr>
              <w:t xml:space="preserve">7 </w:t>
            </w:r>
            <w:r w:rsidRPr="00361D1F">
              <w:rPr>
                <w:b/>
                <w:bCs/>
                <w:sz w:val="20"/>
                <w:lang w:val="fr-FR" w:eastAsia="fr-CH"/>
              </w:rPr>
              <w:t>Les artistes remplissant les conditions requises bénéficient d’un droit de suite</w:t>
            </w:r>
          </w:p>
          <w:p w14:paraId="31B32DD5" w14:textId="77777777" w:rsidR="00A80AC5" w:rsidRPr="00361D1F" w:rsidRDefault="00A80AC5" w:rsidP="002D7EE2">
            <w:pPr>
              <w:autoSpaceDE w:val="0"/>
              <w:autoSpaceDN w:val="0"/>
              <w:adjustRightInd w:val="0"/>
              <w:rPr>
                <w:sz w:val="20"/>
                <w:lang w:val="fr-FR" w:eastAsia="fr-CH"/>
              </w:rPr>
            </w:pPr>
            <w:r w:rsidRPr="00361D1F">
              <w:rPr>
                <w:rFonts w:eastAsia="Times New Roman"/>
                <w:sz w:val="20"/>
                <w:lang w:val="fr-FR" w:eastAsia="fr-CH"/>
              </w:rPr>
              <w:t xml:space="preserve">2) </w:t>
            </w:r>
            <w:r w:rsidRPr="00361D1F">
              <w:rPr>
                <w:sz w:val="20"/>
                <w:lang w:val="fr-FR" w:eastAsia="fr-CH"/>
              </w:rPr>
              <w:t>L’artiste remplit les conditions requises si, au moment voulu, il est</w:t>
            </w:r>
          </w:p>
          <w:p w14:paraId="41F222CA" w14:textId="4272E105" w:rsidR="00A80AC5" w:rsidRPr="00361D1F" w:rsidRDefault="00A80AC5" w:rsidP="002D7EE2">
            <w:pPr>
              <w:autoSpaceDE w:val="0"/>
              <w:autoSpaceDN w:val="0"/>
              <w:adjustRightInd w:val="0"/>
              <w:ind w:left="168"/>
              <w:rPr>
                <w:sz w:val="20"/>
                <w:lang w:val="fr-FR" w:eastAsia="fr-CH"/>
              </w:rPr>
            </w:pPr>
            <w:r w:rsidRPr="00361D1F">
              <w:rPr>
                <w:rFonts w:eastAsia="Times New Roman"/>
                <w:sz w:val="20"/>
                <w:lang w:val="fr-FR" w:eastAsia="fr-CH"/>
              </w:rPr>
              <w:t xml:space="preserve">a) </w:t>
            </w:r>
            <w:r w:rsidRPr="00361D1F">
              <w:rPr>
                <w:sz w:val="20"/>
                <w:lang w:val="fr-FR" w:eastAsia="fr-CH"/>
              </w:rPr>
              <w:t>un citoyen néo</w:t>
            </w:r>
            <w:r w:rsidR="00FA1A0F">
              <w:rPr>
                <w:sz w:val="20"/>
                <w:lang w:val="fr-FR" w:eastAsia="fr-CH"/>
              </w:rPr>
              <w:noBreakHyphen/>
            </w:r>
            <w:r w:rsidRPr="00361D1F">
              <w:rPr>
                <w:sz w:val="20"/>
                <w:lang w:val="fr-FR" w:eastAsia="fr-CH"/>
              </w:rPr>
              <w:t>zélandais,</w:t>
            </w:r>
          </w:p>
          <w:p w14:paraId="012D7422" w14:textId="4D8F8E8D" w:rsidR="00A80AC5" w:rsidRPr="00361D1F" w:rsidRDefault="00A80AC5" w:rsidP="002D7EE2">
            <w:pPr>
              <w:autoSpaceDE w:val="0"/>
              <w:autoSpaceDN w:val="0"/>
              <w:adjustRightInd w:val="0"/>
              <w:ind w:left="168"/>
              <w:rPr>
                <w:sz w:val="20"/>
                <w:lang w:val="fr-FR" w:eastAsia="fr-CH"/>
              </w:rPr>
            </w:pPr>
            <w:r w:rsidRPr="00361D1F">
              <w:rPr>
                <w:rFonts w:eastAsia="Times New Roman"/>
                <w:sz w:val="20"/>
                <w:lang w:val="fr-FR" w:eastAsia="fr-CH"/>
              </w:rPr>
              <w:t xml:space="preserve">b) </w:t>
            </w:r>
            <w:r w:rsidRPr="00361D1F">
              <w:rPr>
                <w:sz w:val="20"/>
                <w:lang w:val="fr-FR" w:eastAsia="fr-CH"/>
              </w:rPr>
              <w:t>une personne domiciliée ou résidant en Nouvelle</w:t>
            </w:r>
            <w:r w:rsidR="00FA1A0F">
              <w:rPr>
                <w:sz w:val="20"/>
                <w:lang w:val="fr-FR" w:eastAsia="fr-CH"/>
              </w:rPr>
              <w:noBreakHyphen/>
            </w:r>
            <w:r w:rsidRPr="00361D1F">
              <w:rPr>
                <w:sz w:val="20"/>
                <w:lang w:val="fr-FR" w:eastAsia="fr-CH"/>
              </w:rPr>
              <w:t>Zélande,</w:t>
            </w:r>
          </w:p>
          <w:p w14:paraId="47CCDA2C" w14:textId="77777777" w:rsidR="00A80AC5" w:rsidRPr="00361D1F" w:rsidRDefault="00A80AC5" w:rsidP="002D7EE2">
            <w:pPr>
              <w:autoSpaceDE w:val="0"/>
              <w:autoSpaceDN w:val="0"/>
              <w:adjustRightInd w:val="0"/>
              <w:ind w:left="168"/>
              <w:rPr>
                <w:sz w:val="20"/>
                <w:lang w:val="fr-FR" w:eastAsia="fr-CH"/>
              </w:rPr>
            </w:pPr>
            <w:r w:rsidRPr="00361D1F">
              <w:rPr>
                <w:rFonts w:eastAsia="Times New Roman"/>
                <w:sz w:val="20"/>
                <w:lang w:val="fr-FR" w:eastAsia="fr-CH"/>
              </w:rPr>
              <w:lastRenderedPageBreak/>
              <w:t xml:space="preserve">c) </w:t>
            </w:r>
            <w:r w:rsidRPr="00361D1F">
              <w:rPr>
                <w:sz w:val="20"/>
                <w:lang w:val="fr-FR" w:eastAsia="fr-CH"/>
              </w:rPr>
              <w:t>un citoyen ou un sujet d’un pays pratiquant la réciprocité, ou une personne domiciliée ou résidant dans ce pays</w:t>
            </w:r>
            <w:r w:rsidRPr="00361D1F">
              <w:rPr>
                <w:rFonts w:eastAsia="Times New Roman"/>
                <w:sz w:val="20"/>
                <w:lang w:val="fr-FR" w:eastAsia="fr-CH"/>
              </w:rPr>
              <w:t>.</w:t>
            </w:r>
          </w:p>
          <w:p w14:paraId="18DAAF11" w14:textId="77777777" w:rsidR="00A80AC5" w:rsidRPr="00361D1F" w:rsidRDefault="00A80AC5" w:rsidP="002D7EE2">
            <w:pPr>
              <w:autoSpaceDE w:val="0"/>
              <w:autoSpaceDN w:val="0"/>
              <w:adjustRightInd w:val="0"/>
              <w:rPr>
                <w:sz w:val="20"/>
                <w:lang w:val="fr-FR" w:eastAsia="fr-CH"/>
              </w:rPr>
            </w:pPr>
            <w:r w:rsidRPr="00361D1F">
              <w:rPr>
                <w:rFonts w:eastAsia="Times New Roman"/>
                <w:sz w:val="20"/>
                <w:lang w:val="fr-FR" w:eastAsia="fr-CH"/>
              </w:rPr>
              <w:t>…</w:t>
            </w:r>
          </w:p>
          <w:p w14:paraId="187ADF64" w14:textId="77777777" w:rsidR="00A80AC5" w:rsidRPr="00361D1F" w:rsidRDefault="00A80AC5" w:rsidP="002D7EE2">
            <w:pPr>
              <w:autoSpaceDE w:val="0"/>
              <w:autoSpaceDN w:val="0"/>
              <w:adjustRightInd w:val="0"/>
              <w:rPr>
                <w:rFonts w:eastAsia="Times New Roman"/>
                <w:b/>
                <w:bCs/>
                <w:sz w:val="20"/>
                <w:lang w:val="fr-FR" w:eastAsia="fr-CH"/>
              </w:rPr>
            </w:pPr>
            <w:r w:rsidRPr="00361D1F">
              <w:rPr>
                <w:rFonts w:eastAsia="Times New Roman"/>
                <w:b/>
                <w:bCs/>
                <w:sz w:val="20"/>
                <w:lang w:val="fr-FR" w:eastAsia="fr-CH"/>
              </w:rPr>
              <w:t>29 Pays pratiquant la réciprocité</w:t>
            </w:r>
          </w:p>
          <w:p w14:paraId="3CD8CC5B" w14:textId="77777777" w:rsidR="00A80AC5" w:rsidRPr="00361D1F" w:rsidRDefault="00A80AC5" w:rsidP="002D7EE2">
            <w:pPr>
              <w:autoSpaceDE w:val="0"/>
              <w:autoSpaceDN w:val="0"/>
              <w:adjustRightInd w:val="0"/>
              <w:rPr>
                <w:rFonts w:eastAsia="Times New Roman"/>
                <w:sz w:val="20"/>
                <w:lang w:val="fr-FR" w:eastAsia="fr-CH"/>
              </w:rPr>
            </w:pPr>
            <w:r w:rsidRPr="00361D1F">
              <w:rPr>
                <w:rFonts w:eastAsia="Times New Roman"/>
                <w:sz w:val="20"/>
                <w:lang w:val="fr-FR" w:eastAsia="fr-CH"/>
              </w:rPr>
              <w:t>1) Le gouverneur général peut, par décret pris sur recommandation du ministre, désigner un pays pratiquant la réciprocité aux fins de la présente loi.</w:t>
            </w:r>
          </w:p>
          <w:p w14:paraId="64248E68" w14:textId="77777777" w:rsidR="00A80AC5" w:rsidRPr="00361D1F" w:rsidRDefault="00A80AC5" w:rsidP="002D7EE2">
            <w:pPr>
              <w:autoSpaceDE w:val="0"/>
              <w:autoSpaceDN w:val="0"/>
              <w:adjustRightInd w:val="0"/>
              <w:rPr>
                <w:rFonts w:eastAsia="Times New Roman"/>
                <w:sz w:val="20"/>
                <w:lang w:val="fr-FR" w:eastAsia="fr-CH"/>
              </w:rPr>
            </w:pPr>
            <w:r w:rsidRPr="00361D1F">
              <w:rPr>
                <w:rFonts w:eastAsia="Times New Roman"/>
                <w:sz w:val="20"/>
                <w:lang w:val="fr-FR" w:eastAsia="fr-CH"/>
              </w:rPr>
              <w:t>2) Le pays pratiquant la réciprocité doit être une entité (qu’il s’agisse d’un État, d’une partie d’un État, d’un territoire dont les relations internationales sont assurées par un État, d’une union politique, d’une organisation internationale ou de toute autre entité).</w:t>
            </w:r>
          </w:p>
          <w:p w14:paraId="69781354" w14:textId="77777777" w:rsidR="00A80AC5" w:rsidRPr="00361D1F" w:rsidRDefault="00A80AC5" w:rsidP="002D7EE2">
            <w:pPr>
              <w:autoSpaceDE w:val="0"/>
              <w:autoSpaceDN w:val="0"/>
              <w:adjustRightInd w:val="0"/>
              <w:rPr>
                <w:rFonts w:eastAsia="Times New Roman"/>
                <w:sz w:val="20"/>
                <w:lang w:val="fr-FR" w:eastAsia="fr-CH"/>
              </w:rPr>
            </w:pPr>
            <w:r w:rsidRPr="00361D1F">
              <w:rPr>
                <w:rFonts w:eastAsia="Times New Roman"/>
                <w:sz w:val="20"/>
                <w:lang w:val="fr-FR" w:eastAsia="fr-CH"/>
              </w:rPr>
              <w:t>3) Le ministre doit, avant de recommander la prise d’un arrêté, s’assurer que la législation du pays pratiquant la réciprocité prévoit ou prévoira un droit de suite réciproque.</w:t>
            </w:r>
          </w:p>
          <w:p w14:paraId="3E8A7EC4" w14:textId="77777777" w:rsidR="00A80AC5" w:rsidRPr="00361D1F" w:rsidRDefault="00A80AC5" w:rsidP="002D7EE2">
            <w:pPr>
              <w:keepLines/>
              <w:spacing w:after="220"/>
              <w:rPr>
                <w:sz w:val="20"/>
                <w:lang w:val="fr-FR"/>
              </w:rPr>
            </w:pPr>
            <w:r w:rsidRPr="00361D1F">
              <w:rPr>
                <w:rFonts w:eastAsia="Times New Roman"/>
                <w:sz w:val="20"/>
                <w:lang w:val="fr-FR" w:eastAsia="fr-CH"/>
              </w:rPr>
              <w:t>…</w:t>
            </w:r>
          </w:p>
        </w:tc>
        <w:tc>
          <w:tcPr>
            <w:tcW w:w="3397" w:type="dxa"/>
          </w:tcPr>
          <w:p w14:paraId="622E0BB4" w14:textId="77777777" w:rsidR="00A80AC5" w:rsidRPr="00361D1F" w:rsidRDefault="00A80AC5" w:rsidP="00C02FC0">
            <w:pPr>
              <w:pStyle w:val="ListParagraph"/>
              <w:numPr>
                <w:ilvl w:val="0"/>
                <w:numId w:val="42"/>
              </w:numPr>
              <w:jc w:val="left"/>
              <w:rPr>
                <w:rFonts w:cs="Arial"/>
                <w:sz w:val="20"/>
                <w:szCs w:val="20"/>
              </w:rPr>
            </w:pPr>
            <w:r w:rsidRPr="00361D1F">
              <w:rPr>
                <w:rFonts w:cs="Arial"/>
                <w:sz w:val="20"/>
                <w:szCs w:val="20"/>
              </w:rPr>
              <w:lastRenderedPageBreak/>
              <w:t>Précise la nationalité, le domicile ou la résidence.</w:t>
            </w:r>
          </w:p>
          <w:p w14:paraId="1B83E4D0" w14:textId="77777777" w:rsidR="00A80AC5" w:rsidRPr="00361D1F" w:rsidRDefault="00A80AC5" w:rsidP="002D7EE2">
            <w:pPr>
              <w:pStyle w:val="ListParagraph"/>
              <w:numPr>
                <w:ilvl w:val="0"/>
                <w:numId w:val="42"/>
              </w:numPr>
              <w:jc w:val="left"/>
              <w:rPr>
                <w:rFonts w:cs="Arial"/>
                <w:sz w:val="20"/>
                <w:szCs w:val="20"/>
              </w:rPr>
            </w:pPr>
            <w:r w:rsidRPr="00361D1F">
              <w:rPr>
                <w:rFonts w:cs="Arial"/>
                <w:sz w:val="20"/>
                <w:szCs w:val="20"/>
              </w:rPr>
              <w:t>S’applique aux auteurs qui sont citoyens ou sujets de pays pratiquant la réciprocité.</w:t>
            </w:r>
          </w:p>
          <w:p w14:paraId="2DEDD309" w14:textId="77777777" w:rsidR="00A80AC5" w:rsidRPr="00361D1F" w:rsidRDefault="00A80AC5" w:rsidP="002D7EE2">
            <w:pPr>
              <w:pStyle w:val="ListParagraph"/>
              <w:numPr>
                <w:ilvl w:val="0"/>
                <w:numId w:val="42"/>
              </w:numPr>
              <w:spacing w:after="120"/>
              <w:jc w:val="left"/>
              <w:rPr>
                <w:rFonts w:cs="Arial"/>
                <w:sz w:val="20"/>
                <w:szCs w:val="20"/>
              </w:rPr>
            </w:pPr>
            <w:r w:rsidRPr="00361D1F">
              <w:rPr>
                <w:rFonts w:cs="Arial"/>
                <w:sz w:val="20"/>
                <w:szCs w:val="20"/>
              </w:rPr>
              <w:t xml:space="preserve">Spécifie un critère pour cela : le ministre doit s’assurer que la </w:t>
            </w:r>
            <w:r w:rsidRPr="00361D1F">
              <w:rPr>
                <w:rFonts w:cs="Arial"/>
                <w:sz w:val="20"/>
                <w:szCs w:val="20"/>
              </w:rPr>
              <w:lastRenderedPageBreak/>
              <w:t>réciprocité existe dans l’autre pays.</w:t>
            </w:r>
          </w:p>
          <w:p w14:paraId="17C5C116" w14:textId="77777777" w:rsidR="00A80AC5" w:rsidRPr="00361D1F" w:rsidRDefault="00A80AC5" w:rsidP="002D7EE2">
            <w:pPr>
              <w:keepLines/>
              <w:numPr>
                <w:ilvl w:val="0"/>
                <w:numId w:val="42"/>
              </w:numPr>
              <w:spacing w:after="220"/>
              <w:rPr>
                <w:sz w:val="20"/>
                <w:lang w:val="fr-FR"/>
              </w:rPr>
            </w:pPr>
            <w:r w:rsidRPr="00361D1F">
              <w:rPr>
                <w:sz w:val="20"/>
                <w:lang w:val="fr-FR"/>
              </w:rPr>
              <w:t>La réciprocité peut s’appliquer à une “partie d’un État”, ce qui permettrait la reconnaissance d’un État ou d’une province avec une fédération qui accorderait un droit de suite des artistes sur le territoire de l’État ou de la province en question.</w:t>
            </w:r>
          </w:p>
        </w:tc>
      </w:tr>
      <w:tr w:rsidR="00A80AC5" w:rsidRPr="00361D1F" w14:paraId="7DA47988" w14:textId="77777777" w:rsidTr="00D93A25">
        <w:tc>
          <w:tcPr>
            <w:tcW w:w="2127" w:type="dxa"/>
          </w:tcPr>
          <w:p w14:paraId="79395160" w14:textId="77777777" w:rsidR="00A80AC5" w:rsidRPr="00361D1F" w:rsidRDefault="00A80AC5" w:rsidP="00C02FC0">
            <w:pPr>
              <w:keepLines/>
              <w:spacing w:before="60" w:after="220"/>
              <w:rPr>
                <w:sz w:val="20"/>
                <w:lang w:val="fr-FR"/>
              </w:rPr>
            </w:pPr>
            <w:r w:rsidRPr="00361D1F">
              <w:rPr>
                <w:sz w:val="20"/>
                <w:lang w:val="fr-FR"/>
              </w:rPr>
              <w:lastRenderedPageBreak/>
              <w:t>Les demandeurs étrangers en particulier</w:t>
            </w:r>
          </w:p>
        </w:tc>
        <w:tc>
          <w:tcPr>
            <w:tcW w:w="3543" w:type="dxa"/>
          </w:tcPr>
          <w:p w14:paraId="26F3BA6D" w14:textId="77777777" w:rsidR="00A80AC5" w:rsidRPr="00361D1F" w:rsidRDefault="00A80AC5" w:rsidP="00C02FC0">
            <w:pPr>
              <w:keepLines/>
              <w:spacing w:before="60" w:after="120"/>
              <w:rPr>
                <w:sz w:val="20"/>
                <w:lang w:val="fr-FR"/>
              </w:rPr>
            </w:pPr>
            <w:r w:rsidRPr="00361D1F">
              <w:rPr>
                <w:sz w:val="20"/>
                <w:lang w:val="fr-FR"/>
              </w:rPr>
              <w:t>1) Lorsqu’un pays qui est membre de la Convention de Berne protège le droit de suite des artistes des auteurs d’œuvres d’art originales [et/ou de manuscrits] sur une base substantiellement similaire à celle prévue par la présente loi, les règlements pris en vertu de la présente loi [ou le ministre… par voie de direction] peuvent désigner ce pays comme “pays pratiquant la réciprocité”).</w:t>
            </w:r>
          </w:p>
          <w:p w14:paraId="6F43A676" w14:textId="77777777" w:rsidR="00A80AC5" w:rsidRPr="00361D1F" w:rsidRDefault="00A80AC5" w:rsidP="002D7EE2">
            <w:pPr>
              <w:keepLines/>
              <w:spacing w:after="220"/>
              <w:rPr>
                <w:sz w:val="20"/>
                <w:lang w:val="fr-FR"/>
              </w:rPr>
            </w:pPr>
            <w:r w:rsidRPr="00361D1F">
              <w:rPr>
                <w:sz w:val="20"/>
                <w:lang w:val="fr-FR"/>
              </w:rPr>
              <w:t>2) Lorsque l’auteur d’une œuvre d’art originale [et/ou d’un manuscrit] est un ressortissant [ou un résident permanent] d’un pays pratiquant la réciprocité tel que désigné au paragraphe 1), il ou elle a le droit de bénéficier du droit de suite des artistes dans ce pays en ce qui concerne toute revente qui y a lieu</w:t>
            </w:r>
            <w:r w:rsidRPr="00361D1F">
              <w:rPr>
                <w:sz w:val="20"/>
                <w:vertAlign w:val="superscript"/>
                <w:lang w:val="fr-FR"/>
              </w:rPr>
              <w:footnoteReference w:id="115"/>
            </w:r>
            <w:r w:rsidRPr="00361D1F">
              <w:rPr>
                <w:sz w:val="20"/>
                <w:lang w:val="fr-FR"/>
              </w:rPr>
              <w:t>.</w:t>
            </w:r>
          </w:p>
        </w:tc>
        <w:tc>
          <w:tcPr>
            <w:tcW w:w="3397" w:type="dxa"/>
          </w:tcPr>
          <w:p w14:paraId="1155E5EB" w14:textId="77777777" w:rsidR="00A80AC5" w:rsidRPr="00361D1F" w:rsidRDefault="00A80AC5" w:rsidP="00C02FC0">
            <w:pPr>
              <w:keepLines/>
              <w:numPr>
                <w:ilvl w:val="0"/>
                <w:numId w:val="42"/>
              </w:numPr>
              <w:spacing w:before="60" w:after="120"/>
              <w:rPr>
                <w:sz w:val="20"/>
                <w:lang w:val="fr-FR"/>
              </w:rPr>
            </w:pPr>
            <w:r w:rsidRPr="00361D1F">
              <w:rPr>
                <w:sz w:val="20"/>
                <w:lang w:val="fr-FR"/>
              </w:rPr>
              <w:t>Cette disposition prévoit une protection réciproque du droit de suite des artistes pour les ressortissants ou résidents d’autres pays de la Convention de Berne ayant des régimes similaires de droit de suite des artistes.</w:t>
            </w:r>
          </w:p>
          <w:p w14:paraId="27623553" w14:textId="77777777" w:rsidR="00A80AC5" w:rsidRPr="00361D1F" w:rsidRDefault="00A80AC5" w:rsidP="002D7EE2">
            <w:pPr>
              <w:keepLines/>
              <w:numPr>
                <w:ilvl w:val="0"/>
                <w:numId w:val="42"/>
              </w:numPr>
              <w:spacing w:after="220"/>
              <w:rPr>
                <w:sz w:val="20"/>
                <w:lang w:val="fr-FR"/>
              </w:rPr>
            </w:pPr>
            <w:r w:rsidRPr="00361D1F">
              <w:rPr>
                <w:sz w:val="20"/>
                <w:lang w:val="fr-FR"/>
              </w:rPr>
              <w:t>Laisse la possibilité d’étendre cela aux résidents permanents [ainsi qu’aux manuscrits].</w:t>
            </w:r>
          </w:p>
        </w:tc>
      </w:tr>
    </w:tbl>
    <w:p w14:paraId="4E719F88" w14:textId="77777777" w:rsidR="00A80AC5" w:rsidRPr="006F4120" w:rsidRDefault="00A80AC5" w:rsidP="002D7EE2">
      <w:pPr>
        <w:pStyle w:val="Heading1"/>
      </w:pPr>
      <w:r w:rsidRPr="006F4120">
        <w:lastRenderedPageBreak/>
        <w:t>Problèmes de succession – héritiers et ayants droit des auteurs</w:t>
      </w:r>
    </w:p>
    <w:p w14:paraId="78020BE1" w14:textId="77777777" w:rsidR="00A80AC5" w:rsidRPr="006F4120" w:rsidRDefault="00A80AC5" w:rsidP="00BA2CF0">
      <w:pPr>
        <w:pStyle w:val="ONUMFS"/>
        <w:keepLines/>
        <w:rPr>
          <w:lang w:val="fr-FR"/>
        </w:rPr>
      </w:pPr>
      <w:r w:rsidRPr="006F4120">
        <w:rPr>
          <w:lang w:val="fr-FR"/>
        </w:rPr>
        <w:t>Il s’agit d’une question importante, que l’article 14</w:t>
      </w:r>
      <w:r w:rsidRPr="006F4120">
        <w:rPr>
          <w:i/>
          <w:lang w:val="fr-FR"/>
        </w:rPr>
        <w:t>ter</w:t>
      </w:r>
      <w:r w:rsidRPr="006F4120">
        <w:rPr>
          <w:lang w:val="fr-FR"/>
        </w:rPr>
        <w:t xml:space="preserve">.1) de la Convention de Berne laisse largement aux législateurs nationaux le soin de déterminer.  Si elle est assimilée à d’autres droits patrimoniaux, la succession au droit de suite des artistes peut simplement se produire de la même manière que pour ces droits, par exemple, par legs testamentaire ou autre disposition testamentaire, ou conformément au droit national en matière de succession </w:t>
      </w:r>
      <w:r w:rsidRPr="006F4120">
        <w:rPr>
          <w:i/>
          <w:iCs/>
          <w:lang w:val="fr-FR"/>
        </w:rPr>
        <w:t>ab intestat</w:t>
      </w:r>
      <w:r w:rsidRPr="006F4120">
        <w:rPr>
          <w:lang w:val="fr-FR"/>
        </w:rPr>
        <w:t xml:space="preserve"> en l’absence de testament et ne nécessitera aucune autre disposition législative.  Certaines lois ne se réfèrent donc qu’aux héritiers de l’auteur et s’en remettent à leurs lois générales pour déterminer avec la répartition du reste de la succession de l’auteur.  Alternativement, l’article 14</w:t>
      </w:r>
      <w:r w:rsidRPr="006F4120">
        <w:rPr>
          <w:i/>
          <w:lang w:val="fr-FR"/>
        </w:rPr>
        <w:t>ter</w:t>
      </w:r>
      <w:r w:rsidRPr="006F4120">
        <w:rPr>
          <w:lang w:val="fr-FR"/>
        </w:rPr>
        <w:t xml:space="preserve"> laisse aux lois nationales le soin de régler les questions de succession en prévoyant le transfert du droit de suite des artistes à une institution culturelle ou sociale nationale sans prévoir aucune autre disposition à cet égard (article 14</w:t>
      </w:r>
      <w:r w:rsidRPr="006F4120">
        <w:rPr>
          <w:i/>
          <w:lang w:val="fr-FR"/>
        </w:rPr>
        <w:t>ter</w:t>
      </w:r>
      <w:r w:rsidRPr="006F4120">
        <w:rPr>
          <w:lang w:val="fr-FR"/>
        </w:rPr>
        <w:t>.1)).</w:t>
      </w:r>
    </w:p>
    <w:p w14:paraId="018EB106" w14:textId="77777777" w:rsidR="00A80AC5" w:rsidRPr="006F4120" w:rsidRDefault="00A80AC5" w:rsidP="002D7EE2">
      <w:pPr>
        <w:pStyle w:val="ONUMFS"/>
        <w:rPr>
          <w:lang w:val="fr-FR"/>
        </w:rPr>
      </w:pPr>
      <w:r w:rsidRPr="006F4120">
        <w:rPr>
          <w:lang w:val="fr-FR"/>
        </w:rPr>
        <w:t>D’une manière générale, le droit de suite des artistes étant inaliénable, en dehors des dispositions éventuellement nécessaires pour assurer l’administration par une organisation de gestion collective, ce n’est qu’après le décès de l’auteur que se pose la question du droit de suite des artistes.</w:t>
      </w:r>
    </w:p>
    <w:p w14:paraId="5A29F770" w14:textId="5421F0E6" w:rsidR="00A80AC5" w:rsidRPr="006F4120" w:rsidRDefault="00A80AC5" w:rsidP="002D7EE2">
      <w:pPr>
        <w:pStyle w:val="ONUMFS"/>
        <w:rPr>
          <w:lang w:val="fr-FR"/>
        </w:rPr>
      </w:pPr>
      <w:r w:rsidRPr="006F4120">
        <w:rPr>
          <w:lang w:val="fr-FR"/>
        </w:rPr>
        <w:t>Plusieurs exemples de dispositions tirées des législations nationales sont présentés dans le tableau 14 ci</w:t>
      </w:r>
      <w:r w:rsidR="00FA1A0F">
        <w:rPr>
          <w:lang w:val="fr-FR"/>
        </w:rPr>
        <w:noBreakHyphen/>
      </w:r>
      <w:r w:rsidRPr="006F4120">
        <w:rPr>
          <w:lang w:val="fr-FR"/>
        </w:rPr>
        <w:t xml:space="preserve">dessous.  Le troisième de ces exemples, le plus détaillé, est tiré de la loi australienne qui vise à parer à toutes les éventualités survenant à la mort de l’auteur, comme les auteurs et ayants </w:t>
      </w:r>
      <w:proofErr w:type="gramStart"/>
      <w:r w:rsidRPr="006F4120">
        <w:rPr>
          <w:lang w:val="fr-FR"/>
        </w:rPr>
        <w:t>droit multiples</w:t>
      </w:r>
      <w:proofErr w:type="gramEnd"/>
      <w:r w:rsidRPr="006F4120">
        <w:rPr>
          <w:lang w:val="fr-FR"/>
        </w:rPr>
        <w:t>.  Il utilise également des formulations telles que “test de résidence” (à satisfaire au moment de la revente commerciale) ainsi qu’un “test de succession”.  Les responsables politiques et législatifs nationaux peuvent trouver une aide dans cet ensemble de dispositions plus détaillées qui traitent de la question importante de savoir ce qu’il advient du droit de suite des artistes après le décès de l’auteur.</w:t>
      </w:r>
    </w:p>
    <w:p w14:paraId="17066FBD" w14:textId="77777777" w:rsidR="00A80AC5" w:rsidRPr="006F4120" w:rsidRDefault="00A80AC5" w:rsidP="002D7EE2">
      <w:pPr>
        <w:pStyle w:val="Heading2"/>
      </w:pPr>
      <w:r w:rsidRPr="006F4120">
        <w:t>Tableau 14</w:t>
      </w:r>
    </w:p>
    <w:tbl>
      <w:tblPr>
        <w:tblStyle w:val="TableGrid"/>
        <w:tblW w:w="0" w:type="auto"/>
        <w:tblInd w:w="-5" w:type="dxa"/>
        <w:tblLook w:val="04A0" w:firstRow="1" w:lastRow="0" w:firstColumn="1" w:lastColumn="0" w:noHBand="0" w:noVBand="1"/>
      </w:tblPr>
      <w:tblGrid>
        <w:gridCol w:w="1917"/>
        <w:gridCol w:w="3686"/>
        <w:gridCol w:w="3469"/>
      </w:tblGrid>
      <w:tr w:rsidR="00A80AC5" w:rsidRPr="006F4120" w14:paraId="5BD33879" w14:textId="77777777" w:rsidTr="00545780">
        <w:tc>
          <w:tcPr>
            <w:tcW w:w="1917" w:type="dxa"/>
          </w:tcPr>
          <w:p w14:paraId="6CF961C0" w14:textId="77777777" w:rsidR="00A80AC5" w:rsidRPr="006F4120" w:rsidRDefault="00A80AC5" w:rsidP="002D7EE2">
            <w:pPr>
              <w:spacing w:after="220"/>
              <w:rPr>
                <w:lang w:val="fr-FR"/>
              </w:rPr>
            </w:pPr>
            <w:r w:rsidRPr="006F4120">
              <w:rPr>
                <w:b/>
                <w:lang w:val="fr-FR"/>
              </w:rPr>
              <w:t>Type de disposition</w:t>
            </w:r>
          </w:p>
        </w:tc>
        <w:tc>
          <w:tcPr>
            <w:tcW w:w="3686" w:type="dxa"/>
          </w:tcPr>
          <w:p w14:paraId="3627F684" w14:textId="77777777" w:rsidR="00A80AC5" w:rsidRPr="006F4120" w:rsidRDefault="00A80AC5" w:rsidP="002D7EE2">
            <w:pPr>
              <w:spacing w:after="220"/>
              <w:rPr>
                <w:lang w:val="fr-FR"/>
              </w:rPr>
            </w:pPr>
            <w:r w:rsidRPr="006F4120">
              <w:rPr>
                <w:b/>
                <w:lang w:val="fr-FR"/>
              </w:rPr>
              <w:t>Texte suggéré</w:t>
            </w:r>
          </w:p>
        </w:tc>
        <w:tc>
          <w:tcPr>
            <w:tcW w:w="3469" w:type="dxa"/>
          </w:tcPr>
          <w:p w14:paraId="3628F1DB" w14:textId="77777777" w:rsidR="00A80AC5" w:rsidRPr="006F4120" w:rsidRDefault="00A80AC5" w:rsidP="002D7EE2">
            <w:pPr>
              <w:spacing w:after="220"/>
              <w:rPr>
                <w:lang w:val="fr-FR"/>
              </w:rPr>
            </w:pPr>
            <w:r w:rsidRPr="006F4120">
              <w:rPr>
                <w:b/>
                <w:lang w:val="fr-FR"/>
              </w:rPr>
              <w:t>Observations</w:t>
            </w:r>
          </w:p>
        </w:tc>
      </w:tr>
      <w:tr w:rsidR="00A80AC5" w:rsidRPr="006F4120" w14:paraId="69D73B57" w14:textId="77777777" w:rsidTr="00545780">
        <w:tc>
          <w:tcPr>
            <w:tcW w:w="1917" w:type="dxa"/>
          </w:tcPr>
          <w:p w14:paraId="512A5299" w14:textId="77777777" w:rsidR="00A80AC5" w:rsidRPr="006F4120" w:rsidRDefault="00A80AC5" w:rsidP="00C02FC0">
            <w:pPr>
              <w:spacing w:before="60" w:after="220"/>
              <w:rPr>
                <w:sz w:val="20"/>
                <w:lang w:val="fr-FR"/>
              </w:rPr>
            </w:pPr>
            <w:r w:rsidRPr="006F4120">
              <w:rPr>
                <w:sz w:val="20"/>
                <w:lang w:val="fr-FR"/>
              </w:rPr>
              <w:t>Disposition simple laissant cette question au droit général du pays.</w:t>
            </w:r>
          </w:p>
        </w:tc>
        <w:tc>
          <w:tcPr>
            <w:tcW w:w="3686" w:type="dxa"/>
          </w:tcPr>
          <w:p w14:paraId="5FAF8CD9" w14:textId="77777777" w:rsidR="00A80AC5" w:rsidRPr="006F4120" w:rsidRDefault="00A80AC5" w:rsidP="00C02FC0">
            <w:pPr>
              <w:spacing w:before="60" w:after="220"/>
              <w:rPr>
                <w:iCs/>
                <w:sz w:val="20"/>
                <w:lang w:val="fr-FR"/>
              </w:rPr>
            </w:pPr>
            <w:r w:rsidRPr="006F4120">
              <w:rPr>
                <w:iCs/>
                <w:sz w:val="20"/>
                <w:lang w:val="fr-FR"/>
              </w:rPr>
              <w:t>La redevance prévue à l’article premier est d</w:t>
            </w:r>
            <w:r>
              <w:rPr>
                <w:iCs/>
                <w:sz w:val="20"/>
                <w:lang w:val="fr-FR"/>
              </w:rPr>
              <w:t>ue</w:t>
            </w:r>
            <w:r w:rsidRPr="006F4120">
              <w:rPr>
                <w:iCs/>
                <w:sz w:val="20"/>
                <w:lang w:val="fr-FR"/>
              </w:rPr>
              <w:t xml:space="preserve"> à l’auteur de l’œuvre </w:t>
            </w:r>
            <w:proofErr w:type="gramStart"/>
            <w:r w:rsidRPr="006F4120">
              <w:rPr>
                <w:iCs/>
                <w:sz w:val="20"/>
                <w:lang w:val="fr-FR"/>
              </w:rPr>
              <w:t>et,…</w:t>
            </w:r>
            <w:proofErr w:type="gramEnd"/>
            <w:r w:rsidRPr="006F4120">
              <w:rPr>
                <w:iCs/>
                <w:sz w:val="20"/>
                <w:lang w:val="fr-FR"/>
              </w:rPr>
              <w:t xml:space="preserve"> après sa mort, à ses ayants droit</w:t>
            </w:r>
            <w:r w:rsidRPr="006F4120">
              <w:rPr>
                <w:iCs/>
                <w:sz w:val="20"/>
                <w:vertAlign w:val="superscript"/>
                <w:lang w:val="fr-FR"/>
              </w:rPr>
              <w:footnoteReference w:id="116"/>
            </w:r>
            <w:r w:rsidRPr="006F4120">
              <w:rPr>
                <w:iCs/>
                <w:sz w:val="20"/>
                <w:lang w:val="fr-FR"/>
              </w:rPr>
              <w:t>.</w:t>
            </w:r>
          </w:p>
        </w:tc>
        <w:tc>
          <w:tcPr>
            <w:tcW w:w="3469" w:type="dxa"/>
          </w:tcPr>
          <w:p w14:paraId="6CBB55CB" w14:textId="77777777" w:rsidR="00A80AC5" w:rsidRPr="006F4120" w:rsidRDefault="00A80AC5" w:rsidP="00C02FC0">
            <w:pPr>
              <w:numPr>
                <w:ilvl w:val="0"/>
                <w:numId w:val="42"/>
              </w:numPr>
              <w:spacing w:before="60" w:after="220"/>
              <w:rPr>
                <w:sz w:val="20"/>
                <w:lang w:val="fr-FR"/>
              </w:rPr>
            </w:pPr>
            <w:r w:rsidRPr="006F4120">
              <w:rPr>
                <w:sz w:val="20"/>
                <w:lang w:val="fr-FR"/>
              </w:rPr>
              <w:t>Laisse essentiellement cette question au droit national des successions.</w:t>
            </w:r>
          </w:p>
        </w:tc>
      </w:tr>
      <w:tr w:rsidR="00A80AC5" w:rsidRPr="006F4120" w14:paraId="6DB40D4A" w14:textId="77777777" w:rsidTr="00545780">
        <w:tc>
          <w:tcPr>
            <w:tcW w:w="1917" w:type="dxa"/>
          </w:tcPr>
          <w:p w14:paraId="010C5658" w14:textId="77777777" w:rsidR="00A80AC5" w:rsidRPr="006F4120" w:rsidRDefault="00A80AC5" w:rsidP="00C02FC0">
            <w:pPr>
              <w:spacing w:before="60" w:after="220"/>
              <w:rPr>
                <w:sz w:val="20"/>
                <w:lang w:val="fr-FR"/>
              </w:rPr>
            </w:pPr>
            <w:r w:rsidRPr="006F4120">
              <w:rPr>
                <w:sz w:val="20"/>
                <w:lang w:val="fr-FR"/>
              </w:rPr>
              <w:t>Disposition relative au transfert du droit de suite des artistes par voie de succession (Mexique)</w:t>
            </w:r>
          </w:p>
        </w:tc>
        <w:tc>
          <w:tcPr>
            <w:tcW w:w="3686" w:type="dxa"/>
          </w:tcPr>
          <w:p w14:paraId="64BAF4B2" w14:textId="77777777" w:rsidR="00A80AC5" w:rsidRPr="006F4120" w:rsidRDefault="00A80AC5" w:rsidP="00C02FC0">
            <w:pPr>
              <w:pStyle w:val="Default"/>
              <w:spacing w:before="60"/>
              <w:jc w:val="both"/>
              <w:rPr>
                <w:i/>
                <w:iCs/>
                <w:color w:val="auto"/>
                <w:sz w:val="20"/>
                <w:szCs w:val="20"/>
              </w:rPr>
            </w:pPr>
            <w:r w:rsidRPr="006F4120">
              <w:rPr>
                <w:color w:val="auto"/>
                <w:sz w:val="20"/>
                <w:szCs w:val="20"/>
              </w:rPr>
              <w:t>Art. 92</w:t>
            </w:r>
            <w:r w:rsidRPr="006F4120">
              <w:rPr>
                <w:i/>
                <w:iCs/>
                <w:color w:val="auto"/>
                <w:sz w:val="20"/>
                <w:szCs w:val="20"/>
              </w:rPr>
              <w:t>bis</w:t>
            </w:r>
          </w:p>
          <w:p w14:paraId="734A3DD5" w14:textId="77777777" w:rsidR="00A80AC5" w:rsidRPr="006F4120" w:rsidRDefault="00A80AC5" w:rsidP="00C02FC0">
            <w:pPr>
              <w:pStyle w:val="Default"/>
              <w:spacing w:before="60"/>
              <w:jc w:val="both"/>
              <w:rPr>
                <w:i/>
                <w:iCs/>
                <w:color w:val="auto"/>
                <w:sz w:val="20"/>
                <w:szCs w:val="20"/>
              </w:rPr>
            </w:pPr>
            <w:r w:rsidRPr="006F4120">
              <w:rPr>
                <w:i/>
                <w:iCs/>
                <w:color w:val="auto"/>
                <w:sz w:val="20"/>
                <w:szCs w:val="20"/>
              </w:rPr>
              <w:t>..</w:t>
            </w:r>
          </w:p>
          <w:p w14:paraId="7AA6E0F2" w14:textId="7365E14A" w:rsidR="00A80AC5" w:rsidRPr="006F4120" w:rsidRDefault="00A80AC5" w:rsidP="00C02FC0">
            <w:pPr>
              <w:pStyle w:val="Default"/>
              <w:spacing w:before="60"/>
              <w:jc w:val="both"/>
              <w:rPr>
                <w:iCs/>
                <w:sz w:val="20"/>
              </w:rPr>
            </w:pPr>
            <w:r w:rsidRPr="006F4120">
              <w:rPr>
                <w:color w:val="auto"/>
                <w:sz w:val="20"/>
                <w:szCs w:val="20"/>
              </w:rPr>
              <w:t>II) Le droit établi dans le présent article est inaliénable, se transmet par voie de succession et s’éteint cent ans après la mort ou la déclaration de décès de l’auteur</w:t>
            </w:r>
            <w:r w:rsidRPr="006F4120">
              <w:rPr>
                <w:rStyle w:val="FootnoteReference"/>
                <w:color w:val="auto"/>
                <w:sz w:val="20"/>
                <w:szCs w:val="20"/>
              </w:rPr>
              <w:footnoteReference w:id="117"/>
            </w:r>
            <w:r w:rsidRPr="006F4120">
              <w:rPr>
                <w:color w:val="auto"/>
                <w:sz w:val="20"/>
                <w:szCs w:val="20"/>
              </w:rPr>
              <w:t>.</w:t>
            </w:r>
          </w:p>
        </w:tc>
        <w:tc>
          <w:tcPr>
            <w:tcW w:w="3469" w:type="dxa"/>
          </w:tcPr>
          <w:p w14:paraId="6F10AC6F" w14:textId="77777777" w:rsidR="00A80AC5" w:rsidRPr="006F4120" w:rsidRDefault="00A80AC5" w:rsidP="00C02FC0">
            <w:pPr>
              <w:numPr>
                <w:ilvl w:val="0"/>
                <w:numId w:val="42"/>
              </w:numPr>
              <w:spacing w:before="60" w:after="220"/>
              <w:rPr>
                <w:sz w:val="20"/>
                <w:lang w:val="fr-FR"/>
              </w:rPr>
            </w:pPr>
            <w:r w:rsidRPr="006F4120">
              <w:rPr>
                <w:sz w:val="20"/>
                <w:lang w:val="fr-FR"/>
              </w:rPr>
              <w:t>Prévoit que le droit de suite des artistes est inaliénable et qu’il se transmet uniquement en vertu des lois sur la succession.</w:t>
            </w:r>
          </w:p>
        </w:tc>
      </w:tr>
      <w:tr w:rsidR="00A80AC5" w:rsidRPr="006F4120" w14:paraId="56BB685F" w14:textId="77777777" w:rsidTr="00545780">
        <w:tc>
          <w:tcPr>
            <w:tcW w:w="1917" w:type="dxa"/>
          </w:tcPr>
          <w:p w14:paraId="2F6ED089" w14:textId="2FE27D73" w:rsidR="00A80AC5" w:rsidRPr="006F4120" w:rsidRDefault="00A80AC5" w:rsidP="00C02FC0">
            <w:pPr>
              <w:spacing w:before="60" w:after="220"/>
              <w:rPr>
                <w:sz w:val="20"/>
                <w:lang w:val="fr-FR"/>
              </w:rPr>
            </w:pPr>
            <w:r w:rsidRPr="006F4120">
              <w:rPr>
                <w:sz w:val="20"/>
                <w:lang w:val="fr-FR"/>
              </w:rPr>
              <w:lastRenderedPageBreak/>
              <w:t>Disposition plus détaillée (Royaume</w:t>
            </w:r>
            <w:r w:rsidR="00FA1A0F">
              <w:rPr>
                <w:sz w:val="20"/>
                <w:lang w:val="fr-FR"/>
              </w:rPr>
              <w:noBreakHyphen/>
            </w:r>
            <w:r w:rsidRPr="006F4120">
              <w:rPr>
                <w:sz w:val="20"/>
                <w:lang w:val="fr-FR"/>
              </w:rPr>
              <w:t>Uni)</w:t>
            </w:r>
          </w:p>
        </w:tc>
        <w:tc>
          <w:tcPr>
            <w:tcW w:w="3686" w:type="dxa"/>
          </w:tcPr>
          <w:p w14:paraId="4942ECF6" w14:textId="77777777" w:rsidR="00A80AC5" w:rsidRPr="006F4120" w:rsidRDefault="00A80AC5" w:rsidP="00BA2CF0">
            <w:pPr>
              <w:keepLines/>
              <w:spacing w:before="60" w:after="120"/>
              <w:rPr>
                <w:iCs/>
                <w:sz w:val="20"/>
                <w:lang w:val="fr-FR"/>
              </w:rPr>
            </w:pPr>
            <w:r w:rsidRPr="006F4120">
              <w:rPr>
                <w:iCs/>
                <w:sz w:val="20"/>
                <w:lang w:val="fr-FR"/>
              </w:rPr>
              <w:t xml:space="preserve">1) Le droit de suite relatif à une œuvre est transmissible comme bien meuble ou meuble par disposition testamentaire ou selon les règles de la succession </w:t>
            </w:r>
            <w:r w:rsidRPr="006F4120">
              <w:rPr>
                <w:i/>
                <w:iCs/>
                <w:sz w:val="20"/>
                <w:lang w:val="fr-FR"/>
              </w:rPr>
              <w:t>ab </w:t>
            </w:r>
            <w:proofErr w:type="gramStart"/>
            <w:r w:rsidRPr="006F4120">
              <w:rPr>
                <w:i/>
                <w:iCs/>
                <w:sz w:val="20"/>
                <w:lang w:val="fr-FR"/>
              </w:rPr>
              <w:t>intestat</w:t>
            </w:r>
            <w:r w:rsidRPr="006F4120">
              <w:rPr>
                <w:iCs/>
                <w:sz w:val="20"/>
                <w:lang w:val="fr-FR"/>
              </w:rPr>
              <w:t>;  et</w:t>
            </w:r>
            <w:proofErr w:type="gramEnd"/>
            <w:r w:rsidRPr="006F4120">
              <w:rPr>
                <w:iCs/>
                <w:sz w:val="20"/>
                <w:lang w:val="fr-FR"/>
              </w:rPr>
              <w:t xml:space="preserve"> il peut l’être également par toute personne entre les mains de laquelle il passe.</w:t>
            </w:r>
          </w:p>
          <w:p w14:paraId="2789875D" w14:textId="77777777" w:rsidR="00A80AC5" w:rsidRPr="006F4120" w:rsidRDefault="00A80AC5" w:rsidP="00BA2CF0">
            <w:pPr>
              <w:spacing w:before="60" w:after="120"/>
              <w:rPr>
                <w:iCs/>
                <w:sz w:val="20"/>
                <w:lang w:val="fr-FR"/>
              </w:rPr>
            </w:pPr>
            <w:r w:rsidRPr="006F4120">
              <w:rPr>
                <w:iCs/>
                <w:sz w:val="20"/>
                <w:lang w:val="fr-FR"/>
              </w:rPr>
              <w:t>2) Le droit de suite ne peut être ainsi transmis qu’à :</w:t>
            </w:r>
          </w:p>
          <w:p w14:paraId="621AC723" w14:textId="77777777" w:rsidR="00A80AC5" w:rsidRPr="006F4120" w:rsidRDefault="00A80AC5" w:rsidP="00BA2CF0">
            <w:pPr>
              <w:pStyle w:val="ListParagraph"/>
              <w:numPr>
                <w:ilvl w:val="1"/>
                <w:numId w:val="3"/>
              </w:numPr>
              <w:tabs>
                <w:tab w:val="clear" w:pos="1134"/>
                <w:tab w:val="left" w:pos="740"/>
              </w:tabs>
              <w:spacing w:before="60" w:after="120"/>
              <w:ind w:left="312"/>
              <w:contextualSpacing w:val="0"/>
              <w:jc w:val="left"/>
              <w:rPr>
                <w:iCs/>
                <w:sz w:val="20"/>
                <w:szCs w:val="20"/>
              </w:rPr>
            </w:pPr>
            <w:proofErr w:type="gramStart"/>
            <w:r w:rsidRPr="006F4120">
              <w:rPr>
                <w:iCs/>
                <w:sz w:val="20"/>
                <w:szCs w:val="20"/>
              </w:rPr>
              <w:t>une</w:t>
            </w:r>
            <w:proofErr w:type="gramEnd"/>
            <w:r w:rsidRPr="006F4120">
              <w:rPr>
                <w:iCs/>
                <w:sz w:val="20"/>
                <w:szCs w:val="20"/>
              </w:rPr>
              <w:t xml:space="preserve"> personne physique;  ou</w:t>
            </w:r>
          </w:p>
          <w:p w14:paraId="38566714" w14:textId="77777777" w:rsidR="00A80AC5" w:rsidRPr="006F4120" w:rsidRDefault="00A80AC5" w:rsidP="00BA2CF0">
            <w:pPr>
              <w:pStyle w:val="ListParagraph"/>
              <w:numPr>
                <w:ilvl w:val="1"/>
                <w:numId w:val="3"/>
              </w:numPr>
              <w:tabs>
                <w:tab w:val="clear" w:pos="1134"/>
                <w:tab w:val="left" w:pos="740"/>
              </w:tabs>
              <w:spacing w:before="60" w:after="120"/>
              <w:ind w:left="312"/>
              <w:contextualSpacing w:val="0"/>
              <w:jc w:val="left"/>
              <w:rPr>
                <w:iCs/>
                <w:sz w:val="20"/>
                <w:szCs w:val="20"/>
              </w:rPr>
            </w:pPr>
            <w:proofErr w:type="gramStart"/>
            <w:r w:rsidRPr="006F4120">
              <w:rPr>
                <w:iCs/>
                <w:sz w:val="20"/>
                <w:szCs w:val="20"/>
              </w:rPr>
              <w:t>un</w:t>
            </w:r>
            <w:proofErr w:type="gramEnd"/>
            <w:r w:rsidRPr="006F4120">
              <w:rPr>
                <w:iCs/>
                <w:sz w:val="20"/>
                <w:szCs w:val="20"/>
              </w:rPr>
              <w:t xml:space="preserve"> organisme de bienfaisance reconnu ou un autre organisme culturel public tel que prévu par la présente loi.</w:t>
            </w:r>
          </w:p>
          <w:p w14:paraId="65BD2A2D" w14:textId="77777777" w:rsidR="00A80AC5" w:rsidRPr="006F4120" w:rsidRDefault="00A80AC5" w:rsidP="00C02FC0">
            <w:pPr>
              <w:spacing w:before="60" w:after="220"/>
              <w:rPr>
                <w:iCs/>
                <w:sz w:val="20"/>
                <w:lang w:val="fr-FR"/>
              </w:rPr>
            </w:pPr>
            <w:r w:rsidRPr="006F4120">
              <w:rPr>
                <w:iCs/>
                <w:sz w:val="20"/>
                <w:lang w:val="fr-FR"/>
              </w:rPr>
              <w:t>4) Lorsque le droit de suite est transmis à plusieurs personnes, il leur appartient en tant que copropriétaires</w:t>
            </w:r>
            <w:r w:rsidRPr="006F4120">
              <w:rPr>
                <w:iCs/>
                <w:sz w:val="20"/>
                <w:vertAlign w:val="superscript"/>
                <w:lang w:val="fr-FR"/>
              </w:rPr>
              <w:footnoteReference w:id="118"/>
            </w:r>
            <w:r w:rsidRPr="006F4120">
              <w:rPr>
                <w:iCs/>
                <w:sz w:val="20"/>
                <w:lang w:val="fr-FR"/>
              </w:rPr>
              <w:t>.</w:t>
            </w:r>
          </w:p>
        </w:tc>
        <w:tc>
          <w:tcPr>
            <w:tcW w:w="3469" w:type="dxa"/>
          </w:tcPr>
          <w:p w14:paraId="2507FE3B" w14:textId="77777777" w:rsidR="00A80AC5" w:rsidRPr="006F4120" w:rsidRDefault="00A80AC5" w:rsidP="00BA2CF0">
            <w:pPr>
              <w:numPr>
                <w:ilvl w:val="0"/>
                <w:numId w:val="42"/>
              </w:numPr>
              <w:spacing w:before="60" w:after="60"/>
              <w:rPr>
                <w:sz w:val="20"/>
                <w:lang w:val="fr-FR"/>
              </w:rPr>
            </w:pPr>
            <w:r w:rsidRPr="006F4120">
              <w:rPr>
                <w:sz w:val="20"/>
                <w:lang w:val="fr-FR"/>
              </w:rPr>
              <w:t xml:space="preserve">Le droit de suite des artistes est un droit patrimonial transmissible par testament ou </w:t>
            </w:r>
            <w:r w:rsidRPr="006F4120">
              <w:rPr>
                <w:i/>
                <w:iCs/>
                <w:sz w:val="20"/>
                <w:lang w:val="fr-FR"/>
              </w:rPr>
              <w:t>ab intestat</w:t>
            </w:r>
            <w:r w:rsidRPr="006F4120">
              <w:rPr>
                <w:sz w:val="20"/>
                <w:lang w:val="fr-FR"/>
              </w:rPr>
              <w:t xml:space="preserve"> au même titre que les autres droits patrimoniaux.</w:t>
            </w:r>
          </w:p>
          <w:p w14:paraId="3EB0D6E7" w14:textId="77777777" w:rsidR="00A80AC5" w:rsidRPr="006F4120" w:rsidRDefault="00A80AC5" w:rsidP="00BA2CF0">
            <w:pPr>
              <w:numPr>
                <w:ilvl w:val="0"/>
                <w:numId w:val="42"/>
              </w:numPr>
              <w:spacing w:before="60" w:after="60"/>
              <w:rPr>
                <w:sz w:val="20"/>
                <w:lang w:val="fr-FR"/>
              </w:rPr>
            </w:pPr>
            <w:r w:rsidRPr="006F4120">
              <w:rPr>
                <w:sz w:val="20"/>
                <w:lang w:val="fr-FR"/>
              </w:rPr>
              <w:t>Un point important pour les auteurs est qu’ils doivent veiller à prendre des dispositions spécifiques concernant les personnes à qui leur droit de suite des artistes sera transmis à leur décès et s’ils souhaitent qu’il soit transmis d’une manière différente de celle de leurs autres biens personnels et immobiliers.</w:t>
            </w:r>
          </w:p>
          <w:p w14:paraId="213141F9" w14:textId="7B1CE9CC" w:rsidR="00A80AC5" w:rsidRPr="006F4120" w:rsidRDefault="00A80AC5" w:rsidP="00BA2CF0">
            <w:pPr>
              <w:numPr>
                <w:ilvl w:val="0"/>
                <w:numId w:val="42"/>
              </w:numPr>
              <w:spacing w:before="60" w:after="60"/>
              <w:rPr>
                <w:sz w:val="20"/>
                <w:lang w:val="fr-FR"/>
              </w:rPr>
            </w:pPr>
            <w:r w:rsidRPr="006F4120">
              <w:rPr>
                <w:sz w:val="20"/>
                <w:lang w:val="fr-FR"/>
              </w:rPr>
              <w:t xml:space="preserve">Il est prévu ici qu’une telle transmission soit faite à un organisme de bienfaisance ou à une autre institution publique – d’où la nécessité d’indiquer que l’ayant </w:t>
            </w:r>
            <w:proofErr w:type="spellStart"/>
            <w:r w:rsidRPr="006F4120">
              <w:rPr>
                <w:sz w:val="20"/>
                <w:lang w:val="fr-FR"/>
              </w:rPr>
              <w:t>cause</w:t>
            </w:r>
            <w:proofErr w:type="spellEnd"/>
            <w:r w:rsidRPr="006F4120">
              <w:rPr>
                <w:sz w:val="20"/>
                <w:lang w:val="fr-FR"/>
              </w:rPr>
              <w:t xml:space="preserve"> </w:t>
            </w:r>
            <w:proofErr w:type="gramStart"/>
            <w:r w:rsidRPr="006F4120">
              <w:rPr>
                <w:sz w:val="20"/>
                <w:lang w:val="fr-FR"/>
              </w:rPr>
              <w:t>peut</w:t>
            </w:r>
            <w:proofErr w:type="gramEnd"/>
            <w:r w:rsidR="00FA1A0F">
              <w:rPr>
                <w:sz w:val="20"/>
                <w:lang w:val="fr-FR"/>
              </w:rPr>
              <w:noBreakHyphen/>
            </w:r>
            <w:r w:rsidRPr="006F4120">
              <w:rPr>
                <w:sz w:val="20"/>
                <w:lang w:val="fr-FR"/>
              </w:rPr>
              <w:t>être une personne morale.</w:t>
            </w:r>
          </w:p>
          <w:p w14:paraId="79BCB011" w14:textId="1FFC65BE" w:rsidR="00A80AC5" w:rsidRPr="006F4120" w:rsidRDefault="00A80AC5" w:rsidP="00BA2CF0">
            <w:pPr>
              <w:keepLines/>
              <w:numPr>
                <w:ilvl w:val="0"/>
                <w:numId w:val="42"/>
              </w:numPr>
              <w:spacing w:before="60" w:after="60"/>
              <w:rPr>
                <w:sz w:val="20"/>
                <w:lang w:val="fr-FR"/>
              </w:rPr>
            </w:pPr>
            <w:r w:rsidRPr="006F4120">
              <w:rPr>
                <w:sz w:val="20"/>
                <w:lang w:val="fr-FR"/>
              </w:rPr>
              <w:t>Lorsque le droit de suite des artistes est transmis à plus d’une personne, elles doivent le détenir à parts égales, c’est</w:t>
            </w:r>
            <w:r w:rsidR="00FA1A0F">
              <w:rPr>
                <w:sz w:val="20"/>
                <w:lang w:val="fr-FR"/>
              </w:rPr>
              <w:noBreakHyphen/>
            </w:r>
            <w:r w:rsidRPr="006F4120">
              <w:rPr>
                <w:sz w:val="20"/>
                <w:lang w:val="fr-FR"/>
              </w:rPr>
              <w:t>à</w:t>
            </w:r>
            <w:r w:rsidR="00FA1A0F">
              <w:rPr>
                <w:sz w:val="20"/>
                <w:lang w:val="fr-FR"/>
              </w:rPr>
              <w:noBreakHyphen/>
            </w:r>
            <w:r w:rsidRPr="006F4120">
              <w:rPr>
                <w:sz w:val="20"/>
                <w:lang w:val="fr-FR"/>
              </w:rPr>
              <w:t>dire en tant que copropriétaires qui peuvent ensuite transmettre cette part à d’autres personnes conformément à la présente loi (et non en tant que copropriétaires avec droit de survie).</w:t>
            </w:r>
          </w:p>
        </w:tc>
      </w:tr>
      <w:tr w:rsidR="00A80AC5" w:rsidRPr="006F4120" w14:paraId="0507A97C" w14:textId="77777777" w:rsidTr="00545780">
        <w:trPr>
          <w:trHeight w:val="6998"/>
        </w:trPr>
        <w:tc>
          <w:tcPr>
            <w:tcW w:w="1917" w:type="dxa"/>
          </w:tcPr>
          <w:p w14:paraId="6E9FE970" w14:textId="663C3371" w:rsidR="00A80AC5" w:rsidRPr="006F4120" w:rsidRDefault="00A80AC5" w:rsidP="00BA2CF0">
            <w:pPr>
              <w:spacing w:before="60" w:after="220"/>
              <w:rPr>
                <w:sz w:val="20"/>
                <w:lang w:val="fr-FR"/>
              </w:rPr>
            </w:pPr>
            <w:r w:rsidRPr="006F4120">
              <w:rPr>
                <w:sz w:val="20"/>
                <w:lang w:val="fr-FR"/>
              </w:rPr>
              <w:lastRenderedPageBreak/>
              <w:t>Autre disposition plus détaillée (Nouvelle</w:t>
            </w:r>
            <w:r w:rsidR="00FA1A0F">
              <w:rPr>
                <w:sz w:val="20"/>
                <w:lang w:val="fr-FR"/>
              </w:rPr>
              <w:noBreakHyphen/>
            </w:r>
            <w:r w:rsidRPr="006F4120">
              <w:rPr>
                <w:sz w:val="20"/>
                <w:lang w:val="fr-FR"/>
              </w:rPr>
              <w:t>Zélande)</w:t>
            </w:r>
          </w:p>
        </w:tc>
        <w:tc>
          <w:tcPr>
            <w:tcW w:w="3686" w:type="dxa"/>
          </w:tcPr>
          <w:p w14:paraId="07CB613B" w14:textId="77777777" w:rsidR="00A80AC5" w:rsidRPr="006F4120" w:rsidRDefault="00A80AC5" w:rsidP="00BA2CF0">
            <w:pPr>
              <w:autoSpaceDE w:val="0"/>
              <w:autoSpaceDN w:val="0"/>
              <w:adjustRightInd w:val="0"/>
              <w:spacing w:before="60"/>
              <w:rPr>
                <w:rFonts w:eastAsia="Times New Roman"/>
                <w:b/>
                <w:bCs/>
                <w:sz w:val="20"/>
                <w:lang w:val="fr-FR" w:eastAsia="fr-CH"/>
              </w:rPr>
            </w:pPr>
            <w:r w:rsidRPr="006F4120">
              <w:rPr>
                <w:rFonts w:eastAsia="Times New Roman"/>
                <w:b/>
                <w:bCs/>
                <w:sz w:val="20"/>
                <w:lang w:val="fr-FR" w:eastAsia="fr-CH"/>
              </w:rPr>
              <w:t>14 Qui est titulaire du droit après le décès de l’artiste</w:t>
            </w:r>
          </w:p>
          <w:p w14:paraId="205DCB82"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1) Cet article détermine qui est titulaire du droit de suite d’un artiste après sa mort.</w:t>
            </w:r>
          </w:p>
          <w:p w14:paraId="4955011C"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 xml:space="preserve">2) Le droit de suite qui naît d’une revente remplissant les conditions requises est détenu par l’ayant droit du droit de suite, mais seulement si, au moment où le contrat de revente remplissant les conditions requises est conclu, – a) l’ayant droit détient ce </w:t>
            </w:r>
            <w:proofErr w:type="gramStart"/>
            <w:r w:rsidRPr="006F4120">
              <w:rPr>
                <w:rFonts w:eastAsia="Times New Roman"/>
                <w:sz w:val="20"/>
                <w:lang w:val="fr-FR" w:eastAsia="fr-CH"/>
              </w:rPr>
              <w:t>droit;  et</w:t>
            </w:r>
            <w:proofErr w:type="gramEnd"/>
            <w:r w:rsidRPr="006F4120">
              <w:rPr>
                <w:rFonts w:eastAsia="Times New Roman"/>
                <w:sz w:val="20"/>
                <w:lang w:val="fr-FR" w:eastAsia="fr-CH"/>
              </w:rPr>
              <w:t xml:space="preserve"> b) l’ayant droit, –</w:t>
            </w:r>
          </w:p>
          <w:p w14:paraId="5D186291"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i) dans le cas d’une personne physique, est</w:t>
            </w:r>
            <w:r>
              <w:rPr>
                <w:rFonts w:eastAsia="Times New Roman"/>
                <w:sz w:val="20"/>
                <w:lang w:val="fr-FR" w:eastAsia="fr-CH"/>
              </w:rPr>
              <w:t>…</w:t>
            </w:r>
          </w:p>
          <w:p w14:paraId="0B8A34E3" w14:textId="2A05312B"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A) un citoyen néo</w:t>
            </w:r>
            <w:r w:rsidR="00FA1A0F">
              <w:rPr>
                <w:rFonts w:eastAsia="Times New Roman"/>
                <w:sz w:val="20"/>
                <w:lang w:val="fr-FR" w:eastAsia="fr-CH"/>
              </w:rPr>
              <w:noBreakHyphen/>
            </w:r>
            <w:proofErr w:type="gramStart"/>
            <w:r w:rsidRPr="006F4120">
              <w:rPr>
                <w:rFonts w:eastAsia="Times New Roman"/>
                <w:sz w:val="20"/>
                <w:lang w:val="fr-FR" w:eastAsia="fr-CH"/>
              </w:rPr>
              <w:t>zélandais;  ou</w:t>
            </w:r>
            <w:proofErr w:type="gramEnd"/>
          </w:p>
          <w:p w14:paraId="501BA4A2" w14:textId="2BF9ECCA"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B) domicilié ou résident en Nouvelle</w:t>
            </w:r>
            <w:r w:rsidR="00FA1A0F">
              <w:rPr>
                <w:rFonts w:eastAsia="Times New Roman"/>
                <w:sz w:val="20"/>
                <w:lang w:val="fr-FR" w:eastAsia="fr-CH"/>
              </w:rPr>
              <w:noBreakHyphen/>
            </w:r>
            <w:proofErr w:type="gramStart"/>
            <w:r w:rsidRPr="006F4120">
              <w:rPr>
                <w:rFonts w:eastAsia="Times New Roman"/>
                <w:sz w:val="20"/>
                <w:lang w:val="fr-FR" w:eastAsia="fr-CH"/>
              </w:rPr>
              <w:t>Zélande;  ou</w:t>
            </w:r>
            <w:proofErr w:type="gramEnd"/>
          </w:p>
          <w:p w14:paraId="4F87AF38"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 xml:space="preserve">C) un citoyen ou un ressortissant d’un pays appliquant le principe de réciprocité, ou domicilié ou résidant dans un tel </w:t>
            </w:r>
            <w:proofErr w:type="gramStart"/>
            <w:r w:rsidRPr="006F4120">
              <w:rPr>
                <w:rFonts w:eastAsia="Times New Roman"/>
                <w:sz w:val="20"/>
                <w:lang w:val="fr-FR" w:eastAsia="fr-CH"/>
              </w:rPr>
              <w:t>pays;</w:t>
            </w:r>
            <w:proofErr w:type="gramEnd"/>
          </w:p>
          <w:p w14:paraId="2359E56A" w14:textId="7B4953FC"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ii) dans le cas d’une personne morale, est constituée, enregistrée ou exerce une activité commerciale en Nouvelle</w:t>
            </w:r>
            <w:r w:rsidR="00FA1A0F">
              <w:rPr>
                <w:rFonts w:eastAsia="Times New Roman"/>
                <w:sz w:val="20"/>
                <w:lang w:val="fr-FR" w:eastAsia="fr-CH"/>
              </w:rPr>
              <w:noBreakHyphen/>
            </w:r>
            <w:r w:rsidRPr="006F4120">
              <w:rPr>
                <w:rFonts w:eastAsia="Times New Roman"/>
                <w:sz w:val="20"/>
                <w:lang w:val="fr-FR" w:eastAsia="fr-CH"/>
              </w:rPr>
              <w:t>Zélande ou dans un pays appliquant le principe de réciprocité.</w:t>
            </w:r>
          </w:p>
          <w:p w14:paraId="4AC2E6D4"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3) Un ayant droit peut transférer le droit de suite à une autre personne, en tant que bien meuble, par</w:t>
            </w:r>
            <w:r>
              <w:rPr>
                <w:rFonts w:eastAsia="Times New Roman"/>
                <w:sz w:val="20"/>
                <w:lang w:val="fr-FR" w:eastAsia="fr-CH"/>
              </w:rPr>
              <w:t>…</w:t>
            </w:r>
          </w:p>
          <w:p w14:paraId="321E2C42"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 xml:space="preserve">a) </w:t>
            </w:r>
            <w:proofErr w:type="gramStart"/>
            <w:r w:rsidRPr="006F4120">
              <w:rPr>
                <w:rFonts w:eastAsia="Times New Roman"/>
                <w:sz w:val="20"/>
                <w:lang w:val="fr-FR" w:eastAsia="fr-CH"/>
              </w:rPr>
              <w:t>cession;  ou</w:t>
            </w:r>
            <w:proofErr w:type="gramEnd"/>
          </w:p>
          <w:p w14:paraId="4A94A044"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 xml:space="preserve">b) disposition </w:t>
            </w:r>
            <w:proofErr w:type="gramStart"/>
            <w:r w:rsidRPr="006F4120">
              <w:rPr>
                <w:rFonts w:eastAsia="Times New Roman"/>
                <w:sz w:val="20"/>
                <w:lang w:val="fr-FR" w:eastAsia="fr-CH"/>
              </w:rPr>
              <w:t>testamentaire;  ou</w:t>
            </w:r>
            <w:proofErr w:type="gramEnd"/>
          </w:p>
          <w:p w14:paraId="42D524B3"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c) l’effet de la loi.</w:t>
            </w:r>
          </w:p>
          <w:p w14:paraId="05EDB242"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4) Si deux ayants droit ou plus détiennent un droit de suite après le décès de l’artiste, chaque ayant droit détient la part du droit dont il a hérité ou qui lui a été cédée.</w:t>
            </w:r>
          </w:p>
          <w:p w14:paraId="0ADC4F8B"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5) Dans le présent article, le terme “ayant droit” désigne, en ce qui concerne le droit de suite d’un artiste : –</w:t>
            </w:r>
          </w:p>
          <w:p w14:paraId="40E43880"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 xml:space="preserve">a) la personne qui a hérité du droit de suite en vertu d’un testament ou dans le cadre de la succession de </w:t>
            </w:r>
            <w:proofErr w:type="gramStart"/>
            <w:r w:rsidRPr="006F4120">
              <w:rPr>
                <w:rFonts w:eastAsia="Times New Roman"/>
                <w:sz w:val="20"/>
                <w:lang w:val="fr-FR" w:eastAsia="fr-CH"/>
              </w:rPr>
              <w:t>l’artiste;  ou</w:t>
            </w:r>
            <w:proofErr w:type="gramEnd"/>
          </w:p>
          <w:p w14:paraId="0E585866" w14:textId="77777777" w:rsidR="00A80AC5" w:rsidRPr="006F4120" w:rsidRDefault="00A80AC5" w:rsidP="00BA2CF0">
            <w:pPr>
              <w:spacing w:after="220"/>
              <w:rPr>
                <w:i/>
                <w:iCs/>
                <w:sz w:val="20"/>
                <w:lang w:val="fr-FR"/>
              </w:rPr>
            </w:pPr>
            <w:r w:rsidRPr="006F4120">
              <w:rPr>
                <w:rFonts w:eastAsia="Times New Roman"/>
                <w:sz w:val="20"/>
                <w:lang w:val="fr-FR" w:eastAsia="fr-CH"/>
              </w:rPr>
              <w:t>b) la personne qui détient le droit de suite après une ou plusieurs cessions de ce droit en vertu de l’alinéa 3</w:t>
            </w:r>
            <w:r w:rsidRPr="006F4120">
              <w:rPr>
                <w:sz w:val="20"/>
                <w:lang w:val="fr-FR" w:eastAsia="fr-CH"/>
              </w:rPr>
              <w:t>)</w:t>
            </w:r>
            <w:r w:rsidRPr="006F4120">
              <w:rPr>
                <w:rStyle w:val="FootnoteReference"/>
                <w:sz w:val="20"/>
                <w:lang w:val="fr-FR"/>
              </w:rPr>
              <w:footnoteReference w:id="119"/>
            </w:r>
            <w:r w:rsidRPr="006F4120">
              <w:rPr>
                <w:sz w:val="20"/>
                <w:lang w:val="fr-FR" w:eastAsia="fr-CH"/>
              </w:rPr>
              <w:t>.</w:t>
            </w:r>
          </w:p>
        </w:tc>
        <w:tc>
          <w:tcPr>
            <w:tcW w:w="3469" w:type="dxa"/>
          </w:tcPr>
          <w:p w14:paraId="6E4408FC" w14:textId="77777777" w:rsidR="00A80AC5" w:rsidRPr="006F4120" w:rsidRDefault="00A80AC5" w:rsidP="00BA2CF0">
            <w:pPr>
              <w:pStyle w:val="ListParagraph"/>
              <w:numPr>
                <w:ilvl w:val="0"/>
                <w:numId w:val="56"/>
              </w:numPr>
              <w:autoSpaceDE w:val="0"/>
              <w:autoSpaceDN w:val="0"/>
              <w:adjustRightInd w:val="0"/>
              <w:spacing w:before="60" w:after="60"/>
              <w:jc w:val="left"/>
              <w:rPr>
                <w:sz w:val="20"/>
                <w:szCs w:val="20"/>
              </w:rPr>
            </w:pPr>
            <w:r w:rsidRPr="006F4120">
              <w:rPr>
                <w:rFonts w:cs="Arial"/>
                <w:sz w:val="20"/>
                <w:szCs w:val="20"/>
              </w:rPr>
              <w:t>Fournit un guide clair, étape par étape, sur la manière dont le droit de suite des artistes doit être géré après le décès de l’artiste ou des artistes (dans le cas d’œuvres de collaboration)</w:t>
            </w:r>
          </w:p>
          <w:p w14:paraId="431993C6" w14:textId="77777777" w:rsidR="00A80AC5" w:rsidRPr="006F4120" w:rsidRDefault="00A80AC5" w:rsidP="00BA2CF0">
            <w:pPr>
              <w:pStyle w:val="ListParagraph"/>
              <w:numPr>
                <w:ilvl w:val="0"/>
                <w:numId w:val="56"/>
              </w:numPr>
              <w:autoSpaceDE w:val="0"/>
              <w:autoSpaceDN w:val="0"/>
              <w:adjustRightInd w:val="0"/>
              <w:spacing w:before="60" w:after="60"/>
              <w:jc w:val="left"/>
              <w:rPr>
                <w:sz w:val="20"/>
                <w:szCs w:val="20"/>
              </w:rPr>
            </w:pPr>
            <w:r w:rsidRPr="006F4120">
              <w:rPr>
                <w:sz w:val="20"/>
                <w:szCs w:val="20"/>
              </w:rPr>
              <w:t>Fixe les conditions à remplir par les ayants droit</w:t>
            </w:r>
          </w:p>
          <w:p w14:paraId="4746DFE2" w14:textId="77777777" w:rsidR="00A80AC5" w:rsidRPr="006F4120" w:rsidRDefault="00A80AC5" w:rsidP="00BA2CF0">
            <w:pPr>
              <w:numPr>
                <w:ilvl w:val="0"/>
                <w:numId w:val="44"/>
              </w:numPr>
              <w:spacing w:before="60" w:after="60"/>
              <w:rPr>
                <w:sz w:val="20"/>
                <w:lang w:val="fr-FR"/>
              </w:rPr>
            </w:pPr>
            <w:r w:rsidRPr="006F4120">
              <w:rPr>
                <w:sz w:val="20"/>
                <w:lang w:val="fr-FR"/>
              </w:rPr>
              <w:t>Permet aux ayants droit de transmettre le droit de suite des artistes à leur tour</w:t>
            </w:r>
          </w:p>
        </w:tc>
      </w:tr>
      <w:tr w:rsidR="00A80AC5" w:rsidRPr="006F4120" w14:paraId="658A770D" w14:textId="77777777" w:rsidTr="00BA2CF0">
        <w:trPr>
          <w:trHeight w:val="6572"/>
        </w:trPr>
        <w:tc>
          <w:tcPr>
            <w:tcW w:w="1917" w:type="dxa"/>
          </w:tcPr>
          <w:p w14:paraId="11FDBF5C" w14:textId="77777777" w:rsidR="00A80AC5" w:rsidRPr="006F4120" w:rsidRDefault="00A80AC5" w:rsidP="00BA2CF0">
            <w:pPr>
              <w:spacing w:before="60" w:after="220"/>
              <w:rPr>
                <w:sz w:val="20"/>
                <w:lang w:val="fr-FR"/>
              </w:rPr>
            </w:pPr>
            <w:r w:rsidRPr="006F4120">
              <w:rPr>
                <w:sz w:val="20"/>
                <w:lang w:val="fr-FR"/>
              </w:rPr>
              <w:lastRenderedPageBreak/>
              <w:t>Disposition encore plus détaillée (Australie)</w:t>
            </w:r>
          </w:p>
        </w:tc>
        <w:tc>
          <w:tcPr>
            <w:tcW w:w="3686" w:type="dxa"/>
          </w:tcPr>
          <w:p w14:paraId="4EA2E092" w14:textId="77777777" w:rsidR="00A80AC5" w:rsidRPr="006F4120" w:rsidRDefault="00A80AC5" w:rsidP="00BA2CF0">
            <w:pPr>
              <w:spacing w:before="60" w:after="120"/>
              <w:rPr>
                <w:b/>
                <w:bCs/>
                <w:sz w:val="20"/>
                <w:lang w:val="fr-FR"/>
              </w:rPr>
            </w:pPr>
            <w:r w:rsidRPr="006F4120">
              <w:rPr>
                <w:b/>
                <w:bCs/>
                <w:sz w:val="20"/>
                <w:lang w:val="fr-FR"/>
              </w:rPr>
              <w:t xml:space="preserve">12 Qui détient le droit de </w:t>
            </w:r>
            <w:proofErr w:type="gramStart"/>
            <w:r w:rsidRPr="006F4120">
              <w:rPr>
                <w:b/>
                <w:bCs/>
                <w:sz w:val="20"/>
                <w:lang w:val="fr-FR"/>
              </w:rPr>
              <w:t>suite?</w:t>
            </w:r>
            <w:proofErr w:type="gramEnd"/>
          </w:p>
          <w:p w14:paraId="598E2B10" w14:textId="77777777" w:rsidR="00A80AC5" w:rsidRPr="006F4120" w:rsidRDefault="00A80AC5" w:rsidP="00BA2CF0">
            <w:pPr>
              <w:spacing w:after="120"/>
              <w:rPr>
                <w:sz w:val="20"/>
                <w:lang w:val="fr-FR"/>
              </w:rPr>
            </w:pPr>
            <w:r w:rsidRPr="006F4120">
              <w:rPr>
                <w:sz w:val="20"/>
                <w:lang w:val="fr-FR"/>
              </w:rPr>
              <w:t>…</w:t>
            </w:r>
          </w:p>
          <w:p w14:paraId="3E16DF7A" w14:textId="77777777" w:rsidR="00A80AC5" w:rsidRPr="006F4120" w:rsidRDefault="00A80AC5" w:rsidP="00BA2CF0">
            <w:pPr>
              <w:spacing w:after="120"/>
              <w:rPr>
                <w:i/>
                <w:sz w:val="20"/>
                <w:lang w:val="fr-FR"/>
              </w:rPr>
            </w:pPr>
            <w:r w:rsidRPr="006F4120">
              <w:rPr>
                <w:i/>
                <w:iCs/>
                <w:sz w:val="20"/>
                <w:lang w:val="fr-FR"/>
              </w:rPr>
              <w:t>Œuvre créée par un seul artiste qui n’est plus en vie</w:t>
            </w:r>
          </w:p>
          <w:p w14:paraId="0E881CEC" w14:textId="77777777" w:rsidR="00A80AC5" w:rsidRPr="006F4120" w:rsidRDefault="00A80AC5" w:rsidP="00BA2CF0">
            <w:pPr>
              <w:spacing w:after="60"/>
              <w:rPr>
                <w:iCs/>
                <w:sz w:val="20"/>
                <w:lang w:val="fr-FR"/>
              </w:rPr>
            </w:pPr>
            <w:r w:rsidRPr="006F4120">
              <w:rPr>
                <w:iCs/>
                <w:sz w:val="20"/>
                <w:lang w:val="fr-FR"/>
              </w:rPr>
              <w:t>2) Si une œuvre d’art a été créée par un seul artiste identifié mais qui n’est plus en vie au moment de la revente commerciale de l’œuvre et qui a satisfait au critère de résidence immédiatement avant son décès, le droit de suite sur la revente commerciale est tenu par :</w:t>
            </w:r>
          </w:p>
          <w:p w14:paraId="16CA35CC" w14:textId="77777777" w:rsidR="00A80AC5" w:rsidRPr="006F4120" w:rsidRDefault="00A80AC5" w:rsidP="00BA2CF0">
            <w:pPr>
              <w:pStyle w:val="ListParagraph"/>
              <w:numPr>
                <w:ilvl w:val="1"/>
                <w:numId w:val="22"/>
              </w:numPr>
              <w:tabs>
                <w:tab w:val="clear" w:pos="1134"/>
                <w:tab w:val="num" w:pos="740"/>
              </w:tabs>
              <w:spacing w:before="0" w:after="120"/>
              <w:ind w:left="312"/>
              <w:contextualSpacing w:val="0"/>
              <w:jc w:val="left"/>
              <w:rPr>
                <w:iCs/>
                <w:sz w:val="20"/>
                <w:szCs w:val="20"/>
              </w:rPr>
            </w:pPr>
            <w:proofErr w:type="gramStart"/>
            <w:r w:rsidRPr="006F4120">
              <w:rPr>
                <w:iCs/>
                <w:sz w:val="20"/>
                <w:szCs w:val="20"/>
              </w:rPr>
              <w:t>s’il</w:t>
            </w:r>
            <w:proofErr w:type="gramEnd"/>
            <w:r w:rsidRPr="006F4120">
              <w:rPr>
                <w:iCs/>
                <w:sz w:val="20"/>
                <w:szCs w:val="20"/>
              </w:rPr>
              <w:t xml:space="preserve"> n’y a qu’un seul ayant cause du droit – cette entité, à condition que l’entité satisfasse au critère de résidence au moment de la revente commerciale et au critère de succession;  et</w:t>
            </w:r>
          </w:p>
          <w:p w14:paraId="667E7F17" w14:textId="77777777" w:rsidR="00A80AC5" w:rsidRPr="006F4120" w:rsidRDefault="00A80AC5" w:rsidP="00BA2CF0">
            <w:pPr>
              <w:pStyle w:val="ListParagraph"/>
              <w:numPr>
                <w:ilvl w:val="1"/>
                <w:numId w:val="22"/>
              </w:numPr>
              <w:tabs>
                <w:tab w:val="clear" w:pos="1134"/>
                <w:tab w:val="num" w:pos="740"/>
              </w:tabs>
              <w:spacing w:before="0" w:after="120"/>
              <w:ind w:left="312"/>
              <w:contextualSpacing w:val="0"/>
              <w:jc w:val="left"/>
              <w:rPr>
                <w:iCs/>
                <w:sz w:val="20"/>
                <w:szCs w:val="20"/>
              </w:rPr>
            </w:pPr>
            <w:proofErr w:type="gramStart"/>
            <w:r w:rsidRPr="006F4120">
              <w:rPr>
                <w:iCs/>
                <w:sz w:val="20"/>
                <w:szCs w:val="20"/>
              </w:rPr>
              <w:t>s’il</w:t>
            </w:r>
            <w:proofErr w:type="gramEnd"/>
            <w:r w:rsidRPr="006F4120">
              <w:rPr>
                <w:iCs/>
                <w:sz w:val="20"/>
                <w:szCs w:val="20"/>
              </w:rPr>
              <w:t xml:space="preserve"> y a plus d’un ayant cause du droit – chacune de ces entités qui satisfait au critère de résidence au moment de la revente commerciale et au critère de succession.</w:t>
            </w:r>
          </w:p>
          <w:p w14:paraId="1DDE8719" w14:textId="77777777" w:rsidR="00A80AC5" w:rsidRPr="006F4120" w:rsidRDefault="00A80AC5" w:rsidP="00BA2CF0">
            <w:pPr>
              <w:spacing w:after="120"/>
              <w:rPr>
                <w:iCs/>
                <w:sz w:val="20"/>
                <w:lang w:val="fr-FR"/>
              </w:rPr>
            </w:pPr>
            <w:r w:rsidRPr="006F4120">
              <w:rPr>
                <w:iCs/>
                <w:sz w:val="20"/>
                <w:lang w:val="fr-FR"/>
              </w:rPr>
              <w:t>….</w:t>
            </w:r>
          </w:p>
          <w:p w14:paraId="7CF19994" w14:textId="77777777" w:rsidR="00A80AC5" w:rsidRPr="006F4120" w:rsidRDefault="00A80AC5" w:rsidP="00BA2CF0">
            <w:pPr>
              <w:keepNext/>
              <w:keepLines/>
              <w:spacing w:after="120"/>
              <w:rPr>
                <w:i/>
                <w:sz w:val="20"/>
                <w:lang w:val="fr-FR"/>
              </w:rPr>
            </w:pPr>
            <w:r w:rsidRPr="006F4120">
              <w:rPr>
                <w:i/>
                <w:iCs/>
                <w:sz w:val="20"/>
                <w:lang w:val="fr-FR"/>
              </w:rPr>
              <w:t>Œuvre créée par plus d’un artiste</w:t>
            </w:r>
          </w:p>
          <w:p w14:paraId="5B9DB840" w14:textId="77777777" w:rsidR="00A80AC5" w:rsidRPr="006F4120" w:rsidRDefault="00A80AC5" w:rsidP="00BA2CF0">
            <w:pPr>
              <w:keepNext/>
              <w:keepLines/>
              <w:spacing w:after="120"/>
              <w:rPr>
                <w:iCs/>
                <w:sz w:val="20"/>
                <w:lang w:val="fr-FR"/>
              </w:rPr>
            </w:pPr>
            <w:r w:rsidRPr="006F4120">
              <w:rPr>
                <w:iCs/>
                <w:sz w:val="20"/>
                <w:lang w:val="fr-FR"/>
              </w:rPr>
              <w:t>3)…</w:t>
            </w:r>
          </w:p>
          <w:p w14:paraId="4CB26842" w14:textId="77777777" w:rsidR="00A80AC5" w:rsidRPr="006F4120" w:rsidRDefault="00A80AC5" w:rsidP="00BA2CF0">
            <w:pPr>
              <w:pStyle w:val="ListParagraph"/>
              <w:keepLines/>
              <w:numPr>
                <w:ilvl w:val="1"/>
                <w:numId w:val="50"/>
              </w:numPr>
              <w:tabs>
                <w:tab w:val="clear" w:pos="1134"/>
                <w:tab w:val="left" w:pos="771"/>
              </w:tabs>
              <w:spacing w:before="0" w:after="120"/>
              <w:ind w:left="312"/>
              <w:contextualSpacing w:val="0"/>
              <w:jc w:val="left"/>
              <w:rPr>
                <w:iCs/>
                <w:sz w:val="20"/>
                <w:szCs w:val="20"/>
              </w:rPr>
            </w:pPr>
            <w:proofErr w:type="gramStart"/>
            <w:r w:rsidRPr="006F4120">
              <w:rPr>
                <w:iCs/>
                <w:sz w:val="20"/>
                <w:szCs w:val="20"/>
              </w:rPr>
              <w:t>pour</w:t>
            </w:r>
            <w:proofErr w:type="gramEnd"/>
            <w:r w:rsidRPr="006F4120">
              <w:rPr>
                <w:iCs/>
                <w:sz w:val="20"/>
                <w:szCs w:val="20"/>
              </w:rPr>
              <w:t xml:space="preserve"> chaque artiste qui est identifié mais qui n’est plus en vie au moment de la revente commerciale, qui a satisfait au critère de résidence immédiatement avant son décès et par l’intermédiaire duquel il n’y a qu’un seul ayant cause du droit, cette entité, à condition que l’entité satisfasse au test de résidence au moment de la revente commerciale et au test de succession;  et</w:t>
            </w:r>
          </w:p>
          <w:p w14:paraId="7356933A" w14:textId="77777777" w:rsidR="00A80AC5" w:rsidRPr="006F4120" w:rsidRDefault="00A80AC5" w:rsidP="00BA2CF0">
            <w:pPr>
              <w:pStyle w:val="ListParagraph"/>
              <w:numPr>
                <w:ilvl w:val="1"/>
                <w:numId w:val="50"/>
              </w:numPr>
              <w:tabs>
                <w:tab w:val="clear" w:pos="1134"/>
                <w:tab w:val="num" w:pos="740"/>
                <w:tab w:val="left" w:pos="771"/>
              </w:tabs>
              <w:spacing w:before="0" w:after="120"/>
              <w:ind w:left="312"/>
              <w:contextualSpacing w:val="0"/>
              <w:jc w:val="left"/>
              <w:rPr>
                <w:iCs/>
                <w:sz w:val="20"/>
                <w:szCs w:val="20"/>
              </w:rPr>
            </w:pPr>
            <w:proofErr w:type="gramStart"/>
            <w:r w:rsidRPr="006F4120">
              <w:rPr>
                <w:iCs/>
                <w:sz w:val="20"/>
                <w:szCs w:val="20"/>
              </w:rPr>
              <w:t>pour</w:t>
            </w:r>
            <w:proofErr w:type="gramEnd"/>
            <w:r w:rsidRPr="006F4120">
              <w:rPr>
                <w:iCs/>
                <w:sz w:val="20"/>
                <w:szCs w:val="20"/>
              </w:rPr>
              <w:t xml:space="preserve"> chaque artiste qui est identifié mais qui n’est plus en vie au moment de la revente commerciale, qui a satisfait au critère de résidence immédiatement avant son décès et par l’intermédiaire duquel il y a plus d’un ayant cause du droit – chacune de ces entités qui satisfont au test de résidence au moment de la revente commerciale et au test de succession.</w:t>
            </w:r>
          </w:p>
          <w:p w14:paraId="5B5AFD72" w14:textId="77777777" w:rsidR="00A80AC5" w:rsidRPr="006F4120" w:rsidRDefault="00A80AC5" w:rsidP="00BA2CF0">
            <w:pPr>
              <w:keepNext/>
              <w:spacing w:after="60"/>
              <w:rPr>
                <w:i/>
                <w:sz w:val="20"/>
                <w:lang w:val="fr-FR"/>
              </w:rPr>
            </w:pPr>
            <w:r w:rsidRPr="006F4120">
              <w:rPr>
                <w:i/>
                <w:iCs/>
                <w:sz w:val="20"/>
                <w:lang w:val="fr-FR"/>
              </w:rPr>
              <w:t xml:space="preserve">Ayants </w:t>
            </w:r>
            <w:proofErr w:type="gramStart"/>
            <w:r w:rsidRPr="006F4120">
              <w:rPr>
                <w:i/>
                <w:iCs/>
                <w:sz w:val="20"/>
                <w:lang w:val="fr-FR"/>
              </w:rPr>
              <w:t>cause ultérieurs</w:t>
            </w:r>
            <w:proofErr w:type="gramEnd"/>
          </w:p>
          <w:p w14:paraId="4CB9F57A" w14:textId="77777777" w:rsidR="00A80AC5" w:rsidRPr="006F4120" w:rsidRDefault="00A80AC5" w:rsidP="00BA2CF0">
            <w:pPr>
              <w:spacing w:after="60"/>
              <w:rPr>
                <w:iCs/>
                <w:sz w:val="20"/>
                <w:lang w:val="fr-FR"/>
              </w:rPr>
            </w:pPr>
            <w:r w:rsidRPr="006F4120">
              <w:rPr>
                <w:iCs/>
                <w:sz w:val="20"/>
                <w:lang w:val="fr-FR"/>
              </w:rPr>
              <w:t xml:space="preserve">4) Si une entité détient un intérêt dans le droit de suite sur la revente </w:t>
            </w:r>
            <w:r w:rsidRPr="006F4120">
              <w:rPr>
                <w:iCs/>
                <w:sz w:val="20"/>
                <w:lang w:val="fr-FR"/>
              </w:rPr>
              <w:lastRenderedPageBreak/>
              <w:t>commerciale d’une œuvre d’art par application du paragraphe 2) ou 3), ou par une application antérieure du présent paragraphe, mais que l’entité est décédée ou a été liquidée au moment de la revente commerciale suivante de l’œuvre, le droit de suite est détenu sur la revente commerciale suivante de l’œuvre par :</w:t>
            </w:r>
          </w:p>
          <w:p w14:paraId="150B14DA" w14:textId="77777777" w:rsidR="00A80AC5" w:rsidRPr="006F4120" w:rsidRDefault="00A80AC5" w:rsidP="00BA2CF0">
            <w:pPr>
              <w:pStyle w:val="ListParagraph"/>
              <w:keepLines/>
              <w:numPr>
                <w:ilvl w:val="1"/>
                <w:numId w:val="20"/>
              </w:numPr>
              <w:tabs>
                <w:tab w:val="clear" w:pos="1134"/>
                <w:tab w:val="num" w:pos="740"/>
              </w:tabs>
              <w:spacing w:before="0" w:after="60"/>
              <w:ind w:left="314"/>
              <w:contextualSpacing w:val="0"/>
              <w:jc w:val="left"/>
              <w:rPr>
                <w:iCs/>
                <w:sz w:val="20"/>
                <w:szCs w:val="20"/>
              </w:rPr>
            </w:pPr>
            <w:proofErr w:type="gramStart"/>
            <w:r w:rsidRPr="006F4120">
              <w:rPr>
                <w:iCs/>
                <w:sz w:val="20"/>
                <w:szCs w:val="20"/>
              </w:rPr>
              <w:t>s’il</w:t>
            </w:r>
            <w:proofErr w:type="gramEnd"/>
            <w:r w:rsidRPr="006F4120">
              <w:rPr>
                <w:iCs/>
                <w:sz w:val="20"/>
                <w:szCs w:val="20"/>
              </w:rPr>
              <w:t xml:space="preserve"> n’y a qu’un seul ayant cause du droit – cette entité, à condition qu’elle satisfasse au critère de résidence au moment de la revente commerciale suivante et au critère de succession;  et</w:t>
            </w:r>
          </w:p>
          <w:p w14:paraId="652BA644" w14:textId="77777777" w:rsidR="00A80AC5" w:rsidRPr="006F4120" w:rsidRDefault="00A80AC5" w:rsidP="00BA2CF0">
            <w:pPr>
              <w:pStyle w:val="ListParagraph"/>
              <w:numPr>
                <w:ilvl w:val="1"/>
                <w:numId w:val="20"/>
              </w:numPr>
              <w:tabs>
                <w:tab w:val="clear" w:pos="1134"/>
                <w:tab w:val="num" w:pos="740"/>
              </w:tabs>
              <w:spacing w:before="0" w:after="60"/>
              <w:ind w:left="314"/>
              <w:contextualSpacing w:val="0"/>
              <w:jc w:val="left"/>
              <w:rPr>
                <w:iCs/>
                <w:sz w:val="20"/>
                <w:szCs w:val="20"/>
              </w:rPr>
            </w:pPr>
            <w:proofErr w:type="gramStart"/>
            <w:r w:rsidRPr="006F4120">
              <w:rPr>
                <w:iCs/>
                <w:sz w:val="20"/>
                <w:szCs w:val="20"/>
              </w:rPr>
              <w:t>s’il</w:t>
            </w:r>
            <w:proofErr w:type="gramEnd"/>
            <w:r w:rsidRPr="006F4120">
              <w:rPr>
                <w:iCs/>
                <w:sz w:val="20"/>
                <w:szCs w:val="20"/>
              </w:rPr>
              <w:t xml:space="preserve"> y a plus d’un ayant cause du droit – chacune de ces entités qui satisfait au critère de résidence au moment de la revente commerciale suivante et au critère de succession.</w:t>
            </w:r>
          </w:p>
          <w:p w14:paraId="56966BF3" w14:textId="77777777" w:rsidR="00A80AC5" w:rsidRPr="006F4120" w:rsidRDefault="00A80AC5" w:rsidP="00BA2CF0">
            <w:pPr>
              <w:spacing w:after="60"/>
              <w:rPr>
                <w:iCs/>
                <w:sz w:val="20"/>
                <w:lang w:val="fr-FR"/>
              </w:rPr>
            </w:pPr>
            <w:r w:rsidRPr="006F4120">
              <w:rPr>
                <w:b/>
                <w:iCs/>
                <w:sz w:val="20"/>
                <w:lang w:val="fr-FR"/>
              </w:rPr>
              <w:t>15 Test de succession</w:t>
            </w:r>
          </w:p>
          <w:p w14:paraId="63B81CAC" w14:textId="77777777" w:rsidR="00A80AC5" w:rsidRPr="006F4120" w:rsidRDefault="00A80AC5" w:rsidP="00BA2CF0">
            <w:pPr>
              <w:spacing w:after="60"/>
              <w:rPr>
                <w:iCs/>
                <w:sz w:val="20"/>
                <w:lang w:val="fr-FR"/>
              </w:rPr>
            </w:pPr>
            <w:r w:rsidRPr="006F4120">
              <w:rPr>
                <w:iCs/>
                <w:sz w:val="20"/>
                <w:lang w:val="fr-FR"/>
              </w:rPr>
              <w:t>1) </w:t>
            </w:r>
            <w:proofErr w:type="gramStart"/>
            <w:r w:rsidRPr="006F4120">
              <w:rPr>
                <w:iCs/>
                <w:sz w:val="20"/>
                <w:lang w:val="fr-FR"/>
              </w:rPr>
              <w:t>Une entité satisfait</w:t>
            </w:r>
            <w:proofErr w:type="gramEnd"/>
            <w:r w:rsidRPr="006F4120">
              <w:rPr>
                <w:iCs/>
                <w:sz w:val="20"/>
                <w:lang w:val="fr-FR"/>
              </w:rPr>
              <w:t xml:space="preserve"> au test de succession relatif au droit de suite sur la revente commerciale d’une œuvre artistique, si l’entité satisfait :</w:t>
            </w:r>
          </w:p>
          <w:p w14:paraId="2930D2B2" w14:textId="77777777" w:rsidR="00A80AC5" w:rsidRPr="006F4120" w:rsidRDefault="00A80AC5" w:rsidP="00BA2CF0">
            <w:pPr>
              <w:pStyle w:val="ListParagraph"/>
              <w:numPr>
                <w:ilvl w:val="0"/>
                <w:numId w:val="51"/>
              </w:numPr>
              <w:spacing w:before="0" w:after="60"/>
              <w:ind w:left="176" w:firstLine="0"/>
              <w:contextualSpacing w:val="0"/>
              <w:jc w:val="left"/>
              <w:rPr>
                <w:iCs/>
                <w:sz w:val="20"/>
                <w:szCs w:val="20"/>
              </w:rPr>
            </w:pPr>
            <w:proofErr w:type="gramStart"/>
            <w:r w:rsidRPr="006F4120">
              <w:rPr>
                <w:iCs/>
                <w:sz w:val="20"/>
                <w:szCs w:val="20"/>
              </w:rPr>
              <w:t>aux</w:t>
            </w:r>
            <w:proofErr w:type="gramEnd"/>
            <w:r w:rsidRPr="006F4120">
              <w:rPr>
                <w:iCs/>
                <w:sz w:val="20"/>
                <w:szCs w:val="20"/>
              </w:rPr>
              <w:t xml:space="preserve"> critères 1 et 2 (aux paragraphes 2) et 3));  ou</w:t>
            </w:r>
          </w:p>
          <w:p w14:paraId="510FB2D5" w14:textId="77777777" w:rsidR="00A80AC5" w:rsidRPr="006F4120" w:rsidRDefault="00A80AC5" w:rsidP="00BA2CF0">
            <w:pPr>
              <w:pStyle w:val="ListParagraph"/>
              <w:numPr>
                <w:ilvl w:val="0"/>
                <w:numId w:val="51"/>
              </w:numPr>
              <w:spacing w:before="0" w:after="60"/>
              <w:ind w:left="176" w:firstLine="0"/>
              <w:contextualSpacing w:val="0"/>
              <w:jc w:val="left"/>
              <w:rPr>
                <w:iCs/>
                <w:sz w:val="20"/>
                <w:szCs w:val="20"/>
              </w:rPr>
            </w:pPr>
            <w:proofErr w:type="gramStart"/>
            <w:r w:rsidRPr="006F4120">
              <w:rPr>
                <w:iCs/>
                <w:sz w:val="20"/>
                <w:szCs w:val="20"/>
              </w:rPr>
              <w:t>aux</w:t>
            </w:r>
            <w:proofErr w:type="gramEnd"/>
            <w:r w:rsidRPr="006F4120">
              <w:rPr>
                <w:iCs/>
                <w:sz w:val="20"/>
                <w:szCs w:val="20"/>
              </w:rPr>
              <w:t xml:space="preserve"> critères 3 et 4 (aux paragraphes 4) et 5)).</w:t>
            </w:r>
          </w:p>
          <w:p w14:paraId="624C69BF" w14:textId="77777777" w:rsidR="00A80AC5" w:rsidRPr="006F4120" w:rsidRDefault="00A80AC5" w:rsidP="00BA2CF0">
            <w:pPr>
              <w:spacing w:before="120" w:after="60"/>
              <w:rPr>
                <w:i/>
                <w:sz w:val="20"/>
                <w:lang w:val="fr-FR"/>
              </w:rPr>
            </w:pPr>
            <w:r w:rsidRPr="006F4120">
              <w:rPr>
                <w:i/>
                <w:iCs/>
                <w:sz w:val="20"/>
                <w:lang w:val="fr-FR"/>
              </w:rPr>
              <w:t>Critère 1</w:t>
            </w:r>
          </w:p>
          <w:p w14:paraId="2881B275" w14:textId="77777777" w:rsidR="00A80AC5" w:rsidRPr="006F4120" w:rsidRDefault="00A80AC5" w:rsidP="00BA2CF0">
            <w:pPr>
              <w:spacing w:after="60"/>
              <w:rPr>
                <w:iCs/>
                <w:sz w:val="20"/>
                <w:lang w:val="fr-FR"/>
              </w:rPr>
            </w:pPr>
            <w:r w:rsidRPr="006F4120">
              <w:rPr>
                <w:iCs/>
                <w:sz w:val="20"/>
                <w:lang w:val="fr-FR"/>
              </w:rPr>
              <w:t xml:space="preserve">2) L’entité a reçu son intérêt dans le droit par disposition testamentaire, ou conformément aux règles de la succession </w:t>
            </w:r>
            <w:r w:rsidRPr="006F4120">
              <w:rPr>
                <w:i/>
                <w:iCs/>
                <w:sz w:val="20"/>
                <w:lang w:val="fr-FR"/>
              </w:rPr>
              <w:t>ab intestat</w:t>
            </w:r>
            <w:r w:rsidRPr="006F4120">
              <w:rPr>
                <w:iCs/>
                <w:sz w:val="20"/>
                <w:lang w:val="fr-FR"/>
              </w:rPr>
              <w:t>, au décès d’un individu.</w:t>
            </w:r>
          </w:p>
          <w:p w14:paraId="12A805D4" w14:textId="77777777" w:rsidR="00A80AC5" w:rsidRPr="006F4120" w:rsidRDefault="00A80AC5" w:rsidP="00BA2CF0">
            <w:pPr>
              <w:spacing w:before="120" w:after="60"/>
              <w:rPr>
                <w:i/>
                <w:sz w:val="20"/>
                <w:lang w:val="fr-FR"/>
              </w:rPr>
            </w:pPr>
            <w:r w:rsidRPr="006F4120">
              <w:rPr>
                <w:i/>
                <w:iCs/>
                <w:sz w:val="20"/>
                <w:lang w:val="fr-FR"/>
              </w:rPr>
              <w:t>Critère 2</w:t>
            </w:r>
          </w:p>
          <w:p w14:paraId="52F448E4" w14:textId="77777777" w:rsidR="00A80AC5" w:rsidRPr="006F4120" w:rsidRDefault="00A80AC5" w:rsidP="00BA2CF0">
            <w:pPr>
              <w:spacing w:after="60"/>
              <w:rPr>
                <w:iCs/>
                <w:sz w:val="20"/>
                <w:lang w:val="fr-FR"/>
              </w:rPr>
            </w:pPr>
            <w:r w:rsidRPr="006F4120">
              <w:rPr>
                <w:iCs/>
                <w:sz w:val="20"/>
                <w:lang w:val="fr-FR"/>
              </w:rPr>
              <w:t>3) L’entité est l’une des suivantes :</w:t>
            </w:r>
          </w:p>
          <w:p w14:paraId="009D397C" w14:textId="77777777" w:rsidR="00A80AC5" w:rsidRPr="006F4120" w:rsidRDefault="00A80AC5" w:rsidP="00BA2CF0">
            <w:pPr>
              <w:pStyle w:val="ListParagraph"/>
              <w:numPr>
                <w:ilvl w:val="0"/>
                <w:numId w:val="52"/>
              </w:numPr>
              <w:tabs>
                <w:tab w:val="left" w:pos="598"/>
              </w:tabs>
              <w:spacing w:before="0" w:after="60"/>
              <w:ind w:left="173" w:firstLine="0"/>
              <w:rPr>
                <w:iCs/>
                <w:sz w:val="20"/>
                <w:szCs w:val="20"/>
              </w:rPr>
            </w:pPr>
            <w:proofErr w:type="gramStart"/>
            <w:r w:rsidRPr="006F4120">
              <w:rPr>
                <w:iCs/>
                <w:sz w:val="20"/>
                <w:szCs w:val="20"/>
              </w:rPr>
              <w:t>une</w:t>
            </w:r>
            <w:proofErr w:type="gramEnd"/>
            <w:r w:rsidRPr="006F4120">
              <w:rPr>
                <w:iCs/>
                <w:sz w:val="20"/>
                <w:szCs w:val="20"/>
              </w:rPr>
              <w:t xml:space="preserve"> personne physique ayant un intérêt bénéficiaire dans le droit;</w:t>
            </w:r>
          </w:p>
          <w:p w14:paraId="2AB2F7AE" w14:textId="77777777" w:rsidR="00A80AC5" w:rsidRPr="006F4120" w:rsidRDefault="00A80AC5" w:rsidP="00BA2CF0">
            <w:pPr>
              <w:pStyle w:val="ListParagraph"/>
              <w:numPr>
                <w:ilvl w:val="0"/>
                <w:numId w:val="52"/>
              </w:numPr>
              <w:tabs>
                <w:tab w:val="left" w:pos="598"/>
              </w:tabs>
              <w:spacing w:before="0" w:after="60"/>
              <w:ind w:left="173" w:firstLine="0"/>
              <w:rPr>
                <w:iCs/>
                <w:sz w:val="20"/>
                <w:szCs w:val="20"/>
              </w:rPr>
            </w:pPr>
            <w:proofErr w:type="gramStart"/>
            <w:r w:rsidRPr="006F4120">
              <w:rPr>
                <w:iCs/>
                <w:sz w:val="20"/>
                <w:szCs w:val="20"/>
              </w:rPr>
              <w:t>un</w:t>
            </w:r>
            <w:proofErr w:type="gramEnd"/>
            <w:r w:rsidRPr="006F4120">
              <w:rPr>
                <w:iCs/>
                <w:sz w:val="20"/>
                <w:szCs w:val="20"/>
              </w:rPr>
              <w:t xml:space="preserve"> organisme de bienfaisance ou une institution caritative ayant un intérêt bénéficiaire dans le droit;</w:t>
            </w:r>
          </w:p>
          <w:p w14:paraId="2ED49971" w14:textId="77777777" w:rsidR="00A80AC5" w:rsidRPr="006F4120" w:rsidRDefault="00A80AC5" w:rsidP="00BA2CF0">
            <w:pPr>
              <w:pStyle w:val="ListParagraph"/>
              <w:numPr>
                <w:ilvl w:val="0"/>
                <w:numId w:val="52"/>
              </w:numPr>
              <w:tabs>
                <w:tab w:val="left" w:pos="598"/>
              </w:tabs>
              <w:spacing w:before="0" w:after="60"/>
              <w:ind w:left="173" w:firstLine="0"/>
              <w:rPr>
                <w:iCs/>
                <w:sz w:val="20"/>
                <w:szCs w:val="20"/>
              </w:rPr>
            </w:pPr>
            <w:proofErr w:type="gramStart"/>
            <w:r w:rsidRPr="006F4120">
              <w:rPr>
                <w:iCs/>
                <w:sz w:val="20"/>
                <w:szCs w:val="20"/>
              </w:rPr>
              <w:t>un</w:t>
            </w:r>
            <w:proofErr w:type="gramEnd"/>
            <w:r w:rsidRPr="006F4120">
              <w:rPr>
                <w:iCs/>
                <w:sz w:val="20"/>
                <w:szCs w:val="20"/>
              </w:rPr>
              <w:t xml:space="preserve"> organisme communautaire ayant un intérêt bénéficiaire dans le droit;</w:t>
            </w:r>
          </w:p>
          <w:p w14:paraId="2D0F511E" w14:textId="77777777" w:rsidR="00A80AC5" w:rsidRPr="006F4120" w:rsidRDefault="00A80AC5" w:rsidP="00BA2CF0">
            <w:pPr>
              <w:pStyle w:val="ListParagraph"/>
              <w:numPr>
                <w:ilvl w:val="0"/>
                <w:numId w:val="52"/>
              </w:numPr>
              <w:tabs>
                <w:tab w:val="left" w:pos="598"/>
              </w:tabs>
              <w:spacing w:before="0" w:after="60"/>
              <w:ind w:left="173" w:firstLine="0"/>
              <w:rPr>
                <w:iCs/>
                <w:sz w:val="20"/>
                <w:szCs w:val="20"/>
              </w:rPr>
            </w:pPr>
            <w:proofErr w:type="gramStart"/>
            <w:r w:rsidRPr="006F4120">
              <w:rPr>
                <w:iCs/>
                <w:sz w:val="20"/>
                <w:szCs w:val="20"/>
              </w:rPr>
              <w:t>une</w:t>
            </w:r>
            <w:proofErr w:type="gramEnd"/>
            <w:r w:rsidRPr="006F4120">
              <w:rPr>
                <w:iCs/>
                <w:sz w:val="20"/>
                <w:szCs w:val="20"/>
              </w:rPr>
              <w:t xml:space="preserve"> personne qui détient un intérêt dans le droit en fiducie pour :</w:t>
            </w:r>
          </w:p>
          <w:p w14:paraId="3FA7AB8D" w14:textId="77777777" w:rsidR="00A80AC5" w:rsidRPr="006F4120" w:rsidRDefault="00A80AC5" w:rsidP="00BA2CF0">
            <w:pPr>
              <w:pStyle w:val="ListParagraph"/>
              <w:keepNext/>
              <w:keepLines/>
              <w:numPr>
                <w:ilvl w:val="0"/>
                <w:numId w:val="53"/>
              </w:numPr>
              <w:spacing w:before="60" w:after="60"/>
              <w:ind w:left="879" w:hanging="357"/>
              <w:contextualSpacing w:val="0"/>
              <w:jc w:val="left"/>
              <w:rPr>
                <w:iCs/>
                <w:sz w:val="20"/>
                <w:szCs w:val="20"/>
              </w:rPr>
            </w:pPr>
            <w:proofErr w:type="gramStart"/>
            <w:r w:rsidRPr="006F4120">
              <w:rPr>
                <w:iCs/>
                <w:sz w:val="20"/>
                <w:szCs w:val="20"/>
              </w:rPr>
              <w:t>un</w:t>
            </w:r>
            <w:proofErr w:type="gramEnd"/>
            <w:r w:rsidRPr="006F4120">
              <w:rPr>
                <w:iCs/>
                <w:sz w:val="20"/>
                <w:szCs w:val="20"/>
              </w:rPr>
              <w:t xml:space="preserve"> particulier;</w:t>
            </w:r>
          </w:p>
          <w:p w14:paraId="1E6D1289" w14:textId="77777777" w:rsidR="00A80AC5" w:rsidRPr="006F4120" w:rsidRDefault="00A80AC5" w:rsidP="00BA2CF0">
            <w:pPr>
              <w:pStyle w:val="ListParagraph"/>
              <w:keepNext/>
              <w:keepLines/>
              <w:numPr>
                <w:ilvl w:val="0"/>
                <w:numId w:val="53"/>
              </w:numPr>
              <w:spacing w:before="60" w:after="60"/>
              <w:ind w:left="879" w:hanging="357"/>
              <w:contextualSpacing w:val="0"/>
              <w:jc w:val="left"/>
              <w:rPr>
                <w:iCs/>
                <w:sz w:val="20"/>
                <w:szCs w:val="20"/>
              </w:rPr>
            </w:pPr>
            <w:proofErr w:type="gramStart"/>
            <w:r w:rsidRPr="006F4120">
              <w:rPr>
                <w:iCs/>
                <w:sz w:val="20"/>
                <w:szCs w:val="20"/>
              </w:rPr>
              <w:t>un</w:t>
            </w:r>
            <w:proofErr w:type="gramEnd"/>
            <w:r w:rsidRPr="006F4120">
              <w:rPr>
                <w:iCs/>
                <w:sz w:val="20"/>
                <w:szCs w:val="20"/>
              </w:rPr>
              <w:t xml:space="preserve"> organisme de bienfaisance ou une institution caritative;  ou</w:t>
            </w:r>
          </w:p>
          <w:p w14:paraId="596CC685" w14:textId="77777777" w:rsidR="00A80AC5" w:rsidRPr="006F4120" w:rsidRDefault="00A80AC5" w:rsidP="00BA2CF0">
            <w:pPr>
              <w:pStyle w:val="ListParagraph"/>
              <w:keepLines/>
              <w:numPr>
                <w:ilvl w:val="0"/>
                <w:numId w:val="53"/>
              </w:numPr>
              <w:spacing w:before="60" w:after="60"/>
              <w:ind w:left="879" w:hanging="357"/>
              <w:contextualSpacing w:val="0"/>
              <w:jc w:val="left"/>
              <w:rPr>
                <w:iCs/>
                <w:sz w:val="20"/>
                <w:szCs w:val="20"/>
              </w:rPr>
            </w:pPr>
            <w:proofErr w:type="gramStart"/>
            <w:r w:rsidRPr="006F4120">
              <w:rPr>
                <w:iCs/>
                <w:sz w:val="20"/>
                <w:szCs w:val="20"/>
              </w:rPr>
              <w:t>un</w:t>
            </w:r>
            <w:proofErr w:type="gramEnd"/>
            <w:r w:rsidRPr="006F4120">
              <w:rPr>
                <w:iCs/>
                <w:sz w:val="20"/>
                <w:szCs w:val="20"/>
              </w:rPr>
              <w:t xml:space="preserve"> organisme communautaire.</w:t>
            </w:r>
          </w:p>
          <w:p w14:paraId="3D08B15C" w14:textId="77777777" w:rsidR="00A80AC5" w:rsidRPr="006F4120" w:rsidRDefault="00A80AC5" w:rsidP="00BA2CF0">
            <w:pPr>
              <w:keepNext/>
              <w:spacing w:before="120" w:after="60"/>
              <w:rPr>
                <w:i/>
                <w:sz w:val="20"/>
                <w:lang w:val="fr-FR"/>
              </w:rPr>
            </w:pPr>
            <w:r w:rsidRPr="006F4120">
              <w:rPr>
                <w:i/>
                <w:iCs/>
                <w:sz w:val="20"/>
                <w:lang w:val="fr-FR"/>
              </w:rPr>
              <w:lastRenderedPageBreak/>
              <w:t>Critère 3</w:t>
            </w:r>
          </w:p>
          <w:p w14:paraId="1188F67C" w14:textId="77777777" w:rsidR="00A80AC5" w:rsidRPr="006F4120" w:rsidRDefault="00A80AC5" w:rsidP="00BA2CF0">
            <w:pPr>
              <w:spacing w:before="60" w:after="60"/>
              <w:rPr>
                <w:iCs/>
                <w:sz w:val="20"/>
                <w:lang w:val="fr-FR"/>
              </w:rPr>
            </w:pPr>
            <w:r w:rsidRPr="006F4120">
              <w:rPr>
                <w:iCs/>
                <w:sz w:val="20"/>
                <w:lang w:val="fr-FR"/>
              </w:rPr>
              <w:t>4) L’entité a reçu son intérêt dans le droit lors de la liquidation d’un organisme de bienfaisance, d’une institution caritative ou d’un organisme communautaire.</w:t>
            </w:r>
          </w:p>
          <w:p w14:paraId="4E64A147" w14:textId="77777777" w:rsidR="00A80AC5" w:rsidRPr="006F4120" w:rsidRDefault="00A80AC5" w:rsidP="00BA2CF0">
            <w:pPr>
              <w:spacing w:before="60" w:after="60"/>
              <w:rPr>
                <w:i/>
                <w:sz w:val="20"/>
                <w:lang w:val="fr-FR"/>
              </w:rPr>
            </w:pPr>
            <w:r w:rsidRPr="006F4120">
              <w:rPr>
                <w:i/>
                <w:iCs/>
                <w:sz w:val="20"/>
                <w:lang w:val="fr-FR"/>
              </w:rPr>
              <w:t>Critère 4</w:t>
            </w:r>
          </w:p>
          <w:p w14:paraId="058BFD69" w14:textId="77777777" w:rsidR="00A80AC5" w:rsidRPr="006F4120" w:rsidRDefault="00A80AC5" w:rsidP="00BA2CF0">
            <w:pPr>
              <w:spacing w:before="60" w:after="60"/>
              <w:rPr>
                <w:iCs/>
                <w:sz w:val="20"/>
                <w:lang w:val="fr-FR"/>
              </w:rPr>
            </w:pPr>
            <w:r w:rsidRPr="006F4120">
              <w:rPr>
                <w:iCs/>
                <w:sz w:val="20"/>
                <w:lang w:val="fr-FR"/>
              </w:rPr>
              <w:t>5) L’entité est un organisme de bienfaisance, une institution caritative ou un organisme communautaire constitué pour l’essentiel aux mêmes fins que l’organisme qui a été liquidé</w:t>
            </w:r>
            <w:r w:rsidRPr="006F4120">
              <w:rPr>
                <w:iCs/>
                <w:sz w:val="20"/>
                <w:vertAlign w:val="superscript"/>
                <w:lang w:val="fr-FR"/>
              </w:rPr>
              <w:footnoteReference w:id="120"/>
            </w:r>
            <w:r w:rsidRPr="006F4120">
              <w:rPr>
                <w:iCs/>
                <w:sz w:val="20"/>
                <w:lang w:val="fr-FR"/>
              </w:rPr>
              <w:t>.</w:t>
            </w:r>
          </w:p>
        </w:tc>
        <w:tc>
          <w:tcPr>
            <w:tcW w:w="3469" w:type="dxa"/>
          </w:tcPr>
          <w:p w14:paraId="668545BC" w14:textId="77777777" w:rsidR="00A80AC5" w:rsidRPr="006F4120" w:rsidRDefault="00A80AC5" w:rsidP="00BA2CF0">
            <w:pPr>
              <w:numPr>
                <w:ilvl w:val="0"/>
                <w:numId w:val="44"/>
              </w:numPr>
              <w:spacing w:before="60" w:after="60"/>
              <w:rPr>
                <w:sz w:val="20"/>
                <w:lang w:val="fr-FR"/>
              </w:rPr>
            </w:pPr>
            <w:r w:rsidRPr="006F4120">
              <w:rPr>
                <w:sz w:val="20"/>
                <w:lang w:val="fr-FR"/>
              </w:rPr>
              <w:lastRenderedPageBreak/>
              <w:t>Cette disposition vise à couvrir presque toutes les éventualités – artistes uniques et multiples, successeurs uniques et multiples, et situations présentant une série d’ayants cause.  Elle peut donc constituer une liste de contrôle utile pour les autres législateurs nationaux qui envisagent d’adopter un nouveau régime de droit de suite des artistes ou de réviser un régime existant.</w:t>
            </w:r>
          </w:p>
          <w:p w14:paraId="21D13E07" w14:textId="77777777" w:rsidR="00A80AC5" w:rsidRPr="006F4120" w:rsidRDefault="00A80AC5" w:rsidP="002D7EE2">
            <w:pPr>
              <w:keepLines/>
              <w:numPr>
                <w:ilvl w:val="0"/>
                <w:numId w:val="44"/>
              </w:numPr>
              <w:spacing w:after="220"/>
              <w:rPr>
                <w:sz w:val="20"/>
                <w:lang w:val="fr-FR"/>
              </w:rPr>
            </w:pPr>
            <w:r w:rsidRPr="006F4120">
              <w:rPr>
                <w:sz w:val="20"/>
                <w:lang w:val="fr-FR"/>
              </w:rPr>
              <w:t>Bien que détaillée, elle repose sur le respect de deux critères importants : la résidence (pour le texte, voir la deuxième colonne, tableau 13) et la succession (voir aussi dans la colonne 2 de ce tableau).</w:t>
            </w:r>
          </w:p>
          <w:p w14:paraId="73454844" w14:textId="77777777" w:rsidR="00A80AC5" w:rsidRPr="006F4120" w:rsidRDefault="00A80AC5" w:rsidP="002D7EE2">
            <w:pPr>
              <w:spacing w:after="220"/>
              <w:rPr>
                <w:sz w:val="20"/>
                <w:lang w:val="fr-FR"/>
              </w:rPr>
            </w:pPr>
          </w:p>
          <w:p w14:paraId="43F23B9C" w14:textId="77777777" w:rsidR="00A80AC5" w:rsidRPr="006F4120" w:rsidRDefault="00A80AC5" w:rsidP="002D7EE2">
            <w:pPr>
              <w:spacing w:after="220"/>
              <w:rPr>
                <w:sz w:val="20"/>
                <w:lang w:val="fr-FR"/>
              </w:rPr>
            </w:pPr>
          </w:p>
          <w:p w14:paraId="3EE5A085" w14:textId="77777777" w:rsidR="00A80AC5" w:rsidRPr="006F4120" w:rsidRDefault="00A80AC5" w:rsidP="002D7EE2">
            <w:pPr>
              <w:spacing w:after="220"/>
              <w:rPr>
                <w:sz w:val="20"/>
                <w:lang w:val="fr-FR"/>
              </w:rPr>
            </w:pPr>
          </w:p>
          <w:p w14:paraId="0A4BE7C9" w14:textId="77777777" w:rsidR="00A80AC5" w:rsidRPr="006F4120" w:rsidRDefault="00A80AC5" w:rsidP="002D7EE2">
            <w:pPr>
              <w:spacing w:after="220"/>
              <w:rPr>
                <w:sz w:val="20"/>
                <w:lang w:val="fr-FR"/>
              </w:rPr>
            </w:pPr>
          </w:p>
          <w:p w14:paraId="1D07B8DA" w14:textId="77777777" w:rsidR="00A80AC5" w:rsidRPr="006F4120" w:rsidRDefault="00A80AC5" w:rsidP="002D7EE2">
            <w:pPr>
              <w:spacing w:after="220"/>
              <w:rPr>
                <w:sz w:val="20"/>
                <w:lang w:val="fr-FR"/>
              </w:rPr>
            </w:pPr>
          </w:p>
          <w:p w14:paraId="4C4B4AD4" w14:textId="77777777" w:rsidR="00A80AC5" w:rsidRPr="006F4120" w:rsidRDefault="00A80AC5" w:rsidP="002D7EE2">
            <w:pPr>
              <w:spacing w:after="220"/>
              <w:rPr>
                <w:sz w:val="20"/>
                <w:lang w:val="fr-FR"/>
              </w:rPr>
            </w:pPr>
          </w:p>
          <w:p w14:paraId="7F82735D" w14:textId="77777777" w:rsidR="00A80AC5" w:rsidRPr="006F4120" w:rsidRDefault="00A80AC5" w:rsidP="002D7EE2">
            <w:pPr>
              <w:spacing w:after="220"/>
              <w:rPr>
                <w:sz w:val="20"/>
                <w:lang w:val="fr-FR"/>
              </w:rPr>
            </w:pPr>
          </w:p>
          <w:p w14:paraId="4A90BA82" w14:textId="77777777" w:rsidR="00A80AC5" w:rsidRPr="006F4120" w:rsidRDefault="00A80AC5" w:rsidP="002D7EE2">
            <w:pPr>
              <w:spacing w:after="220"/>
              <w:rPr>
                <w:sz w:val="20"/>
                <w:lang w:val="fr-FR"/>
              </w:rPr>
            </w:pPr>
          </w:p>
          <w:p w14:paraId="2D4FF3A8" w14:textId="77777777" w:rsidR="00A80AC5" w:rsidRPr="006F4120" w:rsidRDefault="00A80AC5" w:rsidP="002D7EE2">
            <w:pPr>
              <w:spacing w:after="220"/>
              <w:rPr>
                <w:sz w:val="20"/>
                <w:lang w:val="fr-FR"/>
              </w:rPr>
            </w:pPr>
          </w:p>
          <w:p w14:paraId="6F43331E" w14:textId="77777777" w:rsidR="00A80AC5" w:rsidRPr="006F4120" w:rsidRDefault="00A80AC5" w:rsidP="002D7EE2">
            <w:pPr>
              <w:spacing w:after="220"/>
              <w:rPr>
                <w:sz w:val="20"/>
                <w:lang w:val="fr-FR"/>
              </w:rPr>
            </w:pPr>
          </w:p>
          <w:p w14:paraId="000D03DB" w14:textId="77777777" w:rsidR="00A80AC5" w:rsidRPr="006F4120" w:rsidRDefault="00A80AC5" w:rsidP="002D7EE2">
            <w:pPr>
              <w:spacing w:after="220"/>
              <w:rPr>
                <w:sz w:val="20"/>
                <w:lang w:val="fr-FR"/>
              </w:rPr>
            </w:pPr>
          </w:p>
          <w:p w14:paraId="0E59A913" w14:textId="77777777" w:rsidR="00A80AC5" w:rsidRPr="006F4120" w:rsidRDefault="00A80AC5" w:rsidP="002D7EE2">
            <w:pPr>
              <w:spacing w:after="220"/>
              <w:rPr>
                <w:sz w:val="20"/>
                <w:lang w:val="fr-FR"/>
              </w:rPr>
            </w:pPr>
          </w:p>
          <w:p w14:paraId="20B80071" w14:textId="77777777" w:rsidR="00A80AC5" w:rsidRPr="006F4120" w:rsidRDefault="00A80AC5" w:rsidP="002D7EE2">
            <w:pPr>
              <w:spacing w:after="220"/>
              <w:rPr>
                <w:sz w:val="20"/>
                <w:lang w:val="fr-FR"/>
              </w:rPr>
            </w:pPr>
          </w:p>
          <w:p w14:paraId="45D6DDDB" w14:textId="77777777" w:rsidR="00A80AC5" w:rsidRPr="006F4120" w:rsidRDefault="00A80AC5" w:rsidP="002D7EE2">
            <w:pPr>
              <w:spacing w:after="220"/>
              <w:rPr>
                <w:sz w:val="20"/>
                <w:lang w:val="fr-FR"/>
              </w:rPr>
            </w:pPr>
          </w:p>
          <w:p w14:paraId="5F09FD8A" w14:textId="77777777" w:rsidR="00A80AC5" w:rsidRPr="006F4120" w:rsidRDefault="00A80AC5" w:rsidP="002D7EE2">
            <w:pPr>
              <w:spacing w:after="220"/>
              <w:rPr>
                <w:sz w:val="20"/>
                <w:lang w:val="fr-FR"/>
              </w:rPr>
            </w:pPr>
          </w:p>
          <w:p w14:paraId="1D506EF4" w14:textId="77777777" w:rsidR="00A80AC5" w:rsidRPr="006F4120" w:rsidRDefault="00A80AC5" w:rsidP="002D7EE2">
            <w:pPr>
              <w:spacing w:after="220"/>
              <w:rPr>
                <w:sz w:val="20"/>
                <w:lang w:val="fr-FR"/>
              </w:rPr>
            </w:pPr>
          </w:p>
          <w:p w14:paraId="31BD359F" w14:textId="77777777" w:rsidR="00A80AC5" w:rsidRPr="006F4120" w:rsidRDefault="00A80AC5" w:rsidP="002D7EE2">
            <w:pPr>
              <w:spacing w:after="220"/>
              <w:rPr>
                <w:sz w:val="20"/>
                <w:lang w:val="fr-FR"/>
              </w:rPr>
            </w:pPr>
          </w:p>
          <w:p w14:paraId="2D1E0206" w14:textId="77777777" w:rsidR="00A80AC5" w:rsidRPr="006F4120" w:rsidRDefault="00A80AC5" w:rsidP="002D7EE2">
            <w:pPr>
              <w:numPr>
                <w:ilvl w:val="0"/>
                <w:numId w:val="44"/>
              </w:numPr>
              <w:spacing w:after="220"/>
              <w:rPr>
                <w:sz w:val="20"/>
                <w:lang w:val="fr-FR"/>
              </w:rPr>
            </w:pPr>
            <w:r w:rsidRPr="006F4120">
              <w:rPr>
                <w:sz w:val="20"/>
                <w:lang w:val="fr-FR"/>
              </w:rPr>
              <w:t>Traite de la situation présentant une série d’ayants cause à l’auteur ou aux auteurs</w:t>
            </w:r>
          </w:p>
          <w:p w14:paraId="7340590C" w14:textId="77777777" w:rsidR="00A80AC5" w:rsidRPr="006F4120" w:rsidRDefault="00A80AC5" w:rsidP="002D7EE2">
            <w:pPr>
              <w:spacing w:after="220"/>
              <w:rPr>
                <w:sz w:val="20"/>
                <w:lang w:val="fr-FR"/>
              </w:rPr>
            </w:pPr>
          </w:p>
          <w:p w14:paraId="06A51C65" w14:textId="77777777" w:rsidR="00A80AC5" w:rsidRPr="006F4120" w:rsidRDefault="00A80AC5" w:rsidP="002D7EE2">
            <w:pPr>
              <w:spacing w:after="220"/>
              <w:rPr>
                <w:sz w:val="20"/>
                <w:lang w:val="fr-FR"/>
              </w:rPr>
            </w:pPr>
          </w:p>
          <w:p w14:paraId="073F0C10" w14:textId="77777777" w:rsidR="00A80AC5" w:rsidRPr="006F4120" w:rsidRDefault="00A80AC5" w:rsidP="002D7EE2">
            <w:pPr>
              <w:spacing w:after="220"/>
              <w:rPr>
                <w:sz w:val="20"/>
                <w:lang w:val="fr-FR"/>
              </w:rPr>
            </w:pPr>
          </w:p>
          <w:p w14:paraId="18BE6C3A" w14:textId="77777777" w:rsidR="00A80AC5" w:rsidRPr="006F4120" w:rsidRDefault="00A80AC5" w:rsidP="002D7EE2">
            <w:pPr>
              <w:spacing w:after="220"/>
              <w:rPr>
                <w:sz w:val="20"/>
                <w:lang w:val="fr-FR"/>
              </w:rPr>
            </w:pPr>
          </w:p>
          <w:p w14:paraId="5C4A9934" w14:textId="77777777" w:rsidR="00A80AC5" w:rsidRPr="006F4120" w:rsidRDefault="00A80AC5" w:rsidP="002D7EE2">
            <w:pPr>
              <w:spacing w:after="220"/>
              <w:rPr>
                <w:sz w:val="20"/>
                <w:lang w:val="fr-FR"/>
              </w:rPr>
            </w:pPr>
          </w:p>
          <w:p w14:paraId="34E43935" w14:textId="77777777" w:rsidR="00A80AC5" w:rsidRPr="006F4120" w:rsidRDefault="00A80AC5" w:rsidP="002D7EE2">
            <w:pPr>
              <w:spacing w:after="220"/>
              <w:rPr>
                <w:sz w:val="20"/>
                <w:lang w:val="fr-FR"/>
              </w:rPr>
            </w:pPr>
          </w:p>
          <w:p w14:paraId="32736D83" w14:textId="77777777" w:rsidR="00A80AC5" w:rsidRPr="006F4120" w:rsidRDefault="00A80AC5" w:rsidP="002D7EE2">
            <w:pPr>
              <w:spacing w:after="220"/>
              <w:rPr>
                <w:sz w:val="20"/>
                <w:lang w:val="fr-FR"/>
              </w:rPr>
            </w:pPr>
          </w:p>
          <w:p w14:paraId="113D0A77" w14:textId="77777777" w:rsidR="00A80AC5" w:rsidRPr="006F4120" w:rsidRDefault="00A80AC5" w:rsidP="002D7EE2">
            <w:pPr>
              <w:spacing w:after="220"/>
              <w:rPr>
                <w:sz w:val="20"/>
                <w:lang w:val="fr-FR"/>
              </w:rPr>
            </w:pPr>
          </w:p>
          <w:p w14:paraId="6DC742D5" w14:textId="77777777" w:rsidR="00A80AC5" w:rsidRPr="006F4120" w:rsidRDefault="00A80AC5" w:rsidP="002D7EE2">
            <w:pPr>
              <w:spacing w:after="220"/>
              <w:rPr>
                <w:sz w:val="20"/>
                <w:lang w:val="fr-FR"/>
              </w:rPr>
            </w:pPr>
          </w:p>
          <w:p w14:paraId="618BE448" w14:textId="5FC7AC1E" w:rsidR="00A80AC5" w:rsidRPr="006F4120" w:rsidRDefault="00A80AC5" w:rsidP="00BA2CF0">
            <w:pPr>
              <w:numPr>
                <w:ilvl w:val="0"/>
                <w:numId w:val="44"/>
              </w:numPr>
              <w:spacing w:before="60" w:after="60"/>
              <w:rPr>
                <w:sz w:val="20"/>
                <w:lang w:val="fr-FR"/>
              </w:rPr>
            </w:pPr>
            <w:r w:rsidRPr="006F4120">
              <w:rPr>
                <w:sz w:val="20"/>
                <w:lang w:val="fr-FR"/>
              </w:rPr>
              <w:t>Inclut la nationalité des pays protecteurs et des pays appliquant le principe de réciprocité (comme dans d’autres exemples de dispositions ci</w:t>
            </w:r>
            <w:r w:rsidR="00FA1A0F">
              <w:rPr>
                <w:sz w:val="20"/>
                <w:lang w:val="fr-FR"/>
              </w:rPr>
              <w:noBreakHyphen/>
            </w:r>
            <w:r w:rsidRPr="006F4120">
              <w:rPr>
                <w:sz w:val="20"/>
                <w:lang w:val="fr-FR"/>
              </w:rPr>
              <w:t>dessus</w:t>
            </w:r>
            <w:proofErr w:type="gramStart"/>
            <w:r w:rsidRPr="006F4120">
              <w:rPr>
                <w:sz w:val="20"/>
                <w:lang w:val="fr-FR"/>
              </w:rPr>
              <w:t>);  la</w:t>
            </w:r>
            <w:proofErr w:type="gramEnd"/>
            <w:r w:rsidRPr="006F4120">
              <w:rPr>
                <w:sz w:val="20"/>
                <w:lang w:val="fr-FR"/>
              </w:rPr>
              <w:t xml:space="preserve"> résidence permanente est fournie comme un critère supplémentaire que les pays peuvent souhaiter adopter (en notant les éventuelles difficultés pratiques à cela qui sont notées précédemment).</w:t>
            </w:r>
          </w:p>
          <w:p w14:paraId="4EC19272" w14:textId="78F41E0A" w:rsidR="00A80AC5" w:rsidRPr="006F4120" w:rsidRDefault="00A80AC5" w:rsidP="00BA2CF0">
            <w:pPr>
              <w:numPr>
                <w:ilvl w:val="0"/>
                <w:numId w:val="44"/>
              </w:numPr>
              <w:spacing w:before="60" w:after="60"/>
              <w:rPr>
                <w:sz w:val="20"/>
                <w:lang w:val="fr-FR"/>
              </w:rPr>
            </w:pPr>
            <w:r w:rsidRPr="006F4120">
              <w:rPr>
                <w:sz w:val="20"/>
                <w:lang w:val="fr-FR"/>
              </w:rPr>
              <w:t>Définit les sociétés par référence à la législation nationale (dans ce cas, l’Australie), mais notez que toutes les personnes morales ne satisfont pas au critère de succession (voir ci</w:t>
            </w:r>
            <w:r w:rsidR="00FA1A0F">
              <w:rPr>
                <w:sz w:val="20"/>
                <w:lang w:val="fr-FR"/>
              </w:rPr>
              <w:noBreakHyphen/>
            </w:r>
            <w:r w:rsidRPr="006F4120">
              <w:rPr>
                <w:sz w:val="20"/>
                <w:lang w:val="fr-FR"/>
              </w:rPr>
              <w:t>dessous).</w:t>
            </w:r>
          </w:p>
          <w:p w14:paraId="731BF5A7" w14:textId="77777777" w:rsidR="00A80AC5" w:rsidRPr="006F4120" w:rsidRDefault="00A80AC5" w:rsidP="002D7EE2">
            <w:pPr>
              <w:spacing w:after="220"/>
              <w:rPr>
                <w:sz w:val="20"/>
                <w:lang w:val="fr-FR"/>
              </w:rPr>
            </w:pPr>
          </w:p>
          <w:p w14:paraId="6D1B634E" w14:textId="77777777" w:rsidR="00A80AC5" w:rsidRPr="006F4120" w:rsidRDefault="00A80AC5" w:rsidP="002D7EE2">
            <w:pPr>
              <w:spacing w:after="220"/>
              <w:rPr>
                <w:sz w:val="20"/>
                <w:lang w:val="fr-FR"/>
              </w:rPr>
            </w:pPr>
          </w:p>
          <w:p w14:paraId="4EBD97E1" w14:textId="77777777" w:rsidR="00A80AC5" w:rsidRPr="006F4120" w:rsidRDefault="00A80AC5" w:rsidP="002D7EE2">
            <w:pPr>
              <w:spacing w:after="220"/>
              <w:rPr>
                <w:sz w:val="20"/>
                <w:lang w:val="fr-FR"/>
              </w:rPr>
            </w:pPr>
          </w:p>
          <w:p w14:paraId="5A7865FB" w14:textId="63EB2A62" w:rsidR="00A80AC5" w:rsidRPr="006F4120" w:rsidRDefault="00A80AC5" w:rsidP="002D7EE2">
            <w:pPr>
              <w:numPr>
                <w:ilvl w:val="0"/>
                <w:numId w:val="44"/>
              </w:numPr>
              <w:spacing w:after="220"/>
              <w:rPr>
                <w:sz w:val="20"/>
                <w:lang w:val="fr-FR"/>
              </w:rPr>
            </w:pPr>
            <w:r w:rsidRPr="006F4120">
              <w:rPr>
                <w:sz w:val="20"/>
                <w:lang w:val="fr-FR"/>
              </w:rPr>
              <w:t>Bien que compliquée, cette disposition fournit des critères pour les personnes ou entités qui peuvent succéder au droit de suite des artistes, c’est</w:t>
            </w:r>
            <w:r w:rsidR="00FA1A0F">
              <w:rPr>
                <w:sz w:val="20"/>
                <w:lang w:val="fr-FR"/>
              </w:rPr>
              <w:noBreakHyphen/>
            </w:r>
            <w:r w:rsidRPr="006F4120">
              <w:rPr>
                <w:sz w:val="20"/>
                <w:lang w:val="fr-FR"/>
              </w:rPr>
              <w:t>à</w:t>
            </w:r>
            <w:r w:rsidR="00FA1A0F">
              <w:rPr>
                <w:sz w:val="20"/>
                <w:lang w:val="fr-FR"/>
              </w:rPr>
              <w:noBreakHyphen/>
            </w:r>
            <w:r w:rsidRPr="006F4120">
              <w:rPr>
                <w:sz w:val="20"/>
                <w:lang w:val="fr-FR"/>
              </w:rPr>
              <w:t>dire les individus et certaines autres entités, tels que les organismes de bienfaisance et les organismes communautaires qui peuvent être ou non des personnes morales.  Elle prévoit également la succession à l’ayant cause.</w:t>
            </w:r>
          </w:p>
          <w:p w14:paraId="57ED46D1" w14:textId="77777777" w:rsidR="00A80AC5" w:rsidRPr="006F4120" w:rsidRDefault="00A80AC5" w:rsidP="00BA2CF0">
            <w:pPr>
              <w:numPr>
                <w:ilvl w:val="0"/>
                <w:numId w:val="44"/>
              </w:numPr>
              <w:spacing w:before="60" w:after="60"/>
              <w:rPr>
                <w:sz w:val="20"/>
                <w:lang w:val="fr-FR"/>
              </w:rPr>
            </w:pPr>
            <w:r w:rsidRPr="006F4120">
              <w:rPr>
                <w:sz w:val="20"/>
                <w:lang w:val="fr-FR"/>
              </w:rPr>
              <w:t xml:space="preserve">Ceci est fourni simplement comme un point de départ que </w:t>
            </w:r>
            <w:r w:rsidRPr="006F4120">
              <w:rPr>
                <w:sz w:val="20"/>
                <w:lang w:val="fr-FR"/>
              </w:rPr>
              <w:lastRenderedPageBreak/>
              <w:t>les législateurs nationaux et les décideurs politiques doivent prendre en compte, compte tenu de leurs propres systèmes juridiques et traditions sociales et culturelles, par exemple, il pourrait être possible de limiter la référence aux organisations caritatives ou aux organismes communautaires à ceux directement concernés par les auteurs et stipulant que les recettes du droit de suite des artistes doivent être affectées à la fourniture d’un soutien social aux artistes, ou ces objectifs pourraient être définis de manière plus générale.</w:t>
            </w:r>
          </w:p>
          <w:p w14:paraId="44C2AAB3" w14:textId="77777777" w:rsidR="00A80AC5" w:rsidRPr="006F4120" w:rsidRDefault="00A80AC5" w:rsidP="00BA2CF0">
            <w:pPr>
              <w:numPr>
                <w:ilvl w:val="0"/>
                <w:numId w:val="44"/>
              </w:numPr>
              <w:spacing w:before="60" w:after="60"/>
              <w:rPr>
                <w:sz w:val="20"/>
                <w:lang w:val="fr-FR"/>
              </w:rPr>
            </w:pPr>
            <w:r w:rsidRPr="006F4120">
              <w:rPr>
                <w:sz w:val="20"/>
                <w:lang w:val="fr-FR"/>
              </w:rPr>
              <w:t>Alternativement, un régime national pourrait se contenter de laisser la succession du droit de suite des artistes aux seuls héritiers de l’auteur décédé.</w:t>
            </w:r>
          </w:p>
          <w:p w14:paraId="7B1B68A5" w14:textId="77777777" w:rsidR="00A80AC5" w:rsidRPr="006F4120" w:rsidRDefault="00A80AC5" w:rsidP="00BA2CF0">
            <w:pPr>
              <w:numPr>
                <w:ilvl w:val="0"/>
                <w:numId w:val="44"/>
              </w:numPr>
              <w:spacing w:before="60" w:after="60"/>
              <w:rPr>
                <w:sz w:val="20"/>
                <w:lang w:val="fr-FR"/>
              </w:rPr>
            </w:pPr>
            <w:r w:rsidRPr="006F4120">
              <w:rPr>
                <w:sz w:val="20"/>
                <w:lang w:val="fr-FR"/>
              </w:rPr>
              <w:t>L’article 14</w:t>
            </w:r>
            <w:r w:rsidRPr="006F4120">
              <w:rPr>
                <w:i/>
                <w:sz w:val="20"/>
                <w:lang w:val="fr-FR"/>
              </w:rPr>
              <w:t>ter</w:t>
            </w:r>
            <w:r w:rsidRPr="006F4120">
              <w:rPr>
                <w:sz w:val="20"/>
                <w:lang w:val="fr-FR"/>
              </w:rPr>
              <w:t>.1) prévoit que l’une de ces possibilités est ouverte après le décès de l’auteur.</w:t>
            </w:r>
          </w:p>
        </w:tc>
      </w:tr>
    </w:tbl>
    <w:p w14:paraId="0C062A55" w14:textId="77777777" w:rsidR="00A80AC5" w:rsidRPr="006F4120" w:rsidRDefault="00A80AC5" w:rsidP="002D7EE2">
      <w:pPr>
        <w:pStyle w:val="Heading1"/>
      </w:pPr>
      <w:r w:rsidRPr="006F4120">
        <w:lastRenderedPageBreak/>
        <w:t>Quelques autres dispositions utiles</w:t>
      </w:r>
    </w:p>
    <w:p w14:paraId="6392B4FA" w14:textId="77777777" w:rsidR="00A80AC5" w:rsidRPr="006F4120" w:rsidRDefault="00A80AC5" w:rsidP="002D7EE2">
      <w:pPr>
        <w:pStyle w:val="Heading4"/>
      </w:pPr>
      <w:r w:rsidRPr="006F4120">
        <w:t>Droits conjoints</w:t>
      </w:r>
    </w:p>
    <w:p w14:paraId="0E35BA35" w14:textId="72F7D5C3" w:rsidR="00A80AC5" w:rsidRPr="006F4120" w:rsidRDefault="00A80AC5" w:rsidP="002D7EE2">
      <w:pPr>
        <w:pStyle w:val="ONUMFS"/>
        <w:rPr>
          <w:lang w:val="fr-FR"/>
        </w:rPr>
      </w:pPr>
      <w:r w:rsidRPr="006F4120">
        <w:rPr>
          <w:lang w:val="fr-FR"/>
        </w:rPr>
        <w:t>Lorsqu’il y a plusieurs auteurs d’une œuvre soumise au droit de suite des artistes, il peut être utile d’avoir une disposition dans la législation nationale traitant de leurs droits respectifs.  Les dispositions suivantes tirées de précédents britanniques et australiens peuvent être utiles ici (alternativement, il peut être suffisant de s’appuyer sur des dispositions déjà contenues dans les lois nationales sur le droit d’auteur).  En guise de précision, les références ci</w:t>
      </w:r>
      <w:r w:rsidR="00FA1A0F">
        <w:rPr>
          <w:lang w:val="fr-FR"/>
        </w:rPr>
        <w:noBreakHyphen/>
      </w:r>
      <w:r w:rsidRPr="006F4120">
        <w:rPr>
          <w:lang w:val="fr-FR"/>
        </w:rPr>
        <w:t xml:space="preserve">dessous à “propriétaires communs” ou “part égale” signifient que l’auteur et ses ayants droit ont droit à une part égale dans le droit de suite des artistes, sauf disposition contraire.  Cela contraste avec la situation qui s’applique lorsque les copropriétaires d’un droit détiennent en tant que “copropriétaires”, ce qui, dans les systèmes de </w:t>
      </w:r>
      <w:proofErr w:type="spellStart"/>
      <w:r w:rsidRPr="006F4120">
        <w:rPr>
          <w:i/>
          <w:lang w:val="fr-FR"/>
        </w:rPr>
        <w:t>common</w:t>
      </w:r>
      <w:proofErr w:type="spellEnd"/>
      <w:r w:rsidRPr="006F4120">
        <w:rPr>
          <w:i/>
          <w:lang w:val="fr-FR"/>
        </w:rPr>
        <w:t> </w:t>
      </w:r>
      <w:proofErr w:type="spellStart"/>
      <w:r w:rsidRPr="006F4120">
        <w:rPr>
          <w:i/>
          <w:lang w:val="fr-FR"/>
        </w:rPr>
        <w:t>law</w:t>
      </w:r>
      <w:proofErr w:type="spellEnd"/>
      <w:r w:rsidRPr="006F4120">
        <w:rPr>
          <w:lang w:val="fr-FR"/>
        </w:rPr>
        <w:t>, indique que le copropriétaire survivant succède à la part du copropriétaire décédé.</w:t>
      </w:r>
    </w:p>
    <w:p w14:paraId="3E353F7F" w14:textId="77777777" w:rsidR="00A80AC5" w:rsidRPr="006F4120" w:rsidRDefault="00A80AC5" w:rsidP="002D7EE2">
      <w:pPr>
        <w:pStyle w:val="Heading2"/>
      </w:pPr>
      <w:r w:rsidRPr="006F4120">
        <w:t>Tableau 15</w:t>
      </w:r>
    </w:p>
    <w:tbl>
      <w:tblPr>
        <w:tblStyle w:val="TableGrid"/>
        <w:tblW w:w="0" w:type="auto"/>
        <w:tblLook w:val="04A0" w:firstRow="1" w:lastRow="0" w:firstColumn="1" w:lastColumn="0" w:noHBand="0" w:noVBand="1"/>
      </w:tblPr>
      <w:tblGrid>
        <w:gridCol w:w="2122"/>
        <w:gridCol w:w="2835"/>
        <w:gridCol w:w="4053"/>
      </w:tblGrid>
      <w:tr w:rsidR="00A80AC5" w:rsidRPr="006F4120" w14:paraId="172DA88B" w14:textId="77777777" w:rsidTr="00535FDF">
        <w:tc>
          <w:tcPr>
            <w:tcW w:w="2122" w:type="dxa"/>
          </w:tcPr>
          <w:p w14:paraId="1BD1C67A" w14:textId="77777777" w:rsidR="00A80AC5" w:rsidRPr="006F4120" w:rsidRDefault="00A80AC5" w:rsidP="002D7EE2">
            <w:pPr>
              <w:spacing w:after="220"/>
              <w:rPr>
                <w:iCs/>
                <w:u w:val="single"/>
                <w:lang w:val="fr-FR"/>
              </w:rPr>
            </w:pPr>
            <w:r w:rsidRPr="006F4120">
              <w:rPr>
                <w:b/>
                <w:iCs/>
                <w:lang w:val="fr-FR"/>
              </w:rPr>
              <w:t>Type de disposition</w:t>
            </w:r>
          </w:p>
        </w:tc>
        <w:tc>
          <w:tcPr>
            <w:tcW w:w="2835" w:type="dxa"/>
          </w:tcPr>
          <w:p w14:paraId="59B7F9E8" w14:textId="77777777" w:rsidR="00A80AC5" w:rsidRPr="006F4120" w:rsidRDefault="00A80AC5" w:rsidP="002D7EE2">
            <w:pPr>
              <w:spacing w:after="220"/>
              <w:rPr>
                <w:iCs/>
                <w:u w:val="single"/>
                <w:lang w:val="fr-FR"/>
              </w:rPr>
            </w:pPr>
            <w:r w:rsidRPr="006F4120">
              <w:rPr>
                <w:b/>
                <w:iCs/>
                <w:lang w:val="fr-FR"/>
              </w:rPr>
              <w:t>Texte suggéré</w:t>
            </w:r>
          </w:p>
        </w:tc>
        <w:tc>
          <w:tcPr>
            <w:tcW w:w="4053" w:type="dxa"/>
          </w:tcPr>
          <w:p w14:paraId="01FB0CFB" w14:textId="77777777" w:rsidR="00A80AC5" w:rsidRPr="006F4120" w:rsidRDefault="00A80AC5" w:rsidP="002D7EE2">
            <w:pPr>
              <w:spacing w:after="220"/>
              <w:rPr>
                <w:iCs/>
                <w:u w:val="single"/>
                <w:lang w:val="fr-FR"/>
              </w:rPr>
            </w:pPr>
            <w:r w:rsidRPr="006F4120">
              <w:rPr>
                <w:b/>
                <w:iCs/>
                <w:lang w:val="fr-FR"/>
              </w:rPr>
              <w:t>Observations</w:t>
            </w:r>
          </w:p>
        </w:tc>
      </w:tr>
      <w:tr w:rsidR="00A80AC5" w:rsidRPr="006F4120" w14:paraId="6C8555FD" w14:textId="77777777" w:rsidTr="00535FDF">
        <w:tc>
          <w:tcPr>
            <w:tcW w:w="2122" w:type="dxa"/>
          </w:tcPr>
          <w:p w14:paraId="4DA7882E" w14:textId="64119C91" w:rsidR="00A80AC5" w:rsidRPr="006F4120" w:rsidRDefault="00A80AC5" w:rsidP="00BA2CF0">
            <w:pPr>
              <w:spacing w:before="60" w:after="220"/>
              <w:rPr>
                <w:iCs/>
                <w:sz w:val="20"/>
                <w:lang w:val="fr-FR"/>
              </w:rPr>
            </w:pPr>
            <w:r w:rsidRPr="006F4120">
              <w:rPr>
                <w:iCs/>
                <w:sz w:val="20"/>
                <w:lang w:val="fr-FR"/>
              </w:rPr>
              <w:t>Plus d’un auteur (Royaume</w:t>
            </w:r>
            <w:r w:rsidR="00FA1A0F">
              <w:rPr>
                <w:iCs/>
                <w:sz w:val="20"/>
                <w:lang w:val="fr-FR"/>
              </w:rPr>
              <w:noBreakHyphen/>
            </w:r>
            <w:r w:rsidRPr="006F4120">
              <w:rPr>
                <w:iCs/>
                <w:sz w:val="20"/>
                <w:lang w:val="fr-FR"/>
              </w:rPr>
              <w:t>Uni)</w:t>
            </w:r>
          </w:p>
        </w:tc>
        <w:tc>
          <w:tcPr>
            <w:tcW w:w="2835" w:type="dxa"/>
          </w:tcPr>
          <w:p w14:paraId="2F203995" w14:textId="77777777" w:rsidR="00A80AC5" w:rsidRPr="006F4120" w:rsidRDefault="00A80AC5" w:rsidP="00BA2CF0">
            <w:pPr>
              <w:spacing w:before="60" w:after="60"/>
              <w:rPr>
                <w:b/>
                <w:bCs/>
                <w:iCs/>
                <w:sz w:val="20"/>
                <w:lang w:val="fr-FR"/>
              </w:rPr>
            </w:pPr>
            <w:r w:rsidRPr="006F4120">
              <w:rPr>
                <w:b/>
                <w:bCs/>
                <w:iCs/>
                <w:sz w:val="20"/>
                <w:lang w:val="fr-FR"/>
              </w:rPr>
              <w:t>Collaboration</w:t>
            </w:r>
          </w:p>
          <w:p w14:paraId="024DE00D" w14:textId="77777777" w:rsidR="00A80AC5" w:rsidRPr="006F4120" w:rsidRDefault="00A80AC5" w:rsidP="00BA2CF0">
            <w:pPr>
              <w:spacing w:before="60" w:after="60"/>
              <w:rPr>
                <w:iCs/>
                <w:sz w:val="20"/>
                <w:lang w:val="fr-FR"/>
              </w:rPr>
            </w:pPr>
            <w:r w:rsidRPr="006F4120">
              <w:rPr>
                <w:rFonts w:eastAsia="Times New Roman"/>
                <w:sz w:val="20"/>
                <w:lang w:val="fr-FR" w:eastAsia="fr-CH"/>
              </w:rPr>
              <w:t>5.</w:t>
            </w:r>
            <w:r>
              <w:rPr>
                <w:rFonts w:eastAsia="Times New Roman"/>
                <w:sz w:val="20"/>
                <w:lang w:val="fr-FR" w:eastAsia="fr-CH"/>
              </w:rPr>
              <w:t>–</w:t>
            </w:r>
            <w:r w:rsidRPr="006F4120">
              <w:rPr>
                <w:iCs/>
                <w:sz w:val="20"/>
                <w:lang w:val="fr-FR"/>
              </w:rPr>
              <w:t xml:space="preserve">1) Dans le cas d’une œuvre de collaboration, le droit de suite appartient aux </w:t>
            </w:r>
            <w:r w:rsidRPr="006F4120">
              <w:rPr>
                <w:iCs/>
                <w:sz w:val="20"/>
                <w:lang w:val="fr-FR"/>
              </w:rPr>
              <w:lastRenderedPageBreak/>
              <w:t>auteurs en tant que copropriétaires.</w:t>
            </w:r>
          </w:p>
          <w:p w14:paraId="0098FAD0" w14:textId="77777777" w:rsidR="00A80AC5" w:rsidRPr="006F4120" w:rsidRDefault="00A80AC5" w:rsidP="00BA2CF0">
            <w:pPr>
              <w:spacing w:before="60" w:after="60"/>
              <w:rPr>
                <w:iCs/>
                <w:sz w:val="20"/>
                <w:lang w:val="fr-FR"/>
              </w:rPr>
            </w:pPr>
            <w:r w:rsidRPr="006F4120">
              <w:rPr>
                <w:iCs/>
                <w:sz w:val="20"/>
                <w:lang w:val="fr-FR"/>
              </w:rPr>
              <w:t>2) Le droit est détenu en parts égales ou en toutes autres parts convenues.</w:t>
            </w:r>
          </w:p>
          <w:p w14:paraId="07DAB7DD" w14:textId="77777777" w:rsidR="00A80AC5" w:rsidRPr="006F4120" w:rsidRDefault="00A80AC5" w:rsidP="00BA2CF0">
            <w:pPr>
              <w:spacing w:before="60" w:after="60"/>
              <w:rPr>
                <w:iCs/>
                <w:sz w:val="20"/>
                <w:lang w:val="fr-FR"/>
              </w:rPr>
            </w:pPr>
            <w:r w:rsidRPr="006F4120">
              <w:rPr>
                <w:iCs/>
                <w:sz w:val="20"/>
                <w:lang w:val="fr-FR"/>
              </w:rPr>
              <w:t>3) Un tel accord doit être écrit et signé par ou au nom de chaque partie à l’accord.</w:t>
            </w:r>
          </w:p>
          <w:p w14:paraId="6CCC4988" w14:textId="77777777" w:rsidR="00A80AC5" w:rsidRPr="006F4120" w:rsidRDefault="00A80AC5" w:rsidP="00BA2CF0">
            <w:pPr>
              <w:spacing w:before="60" w:after="60"/>
              <w:rPr>
                <w:iCs/>
                <w:sz w:val="20"/>
                <w:lang w:val="fr-FR"/>
              </w:rPr>
            </w:pPr>
            <w:r w:rsidRPr="006F4120">
              <w:rPr>
                <w:sz w:val="20"/>
                <w:lang w:val="fr-FR" w:eastAsia="fr-CH"/>
              </w:rPr>
              <w:t xml:space="preserve">4) </w:t>
            </w:r>
            <w:r w:rsidRPr="006F4120">
              <w:rPr>
                <w:rFonts w:eastAsia="Times New Roman"/>
                <w:iCs/>
                <w:sz w:val="20"/>
                <w:lang w:val="fr-FR" w:eastAsia="fr-CH"/>
              </w:rPr>
              <w:t>On entend par “œuvre de collaboration” une œuvre créée par deux auteurs ou plus</w:t>
            </w:r>
            <w:r w:rsidRPr="006F4120">
              <w:rPr>
                <w:rStyle w:val="FootnoteReference"/>
                <w:sz w:val="20"/>
                <w:lang w:val="fr-FR" w:eastAsia="fr-CH"/>
              </w:rPr>
              <w:footnoteReference w:id="121"/>
            </w:r>
            <w:r w:rsidRPr="006F4120">
              <w:rPr>
                <w:rFonts w:eastAsia="Times New Roman"/>
                <w:iCs/>
                <w:sz w:val="20"/>
                <w:lang w:val="fr-FR" w:eastAsia="fr-CH"/>
              </w:rPr>
              <w:t>.</w:t>
            </w:r>
          </w:p>
        </w:tc>
        <w:tc>
          <w:tcPr>
            <w:tcW w:w="4053" w:type="dxa"/>
          </w:tcPr>
          <w:p w14:paraId="742DD295" w14:textId="77777777" w:rsidR="00A80AC5" w:rsidRPr="006F4120" w:rsidRDefault="00A80AC5" w:rsidP="00BA2CF0">
            <w:pPr>
              <w:numPr>
                <w:ilvl w:val="0"/>
                <w:numId w:val="44"/>
              </w:numPr>
              <w:spacing w:before="60" w:after="60"/>
              <w:rPr>
                <w:iCs/>
                <w:sz w:val="20"/>
                <w:lang w:val="fr-FR"/>
              </w:rPr>
            </w:pPr>
            <w:r w:rsidRPr="006F4120">
              <w:rPr>
                <w:iCs/>
                <w:sz w:val="20"/>
                <w:lang w:val="fr-FR"/>
              </w:rPr>
              <w:lastRenderedPageBreak/>
              <w:t xml:space="preserve">Des parts égales semblent être une manière plus équitable de procéder ici plutôt que de s’appuyer sur des notions de copropriété où l’auteur </w:t>
            </w:r>
            <w:r w:rsidRPr="006F4120">
              <w:rPr>
                <w:iCs/>
                <w:sz w:val="20"/>
                <w:lang w:val="fr-FR"/>
              </w:rPr>
              <w:lastRenderedPageBreak/>
              <w:t>survivant recevra l’ensemble du droit de suite des artistes.</w:t>
            </w:r>
          </w:p>
          <w:p w14:paraId="1CF48B01" w14:textId="13FD3C33" w:rsidR="00A80AC5" w:rsidRPr="006F4120" w:rsidRDefault="00A80AC5" w:rsidP="00BA2CF0">
            <w:pPr>
              <w:numPr>
                <w:ilvl w:val="0"/>
                <w:numId w:val="44"/>
              </w:numPr>
              <w:spacing w:before="60" w:after="60"/>
              <w:rPr>
                <w:iCs/>
                <w:sz w:val="20"/>
                <w:lang w:val="fr-FR"/>
              </w:rPr>
            </w:pPr>
            <w:r w:rsidRPr="006F4120">
              <w:rPr>
                <w:iCs/>
                <w:sz w:val="20"/>
                <w:lang w:val="fr-FR"/>
              </w:rPr>
              <w:t>La définition d’une “œuvre de collaboration” donnée au paragraphe 4 est plus large que la définition de cette notion dans certaines législations nationales, par exemple lorsque la collaboration est requise et que les contributions des auteurs individuels ne sont pas facilement séparables les unes des autres</w:t>
            </w:r>
            <w:r w:rsidRPr="006F4120">
              <w:rPr>
                <w:iCs/>
                <w:sz w:val="20"/>
                <w:vertAlign w:val="superscript"/>
                <w:lang w:val="fr-FR"/>
              </w:rPr>
              <w:footnoteReference w:id="122"/>
            </w:r>
            <w:r w:rsidRPr="006F4120">
              <w:rPr>
                <w:iCs/>
                <w:sz w:val="20"/>
                <w:lang w:val="fr-FR"/>
              </w:rPr>
              <w:t>.  D’une manière générale, il est suggéré qu’il s’agit d’une disposition appropriée pour toutes les œuvres de plusieurs auteurs et que celles</w:t>
            </w:r>
            <w:r w:rsidR="00FA1A0F">
              <w:rPr>
                <w:iCs/>
                <w:sz w:val="20"/>
                <w:lang w:val="fr-FR"/>
              </w:rPr>
              <w:noBreakHyphen/>
            </w:r>
            <w:r w:rsidRPr="006F4120">
              <w:rPr>
                <w:iCs/>
                <w:sz w:val="20"/>
                <w:lang w:val="fr-FR"/>
              </w:rPr>
              <w:t>ci ne doivent pas nécessairement être limitées à celles qui sont des œuvres d’auteurs conjoints en vertu du droit national.  Toutefois, il appartient à chaque régime de droit de suite des artistes national de trancher cette question, compte tenu de sa propre législation nationale sur le droit d’auteur.</w:t>
            </w:r>
          </w:p>
        </w:tc>
      </w:tr>
      <w:tr w:rsidR="00A80AC5" w:rsidRPr="006F4120" w14:paraId="5245C0E7" w14:textId="77777777" w:rsidTr="00535FDF">
        <w:tc>
          <w:tcPr>
            <w:tcW w:w="2122" w:type="dxa"/>
          </w:tcPr>
          <w:p w14:paraId="5240C6B1" w14:textId="77777777" w:rsidR="00A80AC5" w:rsidRPr="006F4120" w:rsidRDefault="00A80AC5" w:rsidP="00BA2CF0">
            <w:pPr>
              <w:spacing w:before="60" w:after="220"/>
              <w:rPr>
                <w:iCs/>
                <w:sz w:val="20"/>
                <w:lang w:val="fr-FR"/>
              </w:rPr>
            </w:pPr>
            <w:r w:rsidRPr="006F4120">
              <w:rPr>
                <w:iCs/>
                <w:sz w:val="20"/>
                <w:lang w:val="fr-FR"/>
              </w:rPr>
              <w:lastRenderedPageBreak/>
              <w:t>Coauteurs – tous survivants ou certains décédés au moment de la revente (Australie)</w:t>
            </w:r>
          </w:p>
        </w:tc>
        <w:tc>
          <w:tcPr>
            <w:tcW w:w="2835" w:type="dxa"/>
          </w:tcPr>
          <w:p w14:paraId="1A1350D7" w14:textId="77777777" w:rsidR="00A80AC5" w:rsidRPr="006F4120" w:rsidRDefault="00A80AC5" w:rsidP="00BA2CF0">
            <w:pPr>
              <w:autoSpaceDE w:val="0"/>
              <w:autoSpaceDN w:val="0"/>
              <w:adjustRightInd w:val="0"/>
              <w:spacing w:before="60" w:after="120"/>
              <w:rPr>
                <w:rFonts w:eastAsia="Times New Roman"/>
                <w:b/>
                <w:bCs/>
                <w:sz w:val="20"/>
                <w:lang w:val="fr-FR" w:eastAsia="fr-CH"/>
              </w:rPr>
            </w:pPr>
            <w:r w:rsidRPr="006F4120">
              <w:rPr>
                <w:rFonts w:eastAsia="Times New Roman"/>
                <w:b/>
                <w:bCs/>
                <w:sz w:val="20"/>
                <w:lang w:val="fr-FR" w:eastAsia="fr-CH"/>
              </w:rPr>
              <w:t>16 Partage du droit de suite en cas de pluralité d’artistes</w:t>
            </w:r>
          </w:p>
          <w:p w14:paraId="12705F35" w14:textId="77777777" w:rsidR="00A80AC5" w:rsidRPr="006F4120" w:rsidRDefault="00A80AC5" w:rsidP="00BA2CF0">
            <w:pPr>
              <w:autoSpaceDE w:val="0"/>
              <w:autoSpaceDN w:val="0"/>
              <w:adjustRightInd w:val="0"/>
              <w:spacing w:after="60"/>
              <w:jc w:val="both"/>
              <w:rPr>
                <w:rFonts w:eastAsia="Times New Roman"/>
                <w:i/>
                <w:iCs/>
                <w:sz w:val="20"/>
                <w:lang w:val="fr-FR" w:eastAsia="fr-CH"/>
              </w:rPr>
            </w:pPr>
            <w:r w:rsidRPr="006F4120">
              <w:rPr>
                <w:rFonts w:eastAsia="Times New Roman"/>
                <w:i/>
                <w:iCs/>
                <w:sz w:val="20"/>
                <w:lang w:val="fr-FR" w:eastAsia="fr-CH"/>
              </w:rPr>
              <w:t>Lorsqu’il y a plus d’un artiste et qu’ils sont tous en vie</w:t>
            </w:r>
          </w:p>
          <w:p w14:paraId="7C0129AD" w14:textId="77777777" w:rsidR="00A80AC5" w:rsidRPr="006F4120" w:rsidRDefault="00A80AC5" w:rsidP="00BA2CF0">
            <w:pPr>
              <w:spacing w:after="60"/>
              <w:rPr>
                <w:iCs/>
                <w:sz w:val="20"/>
                <w:lang w:val="fr-FR"/>
              </w:rPr>
            </w:pPr>
            <w:r w:rsidRPr="006F4120">
              <w:rPr>
                <w:rFonts w:eastAsia="Times New Roman"/>
                <w:sz w:val="20"/>
                <w:lang w:val="fr-FR" w:eastAsia="fr-CH"/>
              </w:rPr>
              <w:t xml:space="preserve">1) </w:t>
            </w:r>
            <w:r w:rsidRPr="006F4120">
              <w:rPr>
                <w:iCs/>
                <w:sz w:val="20"/>
                <w:lang w:val="fr-FR"/>
              </w:rPr>
              <w:t>Si tous les détenteurs du droit de suite des artistes lors de la revente commerciale d’une œuvre d’art sont les artistes de l’œuvre</w:t>
            </w:r>
            <w:r w:rsidRPr="006F4120">
              <w:rPr>
                <w:rFonts w:eastAsia="Times New Roman"/>
                <w:sz w:val="20"/>
                <w:lang w:val="fr-FR" w:eastAsia="fr-CH"/>
              </w:rPr>
              <w:t xml:space="preserve">, </w:t>
            </w:r>
            <w:r w:rsidRPr="006F4120">
              <w:rPr>
                <w:iCs/>
                <w:sz w:val="20"/>
                <w:lang w:val="fr-FR"/>
              </w:rPr>
              <w:t>chaque artiste a droit à une part égale du droit de suite des artistes sur cette revente commerciale, sauf si :</w:t>
            </w:r>
          </w:p>
          <w:p w14:paraId="53A8BF3E" w14:textId="77777777" w:rsidR="00A80AC5" w:rsidRPr="006F4120" w:rsidRDefault="00A80AC5" w:rsidP="00BA2CF0">
            <w:pPr>
              <w:spacing w:after="60"/>
              <w:rPr>
                <w:iCs/>
                <w:sz w:val="20"/>
                <w:lang w:val="fr-FR"/>
              </w:rPr>
            </w:pPr>
            <w:r w:rsidRPr="006F4120">
              <w:rPr>
                <w:iCs/>
                <w:sz w:val="20"/>
                <w:lang w:val="fr-FR"/>
              </w:rPr>
              <w:t xml:space="preserve">a) les artistes ont convenu de répartir différemment les parts du droit de suite des </w:t>
            </w:r>
            <w:proofErr w:type="gramStart"/>
            <w:r w:rsidRPr="006F4120">
              <w:rPr>
                <w:iCs/>
                <w:sz w:val="20"/>
                <w:lang w:val="fr-FR"/>
              </w:rPr>
              <w:t>artistes;  et</w:t>
            </w:r>
            <w:proofErr w:type="gramEnd"/>
          </w:p>
          <w:p w14:paraId="0BBD8EDC" w14:textId="77777777" w:rsidR="00A80AC5" w:rsidRPr="006F4120" w:rsidRDefault="00A80AC5" w:rsidP="00BA2CF0">
            <w:pPr>
              <w:tabs>
                <w:tab w:val="num" w:pos="717"/>
              </w:tabs>
              <w:spacing w:after="60"/>
              <w:rPr>
                <w:iCs/>
                <w:sz w:val="20"/>
                <w:lang w:val="fr-FR"/>
              </w:rPr>
            </w:pPr>
            <w:r w:rsidRPr="006F4120">
              <w:rPr>
                <w:iCs/>
                <w:sz w:val="20"/>
                <w:lang w:val="fr-FR"/>
              </w:rPr>
              <w:t xml:space="preserve">b) cet accord ne donne pas une part du droit de suite des artistes à une autre personne (autrement que par disposition testamentaire ou conformément aux règles de succession </w:t>
            </w:r>
            <w:r w:rsidRPr="006F4120">
              <w:rPr>
                <w:i/>
                <w:iCs/>
                <w:sz w:val="20"/>
                <w:lang w:val="fr-FR"/>
              </w:rPr>
              <w:t>ab intestat</w:t>
            </w:r>
            <w:r w:rsidRPr="006F4120">
              <w:rPr>
                <w:iCs/>
                <w:sz w:val="20"/>
                <w:lang w:val="fr-FR"/>
              </w:rPr>
              <w:t xml:space="preserve"> au décès d’un artiste).</w:t>
            </w:r>
          </w:p>
          <w:p w14:paraId="021E3F87" w14:textId="77777777" w:rsidR="00A80AC5" w:rsidRPr="006F4120" w:rsidRDefault="00A80AC5" w:rsidP="00BA2CF0">
            <w:pPr>
              <w:autoSpaceDE w:val="0"/>
              <w:autoSpaceDN w:val="0"/>
              <w:adjustRightInd w:val="0"/>
              <w:spacing w:after="60"/>
              <w:jc w:val="both"/>
              <w:rPr>
                <w:rFonts w:eastAsia="Times New Roman"/>
                <w:i/>
                <w:iCs/>
                <w:sz w:val="20"/>
                <w:lang w:val="fr-FR" w:eastAsia="fr-CH"/>
              </w:rPr>
            </w:pPr>
            <w:r w:rsidRPr="006F4120">
              <w:rPr>
                <w:rFonts w:eastAsia="Times New Roman"/>
                <w:i/>
                <w:iCs/>
                <w:sz w:val="20"/>
                <w:lang w:val="fr-FR" w:eastAsia="fr-CH"/>
              </w:rPr>
              <w:lastRenderedPageBreak/>
              <w:t>Lorsqu’il y a plus d’un artiste, mais que l’un d’entre eux n’est plus en vie</w:t>
            </w:r>
          </w:p>
          <w:p w14:paraId="5D77DAF5" w14:textId="77777777" w:rsidR="00A80AC5" w:rsidRPr="006F4120" w:rsidRDefault="00A80AC5" w:rsidP="00BA2CF0">
            <w:pPr>
              <w:keepNext/>
              <w:spacing w:after="60"/>
              <w:rPr>
                <w:iCs/>
                <w:sz w:val="20"/>
                <w:lang w:val="fr-FR"/>
              </w:rPr>
            </w:pPr>
            <w:r w:rsidRPr="006F4120">
              <w:rPr>
                <w:iCs/>
                <w:sz w:val="20"/>
                <w:lang w:val="fr-FR"/>
              </w:rPr>
              <w:t>2) Si :</w:t>
            </w:r>
          </w:p>
          <w:p w14:paraId="5A17DCB2" w14:textId="77777777" w:rsidR="00A80AC5" w:rsidRPr="006F4120" w:rsidRDefault="00A80AC5" w:rsidP="00BA2CF0">
            <w:pPr>
              <w:pStyle w:val="ListParagraph"/>
              <w:numPr>
                <w:ilvl w:val="0"/>
                <w:numId w:val="54"/>
              </w:numPr>
              <w:tabs>
                <w:tab w:val="left" w:pos="316"/>
              </w:tabs>
              <w:spacing w:before="0" w:after="60"/>
              <w:ind w:left="32" w:firstLine="0"/>
              <w:contextualSpacing w:val="0"/>
              <w:jc w:val="left"/>
              <w:rPr>
                <w:iCs/>
                <w:sz w:val="20"/>
                <w:szCs w:val="20"/>
              </w:rPr>
            </w:pPr>
            <w:proofErr w:type="gramStart"/>
            <w:r w:rsidRPr="006F4120">
              <w:rPr>
                <w:iCs/>
                <w:sz w:val="20"/>
                <w:szCs w:val="20"/>
              </w:rPr>
              <w:t>il</w:t>
            </w:r>
            <w:proofErr w:type="gramEnd"/>
            <w:r w:rsidRPr="006F4120">
              <w:rPr>
                <w:iCs/>
                <w:sz w:val="20"/>
                <w:szCs w:val="20"/>
              </w:rPr>
              <w:t xml:space="preserve"> y a plus d’un artiste d’une œuvre d’art;  et</w:t>
            </w:r>
          </w:p>
          <w:p w14:paraId="607A7486" w14:textId="77777777" w:rsidR="00A80AC5" w:rsidRPr="006F4120" w:rsidRDefault="00A80AC5" w:rsidP="00BA2CF0">
            <w:pPr>
              <w:pStyle w:val="ListParagraph"/>
              <w:keepNext/>
              <w:keepLines/>
              <w:numPr>
                <w:ilvl w:val="0"/>
                <w:numId w:val="54"/>
              </w:numPr>
              <w:tabs>
                <w:tab w:val="left" w:pos="316"/>
              </w:tabs>
              <w:spacing w:before="0" w:after="60"/>
              <w:ind w:left="32" w:firstLine="0"/>
              <w:contextualSpacing w:val="0"/>
              <w:jc w:val="left"/>
              <w:rPr>
                <w:iCs/>
                <w:sz w:val="20"/>
                <w:szCs w:val="20"/>
              </w:rPr>
            </w:pPr>
            <w:proofErr w:type="gramStart"/>
            <w:r w:rsidRPr="006F4120">
              <w:rPr>
                <w:iCs/>
                <w:sz w:val="20"/>
                <w:szCs w:val="20"/>
              </w:rPr>
              <w:t>l’un</w:t>
            </w:r>
            <w:proofErr w:type="gramEnd"/>
            <w:r w:rsidRPr="006F4120">
              <w:rPr>
                <w:iCs/>
                <w:sz w:val="20"/>
                <w:szCs w:val="20"/>
              </w:rPr>
              <w:t xml:space="preserve"> des artistes est identifié mais n’est plus en vie au moment d’une revente commerciale de l’œuvre;  et</w:t>
            </w:r>
          </w:p>
          <w:p w14:paraId="54D52D0B" w14:textId="77777777" w:rsidR="00A80AC5" w:rsidRPr="006F4120" w:rsidRDefault="00A80AC5" w:rsidP="00BA2CF0">
            <w:pPr>
              <w:pStyle w:val="ListParagraph"/>
              <w:numPr>
                <w:ilvl w:val="0"/>
                <w:numId w:val="54"/>
              </w:numPr>
              <w:tabs>
                <w:tab w:val="left" w:pos="316"/>
              </w:tabs>
              <w:spacing w:before="0" w:after="60"/>
              <w:ind w:left="32" w:firstLine="0"/>
              <w:contextualSpacing w:val="0"/>
              <w:jc w:val="left"/>
              <w:rPr>
                <w:iCs/>
                <w:sz w:val="20"/>
                <w:szCs w:val="20"/>
              </w:rPr>
            </w:pPr>
            <w:proofErr w:type="gramStart"/>
            <w:r w:rsidRPr="006F4120">
              <w:rPr>
                <w:iCs/>
                <w:sz w:val="20"/>
                <w:szCs w:val="20"/>
              </w:rPr>
              <w:t>l’artiste</w:t>
            </w:r>
            <w:proofErr w:type="gramEnd"/>
            <w:r w:rsidRPr="006F4120">
              <w:rPr>
                <w:iCs/>
                <w:sz w:val="20"/>
                <w:szCs w:val="20"/>
              </w:rPr>
              <w:t xml:space="preserve"> a satisfait au critère de résidence immédiatement avant son décès;</w:t>
            </w:r>
          </w:p>
          <w:p w14:paraId="112DDC36" w14:textId="77777777" w:rsidR="00A80AC5" w:rsidRPr="006F4120" w:rsidRDefault="00A80AC5" w:rsidP="00BA2CF0">
            <w:pPr>
              <w:pStyle w:val="ListParagraph"/>
              <w:tabs>
                <w:tab w:val="left" w:pos="316"/>
              </w:tabs>
              <w:spacing w:before="0" w:after="60"/>
              <w:ind w:left="32"/>
              <w:contextualSpacing w:val="0"/>
              <w:jc w:val="left"/>
              <w:rPr>
                <w:iCs/>
                <w:sz w:val="20"/>
                <w:szCs w:val="20"/>
              </w:rPr>
            </w:pPr>
            <w:proofErr w:type="gramStart"/>
            <w:r w:rsidRPr="006F4120">
              <w:rPr>
                <w:iCs/>
                <w:sz w:val="20"/>
                <w:szCs w:val="20"/>
              </w:rPr>
              <w:t>c’est</w:t>
            </w:r>
            <w:proofErr w:type="gramEnd"/>
            <w:r w:rsidRPr="006F4120">
              <w:rPr>
                <w:iCs/>
                <w:sz w:val="20"/>
                <w:szCs w:val="20"/>
              </w:rPr>
              <w:t xml:space="preserve"> la part du droit de suite des artistes sur la revente commerciale de l’œuvre d’art à laquelle l’artiste aurait eu droit s’il avait été vivant et identifié et s’il avait satisfait au critère de résidence au moment de la revente commerciale qui passe à ceux qui détiennent le droit de suite des artistes sur le marché commercial revente de l’œuvre par l’intermédiaire de cet artiste</w:t>
            </w:r>
            <w:r w:rsidRPr="006F4120">
              <w:rPr>
                <w:sz w:val="20"/>
                <w:szCs w:val="20"/>
                <w:vertAlign w:val="superscript"/>
              </w:rPr>
              <w:footnoteReference w:id="123"/>
            </w:r>
            <w:r w:rsidRPr="006F4120">
              <w:rPr>
                <w:iCs/>
                <w:sz w:val="20"/>
                <w:szCs w:val="20"/>
              </w:rPr>
              <w:t>.</w:t>
            </w:r>
          </w:p>
        </w:tc>
        <w:tc>
          <w:tcPr>
            <w:tcW w:w="4053" w:type="dxa"/>
          </w:tcPr>
          <w:p w14:paraId="2765B599" w14:textId="77777777" w:rsidR="00A80AC5" w:rsidRPr="006F4120" w:rsidRDefault="00A80AC5" w:rsidP="00BA2CF0">
            <w:pPr>
              <w:numPr>
                <w:ilvl w:val="0"/>
                <w:numId w:val="44"/>
              </w:numPr>
              <w:spacing w:before="60" w:after="60"/>
              <w:rPr>
                <w:iCs/>
                <w:sz w:val="20"/>
                <w:lang w:val="fr-FR"/>
              </w:rPr>
            </w:pPr>
            <w:r w:rsidRPr="006F4120">
              <w:rPr>
                <w:iCs/>
                <w:sz w:val="20"/>
                <w:lang w:val="fr-FR"/>
              </w:rPr>
              <w:lastRenderedPageBreak/>
              <w:t>Traite des différentes situations qui peuvent se présenter lorsque tous ou seulement un ou plusieurs des coauteurs sont vivants au moment de la revente.</w:t>
            </w:r>
          </w:p>
          <w:p w14:paraId="03F467FB" w14:textId="77777777" w:rsidR="00A80AC5" w:rsidRPr="006F4120" w:rsidRDefault="00A80AC5" w:rsidP="00BA2CF0">
            <w:pPr>
              <w:numPr>
                <w:ilvl w:val="0"/>
                <w:numId w:val="44"/>
              </w:numPr>
              <w:spacing w:after="60"/>
              <w:rPr>
                <w:iCs/>
                <w:sz w:val="20"/>
                <w:lang w:val="fr-FR"/>
              </w:rPr>
            </w:pPr>
            <w:r w:rsidRPr="006F4120">
              <w:rPr>
                <w:iCs/>
                <w:sz w:val="20"/>
                <w:lang w:val="fr-FR"/>
              </w:rPr>
              <w:t>Cette disposition pourrait être étendue aux manuscrits originaux si cela s’avérait souhaitable.</w:t>
            </w:r>
          </w:p>
        </w:tc>
      </w:tr>
      <w:tr w:rsidR="00A80AC5" w:rsidRPr="006F4120" w14:paraId="06550EFF" w14:textId="77777777" w:rsidTr="00535FDF">
        <w:tc>
          <w:tcPr>
            <w:tcW w:w="2122" w:type="dxa"/>
          </w:tcPr>
          <w:p w14:paraId="59064B03" w14:textId="616A6E7E" w:rsidR="00A80AC5" w:rsidRPr="006F4120" w:rsidRDefault="00A80AC5" w:rsidP="00BA2CF0">
            <w:pPr>
              <w:spacing w:before="60" w:after="220"/>
              <w:rPr>
                <w:iCs/>
                <w:sz w:val="20"/>
                <w:lang w:val="fr-FR"/>
              </w:rPr>
            </w:pPr>
            <w:r w:rsidRPr="006F4120">
              <w:rPr>
                <w:sz w:val="20"/>
                <w:lang w:val="fr-FR"/>
              </w:rPr>
              <w:t>Œuvre d’art créée en collaboration (Nouvelle</w:t>
            </w:r>
            <w:r w:rsidR="00FA1A0F">
              <w:rPr>
                <w:sz w:val="20"/>
                <w:lang w:val="fr-FR"/>
              </w:rPr>
              <w:noBreakHyphen/>
            </w:r>
            <w:r w:rsidRPr="006F4120">
              <w:rPr>
                <w:sz w:val="20"/>
                <w:lang w:val="fr-FR"/>
              </w:rPr>
              <w:t>Zélande)</w:t>
            </w:r>
          </w:p>
        </w:tc>
        <w:tc>
          <w:tcPr>
            <w:tcW w:w="2835" w:type="dxa"/>
          </w:tcPr>
          <w:p w14:paraId="61789DE9" w14:textId="77777777" w:rsidR="00A80AC5" w:rsidRPr="006F4120" w:rsidRDefault="00A80AC5" w:rsidP="00BA2CF0">
            <w:pPr>
              <w:autoSpaceDE w:val="0"/>
              <w:autoSpaceDN w:val="0"/>
              <w:adjustRightInd w:val="0"/>
              <w:spacing w:before="60"/>
              <w:rPr>
                <w:rFonts w:eastAsia="Times New Roman"/>
                <w:b/>
                <w:bCs/>
                <w:sz w:val="20"/>
                <w:lang w:val="fr-FR" w:eastAsia="fr-CH"/>
              </w:rPr>
            </w:pPr>
            <w:r w:rsidRPr="006F4120">
              <w:rPr>
                <w:rFonts w:eastAsia="Times New Roman"/>
                <w:b/>
                <w:bCs/>
                <w:sz w:val="20"/>
                <w:lang w:val="fr-FR" w:eastAsia="fr-CH"/>
              </w:rPr>
              <w:t>12 Droit détenu en parts lorsque l’œuvre d’art est créée en collaboration</w:t>
            </w:r>
          </w:p>
          <w:p w14:paraId="6B4EDC18"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1) Cet article s’applique si un droit de suite naît à l’égard d’une œuvre d’art visuelle originale qui est créée en collaboration par deux artistes ou plus (</w:t>
            </w:r>
            <w:proofErr w:type="spellStart"/>
            <w:r w:rsidRPr="006F4120">
              <w:rPr>
                <w:rFonts w:eastAsia="Times New Roman"/>
                <w:sz w:val="20"/>
                <w:lang w:val="fr-FR" w:eastAsia="fr-CH"/>
              </w:rPr>
              <w:t>coartistes</w:t>
            </w:r>
            <w:proofErr w:type="spellEnd"/>
            <w:r w:rsidRPr="006F4120">
              <w:rPr>
                <w:rFonts w:eastAsia="Times New Roman"/>
                <w:sz w:val="20"/>
                <w:lang w:val="fr-FR" w:eastAsia="fr-CH"/>
              </w:rPr>
              <w:t>).</w:t>
            </w:r>
          </w:p>
          <w:p w14:paraId="4B5E6680"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2) Le droit de suite –</w:t>
            </w:r>
          </w:p>
          <w:p w14:paraId="7F8F17FC" w14:textId="77777777" w:rsidR="00A80AC5" w:rsidRPr="006F4120" w:rsidRDefault="00A80AC5" w:rsidP="00BA2CF0">
            <w:pPr>
              <w:autoSpaceDE w:val="0"/>
              <w:autoSpaceDN w:val="0"/>
              <w:adjustRightInd w:val="0"/>
              <w:rPr>
                <w:rFonts w:eastAsia="Times New Roman"/>
                <w:sz w:val="20"/>
                <w:lang w:val="fr-FR" w:eastAsia="fr-CH"/>
              </w:rPr>
            </w:pPr>
            <w:r w:rsidRPr="006F4120">
              <w:rPr>
                <w:rFonts w:eastAsia="Times New Roman"/>
                <w:sz w:val="20"/>
                <w:lang w:val="fr-FR" w:eastAsia="fr-CH"/>
              </w:rPr>
              <w:t xml:space="preserve">a) n’appartient qu’aux </w:t>
            </w:r>
            <w:proofErr w:type="spellStart"/>
            <w:r w:rsidRPr="006F4120">
              <w:rPr>
                <w:rFonts w:eastAsia="Times New Roman"/>
                <w:sz w:val="20"/>
                <w:lang w:val="fr-FR" w:eastAsia="fr-CH"/>
              </w:rPr>
              <w:t>coartistes</w:t>
            </w:r>
            <w:proofErr w:type="spellEnd"/>
            <w:r w:rsidRPr="006F4120">
              <w:rPr>
                <w:rFonts w:eastAsia="Times New Roman"/>
                <w:sz w:val="20"/>
                <w:lang w:val="fr-FR" w:eastAsia="fr-CH"/>
              </w:rPr>
              <w:t xml:space="preserve"> qui remplissent les conditions requises au moment opportun (voir l’article </w:t>
            </w:r>
            <w:proofErr w:type="gramStart"/>
            <w:r w:rsidRPr="006F4120">
              <w:rPr>
                <w:rFonts w:eastAsia="Times New Roman"/>
                <w:sz w:val="20"/>
                <w:lang w:val="fr-FR" w:eastAsia="fr-CH"/>
              </w:rPr>
              <w:t>7.1)d</w:t>
            </w:r>
            <w:proofErr w:type="gramEnd"/>
            <w:r w:rsidRPr="006F4120">
              <w:rPr>
                <w:rFonts w:eastAsia="Times New Roman"/>
                <w:sz w:val="20"/>
                <w:lang w:val="fr-FR" w:eastAsia="fr-CH"/>
              </w:rPr>
              <w:t>) et 2));  et</w:t>
            </w:r>
          </w:p>
          <w:p w14:paraId="2F98166F" w14:textId="77777777" w:rsidR="00A80AC5" w:rsidRPr="006F4120" w:rsidRDefault="00A80AC5" w:rsidP="00BA2CF0">
            <w:pPr>
              <w:autoSpaceDE w:val="0"/>
              <w:autoSpaceDN w:val="0"/>
              <w:adjustRightInd w:val="0"/>
              <w:rPr>
                <w:rFonts w:eastAsia="Times New Roman"/>
                <w:b/>
                <w:bCs/>
                <w:sz w:val="20"/>
                <w:lang w:val="fr-FR" w:eastAsia="fr-CH"/>
              </w:rPr>
            </w:pPr>
            <w:r w:rsidRPr="006F4120">
              <w:rPr>
                <w:rFonts w:eastAsia="Times New Roman"/>
                <w:sz w:val="20"/>
                <w:lang w:val="fr-FR" w:eastAsia="fr-CH"/>
              </w:rPr>
              <w:t xml:space="preserve">b) est détenu par les </w:t>
            </w:r>
            <w:proofErr w:type="spellStart"/>
            <w:r w:rsidRPr="006F4120">
              <w:rPr>
                <w:rFonts w:eastAsia="Times New Roman"/>
                <w:sz w:val="20"/>
                <w:lang w:val="fr-FR" w:eastAsia="fr-CH"/>
              </w:rPr>
              <w:t>coartistes</w:t>
            </w:r>
            <w:proofErr w:type="spellEnd"/>
            <w:r w:rsidRPr="006F4120">
              <w:rPr>
                <w:rFonts w:eastAsia="Times New Roman"/>
                <w:sz w:val="20"/>
                <w:lang w:val="fr-FR" w:eastAsia="fr-CH"/>
              </w:rPr>
              <w:t xml:space="preserve"> éligibles à parts égales ou dans toute autre proportion définie dans un accord écrit signé par ou pour le compte de tous les </w:t>
            </w:r>
            <w:proofErr w:type="spellStart"/>
            <w:r w:rsidRPr="006F4120">
              <w:rPr>
                <w:rFonts w:eastAsia="Times New Roman"/>
                <w:sz w:val="20"/>
                <w:lang w:val="fr-FR" w:eastAsia="fr-CH"/>
              </w:rPr>
              <w:t>coartistes</w:t>
            </w:r>
            <w:proofErr w:type="spellEnd"/>
            <w:r w:rsidRPr="006F4120">
              <w:rPr>
                <w:rFonts w:eastAsia="Times New Roman"/>
                <w:sz w:val="20"/>
                <w:lang w:val="fr-FR" w:eastAsia="fr-CH"/>
              </w:rPr>
              <w:t xml:space="preserve"> éligibles</w:t>
            </w:r>
            <w:r w:rsidRPr="006F4120">
              <w:rPr>
                <w:rStyle w:val="FootnoteReference"/>
                <w:rFonts w:eastAsia="Times New Roman"/>
                <w:sz w:val="20"/>
                <w:lang w:val="fr-FR" w:eastAsia="fr-CH"/>
              </w:rPr>
              <w:footnoteReference w:id="124"/>
            </w:r>
            <w:r w:rsidRPr="006F4120">
              <w:rPr>
                <w:rFonts w:eastAsia="Times New Roman"/>
                <w:sz w:val="20"/>
                <w:lang w:val="fr-FR" w:eastAsia="fr-CH"/>
              </w:rPr>
              <w:t>.</w:t>
            </w:r>
          </w:p>
        </w:tc>
        <w:tc>
          <w:tcPr>
            <w:tcW w:w="4053" w:type="dxa"/>
          </w:tcPr>
          <w:p w14:paraId="78A16BC6" w14:textId="77777777" w:rsidR="00A80AC5" w:rsidRPr="006F4120" w:rsidRDefault="00A80AC5" w:rsidP="00BA2CF0">
            <w:pPr>
              <w:pStyle w:val="Quote"/>
              <w:numPr>
                <w:ilvl w:val="0"/>
                <w:numId w:val="44"/>
              </w:numPr>
              <w:spacing w:before="60" w:after="60"/>
              <w:jc w:val="left"/>
              <w:rPr>
                <w:rFonts w:ascii="Arial" w:hAnsi="Arial" w:cs="Arial"/>
                <w:color w:val="auto"/>
                <w:szCs w:val="20"/>
              </w:rPr>
            </w:pPr>
            <w:r w:rsidRPr="006F4120">
              <w:rPr>
                <w:rFonts w:ascii="Arial" w:hAnsi="Arial" w:cs="Arial"/>
                <w:color w:val="auto"/>
                <w:szCs w:val="20"/>
              </w:rPr>
              <w:t>Disposition moins détaillée, avec une présomption que les actions seront détenues à parts égales en l’absence d’accord contraire.</w:t>
            </w:r>
          </w:p>
          <w:p w14:paraId="63B087C2" w14:textId="4D61A3A3" w:rsidR="00A80AC5" w:rsidRPr="00474E95" w:rsidRDefault="00A80AC5" w:rsidP="00BA2CF0">
            <w:pPr>
              <w:pStyle w:val="ListParagraph"/>
              <w:numPr>
                <w:ilvl w:val="0"/>
                <w:numId w:val="44"/>
              </w:numPr>
              <w:spacing w:before="60"/>
              <w:jc w:val="left"/>
              <w:rPr>
                <w:rFonts w:cs="Arial"/>
                <w:iCs/>
                <w:sz w:val="20"/>
                <w:szCs w:val="20"/>
              </w:rPr>
            </w:pPr>
            <w:r w:rsidRPr="006F4120">
              <w:rPr>
                <w:rFonts w:cs="Arial"/>
                <w:iCs/>
                <w:sz w:val="20"/>
                <w:szCs w:val="20"/>
              </w:rPr>
              <w:t>Les artistes doivent remplir les conditions fixées par la législation de la Nouvelle</w:t>
            </w:r>
            <w:r w:rsidR="00FA1A0F">
              <w:rPr>
                <w:rFonts w:cs="Arial"/>
                <w:iCs/>
                <w:sz w:val="20"/>
                <w:szCs w:val="20"/>
              </w:rPr>
              <w:noBreakHyphen/>
            </w:r>
            <w:r w:rsidRPr="006F4120">
              <w:rPr>
                <w:rFonts w:cs="Arial"/>
                <w:iCs/>
                <w:sz w:val="20"/>
                <w:szCs w:val="20"/>
              </w:rPr>
              <w:t>Zélande.</w:t>
            </w:r>
          </w:p>
        </w:tc>
      </w:tr>
    </w:tbl>
    <w:p w14:paraId="082D073C" w14:textId="77777777" w:rsidR="00A80AC5" w:rsidRPr="006F4120" w:rsidRDefault="00A80AC5" w:rsidP="002D7EE2">
      <w:pPr>
        <w:pStyle w:val="Heading4"/>
      </w:pPr>
      <w:r w:rsidRPr="006F4120">
        <w:lastRenderedPageBreak/>
        <w:t>Preuve de paternité et présomptions utiles</w:t>
      </w:r>
    </w:p>
    <w:p w14:paraId="427B3DEC" w14:textId="77777777" w:rsidR="00A80AC5" w:rsidRPr="006F4120" w:rsidRDefault="00A80AC5" w:rsidP="002D7EE2">
      <w:pPr>
        <w:pStyle w:val="ONUMFS"/>
        <w:rPr>
          <w:lang w:val="fr-FR"/>
        </w:rPr>
      </w:pPr>
      <w:r w:rsidRPr="006F4120">
        <w:rPr>
          <w:lang w:val="fr-FR"/>
        </w:rPr>
        <w:t>Les législations nationales peuvent souhaiter prévoir la manière dont la paternité de l’œuvre pour laquelle le droit de suite des artistes est revendiqué doit être démontrée.  Il est supposé ici qu’un système d’enregistrement des demandes de droit de suite des artistes ne serait pas autorisé en vertu de l’article 5.2) de la Convention de Berne, bien que l’on puisse faire valoir que cela serait possible s’il était facultatif ou si le droit de suite des artistes faisait l’objet d’une législation autonome plutôt que d’être inclus dans la loi générale sur le droit d’auteur, comme c’est le cas pour la majorité des membres de la Convention de Berne dotés de régimes de droit de suite des artistes.</w:t>
      </w:r>
    </w:p>
    <w:p w14:paraId="0D035843" w14:textId="77777777" w:rsidR="00A80AC5" w:rsidRPr="006F4120" w:rsidRDefault="00A80AC5" w:rsidP="002D7EE2">
      <w:pPr>
        <w:pStyle w:val="ONUMFS"/>
        <w:rPr>
          <w:lang w:val="fr-FR"/>
        </w:rPr>
      </w:pPr>
      <w:r w:rsidRPr="006F4120">
        <w:rPr>
          <w:lang w:val="fr-FR"/>
        </w:rPr>
        <w:t>D’autres présomptions de preuve peuvent également contribuer à la collecte et au recouvrement du droit de suite des artistes, et plusieurs exemples de dispositions utiles à examiner par les décideurs politiques et législatifs nationaux sont contenus dans le tableau 16, ainsi que dans le tableau 26 dans la partie II.</w:t>
      </w:r>
    </w:p>
    <w:p w14:paraId="545DA76E" w14:textId="77777777" w:rsidR="00A80AC5" w:rsidRPr="006F4120" w:rsidRDefault="00A80AC5" w:rsidP="002D7EE2">
      <w:pPr>
        <w:pStyle w:val="Heading2"/>
      </w:pPr>
      <w:r w:rsidRPr="006F4120">
        <w:t>Tableau 16</w:t>
      </w:r>
    </w:p>
    <w:tbl>
      <w:tblPr>
        <w:tblStyle w:val="TableGrid"/>
        <w:tblW w:w="0" w:type="auto"/>
        <w:tblInd w:w="-5" w:type="dxa"/>
        <w:tblLook w:val="04A0" w:firstRow="1" w:lastRow="0" w:firstColumn="1" w:lastColumn="0" w:noHBand="0" w:noVBand="1"/>
      </w:tblPr>
      <w:tblGrid>
        <w:gridCol w:w="1572"/>
        <w:gridCol w:w="4857"/>
        <w:gridCol w:w="2506"/>
      </w:tblGrid>
      <w:tr w:rsidR="00A80AC5" w:rsidRPr="006F4120" w14:paraId="76FB4E7A" w14:textId="77777777" w:rsidTr="00545780">
        <w:tc>
          <w:tcPr>
            <w:tcW w:w="1572" w:type="dxa"/>
          </w:tcPr>
          <w:p w14:paraId="27ECFD6E" w14:textId="77777777" w:rsidR="00A80AC5" w:rsidRPr="006F4120" w:rsidRDefault="00A80AC5" w:rsidP="002D7EE2">
            <w:pPr>
              <w:keepNext/>
              <w:spacing w:after="220"/>
              <w:rPr>
                <w:lang w:val="fr-FR"/>
              </w:rPr>
            </w:pPr>
            <w:r w:rsidRPr="006F4120">
              <w:rPr>
                <w:b/>
                <w:lang w:val="fr-FR"/>
              </w:rPr>
              <w:t>Type de disposition</w:t>
            </w:r>
          </w:p>
        </w:tc>
        <w:tc>
          <w:tcPr>
            <w:tcW w:w="4857" w:type="dxa"/>
          </w:tcPr>
          <w:p w14:paraId="49C32FF7" w14:textId="77777777" w:rsidR="00A80AC5" w:rsidRPr="006F4120" w:rsidRDefault="00A80AC5" w:rsidP="002D7EE2">
            <w:pPr>
              <w:keepNext/>
              <w:spacing w:after="220"/>
              <w:rPr>
                <w:lang w:val="fr-FR"/>
              </w:rPr>
            </w:pPr>
            <w:r w:rsidRPr="006F4120">
              <w:rPr>
                <w:b/>
                <w:lang w:val="fr-FR"/>
              </w:rPr>
              <w:t>Texte suggéré</w:t>
            </w:r>
          </w:p>
        </w:tc>
        <w:tc>
          <w:tcPr>
            <w:tcW w:w="2506" w:type="dxa"/>
          </w:tcPr>
          <w:p w14:paraId="6013E9C0" w14:textId="77777777" w:rsidR="00A80AC5" w:rsidRPr="006F4120" w:rsidRDefault="00A80AC5" w:rsidP="002D7EE2">
            <w:pPr>
              <w:keepNext/>
              <w:spacing w:after="220"/>
              <w:rPr>
                <w:lang w:val="fr-FR"/>
              </w:rPr>
            </w:pPr>
            <w:r w:rsidRPr="006F4120">
              <w:rPr>
                <w:b/>
                <w:lang w:val="fr-FR"/>
              </w:rPr>
              <w:t>Observations</w:t>
            </w:r>
          </w:p>
        </w:tc>
      </w:tr>
      <w:tr w:rsidR="00A80AC5" w:rsidRPr="006F4120" w14:paraId="29EBEF77" w14:textId="77777777" w:rsidTr="00545780">
        <w:tc>
          <w:tcPr>
            <w:tcW w:w="1572" w:type="dxa"/>
          </w:tcPr>
          <w:p w14:paraId="21FE9575" w14:textId="77777777" w:rsidR="00A80AC5" w:rsidRPr="006F4120" w:rsidRDefault="00A80AC5" w:rsidP="00BA2CF0">
            <w:pPr>
              <w:spacing w:before="60" w:after="220"/>
              <w:rPr>
                <w:sz w:val="20"/>
                <w:lang w:val="fr-FR"/>
              </w:rPr>
            </w:pPr>
            <w:r w:rsidRPr="006F4120">
              <w:rPr>
                <w:sz w:val="20"/>
                <w:lang w:val="fr-FR"/>
              </w:rPr>
              <w:t>Présomption relative à la paternité (Kenya)</w:t>
            </w:r>
          </w:p>
        </w:tc>
        <w:tc>
          <w:tcPr>
            <w:tcW w:w="4857" w:type="dxa"/>
          </w:tcPr>
          <w:p w14:paraId="3EB87C26" w14:textId="77777777" w:rsidR="00A80AC5" w:rsidRPr="006F4120" w:rsidRDefault="00A80AC5" w:rsidP="00BA2CF0">
            <w:pPr>
              <w:spacing w:before="60" w:after="220"/>
              <w:rPr>
                <w:sz w:val="20"/>
                <w:lang w:val="fr-FR"/>
              </w:rPr>
            </w:pPr>
            <w:r w:rsidRPr="006F4120">
              <w:rPr>
                <w:sz w:val="20"/>
                <w:lang w:val="fr-FR"/>
              </w:rPr>
              <w:t>Si une marque ou un nom visant à identifier une personne en tant qu’auteur d’une œuvre d’art apparaît sur l’œuvre, il sera présumé, en l’absence de toute autre marque ou preuve, que la personne en est l’auteur</w:t>
            </w:r>
            <w:r w:rsidRPr="006F4120">
              <w:rPr>
                <w:sz w:val="20"/>
                <w:vertAlign w:val="superscript"/>
                <w:lang w:val="fr-FR"/>
              </w:rPr>
              <w:footnoteReference w:id="125"/>
            </w:r>
            <w:r w:rsidRPr="006F4120">
              <w:rPr>
                <w:sz w:val="20"/>
                <w:lang w:val="fr-FR"/>
              </w:rPr>
              <w:t>.</w:t>
            </w:r>
          </w:p>
        </w:tc>
        <w:tc>
          <w:tcPr>
            <w:tcW w:w="2506" w:type="dxa"/>
          </w:tcPr>
          <w:p w14:paraId="467FA50E" w14:textId="089073A0" w:rsidR="00A80AC5" w:rsidRPr="006F4120" w:rsidRDefault="00A80AC5" w:rsidP="00BA2CF0">
            <w:pPr>
              <w:numPr>
                <w:ilvl w:val="0"/>
                <w:numId w:val="46"/>
              </w:numPr>
              <w:spacing w:before="60" w:after="220"/>
              <w:rPr>
                <w:b/>
                <w:bCs/>
                <w:sz w:val="20"/>
                <w:lang w:val="fr-FR"/>
              </w:rPr>
            </w:pPr>
            <w:r w:rsidRPr="006F4120">
              <w:rPr>
                <w:sz w:val="20"/>
                <w:lang w:val="fr-FR"/>
              </w:rPr>
              <w:t>La présomption s’applique en l’absence de toute autre marque ou preuve de paternité.</w:t>
            </w:r>
          </w:p>
        </w:tc>
      </w:tr>
      <w:tr w:rsidR="00A80AC5" w:rsidRPr="006F4120" w14:paraId="1A36461C" w14:textId="77777777" w:rsidTr="00545780">
        <w:tc>
          <w:tcPr>
            <w:tcW w:w="1572" w:type="dxa"/>
          </w:tcPr>
          <w:p w14:paraId="5B4E78DA" w14:textId="75B05EE8" w:rsidR="00A80AC5" w:rsidRPr="006F4120" w:rsidRDefault="00A80AC5" w:rsidP="00BA2CF0">
            <w:pPr>
              <w:spacing w:before="60" w:after="220"/>
              <w:rPr>
                <w:sz w:val="20"/>
                <w:lang w:val="fr-FR"/>
              </w:rPr>
            </w:pPr>
            <w:r w:rsidRPr="006F4120">
              <w:rPr>
                <w:sz w:val="20"/>
                <w:lang w:val="fr-FR"/>
              </w:rPr>
              <w:t>Présomption plus forte en matière de paternité (Royaume</w:t>
            </w:r>
            <w:r w:rsidR="00FA1A0F">
              <w:rPr>
                <w:sz w:val="20"/>
                <w:lang w:val="fr-FR"/>
              </w:rPr>
              <w:noBreakHyphen/>
            </w:r>
            <w:r w:rsidRPr="006F4120">
              <w:rPr>
                <w:sz w:val="20"/>
                <w:lang w:val="fr-FR"/>
              </w:rPr>
              <w:t>Uni)</w:t>
            </w:r>
          </w:p>
        </w:tc>
        <w:tc>
          <w:tcPr>
            <w:tcW w:w="4857" w:type="dxa"/>
          </w:tcPr>
          <w:p w14:paraId="6C7F2E1E" w14:textId="77777777" w:rsidR="00A80AC5" w:rsidRPr="006F4120" w:rsidRDefault="00A80AC5" w:rsidP="00BA2CF0">
            <w:pPr>
              <w:spacing w:before="60" w:after="120"/>
              <w:rPr>
                <w:iCs/>
                <w:sz w:val="20"/>
                <w:vertAlign w:val="superscript"/>
                <w:lang w:val="fr-FR"/>
              </w:rPr>
            </w:pPr>
            <w:r w:rsidRPr="006F4120">
              <w:rPr>
                <w:iCs/>
                <w:sz w:val="20"/>
                <w:lang w:val="fr-FR"/>
              </w:rPr>
              <w:t>1) Lorsqu’un nom censé être celui de l’auteur figurait sur l’œuvre lors de sa réalisation, la personne dont le nom figurait est, sauf preuve du contraire, présumée être l’auteur de l’œuvre.</w:t>
            </w:r>
          </w:p>
          <w:p w14:paraId="66191674" w14:textId="77777777" w:rsidR="00A80AC5" w:rsidRPr="006F4120" w:rsidRDefault="00A80AC5" w:rsidP="00BA2CF0">
            <w:pPr>
              <w:spacing w:before="60" w:after="220"/>
              <w:rPr>
                <w:iCs/>
                <w:sz w:val="20"/>
                <w:lang w:val="fr-FR"/>
              </w:rPr>
            </w:pPr>
            <w:r w:rsidRPr="006F4120">
              <w:rPr>
                <w:iCs/>
                <w:sz w:val="20"/>
                <w:lang w:val="fr-FR"/>
              </w:rPr>
              <w:t>2) Dans le cas d’une œuvre présumée être une œuvre en collaboration, le paragraphe 1) s’applique à l’égard de chaque personne présumée être l’un des auteurs</w:t>
            </w:r>
            <w:r w:rsidRPr="006F4120">
              <w:rPr>
                <w:iCs/>
                <w:sz w:val="20"/>
                <w:vertAlign w:val="superscript"/>
                <w:lang w:val="fr-FR"/>
              </w:rPr>
              <w:footnoteReference w:id="126"/>
            </w:r>
            <w:r w:rsidRPr="006F4120">
              <w:rPr>
                <w:iCs/>
                <w:sz w:val="20"/>
                <w:lang w:val="fr-FR"/>
              </w:rPr>
              <w:t>.</w:t>
            </w:r>
          </w:p>
        </w:tc>
        <w:tc>
          <w:tcPr>
            <w:tcW w:w="2506" w:type="dxa"/>
          </w:tcPr>
          <w:p w14:paraId="6B7F4D29" w14:textId="77777777" w:rsidR="00A80AC5" w:rsidRPr="006F4120" w:rsidRDefault="00A80AC5" w:rsidP="00BA2CF0">
            <w:pPr>
              <w:numPr>
                <w:ilvl w:val="0"/>
                <w:numId w:val="46"/>
              </w:numPr>
              <w:spacing w:before="60" w:after="60"/>
              <w:rPr>
                <w:sz w:val="20"/>
                <w:lang w:val="fr-FR"/>
              </w:rPr>
            </w:pPr>
            <w:r w:rsidRPr="006F4120">
              <w:rPr>
                <w:sz w:val="20"/>
                <w:lang w:val="fr-FR"/>
              </w:rPr>
              <w:t xml:space="preserve">Prévoit une forte présomption en matière de paternité, exigeant de la personne qui la conteste qu’elle prouve le contraire (dans les systèmes de </w:t>
            </w:r>
            <w:proofErr w:type="spellStart"/>
            <w:r w:rsidRPr="006F4120">
              <w:rPr>
                <w:i/>
                <w:sz w:val="20"/>
                <w:lang w:val="fr-FR"/>
              </w:rPr>
              <w:t>common</w:t>
            </w:r>
            <w:proofErr w:type="spellEnd"/>
            <w:r w:rsidRPr="006F4120">
              <w:rPr>
                <w:i/>
                <w:sz w:val="20"/>
                <w:lang w:val="fr-FR"/>
              </w:rPr>
              <w:t> </w:t>
            </w:r>
            <w:proofErr w:type="spellStart"/>
            <w:r w:rsidRPr="006F4120">
              <w:rPr>
                <w:i/>
                <w:sz w:val="20"/>
                <w:lang w:val="fr-FR"/>
              </w:rPr>
              <w:t>law</w:t>
            </w:r>
            <w:proofErr w:type="spellEnd"/>
            <w:r w:rsidRPr="006F4120">
              <w:rPr>
                <w:sz w:val="20"/>
                <w:lang w:val="fr-FR"/>
              </w:rPr>
              <w:t>, cela se ferait selon la prépondérance des probabilités).</w:t>
            </w:r>
          </w:p>
          <w:p w14:paraId="0DC002C0" w14:textId="77777777" w:rsidR="00A80AC5" w:rsidRPr="006F4120" w:rsidRDefault="00A80AC5" w:rsidP="00BA2CF0">
            <w:pPr>
              <w:numPr>
                <w:ilvl w:val="0"/>
                <w:numId w:val="46"/>
              </w:numPr>
              <w:spacing w:before="60" w:after="220"/>
              <w:rPr>
                <w:sz w:val="20"/>
                <w:lang w:val="fr-FR"/>
              </w:rPr>
            </w:pPr>
            <w:r w:rsidRPr="006F4120">
              <w:rPr>
                <w:sz w:val="20"/>
                <w:lang w:val="fr-FR"/>
              </w:rPr>
              <w:t>Traite également de la question de la paternité conjointe.</w:t>
            </w:r>
          </w:p>
        </w:tc>
      </w:tr>
      <w:tr w:rsidR="00A80AC5" w:rsidRPr="006F4120" w14:paraId="424C4FD5" w14:textId="77777777" w:rsidTr="00545780">
        <w:tc>
          <w:tcPr>
            <w:tcW w:w="1572" w:type="dxa"/>
          </w:tcPr>
          <w:p w14:paraId="2F2C6927" w14:textId="4407BA6B" w:rsidR="00A80AC5" w:rsidRPr="006F4120" w:rsidRDefault="00A80AC5" w:rsidP="00BA2CF0">
            <w:pPr>
              <w:spacing w:before="60" w:after="220"/>
              <w:rPr>
                <w:sz w:val="20"/>
                <w:lang w:val="fr-FR"/>
              </w:rPr>
            </w:pPr>
            <w:r w:rsidRPr="006F4120">
              <w:rPr>
                <w:sz w:val="20"/>
                <w:lang w:val="fr-FR"/>
              </w:rPr>
              <w:t>Présomptions plus faibles en matière de paternité</w:t>
            </w:r>
          </w:p>
        </w:tc>
        <w:tc>
          <w:tcPr>
            <w:tcW w:w="4857" w:type="dxa"/>
          </w:tcPr>
          <w:p w14:paraId="55CAD3DC" w14:textId="77777777" w:rsidR="00A80AC5" w:rsidRPr="006F4120" w:rsidRDefault="00A80AC5" w:rsidP="00BA2CF0">
            <w:pPr>
              <w:spacing w:before="60" w:after="60"/>
              <w:rPr>
                <w:iCs/>
                <w:sz w:val="20"/>
                <w:lang w:val="fr-FR"/>
              </w:rPr>
            </w:pPr>
            <w:r w:rsidRPr="006F4120">
              <w:rPr>
                <w:iCs/>
                <w:sz w:val="20"/>
                <w:lang w:val="fr-FR"/>
              </w:rPr>
              <w:t xml:space="preserve">Si une marque ou un nom censé identifier une personne en tant qu’auteur d’une œuvre d’art [ou d’un manuscrit] apparaît sur l’œuvre d’art [ou le manuscrit], la présence de la marque ou du nom est considérée comme une preuve </w:t>
            </w:r>
            <w:r w:rsidRPr="006F4120">
              <w:rPr>
                <w:i/>
                <w:iCs/>
                <w:sz w:val="20"/>
                <w:lang w:val="fr-FR"/>
              </w:rPr>
              <w:t>prima facie</w:t>
            </w:r>
            <w:r w:rsidRPr="006F4120">
              <w:rPr>
                <w:iCs/>
                <w:sz w:val="20"/>
                <w:lang w:val="fr-FR"/>
              </w:rPr>
              <w:t xml:space="preserve"> aux fins de la présente loi :</w:t>
            </w:r>
          </w:p>
          <w:p w14:paraId="612E7ED4" w14:textId="77777777" w:rsidR="00A80AC5" w:rsidRPr="006F4120" w:rsidRDefault="00A80AC5" w:rsidP="00BA2CF0">
            <w:pPr>
              <w:pStyle w:val="ListParagraph"/>
              <w:numPr>
                <w:ilvl w:val="1"/>
                <w:numId w:val="3"/>
              </w:numPr>
              <w:tabs>
                <w:tab w:val="clear" w:pos="1134"/>
                <w:tab w:val="num" w:pos="655"/>
              </w:tabs>
              <w:spacing w:before="60" w:after="60"/>
              <w:ind w:left="229"/>
              <w:contextualSpacing w:val="0"/>
              <w:jc w:val="left"/>
              <w:rPr>
                <w:iCs/>
                <w:sz w:val="20"/>
                <w:szCs w:val="20"/>
              </w:rPr>
            </w:pPr>
            <w:proofErr w:type="gramStart"/>
            <w:r w:rsidRPr="006F4120">
              <w:rPr>
                <w:iCs/>
                <w:sz w:val="20"/>
                <w:szCs w:val="20"/>
              </w:rPr>
              <w:t>dans</w:t>
            </w:r>
            <w:proofErr w:type="gramEnd"/>
            <w:r w:rsidRPr="006F4120">
              <w:rPr>
                <w:iCs/>
                <w:sz w:val="20"/>
                <w:szCs w:val="20"/>
              </w:rPr>
              <w:t xml:space="preserve"> le cas où il n’y a pas d’autre marque ou nom sur l’œuvre d’art [ou le manuscrit] – la </w:t>
            </w:r>
            <w:r w:rsidRPr="006F4120">
              <w:rPr>
                <w:iCs/>
                <w:sz w:val="20"/>
                <w:szCs w:val="20"/>
              </w:rPr>
              <w:lastRenderedPageBreak/>
              <w:t>personne est l’auteur de l’œuvre d’art [ou du manuscrit];  et</w:t>
            </w:r>
          </w:p>
          <w:p w14:paraId="4FC47809" w14:textId="77777777" w:rsidR="00A80AC5" w:rsidRPr="006F4120" w:rsidRDefault="00A80AC5" w:rsidP="00BA2CF0">
            <w:pPr>
              <w:pStyle w:val="ListParagraph"/>
              <w:numPr>
                <w:ilvl w:val="1"/>
                <w:numId w:val="3"/>
              </w:numPr>
              <w:tabs>
                <w:tab w:val="clear" w:pos="1134"/>
                <w:tab w:val="num" w:pos="655"/>
              </w:tabs>
              <w:spacing w:before="60" w:after="220"/>
              <w:ind w:left="229"/>
              <w:contextualSpacing w:val="0"/>
              <w:jc w:val="left"/>
              <w:rPr>
                <w:iCs/>
                <w:sz w:val="20"/>
                <w:szCs w:val="20"/>
              </w:rPr>
            </w:pPr>
            <w:proofErr w:type="gramStart"/>
            <w:r w:rsidRPr="006F4120">
              <w:rPr>
                <w:sz w:val="20"/>
                <w:szCs w:val="20"/>
              </w:rPr>
              <w:t>dans</w:t>
            </w:r>
            <w:proofErr w:type="gramEnd"/>
            <w:r w:rsidRPr="006F4120">
              <w:rPr>
                <w:sz w:val="20"/>
                <w:szCs w:val="20"/>
              </w:rPr>
              <w:t xml:space="preserve"> le cas où une autre marque ou un autre nom figure sur l’œuvre d’art [ou le manuscrit] – la personne est l’un des artistes de l’œuvre d’art [ou du manuscrit]</w:t>
            </w:r>
            <w:r w:rsidRPr="006F4120">
              <w:rPr>
                <w:sz w:val="20"/>
                <w:szCs w:val="20"/>
                <w:vertAlign w:val="superscript"/>
              </w:rPr>
              <w:footnoteReference w:id="127"/>
            </w:r>
            <w:r w:rsidRPr="006F4120">
              <w:rPr>
                <w:sz w:val="20"/>
                <w:szCs w:val="20"/>
              </w:rPr>
              <w:t>.</w:t>
            </w:r>
          </w:p>
        </w:tc>
        <w:tc>
          <w:tcPr>
            <w:tcW w:w="2506" w:type="dxa"/>
          </w:tcPr>
          <w:p w14:paraId="3F3DD620" w14:textId="77777777" w:rsidR="00A80AC5" w:rsidRPr="006F4120" w:rsidRDefault="00A80AC5" w:rsidP="00BA2CF0">
            <w:pPr>
              <w:numPr>
                <w:ilvl w:val="0"/>
                <w:numId w:val="47"/>
              </w:numPr>
              <w:spacing w:before="60" w:after="220"/>
              <w:rPr>
                <w:sz w:val="20"/>
                <w:lang w:val="fr-FR"/>
              </w:rPr>
            </w:pPr>
            <w:r w:rsidRPr="006F4120">
              <w:rPr>
                <w:sz w:val="20"/>
                <w:lang w:val="fr-FR"/>
              </w:rPr>
              <w:lastRenderedPageBreak/>
              <w:t xml:space="preserve">Une présomption </w:t>
            </w:r>
            <w:r w:rsidRPr="006F4120">
              <w:rPr>
                <w:i/>
                <w:iCs/>
                <w:sz w:val="20"/>
                <w:lang w:val="fr-FR"/>
              </w:rPr>
              <w:t>prima facie</w:t>
            </w:r>
            <w:r w:rsidRPr="006F4120">
              <w:rPr>
                <w:sz w:val="20"/>
                <w:lang w:val="fr-FR"/>
              </w:rPr>
              <w:t xml:space="preserve"> est plus facilement écartée que dans le cas de l’exigence de prouver le contraire.</w:t>
            </w:r>
          </w:p>
        </w:tc>
      </w:tr>
    </w:tbl>
    <w:p w14:paraId="049F7FCA" w14:textId="77777777" w:rsidR="00A80AC5" w:rsidRPr="006F4120" w:rsidRDefault="00A80AC5" w:rsidP="002D7EE2">
      <w:pPr>
        <w:pStyle w:val="Heading4"/>
      </w:pPr>
      <w:r w:rsidRPr="006F4120">
        <w:t>Droit de demander des informations</w:t>
      </w:r>
    </w:p>
    <w:p w14:paraId="75F620F3" w14:textId="77777777" w:rsidR="00A80AC5" w:rsidRPr="006F4120" w:rsidRDefault="00A80AC5" w:rsidP="002D7EE2">
      <w:pPr>
        <w:pStyle w:val="ONUMFS"/>
        <w:rPr>
          <w:lang w:val="fr-FR"/>
        </w:rPr>
      </w:pPr>
      <w:r w:rsidRPr="006F4120">
        <w:rPr>
          <w:lang w:val="fr-FR"/>
        </w:rPr>
        <w:t>Des informations en temps opportun sur l’occurrence des reventes d’œuvres sont essentielles au fonctionnement de tout système droit de suite des artistes, et il est très utile de mettre en place un mécanisme permettant d’obtenir ces informations auprès des professionnels du marché de l’art et d’autres intermédiaires, à la demande de l’auteur ou d’une organisation de gestion collective dûment désignée.</w:t>
      </w:r>
    </w:p>
    <w:p w14:paraId="7E5B0FCC" w14:textId="5262DDEE" w:rsidR="00A80AC5" w:rsidRPr="006F4120" w:rsidRDefault="00A80AC5" w:rsidP="002D7EE2">
      <w:pPr>
        <w:pStyle w:val="ONUMFS"/>
        <w:rPr>
          <w:lang w:val="fr-FR"/>
        </w:rPr>
      </w:pPr>
      <w:r w:rsidRPr="006F4120">
        <w:rPr>
          <w:lang w:val="fr-FR"/>
        </w:rPr>
        <w:t>Des exemples de dispositions figurent dans le tableau suivant, mais des orientations plus détaillées peuvent être traitées de manière plus appropriée dans le cadre d’une législation subordonnée (règlements, décrets, etc.).  Des propositions de dispositions réglementaires sont donc incluses ci</w:t>
      </w:r>
      <w:r w:rsidR="00FA1A0F">
        <w:rPr>
          <w:lang w:val="fr-FR"/>
        </w:rPr>
        <w:noBreakHyphen/>
      </w:r>
      <w:r w:rsidRPr="006F4120">
        <w:rPr>
          <w:lang w:val="fr-FR"/>
        </w:rPr>
        <w:t>dessous.</w:t>
      </w:r>
    </w:p>
    <w:p w14:paraId="0679F954" w14:textId="77777777" w:rsidR="00A80AC5" w:rsidRPr="006F4120" w:rsidRDefault="00A80AC5" w:rsidP="002D7EE2">
      <w:pPr>
        <w:pStyle w:val="ONUMFS"/>
        <w:rPr>
          <w:lang w:val="fr-FR"/>
        </w:rPr>
      </w:pPr>
      <w:r w:rsidRPr="006F4120">
        <w:rPr>
          <w:lang w:val="fr-FR"/>
        </w:rPr>
        <w:t>Les aspects plus opérationnels des régimes de droit de suite des artistes qui surviennent lorsque le droit de suite des artistes est administré par le biais d’une organisation de gestion collective sont examinés plus en détail dans la partie II de cet instrument, en particulier les paragraphes 42 et suivants.</w:t>
      </w:r>
    </w:p>
    <w:p w14:paraId="105EB481" w14:textId="77777777" w:rsidR="00A80AC5" w:rsidRPr="006F4120" w:rsidRDefault="00A80AC5" w:rsidP="002D7EE2">
      <w:pPr>
        <w:pStyle w:val="Heading2"/>
      </w:pPr>
      <w:r w:rsidRPr="006F4120">
        <w:t>Tableau 17</w:t>
      </w:r>
    </w:p>
    <w:tbl>
      <w:tblPr>
        <w:tblStyle w:val="TableGrid"/>
        <w:tblW w:w="0" w:type="auto"/>
        <w:tblInd w:w="-5" w:type="dxa"/>
        <w:tblLayout w:type="fixed"/>
        <w:tblLook w:val="04A0" w:firstRow="1" w:lastRow="0" w:firstColumn="1" w:lastColumn="0" w:noHBand="0" w:noVBand="1"/>
      </w:tblPr>
      <w:tblGrid>
        <w:gridCol w:w="2470"/>
        <w:gridCol w:w="3261"/>
        <w:gridCol w:w="2971"/>
      </w:tblGrid>
      <w:tr w:rsidR="00A80AC5" w:rsidRPr="006F4120" w14:paraId="2B50A668" w14:textId="77777777" w:rsidTr="00545780">
        <w:tc>
          <w:tcPr>
            <w:tcW w:w="2470" w:type="dxa"/>
          </w:tcPr>
          <w:p w14:paraId="1C3F7A0E" w14:textId="77777777" w:rsidR="00A80AC5" w:rsidRPr="006F4120" w:rsidRDefault="00A80AC5" w:rsidP="002D7EE2">
            <w:pPr>
              <w:spacing w:after="220"/>
              <w:rPr>
                <w:lang w:val="fr-FR"/>
              </w:rPr>
            </w:pPr>
            <w:r w:rsidRPr="006F4120">
              <w:rPr>
                <w:b/>
                <w:lang w:val="fr-FR"/>
              </w:rPr>
              <w:t>Type de disposition</w:t>
            </w:r>
          </w:p>
        </w:tc>
        <w:tc>
          <w:tcPr>
            <w:tcW w:w="3261" w:type="dxa"/>
          </w:tcPr>
          <w:p w14:paraId="4A3A1F9C" w14:textId="77777777" w:rsidR="00A80AC5" w:rsidRPr="006F4120" w:rsidRDefault="00A80AC5" w:rsidP="002D7EE2">
            <w:pPr>
              <w:spacing w:after="220"/>
              <w:rPr>
                <w:lang w:val="fr-FR"/>
              </w:rPr>
            </w:pPr>
            <w:r w:rsidRPr="006F4120">
              <w:rPr>
                <w:b/>
                <w:lang w:val="fr-FR"/>
              </w:rPr>
              <w:t>Texte suggéré</w:t>
            </w:r>
          </w:p>
        </w:tc>
        <w:tc>
          <w:tcPr>
            <w:tcW w:w="2971" w:type="dxa"/>
          </w:tcPr>
          <w:p w14:paraId="32DB8A2D" w14:textId="77777777" w:rsidR="00A80AC5" w:rsidRPr="006F4120" w:rsidRDefault="00A80AC5" w:rsidP="002D7EE2">
            <w:pPr>
              <w:spacing w:after="220"/>
              <w:rPr>
                <w:lang w:val="fr-FR"/>
              </w:rPr>
            </w:pPr>
            <w:r w:rsidRPr="006F4120">
              <w:rPr>
                <w:b/>
                <w:lang w:val="fr-FR"/>
              </w:rPr>
              <w:t>Observations</w:t>
            </w:r>
          </w:p>
        </w:tc>
      </w:tr>
      <w:tr w:rsidR="00A80AC5" w:rsidRPr="006F4120" w14:paraId="2A4395D6" w14:textId="77777777" w:rsidTr="00545780">
        <w:tc>
          <w:tcPr>
            <w:tcW w:w="2470" w:type="dxa"/>
          </w:tcPr>
          <w:p w14:paraId="500CB740" w14:textId="77777777" w:rsidR="00A80AC5" w:rsidRPr="006F4120" w:rsidRDefault="00A80AC5" w:rsidP="00BA2CF0">
            <w:pPr>
              <w:spacing w:before="60" w:after="220"/>
              <w:rPr>
                <w:sz w:val="20"/>
                <w:lang w:val="fr-FR"/>
              </w:rPr>
            </w:pPr>
            <w:r w:rsidRPr="006F4120">
              <w:rPr>
                <w:sz w:val="20"/>
                <w:lang w:val="fr-FR"/>
              </w:rPr>
              <w:t>Disposition simple (CE)</w:t>
            </w:r>
          </w:p>
        </w:tc>
        <w:tc>
          <w:tcPr>
            <w:tcW w:w="3261" w:type="dxa"/>
          </w:tcPr>
          <w:p w14:paraId="12DEF96E" w14:textId="77777777" w:rsidR="00A80AC5" w:rsidRPr="006F4120" w:rsidRDefault="00A80AC5" w:rsidP="00BA2CF0">
            <w:pPr>
              <w:autoSpaceDE w:val="0"/>
              <w:autoSpaceDN w:val="0"/>
              <w:adjustRightInd w:val="0"/>
              <w:spacing w:before="60"/>
              <w:jc w:val="both"/>
              <w:rPr>
                <w:sz w:val="20"/>
                <w:lang w:val="fr-FR"/>
              </w:rPr>
            </w:pPr>
            <w:r w:rsidRPr="006F4120">
              <w:rPr>
                <w:sz w:val="20"/>
                <w:lang w:val="fr-FR"/>
              </w:rPr>
              <w:t>Article 9</w:t>
            </w:r>
          </w:p>
          <w:p w14:paraId="0F13A903" w14:textId="77777777" w:rsidR="00A80AC5" w:rsidRPr="006F4120" w:rsidRDefault="00A80AC5" w:rsidP="00BA2CF0">
            <w:pPr>
              <w:autoSpaceDE w:val="0"/>
              <w:autoSpaceDN w:val="0"/>
              <w:adjustRightInd w:val="0"/>
              <w:spacing w:before="60"/>
              <w:jc w:val="both"/>
              <w:rPr>
                <w:sz w:val="20"/>
                <w:lang w:val="fr-FR"/>
              </w:rPr>
            </w:pPr>
            <w:r w:rsidRPr="006F4120">
              <w:rPr>
                <w:sz w:val="20"/>
                <w:lang w:val="fr-FR"/>
              </w:rPr>
              <w:t>Droit de recueillir des informations</w:t>
            </w:r>
          </w:p>
          <w:p w14:paraId="0047867A" w14:textId="77777777" w:rsidR="00A80AC5" w:rsidRPr="006F4120" w:rsidRDefault="00A80AC5" w:rsidP="00BA2CF0">
            <w:pPr>
              <w:pStyle w:val="Quote"/>
              <w:spacing w:before="60"/>
              <w:ind w:left="0"/>
              <w:rPr>
                <w:rFonts w:ascii="Arial" w:hAnsi="Arial" w:cs="Arial"/>
                <w:color w:val="auto"/>
                <w:szCs w:val="20"/>
              </w:rPr>
            </w:pPr>
            <w:r w:rsidRPr="006F4120">
              <w:rPr>
                <w:rFonts w:ascii="Arial" w:hAnsi="Arial" w:cs="Arial"/>
                <w:color w:val="auto"/>
                <w:szCs w:val="20"/>
                <w:lang w:eastAsia="fr-CH"/>
              </w:rPr>
              <w:t>Les États membres prévoient que, pendant une période de trois ans après la revente, les bénéficiaires mentionnés à l’article 6 peuvent exiger de tout professionnel du marché de l’art visé à l’article 1.2) toute information nécessaire à la liquidation des sommes dues au titre du droit de suite relatives à la revente</w:t>
            </w:r>
            <w:r w:rsidRPr="006F4120">
              <w:rPr>
                <w:rStyle w:val="FootnoteReference"/>
                <w:rFonts w:ascii="Arial" w:hAnsi="Arial" w:cs="Arial"/>
                <w:color w:val="auto"/>
                <w:szCs w:val="20"/>
              </w:rPr>
              <w:footnoteReference w:id="128"/>
            </w:r>
            <w:r w:rsidRPr="006F4120">
              <w:rPr>
                <w:rFonts w:ascii="Arial" w:hAnsi="Arial" w:cs="Arial"/>
                <w:color w:val="auto"/>
                <w:szCs w:val="20"/>
                <w:lang w:eastAsia="fr-CH"/>
              </w:rPr>
              <w:t>.</w:t>
            </w:r>
          </w:p>
          <w:p w14:paraId="52FE9424" w14:textId="77777777" w:rsidR="00A80AC5" w:rsidRPr="006F4120" w:rsidRDefault="00A80AC5" w:rsidP="00BA2CF0">
            <w:pPr>
              <w:spacing w:before="60" w:after="220"/>
              <w:rPr>
                <w:iCs/>
                <w:sz w:val="20"/>
                <w:lang w:val="fr-FR"/>
              </w:rPr>
            </w:pPr>
            <w:r w:rsidRPr="006F4120">
              <w:rPr>
                <w:sz w:val="20"/>
                <w:lang w:val="fr-FR"/>
              </w:rPr>
              <w:t xml:space="preserve">2) Des règlements, des décrets et des instructions peuvent être adoptés pour préciser les questions visées au point 1).  </w:t>
            </w:r>
          </w:p>
        </w:tc>
        <w:tc>
          <w:tcPr>
            <w:tcW w:w="2971" w:type="dxa"/>
          </w:tcPr>
          <w:p w14:paraId="0B860E29" w14:textId="77777777" w:rsidR="00A80AC5" w:rsidRPr="006F4120" w:rsidRDefault="00A80AC5" w:rsidP="00BA2CF0">
            <w:pPr>
              <w:pStyle w:val="ListParagraph"/>
              <w:numPr>
                <w:ilvl w:val="0"/>
                <w:numId w:val="45"/>
              </w:numPr>
              <w:spacing w:before="60"/>
              <w:rPr>
                <w:rFonts w:cs="Arial"/>
                <w:sz w:val="20"/>
                <w:szCs w:val="20"/>
              </w:rPr>
            </w:pPr>
            <w:r w:rsidRPr="006F4120">
              <w:rPr>
                <w:rFonts w:cs="Arial"/>
                <w:sz w:val="20"/>
                <w:szCs w:val="20"/>
              </w:rPr>
              <w:t>Établit le droit fondamental des personnes éligibles au droit de suite de recevoir des informations, mais ne précise pas le type d’informations qui peuvent être demandées.</w:t>
            </w:r>
          </w:p>
          <w:p w14:paraId="30D9FE08" w14:textId="1783E671" w:rsidR="00A80AC5" w:rsidRPr="006F4120" w:rsidRDefault="00A80AC5" w:rsidP="00BA2CF0">
            <w:pPr>
              <w:pStyle w:val="ListParagraph"/>
              <w:numPr>
                <w:ilvl w:val="0"/>
                <w:numId w:val="45"/>
              </w:numPr>
              <w:spacing w:before="60"/>
              <w:rPr>
                <w:rFonts w:cs="Arial"/>
                <w:sz w:val="20"/>
                <w:szCs w:val="20"/>
              </w:rPr>
            </w:pPr>
            <w:r w:rsidRPr="006F4120">
              <w:rPr>
                <w:rFonts w:cs="Arial"/>
                <w:sz w:val="20"/>
                <w:szCs w:val="20"/>
              </w:rPr>
              <w:t>Les “ayants droit au titre de l’article 6” couvrent la situation dans laquelle cette personne est une organisation de gestion collective qui gère le droit de suite des artistes pour le compte de l’ayant droit.</w:t>
            </w:r>
          </w:p>
          <w:p w14:paraId="35F34928" w14:textId="77777777" w:rsidR="00A80AC5" w:rsidRPr="006F4120" w:rsidRDefault="00A80AC5" w:rsidP="00BA2CF0">
            <w:pPr>
              <w:pStyle w:val="ListParagraph"/>
              <w:numPr>
                <w:ilvl w:val="0"/>
                <w:numId w:val="45"/>
              </w:numPr>
              <w:spacing w:before="60" w:after="0"/>
              <w:rPr>
                <w:rFonts w:cs="Arial"/>
                <w:sz w:val="20"/>
                <w:szCs w:val="20"/>
              </w:rPr>
            </w:pPr>
            <w:r w:rsidRPr="006F4120">
              <w:rPr>
                <w:rFonts w:cs="Arial"/>
                <w:sz w:val="20"/>
                <w:szCs w:val="20"/>
              </w:rPr>
              <w:t xml:space="preserve">La mise en œuvre effective d’une telle disposition peut nécessiter une réglementation plus précise ou des instructions administratives (en fonction du système juridique particulier du pays qui adopte le régime du </w:t>
            </w:r>
            <w:r w:rsidRPr="006F4120">
              <w:rPr>
                <w:rFonts w:cs="Arial"/>
                <w:sz w:val="20"/>
                <w:szCs w:val="20"/>
              </w:rPr>
              <w:lastRenderedPageBreak/>
              <w:t>droit de suite des artistes).  Un projet de disposition à cet effet pourrait être rédigé comme suit (un nouveau paragraphe 2) ajouté à la disposition de la colonne 2).</w:t>
            </w:r>
          </w:p>
          <w:p w14:paraId="514A4B9D" w14:textId="3FF06AF2" w:rsidR="00A80AC5" w:rsidRPr="006F4120" w:rsidRDefault="00A80AC5" w:rsidP="00BA2CF0">
            <w:pPr>
              <w:numPr>
                <w:ilvl w:val="0"/>
                <w:numId w:val="45"/>
              </w:numPr>
              <w:spacing w:before="60"/>
              <w:rPr>
                <w:sz w:val="20"/>
                <w:lang w:val="fr-FR"/>
              </w:rPr>
            </w:pPr>
            <w:r w:rsidRPr="006F4120">
              <w:rPr>
                <w:sz w:val="20"/>
                <w:lang w:val="fr-FR"/>
              </w:rPr>
              <w:t>Ces règlements, etc., pourraient préciser de manière plus détaillée les aspects opérationnels de toute organisation de gestion collective, y compris tout pouvoir supplémentaire de demander des informations à d’autres autorités, et prévoir des sanctions civiles ou pénales en cas de non</w:t>
            </w:r>
            <w:r w:rsidR="00FA1A0F">
              <w:rPr>
                <w:sz w:val="20"/>
                <w:lang w:val="fr-FR"/>
              </w:rPr>
              <w:noBreakHyphen/>
            </w:r>
            <w:r w:rsidRPr="006F4120">
              <w:rPr>
                <w:sz w:val="20"/>
                <w:lang w:val="fr-FR"/>
              </w:rPr>
              <w:t xml:space="preserve">respect.  </w:t>
            </w:r>
          </w:p>
        </w:tc>
      </w:tr>
      <w:tr w:rsidR="00A80AC5" w:rsidRPr="006F4120" w14:paraId="3A5EDBCF" w14:textId="77777777" w:rsidTr="00545780">
        <w:tc>
          <w:tcPr>
            <w:tcW w:w="2470" w:type="dxa"/>
          </w:tcPr>
          <w:p w14:paraId="7DD7F760" w14:textId="77777777" w:rsidR="00A80AC5" w:rsidRPr="006F4120" w:rsidRDefault="00A80AC5" w:rsidP="000C79A3">
            <w:pPr>
              <w:spacing w:before="60" w:after="120"/>
              <w:rPr>
                <w:sz w:val="20"/>
                <w:lang w:val="fr-FR"/>
              </w:rPr>
            </w:pPr>
            <w:r w:rsidRPr="006F4120">
              <w:rPr>
                <w:sz w:val="20"/>
                <w:lang w:val="fr-FR"/>
              </w:rPr>
              <w:lastRenderedPageBreak/>
              <w:t>Dispositions existantes dans les législations nationales</w:t>
            </w:r>
          </w:p>
        </w:tc>
        <w:tc>
          <w:tcPr>
            <w:tcW w:w="3261" w:type="dxa"/>
          </w:tcPr>
          <w:p w14:paraId="0A145FE2" w14:textId="2B29F52F" w:rsidR="00A80AC5" w:rsidRPr="006F4120" w:rsidRDefault="00A80AC5" w:rsidP="000C79A3">
            <w:pPr>
              <w:pStyle w:val="Quote"/>
              <w:spacing w:before="60" w:after="60"/>
              <w:ind w:left="0"/>
            </w:pPr>
            <w:r w:rsidRPr="006F4120">
              <w:rPr>
                <w:rFonts w:ascii="Arial" w:hAnsi="Arial" w:cs="Arial"/>
                <w:color w:val="auto"/>
                <w:szCs w:val="20"/>
              </w:rPr>
              <w:t>Voir les dispositions reproduites dans le tableau 23 de la partie II.</w:t>
            </w:r>
          </w:p>
        </w:tc>
        <w:tc>
          <w:tcPr>
            <w:tcW w:w="2971" w:type="dxa"/>
          </w:tcPr>
          <w:p w14:paraId="4AAF18FF" w14:textId="77777777" w:rsidR="00A80AC5" w:rsidRPr="006F4120" w:rsidRDefault="00A80AC5" w:rsidP="002D7EE2">
            <w:pPr>
              <w:pStyle w:val="ListParagraph"/>
              <w:ind w:left="360"/>
              <w:rPr>
                <w:rFonts w:cs="Arial"/>
                <w:sz w:val="20"/>
                <w:szCs w:val="20"/>
              </w:rPr>
            </w:pPr>
          </w:p>
        </w:tc>
      </w:tr>
    </w:tbl>
    <w:p w14:paraId="642360A0" w14:textId="77777777" w:rsidR="00A80AC5" w:rsidRPr="006F4120" w:rsidRDefault="00A80AC5" w:rsidP="002D7EE2">
      <w:pPr>
        <w:pStyle w:val="Heading4"/>
      </w:pPr>
      <w:r w:rsidRPr="006F4120">
        <w:t>Délai de mise en œuvre du régime de droit de suite des artistes et questions transitoires</w:t>
      </w:r>
    </w:p>
    <w:p w14:paraId="3C3EBE74" w14:textId="55074F24" w:rsidR="00A80AC5" w:rsidRPr="006F4120" w:rsidRDefault="00A80AC5" w:rsidP="002D7EE2">
      <w:pPr>
        <w:pStyle w:val="ONUMFS"/>
        <w:rPr>
          <w:lang w:val="fr-FR"/>
        </w:rPr>
      </w:pPr>
      <w:r w:rsidRPr="006F4120">
        <w:rPr>
          <w:lang w:val="fr-FR"/>
        </w:rPr>
        <w:t>Des questions importantes devront être examinées attentivement lors de la formulation d’un nouveau régime national de droit de suite des artistes : doit</w:t>
      </w:r>
      <w:r w:rsidR="00FA1A0F">
        <w:rPr>
          <w:lang w:val="fr-FR"/>
        </w:rPr>
        <w:noBreakHyphen/>
      </w:r>
      <w:r w:rsidRPr="006F4120">
        <w:rPr>
          <w:lang w:val="fr-FR"/>
        </w:rPr>
        <w:t>il fonctionner rétrospectivement pour couvrir toutes les œuvres protégées dans le pays concerné au moment de l’introduction ou doit</w:t>
      </w:r>
      <w:r w:rsidR="00FA1A0F">
        <w:rPr>
          <w:lang w:val="fr-FR"/>
        </w:rPr>
        <w:noBreakHyphen/>
      </w:r>
      <w:r w:rsidRPr="006F4120">
        <w:rPr>
          <w:lang w:val="fr-FR"/>
        </w:rPr>
        <w:t xml:space="preserve">il s’appliquer uniquement aux œuvres créées après cette </w:t>
      </w:r>
      <w:proofErr w:type="gramStart"/>
      <w:r w:rsidRPr="006F4120">
        <w:rPr>
          <w:lang w:val="fr-FR"/>
        </w:rPr>
        <w:t>date?</w:t>
      </w:r>
      <w:proofErr w:type="gramEnd"/>
      <w:r w:rsidRPr="006F4120">
        <w:rPr>
          <w:lang w:val="fr-FR"/>
        </w:rPr>
        <w:t xml:space="preserve">  S’il s’applique aux œuvres déjà protégées au moment de l’introduction, doit</w:t>
      </w:r>
      <w:r w:rsidR="00FA1A0F">
        <w:rPr>
          <w:lang w:val="fr-FR"/>
        </w:rPr>
        <w:noBreakHyphen/>
      </w:r>
      <w:r w:rsidRPr="006F4120">
        <w:rPr>
          <w:lang w:val="fr-FR"/>
        </w:rPr>
        <w:t>il s’appliquer uniquement aux reventes effectuées après cette date ou doit</w:t>
      </w:r>
      <w:r w:rsidR="00FA1A0F">
        <w:rPr>
          <w:lang w:val="fr-FR"/>
        </w:rPr>
        <w:noBreakHyphen/>
      </w:r>
      <w:r w:rsidRPr="006F4120">
        <w:rPr>
          <w:lang w:val="fr-FR"/>
        </w:rPr>
        <w:t xml:space="preserve">il remonter plus loin dans le </w:t>
      </w:r>
      <w:proofErr w:type="gramStart"/>
      <w:r w:rsidRPr="006F4120">
        <w:rPr>
          <w:lang w:val="fr-FR"/>
        </w:rPr>
        <w:t>temps?</w:t>
      </w:r>
      <w:proofErr w:type="gramEnd"/>
      <w:r w:rsidRPr="006F4120">
        <w:rPr>
          <w:lang w:val="fr-FR"/>
        </w:rPr>
        <w:t xml:space="preserve">  Faut</w:t>
      </w:r>
      <w:r w:rsidR="00FA1A0F">
        <w:rPr>
          <w:lang w:val="fr-FR"/>
        </w:rPr>
        <w:noBreakHyphen/>
      </w:r>
      <w:r w:rsidRPr="006F4120">
        <w:rPr>
          <w:lang w:val="fr-FR"/>
        </w:rPr>
        <w:t xml:space="preserve">il autoriser une période de transition pendant laquelle les reventes ne sont pas soumises au droit de suite des artistes, car cela pourrait perturber inutilement les accords existants avec les galeries, les agents, </w:t>
      </w:r>
      <w:proofErr w:type="gramStart"/>
      <w:r w:rsidRPr="006F4120">
        <w:rPr>
          <w:lang w:val="fr-FR"/>
        </w:rPr>
        <w:t>etc.?</w:t>
      </w:r>
      <w:proofErr w:type="gramEnd"/>
      <w:r w:rsidRPr="006F4120">
        <w:rPr>
          <w:lang w:val="fr-FR"/>
        </w:rPr>
        <w:t xml:space="preserve">  Devrait</w:t>
      </w:r>
      <w:r w:rsidR="00FA1A0F">
        <w:rPr>
          <w:lang w:val="fr-FR"/>
        </w:rPr>
        <w:noBreakHyphen/>
      </w:r>
      <w:r w:rsidRPr="006F4120">
        <w:rPr>
          <w:lang w:val="fr-FR"/>
        </w:rPr>
        <w:t xml:space="preserve">il y avoir une période transitoire pendant laquelle les créances relatives aux reventes par les héritiers d’auteurs décédés ne seraient pas </w:t>
      </w:r>
      <w:proofErr w:type="gramStart"/>
      <w:r w:rsidRPr="006F4120">
        <w:rPr>
          <w:lang w:val="fr-FR"/>
        </w:rPr>
        <w:t>couvertes?</w:t>
      </w:r>
      <w:proofErr w:type="gramEnd"/>
    </w:p>
    <w:p w14:paraId="4E1D4A4C" w14:textId="77777777" w:rsidR="00A80AC5" w:rsidRPr="006F4120" w:rsidRDefault="00A80AC5" w:rsidP="002D7EE2">
      <w:pPr>
        <w:pStyle w:val="ONUMFS"/>
        <w:rPr>
          <w:lang w:val="fr-FR"/>
        </w:rPr>
      </w:pPr>
      <w:r w:rsidRPr="006F4120">
        <w:rPr>
          <w:lang w:val="fr-FR"/>
        </w:rPr>
        <w:t>Dans la mesure où tout régime de droit de suite des artistes proposé doit être compatible avec les dispositions de la Convention de Berne, il est nécessaire de tenir compte de l’article 18 de ladite Convention qui dispose :</w:t>
      </w:r>
    </w:p>
    <w:p w14:paraId="54B81D80" w14:textId="77777777" w:rsidR="00A80AC5" w:rsidRPr="00474E95" w:rsidRDefault="00A80AC5" w:rsidP="002D7EE2">
      <w:pPr>
        <w:pStyle w:val="ONUMFS"/>
        <w:numPr>
          <w:ilvl w:val="1"/>
          <w:numId w:val="49"/>
        </w:numPr>
        <w:ind w:left="567" w:firstLine="0"/>
        <w:rPr>
          <w:iCs/>
          <w:sz w:val="20"/>
          <w:lang w:val="fr-FR"/>
        </w:rPr>
      </w:pPr>
      <w:proofErr w:type="gramStart"/>
      <w:r w:rsidRPr="00474E95">
        <w:rPr>
          <w:iCs/>
          <w:sz w:val="20"/>
          <w:lang w:val="fr-FR"/>
        </w:rPr>
        <w:t>la</w:t>
      </w:r>
      <w:proofErr w:type="gramEnd"/>
      <w:r w:rsidRPr="00474E95">
        <w:rPr>
          <w:iCs/>
          <w:sz w:val="20"/>
          <w:lang w:val="fr-FR"/>
        </w:rPr>
        <w:t xml:space="preserve"> présente Convention s’applique à toutes les œuvres qui, au moment de son entrée en vigueur, ne sont pas encore tombées dans le domaine public de leur pays d’origine par l’expiration de la durée de la protection;</w:t>
      </w:r>
    </w:p>
    <w:p w14:paraId="365093D0" w14:textId="77777777" w:rsidR="00A80AC5" w:rsidRPr="00474E95" w:rsidRDefault="00A80AC5" w:rsidP="002D7EE2">
      <w:pPr>
        <w:pStyle w:val="ONUMFS"/>
        <w:numPr>
          <w:ilvl w:val="1"/>
          <w:numId w:val="49"/>
        </w:numPr>
        <w:ind w:left="567" w:firstLine="0"/>
        <w:rPr>
          <w:iCs/>
          <w:sz w:val="20"/>
          <w:lang w:val="fr-FR"/>
        </w:rPr>
      </w:pPr>
      <w:proofErr w:type="gramStart"/>
      <w:r w:rsidRPr="00474E95">
        <w:rPr>
          <w:iCs/>
          <w:sz w:val="20"/>
          <w:lang w:val="fr-FR"/>
        </w:rPr>
        <w:t>cependant</w:t>
      </w:r>
      <w:proofErr w:type="gramEnd"/>
      <w:r w:rsidRPr="00474E95">
        <w:rPr>
          <w:iCs/>
          <w:sz w:val="20"/>
          <w:lang w:val="fr-FR"/>
        </w:rPr>
        <w:t>, si une œuvre, par l’expiration de la durée de la protection qui lui était antérieurement reconnue, est tombée dans le domaine public du pays où la protection est réclamée, cette œuvre n’y sera pas protégée à nouveau;</w:t>
      </w:r>
    </w:p>
    <w:p w14:paraId="4C436402" w14:textId="77777777" w:rsidR="00A80AC5" w:rsidRPr="00474E95" w:rsidRDefault="00A80AC5" w:rsidP="002D7EE2">
      <w:pPr>
        <w:pStyle w:val="ONUMFS"/>
        <w:numPr>
          <w:ilvl w:val="1"/>
          <w:numId w:val="49"/>
        </w:numPr>
        <w:ind w:left="567" w:firstLine="0"/>
        <w:rPr>
          <w:iCs/>
          <w:sz w:val="20"/>
          <w:lang w:val="fr-FR"/>
        </w:rPr>
      </w:pPr>
      <w:proofErr w:type="gramStart"/>
      <w:r w:rsidRPr="00474E95">
        <w:rPr>
          <w:iCs/>
          <w:sz w:val="20"/>
          <w:lang w:val="fr-FR"/>
        </w:rPr>
        <w:t>l’application</w:t>
      </w:r>
      <w:proofErr w:type="gramEnd"/>
      <w:r w:rsidRPr="00474E95">
        <w:rPr>
          <w:iCs/>
          <w:sz w:val="20"/>
          <w:lang w:val="fr-FR"/>
        </w:rPr>
        <w:t xml:space="preserve"> de ce principe aura lieu conformément aux stipulations contenues dans les conventions spéciales existantes ou à conclure à cet effet entre pays de l’Union.  À défaut de semblables stipulations, les pays respectifs régleront, chacun pour ce qui le concerne, les modalités relatives à cette </w:t>
      </w:r>
      <w:proofErr w:type="gramStart"/>
      <w:r w:rsidRPr="00474E95">
        <w:rPr>
          <w:iCs/>
          <w:sz w:val="20"/>
          <w:lang w:val="fr-FR"/>
        </w:rPr>
        <w:t>application;</w:t>
      </w:r>
      <w:proofErr w:type="gramEnd"/>
    </w:p>
    <w:p w14:paraId="50608B93" w14:textId="4E441C7E" w:rsidR="00A80AC5" w:rsidRPr="00474E95" w:rsidRDefault="00A80AC5" w:rsidP="002D7EE2">
      <w:pPr>
        <w:pStyle w:val="ONUMFS"/>
        <w:numPr>
          <w:ilvl w:val="1"/>
          <w:numId w:val="49"/>
        </w:numPr>
        <w:ind w:left="567" w:firstLine="0"/>
        <w:rPr>
          <w:iCs/>
          <w:sz w:val="20"/>
          <w:lang w:val="fr-FR"/>
        </w:rPr>
      </w:pPr>
      <w:proofErr w:type="gramStart"/>
      <w:r w:rsidRPr="00474E95">
        <w:rPr>
          <w:iCs/>
          <w:sz w:val="20"/>
          <w:lang w:val="fr-FR"/>
        </w:rPr>
        <w:lastRenderedPageBreak/>
        <w:t>les</w:t>
      </w:r>
      <w:proofErr w:type="gramEnd"/>
      <w:r w:rsidRPr="00474E95">
        <w:rPr>
          <w:iCs/>
          <w:sz w:val="20"/>
          <w:lang w:val="fr-FR"/>
        </w:rPr>
        <w:t xml:space="preserve"> dispositions qui précèdent s’appliquent également en cas de nouvelles accessions à l’Union et dans le cas où la protection serait étendue par application de </w:t>
      </w:r>
      <w:hyperlink r:id="rId9" w:anchor="P127_22000" w:history="1">
        <w:r w:rsidRPr="00474E95">
          <w:rPr>
            <w:rStyle w:val="Hyperlink"/>
            <w:iCs/>
            <w:color w:val="auto"/>
            <w:sz w:val="20"/>
            <w:lang w:val="fr-FR"/>
          </w:rPr>
          <w:t>l’article 7</w:t>
        </w:r>
      </w:hyperlink>
      <w:r w:rsidRPr="00474E95">
        <w:rPr>
          <w:iCs/>
          <w:sz w:val="20"/>
          <w:lang w:val="fr-FR"/>
        </w:rPr>
        <w:t> ou par abandon des réserves.</w:t>
      </w:r>
    </w:p>
    <w:p w14:paraId="22D760FE" w14:textId="2B2EF44F" w:rsidR="00A80AC5" w:rsidRPr="006F4120" w:rsidRDefault="00A80AC5" w:rsidP="002D7EE2">
      <w:pPr>
        <w:pStyle w:val="ONUMFS"/>
        <w:rPr>
          <w:lang w:val="fr-FR"/>
        </w:rPr>
      </w:pPr>
      <w:r w:rsidRPr="006F4120">
        <w:rPr>
          <w:lang w:val="fr-FR"/>
        </w:rPr>
        <w:t>En conséquence, tout droit de suite des artistes introduit dans le droit national doit être applicable à toutes les œuvres d’art [et manuscrits] qui sont protégées dans ce pays à ce moment</w:t>
      </w:r>
      <w:r w:rsidR="00FA1A0F">
        <w:rPr>
          <w:lang w:val="fr-FR"/>
        </w:rPr>
        <w:noBreakHyphen/>
      </w:r>
      <w:r w:rsidRPr="006F4120">
        <w:rPr>
          <w:lang w:val="fr-FR"/>
        </w:rPr>
        <w:t>là – il serait incompatible avec l’article 18.1), par exemple, de ne l’appliquer qu’aux œuvres créées après ce moment</w:t>
      </w:r>
      <w:r w:rsidR="00FA1A0F">
        <w:rPr>
          <w:lang w:val="fr-FR"/>
        </w:rPr>
        <w:noBreakHyphen/>
      </w:r>
      <w:r w:rsidRPr="006F4120">
        <w:rPr>
          <w:lang w:val="fr-FR"/>
        </w:rPr>
        <w:t>là.  Toutefois, l’article 18.1) n’exige pas l’application du droit de suite des artistes elle</w:t>
      </w:r>
      <w:r w:rsidR="00FA1A0F">
        <w:rPr>
          <w:lang w:val="fr-FR"/>
        </w:rPr>
        <w:noBreakHyphen/>
      </w:r>
      <w:r w:rsidRPr="006F4120">
        <w:rPr>
          <w:lang w:val="fr-FR"/>
        </w:rPr>
        <w:t>même rétrospectivement, c’est</w:t>
      </w:r>
      <w:r w:rsidR="00FA1A0F">
        <w:rPr>
          <w:lang w:val="fr-FR"/>
        </w:rPr>
        <w:noBreakHyphen/>
      </w:r>
      <w:r w:rsidRPr="006F4120">
        <w:rPr>
          <w:lang w:val="fr-FR"/>
        </w:rPr>
        <w:t>à</w:t>
      </w:r>
      <w:r w:rsidR="00FA1A0F">
        <w:rPr>
          <w:lang w:val="fr-FR"/>
        </w:rPr>
        <w:noBreakHyphen/>
      </w:r>
      <w:r w:rsidRPr="006F4120">
        <w:rPr>
          <w:lang w:val="fr-FR"/>
        </w:rPr>
        <w:t>dire aux reventes commerciales intervenues avant cette date, même si ce n’était que peu de temps avant : le droit de suite des artistes ne doit s’appliquer que de manière prospective aux reventes commerciales d’œuvres déjà protégées par la législation nationale.</w:t>
      </w:r>
    </w:p>
    <w:p w14:paraId="3BB0BAE7" w14:textId="391BBC3F" w:rsidR="00A80AC5" w:rsidRPr="006F4120" w:rsidRDefault="00A80AC5" w:rsidP="002D7EE2">
      <w:pPr>
        <w:pStyle w:val="ONUMFS"/>
        <w:rPr>
          <w:lang w:val="fr-FR"/>
        </w:rPr>
      </w:pPr>
      <w:r w:rsidRPr="006F4120">
        <w:rPr>
          <w:lang w:val="fr-FR"/>
        </w:rPr>
        <w:t>Il convient de noter que l’article 18.3) de la Convention de Berne envisage la possibilité de dispositions transitoires pour l’application du nouveau droit, il pourrait donc être permis d’exclure certaines reventes commerciales intervenant après la date de début du droit de suite des artistes, bien que l’adjectif “transitoire” suggère que cela devrait être pour une période relativement courte</w:t>
      </w:r>
      <w:r w:rsidRPr="006F4120">
        <w:rPr>
          <w:vertAlign w:val="superscript"/>
          <w:lang w:val="fr-FR"/>
        </w:rPr>
        <w:footnoteReference w:id="129"/>
      </w:r>
      <w:r w:rsidRPr="006F4120">
        <w:rPr>
          <w:lang w:val="fr-FR"/>
        </w:rPr>
        <w:t xml:space="preserve">.  Dans le cas du droit de suite des artistes, il pourrait donc être raisonnable de prévoir une courte </w:t>
      </w:r>
      <w:proofErr w:type="gramStart"/>
      <w:r w:rsidRPr="006F4120">
        <w:rPr>
          <w:lang w:val="fr-FR"/>
        </w:rPr>
        <w:t>période de temps</w:t>
      </w:r>
      <w:proofErr w:type="gramEnd"/>
      <w:r w:rsidRPr="006F4120">
        <w:rPr>
          <w:lang w:val="fr-FR"/>
        </w:rPr>
        <w:t xml:space="preserve"> pour les reventes commerciales intervenant après la date de début d’un programme national de droit de suite des artistes lorsque l’œuvre a été mise en vente avant cette date.  Un éventuel projet de disposition de ce type est inclus dans le tableau ci</w:t>
      </w:r>
      <w:r w:rsidR="00FA1A0F">
        <w:rPr>
          <w:lang w:val="fr-FR"/>
        </w:rPr>
        <w:noBreakHyphen/>
      </w:r>
      <w:r w:rsidRPr="006F4120">
        <w:rPr>
          <w:lang w:val="fr-FR"/>
        </w:rPr>
        <w:t>dessous.  Cependant, les décideurs politiques et législatifs nationaux peuvent estimer que l’approche la plus simple consiste à prendre la date de début comme point limite, toute vente commerciale ayant lieu après cette date étant soumise au droit de suite des artistes.</w:t>
      </w:r>
    </w:p>
    <w:p w14:paraId="05FF0677" w14:textId="77777777" w:rsidR="00A80AC5" w:rsidRPr="006F4120" w:rsidRDefault="00A80AC5" w:rsidP="002D7EE2">
      <w:pPr>
        <w:pStyle w:val="Heading2"/>
      </w:pPr>
      <w:r w:rsidRPr="006F4120">
        <w:t>Tableau 18</w:t>
      </w:r>
    </w:p>
    <w:tbl>
      <w:tblPr>
        <w:tblStyle w:val="TableGrid"/>
        <w:tblW w:w="0" w:type="auto"/>
        <w:tblLook w:val="04A0" w:firstRow="1" w:lastRow="0" w:firstColumn="1" w:lastColumn="0" w:noHBand="0" w:noVBand="1"/>
      </w:tblPr>
      <w:tblGrid>
        <w:gridCol w:w="2405"/>
        <w:gridCol w:w="3827"/>
        <w:gridCol w:w="2919"/>
      </w:tblGrid>
      <w:tr w:rsidR="00A80AC5" w:rsidRPr="006F4120" w14:paraId="48134FD8" w14:textId="77777777" w:rsidTr="000C79A3">
        <w:tc>
          <w:tcPr>
            <w:tcW w:w="2405" w:type="dxa"/>
          </w:tcPr>
          <w:p w14:paraId="23A7AED7" w14:textId="77777777" w:rsidR="00A80AC5" w:rsidRPr="006F4120" w:rsidRDefault="00A80AC5" w:rsidP="002D7EE2">
            <w:pPr>
              <w:spacing w:after="220"/>
              <w:rPr>
                <w:lang w:val="fr-FR"/>
              </w:rPr>
            </w:pPr>
            <w:r w:rsidRPr="006F4120">
              <w:rPr>
                <w:b/>
                <w:lang w:val="fr-FR"/>
              </w:rPr>
              <w:t>Type de disposition</w:t>
            </w:r>
          </w:p>
        </w:tc>
        <w:tc>
          <w:tcPr>
            <w:tcW w:w="3827" w:type="dxa"/>
          </w:tcPr>
          <w:p w14:paraId="72EB3D01" w14:textId="77777777" w:rsidR="00A80AC5" w:rsidRPr="006F4120" w:rsidRDefault="00A80AC5" w:rsidP="002D7EE2">
            <w:pPr>
              <w:spacing w:after="220"/>
              <w:rPr>
                <w:lang w:val="fr-FR"/>
              </w:rPr>
            </w:pPr>
            <w:r w:rsidRPr="006F4120">
              <w:rPr>
                <w:b/>
                <w:lang w:val="fr-FR"/>
              </w:rPr>
              <w:t>Texte suggéré</w:t>
            </w:r>
          </w:p>
        </w:tc>
        <w:tc>
          <w:tcPr>
            <w:tcW w:w="2919" w:type="dxa"/>
          </w:tcPr>
          <w:p w14:paraId="45903378" w14:textId="77777777" w:rsidR="00A80AC5" w:rsidRPr="006F4120" w:rsidRDefault="00A80AC5" w:rsidP="002D7EE2">
            <w:pPr>
              <w:spacing w:after="220"/>
              <w:rPr>
                <w:lang w:val="fr-FR"/>
              </w:rPr>
            </w:pPr>
            <w:r w:rsidRPr="006F4120">
              <w:rPr>
                <w:b/>
                <w:lang w:val="fr-FR"/>
              </w:rPr>
              <w:t>Observations</w:t>
            </w:r>
          </w:p>
        </w:tc>
      </w:tr>
      <w:tr w:rsidR="00A80AC5" w:rsidRPr="006F4120" w14:paraId="16261855" w14:textId="77777777" w:rsidTr="000C79A3">
        <w:tc>
          <w:tcPr>
            <w:tcW w:w="2405" w:type="dxa"/>
          </w:tcPr>
          <w:p w14:paraId="27EAF5B9" w14:textId="0CDDA1A6" w:rsidR="00A80AC5" w:rsidRPr="006F4120" w:rsidRDefault="00A80AC5" w:rsidP="000C79A3">
            <w:pPr>
              <w:spacing w:before="60" w:after="220"/>
              <w:rPr>
                <w:sz w:val="20"/>
                <w:lang w:val="fr-FR"/>
              </w:rPr>
            </w:pPr>
            <w:r w:rsidRPr="006F4120">
              <w:rPr>
                <w:sz w:val="20"/>
                <w:lang w:val="fr-FR"/>
              </w:rPr>
              <w:t>Disposition simple conformément à l’article 18.1) de la Convention de Berne</w:t>
            </w:r>
          </w:p>
        </w:tc>
        <w:tc>
          <w:tcPr>
            <w:tcW w:w="3827" w:type="dxa"/>
          </w:tcPr>
          <w:p w14:paraId="7BE19564" w14:textId="4B020B51" w:rsidR="00A80AC5" w:rsidRPr="006F4120" w:rsidRDefault="00A80AC5" w:rsidP="000C79A3">
            <w:pPr>
              <w:spacing w:before="60" w:after="220"/>
              <w:rPr>
                <w:iCs/>
                <w:sz w:val="20"/>
                <w:lang w:val="fr-FR"/>
              </w:rPr>
            </w:pPr>
            <w:r w:rsidRPr="006F4120">
              <w:rPr>
                <w:iCs/>
                <w:sz w:val="20"/>
                <w:lang w:val="fr-FR"/>
              </w:rPr>
              <w:t>Cette loi s’applique à toutes les œuvres d’art [et manuscrits] protégés par la législation nationale [c’est</w:t>
            </w:r>
            <w:r w:rsidR="00FA1A0F">
              <w:rPr>
                <w:iCs/>
                <w:sz w:val="20"/>
                <w:lang w:val="fr-FR"/>
              </w:rPr>
              <w:noBreakHyphen/>
            </w:r>
            <w:r w:rsidRPr="006F4120">
              <w:rPr>
                <w:iCs/>
                <w:sz w:val="20"/>
                <w:lang w:val="fr-FR"/>
              </w:rPr>
              <w:t>à</w:t>
            </w:r>
            <w:r w:rsidR="00FA1A0F">
              <w:rPr>
                <w:iCs/>
                <w:sz w:val="20"/>
                <w:lang w:val="fr-FR"/>
              </w:rPr>
              <w:noBreakHyphen/>
            </w:r>
            <w:r w:rsidRPr="006F4120">
              <w:rPr>
                <w:iCs/>
                <w:sz w:val="20"/>
                <w:lang w:val="fr-FR"/>
              </w:rPr>
              <w:t>dire la loi générale sur le droit d’auteur de la nation en question] au moment de l’entrée en vigueur de la loi, mais elle ne s’applique qu’aux reventes commerciales de ces œuvres lorsque la date du contrat de vente est postérieure à l’entrée en vigueur de la loi.</w:t>
            </w:r>
          </w:p>
        </w:tc>
        <w:tc>
          <w:tcPr>
            <w:tcW w:w="2919" w:type="dxa"/>
          </w:tcPr>
          <w:p w14:paraId="182D1FB5" w14:textId="77777777" w:rsidR="00A80AC5" w:rsidRPr="006F4120" w:rsidRDefault="00A80AC5" w:rsidP="000C79A3">
            <w:pPr>
              <w:spacing w:before="60" w:after="220"/>
              <w:rPr>
                <w:sz w:val="20"/>
                <w:lang w:val="fr-FR"/>
              </w:rPr>
            </w:pPr>
            <w:r w:rsidRPr="006F4120">
              <w:rPr>
                <w:sz w:val="20"/>
                <w:lang w:val="fr-FR"/>
              </w:rPr>
              <w:t>Le droit de suite des artistes doit s’appliquer à toutes les œuvres protégées au début du régime de droit de suite des artistes, mais uniquement aux reventes commerciales intervenant après cette date.</w:t>
            </w:r>
          </w:p>
        </w:tc>
      </w:tr>
      <w:tr w:rsidR="00A80AC5" w:rsidRPr="006F4120" w14:paraId="4E8A0834" w14:textId="77777777" w:rsidTr="000C79A3">
        <w:tc>
          <w:tcPr>
            <w:tcW w:w="2405" w:type="dxa"/>
          </w:tcPr>
          <w:p w14:paraId="4E80237C" w14:textId="03AFDDD3" w:rsidR="00A80AC5" w:rsidRPr="006F4120" w:rsidRDefault="00A80AC5" w:rsidP="000C79A3">
            <w:pPr>
              <w:spacing w:before="60" w:after="220"/>
              <w:rPr>
                <w:sz w:val="20"/>
                <w:lang w:val="fr-FR"/>
              </w:rPr>
            </w:pPr>
            <w:r w:rsidRPr="006F4120">
              <w:rPr>
                <w:sz w:val="20"/>
                <w:lang w:val="fr-FR"/>
              </w:rPr>
              <w:t>Disposition alternative basée sur la Directive CE</w:t>
            </w:r>
          </w:p>
        </w:tc>
        <w:tc>
          <w:tcPr>
            <w:tcW w:w="3827" w:type="dxa"/>
          </w:tcPr>
          <w:p w14:paraId="24DE2523" w14:textId="77777777" w:rsidR="00A80AC5" w:rsidRPr="006F4120" w:rsidRDefault="00A80AC5" w:rsidP="000C79A3">
            <w:pPr>
              <w:spacing w:before="60"/>
              <w:rPr>
                <w:iCs/>
                <w:sz w:val="20"/>
                <w:lang w:val="fr-FR"/>
              </w:rPr>
            </w:pPr>
            <w:r w:rsidRPr="006F4120">
              <w:rPr>
                <w:iCs/>
                <w:sz w:val="20"/>
                <w:lang w:val="fr-FR"/>
              </w:rPr>
              <w:t>1) Cette loi –</w:t>
            </w:r>
          </w:p>
          <w:p w14:paraId="7943886D" w14:textId="77777777" w:rsidR="00A80AC5" w:rsidRPr="006F4120" w:rsidRDefault="00A80AC5" w:rsidP="000C79A3">
            <w:pPr>
              <w:pStyle w:val="ListParagraph"/>
              <w:numPr>
                <w:ilvl w:val="1"/>
                <w:numId w:val="3"/>
              </w:numPr>
              <w:tabs>
                <w:tab w:val="clear" w:pos="1134"/>
                <w:tab w:val="left" w:pos="403"/>
              </w:tabs>
              <w:spacing w:before="60" w:after="0"/>
              <w:ind w:left="29"/>
              <w:contextualSpacing w:val="0"/>
              <w:jc w:val="left"/>
              <w:rPr>
                <w:iCs/>
                <w:sz w:val="20"/>
                <w:szCs w:val="20"/>
              </w:rPr>
            </w:pPr>
            <w:proofErr w:type="gramStart"/>
            <w:r w:rsidRPr="006F4120">
              <w:rPr>
                <w:iCs/>
                <w:sz w:val="20"/>
                <w:szCs w:val="20"/>
              </w:rPr>
              <w:t>ne</w:t>
            </w:r>
            <w:proofErr w:type="gramEnd"/>
            <w:r w:rsidRPr="006F4120">
              <w:rPr>
                <w:iCs/>
                <w:sz w:val="20"/>
                <w:szCs w:val="20"/>
              </w:rPr>
              <w:t xml:space="preserve"> s’applique pas aux ventes dont la date du contrat a précédé l’entrée en vigueur de la loi;  mais</w:t>
            </w:r>
          </w:p>
          <w:p w14:paraId="2ED5C033" w14:textId="77777777" w:rsidR="00A80AC5" w:rsidRPr="006F4120" w:rsidDel="009E6CC0" w:rsidRDefault="00A80AC5" w:rsidP="000C79A3">
            <w:pPr>
              <w:pStyle w:val="ListParagraph"/>
              <w:numPr>
                <w:ilvl w:val="1"/>
                <w:numId w:val="3"/>
              </w:numPr>
              <w:tabs>
                <w:tab w:val="clear" w:pos="1134"/>
                <w:tab w:val="left" w:pos="403"/>
              </w:tabs>
              <w:spacing w:before="60" w:after="0"/>
              <w:ind w:left="29"/>
              <w:contextualSpacing w:val="0"/>
              <w:jc w:val="left"/>
              <w:rPr>
                <w:iCs/>
                <w:sz w:val="20"/>
                <w:szCs w:val="20"/>
              </w:rPr>
            </w:pPr>
            <w:proofErr w:type="gramStart"/>
            <w:r w:rsidRPr="006F4120">
              <w:rPr>
                <w:iCs/>
                <w:sz w:val="20"/>
                <w:szCs w:val="20"/>
              </w:rPr>
              <w:t>s’applique</w:t>
            </w:r>
            <w:proofErr w:type="gramEnd"/>
            <w:r w:rsidRPr="006F4120">
              <w:rPr>
                <w:iCs/>
                <w:sz w:val="20"/>
                <w:szCs w:val="20"/>
              </w:rPr>
              <w:t xml:space="preserve"> même si l’œuvre vendue a été réalisée avant cette entrée en vigueur.</w:t>
            </w:r>
          </w:p>
        </w:tc>
        <w:tc>
          <w:tcPr>
            <w:tcW w:w="2919" w:type="dxa"/>
          </w:tcPr>
          <w:p w14:paraId="593B2F14" w14:textId="77777777" w:rsidR="00A80AC5" w:rsidRPr="006F4120" w:rsidDel="004E6C6E" w:rsidRDefault="00A80AC5" w:rsidP="000C79A3">
            <w:pPr>
              <w:spacing w:before="60" w:after="220"/>
              <w:rPr>
                <w:sz w:val="20"/>
                <w:lang w:val="fr-FR"/>
              </w:rPr>
            </w:pPr>
            <w:r w:rsidRPr="006F4120">
              <w:rPr>
                <w:sz w:val="20"/>
                <w:lang w:val="fr-FR"/>
              </w:rPr>
              <w:t>Produit le même effet que la disposition précédente.</w:t>
            </w:r>
          </w:p>
        </w:tc>
      </w:tr>
      <w:tr w:rsidR="00A80AC5" w:rsidRPr="006F4120" w14:paraId="3C76A797" w14:textId="77777777" w:rsidTr="000C79A3">
        <w:tc>
          <w:tcPr>
            <w:tcW w:w="2405" w:type="dxa"/>
          </w:tcPr>
          <w:p w14:paraId="206988FC" w14:textId="2D8F2769" w:rsidR="00A80AC5" w:rsidRPr="006F4120" w:rsidRDefault="00A80AC5" w:rsidP="000C79A3">
            <w:pPr>
              <w:spacing w:before="60" w:after="220"/>
              <w:rPr>
                <w:sz w:val="20"/>
                <w:lang w:val="fr-FR"/>
              </w:rPr>
            </w:pPr>
            <w:r w:rsidRPr="006F4120">
              <w:rPr>
                <w:sz w:val="20"/>
                <w:lang w:val="fr-FR"/>
              </w:rPr>
              <w:lastRenderedPageBreak/>
              <w:t>Disposition transitoire éventuelle</w:t>
            </w:r>
          </w:p>
        </w:tc>
        <w:tc>
          <w:tcPr>
            <w:tcW w:w="3827" w:type="dxa"/>
          </w:tcPr>
          <w:p w14:paraId="0BB8FA13" w14:textId="77777777" w:rsidR="00A80AC5" w:rsidRPr="006F4120" w:rsidRDefault="00A80AC5" w:rsidP="000C79A3">
            <w:pPr>
              <w:keepNext/>
              <w:keepLines/>
              <w:spacing w:before="60"/>
              <w:rPr>
                <w:iCs/>
                <w:sz w:val="20"/>
                <w:lang w:val="fr-FR"/>
              </w:rPr>
            </w:pPr>
            <w:r w:rsidRPr="006F4120">
              <w:rPr>
                <w:iCs/>
                <w:sz w:val="20"/>
                <w:lang w:val="fr-FR"/>
              </w:rPr>
              <w:t>Le droit de suite des artistes ne s’applique pas lorsque :</w:t>
            </w:r>
          </w:p>
          <w:p w14:paraId="525E6C2A" w14:textId="77777777" w:rsidR="00A80AC5" w:rsidRPr="006F4120" w:rsidRDefault="00A80AC5" w:rsidP="000C79A3">
            <w:pPr>
              <w:pStyle w:val="ListParagraph"/>
              <w:keepNext/>
              <w:keepLines/>
              <w:numPr>
                <w:ilvl w:val="0"/>
                <w:numId w:val="55"/>
              </w:numPr>
              <w:tabs>
                <w:tab w:val="left" w:pos="426"/>
              </w:tabs>
              <w:spacing w:before="60" w:after="0"/>
              <w:ind w:left="29" w:firstLine="0"/>
              <w:contextualSpacing w:val="0"/>
              <w:jc w:val="left"/>
              <w:rPr>
                <w:sz w:val="20"/>
                <w:szCs w:val="20"/>
              </w:rPr>
            </w:pPr>
            <w:proofErr w:type="gramStart"/>
            <w:r w:rsidRPr="006F4120">
              <w:rPr>
                <w:sz w:val="20"/>
                <w:szCs w:val="20"/>
              </w:rPr>
              <w:t>dans</w:t>
            </w:r>
            <w:proofErr w:type="gramEnd"/>
            <w:r w:rsidRPr="006F4120">
              <w:rPr>
                <w:sz w:val="20"/>
                <w:szCs w:val="20"/>
              </w:rPr>
              <w:t xml:space="preserve"> les 6 mois suivant l’entrée en vigueur de la présente loi, une œuvre d’art [et un manuscrit] ont été placés auprès d’un professionnel du marché de l’art à des fins de revente commerciale;  et</w:t>
            </w:r>
          </w:p>
          <w:p w14:paraId="0B68691E" w14:textId="77777777" w:rsidR="00A80AC5" w:rsidRPr="006F4120" w:rsidRDefault="00A80AC5" w:rsidP="000C79A3">
            <w:pPr>
              <w:pStyle w:val="ListParagraph"/>
              <w:numPr>
                <w:ilvl w:val="0"/>
                <w:numId w:val="55"/>
              </w:numPr>
              <w:tabs>
                <w:tab w:val="left" w:pos="449"/>
              </w:tabs>
              <w:spacing w:before="60" w:after="220"/>
              <w:ind w:left="29" w:firstLine="0"/>
              <w:contextualSpacing w:val="0"/>
              <w:jc w:val="left"/>
              <w:rPr>
                <w:sz w:val="20"/>
                <w:szCs w:val="20"/>
              </w:rPr>
            </w:pPr>
            <w:proofErr w:type="gramStart"/>
            <w:r w:rsidRPr="006F4120">
              <w:rPr>
                <w:sz w:val="20"/>
                <w:szCs w:val="20"/>
              </w:rPr>
              <w:t>la</w:t>
            </w:r>
            <w:proofErr w:type="gramEnd"/>
            <w:r w:rsidRPr="006F4120">
              <w:rPr>
                <w:sz w:val="20"/>
                <w:szCs w:val="20"/>
              </w:rPr>
              <w:t xml:space="preserve"> revente commerciale a lieu après l’entrée en vigueur de la présente loi.</w:t>
            </w:r>
          </w:p>
        </w:tc>
        <w:tc>
          <w:tcPr>
            <w:tcW w:w="2919" w:type="dxa"/>
          </w:tcPr>
          <w:p w14:paraId="3F955FEB" w14:textId="77777777" w:rsidR="00A80AC5" w:rsidRPr="006F4120" w:rsidRDefault="00A80AC5" w:rsidP="000C79A3">
            <w:pPr>
              <w:numPr>
                <w:ilvl w:val="0"/>
                <w:numId w:val="48"/>
              </w:numPr>
              <w:spacing w:before="60" w:after="60"/>
              <w:rPr>
                <w:sz w:val="20"/>
                <w:lang w:val="fr-FR"/>
              </w:rPr>
            </w:pPr>
            <w:r w:rsidRPr="006F4120">
              <w:rPr>
                <w:sz w:val="20"/>
                <w:lang w:val="fr-FR"/>
              </w:rPr>
              <w:t>Prévoit un délai avant l’entrée en vigueur pour l’offre de l’œuvre à la revente.</w:t>
            </w:r>
          </w:p>
          <w:p w14:paraId="608D80CD" w14:textId="50C61ECB" w:rsidR="00A80AC5" w:rsidRPr="006F4120" w:rsidRDefault="00A80AC5" w:rsidP="000C79A3">
            <w:pPr>
              <w:numPr>
                <w:ilvl w:val="0"/>
                <w:numId w:val="48"/>
              </w:numPr>
              <w:spacing w:before="60" w:after="60"/>
              <w:rPr>
                <w:sz w:val="20"/>
                <w:lang w:val="fr-FR"/>
              </w:rPr>
            </w:pPr>
            <w:r w:rsidRPr="006F4120">
              <w:rPr>
                <w:sz w:val="20"/>
                <w:lang w:val="fr-FR"/>
              </w:rPr>
              <w:t>Faut</w:t>
            </w:r>
            <w:r w:rsidR="00FA1A0F">
              <w:rPr>
                <w:sz w:val="20"/>
                <w:lang w:val="fr-FR"/>
              </w:rPr>
              <w:noBreakHyphen/>
            </w:r>
            <w:r w:rsidRPr="006F4120">
              <w:rPr>
                <w:sz w:val="20"/>
                <w:lang w:val="fr-FR"/>
              </w:rPr>
              <w:t xml:space="preserve">il prévoir un délai plus long, par exemple dans le cas d’une </w:t>
            </w:r>
            <w:proofErr w:type="gramStart"/>
            <w:r w:rsidRPr="006F4120">
              <w:rPr>
                <w:sz w:val="20"/>
                <w:lang w:val="fr-FR"/>
              </w:rPr>
              <w:t>succession?</w:t>
            </w:r>
            <w:proofErr w:type="gramEnd"/>
          </w:p>
          <w:p w14:paraId="2F932EC9" w14:textId="7ACF4880" w:rsidR="00A80AC5" w:rsidRPr="006F4120" w:rsidRDefault="00A80AC5" w:rsidP="000C79A3">
            <w:pPr>
              <w:numPr>
                <w:ilvl w:val="0"/>
                <w:numId w:val="48"/>
              </w:numPr>
              <w:spacing w:before="60" w:after="60"/>
              <w:rPr>
                <w:sz w:val="20"/>
                <w:lang w:val="fr-FR"/>
              </w:rPr>
            </w:pPr>
            <w:r w:rsidRPr="006F4120">
              <w:rPr>
                <w:sz w:val="20"/>
                <w:lang w:val="fr-FR"/>
              </w:rPr>
              <w:t>Faut</w:t>
            </w:r>
            <w:r w:rsidR="00FA1A0F">
              <w:rPr>
                <w:sz w:val="20"/>
                <w:lang w:val="fr-FR"/>
              </w:rPr>
              <w:noBreakHyphen/>
            </w:r>
            <w:r w:rsidRPr="006F4120">
              <w:rPr>
                <w:sz w:val="20"/>
                <w:lang w:val="fr-FR"/>
              </w:rPr>
              <w:t xml:space="preserve">il fixer une période limite pour la revente commerciale après le début de l’activité, par exemple 6 mois, un an, </w:t>
            </w:r>
            <w:proofErr w:type="gramStart"/>
            <w:r w:rsidRPr="006F4120">
              <w:rPr>
                <w:sz w:val="20"/>
                <w:lang w:val="fr-FR"/>
              </w:rPr>
              <w:t>etc.?</w:t>
            </w:r>
            <w:proofErr w:type="gramEnd"/>
          </w:p>
        </w:tc>
      </w:tr>
    </w:tbl>
    <w:p w14:paraId="6485D6AF" w14:textId="271B40E6" w:rsidR="00A80AC5" w:rsidRPr="00A80AC5" w:rsidRDefault="00A80AC5" w:rsidP="002D7EE2">
      <w:pPr>
        <w:pStyle w:val="Endofdocument-Annex"/>
        <w:spacing w:before="720"/>
        <w:rPr>
          <w:lang w:val="fr-FR"/>
        </w:rPr>
      </w:pPr>
      <w:r w:rsidRPr="006F4120">
        <w:rPr>
          <w:lang w:val="fr-FR"/>
        </w:rPr>
        <w:t>[Fin du document]</w:t>
      </w:r>
    </w:p>
    <w:sectPr w:rsidR="00A80AC5" w:rsidRPr="00A80AC5" w:rsidSect="00E21FC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8786" w14:textId="77777777" w:rsidR="003B13E2" w:rsidRDefault="003B13E2">
      <w:r>
        <w:separator/>
      </w:r>
    </w:p>
  </w:endnote>
  <w:endnote w:type="continuationSeparator" w:id="0">
    <w:p w14:paraId="45DCD47D" w14:textId="77777777" w:rsidR="003B13E2" w:rsidRPr="009D30E6" w:rsidRDefault="003B13E2" w:rsidP="00D45252">
      <w:pPr>
        <w:rPr>
          <w:sz w:val="17"/>
          <w:szCs w:val="17"/>
        </w:rPr>
      </w:pPr>
      <w:r w:rsidRPr="009D30E6">
        <w:rPr>
          <w:sz w:val="17"/>
          <w:szCs w:val="17"/>
        </w:rPr>
        <w:separator/>
      </w:r>
    </w:p>
    <w:p w14:paraId="43D08EFC" w14:textId="77777777" w:rsidR="003B13E2" w:rsidRPr="009D30E6" w:rsidRDefault="003B13E2" w:rsidP="00D45252">
      <w:pPr>
        <w:spacing w:after="60"/>
        <w:rPr>
          <w:sz w:val="17"/>
          <w:szCs w:val="17"/>
        </w:rPr>
      </w:pPr>
      <w:r w:rsidRPr="009D30E6">
        <w:rPr>
          <w:sz w:val="17"/>
          <w:szCs w:val="17"/>
        </w:rPr>
        <w:t>[Suite de la note de la page précédente]</w:t>
      </w:r>
    </w:p>
  </w:endnote>
  <w:endnote w:type="continuationNotice" w:id="1">
    <w:p w14:paraId="28D2751B" w14:textId="77777777" w:rsidR="003B13E2" w:rsidRPr="009D30E6" w:rsidRDefault="003B13E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6266" w14:textId="77777777" w:rsidR="003B13E2" w:rsidRDefault="003B13E2">
      <w:r>
        <w:separator/>
      </w:r>
    </w:p>
  </w:footnote>
  <w:footnote w:type="continuationSeparator" w:id="0">
    <w:p w14:paraId="2D04F174" w14:textId="77777777" w:rsidR="003B13E2" w:rsidRDefault="003B13E2" w:rsidP="007461F1">
      <w:r>
        <w:separator/>
      </w:r>
    </w:p>
    <w:p w14:paraId="31AFA7DD" w14:textId="77777777" w:rsidR="003B13E2" w:rsidRPr="009D30E6" w:rsidRDefault="003B13E2" w:rsidP="007461F1">
      <w:pPr>
        <w:spacing w:after="60"/>
        <w:rPr>
          <w:sz w:val="17"/>
          <w:szCs w:val="17"/>
        </w:rPr>
      </w:pPr>
      <w:r w:rsidRPr="009D30E6">
        <w:rPr>
          <w:sz w:val="17"/>
          <w:szCs w:val="17"/>
        </w:rPr>
        <w:t>[Suite de la note de la page précédente]</w:t>
      </w:r>
    </w:p>
  </w:footnote>
  <w:footnote w:type="continuationNotice" w:id="1">
    <w:p w14:paraId="14ECD547" w14:textId="77777777" w:rsidR="003B13E2" w:rsidRPr="009D30E6" w:rsidRDefault="003B13E2" w:rsidP="007461F1">
      <w:pPr>
        <w:spacing w:before="60"/>
        <w:jc w:val="right"/>
        <w:rPr>
          <w:sz w:val="17"/>
          <w:szCs w:val="17"/>
        </w:rPr>
      </w:pPr>
      <w:r w:rsidRPr="009D30E6">
        <w:rPr>
          <w:sz w:val="17"/>
          <w:szCs w:val="17"/>
        </w:rPr>
        <w:t>[Suite de la note page suivante]</w:t>
      </w:r>
    </w:p>
  </w:footnote>
  <w:footnote w:id="2">
    <w:p w14:paraId="2E48E7C3" w14:textId="0D934049"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Désormais traduit dans la documentation de l</w:t>
      </w:r>
      <w:r w:rsidR="00F346B2" w:rsidRPr="00FA1A0F">
        <w:rPr>
          <w:rFonts w:ascii="Arial" w:hAnsi="Arial" w:cs="Arial"/>
          <w:sz w:val="18"/>
          <w:szCs w:val="18"/>
        </w:rPr>
        <w:t>’</w:t>
      </w:r>
      <w:r w:rsidRPr="00FA1A0F">
        <w:rPr>
          <w:rFonts w:ascii="Arial" w:hAnsi="Arial" w:cs="Arial"/>
          <w:sz w:val="18"/>
          <w:szCs w:val="18"/>
        </w:rPr>
        <w:t>OMPI par “droit de suite”</w:t>
      </w:r>
      <w:r w:rsidR="00F346B2" w:rsidRPr="00FA1A0F">
        <w:rPr>
          <w:rFonts w:ascii="Arial" w:hAnsi="Arial" w:cs="Arial"/>
          <w:sz w:val="18"/>
          <w:szCs w:val="18"/>
        </w:rPr>
        <w:t> :</w:t>
      </w:r>
      <w:r w:rsidRPr="00FA1A0F">
        <w:rPr>
          <w:rFonts w:ascii="Arial" w:hAnsi="Arial" w:cs="Arial"/>
          <w:sz w:val="18"/>
          <w:szCs w:val="18"/>
        </w:rPr>
        <w:t xml:space="preserve"> voir OMPI, </w:t>
      </w:r>
      <w:r w:rsidRPr="00FA1A0F">
        <w:rPr>
          <w:rFonts w:ascii="Arial" w:hAnsi="Arial" w:cs="Arial"/>
          <w:i/>
          <w:sz w:val="18"/>
          <w:szCs w:val="18"/>
        </w:rPr>
        <w:t>Guide des traités sur le droit d</w:t>
      </w:r>
      <w:r w:rsidR="00F346B2" w:rsidRPr="00FA1A0F">
        <w:rPr>
          <w:rFonts w:ascii="Arial" w:hAnsi="Arial" w:cs="Arial"/>
          <w:i/>
          <w:sz w:val="18"/>
          <w:szCs w:val="18"/>
        </w:rPr>
        <w:t>’</w:t>
      </w:r>
      <w:r w:rsidRPr="00FA1A0F">
        <w:rPr>
          <w:rFonts w:ascii="Arial" w:hAnsi="Arial" w:cs="Arial"/>
          <w:i/>
          <w:sz w:val="18"/>
          <w:szCs w:val="18"/>
        </w:rPr>
        <w:t>auteur et les droits connexes administrés par l</w:t>
      </w:r>
      <w:r w:rsidR="00F346B2" w:rsidRPr="00FA1A0F">
        <w:rPr>
          <w:rFonts w:ascii="Arial" w:hAnsi="Arial" w:cs="Arial"/>
          <w:i/>
          <w:sz w:val="18"/>
          <w:szCs w:val="18"/>
        </w:rPr>
        <w:t>’</w:t>
      </w:r>
      <w:r w:rsidRPr="00FA1A0F">
        <w:rPr>
          <w:rFonts w:ascii="Arial" w:hAnsi="Arial" w:cs="Arial"/>
          <w:i/>
          <w:sz w:val="18"/>
          <w:szCs w:val="18"/>
        </w:rPr>
        <w:t>OMPI</w:t>
      </w:r>
      <w:r w:rsidRPr="00FA1A0F">
        <w:rPr>
          <w:rFonts w:ascii="Arial" w:hAnsi="Arial" w:cs="Arial"/>
          <w:sz w:val="18"/>
          <w:szCs w:val="18"/>
        </w:rPr>
        <w:t xml:space="preserve"> et </w:t>
      </w:r>
      <w:r w:rsidRPr="00FA1A0F">
        <w:rPr>
          <w:rFonts w:ascii="Arial" w:hAnsi="Arial" w:cs="Arial"/>
          <w:i/>
          <w:sz w:val="18"/>
          <w:szCs w:val="18"/>
        </w:rPr>
        <w:t>Glossaire du droit d</w:t>
      </w:r>
      <w:r w:rsidR="00F346B2" w:rsidRPr="00FA1A0F">
        <w:rPr>
          <w:rFonts w:ascii="Arial" w:hAnsi="Arial" w:cs="Arial"/>
          <w:i/>
          <w:sz w:val="18"/>
          <w:szCs w:val="18"/>
        </w:rPr>
        <w:t>’</w:t>
      </w:r>
      <w:r w:rsidRPr="00FA1A0F">
        <w:rPr>
          <w:rFonts w:ascii="Arial" w:hAnsi="Arial" w:cs="Arial"/>
          <w:i/>
          <w:sz w:val="18"/>
          <w:szCs w:val="18"/>
        </w:rPr>
        <w:t xml:space="preserve">auteur et des droits connexes, </w:t>
      </w:r>
      <w:r w:rsidRPr="00FA1A0F">
        <w:rPr>
          <w:rFonts w:ascii="Arial" w:hAnsi="Arial" w:cs="Arial"/>
          <w:sz w:val="18"/>
          <w:szCs w:val="18"/>
        </w:rPr>
        <w:t>Publication OMPI 891, 2003, p</w:t>
      </w:r>
      <w:r w:rsidR="004E5742" w:rsidRPr="00FA1A0F">
        <w:rPr>
          <w:rFonts w:ascii="Arial" w:hAnsi="Arial" w:cs="Arial"/>
          <w:sz w:val="18"/>
          <w:szCs w:val="18"/>
        </w:rPr>
        <w:t>age</w:t>
      </w:r>
      <w:r w:rsidRPr="00FA1A0F">
        <w:rPr>
          <w:rFonts w:ascii="Arial" w:hAnsi="Arial" w:cs="Arial"/>
          <w:sz w:val="18"/>
          <w:szCs w:val="18"/>
        </w:rPr>
        <w:t xml:space="preserve"> 284. </w:t>
      </w:r>
      <w:r w:rsidR="00FB6E84" w:rsidRPr="00FA1A0F">
        <w:rPr>
          <w:rFonts w:ascii="Arial" w:hAnsi="Arial" w:cs="Arial"/>
          <w:sz w:val="18"/>
          <w:szCs w:val="18"/>
        </w:rPr>
        <w:t xml:space="preserve"> </w:t>
      </w:r>
      <w:r w:rsidRPr="00FA1A0F">
        <w:rPr>
          <w:rFonts w:ascii="Arial" w:hAnsi="Arial" w:cs="Arial"/>
          <w:sz w:val="18"/>
          <w:szCs w:val="18"/>
        </w:rPr>
        <w:t xml:space="preserve">Historiquement (et littéralement) cela signifiait le “droit de faire suite” et découlait du droit immobilier français;  voir généralement R. E Hauser (1959) </w:t>
      </w:r>
      <w:r w:rsidRPr="00FA1A0F">
        <w:rPr>
          <w:rFonts w:ascii="Arial" w:hAnsi="Arial" w:cs="Arial"/>
          <w:i/>
          <w:sz w:val="18"/>
          <w:szCs w:val="18"/>
        </w:rPr>
        <w:t xml:space="preserve">French droit de suite: the problem of protection for the underprivileged artist under the copyright law, </w:t>
      </w:r>
      <w:r w:rsidRPr="00FA1A0F">
        <w:rPr>
          <w:rFonts w:ascii="Arial" w:hAnsi="Arial" w:cs="Arial"/>
          <w:sz w:val="18"/>
          <w:szCs w:val="18"/>
        </w:rPr>
        <w:t>6 Bull Cop Soc USA</w:t>
      </w:r>
      <w:r w:rsidRPr="00FA1A0F">
        <w:rPr>
          <w:rFonts w:ascii="Arial" w:hAnsi="Arial" w:cs="Arial"/>
          <w:i/>
          <w:sz w:val="18"/>
          <w:szCs w:val="18"/>
        </w:rPr>
        <w:t> </w:t>
      </w:r>
      <w:r w:rsidRPr="00FA1A0F">
        <w:rPr>
          <w:rFonts w:ascii="Arial" w:hAnsi="Arial" w:cs="Arial"/>
          <w:sz w:val="18"/>
          <w:szCs w:val="18"/>
        </w:rPr>
        <w:t xml:space="preserve">94, 97.  Fait intéressant, la version anglaise du droit de suite récemment adopté en </w:t>
      </w:r>
      <w:r w:rsidR="00F346B2" w:rsidRPr="00FA1A0F">
        <w:rPr>
          <w:rFonts w:ascii="Arial" w:hAnsi="Arial" w:cs="Arial"/>
          <w:sz w:val="18"/>
          <w:szCs w:val="18"/>
        </w:rPr>
        <w:t>Arabie saoudite</w:t>
      </w:r>
      <w:r w:rsidRPr="00FA1A0F">
        <w:rPr>
          <w:rFonts w:ascii="Arial" w:hAnsi="Arial" w:cs="Arial"/>
          <w:sz w:val="18"/>
          <w:szCs w:val="18"/>
        </w:rPr>
        <w:t xml:space="preserve"> le décrit comme le “droit de tracer”</w:t>
      </w:r>
      <w:r w:rsidR="00F346B2" w:rsidRPr="00FA1A0F">
        <w:rPr>
          <w:rFonts w:ascii="Arial" w:hAnsi="Arial" w:cs="Arial"/>
          <w:sz w:val="18"/>
          <w:szCs w:val="18"/>
        </w:rPr>
        <w:t> :</w:t>
      </w:r>
      <w:r w:rsidRPr="00FA1A0F">
        <w:rPr>
          <w:rFonts w:ascii="Arial" w:hAnsi="Arial" w:cs="Arial"/>
          <w:sz w:val="18"/>
          <w:szCs w:val="18"/>
        </w:rPr>
        <w:t xml:space="preserve"> </w:t>
      </w:r>
      <w:r w:rsidR="00F346B2" w:rsidRPr="00FA1A0F">
        <w:rPr>
          <w:rFonts w:ascii="Arial" w:hAnsi="Arial" w:cs="Arial"/>
          <w:sz w:val="18"/>
          <w:szCs w:val="18"/>
        </w:rPr>
        <w:t>Arabie saoudite</w:t>
      </w:r>
      <w:r w:rsidRPr="00FA1A0F">
        <w:rPr>
          <w:rFonts w:ascii="Arial" w:hAnsi="Arial" w:cs="Arial"/>
          <w:sz w:val="18"/>
          <w:szCs w:val="18"/>
        </w:rPr>
        <w:t xml:space="preserve">, </w:t>
      </w:r>
      <w:r w:rsidRPr="00FA1A0F">
        <w:rPr>
          <w:rFonts w:ascii="Arial" w:hAnsi="Arial" w:cs="Arial"/>
          <w:i/>
          <w:sz w:val="18"/>
          <w:szCs w:val="18"/>
        </w:rPr>
        <w:t>Règlement exécutif de la loi sur la protection du droit d</w:t>
      </w:r>
      <w:r w:rsidR="00F346B2" w:rsidRPr="00FA1A0F">
        <w:rPr>
          <w:rFonts w:ascii="Arial" w:hAnsi="Arial" w:cs="Arial"/>
          <w:i/>
          <w:sz w:val="18"/>
          <w:szCs w:val="18"/>
        </w:rPr>
        <w:t>’</w:t>
      </w:r>
      <w:r w:rsidRPr="00FA1A0F">
        <w:rPr>
          <w:rFonts w:ascii="Arial" w:hAnsi="Arial" w:cs="Arial"/>
          <w:i/>
          <w:sz w:val="18"/>
          <w:szCs w:val="18"/>
        </w:rPr>
        <w:t xml:space="preserve">auteur 1443H/2022, </w:t>
      </w:r>
      <w:r w:rsidRPr="00FA1A0F">
        <w:rPr>
          <w:rFonts w:ascii="Arial" w:hAnsi="Arial" w:cs="Arial"/>
          <w:sz w:val="18"/>
          <w:szCs w:val="18"/>
        </w:rPr>
        <w:t>article 6.</w:t>
      </w:r>
    </w:p>
  </w:footnote>
  <w:footnote w:id="3">
    <w:p w14:paraId="3DF000E7" w14:textId="3C55225B" w:rsidR="00C77D5B" w:rsidRPr="00FA1A0F" w:rsidRDefault="00C77D5B" w:rsidP="00FA1A0F">
      <w:pPr>
        <w:pStyle w:val="FootnoteText"/>
        <w:spacing w:before="120" w:after="120"/>
        <w:jc w:val="both"/>
        <w:rPr>
          <w:szCs w:val="18"/>
          <w:lang w:val="en-US"/>
        </w:rPr>
      </w:pPr>
      <w:r w:rsidRPr="00FA1A0F">
        <w:rPr>
          <w:rStyle w:val="FootnoteReference"/>
          <w:szCs w:val="18"/>
        </w:rPr>
        <w:footnoteRef/>
      </w:r>
      <w:r w:rsidRPr="00FA1A0F">
        <w:rPr>
          <w:szCs w:val="18"/>
        </w:rPr>
        <w:t xml:space="preserve"> </w:t>
      </w:r>
      <w:r w:rsidRPr="00FA1A0F">
        <w:rPr>
          <w:szCs w:val="18"/>
        </w:rPr>
        <w:tab/>
        <w:t>La littérature sur le droit de suite, ainsi que son histoire et son développement, est vaste.  Pour les besoins actuels, voir généralement, J</w:t>
      </w:r>
      <w:r w:rsidR="00FA1A0F" w:rsidRPr="00FA1A0F">
        <w:rPr>
          <w:szCs w:val="18"/>
        </w:rPr>
        <w:noBreakHyphen/>
      </w:r>
      <w:r w:rsidRPr="00FA1A0F">
        <w:rPr>
          <w:szCs w:val="18"/>
        </w:rPr>
        <w:t>L. Duchemin (1914),</w:t>
      </w:r>
      <w:r w:rsidRPr="00FA1A0F">
        <w:rPr>
          <w:i/>
          <w:szCs w:val="18"/>
        </w:rPr>
        <w:t xml:space="preserve"> Du droit à la plus</w:t>
      </w:r>
      <w:r w:rsidR="00FA1A0F" w:rsidRPr="00FA1A0F">
        <w:rPr>
          <w:i/>
          <w:szCs w:val="18"/>
        </w:rPr>
        <w:noBreakHyphen/>
      </w:r>
      <w:r w:rsidRPr="00FA1A0F">
        <w:rPr>
          <w:i/>
          <w:szCs w:val="18"/>
        </w:rPr>
        <w:t>value des œuvres artistiques</w:t>
      </w:r>
      <w:r w:rsidRPr="00FA1A0F">
        <w:rPr>
          <w:szCs w:val="18"/>
        </w:rPr>
        <w:t>, Le Droit d</w:t>
      </w:r>
      <w:r w:rsidR="00F346B2" w:rsidRPr="00FA1A0F">
        <w:rPr>
          <w:szCs w:val="18"/>
        </w:rPr>
        <w:t>’</w:t>
      </w:r>
      <w:r w:rsidRPr="00FA1A0F">
        <w:rPr>
          <w:szCs w:val="18"/>
        </w:rPr>
        <w:t xml:space="preserve">Auteur 34, 57;  (1948), </w:t>
      </w:r>
      <w:r w:rsidRPr="00FA1A0F">
        <w:rPr>
          <w:i/>
          <w:szCs w:val="18"/>
        </w:rPr>
        <w:t>Le Droit de Suite des Artistes</w:t>
      </w:r>
      <w:r w:rsidRPr="00FA1A0F">
        <w:rPr>
          <w:szCs w:val="18"/>
        </w:rPr>
        <w:t xml:space="preserve"> (“Duchemin”);  F. Hepp (1959), </w:t>
      </w:r>
      <w:r w:rsidRPr="00FA1A0F">
        <w:rPr>
          <w:i/>
          <w:szCs w:val="18"/>
        </w:rPr>
        <w:t>Royalties from works of the fine arts: origin of the concept of droit de suite in copyright law</w:t>
      </w:r>
      <w:r w:rsidRPr="00FA1A0F">
        <w:rPr>
          <w:szCs w:val="18"/>
        </w:rPr>
        <w:t xml:space="preserve">, 6 Bull Cop Soc USA 91 (“Hepp”);  R. E. Hauser (1959), </w:t>
      </w:r>
      <w:r w:rsidRPr="00FA1A0F">
        <w:rPr>
          <w:i/>
          <w:szCs w:val="18"/>
        </w:rPr>
        <w:t>French droit de suite: the problem of protection for the underprivileged artist under the copyright law</w:t>
      </w:r>
      <w:r w:rsidRPr="00FA1A0F">
        <w:rPr>
          <w:szCs w:val="18"/>
        </w:rPr>
        <w:t>, 6 Bull Cop Soc USA 94 (“Hauser”);  J</w:t>
      </w:r>
      <w:r w:rsidR="00FA1A0F" w:rsidRPr="00FA1A0F">
        <w:rPr>
          <w:szCs w:val="18"/>
        </w:rPr>
        <w:noBreakHyphen/>
      </w:r>
      <w:r w:rsidRPr="00FA1A0F">
        <w:rPr>
          <w:szCs w:val="18"/>
        </w:rPr>
        <w:t xml:space="preserve">L Duchemin (1967–1968), </w:t>
      </w:r>
      <w:r w:rsidRPr="00FA1A0F">
        <w:rPr>
          <w:i/>
          <w:szCs w:val="18"/>
        </w:rPr>
        <w:t>Droit de suite</w:t>
      </w:r>
      <w:r w:rsidRPr="00FA1A0F">
        <w:rPr>
          <w:szCs w:val="18"/>
        </w:rPr>
        <w:t xml:space="preserve">, 54–55 RIDA 369; </w:t>
      </w:r>
      <w:r w:rsidR="00FB6E84" w:rsidRPr="00FA1A0F">
        <w:rPr>
          <w:szCs w:val="18"/>
        </w:rPr>
        <w:t xml:space="preserve"> </w:t>
      </w:r>
      <w:r w:rsidRPr="00FA1A0F">
        <w:rPr>
          <w:szCs w:val="18"/>
        </w:rPr>
        <w:t xml:space="preserve">R. Plaisant (1969), </w:t>
      </w:r>
      <w:r w:rsidRPr="00FA1A0F">
        <w:rPr>
          <w:i/>
          <w:szCs w:val="18"/>
        </w:rPr>
        <w:t>Droit de suite</w:t>
      </w:r>
      <w:r w:rsidRPr="00FA1A0F">
        <w:rPr>
          <w:szCs w:val="18"/>
        </w:rPr>
        <w:t>, Copyright 157;</w:t>
      </w:r>
      <w:r w:rsidR="00FB6E84" w:rsidRPr="00FA1A0F">
        <w:rPr>
          <w:szCs w:val="18"/>
        </w:rPr>
        <w:t xml:space="preserve"> </w:t>
      </w:r>
      <w:r w:rsidRPr="00FA1A0F">
        <w:rPr>
          <w:szCs w:val="18"/>
        </w:rPr>
        <w:t xml:space="preserve"> J</w:t>
      </w:r>
      <w:r w:rsidR="00FA1A0F" w:rsidRPr="00FA1A0F">
        <w:rPr>
          <w:szCs w:val="18"/>
        </w:rPr>
        <w:noBreakHyphen/>
      </w:r>
      <w:r w:rsidRPr="00FA1A0F">
        <w:rPr>
          <w:szCs w:val="18"/>
        </w:rPr>
        <w:t xml:space="preserve">L Duchemin (1969), </w:t>
      </w:r>
      <w:r w:rsidRPr="00FA1A0F">
        <w:rPr>
          <w:i/>
          <w:szCs w:val="18"/>
        </w:rPr>
        <w:t>Le droit de suite aux artistes</w:t>
      </w:r>
      <w:r w:rsidRPr="00FA1A0F">
        <w:rPr>
          <w:szCs w:val="18"/>
        </w:rPr>
        <w:t xml:space="preserve">, 62 RIDA 78;  P. Katzenberger (1973), </w:t>
      </w:r>
      <w:r w:rsidRPr="00FA1A0F">
        <w:rPr>
          <w:i/>
          <w:szCs w:val="18"/>
        </w:rPr>
        <w:t>The Droit de Suite in Copyright Law</w:t>
      </w:r>
      <w:r w:rsidRPr="00FA1A0F">
        <w:rPr>
          <w:szCs w:val="18"/>
        </w:rPr>
        <w:t>, 4 IIC 361 (“Katzenberger”);  J</w:t>
      </w:r>
      <w:r w:rsidR="00FA1A0F" w:rsidRPr="00FA1A0F">
        <w:rPr>
          <w:szCs w:val="18"/>
        </w:rPr>
        <w:noBreakHyphen/>
      </w:r>
      <w:r w:rsidRPr="00FA1A0F">
        <w:rPr>
          <w:szCs w:val="18"/>
        </w:rPr>
        <w:t xml:space="preserve">L. Duchemin (1974), </w:t>
      </w:r>
      <w:r w:rsidRPr="00FA1A0F">
        <w:rPr>
          <w:i/>
          <w:szCs w:val="18"/>
        </w:rPr>
        <w:t>Le droit de suite</w:t>
      </w:r>
      <w:r w:rsidRPr="00FA1A0F">
        <w:rPr>
          <w:szCs w:val="18"/>
        </w:rPr>
        <w:t xml:space="preserve">, 80 RIDA 4;  W. Nordemann (1973), </w:t>
      </w:r>
      <w:r w:rsidRPr="00FA1A0F">
        <w:rPr>
          <w:i/>
          <w:szCs w:val="18"/>
        </w:rPr>
        <w:t>The 1972 Amendment of the German Copyright Law</w:t>
      </w:r>
      <w:r w:rsidRPr="00FA1A0F">
        <w:rPr>
          <w:szCs w:val="18"/>
        </w:rPr>
        <w:t xml:space="preserve">, 4 IIC 179;  E. Ulmer, </w:t>
      </w:r>
      <w:r w:rsidRPr="00FA1A0F">
        <w:rPr>
          <w:i/>
          <w:szCs w:val="18"/>
        </w:rPr>
        <w:t>Le droit de suite et sa réglementation dans la convention de Berne</w:t>
      </w:r>
      <w:r w:rsidRPr="00FA1A0F">
        <w:rPr>
          <w:szCs w:val="18"/>
        </w:rPr>
        <w:t xml:space="preserve">, in </w:t>
      </w:r>
      <w:r w:rsidRPr="00FA1A0F">
        <w:rPr>
          <w:i/>
          <w:szCs w:val="18"/>
        </w:rPr>
        <w:t>Hommage à Henri Desbois, études de propriété intellectuelle</w:t>
      </w:r>
      <w:r w:rsidRPr="00FA1A0F">
        <w:rPr>
          <w:szCs w:val="18"/>
        </w:rPr>
        <w:t xml:space="preserve"> (1974), 89;  E. Ulmer (1975), </w:t>
      </w:r>
      <w:r w:rsidRPr="00FA1A0F">
        <w:rPr>
          <w:i/>
          <w:szCs w:val="18"/>
        </w:rPr>
        <w:t xml:space="preserve">The </w:t>
      </w:r>
      <w:r w:rsidR="00F346B2" w:rsidRPr="00FA1A0F">
        <w:rPr>
          <w:i/>
          <w:szCs w:val="18"/>
        </w:rPr>
        <w:t>‘</w:t>
      </w:r>
      <w:r w:rsidRPr="00FA1A0F">
        <w:rPr>
          <w:i/>
          <w:szCs w:val="18"/>
        </w:rPr>
        <w:t>Droit de Suite</w:t>
      </w:r>
      <w:r w:rsidR="00F346B2" w:rsidRPr="00FA1A0F">
        <w:rPr>
          <w:i/>
          <w:szCs w:val="18"/>
        </w:rPr>
        <w:t>’</w:t>
      </w:r>
      <w:r w:rsidRPr="00FA1A0F">
        <w:rPr>
          <w:i/>
          <w:szCs w:val="18"/>
        </w:rPr>
        <w:t xml:space="preserve"> in International Copyright Law</w:t>
      </w:r>
      <w:r w:rsidRPr="00FA1A0F">
        <w:rPr>
          <w:szCs w:val="18"/>
        </w:rPr>
        <w:t xml:space="preserve">, 6 IIC 12 (“Ulmer”);  W. Nordemann (1977), </w:t>
      </w:r>
      <w:r w:rsidRPr="00FA1A0F">
        <w:rPr>
          <w:i/>
          <w:szCs w:val="18"/>
        </w:rPr>
        <w:t>Droit de Suite</w:t>
      </w:r>
      <w:r w:rsidRPr="00FA1A0F">
        <w:rPr>
          <w:szCs w:val="18"/>
        </w:rPr>
        <w:t xml:space="preserve">, dans </w:t>
      </w:r>
      <w:r w:rsidRPr="00FA1A0F">
        <w:rPr>
          <w:i/>
          <w:szCs w:val="18"/>
        </w:rPr>
        <w:t>l</w:t>
      </w:r>
      <w:r w:rsidR="00F346B2" w:rsidRPr="00FA1A0F">
        <w:rPr>
          <w:i/>
          <w:szCs w:val="18"/>
        </w:rPr>
        <w:t>’</w:t>
      </w:r>
      <w:r w:rsidRPr="00FA1A0F">
        <w:rPr>
          <w:i/>
          <w:szCs w:val="18"/>
        </w:rPr>
        <w:t>article 14ter de la Convention de Berne et dans la loi sur le droit d</w:t>
      </w:r>
      <w:r w:rsidR="00F346B2" w:rsidRPr="00FA1A0F">
        <w:rPr>
          <w:i/>
          <w:szCs w:val="18"/>
        </w:rPr>
        <w:t>’</w:t>
      </w:r>
      <w:r w:rsidRPr="00FA1A0F">
        <w:rPr>
          <w:i/>
          <w:szCs w:val="18"/>
        </w:rPr>
        <w:t>auteur de la République fédérale d</w:t>
      </w:r>
      <w:r w:rsidR="00F346B2" w:rsidRPr="00FA1A0F">
        <w:rPr>
          <w:i/>
          <w:szCs w:val="18"/>
        </w:rPr>
        <w:t>’</w:t>
      </w:r>
      <w:r w:rsidRPr="00FA1A0F">
        <w:rPr>
          <w:i/>
          <w:szCs w:val="18"/>
        </w:rPr>
        <w:t>Allemagne</w:t>
      </w:r>
      <w:r w:rsidRPr="00FA1A0F">
        <w:rPr>
          <w:szCs w:val="18"/>
        </w:rPr>
        <w:t xml:space="preserve">, Copyright 342 (“Nordemann”). </w:t>
      </w:r>
      <w:r w:rsidR="00FB6E84" w:rsidRPr="00FA1A0F">
        <w:rPr>
          <w:szCs w:val="18"/>
        </w:rPr>
        <w:t xml:space="preserve"> </w:t>
      </w:r>
      <w:r w:rsidRPr="00FA1A0F">
        <w:rPr>
          <w:szCs w:val="18"/>
        </w:rPr>
        <w:t xml:space="preserve">US Copyright Office, </w:t>
      </w:r>
      <w:r w:rsidRPr="00FA1A0F">
        <w:rPr>
          <w:i/>
          <w:szCs w:val="18"/>
        </w:rPr>
        <w:t>Droit de Suite: The Artist</w:t>
      </w:r>
      <w:r w:rsidR="00F346B2" w:rsidRPr="00FA1A0F">
        <w:rPr>
          <w:i/>
          <w:szCs w:val="18"/>
        </w:rPr>
        <w:t>’</w:t>
      </w:r>
      <w:r w:rsidRPr="00FA1A0F">
        <w:rPr>
          <w:i/>
          <w:szCs w:val="18"/>
        </w:rPr>
        <w:t>s Resale Royalty</w:t>
      </w:r>
      <w:r w:rsidRPr="00FA1A0F">
        <w:rPr>
          <w:szCs w:val="18"/>
        </w:rPr>
        <w:t xml:space="preserve"> (Rapport de 1992), résumé en colonne 16.  </w:t>
      </w:r>
      <w:r w:rsidRPr="00FA1A0F">
        <w:rPr>
          <w:szCs w:val="18"/>
          <w:lang w:val="en-US"/>
        </w:rPr>
        <w:t xml:space="preserve">VLA J. L. &amp; Arts 318 (1992); </w:t>
      </w:r>
      <w:r w:rsidR="00FB6E84" w:rsidRPr="00FA1A0F">
        <w:rPr>
          <w:szCs w:val="18"/>
          <w:lang w:val="en-US"/>
        </w:rPr>
        <w:t xml:space="preserve"> </w:t>
      </w:r>
      <w:r w:rsidRPr="00FA1A0F">
        <w:rPr>
          <w:szCs w:val="18"/>
          <w:lang w:val="en-US"/>
        </w:rPr>
        <w:t xml:space="preserve">Shira Perlmutter, </w:t>
      </w:r>
      <w:r w:rsidRPr="00FA1A0F">
        <w:rPr>
          <w:i/>
          <w:szCs w:val="18"/>
          <w:lang w:val="en-US"/>
        </w:rPr>
        <w:t>Resale Royalties for Artists: An Analysis of the Register of Copyright</w:t>
      </w:r>
      <w:r w:rsidRPr="00FA1A0F">
        <w:rPr>
          <w:szCs w:val="18"/>
          <w:lang w:val="en-US"/>
        </w:rPr>
        <w:t xml:space="preserve"> </w:t>
      </w:r>
      <w:r w:rsidRPr="00FA1A0F">
        <w:rPr>
          <w:i/>
          <w:szCs w:val="18"/>
          <w:lang w:val="en-US"/>
        </w:rPr>
        <w:t>Report</w:t>
      </w:r>
      <w:r w:rsidRPr="00FA1A0F">
        <w:rPr>
          <w:szCs w:val="18"/>
          <w:lang w:val="en-US"/>
        </w:rPr>
        <w:t xml:space="preserve">, colonne 16.  VLA J. L &amp; Arts 157 (1992); </w:t>
      </w:r>
      <w:r w:rsidR="00FB6E84" w:rsidRPr="00FA1A0F">
        <w:rPr>
          <w:szCs w:val="18"/>
          <w:lang w:val="en-US"/>
        </w:rPr>
        <w:t xml:space="preserve"> </w:t>
      </w:r>
      <w:r w:rsidRPr="00FA1A0F">
        <w:rPr>
          <w:szCs w:val="18"/>
          <w:lang w:val="en-US"/>
        </w:rPr>
        <w:t>L. de Pierredon</w:t>
      </w:r>
      <w:r w:rsidR="00FA1A0F" w:rsidRPr="00FA1A0F">
        <w:rPr>
          <w:szCs w:val="18"/>
          <w:lang w:val="en-US"/>
        </w:rPr>
        <w:noBreakHyphen/>
      </w:r>
      <w:r w:rsidRPr="00FA1A0F">
        <w:rPr>
          <w:szCs w:val="18"/>
          <w:lang w:val="en-US"/>
        </w:rPr>
        <w:t xml:space="preserve">Fawcett, </w:t>
      </w:r>
      <w:r w:rsidRPr="00FA1A0F">
        <w:rPr>
          <w:i/>
          <w:szCs w:val="18"/>
          <w:lang w:val="en-US"/>
        </w:rPr>
        <w:t>Le Droit de Suite en Propriété Littéraire et Artistique</w:t>
      </w:r>
      <w:r w:rsidR="00F346B2" w:rsidRPr="00FA1A0F">
        <w:rPr>
          <w:i/>
          <w:szCs w:val="18"/>
          <w:lang w:val="en-US"/>
        </w:rPr>
        <w:t>:</w:t>
      </w:r>
      <w:r w:rsidRPr="00FA1A0F">
        <w:rPr>
          <w:i/>
          <w:szCs w:val="18"/>
          <w:lang w:val="en-US"/>
        </w:rPr>
        <w:t xml:space="preserve"> A Comparative Law Study</w:t>
      </w:r>
      <w:r w:rsidRPr="00FA1A0F">
        <w:rPr>
          <w:szCs w:val="18"/>
          <w:lang w:val="en-US"/>
        </w:rPr>
        <w:t xml:space="preserve"> (translated from the French by L. Marin</w:t>
      </w:r>
      <w:r w:rsidR="00FA1A0F" w:rsidRPr="00FA1A0F">
        <w:rPr>
          <w:szCs w:val="18"/>
          <w:lang w:val="en-US"/>
        </w:rPr>
        <w:noBreakHyphen/>
      </w:r>
      <w:r w:rsidRPr="00FA1A0F">
        <w:rPr>
          <w:szCs w:val="18"/>
          <w:lang w:val="en-US"/>
        </w:rPr>
        <w:t>Valiquette), Centre pour le droit et les arts, Faculté de droit de l</w:t>
      </w:r>
      <w:r w:rsidR="00F346B2" w:rsidRPr="00FA1A0F">
        <w:rPr>
          <w:szCs w:val="18"/>
          <w:lang w:val="en-US"/>
        </w:rPr>
        <w:t>’</w:t>
      </w:r>
      <w:r w:rsidRPr="00FA1A0F">
        <w:rPr>
          <w:szCs w:val="18"/>
          <w:lang w:val="en-US"/>
        </w:rPr>
        <w:t>Université de Columbia, New York, 1991 (“Pierredon</w:t>
      </w:r>
      <w:r w:rsidR="00FA1A0F" w:rsidRPr="00FA1A0F">
        <w:rPr>
          <w:szCs w:val="18"/>
          <w:lang w:val="en-US"/>
        </w:rPr>
        <w:noBreakHyphen/>
      </w:r>
      <w:r w:rsidRPr="00FA1A0F">
        <w:rPr>
          <w:szCs w:val="18"/>
          <w:lang w:val="en-US"/>
        </w:rPr>
        <w:t>Fawcett”)</w:t>
      </w:r>
      <w:r w:rsidR="00600209" w:rsidRPr="00FA1A0F">
        <w:rPr>
          <w:szCs w:val="18"/>
          <w:lang w:val="en-US"/>
        </w:rPr>
        <w:t xml:space="preserve">; </w:t>
      </w:r>
      <w:r w:rsidR="007C2885" w:rsidRPr="00FA1A0F">
        <w:rPr>
          <w:szCs w:val="18"/>
          <w:lang w:val="en-US"/>
        </w:rPr>
        <w:t xml:space="preserve"> </w:t>
      </w:r>
      <w:r w:rsidR="00600209" w:rsidRPr="00FA1A0F">
        <w:rPr>
          <w:rFonts w:eastAsia="Times New Roman"/>
          <w:szCs w:val="18"/>
          <w:lang w:val="en-US" w:eastAsia="fr-CH"/>
        </w:rPr>
        <w:t>Michael B.</w:t>
      </w:r>
      <w:r w:rsidR="007C2885" w:rsidRPr="00FA1A0F">
        <w:rPr>
          <w:rFonts w:eastAsia="Times New Roman"/>
          <w:szCs w:val="18"/>
          <w:lang w:val="en-US" w:eastAsia="fr-CH"/>
        </w:rPr>
        <w:t> </w:t>
      </w:r>
      <w:r w:rsidR="00600209" w:rsidRPr="00FA1A0F">
        <w:rPr>
          <w:rFonts w:eastAsia="Times New Roman"/>
          <w:szCs w:val="18"/>
          <w:lang w:val="en-GB" w:eastAsia="fr-CH"/>
        </w:rPr>
        <w:t xml:space="preserve">Reddy, The Droit de Suite: Why American Fine Artists Should Have a Right to a Resale Royalty, </w:t>
      </w:r>
      <w:r w:rsidR="00600209" w:rsidRPr="00FA1A0F">
        <w:rPr>
          <w:szCs w:val="18"/>
          <w:lang w:val="en-US"/>
        </w:rPr>
        <w:t xml:space="preserve">(1995) </w:t>
      </w:r>
      <w:r w:rsidR="00600209" w:rsidRPr="00FA1A0F">
        <w:rPr>
          <w:rFonts w:eastAsia="Times New Roman"/>
          <w:szCs w:val="18"/>
          <w:lang w:val="en-GB" w:eastAsia="fr-CH"/>
        </w:rPr>
        <w:t xml:space="preserve">15 </w:t>
      </w:r>
      <w:r w:rsidR="00600209" w:rsidRPr="00FA1A0F">
        <w:rPr>
          <w:rFonts w:eastAsia="Times New Roman"/>
          <w:i/>
          <w:iCs/>
          <w:szCs w:val="18"/>
          <w:lang w:val="en-GB" w:eastAsia="fr-CH"/>
        </w:rPr>
        <w:t>Loyola of Los Angeles Entertainment Law Review</w:t>
      </w:r>
      <w:r w:rsidR="00600209" w:rsidRPr="00FA1A0F">
        <w:rPr>
          <w:rFonts w:eastAsia="Times New Roman"/>
          <w:szCs w:val="18"/>
          <w:lang w:val="en-GB" w:eastAsia="fr-CH"/>
        </w:rPr>
        <w:t xml:space="preserve"> 509.</w:t>
      </w:r>
    </w:p>
  </w:footnote>
  <w:footnote w:id="4">
    <w:p w14:paraId="3B5F6853" w14:textId="538AE8DF" w:rsidR="00C77D5B" w:rsidRPr="00FA1A0F" w:rsidRDefault="00C77D5B" w:rsidP="00FA1A0F">
      <w:pPr>
        <w:pStyle w:val="FootnoteText"/>
        <w:tabs>
          <w:tab w:val="left" w:pos="567"/>
        </w:tabs>
        <w:spacing w:before="120" w:after="120"/>
        <w:rPr>
          <w:szCs w:val="18"/>
          <w:lang w:val="fr-FR"/>
        </w:rPr>
      </w:pPr>
      <w:r w:rsidRPr="00FA1A0F">
        <w:rPr>
          <w:rStyle w:val="FootnoteReference"/>
          <w:szCs w:val="18"/>
        </w:rPr>
        <w:footnoteRef/>
      </w:r>
      <w:r w:rsidRPr="00FA1A0F">
        <w:rPr>
          <w:szCs w:val="18"/>
        </w:rPr>
        <w:t xml:space="preserve"> </w:t>
      </w:r>
      <w:r w:rsidR="00A117DD" w:rsidRPr="00FA1A0F">
        <w:rPr>
          <w:szCs w:val="18"/>
        </w:rPr>
        <w:tab/>
      </w:r>
      <w:r w:rsidRPr="00FA1A0F">
        <w:rPr>
          <w:szCs w:val="18"/>
        </w:rPr>
        <w:t>Au</w:t>
      </w:r>
      <w:r w:rsidR="00F346B2" w:rsidRPr="00FA1A0F">
        <w:rPr>
          <w:szCs w:val="18"/>
        </w:rPr>
        <w:t xml:space="preserve"> 1</w:t>
      </w:r>
      <w:r w:rsidR="00F346B2" w:rsidRPr="00FA1A0F">
        <w:rPr>
          <w:szCs w:val="18"/>
          <w:vertAlign w:val="superscript"/>
        </w:rPr>
        <w:t>er</w:t>
      </w:r>
      <w:r w:rsidR="00F346B2" w:rsidRPr="00FA1A0F">
        <w:rPr>
          <w:szCs w:val="18"/>
        </w:rPr>
        <w:t> </w:t>
      </w:r>
      <w:r w:rsidR="00EC24F5" w:rsidRPr="00FA1A0F">
        <w:rPr>
          <w:szCs w:val="18"/>
        </w:rPr>
        <w:t>janvier 20</w:t>
      </w:r>
      <w:r w:rsidRPr="00FA1A0F">
        <w:rPr>
          <w:szCs w:val="18"/>
        </w:rPr>
        <w:t>24, l</w:t>
      </w:r>
      <w:r w:rsidR="00F346B2" w:rsidRPr="00FA1A0F">
        <w:rPr>
          <w:szCs w:val="18"/>
        </w:rPr>
        <w:t>’</w:t>
      </w:r>
      <w:r w:rsidRPr="00FA1A0F">
        <w:rPr>
          <w:szCs w:val="18"/>
        </w:rPr>
        <w:t>association European Visual Artists (EVA) a recensé 106</w:t>
      </w:r>
      <w:r w:rsidR="0042410E" w:rsidRPr="00FA1A0F">
        <w:rPr>
          <w:szCs w:val="18"/>
        </w:rPr>
        <w:t> </w:t>
      </w:r>
      <w:r w:rsidRPr="00FA1A0F">
        <w:rPr>
          <w:szCs w:val="18"/>
        </w:rPr>
        <w:t xml:space="preserve">pays dont la législation prévoit le droit de suite des artistes. </w:t>
      </w:r>
      <w:r w:rsidR="00FB6E84" w:rsidRPr="00FA1A0F">
        <w:rPr>
          <w:szCs w:val="18"/>
        </w:rPr>
        <w:t xml:space="preserve"> </w:t>
      </w:r>
      <w:r w:rsidRPr="00FA1A0F">
        <w:rPr>
          <w:szCs w:val="18"/>
        </w:rPr>
        <w:t>Ces chiffres sont tirés des législations nationales figurant sur le site</w:t>
      </w:r>
      <w:r w:rsidR="00FB6E84" w:rsidRPr="00FA1A0F">
        <w:rPr>
          <w:szCs w:val="18"/>
        </w:rPr>
        <w:t> </w:t>
      </w:r>
      <w:r w:rsidRPr="00FA1A0F">
        <w:rPr>
          <w:szCs w:val="18"/>
        </w:rPr>
        <w:t>Web de l</w:t>
      </w:r>
      <w:r w:rsidR="00F346B2" w:rsidRPr="00FA1A0F">
        <w:rPr>
          <w:szCs w:val="18"/>
        </w:rPr>
        <w:t>’</w:t>
      </w:r>
      <w:r w:rsidRPr="00FA1A0F">
        <w:rPr>
          <w:szCs w:val="18"/>
        </w:rPr>
        <w:t>OMPI à l</w:t>
      </w:r>
      <w:r w:rsidR="00F346B2" w:rsidRPr="00FA1A0F">
        <w:rPr>
          <w:szCs w:val="18"/>
        </w:rPr>
        <w:t>’</w:t>
      </w:r>
      <w:r w:rsidRPr="00FA1A0F">
        <w:rPr>
          <w:szCs w:val="18"/>
        </w:rPr>
        <w:t xml:space="preserve">adresse </w:t>
      </w:r>
      <w:hyperlink r:id="rId1" w:history="1">
        <w:r w:rsidRPr="00FA1A0F">
          <w:rPr>
            <w:rStyle w:val="Hyperlink"/>
            <w:szCs w:val="18"/>
          </w:rPr>
          <w:t>https://www.resale</w:t>
        </w:r>
        <w:r w:rsidR="00FA1A0F" w:rsidRPr="00FA1A0F">
          <w:rPr>
            <w:rStyle w:val="Hyperlink"/>
            <w:szCs w:val="18"/>
          </w:rPr>
          <w:noBreakHyphen/>
        </w:r>
        <w:r w:rsidRPr="00FA1A0F">
          <w:rPr>
            <w:rStyle w:val="Hyperlink"/>
            <w:szCs w:val="18"/>
          </w:rPr>
          <w:t>right.org/countries</w:t>
        </w:r>
        <w:r w:rsidR="00FA1A0F" w:rsidRPr="00FA1A0F">
          <w:rPr>
            <w:rStyle w:val="Hyperlink"/>
            <w:szCs w:val="18"/>
          </w:rPr>
          <w:noBreakHyphen/>
        </w:r>
        <w:r w:rsidRPr="00FA1A0F">
          <w:rPr>
            <w:rStyle w:val="Hyperlink"/>
            <w:szCs w:val="18"/>
          </w:rPr>
          <w:t>with</w:t>
        </w:r>
        <w:r w:rsidR="00FA1A0F" w:rsidRPr="00FA1A0F">
          <w:rPr>
            <w:rStyle w:val="Hyperlink"/>
            <w:szCs w:val="18"/>
          </w:rPr>
          <w:noBreakHyphen/>
        </w:r>
        <w:r w:rsidRPr="00FA1A0F">
          <w:rPr>
            <w:rStyle w:val="Hyperlink"/>
            <w:szCs w:val="18"/>
          </w:rPr>
          <w:t>arr/</w:t>
        </w:r>
      </w:hyperlink>
      <w:r w:rsidRPr="00FA1A0F">
        <w:rPr>
          <w:szCs w:val="18"/>
        </w:rPr>
        <w:t xml:space="preserve"> (consulté le 1</w:t>
      </w:r>
      <w:r w:rsidR="00EC24F5" w:rsidRPr="00FA1A0F">
        <w:rPr>
          <w:szCs w:val="18"/>
        </w:rPr>
        <w:t>0 janvier 20</w:t>
      </w:r>
      <w:r w:rsidRPr="00FA1A0F">
        <w:rPr>
          <w:szCs w:val="18"/>
        </w:rPr>
        <w:t xml:space="preserve">25). </w:t>
      </w:r>
      <w:r w:rsidR="00FB6E84" w:rsidRPr="00FA1A0F">
        <w:rPr>
          <w:szCs w:val="18"/>
        </w:rPr>
        <w:t xml:space="preserve"> </w:t>
      </w:r>
      <w:r w:rsidRPr="00FA1A0F">
        <w:rPr>
          <w:szCs w:val="18"/>
        </w:rPr>
        <w:t>Un seul de ces pays</w:t>
      </w:r>
      <w:r w:rsidR="00EC24F5" w:rsidRPr="00FA1A0F">
        <w:rPr>
          <w:szCs w:val="18"/>
        </w:rPr>
        <w:t xml:space="preserve"> – </w:t>
      </w:r>
      <w:r w:rsidRPr="00FA1A0F">
        <w:rPr>
          <w:szCs w:val="18"/>
        </w:rPr>
        <w:t>l</w:t>
      </w:r>
      <w:r w:rsidR="00F346B2" w:rsidRPr="00FA1A0F">
        <w:rPr>
          <w:szCs w:val="18"/>
        </w:rPr>
        <w:t>’</w:t>
      </w:r>
      <w:r w:rsidRPr="00FA1A0F">
        <w:rPr>
          <w:szCs w:val="18"/>
        </w:rPr>
        <w:t>Éthiopie</w:t>
      </w:r>
      <w:r w:rsidR="00EC24F5" w:rsidRPr="00FA1A0F">
        <w:rPr>
          <w:szCs w:val="18"/>
        </w:rPr>
        <w:t xml:space="preserve"> – </w:t>
      </w:r>
      <w:r w:rsidRPr="00FA1A0F">
        <w:rPr>
          <w:szCs w:val="18"/>
        </w:rPr>
        <w:t>n</w:t>
      </w:r>
      <w:r w:rsidR="00F346B2" w:rsidRPr="00FA1A0F">
        <w:rPr>
          <w:szCs w:val="18"/>
        </w:rPr>
        <w:t>’</w:t>
      </w:r>
      <w:r w:rsidRPr="00FA1A0F">
        <w:rPr>
          <w:szCs w:val="18"/>
        </w:rPr>
        <w:t xml:space="preserve">est pas un pays signataire de la Convention de Berne.  </w:t>
      </w:r>
      <w:r w:rsidRPr="00FA1A0F">
        <w:rPr>
          <w:szCs w:val="18"/>
          <w:lang w:val="fr-FR"/>
        </w:rPr>
        <w:t>Voir la note</w:t>
      </w:r>
      <w:r w:rsidR="0030289F" w:rsidRPr="00FA1A0F">
        <w:rPr>
          <w:szCs w:val="18"/>
          <w:lang w:val="fr-FR"/>
        </w:rPr>
        <w:t> </w:t>
      </w:r>
      <w:r w:rsidRPr="00FA1A0F">
        <w:rPr>
          <w:szCs w:val="18"/>
          <w:lang w:val="fr-FR"/>
        </w:rPr>
        <w:t>20 ci</w:t>
      </w:r>
      <w:r w:rsidR="00FA1A0F" w:rsidRPr="00FA1A0F">
        <w:rPr>
          <w:szCs w:val="18"/>
          <w:lang w:val="fr-FR"/>
        </w:rPr>
        <w:noBreakHyphen/>
      </w:r>
      <w:r w:rsidRPr="00FA1A0F">
        <w:rPr>
          <w:szCs w:val="18"/>
          <w:lang w:val="fr-FR"/>
        </w:rPr>
        <w:t>dessous.</w:t>
      </w:r>
    </w:p>
  </w:footnote>
  <w:footnote w:id="5">
    <w:p w14:paraId="5631F9CA" w14:textId="15BD00C2" w:rsidR="00C77D5B" w:rsidRPr="00FA1A0F" w:rsidRDefault="00C77D5B" w:rsidP="00FA1A0F">
      <w:pPr>
        <w:pStyle w:val="FootnoteText"/>
        <w:tabs>
          <w:tab w:val="left" w:pos="567"/>
        </w:tabs>
        <w:spacing w:before="120" w:after="120"/>
        <w:rPr>
          <w:i/>
          <w:szCs w:val="18"/>
          <w:lang w:val="fr-FR"/>
        </w:rPr>
      </w:pPr>
      <w:r w:rsidRPr="00FA1A0F">
        <w:rPr>
          <w:rStyle w:val="FootnoteReference"/>
          <w:szCs w:val="18"/>
        </w:rPr>
        <w:footnoteRef/>
      </w:r>
      <w:r w:rsidRPr="00FA1A0F">
        <w:rPr>
          <w:szCs w:val="18"/>
          <w:lang w:val="fr-FR"/>
        </w:rPr>
        <w:t xml:space="preserve"> </w:t>
      </w:r>
      <w:r w:rsidRPr="00FA1A0F">
        <w:rPr>
          <w:szCs w:val="18"/>
          <w:lang w:val="fr-FR"/>
        </w:rPr>
        <w:tab/>
        <w:t>La section suivante s</w:t>
      </w:r>
      <w:r w:rsidR="00F346B2" w:rsidRPr="00FA1A0F">
        <w:rPr>
          <w:szCs w:val="18"/>
          <w:lang w:val="fr-FR"/>
        </w:rPr>
        <w:t>’</w:t>
      </w:r>
      <w:r w:rsidRPr="00FA1A0F">
        <w:rPr>
          <w:szCs w:val="18"/>
          <w:lang w:val="fr-FR"/>
        </w:rPr>
        <w:t xml:space="preserve">appuie sur des éléments figurant dans S. Ricketson et J. Ginsburg, </w:t>
      </w:r>
      <w:r w:rsidRPr="00FA1A0F">
        <w:rPr>
          <w:i/>
          <w:szCs w:val="18"/>
          <w:lang w:val="fr-FR"/>
        </w:rPr>
        <w:t xml:space="preserve">International Copyright and Neighbouring Rights, </w:t>
      </w:r>
      <w:r w:rsidRPr="00FA1A0F">
        <w:rPr>
          <w:szCs w:val="18"/>
          <w:lang w:val="fr-FR"/>
        </w:rPr>
        <w:t>Presse universitaire d</w:t>
      </w:r>
      <w:r w:rsidR="00F346B2" w:rsidRPr="00FA1A0F">
        <w:rPr>
          <w:szCs w:val="18"/>
          <w:lang w:val="fr-FR"/>
        </w:rPr>
        <w:t>’</w:t>
      </w:r>
      <w:r w:rsidRPr="00FA1A0F">
        <w:rPr>
          <w:szCs w:val="18"/>
          <w:lang w:val="fr-FR"/>
        </w:rPr>
        <w:t>Oxford, Oxford, 3</w:t>
      </w:r>
      <w:r w:rsidRPr="00FA1A0F">
        <w:rPr>
          <w:szCs w:val="18"/>
          <w:vertAlign w:val="superscript"/>
          <w:lang w:val="fr-FR"/>
        </w:rPr>
        <w:t>e</w:t>
      </w:r>
      <w:r w:rsidRPr="00FA1A0F">
        <w:rPr>
          <w:szCs w:val="18"/>
          <w:lang w:val="fr-FR"/>
        </w:rPr>
        <w:t xml:space="preserve"> éd., 2022 (“Ricketson and Ginsburg”) [11.59] ff.  Voir également S. Ricketson (2015), </w:t>
      </w:r>
      <w:r w:rsidRPr="00FA1A0F">
        <w:rPr>
          <w:i/>
          <w:szCs w:val="18"/>
          <w:lang w:val="fr-FR"/>
        </w:rPr>
        <w:t>Proposed International Treaty on Droit de Suite/Resale Royalty Right for Visual Artists</w:t>
      </w:r>
      <w:r w:rsidRPr="00FA1A0F">
        <w:rPr>
          <w:szCs w:val="18"/>
          <w:lang w:val="fr-FR"/>
        </w:rPr>
        <w:t>, 245 Revue Internationale du Droit d</w:t>
      </w:r>
      <w:r w:rsidR="00F346B2" w:rsidRPr="00FA1A0F">
        <w:rPr>
          <w:szCs w:val="18"/>
          <w:lang w:val="fr-FR"/>
        </w:rPr>
        <w:t>’</w:t>
      </w:r>
      <w:r w:rsidRPr="00FA1A0F">
        <w:rPr>
          <w:szCs w:val="18"/>
          <w:lang w:val="fr-FR"/>
        </w:rPr>
        <w:t>Auteur</w:t>
      </w:r>
      <w:r w:rsidRPr="00FA1A0F">
        <w:rPr>
          <w:i/>
          <w:szCs w:val="18"/>
          <w:lang w:val="fr-FR"/>
        </w:rPr>
        <w:t> </w:t>
      </w:r>
      <w:r w:rsidRPr="00FA1A0F">
        <w:rPr>
          <w:szCs w:val="18"/>
          <w:lang w:val="fr-FR"/>
        </w:rPr>
        <w:t>3</w:t>
      </w:r>
      <w:r w:rsidR="00FA1A0F" w:rsidRPr="00FA1A0F">
        <w:rPr>
          <w:szCs w:val="18"/>
          <w:lang w:val="fr-FR"/>
        </w:rPr>
        <w:noBreakHyphen/>
      </w:r>
      <w:r w:rsidRPr="00FA1A0F">
        <w:rPr>
          <w:szCs w:val="18"/>
          <w:lang w:val="fr-FR"/>
        </w:rPr>
        <w:t>263 (“Ricketson”).</w:t>
      </w:r>
    </w:p>
  </w:footnote>
  <w:footnote w:id="6">
    <w:p w14:paraId="564898B7" w14:textId="74A08187"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Comme le montre la célèbre lithographie de Jean</w:t>
      </w:r>
      <w:r w:rsidR="00FA1A0F" w:rsidRPr="00FA1A0F">
        <w:rPr>
          <w:szCs w:val="18"/>
        </w:rPr>
        <w:noBreakHyphen/>
      </w:r>
      <w:r w:rsidRPr="00FA1A0F">
        <w:rPr>
          <w:szCs w:val="18"/>
        </w:rPr>
        <w:t xml:space="preserve">Louis Forain de Millet et sa famille sur la première page de J. Farchy, </w:t>
      </w:r>
      <w:r w:rsidRPr="00FA1A0F">
        <w:rPr>
          <w:i/>
          <w:szCs w:val="18"/>
        </w:rPr>
        <w:t>Le droit de suite est</w:t>
      </w:r>
      <w:r w:rsidR="00FA1A0F" w:rsidRPr="00FA1A0F">
        <w:rPr>
          <w:i/>
          <w:szCs w:val="18"/>
        </w:rPr>
        <w:noBreakHyphen/>
      </w:r>
      <w:r w:rsidRPr="00FA1A0F">
        <w:rPr>
          <w:i/>
          <w:szCs w:val="18"/>
        </w:rPr>
        <w:t>il soluble dans l</w:t>
      </w:r>
      <w:r w:rsidR="00F346B2" w:rsidRPr="00FA1A0F">
        <w:rPr>
          <w:i/>
          <w:szCs w:val="18"/>
        </w:rPr>
        <w:t>’</w:t>
      </w:r>
      <w:r w:rsidRPr="00FA1A0F">
        <w:rPr>
          <w:i/>
          <w:szCs w:val="18"/>
        </w:rPr>
        <w:t xml:space="preserve">analyse économique?  </w:t>
      </w:r>
      <w:r w:rsidRPr="00FA1A0F">
        <w:rPr>
          <w:szCs w:val="18"/>
        </w:rPr>
        <w:t>Mars 2011 (“Farchy”);  voir aussi Katzenberger, p</w:t>
      </w:r>
      <w:r w:rsidR="00A117DD" w:rsidRPr="00FA1A0F">
        <w:rPr>
          <w:szCs w:val="18"/>
        </w:rPr>
        <w:t>age</w:t>
      </w:r>
      <w:r w:rsidRPr="00FA1A0F">
        <w:rPr>
          <w:szCs w:val="18"/>
        </w:rPr>
        <w:t> 364ff;  Duchemin, p</w:t>
      </w:r>
      <w:r w:rsidR="00A117DD" w:rsidRPr="00FA1A0F">
        <w:rPr>
          <w:szCs w:val="18"/>
        </w:rPr>
        <w:t>age</w:t>
      </w:r>
      <w:r w:rsidRPr="00FA1A0F">
        <w:rPr>
          <w:szCs w:val="18"/>
        </w:rPr>
        <w:t> 17ff.  D</w:t>
      </w:r>
      <w:r w:rsidR="00F346B2" w:rsidRPr="00FA1A0F">
        <w:rPr>
          <w:szCs w:val="18"/>
        </w:rPr>
        <w:t>’</w:t>
      </w:r>
      <w:r w:rsidRPr="00FA1A0F">
        <w:rPr>
          <w:szCs w:val="18"/>
        </w:rPr>
        <w:t>autres artistes célèbres mais décédés cités à cet égard sont Dégas et Bollin.</w:t>
      </w:r>
    </w:p>
  </w:footnote>
  <w:footnote w:id="7">
    <w:p w14:paraId="3A17989F" w14:textId="365ACCFB"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r>
      <w:r w:rsidRPr="00FA1A0F">
        <w:rPr>
          <w:i/>
          <w:szCs w:val="18"/>
        </w:rPr>
        <w:t>Chronique de Paris</w:t>
      </w:r>
      <w:r w:rsidRPr="00FA1A0F">
        <w:rPr>
          <w:szCs w:val="18"/>
        </w:rPr>
        <w:t>, 25 février 1893;  voir aussi Hauser, p</w:t>
      </w:r>
      <w:r w:rsidR="00A117DD" w:rsidRPr="00FA1A0F">
        <w:rPr>
          <w:szCs w:val="18"/>
        </w:rPr>
        <w:t>age</w:t>
      </w:r>
      <w:r w:rsidRPr="00FA1A0F">
        <w:rPr>
          <w:szCs w:val="18"/>
        </w:rPr>
        <w:t> 96ff, Duchemin, p</w:t>
      </w:r>
      <w:r w:rsidR="00A117DD" w:rsidRPr="00FA1A0F">
        <w:rPr>
          <w:szCs w:val="18"/>
        </w:rPr>
        <w:t>age</w:t>
      </w:r>
      <w:r w:rsidRPr="00FA1A0F">
        <w:rPr>
          <w:szCs w:val="18"/>
        </w:rPr>
        <w:t> 35ff, et Pierredon</w:t>
      </w:r>
      <w:r w:rsidR="00FA1A0F" w:rsidRPr="00FA1A0F">
        <w:rPr>
          <w:szCs w:val="18"/>
        </w:rPr>
        <w:noBreakHyphen/>
      </w:r>
      <w:r w:rsidRPr="00FA1A0F">
        <w:rPr>
          <w:szCs w:val="18"/>
        </w:rPr>
        <w:t>Fawcett, p</w:t>
      </w:r>
      <w:r w:rsidR="00A117DD" w:rsidRPr="00FA1A0F">
        <w:rPr>
          <w:szCs w:val="18"/>
        </w:rPr>
        <w:t>ages</w:t>
      </w:r>
      <w:r w:rsidRPr="00FA1A0F">
        <w:rPr>
          <w:szCs w:val="18"/>
        </w:rPr>
        <w:t> 2</w:t>
      </w:r>
      <w:r w:rsidR="00A117DD" w:rsidRPr="00FA1A0F">
        <w:rPr>
          <w:szCs w:val="18"/>
        </w:rPr>
        <w:t xml:space="preserve"> et </w:t>
      </w:r>
      <w:r w:rsidRPr="00FA1A0F">
        <w:rPr>
          <w:szCs w:val="18"/>
        </w:rPr>
        <w:t>3 et les autres sources citées dans la note 2.</w:t>
      </w:r>
    </w:p>
  </w:footnote>
  <w:footnote w:id="8">
    <w:p w14:paraId="3646D412" w14:textId="6246D21F"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Voir aussi Pierredon</w:t>
      </w:r>
      <w:r w:rsidR="00FA1A0F" w:rsidRPr="00FA1A0F">
        <w:rPr>
          <w:szCs w:val="18"/>
        </w:rPr>
        <w:noBreakHyphen/>
      </w:r>
      <w:r w:rsidRPr="00FA1A0F">
        <w:rPr>
          <w:szCs w:val="18"/>
        </w:rPr>
        <w:t>Fawcett, p</w:t>
      </w:r>
      <w:r w:rsidR="00A117DD" w:rsidRPr="00FA1A0F">
        <w:rPr>
          <w:szCs w:val="18"/>
        </w:rPr>
        <w:t>ages</w:t>
      </w:r>
      <w:r w:rsidRPr="00FA1A0F">
        <w:rPr>
          <w:szCs w:val="18"/>
        </w:rPr>
        <w:t> 2</w:t>
      </w:r>
      <w:r w:rsidR="00A117DD" w:rsidRPr="00FA1A0F">
        <w:rPr>
          <w:szCs w:val="18"/>
        </w:rPr>
        <w:t xml:space="preserve"> à </w:t>
      </w:r>
      <w:r w:rsidRPr="00FA1A0F">
        <w:rPr>
          <w:szCs w:val="18"/>
        </w:rPr>
        <w:t>5.  Pour un premier projet de proposition qui aurait fourni aux artistes un quart de la valeur ajoutée d</w:t>
      </w:r>
      <w:r w:rsidR="00F346B2" w:rsidRPr="00FA1A0F">
        <w:rPr>
          <w:szCs w:val="18"/>
        </w:rPr>
        <w:t>’</w:t>
      </w:r>
      <w:r w:rsidRPr="00FA1A0F">
        <w:rPr>
          <w:szCs w:val="18"/>
        </w:rPr>
        <w:t>une revente d</w:t>
      </w:r>
      <w:r w:rsidR="00F346B2" w:rsidRPr="00FA1A0F">
        <w:rPr>
          <w:szCs w:val="18"/>
        </w:rPr>
        <w:t>’</w:t>
      </w:r>
      <w:r w:rsidRPr="00FA1A0F">
        <w:rPr>
          <w:szCs w:val="18"/>
        </w:rPr>
        <w:t xml:space="preserve">œuvres artistiques originales, voir (1914) </w:t>
      </w:r>
      <w:r w:rsidRPr="00FA1A0F">
        <w:rPr>
          <w:i/>
          <w:iCs/>
          <w:szCs w:val="18"/>
        </w:rPr>
        <w:t xml:space="preserve">Le </w:t>
      </w:r>
      <w:r w:rsidRPr="00FA1A0F">
        <w:rPr>
          <w:i/>
          <w:szCs w:val="18"/>
        </w:rPr>
        <w:t>Droit d</w:t>
      </w:r>
      <w:r w:rsidR="00F346B2" w:rsidRPr="00FA1A0F">
        <w:rPr>
          <w:i/>
          <w:szCs w:val="18"/>
        </w:rPr>
        <w:t>’</w:t>
      </w:r>
      <w:r w:rsidRPr="00FA1A0F">
        <w:rPr>
          <w:i/>
          <w:szCs w:val="18"/>
        </w:rPr>
        <w:t>auteur</w:t>
      </w:r>
      <w:r w:rsidR="0030289F" w:rsidRPr="00FA1A0F">
        <w:rPr>
          <w:i/>
          <w:szCs w:val="18"/>
        </w:rPr>
        <w:t> </w:t>
      </w:r>
      <w:r w:rsidRPr="00FA1A0F">
        <w:rPr>
          <w:szCs w:val="18"/>
        </w:rPr>
        <w:t>34 à 36.</w:t>
      </w:r>
    </w:p>
  </w:footnote>
  <w:footnote w:id="9">
    <w:p w14:paraId="564274E1" w14:textId="26FA4E89"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 xml:space="preserve">Loi du 20 mai 1920;  reproduite en (1920) </w:t>
      </w:r>
      <w:r w:rsidRPr="00FA1A0F">
        <w:rPr>
          <w:i/>
          <w:szCs w:val="18"/>
        </w:rPr>
        <w:t>Le Droit d</w:t>
      </w:r>
      <w:r w:rsidR="00F346B2" w:rsidRPr="00FA1A0F">
        <w:rPr>
          <w:i/>
          <w:szCs w:val="18"/>
        </w:rPr>
        <w:t>’</w:t>
      </w:r>
      <w:r w:rsidRPr="00FA1A0F">
        <w:rPr>
          <w:i/>
          <w:szCs w:val="18"/>
        </w:rPr>
        <w:t>Auteur</w:t>
      </w:r>
      <w:r w:rsidR="0030289F" w:rsidRPr="00FA1A0F">
        <w:rPr>
          <w:szCs w:val="18"/>
        </w:rPr>
        <w:t> </w:t>
      </w:r>
      <w:r w:rsidRPr="00FA1A0F">
        <w:rPr>
          <w:szCs w:val="18"/>
        </w:rPr>
        <w:t xml:space="preserve">61 et, pour une analyse de la loi, voir A. Vaunois (1920), </w:t>
      </w:r>
      <w:r w:rsidRPr="00FA1A0F">
        <w:rPr>
          <w:i/>
          <w:szCs w:val="18"/>
        </w:rPr>
        <w:t>Le Droit d</w:t>
      </w:r>
      <w:r w:rsidR="00F346B2" w:rsidRPr="00FA1A0F">
        <w:rPr>
          <w:i/>
          <w:szCs w:val="18"/>
        </w:rPr>
        <w:t>’</w:t>
      </w:r>
      <w:r w:rsidRPr="00FA1A0F">
        <w:rPr>
          <w:i/>
          <w:szCs w:val="18"/>
        </w:rPr>
        <w:t>Auteur </w:t>
      </w:r>
      <w:r w:rsidRPr="00FA1A0F">
        <w:rPr>
          <w:szCs w:val="18"/>
        </w:rPr>
        <w:t>161.  Voir aussi Duchemin, p</w:t>
      </w:r>
      <w:r w:rsidR="00A117DD" w:rsidRPr="00FA1A0F">
        <w:rPr>
          <w:szCs w:val="18"/>
        </w:rPr>
        <w:t>age</w:t>
      </w:r>
      <w:r w:rsidRPr="00FA1A0F">
        <w:rPr>
          <w:szCs w:val="18"/>
        </w:rPr>
        <w:t> 36ff.</w:t>
      </w:r>
    </w:p>
  </w:footnote>
  <w:footnote w:id="10">
    <w:p w14:paraId="4E8ABA5F" w14:textId="07F9DBA3"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Loi du 20 mai 1920, article 2.  L</w:t>
      </w:r>
      <w:r w:rsidR="00F346B2" w:rsidRPr="00FA1A0F">
        <w:rPr>
          <w:szCs w:val="18"/>
        </w:rPr>
        <w:t>’</w:t>
      </w:r>
      <w:r w:rsidRPr="00FA1A0F">
        <w:rPr>
          <w:szCs w:val="18"/>
        </w:rPr>
        <w:t>échelle était de 1% pour les œuvres vendues entre 1</w:t>
      </w:r>
      <w:r w:rsidR="00D53C0A" w:rsidRPr="00FA1A0F">
        <w:rPr>
          <w:szCs w:val="18"/>
        </w:rPr>
        <w:t> </w:t>
      </w:r>
      <w:r w:rsidRPr="00FA1A0F">
        <w:rPr>
          <w:szCs w:val="18"/>
        </w:rPr>
        <w:t>000 et 10 000 francs;  1,5% pour les œuvres vendues entre 10 000 et 20 000 francs;  2% pour les œuvres entre 20 000 et 50 000 francs;  et 3% pour les œuvres supérieures à 50 000 francs.  Un nouveau décret d</w:t>
      </w:r>
      <w:r w:rsidR="00F346B2" w:rsidRPr="00FA1A0F">
        <w:rPr>
          <w:szCs w:val="18"/>
        </w:rPr>
        <w:t>’</w:t>
      </w:r>
      <w:r w:rsidRPr="00FA1A0F">
        <w:rPr>
          <w:szCs w:val="18"/>
        </w:rPr>
        <w:t>application a été adopté le 17 décembre 1920</w:t>
      </w:r>
      <w:r w:rsidR="00F346B2" w:rsidRPr="00FA1A0F">
        <w:rPr>
          <w:szCs w:val="18"/>
        </w:rPr>
        <w:t> :</w:t>
      </w:r>
      <w:r w:rsidRPr="00FA1A0F">
        <w:rPr>
          <w:szCs w:val="18"/>
        </w:rPr>
        <w:t xml:space="preserve"> </w:t>
      </w:r>
      <w:r w:rsidR="00FE4B8C" w:rsidRPr="00FA1A0F">
        <w:rPr>
          <w:szCs w:val="18"/>
        </w:rPr>
        <w:t>(</w:t>
      </w:r>
      <w:r w:rsidRPr="00FA1A0F">
        <w:rPr>
          <w:szCs w:val="18"/>
        </w:rPr>
        <w:t>1921</w:t>
      </w:r>
      <w:r w:rsidR="00FE4B8C" w:rsidRPr="00FA1A0F">
        <w:rPr>
          <w:szCs w:val="18"/>
        </w:rPr>
        <w:t>)</w:t>
      </w:r>
      <w:r w:rsidRPr="00FA1A0F">
        <w:rPr>
          <w:szCs w:val="18"/>
        </w:rPr>
        <w:t xml:space="preserve"> Le d</w:t>
      </w:r>
      <w:r w:rsidRPr="00FA1A0F">
        <w:rPr>
          <w:i/>
          <w:szCs w:val="18"/>
        </w:rPr>
        <w:t>roit d</w:t>
      </w:r>
      <w:r w:rsidR="00F346B2" w:rsidRPr="00FA1A0F">
        <w:rPr>
          <w:i/>
          <w:szCs w:val="18"/>
        </w:rPr>
        <w:t>’</w:t>
      </w:r>
      <w:r w:rsidRPr="00FA1A0F">
        <w:rPr>
          <w:i/>
          <w:szCs w:val="18"/>
        </w:rPr>
        <w:t>auteur </w:t>
      </w:r>
      <w:r w:rsidRPr="00FA1A0F">
        <w:rPr>
          <w:szCs w:val="18"/>
        </w:rPr>
        <w:t>4.</w:t>
      </w:r>
    </w:p>
  </w:footnote>
  <w:footnote w:id="11">
    <w:p w14:paraId="3B1CB829" w14:textId="7D4BEFE9"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 xml:space="preserve">Voir aussi Vaunois, </w:t>
      </w:r>
      <w:r w:rsidR="00FE4B8C" w:rsidRPr="00FA1A0F">
        <w:rPr>
          <w:szCs w:val="18"/>
        </w:rPr>
        <w:t>(</w:t>
      </w:r>
      <w:r w:rsidRPr="00FA1A0F">
        <w:rPr>
          <w:szCs w:val="18"/>
        </w:rPr>
        <w:t>192</w:t>
      </w:r>
      <w:r w:rsidR="00FE4B8C" w:rsidRPr="00FA1A0F">
        <w:rPr>
          <w:szCs w:val="18"/>
        </w:rPr>
        <w:t>)</w:t>
      </w:r>
      <w:r w:rsidRPr="00FA1A0F">
        <w:rPr>
          <w:szCs w:val="18"/>
        </w:rPr>
        <w:t xml:space="preserve"> </w:t>
      </w:r>
      <w:r w:rsidRPr="00FA1A0F">
        <w:rPr>
          <w:i/>
          <w:szCs w:val="18"/>
        </w:rPr>
        <w:t>Le Droit d</w:t>
      </w:r>
      <w:r w:rsidR="00F346B2" w:rsidRPr="00FA1A0F">
        <w:rPr>
          <w:i/>
          <w:szCs w:val="18"/>
        </w:rPr>
        <w:t>’</w:t>
      </w:r>
      <w:r w:rsidRPr="00FA1A0F">
        <w:rPr>
          <w:i/>
          <w:szCs w:val="18"/>
        </w:rPr>
        <w:t>Auteur</w:t>
      </w:r>
      <w:r w:rsidRPr="00FA1A0F">
        <w:rPr>
          <w:szCs w:val="18"/>
        </w:rPr>
        <w:t>, p</w:t>
      </w:r>
      <w:r w:rsidR="00A117DD" w:rsidRPr="00FA1A0F">
        <w:rPr>
          <w:szCs w:val="18"/>
        </w:rPr>
        <w:t>ages </w:t>
      </w:r>
      <w:r w:rsidRPr="00FA1A0F">
        <w:rPr>
          <w:szCs w:val="18"/>
        </w:rPr>
        <w:t>106</w:t>
      </w:r>
      <w:r w:rsidR="00A117DD" w:rsidRPr="00FA1A0F">
        <w:rPr>
          <w:szCs w:val="18"/>
        </w:rPr>
        <w:t xml:space="preserve"> et </w:t>
      </w:r>
      <w:r w:rsidRPr="00FA1A0F">
        <w:rPr>
          <w:szCs w:val="18"/>
        </w:rPr>
        <w:t>107;  Hauser, p</w:t>
      </w:r>
      <w:r w:rsidR="00A117DD" w:rsidRPr="00FA1A0F">
        <w:rPr>
          <w:szCs w:val="18"/>
        </w:rPr>
        <w:t>ages</w:t>
      </w:r>
      <w:r w:rsidRPr="00FA1A0F">
        <w:rPr>
          <w:szCs w:val="18"/>
        </w:rPr>
        <w:t> 99</w:t>
      </w:r>
      <w:r w:rsidR="00A117DD" w:rsidRPr="00FA1A0F">
        <w:rPr>
          <w:szCs w:val="18"/>
        </w:rPr>
        <w:t xml:space="preserve"> à </w:t>
      </w:r>
      <w:r w:rsidRPr="00FA1A0F">
        <w:rPr>
          <w:szCs w:val="18"/>
        </w:rPr>
        <w:t>101.</w:t>
      </w:r>
    </w:p>
  </w:footnote>
  <w:footnote w:id="12">
    <w:p w14:paraId="57D1DB14" w14:textId="15A91C0B"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Loi du 25 juin 1921</w:t>
      </w:r>
      <w:r w:rsidR="0030289F" w:rsidRPr="00FA1A0F">
        <w:rPr>
          <w:szCs w:val="18"/>
        </w:rPr>
        <w:t>,</w:t>
      </w:r>
      <w:r w:rsidRPr="00FA1A0F">
        <w:rPr>
          <w:szCs w:val="18"/>
        </w:rPr>
        <w:t xml:space="preserve"> reproduite dans </w:t>
      </w:r>
      <w:r w:rsidR="00FE4B8C" w:rsidRPr="00FA1A0F">
        <w:rPr>
          <w:szCs w:val="18"/>
        </w:rPr>
        <w:t>(</w:t>
      </w:r>
      <w:r w:rsidRPr="00FA1A0F">
        <w:rPr>
          <w:szCs w:val="18"/>
        </w:rPr>
        <w:t>1921</w:t>
      </w:r>
      <w:r w:rsidR="00FE4B8C" w:rsidRPr="00FA1A0F">
        <w:rPr>
          <w:szCs w:val="18"/>
        </w:rPr>
        <w:t>)</w:t>
      </w:r>
      <w:r w:rsidRPr="00FA1A0F">
        <w:rPr>
          <w:szCs w:val="18"/>
        </w:rPr>
        <w:t xml:space="preserve"> </w:t>
      </w:r>
      <w:r w:rsidRPr="00FA1A0F">
        <w:rPr>
          <w:i/>
          <w:szCs w:val="18"/>
        </w:rPr>
        <w:t>Le Droit d</w:t>
      </w:r>
      <w:r w:rsidR="00F346B2" w:rsidRPr="00FA1A0F">
        <w:rPr>
          <w:i/>
          <w:szCs w:val="18"/>
        </w:rPr>
        <w:t>’</w:t>
      </w:r>
      <w:r w:rsidRPr="00FA1A0F">
        <w:rPr>
          <w:i/>
          <w:szCs w:val="18"/>
        </w:rPr>
        <w:t>auteur</w:t>
      </w:r>
      <w:r w:rsidRPr="00FA1A0F">
        <w:rPr>
          <w:szCs w:val="18"/>
        </w:rPr>
        <w:t> 97.  L</w:t>
      </w:r>
      <w:r w:rsidR="00F346B2" w:rsidRPr="00FA1A0F">
        <w:rPr>
          <w:szCs w:val="18"/>
        </w:rPr>
        <w:t>’</w:t>
      </w:r>
      <w:r w:rsidRPr="00FA1A0F">
        <w:rPr>
          <w:szCs w:val="18"/>
        </w:rPr>
        <w:t>échelle variait de 2% à 6%</w:t>
      </w:r>
      <w:r w:rsidR="00F346B2" w:rsidRPr="00FA1A0F">
        <w:rPr>
          <w:szCs w:val="18"/>
        </w:rPr>
        <w:t> :</w:t>
      </w:r>
      <w:r w:rsidRPr="00FA1A0F">
        <w:rPr>
          <w:szCs w:val="18"/>
        </w:rPr>
        <w:t xml:space="preserve"> article 2.</w:t>
      </w:r>
    </w:p>
  </w:footnote>
  <w:footnote w:id="13">
    <w:p w14:paraId="28CE7478" w14:textId="166B3FDA"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Loi du 24 novembre 1926, article 35</w:t>
      </w:r>
      <w:r w:rsidR="0030289F" w:rsidRPr="00FA1A0F">
        <w:rPr>
          <w:szCs w:val="18"/>
        </w:rPr>
        <w:t>,</w:t>
      </w:r>
      <w:r w:rsidRPr="00FA1A0F">
        <w:rPr>
          <w:szCs w:val="18"/>
        </w:rPr>
        <w:t xml:space="preserve"> reproduite dans </w:t>
      </w:r>
      <w:r w:rsidR="00FE4B8C" w:rsidRPr="00FA1A0F">
        <w:rPr>
          <w:szCs w:val="18"/>
        </w:rPr>
        <w:t>(</w:t>
      </w:r>
      <w:r w:rsidRPr="00FA1A0F">
        <w:rPr>
          <w:szCs w:val="18"/>
        </w:rPr>
        <w:t>1926</w:t>
      </w:r>
      <w:r w:rsidR="00FE4B8C" w:rsidRPr="00FA1A0F">
        <w:rPr>
          <w:szCs w:val="18"/>
        </w:rPr>
        <w:t>)</w:t>
      </w:r>
      <w:r w:rsidRPr="00FA1A0F">
        <w:rPr>
          <w:szCs w:val="18"/>
        </w:rPr>
        <w:t xml:space="preserve"> </w:t>
      </w:r>
      <w:r w:rsidRPr="00FA1A0F">
        <w:rPr>
          <w:i/>
          <w:szCs w:val="18"/>
        </w:rPr>
        <w:t>Le droit d</w:t>
      </w:r>
      <w:r w:rsidR="00F346B2" w:rsidRPr="00FA1A0F">
        <w:rPr>
          <w:i/>
          <w:szCs w:val="18"/>
        </w:rPr>
        <w:t>’</w:t>
      </w:r>
      <w:r w:rsidRPr="00FA1A0F">
        <w:rPr>
          <w:i/>
          <w:szCs w:val="18"/>
        </w:rPr>
        <w:t>auteur</w:t>
      </w:r>
      <w:r w:rsidR="00FB6E84" w:rsidRPr="00FA1A0F">
        <w:rPr>
          <w:i/>
          <w:szCs w:val="18"/>
        </w:rPr>
        <w:t xml:space="preserve">; </w:t>
      </w:r>
      <w:r w:rsidRPr="00FA1A0F">
        <w:rPr>
          <w:i/>
          <w:szCs w:val="18"/>
        </w:rPr>
        <w:t xml:space="preserve"> </w:t>
      </w:r>
      <w:r w:rsidRPr="00FA1A0F">
        <w:rPr>
          <w:szCs w:val="18"/>
        </w:rPr>
        <w:t>p</w:t>
      </w:r>
      <w:r w:rsidR="00B53567" w:rsidRPr="00FA1A0F">
        <w:rPr>
          <w:szCs w:val="18"/>
        </w:rPr>
        <w:t>ages</w:t>
      </w:r>
      <w:r w:rsidRPr="00FA1A0F">
        <w:rPr>
          <w:szCs w:val="18"/>
        </w:rPr>
        <w:t> 33</w:t>
      </w:r>
      <w:r w:rsidR="00B53567" w:rsidRPr="00FA1A0F">
        <w:rPr>
          <w:szCs w:val="18"/>
        </w:rPr>
        <w:t xml:space="preserve"> et </w:t>
      </w:r>
      <w:r w:rsidRPr="00FA1A0F">
        <w:rPr>
          <w:szCs w:val="18"/>
        </w:rPr>
        <w:t>34.</w:t>
      </w:r>
    </w:p>
  </w:footnote>
  <w:footnote w:id="14">
    <w:p w14:paraId="1356F025" w14:textId="0D9CC8A5"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Loi du 22 mars 1935, nouvel article 29, modifiant la loi du 29 mars 1926</w:t>
      </w:r>
      <w:r w:rsidR="0030289F" w:rsidRPr="00FA1A0F">
        <w:rPr>
          <w:szCs w:val="18"/>
        </w:rPr>
        <w:t>,</w:t>
      </w:r>
      <w:r w:rsidRPr="00FA1A0F">
        <w:rPr>
          <w:szCs w:val="18"/>
        </w:rPr>
        <w:t xml:space="preserve"> reproduite dans </w:t>
      </w:r>
      <w:r w:rsidR="00FE4B8C" w:rsidRPr="00FA1A0F">
        <w:rPr>
          <w:szCs w:val="18"/>
        </w:rPr>
        <w:t>(</w:t>
      </w:r>
      <w:r w:rsidRPr="00FA1A0F">
        <w:rPr>
          <w:szCs w:val="18"/>
        </w:rPr>
        <w:t>1935</w:t>
      </w:r>
      <w:r w:rsidR="00FE4B8C" w:rsidRPr="00FA1A0F">
        <w:rPr>
          <w:szCs w:val="18"/>
        </w:rPr>
        <w:t>)</w:t>
      </w:r>
      <w:r w:rsidRPr="00FA1A0F">
        <w:rPr>
          <w:szCs w:val="18"/>
        </w:rPr>
        <w:t xml:space="preserve"> </w:t>
      </w:r>
      <w:r w:rsidRPr="00FA1A0F">
        <w:rPr>
          <w:i/>
          <w:szCs w:val="18"/>
        </w:rPr>
        <w:t>Le droit d</w:t>
      </w:r>
      <w:r w:rsidR="00F346B2" w:rsidRPr="00FA1A0F">
        <w:rPr>
          <w:i/>
          <w:szCs w:val="18"/>
        </w:rPr>
        <w:t>’</w:t>
      </w:r>
      <w:r w:rsidRPr="00FA1A0F">
        <w:rPr>
          <w:i/>
          <w:szCs w:val="18"/>
        </w:rPr>
        <w:t>auteur </w:t>
      </w:r>
      <w:r w:rsidRPr="00FA1A0F">
        <w:rPr>
          <w:szCs w:val="18"/>
        </w:rPr>
        <w:t>63.</w:t>
      </w:r>
    </w:p>
  </w:footnote>
  <w:footnote w:id="15">
    <w:p w14:paraId="09477909" w14:textId="29E21C82"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Loi du 22 avril 1941, articles 144</w:t>
      </w:r>
      <w:r w:rsidR="00FA1A0F" w:rsidRPr="00FA1A0F">
        <w:rPr>
          <w:szCs w:val="18"/>
        </w:rPr>
        <w:noBreakHyphen/>
      </w:r>
      <w:r w:rsidRPr="00FA1A0F">
        <w:rPr>
          <w:szCs w:val="18"/>
        </w:rPr>
        <w:t>155.</w:t>
      </w:r>
    </w:p>
  </w:footnote>
  <w:footnote w:id="16">
    <w:p w14:paraId="15FB0D96" w14:textId="77777777"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Loi du 17 décembre 1937, article 9 (part de 25%).</w:t>
      </w:r>
    </w:p>
  </w:footnote>
  <w:footnote w:id="17">
    <w:p w14:paraId="5B44F9A0" w14:textId="52C1EB57"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Voir aussi Ricketson, p</w:t>
      </w:r>
      <w:r w:rsidR="00A117DD" w:rsidRPr="00FA1A0F">
        <w:rPr>
          <w:szCs w:val="18"/>
        </w:rPr>
        <w:t>ages </w:t>
      </w:r>
      <w:r w:rsidRPr="00FA1A0F">
        <w:rPr>
          <w:szCs w:val="18"/>
        </w:rPr>
        <w:t>17</w:t>
      </w:r>
      <w:r w:rsidR="00A117DD" w:rsidRPr="00FA1A0F">
        <w:rPr>
          <w:szCs w:val="18"/>
        </w:rPr>
        <w:t xml:space="preserve"> à </w:t>
      </w:r>
      <w:r w:rsidRPr="00FA1A0F">
        <w:rPr>
          <w:szCs w:val="18"/>
        </w:rPr>
        <w:t>19.</w:t>
      </w:r>
    </w:p>
  </w:footnote>
  <w:footnote w:id="18">
    <w:p w14:paraId="00294991" w14:textId="176BBE87"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Ricketson et Ginsburg, par. 11.64.</w:t>
      </w:r>
    </w:p>
  </w:footnote>
  <w:footnote w:id="19">
    <w:p w14:paraId="4AF7FC5E" w14:textId="1B79115E"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Voir aussi Ricketson et Ginsburg, par. 11.64.  Le texte se lisait comme suit</w:t>
      </w:r>
      <w:r w:rsidR="00F346B2" w:rsidRPr="00FA1A0F">
        <w:rPr>
          <w:szCs w:val="18"/>
        </w:rPr>
        <w:t> :</w:t>
      </w:r>
    </w:p>
    <w:p w14:paraId="269980F0" w14:textId="60C30B25" w:rsidR="00C77D5B" w:rsidRPr="00FA1A0F" w:rsidRDefault="00C77D5B" w:rsidP="00FA1A0F">
      <w:pPr>
        <w:pStyle w:val="FootnoteText"/>
        <w:tabs>
          <w:tab w:val="left" w:pos="567"/>
        </w:tabs>
        <w:spacing w:before="120" w:after="120"/>
        <w:ind w:left="1134"/>
        <w:rPr>
          <w:szCs w:val="18"/>
        </w:rPr>
      </w:pPr>
      <w:r w:rsidRPr="00FA1A0F">
        <w:rPr>
          <w:szCs w:val="18"/>
        </w:rPr>
        <w:t>La Conférence exprime le souhait que les pays de l</w:t>
      </w:r>
      <w:r w:rsidR="00F346B2" w:rsidRPr="00FA1A0F">
        <w:rPr>
          <w:szCs w:val="18"/>
        </w:rPr>
        <w:t>’</w:t>
      </w:r>
      <w:r w:rsidRPr="00FA1A0F">
        <w:rPr>
          <w:szCs w:val="18"/>
        </w:rPr>
        <w:t>Union qui n</w:t>
      </w:r>
      <w:r w:rsidR="00F346B2" w:rsidRPr="00FA1A0F">
        <w:rPr>
          <w:szCs w:val="18"/>
        </w:rPr>
        <w:t>’</w:t>
      </w:r>
      <w:r w:rsidRPr="00FA1A0F">
        <w:rPr>
          <w:szCs w:val="18"/>
        </w:rPr>
        <w:t>ont pas encore adopté de dispositions législatives garantissant au profit des artistes un droit inaliénable à une participation au produit des ventes publiques successives de leurs œuvres originales prennent en compte la possibilité d</w:t>
      </w:r>
      <w:r w:rsidR="00F346B2" w:rsidRPr="00FA1A0F">
        <w:rPr>
          <w:szCs w:val="18"/>
        </w:rPr>
        <w:t>’</w:t>
      </w:r>
      <w:r w:rsidRPr="00FA1A0F">
        <w:rPr>
          <w:szCs w:val="18"/>
        </w:rPr>
        <w:t>envisager de telles dispositions.</w:t>
      </w:r>
    </w:p>
  </w:footnote>
  <w:footnote w:id="20">
    <w:p w14:paraId="69F4306E" w14:textId="0E9C1233"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r>
      <w:r w:rsidR="00F346B2" w:rsidRPr="00FA1A0F">
        <w:rPr>
          <w:szCs w:val="18"/>
        </w:rPr>
        <w:t>Y compris</w:t>
      </w:r>
      <w:r w:rsidRPr="00FA1A0F">
        <w:rPr>
          <w:szCs w:val="18"/>
        </w:rPr>
        <w:t xml:space="preserve"> un projet de convention sur le sujet rédigé par le directeur de l</w:t>
      </w:r>
      <w:r w:rsidR="00F346B2" w:rsidRPr="00FA1A0F">
        <w:rPr>
          <w:szCs w:val="18"/>
        </w:rPr>
        <w:t>’</w:t>
      </w:r>
      <w:r w:rsidRPr="00FA1A0F">
        <w:rPr>
          <w:szCs w:val="18"/>
        </w:rPr>
        <w:t>Office international de Berne, Fritz Ostertag, en 1939</w:t>
      </w:r>
      <w:r w:rsidR="00F346B2" w:rsidRPr="00FA1A0F">
        <w:rPr>
          <w:szCs w:val="18"/>
        </w:rPr>
        <w:t> :</w:t>
      </w:r>
      <w:r w:rsidRPr="00FA1A0F">
        <w:rPr>
          <w:szCs w:val="18"/>
        </w:rPr>
        <w:t xml:space="preserve"> voir aussi Duchemin (1948), p</w:t>
      </w:r>
      <w:r w:rsidR="0042410E" w:rsidRPr="00FA1A0F">
        <w:rPr>
          <w:szCs w:val="18"/>
        </w:rPr>
        <w:t>ages</w:t>
      </w:r>
      <w:r w:rsidRPr="00FA1A0F">
        <w:rPr>
          <w:szCs w:val="18"/>
        </w:rPr>
        <w:t> 299</w:t>
      </w:r>
      <w:r w:rsidR="0042410E" w:rsidRPr="00FA1A0F">
        <w:rPr>
          <w:szCs w:val="18"/>
        </w:rPr>
        <w:t xml:space="preserve"> à </w:t>
      </w:r>
      <w:r w:rsidRPr="00FA1A0F">
        <w:rPr>
          <w:szCs w:val="18"/>
        </w:rPr>
        <w:t xml:space="preserve">301, et </w:t>
      </w:r>
      <w:r w:rsidR="00FE4B8C" w:rsidRPr="00FA1A0F">
        <w:rPr>
          <w:szCs w:val="18"/>
        </w:rPr>
        <w:t>(</w:t>
      </w:r>
      <w:r w:rsidRPr="00FA1A0F">
        <w:rPr>
          <w:szCs w:val="18"/>
        </w:rPr>
        <w:t>1940</w:t>
      </w:r>
      <w:r w:rsidR="00FE4B8C" w:rsidRPr="00FA1A0F">
        <w:rPr>
          <w:szCs w:val="18"/>
        </w:rPr>
        <w:t>)</w:t>
      </w:r>
      <w:r w:rsidRPr="00FA1A0F">
        <w:rPr>
          <w:szCs w:val="18"/>
        </w:rPr>
        <w:t xml:space="preserve"> DA 138.  Voir aussi Ricketson, p</w:t>
      </w:r>
      <w:r w:rsidR="00A117DD" w:rsidRPr="00FA1A0F">
        <w:rPr>
          <w:szCs w:val="18"/>
        </w:rPr>
        <w:t>ages</w:t>
      </w:r>
      <w:r w:rsidRPr="00FA1A0F">
        <w:rPr>
          <w:szCs w:val="18"/>
        </w:rPr>
        <w:t> 65</w:t>
      </w:r>
      <w:r w:rsidR="00A117DD" w:rsidRPr="00FA1A0F">
        <w:rPr>
          <w:szCs w:val="18"/>
        </w:rPr>
        <w:t xml:space="preserve"> à </w:t>
      </w:r>
      <w:r w:rsidRPr="00FA1A0F">
        <w:rPr>
          <w:szCs w:val="18"/>
        </w:rPr>
        <w:t>67, et Ricketson et Ginsburg, pars. 11.65 et 11.66.</w:t>
      </w:r>
    </w:p>
  </w:footnote>
  <w:footnote w:id="21">
    <w:p w14:paraId="57F2E378" w14:textId="6023ABC5"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Voir aussi Ricketson, p</w:t>
      </w:r>
      <w:r w:rsidR="00A117DD" w:rsidRPr="00FA1A0F">
        <w:rPr>
          <w:szCs w:val="18"/>
        </w:rPr>
        <w:t>age</w:t>
      </w:r>
      <w:r w:rsidRPr="00FA1A0F">
        <w:rPr>
          <w:szCs w:val="18"/>
        </w:rPr>
        <w:t xml:space="preserve"> 19.  Rédigée en 2015, cette étude a </w:t>
      </w:r>
      <w:r w:rsidR="00600209" w:rsidRPr="00FA1A0F">
        <w:rPr>
          <w:szCs w:val="18"/>
        </w:rPr>
        <w:t>établi</w:t>
      </w:r>
      <w:r w:rsidRPr="00FA1A0F">
        <w:rPr>
          <w:szCs w:val="18"/>
        </w:rPr>
        <w:t xml:space="preserve"> </w:t>
      </w:r>
      <w:r w:rsidR="00600209" w:rsidRPr="00FA1A0F">
        <w:rPr>
          <w:szCs w:val="18"/>
        </w:rPr>
        <w:t>que 81</w:t>
      </w:r>
      <w:r w:rsidR="0030289F" w:rsidRPr="00FA1A0F">
        <w:rPr>
          <w:szCs w:val="18"/>
        </w:rPr>
        <w:t> </w:t>
      </w:r>
      <w:r w:rsidRPr="00FA1A0F">
        <w:rPr>
          <w:szCs w:val="18"/>
        </w:rPr>
        <w:t xml:space="preserve">pays </w:t>
      </w:r>
      <w:r w:rsidR="00600209" w:rsidRPr="00FA1A0F">
        <w:rPr>
          <w:szCs w:val="18"/>
        </w:rPr>
        <w:t xml:space="preserve">étaient </w:t>
      </w:r>
      <w:r w:rsidRPr="00FA1A0F">
        <w:rPr>
          <w:szCs w:val="18"/>
        </w:rPr>
        <w:t>dotés d</w:t>
      </w:r>
      <w:r w:rsidR="00F346B2" w:rsidRPr="00FA1A0F">
        <w:rPr>
          <w:szCs w:val="18"/>
        </w:rPr>
        <w:t>’</w:t>
      </w:r>
      <w:r w:rsidRPr="00FA1A0F">
        <w:rPr>
          <w:szCs w:val="18"/>
        </w:rPr>
        <w:t>une sorte de système droit de suite des artistes.  En 2023, l</w:t>
      </w:r>
      <w:r w:rsidR="00F346B2" w:rsidRPr="00FA1A0F">
        <w:rPr>
          <w:szCs w:val="18"/>
        </w:rPr>
        <w:t>’</w:t>
      </w:r>
      <w:r w:rsidRPr="00FA1A0F">
        <w:rPr>
          <w:szCs w:val="18"/>
        </w:rPr>
        <w:t>auteur estimait que ce nombre était probablement de 95, mais un chiffre nettement plus élevé a depuis été avancé par l</w:t>
      </w:r>
      <w:r w:rsidR="00F346B2" w:rsidRPr="00FA1A0F">
        <w:rPr>
          <w:szCs w:val="18"/>
        </w:rPr>
        <w:t>’</w:t>
      </w:r>
      <w:r w:rsidRPr="00FA1A0F">
        <w:rPr>
          <w:szCs w:val="18"/>
        </w:rPr>
        <w:t>association European Visual Artists (EVA), qui a répertorié 106</w:t>
      </w:r>
      <w:r w:rsidR="00D53C0A" w:rsidRPr="00FA1A0F">
        <w:rPr>
          <w:szCs w:val="18"/>
        </w:rPr>
        <w:t> </w:t>
      </w:r>
      <w:r w:rsidRPr="00FA1A0F">
        <w:rPr>
          <w:szCs w:val="18"/>
        </w:rPr>
        <w:t xml:space="preserve">pays dont la législation prévoit le droit de suite des artistes. </w:t>
      </w:r>
      <w:r w:rsidR="00FB6E84" w:rsidRPr="00FA1A0F">
        <w:rPr>
          <w:szCs w:val="18"/>
        </w:rPr>
        <w:t xml:space="preserve"> </w:t>
      </w:r>
      <w:r w:rsidRPr="00FA1A0F">
        <w:rPr>
          <w:szCs w:val="18"/>
        </w:rPr>
        <w:t>Ces chiffres sont tirés des législations nationales figurant sur le site</w:t>
      </w:r>
      <w:r w:rsidR="00FB6E84" w:rsidRPr="00FA1A0F">
        <w:rPr>
          <w:szCs w:val="18"/>
        </w:rPr>
        <w:t> </w:t>
      </w:r>
      <w:r w:rsidRPr="00FA1A0F">
        <w:rPr>
          <w:szCs w:val="18"/>
        </w:rPr>
        <w:t>Web de l</w:t>
      </w:r>
      <w:r w:rsidR="00F346B2" w:rsidRPr="00FA1A0F">
        <w:rPr>
          <w:szCs w:val="18"/>
        </w:rPr>
        <w:t>’</w:t>
      </w:r>
      <w:r w:rsidRPr="00FA1A0F">
        <w:rPr>
          <w:szCs w:val="18"/>
        </w:rPr>
        <w:t>OMPI à l</w:t>
      </w:r>
      <w:r w:rsidR="00F346B2" w:rsidRPr="00FA1A0F">
        <w:rPr>
          <w:szCs w:val="18"/>
        </w:rPr>
        <w:t>’</w:t>
      </w:r>
      <w:r w:rsidRPr="00FA1A0F">
        <w:rPr>
          <w:szCs w:val="18"/>
        </w:rPr>
        <w:t>adresse https://www.resale</w:t>
      </w:r>
      <w:r w:rsidR="00FA1A0F" w:rsidRPr="00FA1A0F">
        <w:rPr>
          <w:szCs w:val="18"/>
        </w:rPr>
        <w:noBreakHyphen/>
      </w:r>
      <w:r w:rsidRPr="00FA1A0F">
        <w:rPr>
          <w:szCs w:val="18"/>
        </w:rPr>
        <w:t>right.org/countries</w:t>
      </w:r>
      <w:r w:rsidR="00FA1A0F" w:rsidRPr="00FA1A0F">
        <w:rPr>
          <w:szCs w:val="18"/>
        </w:rPr>
        <w:noBreakHyphen/>
      </w:r>
      <w:r w:rsidRPr="00FA1A0F">
        <w:rPr>
          <w:szCs w:val="18"/>
        </w:rPr>
        <w:t>with</w:t>
      </w:r>
      <w:r w:rsidR="00FA1A0F" w:rsidRPr="00FA1A0F">
        <w:rPr>
          <w:szCs w:val="18"/>
        </w:rPr>
        <w:noBreakHyphen/>
      </w:r>
      <w:r w:rsidRPr="00FA1A0F">
        <w:rPr>
          <w:szCs w:val="18"/>
        </w:rPr>
        <w:t>arr/ (consulté le 1</w:t>
      </w:r>
      <w:r w:rsidR="00EC24F5" w:rsidRPr="00FA1A0F">
        <w:rPr>
          <w:szCs w:val="18"/>
        </w:rPr>
        <w:t>0 janvier 20</w:t>
      </w:r>
      <w:r w:rsidRPr="00FA1A0F">
        <w:rPr>
          <w:szCs w:val="18"/>
        </w:rPr>
        <w:t xml:space="preserve">25). </w:t>
      </w:r>
      <w:r w:rsidR="00FB6E84" w:rsidRPr="00FA1A0F">
        <w:rPr>
          <w:szCs w:val="18"/>
        </w:rPr>
        <w:t xml:space="preserve"> </w:t>
      </w:r>
      <w:r w:rsidRPr="00FA1A0F">
        <w:rPr>
          <w:szCs w:val="18"/>
        </w:rPr>
        <w:t>Un seul de ces pays</w:t>
      </w:r>
      <w:r w:rsidR="00EC24F5" w:rsidRPr="00FA1A0F">
        <w:rPr>
          <w:szCs w:val="18"/>
        </w:rPr>
        <w:t xml:space="preserve"> – </w:t>
      </w:r>
      <w:r w:rsidRPr="00FA1A0F">
        <w:rPr>
          <w:szCs w:val="18"/>
        </w:rPr>
        <w:t>l</w:t>
      </w:r>
      <w:r w:rsidR="00F346B2" w:rsidRPr="00FA1A0F">
        <w:rPr>
          <w:szCs w:val="18"/>
        </w:rPr>
        <w:t>’</w:t>
      </w:r>
      <w:r w:rsidRPr="00FA1A0F">
        <w:rPr>
          <w:szCs w:val="18"/>
        </w:rPr>
        <w:t>Éthiopie</w:t>
      </w:r>
      <w:r w:rsidR="00EC24F5" w:rsidRPr="00FA1A0F">
        <w:rPr>
          <w:szCs w:val="18"/>
        </w:rPr>
        <w:t xml:space="preserve"> – </w:t>
      </w:r>
      <w:r w:rsidRPr="00FA1A0F">
        <w:rPr>
          <w:szCs w:val="18"/>
        </w:rPr>
        <w:t>n</w:t>
      </w:r>
      <w:r w:rsidR="00F346B2" w:rsidRPr="00FA1A0F">
        <w:rPr>
          <w:szCs w:val="18"/>
        </w:rPr>
        <w:t>’</w:t>
      </w:r>
      <w:r w:rsidRPr="00FA1A0F">
        <w:rPr>
          <w:szCs w:val="18"/>
        </w:rPr>
        <w:t>est pas un pays signataire de la Convention de Berne.</w:t>
      </w:r>
      <w:r w:rsidR="00FB6E84" w:rsidRPr="00FA1A0F">
        <w:rPr>
          <w:szCs w:val="18"/>
        </w:rPr>
        <w:t xml:space="preserve"> </w:t>
      </w:r>
      <w:r w:rsidRPr="00FA1A0F">
        <w:rPr>
          <w:szCs w:val="18"/>
        </w:rPr>
        <w:t xml:space="preserve"> Cependant, il convient également de noter que, même si de nombreux pays peuvent avoir des dispositions relatives au droit de suite des artistes dans leur législation, cela ne signifie pas qu</w:t>
      </w:r>
      <w:r w:rsidR="00F346B2" w:rsidRPr="00FA1A0F">
        <w:rPr>
          <w:szCs w:val="18"/>
        </w:rPr>
        <w:t>’</w:t>
      </w:r>
      <w:r w:rsidRPr="00FA1A0F">
        <w:rPr>
          <w:szCs w:val="18"/>
        </w:rPr>
        <w:t>il existe un système de collecte et de distribution des recettes du droit de suite des artistes opérant sur le terrain.</w:t>
      </w:r>
    </w:p>
  </w:footnote>
  <w:footnote w:id="22">
    <w:p w14:paraId="1C0D67EF" w14:textId="50F894C2"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UNESCO et OMPI, Loi type de Tunis sur le droit d</w:t>
      </w:r>
      <w:r w:rsidR="00F346B2" w:rsidRPr="00FA1A0F">
        <w:rPr>
          <w:rFonts w:ascii="Arial" w:hAnsi="Arial" w:cs="Arial"/>
          <w:sz w:val="18"/>
          <w:szCs w:val="18"/>
        </w:rPr>
        <w:t>’</w:t>
      </w:r>
      <w:r w:rsidRPr="00FA1A0F">
        <w:rPr>
          <w:rFonts w:ascii="Arial" w:hAnsi="Arial" w:cs="Arial"/>
          <w:sz w:val="18"/>
          <w:szCs w:val="18"/>
        </w:rPr>
        <w:t>auteur à l</w:t>
      </w:r>
      <w:r w:rsidR="00F346B2" w:rsidRPr="00FA1A0F">
        <w:rPr>
          <w:rFonts w:ascii="Arial" w:hAnsi="Arial" w:cs="Arial"/>
          <w:sz w:val="18"/>
          <w:szCs w:val="18"/>
        </w:rPr>
        <w:t>’</w:t>
      </w:r>
      <w:r w:rsidRPr="00FA1A0F">
        <w:rPr>
          <w:rFonts w:ascii="Arial" w:hAnsi="Arial" w:cs="Arial"/>
          <w:sz w:val="18"/>
          <w:szCs w:val="18"/>
        </w:rPr>
        <w:t>usage des pays en développement, 1976, Publication OMPI 812 (F), p</w:t>
      </w:r>
      <w:r w:rsidR="00A117DD" w:rsidRPr="00FA1A0F">
        <w:rPr>
          <w:rFonts w:ascii="Arial" w:hAnsi="Arial" w:cs="Arial"/>
          <w:sz w:val="18"/>
          <w:szCs w:val="18"/>
        </w:rPr>
        <w:t>age</w:t>
      </w:r>
      <w:r w:rsidRPr="00FA1A0F">
        <w:rPr>
          <w:rFonts w:ascii="Arial" w:hAnsi="Arial" w:cs="Arial"/>
          <w:sz w:val="18"/>
          <w:szCs w:val="18"/>
        </w:rPr>
        <w:t> 8.</w:t>
      </w:r>
    </w:p>
  </w:footnote>
  <w:footnote w:id="23">
    <w:p w14:paraId="49590089" w14:textId="721688F5" w:rsidR="00C77D5B" w:rsidRPr="00FA1A0F" w:rsidRDefault="00C77D5B" w:rsidP="00FA1A0F">
      <w:pPr>
        <w:pStyle w:val="Footnote"/>
        <w:tabs>
          <w:tab w:val="left" w:pos="567"/>
        </w:tabs>
        <w:jc w:val="left"/>
        <w:rPr>
          <w:rFonts w:ascii="Arial" w:hAnsi="Arial" w:cs="Arial"/>
          <w:spacing w:val="-2"/>
          <w:sz w:val="18"/>
          <w:szCs w:val="18"/>
        </w:rPr>
      </w:pPr>
      <w:r w:rsidRPr="00FA1A0F">
        <w:rPr>
          <w:rStyle w:val="FootnoteReference"/>
          <w:rFonts w:ascii="Arial" w:hAnsi="Arial" w:cs="Arial"/>
          <w:spacing w:val="-2"/>
          <w:sz w:val="18"/>
          <w:szCs w:val="18"/>
        </w:rPr>
        <w:footnoteRef/>
      </w:r>
      <w:r w:rsidRPr="00FA1A0F">
        <w:rPr>
          <w:rFonts w:ascii="Arial" w:hAnsi="Arial" w:cs="Arial"/>
          <w:spacing w:val="-2"/>
          <w:sz w:val="18"/>
          <w:szCs w:val="18"/>
        </w:rPr>
        <w:t xml:space="preserve"> </w:t>
      </w:r>
      <w:r w:rsidRPr="00FA1A0F">
        <w:rPr>
          <w:rFonts w:ascii="Arial" w:hAnsi="Arial" w:cs="Arial"/>
          <w:spacing w:val="-2"/>
          <w:sz w:val="18"/>
          <w:szCs w:val="18"/>
        </w:rPr>
        <w:tab/>
        <w:t>Voir aussi Ricketson, p</w:t>
      </w:r>
      <w:r w:rsidR="00A117DD" w:rsidRPr="00FA1A0F">
        <w:rPr>
          <w:rFonts w:ascii="Arial" w:hAnsi="Arial" w:cs="Arial"/>
          <w:spacing w:val="-2"/>
          <w:sz w:val="18"/>
          <w:szCs w:val="18"/>
        </w:rPr>
        <w:t>ages</w:t>
      </w:r>
      <w:r w:rsidRPr="00FA1A0F">
        <w:rPr>
          <w:rFonts w:ascii="Arial" w:hAnsi="Arial" w:cs="Arial"/>
          <w:spacing w:val="-2"/>
          <w:sz w:val="18"/>
          <w:szCs w:val="18"/>
        </w:rPr>
        <w:t> 23</w:t>
      </w:r>
      <w:r w:rsidR="00A117DD" w:rsidRPr="00FA1A0F">
        <w:rPr>
          <w:rFonts w:ascii="Arial" w:hAnsi="Arial" w:cs="Arial"/>
          <w:spacing w:val="-2"/>
          <w:sz w:val="18"/>
          <w:szCs w:val="18"/>
        </w:rPr>
        <w:t xml:space="preserve"> à </w:t>
      </w:r>
      <w:r w:rsidRPr="00FA1A0F">
        <w:rPr>
          <w:rFonts w:ascii="Arial" w:hAnsi="Arial" w:cs="Arial"/>
          <w:spacing w:val="-2"/>
          <w:sz w:val="18"/>
          <w:szCs w:val="18"/>
        </w:rPr>
        <w:t>27.  Ce matériel est utilisé dans les deux prochaines sections de cet instrument.</w:t>
      </w:r>
    </w:p>
  </w:footnote>
  <w:footnote w:id="24">
    <w:p w14:paraId="767650E6" w14:textId="658DA02D" w:rsidR="00C77D5B" w:rsidRPr="00FA1A0F" w:rsidRDefault="00C77D5B" w:rsidP="00FA1A0F">
      <w:pPr>
        <w:pStyle w:val="Footnote"/>
        <w:tabs>
          <w:tab w:val="left" w:pos="567"/>
        </w:tabs>
        <w:jc w:val="left"/>
        <w:rPr>
          <w:rFonts w:ascii="Arial" w:hAnsi="Arial" w:cs="Arial"/>
          <w:color w:val="333333"/>
          <w:sz w:val="18"/>
          <w:szCs w:val="18"/>
          <w:lang w:val="fr-CH"/>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À cet égard, au Royaume</w:t>
      </w:r>
      <w:r w:rsidR="00FA1A0F" w:rsidRPr="00FA1A0F">
        <w:rPr>
          <w:rFonts w:ascii="Arial" w:hAnsi="Arial" w:cs="Arial"/>
          <w:sz w:val="18"/>
          <w:szCs w:val="18"/>
        </w:rPr>
        <w:noBreakHyphen/>
      </w:r>
      <w:r w:rsidRPr="00FA1A0F">
        <w:rPr>
          <w:rFonts w:ascii="Arial" w:hAnsi="Arial" w:cs="Arial"/>
          <w:sz w:val="18"/>
          <w:szCs w:val="18"/>
        </w:rPr>
        <w:t>Uni, il semble que le droit de faire des gravures pourrait être d</w:t>
      </w:r>
      <w:r w:rsidR="00F346B2" w:rsidRPr="00FA1A0F">
        <w:rPr>
          <w:rFonts w:ascii="Arial" w:hAnsi="Arial" w:cs="Arial"/>
          <w:sz w:val="18"/>
          <w:szCs w:val="18"/>
        </w:rPr>
        <w:t>’</w:t>
      </w:r>
      <w:r w:rsidRPr="00FA1A0F">
        <w:rPr>
          <w:rFonts w:ascii="Arial" w:hAnsi="Arial" w:cs="Arial"/>
          <w:sz w:val="18"/>
          <w:szCs w:val="18"/>
        </w:rPr>
        <w:t>une grande valeur pour les peintres et autres artistes qui n</w:t>
      </w:r>
      <w:r w:rsidR="00F346B2" w:rsidRPr="00FA1A0F">
        <w:rPr>
          <w:rFonts w:ascii="Arial" w:hAnsi="Arial" w:cs="Arial"/>
          <w:sz w:val="18"/>
          <w:szCs w:val="18"/>
        </w:rPr>
        <w:t>’</w:t>
      </w:r>
      <w:r w:rsidRPr="00FA1A0F">
        <w:rPr>
          <w:rFonts w:ascii="Arial" w:hAnsi="Arial" w:cs="Arial"/>
          <w:sz w:val="18"/>
          <w:szCs w:val="18"/>
        </w:rPr>
        <w:t>ont reçu la protection du droit d</w:t>
      </w:r>
      <w:r w:rsidR="00F346B2" w:rsidRPr="00FA1A0F">
        <w:rPr>
          <w:rFonts w:ascii="Arial" w:hAnsi="Arial" w:cs="Arial"/>
          <w:sz w:val="18"/>
          <w:szCs w:val="18"/>
        </w:rPr>
        <w:t>’</w:t>
      </w:r>
      <w:r w:rsidRPr="00FA1A0F">
        <w:rPr>
          <w:rFonts w:ascii="Arial" w:hAnsi="Arial" w:cs="Arial"/>
          <w:sz w:val="18"/>
          <w:szCs w:val="18"/>
        </w:rPr>
        <w:t>auteur pour leurs œuvres qu</w:t>
      </w:r>
      <w:r w:rsidR="00F346B2" w:rsidRPr="00FA1A0F">
        <w:rPr>
          <w:rFonts w:ascii="Arial" w:hAnsi="Arial" w:cs="Arial"/>
          <w:sz w:val="18"/>
          <w:szCs w:val="18"/>
        </w:rPr>
        <w:t>’</w:t>
      </w:r>
      <w:r w:rsidRPr="00FA1A0F">
        <w:rPr>
          <w:rFonts w:ascii="Arial" w:hAnsi="Arial" w:cs="Arial"/>
          <w:sz w:val="18"/>
          <w:szCs w:val="18"/>
        </w:rPr>
        <w:t>en 1862 en vertu d</w:t>
      </w:r>
      <w:r w:rsidR="008713B7">
        <w:rPr>
          <w:rFonts w:ascii="Arial" w:hAnsi="Arial" w:cs="Arial"/>
          <w:sz w:val="18"/>
          <w:szCs w:val="18"/>
        </w:rPr>
        <w:t>u</w:t>
      </w:r>
      <w:r w:rsidRPr="00FA1A0F">
        <w:rPr>
          <w:rFonts w:ascii="Arial" w:hAnsi="Arial" w:cs="Arial"/>
          <w:sz w:val="18"/>
          <w:szCs w:val="18"/>
        </w:rPr>
        <w:t xml:space="preserve"> </w:t>
      </w:r>
      <w:r w:rsidR="008713B7">
        <w:rPr>
          <w:rFonts w:ascii="Arial" w:hAnsi="Arial" w:cs="Arial"/>
          <w:i/>
          <w:iCs/>
          <w:sz w:val="18"/>
          <w:szCs w:val="18"/>
        </w:rPr>
        <w:t xml:space="preserve">Fine Arts Copyright Act </w:t>
      </w:r>
      <w:r w:rsidR="008713B7">
        <w:rPr>
          <w:rFonts w:ascii="Arial" w:hAnsi="Arial" w:cs="Arial"/>
          <w:sz w:val="18"/>
          <w:szCs w:val="18"/>
        </w:rPr>
        <w:t>(</w:t>
      </w:r>
      <w:r w:rsidR="008713B7">
        <w:rPr>
          <w:rFonts w:ascii="Arial" w:hAnsi="Arial" w:cs="Arial"/>
          <w:iCs/>
          <w:sz w:val="18"/>
          <w:szCs w:val="18"/>
        </w:rPr>
        <w:t>l</w:t>
      </w:r>
      <w:r w:rsidRPr="008713B7">
        <w:rPr>
          <w:rFonts w:ascii="Arial" w:hAnsi="Arial" w:cs="Arial"/>
          <w:iCs/>
          <w:sz w:val="18"/>
          <w:szCs w:val="18"/>
        </w:rPr>
        <w:t>oi sur le droit d</w:t>
      </w:r>
      <w:r w:rsidR="00F346B2" w:rsidRPr="008713B7">
        <w:rPr>
          <w:rFonts w:ascii="Arial" w:hAnsi="Arial" w:cs="Arial"/>
          <w:iCs/>
          <w:sz w:val="18"/>
          <w:szCs w:val="18"/>
        </w:rPr>
        <w:t>’</w:t>
      </w:r>
      <w:r w:rsidRPr="008713B7">
        <w:rPr>
          <w:rFonts w:ascii="Arial" w:hAnsi="Arial" w:cs="Arial"/>
          <w:iCs/>
          <w:sz w:val="18"/>
          <w:szCs w:val="18"/>
        </w:rPr>
        <w:t xml:space="preserve">auteur </w:t>
      </w:r>
      <w:r w:rsidR="008713B7">
        <w:rPr>
          <w:rFonts w:ascii="Arial" w:hAnsi="Arial" w:cs="Arial"/>
          <w:iCs/>
          <w:sz w:val="18"/>
          <w:szCs w:val="18"/>
        </w:rPr>
        <w:t>dans</w:t>
      </w:r>
      <w:r w:rsidRPr="008713B7">
        <w:rPr>
          <w:rFonts w:ascii="Arial" w:hAnsi="Arial" w:cs="Arial"/>
          <w:iCs/>
          <w:sz w:val="18"/>
          <w:szCs w:val="18"/>
        </w:rPr>
        <w:t xml:space="preserve"> les beaux</w:t>
      </w:r>
      <w:r w:rsidR="00FA1A0F" w:rsidRPr="008713B7">
        <w:rPr>
          <w:rFonts w:ascii="Arial" w:hAnsi="Arial" w:cs="Arial"/>
          <w:iCs/>
          <w:sz w:val="18"/>
          <w:szCs w:val="18"/>
        </w:rPr>
        <w:noBreakHyphen/>
      </w:r>
      <w:r w:rsidRPr="008713B7">
        <w:rPr>
          <w:rFonts w:ascii="Arial" w:hAnsi="Arial" w:cs="Arial"/>
          <w:iCs/>
          <w:sz w:val="18"/>
          <w:szCs w:val="18"/>
        </w:rPr>
        <w:t>arts</w:t>
      </w:r>
      <w:r w:rsidR="008713B7">
        <w:rPr>
          <w:rFonts w:ascii="Arial" w:hAnsi="Arial" w:cs="Arial"/>
          <w:iCs/>
          <w:sz w:val="18"/>
          <w:szCs w:val="18"/>
        </w:rPr>
        <w:t>)</w:t>
      </w:r>
      <w:r w:rsidRPr="00FA1A0F">
        <w:rPr>
          <w:rFonts w:ascii="Arial" w:hAnsi="Arial" w:cs="Arial"/>
          <w:i/>
          <w:sz w:val="18"/>
          <w:szCs w:val="18"/>
        </w:rPr>
        <w:t xml:space="preserve"> </w:t>
      </w:r>
      <w:r w:rsidRPr="00FA1A0F">
        <w:rPr>
          <w:rFonts w:ascii="Arial" w:hAnsi="Arial" w:cs="Arial"/>
          <w:sz w:val="18"/>
          <w:szCs w:val="18"/>
        </w:rPr>
        <w:t>de cette année</w:t>
      </w:r>
      <w:r w:rsidR="00FA1A0F" w:rsidRPr="00FA1A0F">
        <w:rPr>
          <w:rFonts w:ascii="Arial" w:hAnsi="Arial" w:cs="Arial"/>
          <w:sz w:val="18"/>
          <w:szCs w:val="18"/>
        </w:rPr>
        <w:noBreakHyphen/>
      </w:r>
      <w:r w:rsidRPr="00FA1A0F">
        <w:rPr>
          <w:rFonts w:ascii="Arial" w:hAnsi="Arial" w:cs="Arial"/>
          <w:sz w:val="18"/>
          <w:szCs w:val="18"/>
        </w:rPr>
        <w:t>là.  Mais plus de 120 ans plus tôt, ils avaient reçu le droit de graver leurs œuvres et cela s</w:t>
      </w:r>
      <w:r w:rsidR="00F346B2" w:rsidRPr="00FA1A0F">
        <w:rPr>
          <w:rFonts w:ascii="Arial" w:hAnsi="Arial" w:cs="Arial"/>
          <w:sz w:val="18"/>
          <w:szCs w:val="18"/>
        </w:rPr>
        <w:t>’</w:t>
      </w:r>
      <w:r w:rsidRPr="00FA1A0F">
        <w:rPr>
          <w:rFonts w:ascii="Arial" w:hAnsi="Arial" w:cs="Arial"/>
          <w:sz w:val="18"/>
          <w:szCs w:val="18"/>
        </w:rPr>
        <w:t>était avéré particulièrement profitable pour les peintres et graveurs comme William Hogarth</w:t>
      </w:r>
      <w:r w:rsidR="00F346B2" w:rsidRPr="00FA1A0F">
        <w:rPr>
          <w:rFonts w:ascii="Arial" w:hAnsi="Arial" w:cs="Arial"/>
          <w:sz w:val="18"/>
          <w:szCs w:val="18"/>
        </w:rPr>
        <w:t> :</w:t>
      </w:r>
      <w:r w:rsidRPr="00FA1A0F">
        <w:rPr>
          <w:rFonts w:ascii="Arial" w:hAnsi="Arial" w:cs="Arial"/>
          <w:sz w:val="18"/>
          <w:szCs w:val="18"/>
        </w:rPr>
        <w:t xml:space="preserve"> voir les </w:t>
      </w:r>
      <w:r w:rsidRPr="00FA1A0F">
        <w:rPr>
          <w:rFonts w:ascii="Arial" w:hAnsi="Arial" w:cs="Arial"/>
          <w:i/>
          <w:sz w:val="18"/>
          <w:szCs w:val="18"/>
        </w:rPr>
        <w:t>Engravers</w:t>
      </w:r>
      <w:r w:rsidR="00F346B2" w:rsidRPr="00FA1A0F">
        <w:rPr>
          <w:rFonts w:ascii="Arial" w:hAnsi="Arial" w:cs="Arial"/>
          <w:i/>
          <w:sz w:val="18"/>
          <w:szCs w:val="18"/>
        </w:rPr>
        <w:t>’</w:t>
      </w:r>
      <w:r w:rsidRPr="00FA1A0F">
        <w:rPr>
          <w:rFonts w:ascii="Arial" w:hAnsi="Arial" w:cs="Arial"/>
          <w:i/>
          <w:sz w:val="18"/>
          <w:szCs w:val="18"/>
        </w:rPr>
        <w:t xml:space="preserve"> Copyright Acts 1735 et 1766</w:t>
      </w:r>
      <w:r w:rsidRPr="00FA1A0F">
        <w:rPr>
          <w:rFonts w:ascii="Arial" w:hAnsi="Arial" w:cs="Arial"/>
          <w:sz w:val="18"/>
          <w:szCs w:val="18"/>
        </w:rPr>
        <w:t>, et voir aussi R. Deazley</w:t>
      </w:r>
      <w:r w:rsidRPr="00FA1A0F">
        <w:rPr>
          <w:rFonts w:ascii="Arial" w:hAnsi="Arial" w:cs="Arial"/>
          <w:sz w:val="18"/>
          <w:szCs w:val="18"/>
          <w:lang w:val="fr-CH"/>
        </w:rPr>
        <w:t xml:space="preserve"> (2008), </w:t>
      </w:r>
      <w:r w:rsidRPr="00FA1A0F">
        <w:rPr>
          <w:rFonts w:ascii="Arial" w:hAnsi="Arial" w:cs="Arial"/>
          <w:i/>
          <w:sz w:val="18"/>
          <w:szCs w:val="18"/>
          <w:lang w:val="fr-CH"/>
        </w:rPr>
        <w:t>Commentary on the Engraversʼ Act (1735)</w:t>
      </w:r>
      <w:r w:rsidRPr="00FA1A0F">
        <w:rPr>
          <w:rFonts w:ascii="Arial" w:hAnsi="Arial" w:cs="Arial"/>
          <w:sz w:val="18"/>
          <w:szCs w:val="18"/>
          <w:lang w:val="fr-CH"/>
        </w:rPr>
        <w:t xml:space="preserve">, dans </w:t>
      </w:r>
      <w:r w:rsidRPr="00FA1A0F">
        <w:rPr>
          <w:rStyle w:val="Emphasis"/>
          <w:rFonts w:ascii="Arial" w:hAnsi="Arial" w:cs="Arial"/>
          <w:i w:val="0"/>
          <w:sz w:val="18"/>
          <w:szCs w:val="18"/>
          <w:lang w:val="fr-CH"/>
        </w:rPr>
        <w:t>Primary Sources on Copyright (1450</w:t>
      </w:r>
      <w:r w:rsidR="00FA1A0F" w:rsidRPr="00FA1A0F">
        <w:rPr>
          <w:rStyle w:val="Emphasis"/>
          <w:rFonts w:ascii="Arial" w:hAnsi="Arial" w:cs="Arial"/>
          <w:i w:val="0"/>
          <w:sz w:val="18"/>
          <w:szCs w:val="18"/>
          <w:lang w:val="fr-CH"/>
        </w:rPr>
        <w:noBreakHyphen/>
      </w:r>
      <w:r w:rsidRPr="00FA1A0F">
        <w:rPr>
          <w:rStyle w:val="Emphasis"/>
          <w:rFonts w:ascii="Arial" w:hAnsi="Arial" w:cs="Arial"/>
          <w:i w:val="0"/>
          <w:sz w:val="18"/>
          <w:szCs w:val="18"/>
          <w:lang w:val="fr-CH"/>
        </w:rPr>
        <w:t>1900)</w:t>
      </w:r>
      <w:r w:rsidRPr="00FA1A0F">
        <w:rPr>
          <w:rFonts w:ascii="Arial" w:hAnsi="Arial" w:cs="Arial"/>
          <w:i/>
          <w:sz w:val="18"/>
          <w:szCs w:val="18"/>
          <w:lang w:val="fr-CH"/>
        </w:rPr>
        <w:t>,</w:t>
      </w:r>
      <w:r w:rsidRPr="00FA1A0F">
        <w:rPr>
          <w:rFonts w:ascii="Arial" w:hAnsi="Arial" w:cs="Arial"/>
          <w:sz w:val="18"/>
          <w:szCs w:val="18"/>
          <w:lang w:val="fr-CH"/>
        </w:rPr>
        <w:t xml:space="preserve"> éds L. </w:t>
      </w:r>
      <w:r w:rsidRPr="00FA1A0F">
        <w:rPr>
          <w:rFonts w:ascii="Arial" w:hAnsi="Arial" w:cs="Arial"/>
          <w:sz w:val="18"/>
          <w:szCs w:val="18"/>
        </w:rPr>
        <w:t>Bently &amp;</w:t>
      </w:r>
      <w:r w:rsidR="00FB6E84" w:rsidRPr="00FA1A0F">
        <w:rPr>
          <w:rFonts w:ascii="Arial" w:hAnsi="Arial" w:cs="Arial"/>
          <w:sz w:val="18"/>
          <w:szCs w:val="18"/>
        </w:rPr>
        <w:t xml:space="preserve"> </w:t>
      </w:r>
      <w:r w:rsidRPr="00FA1A0F">
        <w:rPr>
          <w:rFonts w:ascii="Arial" w:hAnsi="Arial" w:cs="Arial"/>
          <w:sz w:val="18"/>
          <w:szCs w:val="18"/>
        </w:rPr>
        <w:t xml:space="preserve">M. Kretschmer, </w:t>
      </w:r>
      <w:hyperlink r:id="rId2" w:history="1">
        <w:r w:rsidRPr="00FA1A0F">
          <w:rPr>
            <w:rStyle w:val="Hyperlink"/>
            <w:rFonts w:ascii="Arial" w:hAnsi="Arial" w:cs="Arial"/>
            <w:color w:val="0000FF"/>
            <w:sz w:val="18"/>
            <w:szCs w:val="18"/>
          </w:rPr>
          <w:t>www.copyrighthistory.org</w:t>
        </w:r>
      </w:hyperlink>
      <w:r w:rsidRPr="00FA1A0F">
        <w:rPr>
          <w:rFonts w:ascii="Arial" w:hAnsi="Arial" w:cs="Arial"/>
          <w:sz w:val="18"/>
          <w:szCs w:val="18"/>
        </w:rPr>
        <w:t xml:space="preserve"> et voir aussi R. Deazley</w:t>
      </w:r>
      <w:r w:rsidRPr="00FA1A0F">
        <w:rPr>
          <w:rFonts w:ascii="Arial" w:hAnsi="Arial" w:cs="Arial"/>
          <w:sz w:val="18"/>
          <w:szCs w:val="18"/>
          <w:lang w:val="fr-CH"/>
        </w:rPr>
        <w:t xml:space="preserve"> (2008), Commentary on </w:t>
      </w:r>
      <w:r w:rsidRPr="00FA1A0F">
        <w:rPr>
          <w:rStyle w:val="Emphasis"/>
          <w:rFonts w:ascii="Arial" w:hAnsi="Arial" w:cs="Arial"/>
          <w:sz w:val="18"/>
          <w:szCs w:val="18"/>
          <w:lang w:val="fr-CH"/>
        </w:rPr>
        <w:t>Fine Arts Copyright Act </w:t>
      </w:r>
      <w:r w:rsidRPr="00FA1A0F">
        <w:rPr>
          <w:rFonts w:ascii="Arial" w:hAnsi="Arial" w:cs="Arial"/>
          <w:sz w:val="18"/>
          <w:szCs w:val="18"/>
          <w:lang w:val="fr-CH"/>
        </w:rPr>
        <w:t xml:space="preserve">1862, dans </w:t>
      </w:r>
      <w:r w:rsidRPr="00FA1A0F">
        <w:rPr>
          <w:rStyle w:val="Emphasis"/>
          <w:rFonts w:ascii="Arial" w:hAnsi="Arial" w:cs="Arial"/>
          <w:i w:val="0"/>
          <w:sz w:val="18"/>
          <w:szCs w:val="18"/>
          <w:lang w:val="fr-CH"/>
        </w:rPr>
        <w:t>Primary Sources on Copyright (1450</w:t>
      </w:r>
      <w:r w:rsidR="00FA1A0F" w:rsidRPr="00FA1A0F">
        <w:rPr>
          <w:rStyle w:val="Emphasis"/>
          <w:rFonts w:ascii="Arial" w:hAnsi="Arial" w:cs="Arial"/>
          <w:i w:val="0"/>
          <w:sz w:val="18"/>
          <w:szCs w:val="18"/>
          <w:lang w:val="fr-CH"/>
        </w:rPr>
        <w:noBreakHyphen/>
      </w:r>
      <w:r w:rsidRPr="00FA1A0F">
        <w:rPr>
          <w:rStyle w:val="Emphasis"/>
          <w:rFonts w:ascii="Arial" w:hAnsi="Arial" w:cs="Arial"/>
          <w:i w:val="0"/>
          <w:sz w:val="18"/>
          <w:szCs w:val="18"/>
          <w:lang w:val="fr-CH"/>
        </w:rPr>
        <w:t>1900)</w:t>
      </w:r>
      <w:r w:rsidRPr="00FA1A0F">
        <w:rPr>
          <w:rFonts w:ascii="Arial" w:hAnsi="Arial" w:cs="Arial"/>
          <w:sz w:val="18"/>
          <w:szCs w:val="18"/>
          <w:lang w:val="fr-CH"/>
        </w:rPr>
        <w:t>, éds L. </w:t>
      </w:r>
      <w:r w:rsidRPr="00FA1A0F">
        <w:rPr>
          <w:rFonts w:ascii="Arial" w:hAnsi="Arial" w:cs="Arial"/>
          <w:sz w:val="18"/>
          <w:szCs w:val="18"/>
        </w:rPr>
        <w:t>Bently &amp;</w:t>
      </w:r>
      <w:r w:rsidR="00B53567" w:rsidRPr="00FA1A0F">
        <w:rPr>
          <w:rFonts w:ascii="Arial" w:hAnsi="Arial" w:cs="Arial"/>
          <w:sz w:val="18"/>
          <w:szCs w:val="18"/>
        </w:rPr>
        <w:t> </w:t>
      </w:r>
      <w:r w:rsidRPr="00FA1A0F">
        <w:rPr>
          <w:rFonts w:ascii="Arial" w:hAnsi="Arial" w:cs="Arial"/>
          <w:sz w:val="18"/>
          <w:szCs w:val="18"/>
        </w:rPr>
        <w:t>M. </w:t>
      </w:r>
      <w:r w:rsidRPr="00FA1A0F">
        <w:rPr>
          <w:rFonts w:ascii="Arial" w:hAnsi="Arial" w:cs="Arial"/>
          <w:sz w:val="18"/>
          <w:szCs w:val="18"/>
          <w:lang w:val="fr-CH"/>
        </w:rPr>
        <w:t xml:space="preserve">Kretschmer, </w:t>
      </w:r>
      <w:hyperlink r:id="rId3" w:history="1">
        <w:r w:rsidRPr="00FA1A0F">
          <w:rPr>
            <w:rStyle w:val="Hyperlink"/>
            <w:rFonts w:ascii="Arial" w:hAnsi="Arial" w:cs="Arial"/>
            <w:color w:val="0000FF"/>
            <w:sz w:val="18"/>
            <w:szCs w:val="18"/>
            <w:lang w:val="fr-CH"/>
          </w:rPr>
          <w:t>www.copyrighthistory.org</w:t>
        </w:r>
      </w:hyperlink>
      <w:r w:rsidRPr="00FA1A0F">
        <w:rPr>
          <w:rStyle w:val="Hyperlink"/>
          <w:rFonts w:ascii="Arial" w:hAnsi="Arial" w:cs="Arial"/>
          <w:color w:val="auto"/>
          <w:sz w:val="18"/>
          <w:szCs w:val="18"/>
          <w:u w:val="none"/>
        </w:rPr>
        <w:t>.</w:t>
      </w:r>
    </w:p>
  </w:footnote>
  <w:footnote w:id="25">
    <w:p w14:paraId="340A6C2F" w14:textId="710EB988" w:rsidR="00C77D5B" w:rsidRPr="00FA1A0F" w:rsidRDefault="00C77D5B" w:rsidP="00FA1A0F">
      <w:pPr>
        <w:pStyle w:val="Footnote"/>
        <w:tabs>
          <w:tab w:val="left" w:pos="567"/>
        </w:tabs>
        <w:jc w:val="left"/>
        <w:rPr>
          <w:rFonts w:ascii="Arial" w:hAnsi="Arial" w:cs="Arial"/>
          <w:sz w:val="18"/>
          <w:szCs w:val="18"/>
          <w:lang w:val="fr-CH"/>
        </w:rPr>
      </w:pPr>
      <w:r w:rsidRPr="00FA1A0F">
        <w:rPr>
          <w:rStyle w:val="FootnoteReference"/>
          <w:rFonts w:ascii="Arial" w:hAnsi="Arial" w:cs="Arial"/>
          <w:sz w:val="18"/>
          <w:szCs w:val="18"/>
        </w:rPr>
        <w:footnoteRef/>
      </w:r>
      <w:r w:rsidRPr="00FA1A0F">
        <w:rPr>
          <w:rFonts w:ascii="Arial" w:hAnsi="Arial" w:cs="Arial"/>
          <w:sz w:val="18"/>
          <w:szCs w:val="18"/>
          <w:lang w:val="fr-CH"/>
        </w:rPr>
        <w:t xml:space="preserve"> </w:t>
      </w:r>
      <w:r w:rsidRPr="00FA1A0F">
        <w:rPr>
          <w:rFonts w:ascii="Arial" w:hAnsi="Arial" w:cs="Arial"/>
          <w:sz w:val="18"/>
          <w:szCs w:val="18"/>
          <w:lang w:val="fr-CH"/>
        </w:rPr>
        <w:tab/>
        <w:t>Voir Katzenberger, p</w:t>
      </w:r>
      <w:r w:rsidR="00A117DD" w:rsidRPr="00FA1A0F">
        <w:rPr>
          <w:rFonts w:ascii="Arial" w:hAnsi="Arial" w:cs="Arial"/>
          <w:sz w:val="18"/>
          <w:szCs w:val="18"/>
          <w:lang w:val="fr-CH"/>
        </w:rPr>
        <w:t>ages</w:t>
      </w:r>
      <w:r w:rsidRPr="00FA1A0F">
        <w:rPr>
          <w:rFonts w:ascii="Arial" w:hAnsi="Arial" w:cs="Arial"/>
          <w:sz w:val="18"/>
          <w:szCs w:val="18"/>
          <w:lang w:val="fr-CH"/>
        </w:rPr>
        <w:t> 367</w:t>
      </w:r>
      <w:r w:rsidR="00A117DD" w:rsidRPr="00FA1A0F">
        <w:rPr>
          <w:rFonts w:ascii="Arial" w:hAnsi="Arial" w:cs="Arial"/>
          <w:sz w:val="18"/>
          <w:szCs w:val="18"/>
          <w:lang w:val="fr-CH"/>
        </w:rPr>
        <w:t xml:space="preserve"> et </w:t>
      </w:r>
      <w:r w:rsidRPr="00FA1A0F">
        <w:rPr>
          <w:rFonts w:ascii="Arial" w:hAnsi="Arial" w:cs="Arial"/>
          <w:sz w:val="18"/>
          <w:szCs w:val="18"/>
          <w:lang w:val="fr-CH"/>
        </w:rPr>
        <w:t>368;  R. E. Hauser, p</w:t>
      </w:r>
      <w:r w:rsidR="00A117DD" w:rsidRPr="00FA1A0F">
        <w:rPr>
          <w:rFonts w:ascii="Arial" w:hAnsi="Arial" w:cs="Arial"/>
          <w:sz w:val="18"/>
          <w:szCs w:val="18"/>
          <w:lang w:val="fr-CH"/>
        </w:rPr>
        <w:t>ages</w:t>
      </w:r>
      <w:r w:rsidRPr="00FA1A0F">
        <w:rPr>
          <w:rFonts w:ascii="Arial" w:hAnsi="Arial" w:cs="Arial"/>
          <w:sz w:val="18"/>
          <w:szCs w:val="18"/>
          <w:lang w:val="fr-CH"/>
        </w:rPr>
        <w:t> 106</w:t>
      </w:r>
      <w:r w:rsidR="00A117DD" w:rsidRPr="00FA1A0F">
        <w:rPr>
          <w:rFonts w:ascii="Arial" w:hAnsi="Arial" w:cs="Arial"/>
          <w:sz w:val="18"/>
          <w:szCs w:val="18"/>
          <w:lang w:val="fr-CH"/>
        </w:rPr>
        <w:t xml:space="preserve"> et </w:t>
      </w:r>
      <w:r w:rsidRPr="00FA1A0F">
        <w:rPr>
          <w:rFonts w:ascii="Arial" w:hAnsi="Arial" w:cs="Arial"/>
          <w:sz w:val="18"/>
          <w:szCs w:val="18"/>
          <w:lang w:val="fr-CH"/>
        </w:rPr>
        <w:t>107.</w:t>
      </w:r>
    </w:p>
  </w:footnote>
  <w:footnote w:id="26">
    <w:p w14:paraId="0EE51ED2" w14:textId="73FAA480"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Directive 2001/84/CE du Parlement européen et du Conseil du 27 septembre 2001 relative au droit de suite au profit de l</w:t>
      </w:r>
      <w:r w:rsidR="00F346B2" w:rsidRPr="00FA1A0F">
        <w:rPr>
          <w:rFonts w:ascii="Arial" w:hAnsi="Arial" w:cs="Arial"/>
          <w:sz w:val="18"/>
          <w:szCs w:val="18"/>
        </w:rPr>
        <w:t>’</w:t>
      </w:r>
      <w:r w:rsidRPr="00FA1A0F">
        <w:rPr>
          <w:rFonts w:ascii="Arial" w:hAnsi="Arial" w:cs="Arial"/>
          <w:sz w:val="18"/>
          <w:szCs w:val="18"/>
        </w:rPr>
        <w:t>auteur d</w:t>
      </w:r>
      <w:r w:rsidR="00F346B2" w:rsidRPr="00FA1A0F">
        <w:rPr>
          <w:rFonts w:ascii="Arial" w:hAnsi="Arial" w:cs="Arial"/>
          <w:sz w:val="18"/>
          <w:szCs w:val="18"/>
        </w:rPr>
        <w:t>’</w:t>
      </w:r>
      <w:r w:rsidRPr="00FA1A0F">
        <w:rPr>
          <w:rFonts w:ascii="Arial" w:hAnsi="Arial" w:cs="Arial"/>
          <w:sz w:val="18"/>
          <w:szCs w:val="18"/>
        </w:rPr>
        <w:t>une œuvre d</w:t>
      </w:r>
      <w:r w:rsidR="00F346B2" w:rsidRPr="00FA1A0F">
        <w:rPr>
          <w:rFonts w:ascii="Arial" w:hAnsi="Arial" w:cs="Arial"/>
          <w:sz w:val="18"/>
          <w:szCs w:val="18"/>
        </w:rPr>
        <w:t>’</w:t>
      </w:r>
      <w:r w:rsidRPr="00FA1A0F">
        <w:rPr>
          <w:rFonts w:ascii="Arial" w:hAnsi="Arial" w:cs="Arial"/>
          <w:sz w:val="18"/>
          <w:szCs w:val="18"/>
        </w:rPr>
        <w:t xml:space="preserve">art originale, considérant 3, Journal </w:t>
      </w:r>
      <w:r w:rsidR="0030289F" w:rsidRPr="00FA1A0F">
        <w:rPr>
          <w:rFonts w:ascii="Arial" w:hAnsi="Arial" w:cs="Arial"/>
          <w:sz w:val="18"/>
          <w:szCs w:val="18"/>
        </w:rPr>
        <w:t>o</w:t>
      </w:r>
      <w:r w:rsidRPr="00FA1A0F">
        <w:rPr>
          <w:rFonts w:ascii="Arial" w:hAnsi="Arial" w:cs="Arial"/>
          <w:sz w:val="18"/>
          <w:szCs w:val="18"/>
        </w:rPr>
        <w:t>fficiel L 272, 13/10/2001</w:t>
      </w:r>
      <w:r w:rsidR="00EA1319" w:rsidRPr="00FA1A0F">
        <w:rPr>
          <w:rFonts w:ascii="Arial" w:hAnsi="Arial" w:cs="Arial"/>
          <w:sz w:val="18"/>
          <w:szCs w:val="18"/>
        </w:rPr>
        <w:t xml:space="preserve">, </w:t>
      </w:r>
      <w:r w:rsidR="00877692" w:rsidRPr="00FA1A0F">
        <w:rPr>
          <w:rFonts w:ascii="Arial" w:hAnsi="Arial" w:cs="Arial"/>
          <w:sz w:val="18"/>
          <w:szCs w:val="18"/>
        </w:rPr>
        <w:t>pages 3</w:t>
      </w:r>
      <w:r w:rsidRPr="00FA1A0F">
        <w:rPr>
          <w:rFonts w:ascii="Arial" w:hAnsi="Arial" w:cs="Arial"/>
          <w:sz w:val="18"/>
          <w:szCs w:val="18"/>
        </w:rPr>
        <w:t>2</w:t>
      </w:r>
      <w:r w:rsidR="00EA1319" w:rsidRPr="00FA1A0F">
        <w:rPr>
          <w:rFonts w:ascii="Arial" w:hAnsi="Arial" w:cs="Arial"/>
          <w:sz w:val="18"/>
          <w:szCs w:val="18"/>
        </w:rPr>
        <w:t xml:space="preserve"> à </w:t>
      </w:r>
      <w:r w:rsidRPr="00FA1A0F">
        <w:rPr>
          <w:rFonts w:ascii="Arial" w:hAnsi="Arial" w:cs="Arial"/>
          <w:sz w:val="18"/>
          <w:szCs w:val="18"/>
        </w:rPr>
        <w:t>36</w:t>
      </w:r>
      <w:r w:rsidR="00600209" w:rsidRPr="00FA1A0F">
        <w:rPr>
          <w:rFonts w:ascii="Arial" w:hAnsi="Arial" w:cs="Arial"/>
          <w:sz w:val="18"/>
          <w:szCs w:val="18"/>
        </w:rPr>
        <w:t xml:space="preserve"> (Directive européenne)</w:t>
      </w:r>
      <w:r w:rsidRPr="00FA1A0F">
        <w:rPr>
          <w:rFonts w:ascii="Arial" w:hAnsi="Arial" w:cs="Arial"/>
          <w:i/>
          <w:sz w:val="18"/>
          <w:szCs w:val="18"/>
        </w:rPr>
        <w:t>.</w:t>
      </w:r>
    </w:p>
  </w:footnote>
  <w:footnote w:id="27">
    <w:p w14:paraId="06DC064E" w14:textId="77777777"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Voir aussi Ricketson et Ginsburg, [11.15] ff.</w:t>
      </w:r>
    </w:p>
  </w:footnote>
  <w:footnote w:id="28">
    <w:p w14:paraId="41EA91A9" w14:textId="77777777"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WCT, articles 6 et 7.</w:t>
      </w:r>
    </w:p>
  </w:footnote>
  <w:footnote w:id="29">
    <w:p w14:paraId="5EE2EA7E" w14:textId="04621DAC"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Voir le discours en deuxième lecture du ministre de l</w:t>
      </w:r>
      <w:r w:rsidR="00F346B2" w:rsidRPr="00FA1A0F">
        <w:rPr>
          <w:rFonts w:ascii="Arial" w:hAnsi="Arial" w:cs="Arial"/>
          <w:sz w:val="18"/>
          <w:szCs w:val="18"/>
        </w:rPr>
        <w:t>’</w:t>
      </w:r>
      <w:r w:rsidRPr="00FA1A0F">
        <w:rPr>
          <w:rFonts w:ascii="Arial" w:hAnsi="Arial" w:cs="Arial"/>
          <w:sz w:val="18"/>
          <w:szCs w:val="18"/>
        </w:rPr>
        <w:t>Environnement, du Patrimoine et des Arts (Hon. P Garrett MHR) lors de l</w:t>
      </w:r>
      <w:r w:rsidR="00F346B2" w:rsidRPr="00FA1A0F">
        <w:rPr>
          <w:rFonts w:ascii="Arial" w:hAnsi="Arial" w:cs="Arial"/>
          <w:sz w:val="18"/>
          <w:szCs w:val="18"/>
        </w:rPr>
        <w:t>’</w:t>
      </w:r>
      <w:r w:rsidRPr="00FA1A0F">
        <w:rPr>
          <w:rFonts w:ascii="Arial" w:hAnsi="Arial" w:cs="Arial"/>
          <w:sz w:val="18"/>
          <w:szCs w:val="18"/>
        </w:rPr>
        <w:t>introduction du projet de loi de 2008 sur le droit de suite pour les artistes visuels au Parlement australien le 27 novembre 2008</w:t>
      </w:r>
      <w:r w:rsidR="00F346B2" w:rsidRPr="00FA1A0F">
        <w:rPr>
          <w:rFonts w:ascii="Arial" w:hAnsi="Arial" w:cs="Arial"/>
          <w:sz w:val="18"/>
          <w:szCs w:val="18"/>
        </w:rPr>
        <w:t> :</w:t>
      </w:r>
      <w:r w:rsidRPr="00FA1A0F">
        <w:rPr>
          <w:rFonts w:ascii="Arial" w:hAnsi="Arial" w:cs="Arial"/>
          <w:sz w:val="18"/>
          <w:szCs w:val="18"/>
        </w:rPr>
        <w:t xml:space="preserve"> voir sur Internet à l</w:t>
      </w:r>
      <w:r w:rsidR="00F346B2" w:rsidRPr="00FA1A0F">
        <w:rPr>
          <w:rFonts w:ascii="Arial" w:hAnsi="Arial" w:cs="Arial"/>
          <w:sz w:val="18"/>
          <w:szCs w:val="18"/>
        </w:rPr>
        <w:t>’</w:t>
      </w:r>
      <w:r w:rsidRPr="00FA1A0F">
        <w:rPr>
          <w:rFonts w:ascii="Arial" w:hAnsi="Arial" w:cs="Arial"/>
          <w:sz w:val="18"/>
          <w:szCs w:val="18"/>
        </w:rPr>
        <w:t xml:space="preserve">adresse </w:t>
      </w:r>
      <w:hyperlink r:id="rId4" w:history="1">
        <w:r w:rsidRPr="00FA1A0F">
          <w:rPr>
            <w:rStyle w:val="Hyperlink"/>
            <w:rFonts w:ascii="Arial" w:hAnsi="Arial" w:cs="Arial"/>
            <w:sz w:val="18"/>
            <w:szCs w:val="18"/>
          </w:rPr>
          <w:t>http://parlinfo.aph.gov.au/parlInfo/search/display/display.w3p;query=BillId_Phrase%3Ar4010%20Title%3A%22second%20reading%22%20Content%3A%22I%20move%22%7C% 22and%20move%22%20Content%3A%22be%20now%20read%20a%20second%20time%22%20(Dataset%3Ahansardr%20%7C%20Dataset%3Ahansards);rec=1</w:t>
        </w:r>
      </w:hyperlink>
      <w:r w:rsidRPr="00FA1A0F">
        <w:rPr>
          <w:rFonts w:ascii="Arial" w:hAnsi="Arial" w:cs="Arial"/>
          <w:sz w:val="18"/>
          <w:szCs w:val="18"/>
        </w:rPr>
        <w:t>.  L</w:t>
      </w:r>
      <w:r w:rsidR="00F346B2" w:rsidRPr="00FA1A0F">
        <w:rPr>
          <w:rFonts w:ascii="Arial" w:hAnsi="Arial" w:cs="Arial"/>
          <w:sz w:val="18"/>
          <w:szCs w:val="18"/>
        </w:rPr>
        <w:t>’</w:t>
      </w:r>
      <w:r w:rsidRPr="00FA1A0F">
        <w:rPr>
          <w:rFonts w:ascii="Arial" w:hAnsi="Arial" w:cs="Arial"/>
          <w:sz w:val="18"/>
          <w:szCs w:val="18"/>
        </w:rPr>
        <w:t>on retrouve un point de vue similaire dans un rapport canadien</w:t>
      </w:r>
      <w:r w:rsidR="00F346B2" w:rsidRPr="00FA1A0F">
        <w:rPr>
          <w:rFonts w:ascii="Arial" w:hAnsi="Arial" w:cs="Arial"/>
          <w:sz w:val="18"/>
          <w:szCs w:val="18"/>
        </w:rPr>
        <w:t> :</w:t>
      </w:r>
      <w:r w:rsidRPr="00FA1A0F">
        <w:rPr>
          <w:rFonts w:ascii="Arial" w:hAnsi="Arial" w:cs="Arial"/>
          <w:sz w:val="18"/>
          <w:szCs w:val="18"/>
        </w:rPr>
        <w:t xml:space="preserve"> Le Front des artistes canadiens et le Regroupement des artistes en arts visuels du Québec, </w:t>
      </w:r>
      <w:r w:rsidRPr="00FA1A0F">
        <w:rPr>
          <w:rFonts w:ascii="Arial" w:hAnsi="Arial" w:cs="Arial"/>
          <w:i/>
          <w:sz w:val="18"/>
          <w:szCs w:val="18"/>
        </w:rPr>
        <w:t>Recommandations pour un droit de suite d</w:t>
      </w:r>
      <w:r w:rsidR="00F346B2" w:rsidRPr="00FA1A0F">
        <w:rPr>
          <w:rFonts w:ascii="Arial" w:hAnsi="Arial" w:cs="Arial"/>
          <w:i/>
          <w:sz w:val="18"/>
          <w:szCs w:val="18"/>
        </w:rPr>
        <w:t>’</w:t>
      </w:r>
      <w:r w:rsidRPr="00FA1A0F">
        <w:rPr>
          <w:rFonts w:ascii="Arial" w:hAnsi="Arial" w:cs="Arial"/>
          <w:i/>
          <w:sz w:val="18"/>
          <w:szCs w:val="18"/>
        </w:rPr>
        <w:t>artiste au Canada</w:t>
      </w:r>
      <w:r w:rsidRPr="00FA1A0F">
        <w:rPr>
          <w:rFonts w:ascii="Arial" w:hAnsi="Arial" w:cs="Arial"/>
          <w:sz w:val="18"/>
          <w:szCs w:val="18"/>
        </w:rPr>
        <w:t>, avril 2013, annexe C.</w:t>
      </w:r>
      <w:r w:rsidR="00B53567" w:rsidRPr="00FA1A0F">
        <w:rPr>
          <w:rFonts w:ascii="Arial" w:hAnsi="Arial" w:cs="Arial"/>
          <w:sz w:val="18"/>
          <w:szCs w:val="18"/>
        </w:rPr>
        <w:t xml:space="preserve">  </w:t>
      </w:r>
      <w:r w:rsidRPr="00FA1A0F">
        <w:rPr>
          <w:rFonts w:ascii="Arial" w:hAnsi="Arial" w:cs="Arial"/>
          <w:sz w:val="18"/>
          <w:szCs w:val="18"/>
        </w:rPr>
        <w:t>Il convient également de noter la référence spéciale aux artistes maoris dans la législation néo</w:t>
      </w:r>
      <w:r w:rsidR="00FA1A0F" w:rsidRPr="00FA1A0F">
        <w:rPr>
          <w:rFonts w:ascii="Arial" w:hAnsi="Arial" w:cs="Arial"/>
          <w:sz w:val="18"/>
          <w:szCs w:val="18"/>
        </w:rPr>
        <w:noBreakHyphen/>
      </w:r>
      <w:r w:rsidRPr="00FA1A0F">
        <w:rPr>
          <w:rFonts w:ascii="Arial" w:hAnsi="Arial" w:cs="Arial"/>
          <w:sz w:val="18"/>
          <w:szCs w:val="18"/>
        </w:rPr>
        <w:t>zélandaise récemment adoptée</w:t>
      </w:r>
      <w:r w:rsidR="000376B4">
        <w:rPr>
          <w:rFonts w:ascii="Arial" w:hAnsi="Arial" w:cs="Arial"/>
          <w:sz w:val="18"/>
          <w:szCs w:val="18"/>
        </w:rPr>
        <w:t>, à savoir la l</w:t>
      </w:r>
      <w:r w:rsidRPr="00FA1A0F">
        <w:rPr>
          <w:rFonts w:ascii="Arial" w:hAnsi="Arial" w:cs="Arial"/>
          <w:sz w:val="18"/>
          <w:szCs w:val="18"/>
        </w:rPr>
        <w:t xml:space="preserve">oi sur le droit de suite des artistes visuels </w:t>
      </w:r>
      <w:r w:rsidR="00EC24F5" w:rsidRPr="00FA1A0F">
        <w:rPr>
          <w:rFonts w:ascii="Arial" w:hAnsi="Arial" w:cs="Arial"/>
          <w:sz w:val="18"/>
          <w:szCs w:val="18"/>
        </w:rPr>
        <w:t>de 2023</w:t>
      </w:r>
      <w:r w:rsidRPr="00FA1A0F">
        <w:rPr>
          <w:rFonts w:ascii="Arial" w:hAnsi="Arial" w:cs="Arial"/>
          <w:sz w:val="18"/>
          <w:szCs w:val="18"/>
        </w:rPr>
        <w:t xml:space="preserve">), </w:t>
      </w:r>
      <w:r w:rsidR="00EC24F5" w:rsidRPr="00FA1A0F">
        <w:rPr>
          <w:rFonts w:ascii="Arial" w:hAnsi="Arial" w:cs="Arial"/>
          <w:sz w:val="18"/>
          <w:szCs w:val="18"/>
        </w:rPr>
        <w:t>article 3</w:t>
      </w:r>
      <w:r w:rsidRPr="00FA1A0F">
        <w:rPr>
          <w:rFonts w:ascii="Arial" w:hAnsi="Arial" w:cs="Arial"/>
          <w:sz w:val="18"/>
          <w:szCs w:val="18"/>
        </w:rPr>
        <w:t>.1) (Nouvelle</w:t>
      </w:r>
      <w:r w:rsidR="00FA1A0F" w:rsidRPr="00FA1A0F">
        <w:rPr>
          <w:rFonts w:ascii="Arial" w:hAnsi="Arial" w:cs="Arial"/>
          <w:sz w:val="18"/>
          <w:szCs w:val="18"/>
        </w:rPr>
        <w:noBreakHyphen/>
      </w:r>
      <w:r w:rsidRPr="00FA1A0F">
        <w:rPr>
          <w:rFonts w:ascii="Arial" w:hAnsi="Arial" w:cs="Arial"/>
          <w:sz w:val="18"/>
          <w:szCs w:val="18"/>
        </w:rPr>
        <w:t>Zélande).</w:t>
      </w:r>
    </w:p>
  </w:footnote>
  <w:footnote w:id="30">
    <w:p w14:paraId="424AC568" w14:textId="2EACE16E"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OMPI et UNESCO (1976), </w:t>
      </w:r>
      <w:r w:rsidRPr="00FA1A0F">
        <w:rPr>
          <w:rFonts w:ascii="Arial" w:hAnsi="Arial" w:cs="Arial"/>
          <w:i/>
          <w:sz w:val="18"/>
          <w:szCs w:val="18"/>
        </w:rPr>
        <w:t>Loi type de Tunis sur la loi sur le droit d</w:t>
      </w:r>
      <w:r w:rsidR="00F346B2" w:rsidRPr="00FA1A0F">
        <w:rPr>
          <w:rFonts w:ascii="Arial" w:hAnsi="Arial" w:cs="Arial"/>
          <w:i/>
          <w:sz w:val="18"/>
          <w:szCs w:val="18"/>
        </w:rPr>
        <w:t>’</w:t>
      </w:r>
      <w:r w:rsidRPr="00FA1A0F">
        <w:rPr>
          <w:rFonts w:ascii="Arial" w:hAnsi="Arial" w:cs="Arial"/>
          <w:i/>
          <w:sz w:val="18"/>
          <w:szCs w:val="18"/>
        </w:rPr>
        <w:t>auteur à l</w:t>
      </w:r>
      <w:r w:rsidR="00F346B2" w:rsidRPr="00FA1A0F">
        <w:rPr>
          <w:rFonts w:ascii="Arial" w:hAnsi="Arial" w:cs="Arial"/>
          <w:i/>
          <w:sz w:val="18"/>
          <w:szCs w:val="18"/>
        </w:rPr>
        <w:t>’</w:t>
      </w:r>
      <w:r w:rsidRPr="00FA1A0F">
        <w:rPr>
          <w:rFonts w:ascii="Arial" w:hAnsi="Arial" w:cs="Arial"/>
          <w:i/>
          <w:sz w:val="18"/>
          <w:szCs w:val="18"/>
        </w:rPr>
        <w:t xml:space="preserve">usage des pays en développement, </w:t>
      </w:r>
      <w:r w:rsidRPr="00FA1A0F">
        <w:rPr>
          <w:rFonts w:ascii="Arial" w:hAnsi="Arial" w:cs="Arial"/>
          <w:sz w:val="18"/>
          <w:szCs w:val="18"/>
        </w:rPr>
        <w:t>Genève, article 4</w:t>
      </w:r>
      <w:r w:rsidRPr="00FA1A0F">
        <w:rPr>
          <w:rFonts w:ascii="Arial" w:hAnsi="Arial" w:cs="Arial"/>
          <w:i/>
          <w:sz w:val="18"/>
          <w:szCs w:val="18"/>
        </w:rPr>
        <w:t>bis.</w:t>
      </w:r>
    </w:p>
  </w:footnote>
  <w:footnote w:id="31">
    <w:p w14:paraId="4983F442" w14:textId="02229E9C"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Certains pays de tradition de </w:t>
      </w:r>
      <w:r w:rsidRPr="00FA1A0F">
        <w:rPr>
          <w:rFonts w:ascii="Arial" w:hAnsi="Arial" w:cs="Arial"/>
          <w:i/>
          <w:sz w:val="18"/>
          <w:szCs w:val="18"/>
        </w:rPr>
        <w:t>common law</w:t>
      </w:r>
      <w:r w:rsidRPr="00FA1A0F">
        <w:rPr>
          <w:rFonts w:ascii="Arial" w:hAnsi="Arial" w:cs="Arial"/>
          <w:sz w:val="18"/>
          <w:szCs w:val="18"/>
        </w:rPr>
        <w:t xml:space="preserve"> peuvent même ne pas faire référence aux objets dans leur législation modificative qui introduit un régime de droit de suite des artistes, par exemple le Kenya, qui l</w:t>
      </w:r>
      <w:r w:rsidR="00F346B2" w:rsidRPr="00FA1A0F">
        <w:rPr>
          <w:rFonts w:ascii="Arial" w:hAnsi="Arial" w:cs="Arial"/>
          <w:sz w:val="18"/>
          <w:szCs w:val="18"/>
        </w:rPr>
        <w:t>’</w:t>
      </w:r>
      <w:r w:rsidRPr="00FA1A0F">
        <w:rPr>
          <w:rFonts w:ascii="Arial" w:hAnsi="Arial" w:cs="Arial"/>
          <w:sz w:val="18"/>
          <w:szCs w:val="18"/>
        </w:rPr>
        <w:t xml:space="preserve">a fait dans la législation introduite en 2019 et qui est simplement intitulée </w:t>
      </w:r>
      <w:r w:rsidR="000376B4">
        <w:rPr>
          <w:rFonts w:ascii="Arial" w:hAnsi="Arial" w:cs="Arial"/>
          <w:i/>
          <w:iCs/>
          <w:sz w:val="18"/>
          <w:szCs w:val="18"/>
        </w:rPr>
        <w:t xml:space="preserve">Copyright Amendment Act 2019 </w:t>
      </w:r>
      <w:r w:rsidR="000376B4">
        <w:rPr>
          <w:rFonts w:ascii="Arial" w:hAnsi="Arial" w:cs="Arial"/>
          <w:sz w:val="18"/>
          <w:szCs w:val="18"/>
        </w:rPr>
        <w:t>(l</w:t>
      </w:r>
      <w:r w:rsidRPr="00FA1A0F">
        <w:rPr>
          <w:rFonts w:ascii="Arial" w:hAnsi="Arial" w:cs="Arial"/>
          <w:sz w:val="18"/>
          <w:szCs w:val="18"/>
        </w:rPr>
        <w:t>oi de 2019 modifiant la loi sur le droit d</w:t>
      </w:r>
      <w:r w:rsidR="00F346B2" w:rsidRPr="00FA1A0F">
        <w:rPr>
          <w:rFonts w:ascii="Arial" w:hAnsi="Arial" w:cs="Arial"/>
          <w:sz w:val="18"/>
          <w:szCs w:val="18"/>
        </w:rPr>
        <w:t>’</w:t>
      </w:r>
      <w:r w:rsidRPr="00FA1A0F">
        <w:rPr>
          <w:rFonts w:ascii="Arial" w:hAnsi="Arial" w:cs="Arial"/>
          <w:sz w:val="18"/>
          <w:szCs w:val="18"/>
        </w:rPr>
        <w:t>auteur</w:t>
      </w:r>
      <w:r w:rsidR="000376B4">
        <w:rPr>
          <w:rFonts w:ascii="Arial" w:hAnsi="Arial" w:cs="Arial"/>
          <w:sz w:val="18"/>
          <w:szCs w:val="18"/>
        </w:rPr>
        <w:t>)</w:t>
      </w:r>
      <w:r w:rsidRPr="00FA1A0F">
        <w:rPr>
          <w:rFonts w:ascii="Arial" w:hAnsi="Arial" w:cs="Arial"/>
          <w:i/>
          <w:sz w:val="18"/>
          <w:szCs w:val="18"/>
        </w:rPr>
        <w:t>.</w:t>
      </w:r>
    </w:p>
  </w:footnote>
  <w:footnote w:id="32">
    <w:p w14:paraId="663E5AC5" w14:textId="4242CA68"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Voir le Code de la propriété intellectuelle français, article 122</w:t>
      </w:r>
      <w:r w:rsidR="00FA1A0F" w:rsidRPr="00FA1A0F">
        <w:rPr>
          <w:szCs w:val="18"/>
        </w:rPr>
        <w:noBreakHyphen/>
      </w:r>
      <w:r w:rsidRPr="00FA1A0F">
        <w:rPr>
          <w:szCs w:val="18"/>
        </w:rPr>
        <w:t>8, et décret n° 2007</w:t>
      </w:r>
      <w:r w:rsidR="00FA1A0F" w:rsidRPr="00FA1A0F">
        <w:rPr>
          <w:szCs w:val="18"/>
        </w:rPr>
        <w:noBreakHyphen/>
      </w:r>
      <w:r w:rsidRPr="00FA1A0F">
        <w:rPr>
          <w:szCs w:val="18"/>
        </w:rPr>
        <w:t>756 du 9 mai 2007.</w:t>
      </w:r>
    </w:p>
  </w:footnote>
  <w:footnote w:id="33">
    <w:p w14:paraId="012D2CC2" w14:textId="3A09A0FA"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Comparez la disposition française de l</w:t>
      </w:r>
      <w:r w:rsidR="00F346B2" w:rsidRPr="00FA1A0F">
        <w:rPr>
          <w:szCs w:val="18"/>
        </w:rPr>
        <w:t>’</w:t>
      </w:r>
      <w:r w:rsidRPr="00FA1A0F">
        <w:rPr>
          <w:szCs w:val="18"/>
        </w:rPr>
        <w:t>article 122</w:t>
      </w:r>
      <w:r w:rsidR="00FA1A0F" w:rsidRPr="00FA1A0F">
        <w:rPr>
          <w:szCs w:val="18"/>
        </w:rPr>
        <w:noBreakHyphen/>
      </w:r>
      <w:r w:rsidRPr="00FA1A0F">
        <w:rPr>
          <w:szCs w:val="18"/>
        </w:rPr>
        <w:t>8.1) immédiatement avant la mise en œuvre française de la Directive CE (septembre 2003)</w:t>
      </w:r>
      <w:r w:rsidR="00F346B2" w:rsidRPr="00FA1A0F">
        <w:rPr>
          <w:szCs w:val="18"/>
        </w:rPr>
        <w:t> :</w:t>
      </w:r>
    </w:p>
    <w:p w14:paraId="3D1AC540" w14:textId="7E07D713" w:rsidR="00C77D5B" w:rsidRPr="00FA1A0F" w:rsidRDefault="00C77D5B" w:rsidP="00FA1A0F">
      <w:pPr>
        <w:tabs>
          <w:tab w:val="left" w:pos="567"/>
        </w:tabs>
        <w:autoSpaceDE w:val="0"/>
        <w:autoSpaceDN w:val="0"/>
        <w:adjustRightInd w:val="0"/>
        <w:spacing w:before="120" w:after="120"/>
        <w:ind w:left="1134"/>
        <w:rPr>
          <w:rFonts w:eastAsiaTheme="minorHAnsi"/>
          <w:sz w:val="18"/>
          <w:szCs w:val="18"/>
        </w:rPr>
      </w:pPr>
      <w:r w:rsidRPr="00FA1A0F">
        <w:rPr>
          <w:sz w:val="18"/>
          <w:szCs w:val="18"/>
        </w:rPr>
        <w:t>Les auteurs d</w:t>
      </w:r>
      <w:r w:rsidR="00F346B2" w:rsidRPr="00FA1A0F">
        <w:rPr>
          <w:sz w:val="18"/>
          <w:szCs w:val="18"/>
        </w:rPr>
        <w:t>’</w:t>
      </w:r>
      <w:r w:rsidRPr="00FA1A0F">
        <w:rPr>
          <w:sz w:val="18"/>
          <w:szCs w:val="18"/>
        </w:rPr>
        <w:t>œuvres graphiques et tridimensionnelles ont, nonobstant toute cession de l</w:t>
      </w:r>
      <w:r w:rsidR="00F346B2" w:rsidRPr="00FA1A0F">
        <w:rPr>
          <w:sz w:val="18"/>
          <w:szCs w:val="18"/>
        </w:rPr>
        <w:t>’</w:t>
      </w:r>
      <w:r w:rsidRPr="00FA1A0F">
        <w:rPr>
          <w:sz w:val="18"/>
          <w:szCs w:val="18"/>
        </w:rPr>
        <w:t>œuvre originale, un droit inaliénable de participation au produit de toute vente de cette œuvre faite aux enchères publiques ou par l</w:t>
      </w:r>
      <w:r w:rsidR="00F346B2" w:rsidRPr="00FA1A0F">
        <w:rPr>
          <w:sz w:val="18"/>
          <w:szCs w:val="18"/>
        </w:rPr>
        <w:t>’</w:t>
      </w:r>
      <w:r w:rsidRPr="00FA1A0F">
        <w:rPr>
          <w:sz w:val="18"/>
          <w:szCs w:val="18"/>
        </w:rPr>
        <w:t>intermédiaire d</w:t>
      </w:r>
      <w:r w:rsidR="00F346B2" w:rsidRPr="00FA1A0F">
        <w:rPr>
          <w:sz w:val="18"/>
          <w:szCs w:val="18"/>
        </w:rPr>
        <w:t>’</w:t>
      </w:r>
      <w:r w:rsidRPr="00FA1A0F">
        <w:rPr>
          <w:sz w:val="18"/>
          <w:szCs w:val="18"/>
        </w:rPr>
        <w:t>un commerçant (dans des conditions quasi identiques à son prédécesseur, article 42 de la loi française de 1957).  L</w:t>
      </w:r>
      <w:r w:rsidR="00F346B2" w:rsidRPr="00FA1A0F">
        <w:rPr>
          <w:sz w:val="18"/>
          <w:szCs w:val="18"/>
        </w:rPr>
        <w:t>’</w:t>
      </w:r>
      <w:r w:rsidRPr="00FA1A0F">
        <w:rPr>
          <w:sz w:val="18"/>
          <w:szCs w:val="18"/>
        </w:rPr>
        <w:t>article 122</w:t>
      </w:r>
      <w:r w:rsidR="00FA1A0F" w:rsidRPr="00FA1A0F">
        <w:rPr>
          <w:sz w:val="18"/>
          <w:szCs w:val="18"/>
        </w:rPr>
        <w:noBreakHyphen/>
      </w:r>
      <w:r w:rsidRPr="00FA1A0F">
        <w:rPr>
          <w:sz w:val="18"/>
          <w:szCs w:val="18"/>
        </w:rPr>
        <w:t xml:space="preserve">8.1) du Code de la propriété </w:t>
      </w:r>
      <w:r w:rsidR="00D53C0A" w:rsidRPr="00FA1A0F">
        <w:rPr>
          <w:sz w:val="18"/>
          <w:szCs w:val="18"/>
        </w:rPr>
        <w:t>i</w:t>
      </w:r>
      <w:r w:rsidRPr="00FA1A0F">
        <w:rPr>
          <w:sz w:val="18"/>
          <w:szCs w:val="18"/>
        </w:rPr>
        <w:t>ntellectuelle français a été modifié pour mettre en œuvre la Directive CE.</w:t>
      </w:r>
    </w:p>
  </w:footnote>
  <w:footnote w:id="34">
    <w:p w14:paraId="470DF9A0" w14:textId="2BC113BB"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Loi guatémaltèque sur le droit d</w:t>
      </w:r>
      <w:r w:rsidR="00F346B2" w:rsidRPr="00FA1A0F">
        <w:rPr>
          <w:rFonts w:ascii="Arial" w:hAnsi="Arial" w:cs="Arial"/>
          <w:sz w:val="18"/>
          <w:szCs w:val="18"/>
        </w:rPr>
        <w:t>’</w:t>
      </w:r>
      <w:r w:rsidRPr="00FA1A0F">
        <w:rPr>
          <w:rFonts w:ascii="Arial" w:hAnsi="Arial" w:cs="Arial"/>
          <w:sz w:val="18"/>
          <w:szCs w:val="18"/>
        </w:rPr>
        <w:t xml:space="preserve">auteur et les droits connexes, </w:t>
      </w:r>
      <w:r w:rsidR="00041DF8">
        <w:rPr>
          <w:rFonts w:ascii="Arial" w:hAnsi="Arial" w:cs="Arial"/>
          <w:sz w:val="18"/>
          <w:szCs w:val="18"/>
        </w:rPr>
        <w:t>d</w:t>
      </w:r>
      <w:r w:rsidRPr="00FA1A0F">
        <w:rPr>
          <w:rFonts w:ascii="Arial" w:hAnsi="Arial" w:cs="Arial"/>
          <w:sz w:val="18"/>
          <w:szCs w:val="18"/>
        </w:rPr>
        <w:t>écret n° 33</w:t>
      </w:r>
      <w:r w:rsidR="00FA1A0F" w:rsidRPr="00FA1A0F">
        <w:rPr>
          <w:rFonts w:ascii="Arial" w:hAnsi="Arial" w:cs="Arial"/>
          <w:sz w:val="18"/>
          <w:szCs w:val="18"/>
        </w:rPr>
        <w:noBreakHyphen/>
      </w:r>
      <w:r w:rsidRPr="00FA1A0F">
        <w:rPr>
          <w:rFonts w:ascii="Arial" w:hAnsi="Arial" w:cs="Arial"/>
          <w:sz w:val="18"/>
          <w:szCs w:val="18"/>
        </w:rPr>
        <w:t xml:space="preserve">98, article 38.  Dans des termes similaires, voir République dominicaine, </w:t>
      </w:r>
      <w:r w:rsidR="005921AE">
        <w:rPr>
          <w:rFonts w:ascii="Arial" w:hAnsi="Arial" w:cs="Arial"/>
          <w:sz w:val="18"/>
          <w:szCs w:val="18"/>
        </w:rPr>
        <w:t>l</w:t>
      </w:r>
      <w:r w:rsidRPr="00FA1A0F">
        <w:rPr>
          <w:rFonts w:ascii="Arial" w:hAnsi="Arial" w:cs="Arial"/>
          <w:sz w:val="18"/>
          <w:szCs w:val="18"/>
        </w:rPr>
        <w:t>oi n° 65</w:t>
      </w:r>
      <w:r w:rsidR="00FA1A0F" w:rsidRPr="00FA1A0F">
        <w:rPr>
          <w:rFonts w:ascii="Arial" w:hAnsi="Arial" w:cs="Arial"/>
          <w:sz w:val="18"/>
          <w:szCs w:val="18"/>
        </w:rPr>
        <w:noBreakHyphen/>
      </w:r>
      <w:r w:rsidRPr="00FA1A0F">
        <w:rPr>
          <w:rFonts w:ascii="Arial" w:hAnsi="Arial" w:cs="Arial"/>
          <w:sz w:val="18"/>
          <w:szCs w:val="18"/>
        </w:rPr>
        <w:t>00 sur le droit d</w:t>
      </w:r>
      <w:r w:rsidR="00F346B2" w:rsidRPr="00FA1A0F">
        <w:rPr>
          <w:rFonts w:ascii="Arial" w:hAnsi="Arial" w:cs="Arial"/>
          <w:sz w:val="18"/>
          <w:szCs w:val="18"/>
        </w:rPr>
        <w:t>’</w:t>
      </w:r>
      <w:r w:rsidRPr="00FA1A0F">
        <w:rPr>
          <w:rFonts w:ascii="Arial" w:hAnsi="Arial" w:cs="Arial"/>
          <w:sz w:val="18"/>
          <w:szCs w:val="18"/>
        </w:rPr>
        <w:t>auteur, article 78, qui dispose</w:t>
      </w:r>
      <w:r w:rsidR="00F346B2" w:rsidRPr="00FA1A0F">
        <w:rPr>
          <w:rFonts w:ascii="Arial" w:hAnsi="Arial" w:cs="Arial"/>
          <w:sz w:val="18"/>
          <w:szCs w:val="18"/>
        </w:rPr>
        <w:t> :</w:t>
      </w:r>
    </w:p>
    <w:p w14:paraId="7E2E381A" w14:textId="714F1A31" w:rsidR="00C77D5B" w:rsidRPr="00FA1A0F" w:rsidRDefault="00C77D5B" w:rsidP="00FA1A0F">
      <w:pPr>
        <w:pStyle w:val="Footnote"/>
        <w:tabs>
          <w:tab w:val="left" w:pos="567"/>
        </w:tabs>
        <w:ind w:left="1134"/>
        <w:jc w:val="left"/>
        <w:rPr>
          <w:rFonts w:ascii="Arial" w:hAnsi="Arial" w:cs="Arial"/>
          <w:sz w:val="18"/>
          <w:szCs w:val="18"/>
        </w:rPr>
      </w:pPr>
      <w:r w:rsidRPr="00FA1A0F">
        <w:rPr>
          <w:rFonts w:ascii="Arial" w:hAnsi="Arial" w:cs="Arial"/>
          <w:sz w:val="18"/>
          <w:szCs w:val="18"/>
        </w:rPr>
        <w:t>En cas de revente d</w:t>
      </w:r>
      <w:r w:rsidR="00F346B2" w:rsidRPr="00FA1A0F">
        <w:rPr>
          <w:rFonts w:ascii="Arial" w:hAnsi="Arial" w:cs="Arial"/>
          <w:sz w:val="18"/>
          <w:szCs w:val="18"/>
        </w:rPr>
        <w:t>’</w:t>
      </w:r>
      <w:r w:rsidRPr="00FA1A0F">
        <w:rPr>
          <w:rFonts w:ascii="Arial" w:hAnsi="Arial" w:cs="Arial"/>
          <w:sz w:val="18"/>
          <w:szCs w:val="18"/>
        </w:rPr>
        <w:t>une œuvre picturale, d</w:t>
      </w:r>
      <w:r w:rsidR="00F346B2" w:rsidRPr="00FA1A0F">
        <w:rPr>
          <w:rFonts w:ascii="Arial" w:hAnsi="Arial" w:cs="Arial"/>
          <w:sz w:val="18"/>
          <w:szCs w:val="18"/>
        </w:rPr>
        <w:t>’</w:t>
      </w:r>
      <w:r w:rsidRPr="00FA1A0F">
        <w:rPr>
          <w:rFonts w:ascii="Arial" w:hAnsi="Arial" w:cs="Arial"/>
          <w:sz w:val="18"/>
          <w:szCs w:val="18"/>
        </w:rPr>
        <w:t>une sculpture ou d</w:t>
      </w:r>
      <w:r w:rsidR="00F346B2" w:rsidRPr="00FA1A0F">
        <w:rPr>
          <w:rFonts w:ascii="Arial" w:hAnsi="Arial" w:cs="Arial"/>
          <w:sz w:val="18"/>
          <w:szCs w:val="18"/>
        </w:rPr>
        <w:t>’</w:t>
      </w:r>
      <w:r w:rsidRPr="00FA1A0F">
        <w:rPr>
          <w:rFonts w:ascii="Arial" w:hAnsi="Arial" w:cs="Arial"/>
          <w:sz w:val="18"/>
          <w:szCs w:val="18"/>
        </w:rPr>
        <w:t>une œuvre artistique tridimensionnelle en général aux enchères publiques, lors d</w:t>
      </w:r>
      <w:r w:rsidR="00F346B2" w:rsidRPr="00FA1A0F">
        <w:rPr>
          <w:rFonts w:ascii="Arial" w:hAnsi="Arial" w:cs="Arial"/>
          <w:sz w:val="18"/>
          <w:szCs w:val="18"/>
        </w:rPr>
        <w:t>’</w:t>
      </w:r>
      <w:r w:rsidRPr="00FA1A0F">
        <w:rPr>
          <w:rFonts w:ascii="Arial" w:hAnsi="Arial" w:cs="Arial"/>
          <w:sz w:val="18"/>
          <w:szCs w:val="18"/>
        </w:rPr>
        <w:t>une exposition ou par l</w:t>
      </w:r>
      <w:r w:rsidR="00F346B2" w:rsidRPr="00FA1A0F">
        <w:rPr>
          <w:rFonts w:ascii="Arial" w:hAnsi="Arial" w:cs="Arial"/>
          <w:sz w:val="18"/>
          <w:szCs w:val="18"/>
        </w:rPr>
        <w:t>’</w:t>
      </w:r>
      <w:r w:rsidRPr="00FA1A0F">
        <w:rPr>
          <w:rFonts w:ascii="Arial" w:hAnsi="Arial" w:cs="Arial"/>
          <w:sz w:val="18"/>
          <w:szCs w:val="18"/>
        </w:rPr>
        <w:t>intermédiaire d</w:t>
      </w:r>
      <w:r w:rsidR="00F346B2" w:rsidRPr="00FA1A0F">
        <w:rPr>
          <w:rFonts w:ascii="Arial" w:hAnsi="Arial" w:cs="Arial"/>
          <w:sz w:val="18"/>
          <w:szCs w:val="18"/>
        </w:rPr>
        <w:t>’</w:t>
      </w:r>
      <w:r w:rsidRPr="00FA1A0F">
        <w:rPr>
          <w:rFonts w:ascii="Arial" w:hAnsi="Arial" w:cs="Arial"/>
          <w:sz w:val="18"/>
          <w:szCs w:val="18"/>
        </w:rPr>
        <w:t>un marchand professionnel, l</w:t>
      </w:r>
      <w:r w:rsidR="00F346B2" w:rsidRPr="00FA1A0F">
        <w:rPr>
          <w:rFonts w:ascii="Arial" w:hAnsi="Arial" w:cs="Arial"/>
          <w:sz w:val="18"/>
          <w:szCs w:val="18"/>
        </w:rPr>
        <w:t>’</w:t>
      </w:r>
      <w:r w:rsidRPr="00FA1A0F">
        <w:rPr>
          <w:rFonts w:ascii="Arial" w:hAnsi="Arial" w:cs="Arial"/>
          <w:sz w:val="18"/>
          <w:szCs w:val="18"/>
        </w:rPr>
        <w:t>auteur et, à son décès, ses héritiers ou ayants cause, doivent, pour la période de protection des œuvres établie par la présente loi, jouissent du droit inaliénable de percevoir du vendeur un pourcentage du prix de revente, qui ne pourra en aucun cas être inférieur à deux pour cent (2%) du prix de revente.  La perception et la répartition de cette rémunération incombent à une organisation de gestion collective constituée et agréée conformément aux dispositions de la présente loi.</w:t>
      </w:r>
    </w:p>
  </w:footnote>
  <w:footnote w:id="35">
    <w:p w14:paraId="4E2B3A80" w14:textId="6095A0FE"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Kenya, </w:t>
      </w:r>
      <w:r w:rsidR="005921AE">
        <w:rPr>
          <w:rFonts w:ascii="Arial" w:hAnsi="Arial" w:cs="Arial"/>
          <w:sz w:val="18"/>
          <w:szCs w:val="18"/>
        </w:rPr>
        <w:t>l</w:t>
      </w:r>
      <w:r w:rsidRPr="00FA1A0F">
        <w:rPr>
          <w:rFonts w:ascii="Arial" w:hAnsi="Arial" w:cs="Arial"/>
          <w:iCs/>
          <w:sz w:val="18"/>
          <w:szCs w:val="18"/>
        </w:rPr>
        <w:t>oi n° 12 de 2001 sur le droit d</w:t>
      </w:r>
      <w:r w:rsidR="00F346B2" w:rsidRPr="00FA1A0F">
        <w:rPr>
          <w:rFonts w:ascii="Arial" w:hAnsi="Arial" w:cs="Arial"/>
          <w:iCs/>
          <w:sz w:val="18"/>
          <w:szCs w:val="18"/>
        </w:rPr>
        <w:t>’</w:t>
      </w:r>
      <w:r w:rsidRPr="00FA1A0F">
        <w:rPr>
          <w:rFonts w:ascii="Arial" w:hAnsi="Arial" w:cs="Arial"/>
          <w:iCs/>
          <w:sz w:val="18"/>
          <w:szCs w:val="18"/>
        </w:rPr>
        <w:t xml:space="preserve">auteur, </w:t>
      </w:r>
      <w:r w:rsidRPr="00FA1A0F">
        <w:rPr>
          <w:rFonts w:ascii="Arial" w:hAnsi="Arial" w:cs="Arial"/>
          <w:sz w:val="18"/>
          <w:szCs w:val="18"/>
        </w:rPr>
        <w:t>article 2.</w:t>
      </w:r>
    </w:p>
  </w:footnote>
  <w:footnote w:id="36">
    <w:p w14:paraId="6B70207B" w14:textId="3CFD0002"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004E5742" w:rsidRPr="00FA1A0F">
        <w:rPr>
          <w:szCs w:val="18"/>
        </w:rPr>
        <w:tab/>
      </w:r>
      <w:r w:rsidRPr="00FA1A0F">
        <w:rPr>
          <w:szCs w:val="18"/>
        </w:rPr>
        <w:t xml:space="preserve">Australie, </w:t>
      </w:r>
      <w:r w:rsidR="005921AE">
        <w:rPr>
          <w:szCs w:val="18"/>
        </w:rPr>
        <w:t>l</w:t>
      </w:r>
      <w:r w:rsidRPr="00FA1A0F">
        <w:rPr>
          <w:szCs w:val="18"/>
        </w:rPr>
        <w:t xml:space="preserve">oi de 2009 sur le droit de suite des artistes visuels, </w:t>
      </w:r>
      <w:r w:rsidR="00EC24F5" w:rsidRPr="00FA1A0F">
        <w:rPr>
          <w:szCs w:val="18"/>
        </w:rPr>
        <w:t>article 6</w:t>
      </w:r>
      <w:r w:rsidRPr="00FA1A0F">
        <w:rPr>
          <w:szCs w:val="18"/>
        </w:rPr>
        <w:t>.</w:t>
      </w:r>
    </w:p>
  </w:footnote>
  <w:footnote w:id="37">
    <w:p w14:paraId="479B02AC" w14:textId="0F5A6D08" w:rsidR="00C77D5B" w:rsidRPr="00FA1A0F" w:rsidRDefault="00C77D5B" w:rsidP="00FA1A0F">
      <w:pPr>
        <w:tabs>
          <w:tab w:val="left" w:pos="567"/>
        </w:tabs>
        <w:autoSpaceDE w:val="0"/>
        <w:autoSpaceDN w:val="0"/>
        <w:adjustRightInd w:val="0"/>
        <w:spacing w:before="120" w:after="120"/>
        <w:rPr>
          <w:rFonts w:eastAsia="Times New Roman"/>
          <w:color w:val="000000"/>
          <w:sz w:val="18"/>
          <w:szCs w:val="18"/>
          <w:lang w:eastAsia="fr-CH"/>
        </w:rPr>
      </w:pPr>
      <w:r w:rsidRPr="00FA1A0F">
        <w:rPr>
          <w:rStyle w:val="FootnoteReference"/>
          <w:sz w:val="18"/>
          <w:szCs w:val="18"/>
        </w:rPr>
        <w:footnoteRef/>
      </w:r>
      <w:r w:rsidRPr="00FA1A0F">
        <w:rPr>
          <w:sz w:val="18"/>
          <w:szCs w:val="18"/>
        </w:rPr>
        <w:t xml:space="preserve"> </w:t>
      </w:r>
      <w:r w:rsidR="004E5742" w:rsidRPr="00FA1A0F">
        <w:rPr>
          <w:rFonts w:eastAsia="Times New Roman"/>
          <w:color w:val="000000"/>
          <w:sz w:val="18"/>
          <w:szCs w:val="18"/>
          <w:lang w:eastAsia="fr-CH"/>
        </w:rPr>
        <w:tab/>
      </w:r>
      <w:r w:rsidRPr="00FA1A0F">
        <w:rPr>
          <w:rFonts w:eastAsia="Times New Roman"/>
          <w:color w:val="000000"/>
          <w:sz w:val="18"/>
          <w:szCs w:val="18"/>
          <w:lang w:eastAsia="fr-CH"/>
        </w:rPr>
        <w:t>Côte d</w:t>
      </w:r>
      <w:r w:rsidR="00F346B2" w:rsidRPr="00FA1A0F">
        <w:rPr>
          <w:rFonts w:eastAsia="Times New Roman"/>
          <w:color w:val="000000"/>
          <w:sz w:val="18"/>
          <w:szCs w:val="18"/>
          <w:lang w:eastAsia="fr-CH"/>
        </w:rPr>
        <w:t>’</w:t>
      </w:r>
      <w:r w:rsidRPr="00FA1A0F">
        <w:rPr>
          <w:rFonts w:eastAsia="Times New Roman"/>
          <w:color w:val="000000"/>
          <w:sz w:val="18"/>
          <w:szCs w:val="18"/>
          <w:lang w:eastAsia="fr-CH"/>
        </w:rPr>
        <w:t xml:space="preserve">Ivoire, </w:t>
      </w:r>
      <w:r w:rsidR="005921AE">
        <w:rPr>
          <w:rFonts w:eastAsia="Times New Roman"/>
          <w:color w:val="000000"/>
          <w:sz w:val="18"/>
          <w:szCs w:val="18"/>
          <w:lang w:eastAsia="fr-CH"/>
        </w:rPr>
        <w:t>l</w:t>
      </w:r>
      <w:r w:rsidRPr="00FA1A0F">
        <w:rPr>
          <w:rFonts w:eastAsia="Times New Roman"/>
          <w:color w:val="000000"/>
          <w:sz w:val="18"/>
          <w:szCs w:val="18"/>
          <w:lang w:eastAsia="fr-CH"/>
        </w:rPr>
        <w:t>oi n</w:t>
      </w:r>
      <w:r w:rsidRPr="00FA1A0F">
        <w:rPr>
          <w:color w:val="000000"/>
          <w:sz w:val="18"/>
          <w:szCs w:val="18"/>
        </w:rPr>
        <w:t>° </w:t>
      </w:r>
      <w:r w:rsidRPr="00FA1A0F">
        <w:rPr>
          <w:rFonts w:eastAsia="Times New Roman"/>
          <w:color w:val="000000"/>
          <w:sz w:val="18"/>
          <w:szCs w:val="18"/>
          <w:lang w:eastAsia="fr-CH"/>
        </w:rPr>
        <w:t>96</w:t>
      </w:r>
      <w:r w:rsidR="00FA1A0F" w:rsidRPr="00FA1A0F">
        <w:rPr>
          <w:rFonts w:eastAsia="Times New Roman"/>
          <w:color w:val="000000"/>
          <w:sz w:val="18"/>
          <w:szCs w:val="18"/>
          <w:lang w:eastAsia="fr-CH"/>
        </w:rPr>
        <w:noBreakHyphen/>
      </w:r>
      <w:r w:rsidRPr="00FA1A0F">
        <w:rPr>
          <w:rFonts w:eastAsia="Times New Roman"/>
          <w:color w:val="000000"/>
          <w:sz w:val="18"/>
          <w:szCs w:val="18"/>
          <w:lang w:eastAsia="fr-CH"/>
        </w:rPr>
        <w:t>564 du 2</w:t>
      </w:r>
      <w:r w:rsidR="00EC24F5" w:rsidRPr="00FA1A0F">
        <w:rPr>
          <w:rFonts w:eastAsia="Times New Roman"/>
          <w:color w:val="000000"/>
          <w:sz w:val="18"/>
          <w:szCs w:val="18"/>
          <w:lang w:eastAsia="fr-CH"/>
        </w:rPr>
        <w:t>5 juillet 19</w:t>
      </w:r>
      <w:r w:rsidRPr="00FA1A0F">
        <w:rPr>
          <w:rFonts w:eastAsia="Times New Roman"/>
          <w:color w:val="000000"/>
          <w:sz w:val="18"/>
          <w:szCs w:val="18"/>
          <w:lang w:eastAsia="fr-CH"/>
        </w:rPr>
        <w:t>96 relative à la protection des œuvres de l</w:t>
      </w:r>
      <w:r w:rsidR="00F346B2" w:rsidRPr="00FA1A0F">
        <w:rPr>
          <w:rFonts w:eastAsia="Times New Roman"/>
          <w:color w:val="000000"/>
          <w:sz w:val="18"/>
          <w:szCs w:val="18"/>
          <w:lang w:eastAsia="fr-CH"/>
        </w:rPr>
        <w:t>’</w:t>
      </w:r>
      <w:r w:rsidRPr="00FA1A0F">
        <w:rPr>
          <w:rFonts w:eastAsia="Times New Roman"/>
          <w:color w:val="000000"/>
          <w:sz w:val="18"/>
          <w:szCs w:val="18"/>
          <w:lang w:eastAsia="fr-CH"/>
        </w:rPr>
        <w:t>esprit et aux droits des auteurs, des artistes</w:t>
      </w:r>
      <w:r w:rsidR="00FA1A0F" w:rsidRPr="00FA1A0F">
        <w:rPr>
          <w:rFonts w:eastAsia="Times New Roman"/>
          <w:color w:val="000000"/>
          <w:sz w:val="18"/>
          <w:szCs w:val="18"/>
          <w:lang w:eastAsia="fr-CH"/>
        </w:rPr>
        <w:noBreakHyphen/>
      </w:r>
      <w:r w:rsidRPr="00FA1A0F">
        <w:rPr>
          <w:rFonts w:eastAsia="Times New Roman"/>
          <w:color w:val="000000"/>
          <w:sz w:val="18"/>
          <w:szCs w:val="18"/>
          <w:lang w:eastAsia="fr-CH"/>
        </w:rPr>
        <w:t xml:space="preserve">interprètes et des producteurs </w:t>
      </w:r>
      <w:r w:rsidR="00D53C0A" w:rsidRPr="00FA1A0F">
        <w:rPr>
          <w:rFonts w:eastAsia="Times New Roman"/>
          <w:color w:val="000000"/>
          <w:sz w:val="18"/>
          <w:szCs w:val="18"/>
          <w:lang w:eastAsia="fr-CH"/>
        </w:rPr>
        <w:t xml:space="preserve">de </w:t>
      </w:r>
      <w:r w:rsidRPr="00FA1A0F">
        <w:rPr>
          <w:rFonts w:eastAsia="Times New Roman"/>
          <w:color w:val="000000"/>
          <w:sz w:val="18"/>
          <w:szCs w:val="18"/>
          <w:lang w:eastAsia="fr-CH"/>
        </w:rPr>
        <w:t xml:space="preserve">phonogrammes et de vidéogrammes, </w:t>
      </w:r>
      <w:r w:rsidR="00EC24F5" w:rsidRPr="00FA1A0F">
        <w:rPr>
          <w:rFonts w:eastAsia="Times New Roman"/>
          <w:color w:val="000000"/>
          <w:sz w:val="18"/>
          <w:szCs w:val="18"/>
          <w:lang w:eastAsia="fr-CH"/>
        </w:rPr>
        <w:t>article 4</w:t>
      </w:r>
      <w:r w:rsidRPr="00FA1A0F">
        <w:rPr>
          <w:rFonts w:eastAsia="Times New Roman"/>
          <w:color w:val="000000"/>
          <w:sz w:val="18"/>
          <w:szCs w:val="18"/>
          <w:lang w:eastAsia="fr-CH"/>
        </w:rPr>
        <w:t>4.</w:t>
      </w:r>
    </w:p>
  </w:footnote>
  <w:footnote w:id="38">
    <w:p w14:paraId="20C26138" w14:textId="22548952"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004E5742" w:rsidRPr="00FA1A0F">
        <w:rPr>
          <w:szCs w:val="18"/>
        </w:rPr>
        <w:tab/>
      </w:r>
      <w:r w:rsidRPr="00FA1A0F">
        <w:rPr>
          <w:szCs w:val="18"/>
        </w:rPr>
        <w:t xml:space="preserve">Australie, </w:t>
      </w:r>
      <w:r w:rsidR="005921AE">
        <w:rPr>
          <w:szCs w:val="18"/>
        </w:rPr>
        <w:t>l</w:t>
      </w:r>
      <w:r w:rsidRPr="00FA1A0F">
        <w:rPr>
          <w:szCs w:val="18"/>
        </w:rPr>
        <w:t xml:space="preserve">oi de 2009 sur le droit de suite des artistes visuels, </w:t>
      </w:r>
      <w:r w:rsidR="00EC24F5" w:rsidRPr="00FA1A0F">
        <w:rPr>
          <w:szCs w:val="18"/>
        </w:rPr>
        <w:t>article 7</w:t>
      </w:r>
      <w:r w:rsidRPr="00FA1A0F">
        <w:rPr>
          <w:szCs w:val="18"/>
        </w:rPr>
        <w:t>.1).</w:t>
      </w:r>
      <w:r w:rsidR="00600209" w:rsidRPr="00FA1A0F">
        <w:rPr>
          <w:szCs w:val="18"/>
        </w:rPr>
        <w:t xml:space="preserve">  Voir également Nouvelle</w:t>
      </w:r>
      <w:r w:rsidR="00FA1A0F" w:rsidRPr="00FA1A0F">
        <w:rPr>
          <w:szCs w:val="18"/>
        </w:rPr>
        <w:noBreakHyphen/>
      </w:r>
      <w:r w:rsidR="00600209" w:rsidRPr="00FA1A0F">
        <w:rPr>
          <w:szCs w:val="18"/>
        </w:rPr>
        <w:t xml:space="preserve">Zélande, Loi de 2023 sur le droit de suite des artistes visuels, article 8.i), qui adopte une définition similaire </w:t>
      </w:r>
      <w:r w:rsidR="00E51E61" w:rsidRPr="00FA1A0F">
        <w:rPr>
          <w:szCs w:val="18"/>
        </w:rPr>
        <w:t>m</w:t>
      </w:r>
      <w:r w:rsidR="00600209" w:rsidRPr="00FA1A0F">
        <w:rPr>
          <w:szCs w:val="18"/>
        </w:rPr>
        <w:t>ais utilise l</w:t>
      </w:r>
      <w:r w:rsidR="00F346B2" w:rsidRPr="00FA1A0F">
        <w:rPr>
          <w:szCs w:val="18"/>
        </w:rPr>
        <w:t>’</w:t>
      </w:r>
      <w:r w:rsidR="00600209" w:rsidRPr="00FA1A0F">
        <w:rPr>
          <w:szCs w:val="18"/>
        </w:rPr>
        <w:t>expression “œuvre visuelle originale”.</w:t>
      </w:r>
    </w:p>
  </w:footnote>
  <w:footnote w:id="39">
    <w:p w14:paraId="5C1867ED" w14:textId="3E43109B"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004E5742" w:rsidRPr="00FA1A0F">
        <w:rPr>
          <w:szCs w:val="18"/>
        </w:rPr>
        <w:tab/>
      </w:r>
      <w:r w:rsidRPr="00FA1A0F">
        <w:rPr>
          <w:szCs w:val="18"/>
        </w:rPr>
        <w:t xml:space="preserve">Kenya, </w:t>
      </w:r>
      <w:r w:rsidR="005921AE">
        <w:rPr>
          <w:szCs w:val="18"/>
        </w:rPr>
        <w:t>l</w:t>
      </w:r>
      <w:r w:rsidRPr="00FA1A0F">
        <w:rPr>
          <w:szCs w:val="18"/>
        </w:rPr>
        <w:t xml:space="preserve">oi </w:t>
      </w:r>
      <w:r w:rsidR="00EC24F5" w:rsidRPr="00FA1A0F">
        <w:rPr>
          <w:szCs w:val="18"/>
        </w:rPr>
        <w:t>de 2001</w:t>
      </w:r>
      <w:r w:rsidRPr="00FA1A0F">
        <w:rPr>
          <w:szCs w:val="18"/>
        </w:rPr>
        <w:t xml:space="preserve"> sur le droit d</w:t>
      </w:r>
      <w:r w:rsidR="00F346B2" w:rsidRPr="00FA1A0F">
        <w:rPr>
          <w:szCs w:val="18"/>
        </w:rPr>
        <w:t>’</w:t>
      </w:r>
      <w:r w:rsidRPr="00FA1A0F">
        <w:rPr>
          <w:szCs w:val="18"/>
        </w:rPr>
        <w:t xml:space="preserve">auteur, </w:t>
      </w:r>
      <w:r w:rsidR="00EC24F5" w:rsidRPr="00FA1A0F">
        <w:rPr>
          <w:szCs w:val="18"/>
        </w:rPr>
        <w:t>article 2</w:t>
      </w:r>
      <w:r w:rsidRPr="00FA1A0F">
        <w:rPr>
          <w:szCs w:val="18"/>
        </w:rPr>
        <w:t>.1).</w:t>
      </w:r>
    </w:p>
  </w:footnote>
  <w:footnote w:id="40">
    <w:p w14:paraId="2F57CCFC" w14:textId="081407C7" w:rsidR="00C77D5B" w:rsidRPr="00FA1A0F" w:rsidRDefault="00C77D5B" w:rsidP="00FA1A0F">
      <w:pPr>
        <w:pStyle w:val="FootnoteText"/>
        <w:tabs>
          <w:tab w:val="left" w:pos="567"/>
        </w:tabs>
        <w:spacing w:before="120" w:after="120"/>
        <w:rPr>
          <w:szCs w:val="18"/>
          <w:lang w:val="fr-FR"/>
        </w:rPr>
      </w:pPr>
      <w:r w:rsidRPr="00FA1A0F">
        <w:rPr>
          <w:rStyle w:val="FootnoteReference"/>
          <w:szCs w:val="18"/>
        </w:rPr>
        <w:footnoteRef/>
      </w:r>
      <w:r w:rsidRPr="00FA1A0F">
        <w:rPr>
          <w:szCs w:val="18"/>
          <w:lang w:val="fr-FR"/>
        </w:rPr>
        <w:t xml:space="preserve"> </w:t>
      </w:r>
      <w:r w:rsidR="0042410E" w:rsidRPr="00FA1A0F">
        <w:rPr>
          <w:szCs w:val="18"/>
          <w:lang w:val="fr-FR"/>
        </w:rPr>
        <w:tab/>
      </w:r>
      <w:r w:rsidRPr="00FA1A0F">
        <w:rPr>
          <w:szCs w:val="18"/>
          <w:lang w:val="fr-FR"/>
        </w:rPr>
        <w:t>Ibid.</w:t>
      </w:r>
    </w:p>
  </w:footnote>
  <w:footnote w:id="41">
    <w:p w14:paraId="565FA9E0" w14:textId="7000411D"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Par exemple, la loi française fait référence aux “œuvres graphiques et plastiques originales” (“œuvres originales graphiques et plastiques” à l</w:t>
      </w:r>
      <w:r w:rsidR="00F346B2" w:rsidRPr="00FA1A0F">
        <w:rPr>
          <w:rFonts w:ascii="Arial" w:hAnsi="Arial" w:cs="Arial"/>
          <w:sz w:val="18"/>
          <w:szCs w:val="18"/>
        </w:rPr>
        <w:t>’</w:t>
      </w:r>
      <w:r w:rsidRPr="00FA1A0F">
        <w:rPr>
          <w:rFonts w:ascii="Arial" w:hAnsi="Arial" w:cs="Arial"/>
          <w:sz w:val="18"/>
          <w:szCs w:val="18"/>
        </w:rPr>
        <w:t>article 122</w:t>
      </w:r>
      <w:r w:rsidR="00FA1A0F" w:rsidRPr="00FA1A0F">
        <w:rPr>
          <w:rFonts w:ascii="Arial" w:hAnsi="Arial" w:cs="Arial"/>
          <w:sz w:val="18"/>
          <w:szCs w:val="18"/>
        </w:rPr>
        <w:noBreakHyphen/>
      </w:r>
      <w:r w:rsidRPr="00FA1A0F">
        <w:rPr>
          <w:rFonts w:ascii="Arial" w:hAnsi="Arial" w:cs="Arial"/>
          <w:sz w:val="18"/>
          <w:szCs w:val="18"/>
        </w:rPr>
        <w:t>8, alinéa 1), alors qu</w:t>
      </w:r>
      <w:r w:rsidR="00F346B2" w:rsidRPr="00FA1A0F">
        <w:rPr>
          <w:rFonts w:ascii="Arial" w:hAnsi="Arial" w:cs="Arial"/>
          <w:sz w:val="18"/>
          <w:szCs w:val="18"/>
        </w:rPr>
        <w:t>’</w:t>
      </w:r>
      <w:r w:rsidRPr="00FA1A0F">
        <w:rPr>
          <w:rFonts w:ascii="Arial" w:hAnsi="Arial" w:cs="Arial"/>
          <w:sz w:val="18"/>
          <w:szCs w:val="18"/>
        </w:rPr>
        <w:t>une liste plus détaillée est prévue à l</w:t>
      </w:r>
      <w:r w:rsidR="00F346B2" w:rsidRPr="00FA1A0F">
        <w:rPr>
          <w:rFonts w:ascii="Arial" w:hAnsi="Arial" w:cs="Arial"/>
          <w:sz w:val="18"/>
          <w:szCs w:val="18"/>
        </w:rPr>
        <w:t>’</w:t>
      </w:r>
      <w:r w:rsidRPr="00FA1A0F">
        <w:rPr>
          <w:rFonts w:ascii="Arial" w:hAnsi="Arial" w:cs="Arial"/>
          <w:sz w:val="18"/>
          <w:szCs w:val="18"/>
        </w:rPr>
        <w:t>art R. 122</w:t>
      </w:r>
      <w:r w:rsidR="00FA1A0F" w:rsidRPr="00FA1A0F">
        <w:rPr>
          <w:rFonts w:ascii="Arial" w:hAnsi="Arial" w:cs="Arial"/>
          <w:sz w:val="18"/>
          <w:szCs w:val="18"/>
        </w:rPr>
        <w:noBreakHyphen/>
      </w:r>
      <w:r w:rsidRPr="00FA1A0F">
        <w:rPr>
          <w:rFonts w:ascii="Arial" w:hAnsi="Arial" w:cs="Arial"/>
          <w:sz w:val="18"/>
          <w:szCs w:val="18"/>
        </w:rPr>
        <w:t>2 du décret de 2007</w:t>
      </w:r>
      <w:r w:rsidR="00F346B2" w:rsidRPr="00FA1A0F">
        <w:rPr>
          <w:rFonts w:ascii="Arial" w:hAnsi="Arial" w:cs="Arial"/>
          <w:sz w:val="18"/>
          <w:szCs w:val="18"/>
        </w:rPr>
        <w:t> :</w:t>
      </w:r>
      <w:r w:rsidRPr="00FA1A0F">
        <w:rPr>
          <w:rFonts w:ascii="Arial" w:hAnsi="Arial" w:cs="Arial"/>
          <w:sz w:val="18"/>
          <w:szCs w:val="18"/>
        </w:rPr>
        <w:t xml:space="preserve"> “tableaux, les collages, les peintures, les dessins, les gravures, les estampes, les lithographies, les sculptures, les tapisseries, les céramiques, les verreries, les photographies et les créations plastiques sur support audiovisuel ou numérique”.  (“Les œuvres mentionnées à l</w:t>
      </w:r>
      <w:r w:rsidR="00F346B2" w:rsidRPr="00FA1A0F">
        <w:rPr>
          <w:rFonts w:ascii="Arial" w:hAnsi="Arial" w:cs="Arial"/>
          <w:sz w:val="18"/>
          <w:szCs w:val="18"/>
        </w:rPr>
        <w:t>’</w:t>
      </w:r>
      <w:r w:rsidRPr="00FA1A0F">
        <w:rPr>
          <w:rFonts w:ascii="Arial" w:hAnsi="Arial" w:cs="Arial"/>
          <w:sz w:val="18"/>
          <w:szCs w:val="18"/>
        </w:rPr>
        <w:t>article R. 122</w:t>
      </w:r>
      <w:r w:rsidR="00FA1A0F" w:rsidRPr="00FA1A0F">
        <w:rPr>
          <w:rFonts w:ascii="Arial" w:hAnsi="Arial" w:cs="Arial"/>
          <w:sz w:val="18"/>
          <w:szCs w:val="18"/>
        </w:rPr>
        <w:noBreakHyphen/>
      </w:r>
      <w:r w:rsidRPr="00FA1A0F">
        <w:rPr>
          <w:rFonts w:ascii="Arial" w:hAnsi="Arial" w:cs="Arial"/>
          <w:sz w:val="18"/>
          <w:szCs w:val="18"/>
        </w:rPr>
        <w:t>1 sont les œuvres originales graphiques ou plastiques créées par l</w:t>
      </w:r>
      <w:r w:rsidR="00F346B2" w:rsidRPr="00FA1A0F">
        <w:rPr>
          <w:rFonts w:ascii="Arial" w:hAnsi="Arial" w:cs="Arial"/>
          <w:sz w:val="18"/>
          <w:szCs w:val="18"/>
        </w:rPr>
        <w:t>’</w:t>
      </w:r>
      <w:r w:rsidRPr="00FA1A0F">
        <w:rPr>
          <w:rFonts w:ascii="Arial" w:hAnsi="Arial" w:cs="Arial"/>
          <w:sz w:val="18"/>
          <w:szCs w:val="18"/>
        </w:rPr>
        <w:t>auteur lui</w:t>
      </w:r>
      <w:r w:rsidR="00FA1A0F" w:rsidRPr="00FA1A0F">
        <w:rPr>
          <w:rFonts w:ascii="Arial" w:hAnsi="Arial" w:cs="Arial"/>
          <w:sz w:val="18"/>
          <w:szCs w:val="18"/>
        </w:rPr>
        <w:noBreakHyphen/>
      </w:r>
      <w:r w:rsidRPr="00FA1A0F">
        <w:rPr>
          <w:rFonts w:ascii="Arial" w:hAnsi="Arial" w:cs="Arial"/>
          <w:sz w:val="18"/>
          <w:szCs w:val="18"/>
        </w:rPr>
        <w:t>même, telles que les tableaux, les collages, les peintures, les dessins, les gravures, les estampes, les lithographies, les sculptures, les tapisseries, les céramiques, les verreries, les photographies et les créations plastiques sur support audiovisuel ou numérique.”)</w:t>
      </w:r>
    </w:p>
  </w:footnote>
  <w:footnote w:id="42">
    <w:p w14:paraId="67C8933C" w14:textId="28D6A962"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004E5742" w:rsidRPr="00FA1A0F">
        <w:rPr>
          <w:rFonts w:ascii="Arial" w:hAnsi="Arial" w:cs="Arial"/>
          <w:sz w:val="18"/>
          <w:szCs w:val="18"/>
        </w:rPr>
        <w:tab/>
      </w:r>
      <w:r w:rsidRPr="00FA1A0F">
        <w:rPr>
          <w:rFonts w:ascii="Arial" w:hAnsi="Arial" w:cs="Arial"/>
          <w:sz w:val="18"/>
          <w:szCs w:val="18"/>
        </w:rPr>
        <w:t>Nouvelle</w:t>
      </w:r>
      <w:r w:rsidR="00FA1A0F" w:rsidRPr="00FA1A0F">
        <w:rPr>
          <w:rFonts w:ascii="Arial" w:hAnsi="Arial" w:cs="Arial"/>
          <w:sz w:val="18"/>
          <w:szCs w:val="18"/>
        </w:rPr>
        <w:noBreakHyphen/>
      </w:r>
      <w:r w:rsidRPr="00FA1A0F">
        <w:rPr>
          <w:rFonts w:ascii="Arial" w:hAnsi="Arial" w:cs="Arial"/>
          <w:sz w:val="18"/>
          <w:szCs w:val="18"/>
        </w:rPr>
        <w:t xml:space="preserve">Zélande, </w:t>
      </w:r>
      <w:r w:rsidR="005921AE">
        <w:rPr>
          <w:rFonts w:ascii="Arial" w:hAnsi="Arial" w:cs="Arial"/>
          <w:sz w:val="18"/>
          <w:szCs w:val="18"/>
        </w:rPr>
        <w:t>l</w:t>
      </w:r>
      <w:r w:rsidRPr="00FA1A0F">
        <w:rPr>
          <w:rFonts w:ascii="Arial" w:hAnsi="Arial" w:cs="Arial"/>
          <w:sz w:val="18"/>
          <w:szCs w:val="18"/>
        </w:rPr>
        <w:t xml:space="preserve">oi </w:t>
      </w:r>
      <w:r w:rsidR="00EC24F5" w:rsidRPr="00FA1A0F">
        <w:rPr>
          <w:rFonts w:ascii="Arial" w:hAnsi="Arial" w:cs="Arial"/>
          <w:sz w:val="18"/>
          <w:szCs w:val="18"/>
        </w:rPr>
        <w:t>de 2023</w:t>
      </w:r>
      <w:r w:rsidRPr="00FA1A0F">
        <w:rPr>
          <w:rFonts w:ascii="Arial" w:hAnsi="Arial" w:cs="Arial"/>
          <w:sz w:val="18"/>
          <w:szCs w:val="18"/>
        </w:rPr>
        <w:t xml:space="preserve"> sur le droit de suite des artistes visuels, </w:t>
      </w:r>
      <w:r w:rsidR="00EC24F5" w:rsidRPr="00FA1A0F">
        <w:rPr>
          <w:rFonts w:ascii="Arial" w:hAnsi="Arial" w:cs="Arial"/>
          <w:sz w:val="18"/>
          <w:szCs w:val="18"/>
        </w:rPr>
        <w:t>article 8</w:t>
      </w:r>
      <w:r w:rsidRPr="00FA1A0F">
        <w:rPr>
          <w:rFonts w:ascii="Arial" w:hAnsi="Arial" w:cs="Arial"/>
          <w:sz w:val="18"/>
          <w:szCs w:val="18"/>
        </w:rPr>
        <w:t>.2)i) et ii), extrait du tableau</w:t>
      </w:r>
      <w:r w:rsidR="00FB6E84" w:rsidRPr="00FA1A0F">
        <w:rPr>
          <w:rFonts w:ascii="Arial" w:hAnsi="Arial" w:cs="Arial"/>
          <w:sz w:val="18"/>
          <w:szCs w:val="18"/>
        </w:rPr>
        <w:t> </w:t>
      </w:r>
      <w:r w:rsidRPr="00FA1A0F">
        <w:rPr>
          <w:rFonts w:ascii="Arial" w:hAnsi="Arial" w:cs="Arial"/>
          <w:sz w:val="18"/>
          <w:szCs w:val="18"/>
        </w:rPr>
        <w:t>29 ci</w:t>
      </w:r>
      <w:r w:rsidR="00FA1A0F" w:rsidRPr="00FA1A0F">
        <w:rPr>
          <w:rFonts w:ascii="Arial" w:hAnsi="Arial" w:cs="Arial"/>
          <w:sz w:val="18"/>
          <w:szCs w:val="18"/>
        </w:rPr>
        <w:noBreakHyphen/>
      </w:r>
      <w:r w:rsidRPr="00FA1A0F">
        <w:rPr>
          <w:rFonts w:ascii="Arial" w:hAnsi="Arial" w:cs="Arial"/>
          <w:sz w:val="18"/>
          <w:szCs w:val="18"/>
        </w:rPr>
        <w:t>dessous.</w:t>
      </w:r>
    </w:p>
  </w:footnote>
  <w:footnote w:id="43">
    <w:p w14:paraId="1FB872C8" w14:textId="097990FD" w:rsidR="0033027D" w:rsidRPr="00FA1A0F" w:rsidRDefault="0033027D" w:rsidP="00FA1A0F">
      <w:pPr>
        <w:pStyle w:val="FootnoteText"/>
        <w:spacing w:before="120" w:after="120"/>
        <w:jc w:val="both"/>
        <w:rPr>
          <w:szCs w:val="18"/>
          <w:lang w:val="fr-FR"/>
        </w:rPr>
      </w:pPr>
      <w:r w:rsidRPr="00FA1A0F">
        <w:rPr>
          <w:rStyle w:val="FootnoteReference"/>
          <w:szCs w:val="18"/>
        </w:rPr>
        <w:footnoteRef/>
      </w:r>
      <w:r w:rsidRPr="00FA1A0F">
        <w:rPr>
          <w:szCs w:val="18"/>
          <w:lang w:val="fr-FR"/>
        </w:rPr>
        <w:t xml:space="preserve"> </w:t>
      </w:r>
      <w:r w:rsidR="009F2340" w:rsidRPr="00FA1A0F">
        <w:rPr>
          <w:szCs w:val="18"/>
          <w:lang w:val="fr-FR"/>
        </w:rPr>
        <w:tab/>
      </w:r>
      <w:r w:rsidR="00E51E61" w:rsidRPr="00FA1A0F">
        <w:rPr>
          <w:szCs w:val="18"/>
          <w:lang w:val="fr-FR"/>
        </w:rPr>
        <w:t>Voir</w:t>
      </w:r>
      <w:r w:rsidRPr="00FA1A0F">
        <w:rPr>
          <w:szCs w:val="18"/>
          <w:lang w:val="fr-FR"/>
        </w:rPr>
        <w:t xml:space="preserve">, </w:t>
      </w:r>
      <w:r w:rsidR="00E51E61" w:rsidRPr="00FA1A0F">
        <w:rPr>
          <w:szCs w:val="18"/>
          <w:lang w:val="fr-FR"/>
        </w:rPr>
        <w:t>pa</w:t>
      </w:r>
      <w:r w:rsidRPr="00FA1A0F">
        <w:rPr>
          <w:szCs w:val="18"/>
          <w:lang w:val="fr-FR"/>
        </w:rPr>
        <w:t>r ex</w:t>
      </w:r>
      <w:r w:rsidR="00E51E61" w:rsidRPr="00FA1A0F">
        <w:rPr>
          <w:szCs w:val="18"/>
          <w:lang w:val="fr-FR"/>
        </w:rPr>
        <w:t>e</w:t>
      </w:r>
      <w:r w:rsidRPr="00FA1A0F">
        <w:rPr>
          <w:szCs w:val="18"/>
          <w:lang w:val="fr-FR"/>
        </w:rPr>
        <w:t>mple, Australi</w:t>
      </w:r>
      <w:r w:rsidR="00E51E61" w:rsidRPr="00FA1A0F">
        <w:rPr>
          <w:szCs w:val="18"/>
          <w:lang w:val="fr-FR"/>
        </w:rPr>
        <w:t>e</w:t>
      </w:r>
      <w:r w:rsidRPr="00FA1A0F">
        <w:rPr>
          <w:szCs w:val="18"/>
          <w:lang w:val="fr-FR"/>
        </w:rPr>
        <w:t xml:space="preserve">, </w:t>
      </w:r>
      <w:r w:rsidR="005921AE">
        <w:rPr>
          <w:szCs w:val="18"/>
          <w:lang w:val="fr-FR"/>
        </w:rPr>
        <w:t>l</w:t>
      </w:r>
      <w:r w:rsidR="00E51E61" w:rsidRPr="00FA1A0F">
        <w:rPr>
          <w:szCs w:val="18"/>
          <w:lang w:val="fr-FR"/>
        </w:rPr>
        <w:t xml:space="preserve">oi </w:t>
      </w:r>
      <w:r w:rsidR="00877692" w:rsidRPr="00FA1A0F">
        <w:rPr>
          <w:szCs w:val="18"/>
          <w:lang w:val="fr-FR"/>
        </w:rPr>
        <w:t>de 1968</w:t>
      </w:r>
      <w:r w:rsidR="00E51E61" w:rsidRPr="00FA1A0F">
        <w:rPr>
          <w:szCs w:val="18"/>
          <w:lang w:val="fr-FR"/>
        </w:rPr>
        <w:t xml:space="preserve"> sur le droit d</w:t>
      </w:r>
      <w:r w:rsidR="00F346B2" w:rsidRPr="00FA1A0F">
        <w:rPr>
          <w:szCs w:val="18"/>
          <w:lang w:val="fr-FR"/>
        </w:rPr>
        <w:t>’</w:t>
      </w:r>
      <w:r w:rsidR="00E51E61" w:rsidRPr="00FA1A0F">
        <w:rPr>
          <w:szCs w:val="18"/>
          <w:lang w:val="fr-FR"/>
        </w:rPr>
        <w:t>auteur</w:t>
      </w:r>
      <w:r w:rsidRPr="00FA1A0F">
        <w:rPr>
          <w:szCs w:val="18"/>
          <w:lang w:val="fr-FR"/>
        </w:rPr>
        <w:t xml:space="preserve">, </w:t>
      </w:r>
      <w:r w:rsidR="00E51E61" w:rsidRPr="00FA1A0F">
        <w:rPr>
          <w:szCs w:val="18"/>
          <w:lang w:val="fr-FR"/>
        </w:rPr>
        <w:t>article </w:t>
      </w:r>
      <w:r w:rsidRPr="00FA1A0F">
        <w:rPr>
          <w:szCs w:val="18"/>
          <w:lang w:val="fr-FR"/>
        </w:rPr>
        <w:t>10</w:t>
      </w:r>
      <w:r w:rsidR="00E51E61" w:rsidRPr="00FA1A0F">
        <w:rPr>
          <w:szCs w:val="18"/>
          <w:lang w:val="fr-FR"/>
        </w:rPr>
        <w:t>.</w:t>
      </w:r>
      <w:r w:rsidRPr="00FA1A0F">
        <w:rPr>
          <w:szCs w:val="18"/>
          <w:lang w:val="fr-FR"/>
        </w:rPr>
        <w:t>1) (d</w:t>
      </w:r>
      <w:r w:rsidR="00E51E61" w:rsidRPr="00FA1A0F">
        <w:rPr>
          <w:szCs w:val="18"/>
          <w:lang w:val="fr-FR"/>
        </w:rPr>
        <w:t>é</w:t>
      </w:r>
      <w:r w:rsidRPr="00FA1A0F">
        <w:rPr>
          <w:szCs w:val="18"/>
          <w:lang w:val="fr-FR"/>
        </w:rPr>
        <w:t xml:space="preserve">finition </w:t>
      </w:r>
      <w:r w:rsidR="00E51E61" w:rsidRPr="00FA1A0F">
        <w:rPr>
          <w:szCs w:val="18"/>
          <w:lang w:val="fr-FR"/>
        </w:rPr>
        <w:t>d</w:t>
      </w:r>
      <w:r w:rsidR="00F346B2" w:rsidRPr="00FA1A0F">
        <w:rPr>
          <w:szCs w:val="18"/>
          <w:lang w:val="fr-FR"/>
        </w:rPr>
        <w:t>’</w:t>
      </w:r>
      <w:r w:rsidR="00E51E61" w:rsidRPr="00FA1A0F">
        <w:rPr>
          <w:szCs w:val="18"/>
          <w:lang w:val="fr-FR"/>
        </w:rPr>
        <w:t>“œuvre artistique”</w:t>
      </w:r>
      <w:r w:rsidRPr="00FA1A0F">
        <w:rPr>
          <w:szCs w:val="18"/>
          <w:lang w:val="fr-FR"/>
        </w:rPr>
        <w:t xml:space="preserve">, </w:t>
      </w:r>
      <w:r w:rsidR="00877692" w:rsidRPr="00FA1A0F">
        <w:rPr>
          <w:szCs w:val="18"/>
          <w:lang w:val="fr-FR"/>
        </w:rPr>
        <w:t>alinéa b)</w:t>
      </w:r>
      <w:r w:rsidR="00F346B2" w:rsidRPr="00FA1A0F">
        <w:rPr>
          <w:szCs w:val="18"/>
          <w:lang w:val="fr-FR"/>
        </w:rPr>
        <w:t> :</w:t>
      </w:r>
      <w:r w:rsidRPr="00FA1A0F">
        <w:rPr>
          <w:szCs w:val="18"/>
          <w:lang w:val="fr-FR"/>
        </w:rPr>
        <w:t xml:space="preserve"> </w:t>
      </w:r>
      <w:r w:rsidR="00E51E61" w:rsidRPr="00FA1A0F">
        <w:rPr>
          <w:szCs w:val="18"/>
          <w:lang w:val="fr-FR"/>
        </w:rPr>
        <w:t xml:space="preserve">“un bâtiment ou </w:t>
      </w:r>
      <w:r w:rsidRPr="00FA1A0F">
        <w:rPr>
          <w:szCs w:val="18"/>
          <w:lang w:val="fr-FR"/>
        </w:rPr>
        <w:t>mod</w:t>
      </w:r>
      <w:r w:rsidR="00E51E61" w:rsidRPr="00FA1A0F">
        <w:rPr>
          <w:szCs w:val="18"/>
          <w:lang w:val="fr-FR"/>
        </w:rPr>
        <w:t>è</w:t>
      </w:r>
      <w:r w:rsidRPr="00FA1A0F">
        <w:rPr>
          <w:szCs w:val="18"/>
          <w:lang w:val="fr-FR"/>
        </w:rPr>
        <w:t>l</w:t>
      </w:r>
      <w:r w:rsidR="00E51E61" w:rsidRPr="00FA1A0F">
        <w:rPr>
          <w:szCs w:val="18"/>
          <w:lang w:val="fr-FR"/>
        </w:rPr>
        <w:t>e de</w:t>
      </w:r>
      <w:r w:rsidRPr="00FA1A0F">
        <w:rPr>
          <w:szCs w:val="18"/>
          <w:lang w:val="fr-FR"/>
        </w:rPr>
        <w:t xml:space="preserve"> </w:t>
      </w:r>
      <w:r w:rsidR="00E51E61" w:rsidRPr="00FA1A0F">
        <w:rPr>
          <w:szCs w:val="18"/>
          <w:lang w:val="fr-FR"/>
        </w:rPr>
        <w:t>bâtiment</w:t>
      </w:r>
      <w:r w:rsidRPr="00FA1A0F">
        <w:rPr>
          <w:szCs w:val="18"/>
          <w:lang w:val="fr-FR"/>
        </w:rPr>
        <w:t xml:space="preserve">, </w:t>
      </w:r>
      <w:r w:rsidR="00E51E61" w:rsidRPr="00FA1A0F">
        <w:rPr>
          <w:szCs w:val="18"/>
          <w:lang w:val="fr-FR"/>
        </w:rPr>
        <w:t>que le bâtiment</w:t>
      </w:r>
      <w:r w:rsidRPr="00FA1A0F">
        <w:rPr>
          <w:szCs w:val="18"/>
          <w:lang w:val="fr-FR"/>
        </w:rPr>
        <w:t xml:space="preserve"> </w:t>
      </w:r>
      <w:r w:rsidR="00E51E61" w:rsidRPr="00FA1A0F">
        <w:rPr>
          <w:szCs w:val="18"/>
          <w:lang w:val="fr-FR"/>
        </w:rPr>
        <w:t xml:space="preserve">ou modèle ait ou non une </w:t>
      </w:r>
      <w:r w:rsidRPr="00FA1A0F">
        <w:rPr>
          <w:szCs w:val="18"/>
          <w:lang w:val="fr-FR"/>
        </w:rPr>
        <w:t>qualit</w:t>
      </w:r>
      <w:r w:rsidR="00E51E61" w:rsidRPr="00FA1A0F">
        <w:rPr>
          <w:szCs w:val="18"/>
          <w:lang w:val="fr-FR"/>
        </w:rPr>
        <w:t>é</w:t>
      </w:r>
      <w:r w:rsidRPr="00FA1A0F">
        <w:rPr>
          <w:szCs w:val="18"/>
          <w:lang w:val="fr-FR"/>
        </w:rPr>
        <w:t xml:space="preserve"> </w:t>
      </w:r>
      <w:r w:rsidR="00E51E61" w:rsidRPr="00FA1A0F">
        <w:rPr>
          <w:szCs w:val="18"/>
          <w:lang w:val="fr-FR"/>
        </w:rPr>
        <w:t>artistique</w:t>
      </w:r>
      <w:r w:rsidR="0030289F" w:rsidRPr="00FA1A0F">
        <w:rPr>
          <w:szCs w:val="18"/>
          <w:lang w:val="fr-FR"/>
        </w:rPr>
        <w:t>”</w:t>
      </w:r>
      <w:r w:rsidRPr="00FA1A0F">
        <w:rPr>
          <w:szCs w:val="18"/>
          <w:lang w:val="fr-FR"/>
        </w:rPr>
        <w:t xml:space="preserve">); </w:t>
      </w:r>
      <w:r w:rsidR="007C2885" w:rsidRPr="00FA1A0F">
        <w:rPr>
          <w:szCs w:val="18"/>
          <w:lang w:val="fr-FR"/>
        </w:rPr>
        <w:t xml:space="preserve"> </w:t>
      </w:r>
      <w:r w:rsidRPr="00FA1A0F">
        <w:rPr>
          <w:szCs w:val="18"/>
          <w:lang w:val="fr-FR"/>
        </w:rPr>
        <w:t>compare</w:t>
      </w:r>
      <w:r w:rsidR="00E51E61" w:rsidRPr="00FA1A0F">
        <w:rPr>
          <w:szCs w:val="18"/>
          <w:lang w:val="fr-FR"/>
        </w:rPr>
        <w:t xml:space="preserve">r avec la </w:t>
      </w:r>
      <w:r w:rsidR="005921AE">
        <w:rPr>
          <w:szCs w:val="18"/>
          <w:lang w:val="fr-FR"/>
        </w:rPr>
        <w:t>l</w:t>
      </w:r>
      <w:r w:rsidR="00E51E61" w:rsidRPr="00FA1A0F">
        <w:rPr>
          <w:szCs w:val="18"/>
          <w:lang w:val="fr-FR"/>
        </w:rPr>
        <w:t>oi du Royaume</w:t>
      </w:r>
      <w:r w:rsidR="00FA1A0F" w:rsidRPr="00FA1A0F">
        <w:rPr>
          <w:szCs w:val="18"/>
          <w:lang w:val="fr-FR"/>
        </w:rPr>
        <w:noBreakHyphen/>
      </w:r>
      <w:r w:rsidR="00E51E61" w:rsidRPr="00FA1A0F">
        <w:rPr>
          <w:szCs w:val="18"/>
          <w:lang w:val="fr-FR"/>
        </w:rPr>
        <w:t>Uni</w:t>
      </w:r>
      <w:r w:rsidRPr="00FA1A0F">
        <w:rPr>
          <w:szCs w:val="18"/>
          <w:lang w:val="fr-FR"/>
        </w:rPr>
        <w:t xml:space="preserve"> </w:t>
      </w:r>
      <w:r w:rsidR="00877692" w:rsidRPr="00FA1A0F">
        <w:rPr>
          <w:szCs w:val="18"/>
          <w:lang w:val="fr-FR"/>
        </w:rPr>
        <w:t>de 1988</w:t>
      </w:r>
      <w:r w:rsidR="00E51E61" w:rsidRPr="00FA1A0F">
        <w:rPr>
          <w:szCs w:val="18"/>
          <w:lang w:val="fr-FR"/>
        </w:rPr>
        <w:t xml:space="preserve"> sur le droit d</w:t>
      </w:r>
      <w:r w:rsidR="00F346B2" w:rsidRPr="00FA1A0F">
        <w:rPr>
          <w:szCs w:val="18"/>
          <w:lang w:val="fr-FR"/>
        </w:rPr>
        <w:t>’</w:t>
      </w:r>
      <w:r w:rsidR="00E51E61" w:rsidRPr="00FA1A0F">
        <w:rPr>
          <w:szCs w:val="18"/>
          <w:lang w:val="fr-FR"/>
        </w:rPr>
        <w:t>auteur</w:t>
      </w:r>
      <w:r w:rsidRPr="00FA1A0F">
        <w:rPr>
          <w:szCs w:val="18"/>
          <w:lang w:val="fr-FR"/>
        </w:rPr>
        <w:t xml:space="preserve">, </w:t>
      </w:r>
      <w:r w:rsidR="00E51E61" w:rsidRPr="00FA1A0F">
        <w:rPr>
          <w:szCs w:val="18"/>
          <w:lang w:val="fr-FR"/>
        </w:rPr>
        <w:t>les dessins et modèles et les brevets</w:t>
      </w:r>
      <w:r w:rsidRPr="00FA1A0F">
        <w:rPr>
          <w:szCs w:val="18"/>
          <w:lang w:val="fr-FR"/>
        </w:rPr>
        <w:t xml:space="preserve">, </w:t>
      </w:r>
      <w:r w:rsidR="00E51E61" w:rsidRPr="00FA1A0F">
        <w:rPr>
          <w:szCs w:val="18"/>
          <w:lang w:val="fr-FR"/>
        </w:rPr>
        <w:t xml:space="preserve">article </w:t>
      </w:r>
      <w:r w:rsidRPr="00FA1A0F">
        <w:rPr>
          <w:szCs w:val="18"/>
          <w:lang w:val="fr-FR"/>
        </w:rPr>
        <w:t>4</w:t>
      </w:r>
      <w:r w:rsidR="00E51E61" w:rsidRPr="00FA1A0F">
        <w:rPr>
          <w:szCs w:val="18"/>
          <w:lang w:val="fr-FR"/>
        </w:rPr>
        <w:t>.</w:t>
      </w:r>
      <w:r w:rsidRPr="00FA1A0F">
        <w:rPr>
          <w:szCs w:val="18"/>
          <w:lang w:val="fr-FR"/>
        </w:rPr>
        <w:t>1)b)</w:t>
      </w:r>
      <w:r w:rsidR="00E51E61" w:rsidRPr="00FA1A0F">
        <w:rPr>
          <w:szCs w:val="18"/>
          <w:lang w:val="fr-FR"/>
        </w:rPr>
        <w:t>,</w:t>
      </w:r>
      <w:r w:rsidRPr="00FA1A0F">
        <w:rPr>
          <w:szCs w:val="18"/>
          <w:lang w:val="fr-FR"/>
        </w:rPr>
        <w:t xml:space="preserve"> </w:t>
      </w:r>
      <w:r w:rsidR="00E51E61" w:rsidRPr="00FA1A0F">
        <w:rPr>
          <w:szCs w:val="18"/>
          <w:lang w:val="fr-FR"/>
        </w:rPr>
        <w:t>qui renvoie à une “œuvre d</w:t>
      </w:r>
      <w:r w:rsidR="00F346B2" w:rsidRPr="00FA1A0F">
        <w:rPr>
          <w:szCs w:val="18"/>
          <w:lang w:val="fr-FR"/>
        </w:rPr>
        <w:t>’</w:t>
      </w:r>
      <w:r w:rsidRPr="00FA1A0F">
        <w:rPr>
          <w:szCs w:val="18"/>
          <w:lang w:val="fr-FR"/>
        </w:rPr>
        <w:t xml:space="preserve">architecture </w:t>
      </w:r>
      <w:r w:rsidR="00E51E61" w:rsidRPr="00FA1A0F">
        <w:rPr>
          <w:szCs w:val="18"/>
          <w:lang w:val="fr-FR"/>
        </w:rPr>
        <w:t xml:space="preserve">consistant en un bâtiment ou modèle de bâtiment” et </w:t>
      </w:r>
      <w:r w:rsidRPr="00FA1A0F">
        <w:rPr>
          <w:szCs w:val="18"/>
          <w:lang w:val="fr-FR"/>
        </w:rPr>
        <w:t>d</w:t>
      </w:r>
      <w:r w:rsidR="00E51E61" w:rsidRPr="00FA1A0F">
        <w:rPr>
          <w:szCs w:val="18"/>
          <w:lang w:val="fr-FR"/>
        </w:rPr>
        <w:t>é</w:t>
      </w:r>
      <w:r w:rsidRPr="00FA1A0F">
        <w:rPr>
          <w:szCs w:val="18"/>
          <w:lang w:val="fr-FR"/>
        </w:rPr>
        <w:t>fin</w:t>
      </w:r>
      <w:r w:rsidR="00E51E61" w:rsidRPr="00FA1A0F">
        <w:rPr>
          <w:szCs w:val="18"/>
          <w:lang w:val="fr-FR"/>
        </w:rPr>
        <w:t>it le</w:t>
      </w:r>
      <w:r w:rsidRPr="00FA1A0F">
        <w:rPr>
          <w:szCs w:val="18"/>
          <w:lang w:val="fr-FR"/>
        </w:rPr>
        <w:t xml:space="preserve"> </w:t>
      </w:r>
      <w:r w:rsidR="00E51E61" w:rsidRPr="00FA1A0F">
        <w:rPr>
          <w:szCs w:val="18"/>
          <w:lang w:val="fr-FR"/>
        </w:rPr>
        <w:t>“bâtiment”</w:t>
      </w:r>
      <w:r w:rsidRPr="00FA1A0F">
        <w:rPr>
          <w:szCs w:val="18"/>
          <w:lang w:val="fr-FR"/>
        </w:rPr>
        <w:t xml:space="preserve"> </w:t>
      </w:r>
      <w:r w:rsidR="00E51E61" w:rsidRPr="00FA1A0F">
        <w:rPr>
          <w:szCs w:val="18"/>
          <w:lang w:val="fr-FR"/>
        </w:rPr>
        <w:t>comme incluant “</w:t>
      </w:r>
      <w:r w:rsidR="00E51E61" w:rsidRPr="00FA1A0F">
        <w:rPr>
          <w:color w:val="000000"/>
          <w:szCs w:val="18"/>
          <w:shd w:val="clear" w:color="auto" w:fill="FFFFFF"/>
          <w:lang w:val="fr-FR"/>
        </w:rPr>
        <w:t>toute structure fixe et toute partie d</w:t>
      </w:r>
      <w:r w:rsidR="00F346B2" w:rsidRPr="00FA1A0F">
        <w:rPr>
          <w:color w:val="000000"/>
          <w:szCs w:val="18"/>
          <w:shd w:val="clear" w:color="auto" w:fill="FFFFFF"/>
          <w:lang w:val="fr-FR"/>
        </w:rPr>
        <w:t>’</w:t>
      </w:r>
      <w:r w:rsidR="00E51E61" w:rsidRPr="00FA1A0F">
        <w:rPr>
          <w:color w:val="000000"/>
          <w:szCs w:val="18"/>
          <w:shd w:val="clear" w:color="auto" w:fill="FFFFFF"/>
          <w:lang w:val="fr-FR"/>
        </w:rPr>
        <w:t>un bâtiment ou d</w:t>
      </w:r>
      <w:r w:rsidR="00F346B2" w:rsidRPr="00FA1A0F">
        <w:rPr>
          <w:color w:val="000000"/>
          <w:szCs w:val="18"/>
          <w:shd w:val="clear" w:color="auto" w:fill="FFFFFF"/>
          <w:lang w:val="fr-FR"/>
        </w:rPr>
        <w:t>’</w:t>
      </w:r>
      <w:r w:rsidR="00E51E61" w:rsidRPr="00FA1A0F">
        <w:rPr>
          <w:color w:val="000000"/>
          <w:szCs w:val="18"/>
          <w:shd w:val="clear" w:color="auto" w:fill="FFFFFF"/>
          <w:lang w:val="fr-FR"/>
        </w:rPr>
        <w:t>une structure fixe”</w:t>
      </w:r>
      <w:r w:rsidRPr="00FA1A0F">
        <w:rPr>
          <w:color w:val="000000"/>
          <w:szCs w:val="18"/>
          <w:shd w:val="clear" w:color="auto" w:fill="FFFFFF"/>
          <w:lang w:val="fr-FR"/>
        </w:rPr>
        <w:t>.</w:t>
      </w:r>
    </w:p>
  </w:footnote>
  <w:footnote w:id="44">
    <w:p w14:paraId="14C55890" w14:textId="325F3A13"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004E5742" w:rsidRPr="00FA1A0F">
        <w:rPr>
          <w:szCs w:val="18"/>
        </w:rPr>
        <w:tab/>
      </w:r>
      <w:r w:rsidRPr="00FA1A0F">
        <w:rPr>
          <w:szCs w:val="18"/>
        </w:rPr>
        <w:t>Voir, par exemple, la vente de l</w:t>
      </w:r>
      <w:r w:rsidR="00F346B2" w:rsidRPr="00FA1A0F">
        <w:rPr>
          <w:szCs w:val="18"/>
        </w:rPr>
        <w:t>’</w:t>
      </w:r>
      <w:r w:rsidRPr="00FA1A0F">
        <w:rPr>
          <w:szCs w:val="18"/>
        </w:rPr>
        <w:t>œuvre d</w:t>
      </w:r>
      <w:r w:rsidR="00F346B2" w:rsidRPr="00FA1A0F">
        <w:rPr>
          <w:szCs w:val="18"/>
        </w:rPr>
        <w:t>’</w:t>
      </w:r>
      <w:r w:rsidRPr="00FA1A0F">
        <w:rPr>
          <w:szCs w:val="18"/>
        </w:rPr>
        <w:t>art Beeple</w:t>
      </w:r>
      <w:r w:rsidR="00F346B2" w:rsidRPr="00FA1A0F">
        <w:rPr>
          <w:szCs w:val="18"/>
        </w:rPr>
        <w:t>’</w:t>
      </w:r>
      <w:r w:rsidRPr="00FA1A0F">
        <w:rPr>
          <w:szCs w:val="18"/>
        </w:rPr>
        <w:t>s Everydays</w:t>
      </w:r>
      <w:r w:rsidR="00F346B2" w:rsidRPr="00FA1A0F">
        <w:rPr>
          <w:szCs w:val="18"/>
        </w:rPr>
        <w:t>:</w:t>
      </w:r>
      <w:r w:rsidRPr="00FA1A0F">
        <w:rPr>
          <w:szCs w:val="18"/>
        </w:rPr>
        <w:t xml:space="preserve"> The First</w:t>
      </w:r>
      <w:r w:rsidR="0030289F" w:rsidRPr="00FA1A0F">
        <w:rPr>
          <w:szCs w:val="18"/>
        </w:rPr>
        <w:t> </w:t>
      </w:r>
      <w:r w:rsidRPr="00FA1A0F">
        <w:rPr>
          <w:szCs w:val="18"/>
        </w:rPr>
        <w:t>5000 Days (2021) pour 69,</w:t>
      </w:r>
      <w:r w:rsidR="00EC24F5" w:rsidRPr="00FA1A0F">
        <w:rPr>
          <w:szCs w:val="18"/>
        </w:rPr>
        <w:t>3 million</w:t>
      </w:r>
      <w:r w:rsidRPr="00FA1A0F">
        <w:rPr>
          <w:szCs w:val="18"/>
        </w:rPr>
        <w:t>s de dollars</w:t>
      </w:r>
      <w:r w:rsidR="00FB6E84" w:rsidRPr="00FA1A0F">
        <w:rPr>
          <w:szCs w:val="18"/>
        </w:rPr>
        <w:t> </w:t>
      </w:r>
      <w:r w:rsidRPr="00FA1A0F">
        <w:rPr>
          <w:szCs w:val="18"/>
        </w:rPr>
        <w:t>É.</w:t>
      </w:r>
      <w:r w:rsidR="00FA1A0F" w:rsidRPr="00FA1A0F">
        <w:rPr>
          <w:szCs w:val="18"/>
        </w:rPr>
        <w:noBreakHyphen/>
      </w:r>
      <w:r w:rsidRPr="00FA1A0F">
        <w:rPr>
          <w:szCs w:val="18"/>
        </w:rPr>
        <w:t>U., première vente aux enchères d</w:t>
      </w:r>
      <w:r w:rsidR="00F346B2" w:rsidRPr="00FA1A0F">
        <w:rPr>
          <w:szCs w:val="18"/>
        </w:rPr>
        <w:t>’</w:t>
      </w:r>
      <w:r w:rsidRPr="00FA1A0F">
        <w:rPr>
          <w:szCs w:val="18"/>
        </w:rPr>
        <w:t>une œuvre en jetons non fongibles par une maison de vente aux enchères classique (Christie</w:t>
      </w:r>
      <w:r w:rsidR="00F346B2" w:rsidRPr="00FA1A0F">
        <w:rPr>
          <w:szCs w:val="18"/>
        </w:rPr>
        <w:t>’</w:t>
      </w:r>
      <w:r w:rsidRPr="00FA1A0F">
        <w:rPr>
          <w:szCs w:val="18"/>
        </w:rPr>
        <w:t xml:space="preserve">s); </w:t>
      </w:r>
      <w:r w:rsidR="00FB6E84" w:rsidRPr="00FA1A0F">
        <w:rPr>
          <w:szCs w:val="18"/>
        </w:rPr>
        <w:t xml:space="preserve"> </w:t>
      </w:r>
      <w:r w:rsidRPr="00FA1A0F">
        <w:rPr>
          <w:szCs w:val="18"/>
        </w:rPr>
        <w:t xml:space="preserve">voir </w:t>
      </w:r>
      <w:r w:rsidR="00D53C0A" w:rsidRPr="00FA1A0F">
        <w:rPr>
          <w:szCs w:val="18"/>
        </w:rPr>
        <w:t>également J</w:t>
      </w:r>
      <w:r w:rsidRPr="00FA1A0F">
        <w:rPr>
          <w:color w:val="1C1C1B"/>
          <w:szCs w:val="18"/>
        </w:rPr>
        <w:t xml:space="preserve"> Kastrenakes, </w:t>
      </w:r>
      <w:r w:rsidR="0030289F" w:rsidRPr="00FA1A0F">
        <w:rPr>
          <w:color w:val="1C1C1B"/>
          <w:szCs w:val="18"/>
        </w:rPr>
        <w:t>“</w:t>
      </w:r>
      <w:r w:rsidRPr="00FA1A0F">
        <w:rPr>
          <w:color w:val="1C1C1B"/>
          <w:szCs w:val="18"/>
        </w:rPr>
        <w:t>Beeple sold an NFT for $6</w:t>
      </w:r>
      <w:r w:rsidR="00EC24F5" w:rsidRPr="00FA1A0F">
        <w:rPr>
          <w:color w:val="1C1C1B"/>
          <w:szCs w:val="18"/>
        </w:rPr>
        <w:t>9 million</w:t>
      </w:r>
      <w:r w:rsidRPr="00FA1A0F">
        <w:rPr>
          <w:color w:val="1C1C1B"/>
          <w:szCs w:val="18"/>
        </w:rPr>
        <w:t>, Through a first</w:t>
      </w:r>
      <w:r w:rsidR="00FA1A0F" w:rsidRPr="00FA1A0F">
        <w:rPr>
          <w:color w:val="1C1C1B"/>
          <w:szCs w:val="18"/>
        </w:rPr>
        <w:noBreakHyphen/>
      </w:r>
      <w:r w:rsidRPr="00FA1A0F">
        <w:rPr>
          <w:color w:val="1C1C1B"/>
          <w:szCs w:val="18"/>
        </w:rPr>
        <w:t>of</w:t>
      </w:r>
      <w:r w:rsidR="00FA1A0F" w:rsidRPr="00FA1A0F">
        <w:rPr>
          <w:color w:val="1C1C1B"/>
          <w:szCs w:val="18"/>
        </w:rPr>
        <w:noBreakHyphen/>
      </w:r>
      <w:r w:rsidRPr="00FA1A0F">
        <w:rPr>
          <w:color w:val="1C1C1B"/>
          <w:szCs w:val="18"/>
        </w:rPr>
        <w:t>its</w:t>
      </w:r>
      <w:r w:rsidR="00FA1A0F" w:rsidRPr="00FA1A0F">
        <w:rPr>
          <w:color w:val="1C1C1B"/>
          <w:szCs w:val="18"/>
        </w:rPr>
        <w:noBreakHyphen/>
      </w:r>
      <w:r w:rsidRPr="00FA1A0F">
        <w:rPr>
          <w:color w:val="1C1C1B"/>
          <w:szCs w:val="18"/>
        </w:rPr>
        <w:t>kind auction at Christie</w:t>
      </w:r>
      <w:r w:rsidR="00F346B2" w:rsidRPr="00FA1A0F">
        <w:rPr>
          <w:color w:val="1C1C1B"/>
          <w:szCs w:val="18"/>
        </w:rPr>
        <w:t>’</w:t>
      </w:r>
      <w:r w:rsidRPr="00FA1A0F">
        <w:rPr>
          <w:color w:val="1C1C1B"/>
          <w:szCs w:val="18"/>
        </w:rPr>
        <w:t>s</w:t>
      </w:r>
      <w:r w:rsidR="0030289F" w:rsidRPr="00FA1A0F">
        <w:rPr>
          <w:color w:val="1C1C1B"/>
          <w:szCs w:val="18"/>
        </w:rPr>
        <w:t>”</w:t>
      </w:r>
      <w:r w:rsidRPr="00FA1A0F">
        <w:rPr>
          <w:color w:val="1C1C1B"/>
          <w:szCs w:val="18"/>
        </w:rPr>
        <w:t>, 1</w:t>
      </w:r>
      <w:r w:rsidR="00EC24F5" w:rsidRPr="00FA1A0F">
        <w:rPr>
          <w:color w:val="1C1C1B"/>
          <w:szCs w:val="18"/>
        </w:rPr>
        <w:t>2 mars 20</w:t>
      </w:r>
      <w:r w:rsidRPr="00FA1A0F">
        <w:rPr>
          <w:color w:val="1C1C1B"/>
          <w:szCs w:val="18"/>
        </w:rPr>
        <w:t xml:space="preserve">21, </w:t>
      </w:r>
      <w:r w:rsidRPr="00FA1A0F">
        <w:rPr>
          <w:i/>
          <w:iCs/>
          <w:color w:val="1C1C1B"/>
          <w:szCs w:val="18"/>
        </w:rPr>
        <w:t>The Verge</w:t>
      </w:r>
      <w:r w:rsidRPr="00FA1A0F">
        <w:rPr>
          <w:color w:val="1C1C1B"/>
          <w:szCs w:val="18"/>
        </w:rPr>
        <w:t>, à l</w:t>
      </w:r>
      <w:r w:rsidR="00F346B2" w:rsidRPr="00FA1A0F">
        <w:rPr>
          <w:color w:val="1C1C1B"/>
          <w:szCs w:val="18"/>
        </w:rPr>
        <w:t>’</w:t>
      </w:r>
      <w:r w:rsidRPr="00FA1A0F">
        <w:rPr>
          <w:color w:val="1C1C1B"/>
          <w:szCs w:val="18"/>
        </w:rPr>
        <w:t xml:space="preserve">adresse </w:t>
      </w:r>
      <w:hyperlink r:id="rId5" w:history="1">
        <w:r w:rsidRPr="00FA1A0F">
          <w:rPr>
            <w:rStyle w:val="Hyperlink"/>
            <w:szCs w:val="18"/>
          </w:rPr>
          <w:t>https://www.theverge.com/2021/3/11/22325054/beeple</w:t>
        </w:r>
        <w:r w:rsidR="00FA1A0F" w:rsidRPr="00FA1A0F">
          <w:rPr>
            <w:rStyle w:val="Hyperlink"/>
            <w:szCs w:val="18"/>
          </w:rPr>
          <w:noBreakHyphen/>
        </w:r>
        <w:r w:rsidRPr="00FA1A0F">
          <w:rPr>
            <w:rStyle w:val="Hyperlink"/>
            <w:szCs w:val="18"/>
          </w:rPr>
          <w:t>christies</w:t>
        </w:r>
        <w:r w:rsidR="00FA1A0F" w:rsidRPr="00FA1A0F">
          <w:rPr>
            <w:rStyle w:val="Hyperlink"/>
            <w:szCs w:val="18"/>
          </w:rPr>
          <w:noBreakHyphen/>
        </w:r>
        <w:r w:rsidRPr="00FA1A0F">
          <w:rPr>
            <w:rStyle w:val="Hyperlink"/>
            <w:szCs w:val="18"/>
          </w:rPr>
          <w:t>nft</w:t>
        </w:r>
        <w:r w:rsidR="00FA1A0F" w:rsidRPr="00FA1A0F">
          <w:rPr>
            <w:rStyle w:val="Hyperlink"/>
            <w:szCs w:val="18"/>
          </w:rPr>
          <w:noBreakHyphen/>
        </w:r>
        <w:r w:rsidRPr="00FA1A0F">
          <w:rPr>
            <w:rStyle w:val="Hyperlink"/>
            <w:szCs w:val="18"/>
          </w:rPr>
          <w:t>sale</w:t>
        </w:r>
        <w:r w:rsidR="00FA1A0F" w:rsidRPr="00FA1A0F">
          <w:rPr>
            <w:rStyle w:val="Hyperlink"/>
            <w:szCs w:val="18"/>
          </w:rPr>
          <w:noBreakHyphen/>
        </w:r>
        <w:r w:rsidRPr="00FA1A0F">
          <w:rPr>
            <w:rStyle w:val="Hyperlink"/>
            <w:szCs w:val="18"/>
          </w:rPr>
          <w:t>cost</w:t>
        </w:r>
        <w:r w:rsidR="00FA1A0F" w:rsidRPr="00FA1A0F">
          <w:rPr>
            <w:rStyle w:val="Hyperlink"/>
            <w:szCs w:val="18"/>
          </w:rPr>
          <w:noBreakHyphen/>
        </w:r>
        <w:r w:rsidRPr="00FA1A0F">
          <w:rPr>
            <w:rStyle w:val="Hyperlink"/>
            <w:szCs w:val="18"/>
          </w:rPr>
          <w:t>everydays</w:t>
        </w:r>
        <w:r w:rsidR="00FA1A0F" w:rsidRPr="00FA1A0F">
          <w:rPr>
            <w:rStyle w:val="Hyperlink"/>
            <w:szCs w:val="18"/>
          </w:rPr>
          <w:noBreakHyphen/>
        </w:r>
        <w:r w:rsidRPr="00FA1A0F">
          <w:rPr>
            <w:rStyle w:val="Hyperlink"/>
            <w:szCs w:val="18"/>
          </w:rPr>
          <w:t>69</w:t>
        </w:r>
        <w:r w:rsidR="00FA1A0F" w:rsidRPr="00FA1A0F">
          <w:rPr>
            <w:rStyle w:val="Hyperlink"/>
            <w:szCs w:val="18"/>
          </w:rPr>
          <w:noBreakHyphen/>
        </w:r>
        <w:r w:rsidRPr="00FA1A0F">
          <w:rPr>
            <w:rStyle w:val="Hyperlink"/>
            <w:szCs w:val="18"/>
          </w:rPr>
          <w:t>million</w:t>
        </w:r>
      </w:hyperlink>
      <w:r w:rsidRPr="00FA1A0F">
        <w:rPr>
          <w:szCs w:val="18"/>
        </w:rPr>
        <w:t xml:space="preserve"> (consulté le 3</w:t>
      </w:r>
      <w:r w:rsidR="00EC24F5" w:rsidRPr="00FA1A0F">
        <w:rPr>
          <w:szCs w:val="18"/>
        </w:rPr>
        <w:t>1 janvier 20</w:t>
      </w:r>
      <w:r w:rsidRPr="00FA1A0F">
        <w:rPr>
          <w:szCs w:val="18"/>
        </w:rPr>
        <w:t>25).</w:t>
      </w:r>
    </w:p>
  </w:footnote>
  <w:footnote w:id="45">
    <w:p w14:paraId="71E35823" w14:textId="65247B97"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Pour une disposition nationale similaire, voir Sénégal, loi n° 2008</w:t>
      </w:r>
      <w:r w:rsidR="00FA1A0F" w:rsidRPr="00FA1A0F">
        <w:rPr>
          <w:rFonts w:ascii="Arial" w:hAnsi="Arial" w:cs="Arial"/>
          <w:sz w:val="18"/>
          <w:szCs w:val="18"/>
        </w:rPr>
        <w:noBreakHyphen/>
      </w:r>
      <w:r w:rsidRPr="00FA1A0F">
        <w:rPr>
          <w:rFonts w:ascii="Arial" w:hAnsi="Arial" w:cs="Arial"/>
          <w:sz w:val="18"/>
          <w:szCs w:val="18"/>
        </w:rPr>
        <w:t>09 du 25 janvier 2008 sur le droit d</w:t>
      </w:r>
      <w:r w:rsidR="00F346B2" w:rsidRPr="00FA1A0F">
        <w:rPr>
          <w:rFonts w:ascii="Arial" w:hAnsi="Arial" w:cs="Arial"/>
          <w:sz w:val="18"/>
          <w:szCs w:val="18"/>
        </w:rPr>
        <w:t>’</w:t>
      </w:r>
      <w:r w:rsidRPr="00FA1A0F">
        <w:rPr>
          <w:rFonts w:ascii="Arial" w:hAnsi="Arial" w:cs="Arial"/>
          <w:sz w:val="18"/>
          <w:szCs w:val="18"/>
        </w:rPr>
        <w:t>auteur et les droits voisins, article 47, qui fait référence aux “œuvres d</w:t>
      </w:r>
      <w:r w:rsidR="00F346B2" w:rsidRPr="00FA1A0F">
        <w:rPr>
          <w:rFonts w:ascii="Arial" w:hAnsi="Arial" w:cs="Arial"/>
          <w:sz w:val="18"/>
          <w:szCs w:val="18"/>
        </w:rPr>
        <w:t>’</w:t>
      </w:r>
      <w:r w:rsidRPr="00FA1A0F">
        <w:rPr>
          <w:rFonts w:ascii="Arial" w:hAnsi="Arial" w:cs="Arial"/>
          <w:sz w:val="18"/>
          <w:szCs w:val="18"/>
        </w:rPr>
        <w:t>art originales” et aux “manuscrits originaux des auteurs ou compositeurs”.  Un autre exemple se trouve à l</w:t>
      </w:r>
      <w:r w:rsidR="00F346B2" w:rsidRPr="00FA1A0F">
        <w:rPr>
          <w:rFonts w:ascii="Arial" w:hAnsi="Arial" w:cs="Arial"/>
          <w:sz w:val="18"/>
          <w:szCs w:val="18"/>
        </w:rPr>
        <w:t>’</w:t>
      </w:r>
      <w:r w:rsidRPr="00FA1A0F">
        <w:rPr>
          <w:rFonts w:ascii="Arial" w:hAnsi="Arial" w:cs="Arial"/>
          <w:sz w:val="18"/>
          <w:szCs w:val="18"/>
        </w:rPr>
        <w:t>article 31.1) et 2) de la loi de 2016 sur le droit d</w:t>
      </w:r>
      <w:r w:rsidR="00F346B2" w:rsidRPr="00FA1A0F">
        <w:rPr>
          <w:rFonts w:ascii="Arial" w:hAnsi="Arial" w:cs="Arial"/>
          <w:sz w:val="18"/>
          <w:szCs w:val="18"/>
        </w:rPr>
        <w:t>’</w:t>
      </w:r>
      <w:r w:rsidRPr="00FA1A0F">
        <w:rPr>
          <w:rFonts w:ascii="Arial" w:hAnsi="Arial" w:cs="Arial"/>
          <w:sz w:val="18"/>
          <w:szCs w:val="18"/>
        </w:rPr>
        <w:t>auteur du Malawi, qui fait référence aux “originaux” d</w:t>
      </w:r>
      <w:r w:rsidR="00F346B2" w:rsidRPr="00FA1A0F">
        <w:rPr>
          <w:rFonts w:ascii="Arial" w:hAnsi="Arial" w:cs="Arial"/>
          <w:sz w:val="18"/>
          <w:szCs w:val="18"/>
        </w:rPr>
        <w:t>’</w:t>
      </w:r>
      <w:r w:rsidRPr="00FA1A0F">
        <w:rPr>
          <w:rFonts w:ascii="Arial" w:hAnsi="Arial" w:cs="Arial"/>
          <w:sz w:val="18"/>
          <w:szCs w:val="18"/>
        </w:rPr>
        <w:t>une “œuvre graphique, d</w:t>
      </w:r>
      <w:r w:rsidR="00F346B2" w:rsidRPr="00FA1A0F">
        <w:rPr>
          <w:rFonts w:ascii="Arial" w:hAnsi="Arial" w:cs="Arial"/>
          <w:sz w:val="18"/>
          <w:szCs w:val="18"/>
        </w:rPr>
        <w:t>’</w:t>
      </w:r>
      <w:r w:rsidRPr="00FA1A0F">
        <w:rPr>
          <w:rFonts w:ascii="Arial" w:hAnsi="Arial" w:cs="Arial"/>
          <w:sz w:val="18"/>
          <w:szCs w:val="18"/>
        </w:rPr>
        <w:t>une œuvre tridimensionnelle et d</w:t>
      </w:r>
      <w:r w:rsidR="00F346B2" w:rsidRPr="00FA1A0F">
        <w:rPr>
          <w:rFonts w:ascii="Arial" w:hAnsi="Arial" w:cs="Arial"/>
          <w:sz w:val="18"/>
          <w:szCs w:val="18"/>
        </w:rPr>
        <w:t>’</w:t>
      </w:r>
      <w:r w:rsidRPr="00FA1A0F">
        <w:rPr>
          <w:rFonts w:ascii="Arial" w:hAnsi="Arial" w:cs="Arial"/>
          <w:sz w:val="18"/>
          <w:szCs w:val="18"/>
        </w:rPr>
        <w:t>un manuscrit”, tandis que la récente disposition saoudienne fait référence aux “œuvres et produits d</w:t>
      </w:r>
      <w:r w:rsidR="00F346B2" w:rsidRPr="00FA1A0F">
        <w:rPr>
          <w:rFonts w:ascii="Arial" w:hAnsi="Arial" w:cs="Arial"/>
          <w:sz w:val="18"/>
          <w:szCs w:val="18"/>
        </w:rPr>
        <w:t>’</w:t>
      </w:r>
      <w:r w:rsidRPr="00FA1A0F">
        <w:rPr>
          <w:rFonts w:ascii="Arial" w:hAnsi="Arial" w:cs="Arial"/>
          <w:sz w:val="18"/>
          <w:szCs w:val="18"/>
        </w:rPr>
        <w:t>art originaux et ceux des manuscrits musicaux originaux”.</w:t>
      </w:r>
    </w:p>
  </w:footnote>
  <w:footnote w:id="46">
    <w:p w14:paraId="39B93006" w14:textId="77777777"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Directive CE, article 1.1) et 2).</w:t>
      </w:r>
    </w:p>
  </w:footnote>
  <w:footnote w:id="47">
    <w:p w14:paraId="10743305" w14:textId="411C5B0D"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Suit la </w:t>
      </w:r>
      <w:r w:rsidR="005921AE">
        <w:rPr>
          <w:rFonts w:ascii="Arial" w:hAnsi="Arial" w:cs="Arial"/>
          <w:sz w:val="18"/>
          <w:szCs w:val="18"/>
        </w:rPr>
        <w:t>l</w:t>
      </w:r>
      <w:r w:rsidRPr="00FA1A0F">
        <w:rPr>
          <w:rFonts w:ascii="Arial" w:hAnsi="Arial" w:cs="Arial"/>
          <w:sz w:val="18"/>
          <w:szCs w:val="18"/>
        </w:rPr>
        <w:t>oi de l</w:t>
      </w:r>
      <w:r w:rsidR="00F346B2" w:rsidRPr="00FA1A0F">
        <w:rPr>
          <w:rFonts w:ascii="Arial" w:hAnsi="Arial" w:cs="Arial"/>
          <w:sz w:val="18"/>
          <w:szCs w:val="18"/>
        </w:rPr>
        <w:t>’</w:t>
      </w:r>
      <w:r w:rsidRPr="00FA1A0F">
        <w:rPr>
          <w:rFonts w:ascii="Arial" w:hAnsi="Arial" w:cs="Arial"/>
          <w:sz w:val="18"/>
          <w:szCs w:val="18"/>
        </w:rPr>
        <w:t xml:space="preserve">Australie </w:t>
      </w:r>
      <w:r w:rsidR="00EC24F5" w:rsidRPr="00FA1A0F">
        <w:rPr>
          <w:rFonts w:ascii="Arial" w:hAnsi="Arial" w:cs="Arial"/>
          <w:sz w:val="18"/>
          <w:szCs w:val="18"/>
        </w:rPr>
        <w:t>de 2009</w:t>
      </w:r>
      <w:r w:rsidRPr="00FA1A0F">
        <w:rPr>
          <w:rFonts w:ascii="Arial" w:hAnsi="Arial" w:cs="Arial"/>
          <w:sz w:val="18"/>
          <w:szCs w:val="18"/>
        </w:rPr>
        <w:t xml:space="preserve"> sur le droit de suite pour les artistes visuels, article 7.  Pour une liste plus courte, voir France, </w:t>
      </w:r>
      <w:r w:rsidR="005921AE">
        <w:rPr>
          <w:rFonts w:ascii="Arial" w:hAnsi="Arial" w:cs="Arial"/>
          <w:sz w:val="18"/>
          <w:szCs w:val="18"/>
        </w:rPr>
        <w:t>d</w:t>
      </w:r>
      <w:r w:rsidRPr="00FA1A0F">
        <w:rPr>
          <w:rFonts w:ascii="Arial" w:hAnsi="Arial" w:cs="Arial"/>
          <w:sz w:val="18"/>
          <w:szCs w:val="18"/>
        </w:rPr>
        <w:t>écret de 2007, article 122</w:t>
      </w:r>
      <w:r w:rsidR="00FA1A0F" w:rsidRPr="00FA1A0F">
        <w:rPr>
          <w:rFonts w:ascii="Arial" w:hAnsi="Arial" w:cs="Arial"/>
          <w:sz w:val="18"/>
          <w:szCs w:val="18"/>
        </w:rPr>
        <w:noBreakHyphen/>
      </w:r>
      <w:r w:rsidRPr="00FA1A0F">
        <w:rPr>
          <w:rFonts w:ascii="Arial" w:hAnsi="Arial" w:cs="Arial"/>
          <w:sz w:val="18"/>
          <w:szCs w:val="18"/>
        </w:rPr>
        <w:t>2, extrait du tableau</w:t>
      </w:r>
      <w:r w:rsidR="00FB6E84" w:rsidRPr="00FA1A0F">
        <w:rPr>
          <w:rFonts w:ascii="Arial" w:hAnsi="Arial" w:cs="Arial"/>
          <w:sz w:val="18"/>
          <w:szCs w:val="18"/>
        </w:rPr>
        <w:t> </w:t>
      </w:r>
      <w:r w:rsidRPr="00FA1A0F">
        <w:rPr>
          <w:rFonts w:ascii="Arial" w:hAnsi="Arial" w:cs="Arial"/>
          <w:sz w:val="18"/>
          <w:szCs w:val="18"/>
        </w:rPr>
        <w:t>29 ci</w:t>
      </w:r>
      <w:r w:rsidR="00FA1A0F" w:rsidRPr="00FA1A0F">
        <w:rPr>
          <w:rFonts w:ascii="Arial" w:hAnsi="Arial" w:cs="Arial"/>
          <w:sz w:val="18"/>
          <w:szCs w:val="18"/>
        </w:rPr>
        <w:noBreakHyphen/>
      </w:r>
      <w:r w:rsidRPr="00FA1A0F">
        <w:rPr>
          <w:rFonts w:ascii="Arial" w:hAnsi="Arial" w:cs="Arial"/>
          <w:sz w:val="18"/>
          <w:szCs w:val="18"/>
        </w:rPr>
        <w:t>dessous.</w:t>
      </w:r>
    </w:p>
  </w:footnote>
  <w:footnote w:id="48">
    <w:p w14:paraId="54D5FC50" w14:textId="146B1E6E"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 xml:space="preserve">Mexique, </w:t>
      </w:r>
      <w:r w:rsidR="005921AE">
        <w:rPr>
          <w:szCs w:val="18"/>
        </w:rPr>
        <w:t>l</w:t>
      </w:r>
      <w:r w:rsidRPr="00FA1A0F">
        <w:rPr>
          <w:szCs w:val="18"/>
        </w:rPr>
        <w:t xml:space="preserve">oi fédérale </w:t>
      </w:r>
      <w:r w:rsidR="00877692" w:rsidRPr="00FA1A0F">
        <w:rPr>
          <w:szCs w:val="18"/>
        </w:rPr>
        <w:t>de 1997</w:t>
      </w:r>
      <w:r w:rsidR="005D359B" w:rsidRPr="00FA1A0F">
        <w:rPr>
          <w:szCs w:val="18"/>
        </w:rPr>
        <w:t xml:space="preserve"> </w:t>
      </w:r>
      <w:r w:rsidRPr="00FA1A0F">
        <w:rPr>
          <w:szCs w:val="18"/>
        </w:rPr>
        <w:t>sur le droit d</w:t>
      </w:r>
      <w:r w:rsidR="00F346B2" w:rsidRPr="00FA1A0F">
        <w:rPr>
          <w:szCs w:val="18"/>
        </w:rPr>
        <w:t>’</w:t>
      </w:r>
      <w:r w:rsidRPr="00FA1A0F">
        <w:rPr>
          <w:szCs w:val="18"/>
        </w:rPr>
        <w:t xml:space="preserve">auteur, </w:t>
      </w:r>
      <w:r w:rsidR="00EC24F5" w:rsidRPr="00FA1A0F">
        <w:rPr>
          <w:szCs w:val="18"/>
        </w:rPr>
        <w:t>article 9</w:t>
      </w:r>
      <w:r w:rsidRPr="00FA1A0F">
        <w:rPr>
          <w:szCs w:val="18"/>
        </w:rPr>
        <w:t>2</w:t>
      </w:r>
      <w:r w:rsidRPr="00FA1A0F">
        <w:rPr>
          <w:i/>
          <w:iCs/>
          <w:szCs w:val="18"/>
        </w:rPr>
        <w:t>bis</w:t>
      </w:r>
      <w:r w:rsidRPr="00FA1A0F">
        <w:rPr>
          <w:szCs w:val="18"/>
        </w:rPr>
        <w:t>.</w:t>
      </w:r>
    </w:p>
  </w:footnote>
  <w:footnote w:id="49">
    <w:p w14:paraId="3842BB3A" w14:textId="54171217" w:rsidR="001521C2" w:rsidRPr="00FA1A0F" w:rsidRDefault="001521C2" w:rsidP="00FA1A0F">
      <w:pPr>
        <w:pStyle w:val="FootnoteText"/>
        <w:spacing w:before="120" w:after="120"/>
        <w:rPr>
          <w:szCs w:val="18"/>
        </w:rPr>
      </w:pPr>
      <w:r w:rsidRPr="00FA1A0F">
        <w:rPr>
          <w:rStyle w:val="FootnoteReference"/>
          <w:szCs w:val="18"/>
        </w:rPr>
        <w:footnoteRef/>
      </w:r>
      <w:r w:rsidRPr="00FA1A0F">
        <w:rPr>
          <w:szCs w:val="18"/>
        </w:rPr>
        <w:t xml:space="preserve"> </w:t>
      </w:r>
      <w:r w:rsidR="00C67EA5" w:rsidRPr="00FA1A0F">
        <w:rPr>
          <w:szCs w:val="18"/>
        </w:rPr>
        <w:tab/>
      </w:r>
      <w:r w:rsidR="00E51E61" w:rsidRPr="00FA1A0F">
        <w:rPr>
          <w:szCs w:val="18"/>
        </w:rPr>
        <w:t>En conséquence</w:t>
      </w:r>
      <w:r w:rsidRPr="00FA1A0F">
        <w:rPr>
          <w:szCs w:val="18"/>
        </w:rPr>
        <w:t xml:space="preserve">, </w:t>
      </w:r>
      <w:r w:rsidR="00E51E61" w:rsidRPr="00FA1A0F">
        <w:rPr>
          <w:szCs w:val="18"/>
        </w:rPr>
        <w:t>l</w:t>
      </w:r>
      <w:r w:rsidR="00F346B2" w:rsidRPr="00FA1A0F">
        <w:rPr>
          <w:szCs w:val="18"/>
        </w:rPr>
        <w:t>’</w:t>
      </w:r>
      <w:r w:rsidR="00877692" w:rsidRPr="00FA1A0F">
        <w:rPr>
          <w:szCs w:val="18"/>
        </w:rPr>
        <w:t>article 1</w:t>
      </w:r>
      <w:r w:rsidRPr="00FA1A0F">
        <w:rPr>
          <w:szCs w:val="18"/>
        </w:rPr>
        <w:t>4</w:t>
      </w:r>
      <w:r w:rsidRPr="00FA1A0F">
        <w:rPr>
          <w:i/>
          <w:iCs/>
          <w:szCs w:val="18"/>
        </w:rPr>
        <w:t>ter</w:t>
      </w:r>
      <w:r w:rsidR="00E51E61" w:rsidRPr="00FA1A0F">
        <w:rPr>
          <w:szCs w:val="18"/>
        </w:rPr>
        <w:t>.</w:t>
      </w:r>
      <w:r w:rsidRPr="00FA1A0F">
        <w:rPr>
          <w:szCs w:val="18"/>
        </w:rPr>
        <w:t xml:space="preserve">2) </w:t>
      </w:r>
      <w:r w:rsidR="00E51E61" w:rsidRPr="00FA1A0F">
        <w:rPr>
          <w:szCs w:val="18"/>
        </w:rPr>
        <w:t>prévoit que la</w:t>
      </w:r>
      <w:r w:rsidRPr="00FA1A0F">
        <w:rPr>
          <w:szCs w:val="18"/>
        </w:rPr>
        <w:t xml:space="preserve"> protection </w:t>
      </w:r>
      <w:r w:rsidR="00E51E61" w:rsidRPr="00FA1A0F">
        <w:rPr>
          <w:szCs w:val="18"/>
        </w:rPr>
        <w:t>ne peut être réclamé que “dans la mesure où le permet la législation du pays où cette protection est réclamé</w:t>
      </w:r>
      <w:r w:rsidR="0030289F" w:rsidRPr="00FA1A0F">
        <w:rPr>
          <w:szCs w:val="18"/>
        </w:rPr>
        <w:t>e</w:t>
      </w:r>
      <w:r w:rsidR="00E51E61" w:rsidRPr="00FA1A0F">
        <w:rPr>
          <w:szCs w:val="18"/>
        </w:rPr>
        <w:t>”</w:t>
      </w:r>
      <w:r w:rsidRPr="00FA1A0F">
        <w:rPr>
          <w:szCs w:val="18"/>
        </w:rPr>
        <w:t xml:space="preserve">. </w:t>
      </w:r>
      <w:r w:rsidR="007C2885" w:rsidRPr="00FA1A0F">
        <w:rPr>
          <w:szCs w:val="18"/>
        </w:rPr>
        <w:t xml:space="preserve"> </w:t>
      </w:r>
      <w:r w:rsidR="00E51E61" w:rsidRPr="00FA1A0F">
        <w:rPr>
          <w:szCs w:val="18"/>
        </w:rPr>
        <w:t>Un exemple évident est celui des manuscrits originaux d</w:t>
      </w:r>
      <w:r w:rsidR="00F346B2" w:rsidRPr="00FA1A0F">
        <w:rPr>
          <w:szCs w:val="18"/>
        </w:rPr>
        <w:t>’</w:t>
      </w:r>
      <w:r w:rsidR="00E51E61" w:rsidRPr="00FA1A0F">
        <w:rPr>
          <w:szCs w:val="18"/>
        </w:rPr>
        <w:t>écrivains et de compositeurs, qui sont protégés uniquement par les lois d</w:t>
      </w:r>
      <w:r w:rsidR="00F346B2" w:rsidRPr="00FA1A0F">
        <w:rPr>
          <w:szCs w:val="18"/>
        </w:rPr>
        <w:t>’</w:t>
      </w:r>
      <w:r w:rsidR="00E51E61" w:rsidRPr="00FA1A0F">
        <w:rPr>
          <w:szCs w:val="18"/>
        </w:rPr>
        <w:t>un petit nombre de pays dotés d</w:t>
      </w:r>
      <w:r w:rsidR="00F346B2" w:rsidRPr="00FA1A0F">
        <w:rPr>
          <w:szCs w:val="18"/>
        </w:rPr>
        <w:t>’</w:t>
      </w:r>
      <w:r w:rsidR="00E51E61" w:rsidRPr="00FA1A0F">
        <w:rPr>
          <w:szCs w:val="18"/>
        </w:rPr>
        <w:t xml:space="preserve">un système de droit de suite des artistes. </w:t>
      </w:r>
      <w:r w:rsidR="007C2885" w:rsidRPr="00FA1A0F">
        <w:rPr>
          <w:szCs w:val="18"/>
        </w:rPr>
        <w:t xml:space="preserve"> </w:t>
      </w:r>
      <w:r w:rsidR="00E51E61" w:rsidRPr="00FA1A0F">
        <w:rPr>
          <w:szCs w:val="18"/>
          <w:lang w:val="fr-FR"/>
        </w:rPr>
        <w:t>Un autre exemple serait celui des œuvres d</w:t>
      </w:r>
      <w:r w:rsidR="00F346B2" w:rsidRPr="00FA1A0F">
        <w:rPr>
          <w:szCs w:val="18"/>
          <w:lang w:val="fr-FR"/>
        </w:rPr>
        <w:t>’</w:t>
      </w:r>
      <w:r w:rsidR="00E51E61" w:rsidRPr="00FA1A0F">
        <w:rPr>
          <w:szCs w:val="18"/>
          <w:lang w:val="fr-FR"/>
        </w:rPr>
        <w:t>art appliqué</w:t>
      </w:r>
      <w:r w:rsidRPr="00FA1A0F">
        <w:rPr>
          <w:szCs w:val="18"/>
        </w:rPr>
        <w:t>.</w:t>
      </w:r>
    </w:p>
  </w:footnote>
  <w:footnote w:id="50">
    <w:p w14:paraId="303D7D6D" w14:textId="71AE2925"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Cela souligne la souplesse qui est ici de mise en vertu de l</w:t>
      </w:r>
      <w:r w:rsidR="00F346B2" w:rsidRPr="00FA1A0F">
        <w:rPr>
          <w:rFonts w:ascii="Arial" w:hAnsi="Arial" w:cs="Arial"/>
          <w:sz w:val="18"/>
          <w:szCs w:val="18"/>
        </w:rPr>
        <w:t>’</w:t>
      </w:r>
      <w:r w:rsidR="00EC24F5" w:rsidRPr="00FA1A0F">
        <w:rPr>
          <w:rFonts w:ascii="Arial" w:hAnsi="Arial" w:cs="Arial"/>
          <w:sz w:val="18"/>
          <w:szCs w:val="18"/>
        </w:rPr>
        <w:t>article 1</w:t>
      </w:r>
      <w:r w:rsidRPr="00FA1A0F">
        <w:rPr>
          <w:rFonts w:ascii="Arial" w:hAnsi="Arial" w:cs="Arial"/>
          <w:sz w:val="18"/>
          <w:szCs w:val="18"/>
        </w:rPr>
        <w:t>4</w:t>
      </w:r>
      <w:r w:rsidRPr="00FA1A0F">
        <w:rPr>
          <w:rFonts w:ascii="Arial" w:hAnsi="Arial" w:cs="Arial"/>
          <w:i/>
          <w:iCs/>
          <w:sz w:val="18"/>
          <w:szCs w:val="18"/>
        </w:rPr>
        <w:t xml:space="preserve">ter </w:t>
      </w:r>
      <w:r w:rsidRPr="00FA1A0F">
        <w:rPr>
          <w:rFonts w:ascii="Arial" w:hAnsi="Arial" w:cs="Arial"/>
          <w:sz w:val="18"/>
          <w:szCs w:val="18"/>
        </w:rPr>
        <w:t>de la Convention de Berne, qui permet aux législations nationales de définir ces exclusions</w:t>
      </w:r>
      <w:r w:rsidR="00EC24F5" w:rsidRPr="00FA1A0F">
        <w:rPr>
          <w:rFonts w:ascii="Arial" w:hAnsi="Arial" w:cs="Arial"/>
          <w:sz w:val="18"/>
          <w:szCs w:val="18"/>
        </w:rPr>
        <w:t xml:space="preserve"> – </w:t>
      </w:r>
      <w:r w:rsidRPr="00FA1A0F">
        <w:rPr>
          <w:rFonts w:ascii="Arial" w:hAnsi="Arial" w:cs="Arial"/>
          <w:sz w:val="18"/>
          <w:szCs w:val="18"/>
        </w:rPr>
        <w:t>ou inclusions</w:t>
      </w:r>
      <w:r w:rsidR="00EC24F5" w:rsidRPr="00FA1A0F">
        <w:rPr>
          <w:rFonts w:ascii="Arial" w:hAnsi="Arial" w:cs="Arial"/>
          <w:sz w:val="18"/>
          <w:szCs w:val="18"/>
        </w:rPr>
        <w:t xml:space="preserve"> – </w:t>
      </w:r>
      <w:r w:rsidRPr="00FA1A0F">
        <w:rPr>
          <w:rFonts w:ascii="Arial" w:hAnsi="Arial" w:cs="Arial"/>
          <w:sz w:val="18"/>
          <w:szCs w:val="18"/>
        </w:rPr>
        <w:t>pour elles</w:t>
      </w:r>
      <w:r w:rsidR="00FA1A0F" w:rsidRPr="00FA1A0F">
        <w:rPr>
          <w:rFonts w:ascii="Arial" w:hAnsi="Arial" w:cs="Arial"/>
          <w:sz w:val="18"/>
          <w:szCs w:val="18"/>
        </w:rPr>
        <w:noBreakHyphen/>
      </w:r>
      <w:r w:rsidRPr="00FA1A0F">
        <w:rPr>
          <w:rFonts w:ascii="Arial" w:hAnsi="Arial" w:cs="Arial"/>
          <w:sz w:val="18"/>
          <w:szCs w:val="18"/>
        </w:rPr>
        <w:t xml:space="preserve">mêmes. </w:t>
      </w:r>
      <w:r w:rsidR="00FB6E84" w:rsidRPr="00FA1A0F">
        <w:rPr>
          <w:rFonts w:ascii="Arial" w:hAnsi="Arial" w:cs="Arial"/>
          <w:sz w:val="18"/>
          <w:szCs w:val="18"/>
        </w:rPr>
        <w:t xml:space="preserve"> </w:t>
      </w:r>
      <w:r w:rsidRPr="00FA1A0F">
        <w:rPr>
          <w:rFonts w:ascii="Arial" w:hAnsi="Arial" w:cs="Arial"/>
          <w:sz w:val="18"/>
          <w:szCs w:val="18"/>
        </w:rPr>
        <w:t>Une proposition de disposition générale à ce sujet figure dans le tableau</w:t>
      </w:r>
      <w:r w:rsidR="00FB6E84" w:rsidRPr="00FA1A0F">
        <w:rPr>
          <w:rFonts w:ascii="Arial" w:hAnsi="Arial" w:cs="Arial"/>
          <w:sz w:val="18"/>
          <w:szCs w:val="18"/>
        </w:rPr>
        <w:t> </w:t>
      </w:r>
      <w:r w:rsidRPr="00FA1A0F">
        <w:rPr>
          <w:rFonts w:ascii="Arial" w:hAnsi="Arial" w:cs="Arial"/>
          <w:sz w:val="18"/>
          <w:szCs w:val="18"/>
        </w:rPr>
        <w:t>4, mais il convient de rappeler que les exclusions particulières concernant certaines catégories ne sont pas forcément nécessaires, par exemple en ce qui concerne les œuvres générées par ordinateur.</w:t>
      </w:r>
    </w:p>
  </w:footnote>
  <w:footnote w:id="51">
    <w:p w14:paraId="42019BCF" w14:textId="47FB067B"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 xml:space="preserve">Australie, </w:t>
      </w:r>
      <w:r w:rsidR="005921AE">
        <w:rPr>
          <w:szCs w:val="18"/>
        </w:rPr>
        <w:t>l</w:t>
      </w:r>
      <w:r w:rsidRPr="00FA1A0F">
        <w:rPr>
          <w:szCs w:val="18"/>
        </w:rPr>
        <w:t>oi de</w:t>
      </w:r>
      <w:r w:rsidR="00EC24F5" w:rsidRPr="00FA1A0F">
        <w:rPr>
          <w:szCs w:val="18"/>
        </w:rPr>
        <w:t> 2009</w:t>
      </w:r>
      <w:r w:rsidRPr="00FA1A0F">
        <w:rPr>
          <w:szCs w:val="18"/>
        </w:rPr>
        <w:t xml:space="preserve"> sur le droit de suite pour les artistes visuels, article 9.</w:t>
      </w:r>
    </w:p>
  </w:footnote>
  <w:footnote w:id="52">
    <w:p w14:paraId="52C32C8A" w14:textId="1B4B60F0" w:rsidR="00C77D5B" w:rsidRPr="00FA1A0F" w:rsidRDefault="00C77D5B" w:rsidP="00FA1A0F">
      <w:pPr>
        <w:pStyle w:val="Default"/>
        <w:tabs>
          <w:tab w:val="left" w:pos="567"/>
        </w:tabs>
        <w:spacing w:before="120" w:after="120"/>
        <w:rPr>
          <w:rFonts w:eastAsia="Times New Roman"/>
          <w:sz w:val="18"/>
          <w:szCs w:val="18"/>
          <w:lang w:val="fr-CH" w:eastAsia="fr-CH"/>
        </w:rPr>
      </w:pPr>
      <w:r w:rsidRPr="00FA1A0F">
        <w:rPr>
          <w:rStyle w:val="FootnoteReference"/>
          <w:sz w:val="18"/>
          <w:szCs w:val="18"/>
        </w:rPr>
        <w:footnoteRef/>
      </w:r>
      <w:r w:rsidRPr="00FA1A0F">
        <w:rPr>
          <w:sz w:val="18"/>
          <w:szCs w:val="18"/>
          <w:lang w:val="fr-CH"/>
        </w:rPr>
        <w:t xml:space="preserve"> </w:t>
      </w:r>
      <w:r w:rsidRPr="00FA1A0F">
        <w:rPr>
          <w:rFonts w:eastAsia="Times New Roman"/>
          <w:sz w:val="18"/>
          <w:szCs w:val="18"/>
          <w:lang w:val="fr-CH" w:eastAsia="fr-CH"/>
        </w:rPr>
        <w:tab/>
        <w:t>Comme dans l</w:t>
      </w:r>
      <w:r w:rsidR="00F346B2" w:rsidRPr="00FA1A0F">
        <w:rPr>
          <w:rFonts w:eastAsia="Times New Roman"/>
          <w:sz w:val="18"/>
          <w:szCs w:val="18"/>
          <w:lang w:val="fr-CH" w:eastAsia="fr-CH"/>
        </w:rPr>
        <w:t>’</w:t>
      </w:r>
      <w:r w:rsidR="00EC24F5" w:rsidRPr="00FA1A0F">
        <w:rPr>
          <w:rFonts w:eastAsia="Times New Roman"/>
          <w:sz w:val="18"/>
          <w:szCs w:val="18"/>
          <w:lang w:val="fr-CH" w:eastAsia="fr-CH"/>
        </w:rPr>
        <w:t>article 4</w:t>
      </w:r>
      <w:r w:rsidRPr="00FA1A0F">
        <w:rPr>
          <w:rFonts w:eastAsia="Times New Roman"/>
          <w:sz w:val="18"/>
          <w:szCs w:val="18"/>
          <w:lang w:val="fr-CH" w:eastAsia="fr-CH"/>
        </w:rPr>
        <w:t>9 de la loi n°</w:t>
      </w:r>
      <w:r w:rsidR="00FB6E84" w:rsidRPr="00FA1A0F">
        <w:rPr>
          <w:rFonts w:eastAsia="Times New Roman"/>
          <w:sz w:val="18"/>
          <w:szCs w:val="18"/>
          <w:lang w:val="fr-CH" w:eastAsia="fr-CH"/>
        </w:rPr>
        <w:t> </w:t>
      </w:r>
      <w:r w:rsidRPr="00FA1A0F">
        <w:rPr>
          <w:rFonts w:eastAsia="Times New Roman"/>
          <w:sz w:val="18"/>
          <w:szCs w:val="18"/>
          <w:lang w:val="fr-CH" w:eastAsia="fr-CH"/>
        </w:rPr>
        <w:t>2008</w:t>
      </w:r>
      <w:r w:rsidR="00FA1A0F" w:rsidRPr="00FA1A0F">
        <w:rPr>
          <w:rFonts w:eastAsia="Times New Roman"/>
          <w:sz w:val="18"/>
          <w:szCs w:val="18"/>
          <w:lang w:val="fr-CH" w:eastAsia="fr-CH"/>
        </w:rPr>
        <w:noBreakHyphen/>
      </w:r>
      <w:r w:rsidRPr="00FA1A0F">
        <w:rPr>
          <w:rFonts w:eastAsia="Times New Roman"/>
          <w:sz w:val="18"/>
          <w:szCs w:val="18"/>
          <w:lang w:val="fr-CH" w:eastAsia="fr-CH"/>
        </w:rPr>
        <w:t>09 du 2</w:t>
      </w:r>
      <w:r w:rsidR="00EC24F5" w:rsidRPr="00FA1A0F">
        <w:rPr>
          <w:rFonts w:eastAsia="Times New Roman"/>
          <w:sz w:val="18"/>
          <w:szCs w:val="18"/>
          <w:lang w:val="fr-CH" w:eastAsia="fr-CH"/>
        </w:rPr>
        <w:t>5 janvier 20</w:t>
      </w:r>
      <w:r w:rsidRPr="00FA1A0F">
        <w:rPr>
          <w:rFonts w:eastAsia="Times New Roman"/>
          <w:sz w:val="18"/>
          <w:szCs w:val="18"/>
          <w:lang w:val="fr-CH" w:eastAsia="fr-CH"/>
        </w:rPr>
        <w:t>08 sur le droit d</w:t>
      </w:r>
      <w:r w:rsidR="00F346B2" w:rsidRPr="00FA1A0F">
        <w:rPr>
          <w:rFonts w:eastAsia="Times New Roman"/>
          <w:sz w:val="18"/>
          <w:szCs w:val="18"/>
          <w:lang w:val="fr-CH" w:eastAsia="fr-CH"/>
        </w:rPr>
        <w:t>’</w:t>
      </w:r>
      <w:r w:rsidRPr="00FA1A0F">
        <w:rPr>
          <w:rFonts w:eastAsia="Times New Roman"/>
          <w:sz w:val="18"/>
          <w:szCs w:val="18"/>
          <w:lang w:val="fr-CH" w:eastAsia="fr-CH"/>
        </w:rPr>
        <w:t>auteur et les droits voisins au Sénégal.</w:t>
      </w:r>
    </w:p>
  </w:footnote>
  <w:footnote w:id="53">
    <w:p w14:paraId="249089E5" w14:textId="6D013559"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 xml:space="preserve">Kenya, </w:t>
      </w:r>
      <w:r w:rsidR="005921AE">
        <w:rPr>
          <w:szCs w:val="18"/>
        </w:rPr>
        <w:t>l</w:t>
      </w:r>
      <w:r w:rsidRPr="00FA1A0F">
        <w:rPr>
          <w:szCs w:val="18"/>
        </w:rPr>
        <w:t xml:space="preserve">oi </w:t>
      </w:r>
      <w:r w:rsidR="00EC24F5" w:rsidRPr="00FA1A0F">
        <w:rPr>
          <w:szCs w:val="18"/>
        </w:rPr>
        <w:t>de 2001</w:t>
      </w:r>
      <w:r w:rsidRPr="00FA1A0F">
        <w:rPr>
          <w:szCs w:val="18"/>
        </w:rPr>
        <w:t xml:space="preserve"> </w:t>
      </w:r>
      <w:r w:rsidRPr="00FA1A0F">
        <w:rPr>
          <w:rFonts w:eastAsia="Times New Roman"/>
          <w:szCs w:val="18"/>
          <w:lang w:eastAsia="fr-CH"/>
        </w:rPr>
        <w:t>sur le droit d</w:t>
      </w:r>
      <w:r w:rsidR="00F346B2" w:rsidRPr="00FA1A0F">
        <w:rPr>
          <w:rFonts w:eastAsia="Times New Roman"/>
          <w:szCs w:val="18"/>
          <w:lang w:eastAsia="fr-CH"/>
        </w:rPr>
        <w:t>’</w:t>
      </w:r>
      <w:r w:rsidRPr="00FA1A0F">
        <w:rPr>
          <w:rFonts w:eastAsia="Times New Roman"/>
          <w:szCs w:val="18"/>
          <w:lang w:eastAsia="fr-CH"/>
        </w:rPr>
        <w:t>auteur</w:t>
      </w:r>
      <w:r w:rsidRPr="00FA1A0F">
        <w:rPr>
          <w:szCs w:val="18"/>
        </w:rPr>
        <w:t>, article26D.6).</w:t>
      </w:r>
    </w:p>
  </w:footnote>
  <w:footnote w:id="54">
    <w:p w14:paraId="5806CEE9" w14:textId="51B3842F" w:rsidR="00C77D5B" w:rsidRPr="00FA1A0F" w:rsidRDefault="00C77D5B"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Un modèle pour ce type de disposition se trouve dans l</w:t>
      </w:r>
      <w:r w:rsidR="00F346B2" w:rsidRPr="00FA1A0F">
        <w:rPr>
          <w:rFonts w:ascii="Arial" w:hAnsi="Arial" w:cs="Arial"/>
          <w:sz w:val="18"/>
          <w:szCs w:val="18"/>
        </w:rPr>
        <w:t>’</w:t>
      </w:r>
      <w:r w:rsidRPr="00FA1A0F">
        <w:rPr>
          <w:rFonts w:ascii="Arial" w:hAnsi="Arial" w:cs="Arial"/>
          <w:sz w:val="18"/>
          <w:szCs w:val="18"/>
        </w:rPr>
        <w:t xml:space="preserve">article 9 de la </w:t>
      </w:r>
      <w:r w:rsidR="005921AE">
        <w:rPr>
          <w:rFonts w:ascii="Arial" w:hAnsi="Arial" w:cs="Arial"/>
          <w:sz w:val="18"/>
          <w:szCs w:val="18"/>
        </w:rPr>
        <w:t>l</w:t>
      </w:r>
      <w:r w:rsidRPr="00FA1A0F">
        <w:rPr>
          <w:rFonts w:ascii="Arial" w:hAnsi="Arial" w:cs="Arial"/>
          <w:sz w:val="18"/>
          <w:szCs w:val="18"/>
        </w:rPr>
        <w:t xml:space="preserve">oi </w:t>
      </w:r>
      <w:r w:rsidR="005921AE">
        <w:rPr>
          <w:rFonts w:ascii="Arial" w:hAnsi="Arial" w:cs="Arial"/>
          <w:sz w:val="18"/>
          <w:szCs w:val="18"/>
        </w:rPr>
        <w:t xml:space="preserve">australienne </w:t>
      </w:r>
      <w:r w:rsidR="00EC24F5" w:rsidRPr="00FA1A0F">
        <w:rPr>
          <w:rFonts w:ascii="Arial" w:hAnsi="Arial" w:cs="Arial"/>
          <w:sz w:val="18"/>
          <w:szCs w:val="18"/>
        </w:rPr>
        <w:t>de 2009</w:t>
      </w:r>
      <w:r w:rsidRPr="00FA1A0F">
        <w:rPr>
          <w:rFonts w:ascii="Arial" w:hAnsi="Arial" w:cs="Arial"/>
          <w:sz w:val="18"/>
          <w:szCs w:val="18"/>
        </w:rPr>
        <w:t xml:space="preserve"> sur le droit de suite pour les artistes visuels.</w:t>
      </w:r>
    </w:p>
  </w:footnote>
  <w:footnote w:id="55">
    <w:p w14:paraId="183CADBE" w14:textId="1AA8D21A" w:rsidR="00C77D5B" w:rsidRPr="00FA1A0F" w:rsidRDefault="00C77D5B"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 xml:space="preserve">Mexique, </w:t>
      </w:r>
      <w:r w:rsidR="005921AE">
        <w:rPr>
          <w:szCs w:val="18"/>
        </w:rPr>
        <w:t>l</w:t>
      </w:r>
      <w:r w:rsidRPr="00FA1A0F">
        <w:rPr>
          <w:szCs w:val="18"/>
        </w:rPr>
        <w:t xml:space="preserve">oi fédérale </w:t>
      </w:r>
      <w:r w:rsidR="00EC24F5" w:rsidRPr="00FA1A0F">
        <w:rPr>
          <w:szCs w:val="18"/>
        </w:rPr>
        <w:t>de 1997</w:t>
      </w:r>
      <w:r w:rsidRPr="00FA1A0F">
        <w:rPr>
          <w:szCs w:val="18"/>
        </w:rPr>
        <w:t xml:space="preserve"> sur le droit d</w:t>
      </w:r>
      <w:r w:rsidR="00F346B2" w:rsidRPr="00FA1A0F">
        <w:rPr>
          <w:szCs w:val="18"/>
        </w:rPr>
        <w:t>’</w:t>
      </w:r>
      <w:r w:rsidRPr="00FA1A0F">
        <w:rPr>
          <w:szCs w:val="18"/>
        </w:rPr>
        <w:t>auteur, article 92</w:t>
      </w:r>
      <w:r w:rsidRPr="00FA1A0F">
        <w:rPr>
          <w:i/>
          <w:iCs/>
          <w:szCs w:val="18"/>
        </w:rPr>
        <w:t>bis.</w:t>
      </w:r>
    </w:p>
  </w:footnote>
  <w:footnote w:id="56">
    <w:p w14:paraId="3E1F03E7" w14:textId="69BC8651"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Directive CE, article 1.2.  Dans le même sens, voir également l’article 122</w:t>
      </w:r>
      <w:r w:rsidR="00FA1A0F" w:rsidRPr="00FA1A0F">
        <w:rPr>
          <w:rFonts w:ascii="Arial" w:hAnsi="Arial" w:cs="Arial"/>
          <w:sz w:val="18"/>
          <w:szCs w:val="18"/>
        </w:rPr>
        <w:noBreakHyphen/>
      </w:r>
      <w:r w:rsidRPr="00FA1A0F">
        <w:rPr>
          <w:rFonts w:ascii="Arial" w:hAnsi="Arial" w:cs="Arial"/>
          <w:sz w:val="18"/>
          <w:szCs w:val="18"/>
        </w:rPr>
        <w:t>8.1) du Code de la propriété intellectuelle de la France (“toute vente d’une œuvre [graphique ou tridimensionnelle] par l’intermédiaire d’une salle de ventes ou d’un commerçant d’œuvres d’art”).</w:t>
      </w:r>
    </w:p>
  </w:footnote>
  <w:footnote w:id="57">
    <w:p w14:paraId="46E58BAF" w14:textId="77777777"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Australie, loi de 2009 sur le droit de suite des artistes visuels, article 8.</w:t>
      </w:r>
    </w:p>
  </w:footnote>
  <w:footnote w:id="58">
    <w:p w14:paraId="6F2C9F73" w14:textId="77777777"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Kenya, loi de 2001 sur le droit d’auteur, article 2 (définitions).</w:t>
      </w:r>
    </w:p>
  </w:footnote>
  <w:footnote w:id="59">
    <w:p w14:paraId="1DEDE7AE" w14:textId="77777777"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Malawi, loi de 2016 sur le droit d’auteur, article 2.</w:t>
      </w:r>
    </w:p>
  </w:footnote>
  <w:footnote w:id="60">
    <w:p w14:paraId="4ADDBD13" w14:textId="77777777" w:rsidR="00A80AC5" w:rsidRPr="00FA1A0F" w:rsidRDefault="00A80AC5" w:rsidP="00FA1A0F">
      <w:pPr>
        <w:pStyle w:val="FootnoteText"/>
        <w:spacing w:before="120" w:after="120"/>
        <w:rPr>
          <w:szCs w:val="18"/>
          <w:lang w:val="fr-FR"/>
        </w:rPr>
      </w:pPr>
      <w:r w:rsidRPr="00FA1A0F">
        <w:rPr>
          <w:rStyle w:val="FootnoteReference"/>
          <w:szCs w:val="18"/>
        </w:rPr>
        <w:footnoteRef/>
      </w:r>
      <w:r w:rsidRPr="00FA1A0F">
        <w:rPr>
          <w:szCs w:val="18"/>
        </w:rPr>
        <w:t xml:space="preserve"> </w:t>
      </w:r>
      <w:r w:rsidRPr="00FA1A0F">
        <w:rPr>
          <w:szCs w:val="18"/>
        </w:rPr>
        <w:tab/>
        <w:t>Pologne, loi du 4 février 1994 sur le droit d’auteur et les droits connexes (texte consolidé), articles 19.1 et 19.2.</w:t>
      </w:r>
    </w:p>
  </w:footnote>
  <w:footnote w:id="61">
    <w:p w14:paraId="37AB6AF4" w14:textId="5721FC12" w:rsidR="00A80AC5" w:rsidRPr="00FA1A0F" w:rsidRDefault="00A80AC5" w:rsidP="00FA1A0F">
      <w:pPr>
        <w:pStyle w:val="FootnoteText"/>
        <w:spacing w:before="120" w:after="120"/>
        <w:rPr>
          <w:szCs w:val="18"/>
          <w:lang w:val="fr-FR"/>
        </w:rPr>
      </w:pPr>
      <w:r w:rsidRPr="00FA1A0F">
        <w:rPr>
          <w:rStyle w:val="FootnoteReference"/>
          <w:szCs w:val="18"/>
        </w:rPr>
        <w:footnoteRef/>
      </w:r>
      <w:r w:rsidRPr="00FA1A0F">
        <w:rPr>
          <w:szCs w:val="18"/>
        </w:rPr>
        <w:t xml:space="preserve"> </w:t>
      </w:r>
      <w:r w:rsidRPr="00FA1A0F">
        <w:rPr>
          <w:szCs w:val="18"/>
        </w:rPr>
        <w:tab/>
        <w:t>Royaume</w:t>
      </w:r>
      <w:r w:rsidR="00FA1A0F" w:rsidRPr="00FA1A0F">
        <w:rPr>
          <w:szCs w:val="18"/>
        </w:rPr>
        <w:noBreakHyphen/>
      </w:r>
      <w:r w:rsidRPr="00FA1A0F">
        <w:rPr>
          <w:szCs w:val="18"/>
        </w:rPr>
        <w:t>Uni, règlement de 2006 sur le droit de suite des artistes, règle 12.1).</w:t>
      </w:r>
    </w:p>
  </w:footnote>
  <w:footnote w:id="62">
    <w:p w14:paraId="4632DF71" w14:textId="77777777" w:rsidR="00A80AC5" w:rsidRPr="00FA1A0F" w:rsidRDefault="00A80AC5" w:rsidP="00FA1A0F">
      <w:pPr>
        <w:pStyle w:val="FootnoteText"/>
        <w:spacing w:before="120" w:after="120"/>
        <w:rPr>
          <w:szCs w:val="18"/>
          <w:lang w:val="fr-FR"/>
        </w:rPr>
      </w:pPr>
      <w:r w:rsidRPr="00FA1A0F">
        <w:rPr>
          <w:rStyle w:val="FootnoteReference"/>
          <w:szCs w:val="18"/>
        </w:rPr>
        <w:footnoteRef/>
      </w:r>
      <w:r w:rsidRPr="00FA1A0F">
        <w:rPr>
          <w:szCs w:val="18"/>
        </w:rPr>
        <w:t xml:space="preserve"> </w:t>
      </w:r>
      <w:r w:rsidRPr="00FA1A0F">
        <w:rPr>
          <w:szCs w:val="18"/>
        </w:rPr>
        <w:tab/>
        <w:t>Mexique, loi fédérale sur le droit d’auteur de 1996, article 93 bis (II).</w:t>
      </w:r>
    </w:p>
  </w:footnote>
  <w:footnote w:id="63">
    <w:p w14:paraId="28B2D2DC" w14:textId="77777777"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Kenya, loi de 2001 sur le droit d’auteur, article 26D.6)c).  Voir le texte extrait dans le tableau 6.</w:t>
      </w:r>
    </w:p>
  </w:footnote>
  <w:footnote w:id="64">
    <w:p w14:paraId="6F500F78" w14:textId="77777777"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En vertu de l’article 3 de la Directive CE, il appartient aux États membres de fixer un prix de vente minimum, mais il ne peut “en aucun cas être supérieur à 3 000 euros”.</w:t>
      </w:r>
    </w:p>
  </w:footnote>
  <w:footnote w:id="65">
    <w:p w14:paraId="6D6E6EB8" w14:textId="06C049D5"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Loi </w:t>
      </w:r>
      <w:r w:rsidR="0085462B" w:rsidRPr="00FA1A0F">
        <w:rPr>
          <w:rFonts w:ascii="Arial" w:hAnsi="Arial" w:cs="Arial"/>
          <w:sz w:val="18"/>
          <w:szCs w:val="18"/>
        </w:rPr>
        <w:t xml:space="preserve">australienne </w:t>
      </w:r>
      <w:r w:rsidR="0085462B">
        <w:rPr>
          <w:rFonts w:ascii="Arial" w:hAnsi="Arial" w:cs="Arial"/>
          <w:sz w:val="18"/>
          <w:szCs w:val="18"/>
        </w:rPr>
        <w:t xml:space="preserve">de 2009 </w:t>
      </w:r>
      <w:r w:rsidRPr="00FA1A0F">
        <w:rPr>
          <w:rFonts w:ascii="Arial" w:hAnsi="Arial" w:cs="Arial"/>
          <w:sz w:val="18"/>
          <w:szCs w:val="18"/>
        </w:rPr>
        <w:t>sur le droit de suite, article 10.</w:t>
      </w:r>
    </w:p>
  </w:footnote>
  <w:footnote w:id="66">
    <w:p w14:paraId="409A7A10" w14:textId="77777777"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Conformément à la Directive CE, article 1.3.</w:t>
      </w:r>
    </w:p>
  </w:footnote>
  <w:footnote w:id="67">
    <w:p w14:paraId="01497CFA" w14:textId="77777777"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Kenya, loi de 2001 sur le droit d’auteur, art. 26D.6)</w:t>
      </w:r>
    </w:p>
  </w:footnote>
  <w:footnote w:id="68">
    <w:p w14:paraId="7B4C2908" w14:textId="77777777" w:rsidR="00A80AC5" w:rsidRPr="00FA1A0F" w:rsidRDefault="00A80AC5" w:rsidP="00FA1A0F">
      <w:pPr>
        <w:pStyle w:val="FootnoteText"/>
        <w:spacing w:before="120" w:after="120"/>
        <w:rPr>
          <w:szCs w:val="18"/>
          <w:lang w:val="fr-FR"/>
        </w:rPr>
      </w:pPr>
      <w:r w:rsidRPr="00FA1A0F">
        <w:rPr>
          <w:rStyle w:val="FootnoteReference"/>
          <w:szCs w:val="18"/>
        </w:rPr>
        <w:footnoteRef/>
      </w:r>
      <w:r w:rsidRPr="00FA1A0F">
        <w:rPr>
          <w:szCs w:val="18"/>
        </w:rPr>
        <w:t xml:space="preserve"> </w:t>
      </w:r>
      <w:r w:rsidRPr="00FA1A0F">
        <w:rPr>
          <w:szCs w:val="18"/>
          <w:lang w:val="fr-FR"/>
        </w:rPr>
        <w:tab/>
        <w:t>Suède, loi sur le droit d’auteur, loi n° 1960: 729 sur le droit d’auteur dans les œuvres littéraires et artistiques (telle que modifiée jusqu’à la loi n° 2020 :54), art. 26n.</w:t>
      </w:r>
    </w:p>
  </w:footnote>
  <w:footnote w:id="69">
    <w:p w14:paraId="33CF0A2D" w14:textId="77777777"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Directive CE, article 5.</w:t>
      </w:r>
    </w:p>
  </w:footnote>
  <w:footnote w:id="70">
    <w:p w14:paraId="28C61F84" w14:textId="77777777"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Australie, loi de 2009 sur le droit de suite des artistes visuels, article 10.2).</w:t>
      </w:r>
    </w:p>
  </w:footnote>
  <w:footnote w:id="71">
    <w:p w14:paraId="53B3C326" w14:textId="1960F246"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Directive CE, article 5;  (Les articles 3 et 4 déterminent quelles ventes peuvent faire l’objet d’un droit de suite des artistes et fixent les prix de vente à cette fin).  Dans le même ordre d’idées, voir Sénégal, dans </w:t>
      </w:r>
      <w:r w:rsidR="00041DF8">
        <w:rPr>
          <w:rFonts w:ascii="Arial" w:hAnsi="Arial" w:cs="Arial"/>
          <w:sz w:val="18"/>
          <w:szCs w:val="18"/>
        </w:rPr>
        <w:t>d</w:t>
      </w:r>
      <w:r w:rsidRPr="00FA1A0F">
        <w:rPr>
          <w:rFonts w:ascii="Arial" w:hAnsi="Arial" w:cs="Arial"/>
          <w:sz w:val="18"/>
          <w:szCs w:val="18"/>
        </w:rPr>
        <w:t>écret n° 2015</w:t>
      </w:r>
      <w:r w:rsidR="00FA1A0F" w:rsidRPr="00FA1A0F">
        <w:rPr>
          <w:rFonts w:ascii="Arial" w:hAnsi="Arial" w:cs="Arial"/>
          <w:sz w:val="18"/>
          <w:szCs w:val="18"/>
        </w:rPr>
        <w:noBreakHyphen/>
      </w:r>
      <w:r w:rsidRPr="00FA1A0F">
        <w:rPr>
          <w:rFonts w:ascii="Arial" w:hAnsi="Arial" w:cs="Arial"/>
          <w:sz w:val="18"/>
          <w:szCs w:val="18"/>
        </w:rPr>
        <w:t>682 du 26 mai 2015 portant application de la loi n° 2008</w:t>
      </w:r>
      <w:r w:rsidR="00FA1A0F" w:rsidRPr="00FA1A0F">
        <w:rPr>
          <w:rFonts w:ascii="Arial" w:hAnsi="Arial" w:cs="Arial"/>
          <w:sz w:val="18"/>
          <w:szCs w:val="18"/>
        </w:rPr>
        <w:noBreakHyphen/>
      </w:r>
      <w:r w:rsidRPr="00FA1A0F">
        <w:rPr>
          <w:rFonts w:ascii="Arial" w:hAnsi="Arial" w:cs="Arial"/>
          <w:sz w:val="18"/>
          <w:szCs w:val="18"/>
        </w:rPr>
        <w:t>09 du 25 janvier 2008 sur le droit d’auteur et les droits voisins, titre VI, article 26.</w:t>
      </w:r>
    </w:p>
  </w:footnote>
  <w:footnote w:id="72">
    <w:p w14:paraId="32526B7D" w14:textId="77777777"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Australie, loi de 2009 sur le droit de suite des artistes visuels, article 10.2).</w:t>
      </w:r>
    </w:p>
  </w:footnote>
  <w:footnote w:id="73">
    <w:p w14:paraId="1EF2565B" w14:textId="59B8ADE8"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France, Code de la propriété intellectuelle, article R122</w:t>
      </w:r>
      <w:r w:rsidR="00FA1A0F" w:rsidRPr="00FA1A0F">
        <w:rPr>
          <w:szCs w:val="18"/>
        </w:rPr>
        <w:noBreakHyphen/>
      </w:r>
      <w:r w:rsidR="008D2132">
        <w:rPr>
          <w:szCs w:val="18"/>
        </w:rPr>
        <w:t>5</w:t>
      </w:r>
      <w:r w:rsidRPr="00FA1A0F">
        <w:rPr>
          <w:szCs w:val="18"/>
        </w:rPr>
        <w:t>.</w:t>
      </w:r>
    </w:p>
  </w:footnote>
  <w:footnote w:id="74">
    <w:p w14:paraId="51E7A086" w14:textId="67C3ABD1"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Par exemple, en Australie et au Sénégal, ce taux est fixé à 5% du prix de revente (voir le tableau 8);  en Uruguay, l’un des premiers pays à avoir adopté le droit de suite des artistes, il est fixé à 3% du prix de revente : Uruguay, loi de 1937, art. 9.  Le Guatemala est un exemple de taux plus élevé (10%) qui est appliqué : Guatemala, loi guatémaltèque sur le droit d’auteur et les droits connexes, article 38, décret 33</w:t>
      </w:r>
      <w:r w:rsidR="00FA1A0F" w:rsidRPr="00FA1A0F">
        <w:rPr>
          <w:szCs w:val="18"/>
        </w:rPr>
        <w:noBreakHyphen/>
      </w:r>
      <w:r w:rsidRPr="00FA1A0F">
        <w:rPr>
          <w:szCs w:val="18"/>
        </w:rPr>
        <w:t>98.</w:t>
      </w:r>
    </w:p>
  </w:footnote>
  <w:footnote w:id="75">
    <w:p w14:paraId="3E0608C0" w14:textId="77777777"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L’adoption du montant maximal dans le règlement CE peut avoir été motivée par des raisons politiques, à savoir l’obtention d’un accord entre tous les États membres sur le type minimum de régime de droit de suite des artistes qui pourrait être adopté dans chaque État membre (dont beaucoup disposaient déjà d’un tel régime à l’époque de l’introduction de la Directive).  De telles considérations politiques ne surviendront généralement pas en dehors de l’UE.</w:t>
      </w:r>
    </w:p>
  </w:footnote>
  <w:footnote w:id="76">
    <w:p w14:paraId="088A7FF3" w14:textId="1154A76A"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On peut également noter que dans les pays de l’UE qui accordent également le droit de suite des artistes aux manuscrits originaux (qui ne relèvent pas du champ d’application de la Directive CE), au moins un pays (la Pologne) a opté pour un simple pourcentage (5%) de “revente effectuée par des professionnels” : article 19</w:t>
      </w:r>
      <w:r w:rsidRPr="00FA1A0F">
        <w:rPr>
          <w:szCs w:val="18"/>
          <w:vertAlign w:val="superscript"/>
        </w:rPr>
        <w:t>1</w:t>
      </w:r>
      <w:r w:rsidRPr="00FA1A0F">
        <w:rPr>
          <w:szCs w:val="18"/>
        </w:rPr>
        <w:t xml:space="preserve"> de la </w:t>
      </w:r>
      <w:r w:rsidR="005921AE">
        <w:rPr>
          <w:szCs w:val="18"/>
        </w:rPr>
        <w:t>l</w:t>
      </w:r>
      <w:r w:rsidRPr="00FA1A0F">
        <w:rPr>
          <w:szCs w:val="18"/>
        </w:rPr>
        <w:t>oi du 4 février 1994 sur le droit d’auteur et les droits voisins (texte consolidé) (Pologne).</w:t>
      </w:r>
    </w:p>
  </w:footnote>
  <w:footnote w:id="77">
    <w:p w14:paraId="445B4AB8" w14:textId="77777777"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Et anciennement en Italie dans sa loi de 1941.</w:t>
      </w:r>
    </w:p>
  </w:footnote>
  <w:footnote w:id="78">
    <w:p w14:paraId="7D4E4C95" w14:textId="3F7513F3"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Australie, loi de 2009 sur le droit de suite des artistes visuels, art. 18;  voir également la loi du Sénégal;  article 48 : “le droit de suite équivaut à </w:t>
      </w:r>
      <w:r w:rsidR="003866EB">
        <w:rPr>
          <w:rFonts w:ascii="Arial" w:hAnsi="Arial" w:cs="Arial"/>
          <w:sz w:val="18"/>
          <w:szCs w:val="18"/>
        </w:rPr>
        <w:t>cinq pour cent</w:t>
      </w:r>
      <w:r w:rsidRPr="00FA1A0F">
        <w:rPr>
          <w:rFonts w:ascii="Arial" w:hAnsi="Arial" w:cs="Arial"/>
          <w:sz w:val="18"/>
          <w:szCs w:val="18"/>
        </w:rPr>
        <w:t xml:space="preserve"> du droit de vente</w:t>
      </w:r>
      <w:r w:rsidR="003866EB">
        <w:rPr>
          <w:rFonts w:ascii="Arial" w:hAnsi="Arial" w:cs="Arial"/>
          <w:sz w:val="18"/>
          <w:szCs w:val="18"/>
        </w:rPr>
        <w:t>”</w:t>
      </w:r>
      <w:r w:rsidRPr="00FA1A0F">
        <w:rPr>
          <w:rFonts w:ascii="Arial" w:hAnsi="Arial" w:cs="Arial"/>
          <w:sz w:val="18"/>
          <w:szCs w:val="18"/>
        </w:rPr>
        <w:t>.</w:t>
      </w:r>
    </w:p>
  </w:footnote>
  <w:footnote w:id="79">
    <w:p w14:paraId="3FDCE4DE" w14:textId="77777777"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Directive CE, article 4.1.</w:t>
      </w:r>
    </w:p>
  </w:footnote>
  <w:footnote w:id="80">
    <w:p w14:paraId="1844F27D" w14:textId="77777777"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Ibid.</w:t>
      </w:r>
    </w:p>
  </w:footnote>
  <w:footnote w:id="81">
    <w:p w14:paraId="28177715" w14:textId="0F3B078E" w:rsidR="00A80AC5" w:rsidRPr="00FA1A0F" w:rsidRDefault="00A80AC5" w:rsidP="00FA1A0F">
      <w:pPr>
        <w:pStyle w:val="Footnote"/>
        <w:rPr>
          <w:rFonts w:ascii="Arial" w:hAnsi="Arial" w:cs="Arial"/>
          <w:i/>
          <w:iCs/>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Australie, loi de 2009 sur le droit de suite des artistes visuels, art. 10.1) (extrait dans le tableau 6 ci</w:t>
      </w:r>
      <w:r w:rsidR="00FA1A0F" w:rsidRPr="00FA1A0F">
        <w:rPr>
          <w:rFonts w:ascii="Arial" w:hAnsi="Arial" w:cs="Arial"/>
          <w:sz w:val="18"/>
          <w:szCs w:val="18"/>
        </w:rPr>
        <w:noBreakHyphen/>
      </w:r>
      <w:r w:rsidRPr="00FA1A0F">
        <w:rPr>
          <w:rFonts w:ascii="Arial" w:hAnsi="Arial" w:cs="Arial"/>
          <w:sz w:val="18"/>
          <w:szCs w:val="18"/>
        </w:rPr>
        <w:t xml:space="preserve">dessus, le fait de pouvoir fixer un taux plus élevé par voie de décret est clairement un avantage).  Voir également Kenya, </w:t>
      </w:r>
      <w:r w:rsidRPr="005921AE">
        <w:rPr>
          <w:rFonts w:ascii="Arial" w:hAnsi="Arial" w:cs="Arial"/>
          <w:iCs/>
          <w:sz w:val="18"/>
          <w:szCs w:val="18"/>
        </w:rPr>
        <w:t>loi de 2001 sur le droit d’auteur</w:t>
      </w:r>
      <w:r w:rsidRPr="00FA1A0F">
        <w:rPr>
          <w:rFonts w:ascii="Arial" w:hAnsi="Arial" w:cs="Arial"/>
          <w:i/>
          <w:sz w:val="18"/>
          <w:szCs w:val="18"/>
        </w:rPr>
        <w:t xml:space="preserve">, </w:t>
      </w:r>
      <w:r w:rsidRPr="00FA1A0F">
        <w:rPr>
          <w:rFonts w:ascii="Arial" w:hAnsi="Arial" w:cs="Arial"/>
          <w:sz w:val="18"/>
          <w:szCs w:val="18"/>
        </w:rPr>
        <w:t>article 26D.6)a).</w:t>
      </w:r>
    </w:p>
  </w:footnote>
  <w:footnote w:id="82">
    <w:p w14:paraId="27403A05" w14:textId="77777777" w:rsidR="00A80AC5" w:rsidRPr="00FA1A0F" w:rsidRDefault="00A80AC5" w:rsidP="00FA1A0F">
      <w:pPr>
        <w:pStyle w:val="FootnoteText"/>
        <w:spacing w:before="120" w:after="120"/>
        <w:rPr>
          <w:szCs w:val="18"/>
          <w:lang w:val="fr-FR"/>
        </w:rPr>
      </w:pPr>
      <w:r w:rsidRPr="00FA1A0F">
        <w:rPr>
          <w:rStyle w:val="FootnoteReference"/>
          <w:szCs w:val="18"/>
        </w:rPr>
        <w:footnoteRef/>
      </w:r>
      <w:r w:rsidRPr="00FA1A0F">
        <w:rPr>
          <w:szCs w:val="18"/>
        </w:rPr>
        <w:t xml:space="preserve"> </w:t>
      </w:r>
      <w:r w:rsidRPr="00FA1A0F">
        <w:rPr>
          <w:szCs w:val="18"/>
          <w:lang w:val="fr-FR"/>
        </w:rPr>
        <w:tab/>
        <w:t>Brésil, loi n° 9610 du 19 février 1998 sur le droit d’auteur et les droits connexes, article 38.</w:t>
      </w:r>
    </w:p>
  </w:footnote>
  <w:footnote w:id="83">
    <w:p w14:paraId="54FAD2E7" w14:textId="442FC55B"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Guatemala, loi sur le droit d’auteur et les droits connexes, décret 33</w:t>
      </w:r>
      <w:r w:rsidR="00FA1A0F" w:rsidRPr="00FA1A0F">
        <w:rPr>
          <w:rFonts w:ascii="Arial" w:hAnsi="Arial" w:cs="Arial"/>
          <w:sz w:val="18"/>
          <w:szCs w:val="18"/>
        </w:rPr>
        <w:noBreakHyphen/>
      </w:r>
      <w:r w:rsidRPr="00FA1A0F">
        <w:rPr>
          <w:rFonts w:ascii="Arial" w:hAnsi="Arial" w:cs="Arial"/>
          <w:sz w:val="18"/>
          <w:szCs w:val="18"/>
        </w:rPr>
        <w:t>98, article 38, qui s’applique aussi aux reventes de manuscrits originaux d’auteurs ou de compositeurs.</w:t>
      </w:r>
    </w:p>
  </w:footnote>
  <w:footnote w:id="84">
    <w:p w14:paraId="3579BB64" w14:textId="77777777" w:rsidR="00A80AC5" w:rsidRPr="00FA1A0F" w:rsidRDefault="00A80AC5"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Directive CE, article 1.4.</w:t>
      </w:r>
    </w:p>
  </w:footnote>
  <w:footnote w:id="85">
    <w:p w14:paraId="1A16AC25" w14:textId="77777777"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Espagne, loi n° 3/2008 du 20 décembre 2008 sur le droit de suite au profit de l’auteur d’une œuvre d’art originale, article 10.  Il s’agit désormais de l’article 24.16 du décret législatif royal n° 1/1996, du 12 avril 1996, approuvant le texte révisé de la loi sur la propriété intellectuelle (notre loi sur le droit d’auteur).  Cet article 24 a été modifié par la loi n° 2/2019 du 1</w:t>
      </w:r>
      <w:r w:rsidRPr="00FA1A0F">
        <w:rPr>
          <w:rFonts w:ascii="Arial" w:hAnsi="Arial" w:cs="Arial"/>
          <w:sz w:val="18"/>
          <w:szCs w:val="18"/>
          <w:vertAlign w:val="superscript"/>
        </w:rPr>
        <w:t>er</w:t>
      </w:r>
      <w:r w:rsidRPr="00FA1A0F">
        <w:rPr>
          <w:rFonts w:ascii="Arial" w:hAnsi="Arial" w:cs="Arial"/>
          <w:sz w:val="18"/>
          <w:szCs w:val="18"/>
        </w:rPr>
        <w:t> mars 2019 modifiant le texte révisé de la loi sur la propriété intellectuelle (…) et transposant la directive 2014/26/UE du Parlement européen et du Conseil du 26 février 2014 et la directive (UE) 2017/1564 du Parlement européen et du Conseil du 13 septembre 2017 dans le droit espagnol.</w:t>
      </w:r>
    </w:p>
  </w:footnote>
  <w:footnote w:id="86">
    <w:p w14:paraId="72D6BF7C" w14:textId="2A79AA1E"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Royaume</w:t>
      </w:r>
      <w:r w:rsidR="00FA1A0F" w:rsidRPr="00FA1A0F">
        <w:rPr>
          <w:rFonts w:ascii="Arial" w:hAnsi="Arial" w:cs="Arial"/>
          <w:sz w:val="18"/>
          <w:szCs w:val="18"/>
        </w:rPr>
        <w:noBreakHyphen/>
      </w:r>
      <w:r w:rsidRPr="00FA1A0F">
        <w:rPr>
          <w:rFonts w:ascii="Arial" w:hAnsi="Arial" w:cs="Arial"/>
          <w:sz w:val="18"/>
          <w:szCs w:val="18"/>
        </w:rPr>
        <w:t>Uni, règlement de 2006 sur le droit de suite des artistes, règle 13.</w:t>
      </w:r>
    </w:p>
  </w:footnote>
  <w:footnote w:id="87">
    <w:p w14:paraId="337CF328" w14:textId="77777777"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Australie, loi de 2009 sur le droit de suite des artistes visuels, article 20.</w:t>
      </w:r>
    </w:p>
  </w:footnote>
  <w:footnote w:id="88">
    <w:p w14:paraId="5B8909CA" w14:textId="02EDF499" w:rsidR="00A80AC5" w:rsidRPr="00FA1A0F" w:rsidRDefault="00A80AC5"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France, Code de la propriété intellectuelle, article R122</w:t>
      </w:r>
      <w:r w:rsidR="00FA1A0F" w:rsidRPr="00FA1A0F">
        <w:rPr>
          <w:szCs w:val="18"/>
        </w:rPr>
        <w:noBreakHyphen/>
      </w:r>
      <w:r w:rsidRPr="00FA1A0F">
        <w:rPr>
          <w:szCs w:val="18"/>
        </w:rPr>
        <w:t>9.</w:t>
      </w:r>
    </w:p>
  </w:footnote>
  <w:footnote w:id="89">
    <w:p w14:paraId="3349766E" w14:textId="77777777"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Ainsi, l’article 6.2 de la Directive CE prévoit que les États membres peuvent prévoir une gestion collective obligatoire ou facultative du droit de suite des artistes : voir le tableau 10.</w:t>
      </w:r>
    </w:p>
  </w:footnote>
  <w:footnote w:id="90">
    <w:p w14:paraId="245130F4" w14:textId="722220D6"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C’est le cas au Sénégal : voir la </w:t>
      </w:r>
      <w:r w:rsidR="005921AE">
        <w:rPr>
          <w:rFonts w:ascii="Arial" w:hAnsi="Arial" w:cs="Arial"/>
          <w:sz w:val="18"/>
          <w:szCs w:val="18"/>
        </w:rPr>
        <w:t>l</w:t>
      </w:r>
      <w:r w:rsidRPr="00FA1A0F">
        <w:rPr>
          <w:rFonts w:ascii="Arial" w:hAnsi="Arial" w:cs="Arial"/>
          <w:sz w:val="18"/>
          <w:szCs w:val="18"/>
        </w:rPr>
        <w:t>oi sénégalaise n° 2008</w:t>
      </w:r>
      <w:r w:rsidR="00FA1A0F" w:rsidRPr="00FA1A0F">
        <w:rPr>
          <w:rFonts w:ascii="Arial" w:hAnsi="Arial" w:cs="Arial"/>
          <w:sz w:val="18"/>
          <w:szCs w:val="18"/>
        </w:rPr>
        <w:noBreakHyphen/>
      </w:r>
      <w:r w:rsidRPr="00FA1A0F">
        <w:rPr>
          <w:rFonts w:ascii="Arial" w:hAnsi="Arial" w:cs="Arial"/>
          <w:sz w:val="18"/>
          <w:szCs w:val="18"/>
        </w:rPr>
        <w:t xml:space="preserve">09 du 25 janvier 2008 sur le droit d’auteur et les droits voisins, article 50.  Ces questions sont traitées de manière détaillée dans le </w:t>
      </w:r>
      <w:r w:rsidR="00041DF8">
        <w:rPr>
          <w:rFonts w:ascii="Arial" w:hAnsi="Arial" w:cs="Arial"/>
          <w:sz w:val="18"/>
          <w:szCs w:val="18"/>
        </w:rPr>
        <w:t>d</w:t>
      </w:r>
      <w:r w:rsidRPr="00FA1A0F">
        <w:rPr>
          <w:rFonts w:ascii="Arial" w:hAnsi="Arial" w:cs="Arial"/>
          <w:sz w:val="18"/>
          <w:szCs w:val="18"/>
        </w:rPr>
        <w:t>écret n° 2015</w:t>
      </w:r>
      <w:r w:rsidR="00FA1A0F" w:rsidRPr="00FA1A0F">
        <w:rPr>
          <w:rFonts w:ascii="Arial" w:hAnsi="Arial" w:cs="Arial"/>
          <w:sz w:val="18"/>
          <w:szCs w:val="18"/>
        </w:rPr>
        <w:noBreakHyphen/>
      </w:r>
      <w:r w:rsidRPr="00FA1A0F">
        <w:rPr>
          <w:rFonts w:ascii="Arial" w:hAnsi="Arial" w:cs="Arial"/>
          <w:sz w:val="18"/>
          <w:szCs w:val="18"/>
        </w:rPr>
        <w:t>682 du 26 mai 2015 portant application de la loi n° 2008</w:t>
      </w:r>
      <w:r w:rsidR="00FA1A0F" w:rsidRPr="00FA1A0F">
        <w:rPr>
          <w:rFonts w:ascii="Arial" w:hAnsi="Arial" w:cs="Arial"/>
          <w:sz w:val="18"/>
          <w:szCs w:val="18"/>
        </w:rPr>
        <w:noBreakHyphen/>
      </w:r>
      <w:r w:rsidRPr="00FA1A0F">
        <w:rPr>
          <w:rFonts w:ascii="Arial" w:hAnsi="Arial" w:cs="Arial"/>
          <w:sz w:val="18"/>
          <w:szCs w:val="18"/>
        </w:rPr>
        <w:t>09 du 25 janvier 2008 sur le droit d’auteur et les droits voisins, titre VI, articles 23 à 29, notamment dans l’article 29 qui rend l’administration collective obligatoire.</w:t>
      </w:r>
    </w:p>
  </w:footnote>
  <w:footnote w:id="91">
    <w:p w14:paraId="59CFD60F" w14:textId="77777777" w:rsidR="00A80AC5" w:rsidRPr="00FA1A0F" w:rsidRDefault="00A80AC5" w:rsidP="00FA1A0F">
      <w:pPr>
        <w:pStyle w:val="FootnoteText"/>
        <w:tabs>
          <w:tab w:val="left" w:pos="567"/>
        </w:tabs>
        <w:spacing w:before="120" w:after="120"/>
        <w:rPr>
          <w:szCs w:val="18"/>
          <w:lang w:val="fr-FR"/>
        </w:rPr>
      </w:pPr>
      <w:r w:rsidRPr="00FA1A0F">
        <w:rPr>
          <w:rStyle w:val="FootnoteReference"/>
          <w:szCs w:val="18"/>
        </w:rPr>
        <w:footnoteRef/>
      </w:r>
      <w:r w:rsidRPr="00FA1A0F">
        <w:rPr>
          <w:szCs w:val="18"/>
        </w:rPr>
        <w:t xml:space="preserve"> </w:t>
      </w:r>
      <w:r w:rsidRPr="00FA1A0F">
        <w:rPr>
          <w:szCs w:val="18"/>
        </w:rPr>
        <w:tab/>
        <w:t>Voir également la discussion aux paragraphes 80 et suivants de la partie II du présent instrument.</w:t>
      </w:r>
    </w:p>
  </w:footnote>
  <w:footnote w:id="92">
    <w:p w14:paraId="1553D9FD" w14:textId="5C0E1FBE" w:rsidR="00A80AC5" w:rsidRPr="00FA1A0F" w:rsidRDefault="00A80AC5" w:rsidP="00FA1A0F">
      <w:pPr>
        <w:pStyle w:val="FootnoteText"/>
        <w:tabs>
          <w:tab w:val="left" w:pos="567"/>
        </w:tabs>
        <w:spacing w:before="120" w:after="120"/>
        <w:rPr>
          <w:szCs w:val="18"/>
          <w:lang w:val="fr-FR"/>
        </w:rPr>
      </w:pPr>
      <w:r w:rsidRPr="00FA1A0F">
        <w:rPr>
          <w:rStyle w:val="FootnoteReference"/>
          <w:szCs w:val="18"/>
        </w:rPr>
        <w:footnoteRef/>
      </w:r>
      <w:r w:rsidRPr="00FA1A0F">
        <w:rPr>
          <w:szCs w:val="18"/>
        </w:rPr>
        <w:t xml:space="preserve"> </w:t>
      </w:r>
      <w:r w:rsidRPr="00FA1A0F">
        <w:rPr>
          <w:szCs w:val="18"/>
        </w:rPr>
        <w:tab/>
        <w:t xml:space="preserve">Pour une discussion plus approfondie de ces questions et de la manière dont les technologies pourraient fonctionner ici, voir la discussion intéressante dans le rapport de la commission de la culture, des médias et des sports de la Chambre des communes britannique, </w:t>
      </w:r>
      <w:r w:rsidRPr="00FA1A0F">
        <w:rPr>
          <w:i/>
          <w:iCs/>
          <w:szCs w:val="18"/>
        </w:rPr>
        <w:t>NFTS and the Blockchain : the risks to sport and culture</w:t>
      </w:r>
      <w:r w:rsidRPr="00FA1A0F">
        <w:rPr>
          <w:szCs w:val="18"/>
        </w:rPr>
        <w:t>, quatorzième rapport de la session 2022</w:t>
      </w:r>
      <w:r w:rsidR="00FA1A0F" w:rsidRPr="00FA1A0F">
        <w:rPr>
          <w:szCs w:val="18"/>
        </w:rPr>
        <w:noBreakHyphen/>
      </w:r>
      <w:r w:rsidRPr="00FA1A0F">
        <w:rPr>
          <w:szCs w:val="18"/>
        </w:rPr>
        <w:t>2023, rapport, accompagné du procès</w:t>
      </w:r>
      <w:r w:rsidR="00FA1A0F" w:rsidRPr="00FA1A0F">
        <w:rPr>
          <w:szCs w:val="18"/>
        </w:rPr>
        <w:noBreakHyphen/>
      </w:r>
      <w:r w:rsidRPr="00FA1A0F">
        <w:rPr>
          <w:szCs w:val="18"/>
        </w:rPr>
        <w:t>verbal officiel relatif au rapport, dont la Chambre des communes a ordonné l’impression le 19 septembre 2023, chapitre premier, et voir également les témoignages écrits de la DACS à la commission, disponibles à l’adresse https://committees.  parliament.uk/writtenevidence/114737/html/ (consulté le 2 février 2025).</w:t>
      </w:r>
    </w:p>
  </w:footnote>
  <w:footnote w:id="93">
    <w:p w14:paraId="4CDE7EE6" w14:textId="7039523F" w:rsidR="00A80AC5" w:rsidRPr="00FA1A0F" w:rsidRDefault="00A80AC5"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Voir également, sur ces lacunes, Maria Gracia Santillano Linares, “Requiem for Royalties: NFT Exchanges Abandon Recurring Compensation for Artists”, Forbes, 17 septembre 2023;  également mentionné dans la soumission écrite de la DACS à la commission de la Chambre des communes britannique mentionnée ci</w:t>
      </w:r>
      <w:r w:rsidR="00FA1A0F" w:rsidRPr="00FA1A0F">
        <w:rPr>
          <w:szCs w:val="18"/>
        </w:rPr>
        <w:noBreakHyphen/>
      </w:r>
      <w:r w:rsidRPr="00FA1A0F">
        <w:rPr>
          <w:szCs w:val="18"/>
        </w:rPr>
        <w:t>dessus et disponible à l’adresse https://committees.parliament.uk/writtenevidence/114737/html/ (consulté le 2 février 2025).  Voir également la brève discussion au paragraphe 80 de la partie II du présent instrument.</w:t>
      </w:r>
    </w:p>
  </w:footnote>
  <w:footnote w:id="94">
    <w:p w14:paraId="0EB71C0B" w14:textId="77777777" w:rsidR="00A80AC5" w:rsidRPr="00FA1A0F" w:rsidRDefault="00A80AC5"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Directive CE, article 6.2.</w:t>
      </w:r>
    </w:p>
  </w:footnote>
  <w:footnote w:id="95">
    <w:p w14:paraId="21BB8759" w14:textId="77777777" w:rsidR="00A80AC5" w:rsidRPr="00FA1A0F" w:rsidRDefault="00A80AC5"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Mexique, loi fédérale sur le droit d’auteur de 1996, article 93</w:t>
      </w:r>
      <w:r w:rsidRPr="00FA1A0F">
        <w:rPr>
          <w:i/>
          <w:szCs w:val="18"/>
        </w:rPr>
        <w:t>bis.</w:t>
      </w:r>
      <w:r w:rsidRPr="00FA1A0F">
        <w:rPr>
          <w:szCs w:val="18"/>
        </w:rPr>
        <w:t>II).  Il en va de même pour les droits patrimoniaux qui sont traités à l’article 29.</w:t>
      </w:r>
    </w:p>
  </w:footnote>
  <w:footnote w:id="96">
    <w:p w14:paraId="32442166" w14:textId="77777777"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Comme dans le Règlement britannique sur le droit de suite des artistes, article 3.2).</w:t>
      </w:r>
    </w:p>
  </w:footnote>
  <w:footnote w:id="97">
    <w:p w14:paraId="7AC20524" w14:textId="65646F63" w:rsidR="00A80AC5" w:rsidRPr="000D042E"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Comme au Mexique : voir l’article 92</w:t>
      </w:r>
      <w:r w:rsidRPr="00FA1A0F">
        <w:rPr>
          <w:rFonts w:ascii="Arial" w:hAnsi="Arial" w:cs="Arial"/>
          <w:i/>
          <w:sz w:val="18"/>
          <w:szCs w:val="18"/>
        </w:rPr>
        <w:t>bis.</w:t>
      </w:r>
      <w:r w:rsidRPr="00FA1A0F">
        <w:rPr>
          <w:rFonts w:ascii="Arial" w:hAnsi="Arial" w:cs="Arial"/>
          <w:sz w:val="18"/>
          <w:szCs w:val="18"/>
        </w:rPr>
        <w:t>II)</w:t>
      </w:r>
      <w:r w:rsidR="00041DF8">
        <w:rPr>
          <w:rFonts w:ascii="Arial" w:hAnsi="Arial" w:cs="Arial"/>
          <w:sz w:val="18"/>
          <w:szCs w:val="18"/>
        </w:rPr>
        <w:t xml:space="preserve"> de la </w:t>
      </w:r>
      <w:r w:rsidR="00041DF8" w:rsidRPr="000D042E">
        <w:rPr>
          <w:rFonts w:ascii="Arial" w:hAnsi="Arial" w:cs="Arial"/>
          <w:sz w:val="18"/>
          <w:szCs w:val="18"/>
        </w:rPr>
        <w:t>l</w:t>
      </w:r>
      <w:r w:rsidRPr="000D042E">
        <w:rPr>
          <w:rFonts w:ascii="Arial" w:hAnsi="Arial" w:cs="Arial"/>
          <w:sz w:val="18"/>
          <w:szCs w:val="18"/>
        </w:rPr>
        <w:t>oi fédérale sur le droit d’auteur de 1996.</w:t>
      </w:r>
    </w:p>
  </w:footnote>
  <w:footnote w:id="98">
    <w:p w14:paraId="004C3409" w14:textId="77777777"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Australie, loi de 2009 sur le droit des suites des artistes visuels, article 32.b).</w:t>
      </w:r>
    </w:p>
  </w:footnote>
  <w:footnote w:id="99">
    <w:p w14:paraId="0674FDC9" w14:textId="77777777" w:rsidR="00A80AC5" w:rsidRPr="00FA1A0F" w:rsidRDefault="00A80AC5"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Cela peut être important en Australie où l’“œuvre de collaboration” est définie à l’article 10.1) de la loi de 1968 sur le droit d’auteur comme une œuvre “produite par la collaboration de deux auteurs ou plus et dans laquelle la contribution de chaque auteur n’est pas distincte de la contribution de l’autre auteur ou des contributions des autres auteurs”.  L’expression “plus d’un artiste” n’implique pas nécessairement qu’il y ait eu collaboration entre eux, par exemple, chaque artiste peut avoir contribué à l’œuvre à des moments ou des endroits différents.</w:t>
      </w:r>
    </w:p>
  </w:footnote>
  <w:footnote w:id="100">
    <w:p w14:paraId="5138CA8E" w14:textId="77777777" w:rsidR="00A80AC5" w:rsidRPr="00FA1A0F" w:rsidRDefault="00A80AC5"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Brésil, loi n° 9610 du 19 février 1998 sur le droit d’auteur et les droits connexes, article 41.</w:t>
      </w:r>
    </w:p>
  </w:footnote>
  <w:footnote w:id="101">
    <w:p w14:paraId="0ABF9D31" w14:textId="63E4AEF6" w:rsidR="00A80AC5" w:rsidRPr="00FA1A0F" w:rsidRDefault="00A80AC5"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Royaume</w:t>
      </w:r>
      <w:r w:rsidR="00FA1A0F" w:rsidRPr="00FA1A0F">
        <w:rPr>
          <w:szCs w:val="18"/>
        </w:rPr>
        <w:noBreakHyphen/>
      </w:r>
      <w:r w:rsidRPr="00FA1A0F">
        <w:rPr>
          <w:szCs w:val="18"/>
        </w:rPr>
        <w:t>Uni, règlement de 2006 sur le droit de suite, règles 7.3) à 5).</w:t>
      </w:r>
    </w:p>
  </w:footnote>
  <w:footnote w:id="102">
    <w:p w14:paraId="73FE07D6" w14:textId="62D17CC2"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Directive CE, article 1.1.  Dans le même sens, voir la </w:t>
      </w:r>
      <w:r w:rsidR="00041DF8">
        <w:rPr>
          <w:rFonts w:ascii="Arial" w:hAnsi="Arial" w:cs="Arial"/>
          <w:iCs/>
          <w:sz w:val="18"/>
          <w:szCs w:val="18"/>
        </w:rPr>
        <w:t>l</w:t>
      </w:r>
      <w:r w:rsidRPr="00FA1A0F">
        <w:rPr>
          <w:rFonts w:ascii="Arial" w:hAnsi="Arial" w:cs="Arial"/>
          <w:iCs/>
          <w:sz w:val="18"/>
          <w:szCs w:val="18"/>
        </w:rPr>
        <w:t>oi kényane sur le droit d’auteur de 2001,</w:t>
      </w:r>
      <w:r w:rsidRPr="00FA1A0F">
        <w:rPr>
          <w:rFonts w:ascii="Arial" w:hAnsi="Arial" w:cs="Arial"/>
          <w:sz w:val="18"/>
          <w:szCs w:val="18"/>
        </w:rPr>
        <w:t xml:space="preserve"> article 26D.2).</w:t>
      </w:r>
    </w:p>
  </w:footnote>
  <w:footnote w:id="103">
    <w:p w14:paraId="737F8EEE" w14:textId="77777777" w:rsidR="00A80AC5" w:rsidRPr="00FA1A0F" w:rsidRDefault="00A80AC5"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t>Grèce, loi 2121/1993, article 5.1.</w:t>
      </w:r>
    </w:p>
  </w:footnote>
  <w:footnote w:id="104">
    <w:p w14:paraId="7F9B39C4" w14:textId="7686CB6D"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Royaume</w:t>
      </w:r>
      <w:r w:rsidR="00FA1A0F" w:rsidRPr="00FA1A0F">
        <w:rPr>
          <w:rFonts w:ascii="Arial" w:hAnsi="Arial" w:cs="Arial"/>
          <w:sz w:val="18"/>
          <w:szCs w:val="18"/>
        </w:rPr>
        <w:noBreakHyphen/>
      </w:r>
      <w:r w:rsidRPr="00FA1A0F">
        <w:rPr>
          <w:rFonts w:ascii="Arial" w:hAnsi="Arial" w:cs="Arial"/>
          <w:sz w:val="18"/>
          <w:szCs w:val="18"/>
        </w:rPr>
        <w:t>Uni, règlement sur le droit de suite des artistes, règles 7 et 8.</w:t>
      </w:r>
    </w:p>
  </w:footnote>
  <w:footnote w:id="105">
    <w:p w14:paraId="01041768" w14:textId="77777777"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Adapté de la loi australienne de 2009 sur le droit de suite des artistes visuels, articles 33 et 34.</w:t>
      </w:r>
    </w:p>
  </w:footnote>
  <w:footnote w:id="106">
    <w:p w14:paraId="1502A65C" w14:textId="77777777" w:rsidR="00A80AC5" w:rsidRPr="00FA1A0F" w:rsidRDefault="00A80AC5" w:rsidP="00FA1A0F">
      <w:pPr>
        <w:pStyle w:val="FootnoteText"/>
        <w:tabs>
          <w:tab w:val="left" w:pos="567"/>
        </w:tabs>
        <w:spacing w:before="120" w:after="120"/>
        <w:rPr>
          <w:szCs w:val="18"/>
          <w:lang w:val="fr-FR"/>
        </w:rPr>
      </w:pPr>
      <w:r w:rsidRPr="00FA1A0F">
        <w:rPr>
          <w:rStyle w:val="FootnoteReference"/>
          <w:szCs w:val="18"/>
        </w:rPr>
        <w:footnoteRef/>
      </w:r>
      <w:r w:rsidRPr="00FA1A0F">
        <w:rPr>
          <w:szCs w:val="18"/>
        </w:rPr>
        <w:t xml:space="preserve"> </w:t>
      </w:r>
      <w:r w:rsidRPr="00FA1A0F">
        <w:rPr>
          <w:szCs w:val="18"/>
          <w:lang w:val="fr-FR"/>
        </w:rPr>
        <w:tab/>
        <w:t>Lettonie, loi de 2003 sur le droit d’auteur (telle que modifiée), art. 17.1) et 7).</w:t>
      </w:r>
    </w:p>
  </w:footnote>
  <w:footnote w:id="107">
    <w:p w14:paraId="21B4C608" w14:textId="5673C1AC" w:rsidR="00A80AC5" w:rsidRPr="00FA1A0F" w:rsidRDefault="00A80AC5" w:rsidP="00FA1A0F">
      <w:pPr>
        <w:pStyle w:val="FootnoteText"/>
        <w:tabs>
          <w:tab w:val="left" w:pos="567"/>
        </w:tabs>
        <w:spacing w:before="120" w:after="120"/>
        <w:rPr>
          <w:szCs w:val="18"/>
          <w:lang w:val="fr-FR"/>
        </w:rPr>
      </w:pPr>
      <w:r w:rsidRPr="00FA1A0F">
        <w:rPr>
          <w:rStyle w:val="FootnoteReference"/>
          <w:szCs w:val="18"/>
        </w:rPr>
        <w:footnoteRef/>
      </w:r>
      <w:r w:rsidRPr="00FA1A0F">
        <w:rPr>
          <w:szCs w:val="18"/>
        </w:rPr>
        <w:t xml:space="preserve"> </w:t>
      </w:r>
      <w:r w:rsidRPr="00FA1A0F">
        <w:rPr>
          <w:szCs w:val="18"/>
          <w:lang w:val="fr-FR"/>
        </w:rPr>
        <w:tab/>
        <w:t>Nouvelle</w:t>
      </w:r>
      <w:r w:rsidR="00FA1A0F" w:rsidRPr="00FA1A0F">
        <w:rPr>
          <w:szCs w:val="18"/>
          <w:lang w:val="fr-FR"/>
        </w:rPr>
        <w:noBreakHyphen/>
      </w:r>
      <w:r w:rsidRPr="00FA1A0F">
        <w:rPr>
          <w:szCs w:val="18"/>
          <w:lang w:val="fr-FR"/>
        </w:rPr>
        <w:t>Zélande, loi de 2023 sur le droit de suite des artistes visuels, article 19.</w:t>
      </w:r>
    </w:p>
  </w:footnote>
  <w:footnote w:id="108">
    <w:p w14:paraId="2F1DDF23" w14:textId="0A747CFD" w:rsidR="00A80AC5" w:rsidRPr="00FA1A0F" w:rsidRDefault="00A80AC5" w:rsidP="00FA1A0F">
      <w:pPr>
        <w:pStyle w:val="FootnoteText"/>
        <w:tabs>
          <w:tab w:val="left" w:pos="567"/>
        </w:tabs>
        <w:spacing w:before="120" w:after="120"/>
        <w:rPr>
          <w:szCs w:val="18"/>
          <w:lang w:val="fr-FR"/>
        </w:rPr>
      </w:pPr>
      <w:r w:rsidRPr="00FA1A0F">
        <w:rPr>
          <w:rStyle w:val="FootnoteReference"/>
          <w:szCs w:val="18"/>
        </w:rPr>
        <w:footnoteRef/>
      </w:r>
      <w:r w:rsidRPr="00FA1A0F">
        <w:rPr>
          <w:szCs w:val="18"/>
        </w:rPr>
        <w:t xml:space="preserve"> </w:t>
      </w:r>
      <w:r w:rsidRPr="00FA1A0F">
        <w:rPr>
          <w:szCs w:val="18"/>
        </w:rPr>
        <w:tab/>
      </w:r>
      <w:r w:rsidRPr="00FA1A0F">
        <w:rPr>
          <w:szCs w:val="18"/>
          <w:lang w:val="fr-FR"/>
        </w:rPr>
        <w:t>Nouvelle</w:t>
      </w:r>
      <w:r w:rsidR="00FA1A0F" w:rsidRPr="00FA1A0F">
        <w:rPr>
          <w:szCs w:val="18"/>
          <w:lang w:val="fr-FR"/>
        </w:rPr>
        <w:noBreakHyphen/>
      </w:r>
      <w:r w:rsidRPr="00FA1A0F">
        <w:rPr>
          <w:szCs w:val="18"/>
          <w:lang w:val="fr-FR"/>
        </w:rPr>
        <w:t>Zélande, règlement de 2024 sur le droit de suite des artistes visuels, règles 14 et 15.</w:t>
      </w:r>
    </w:p>
  </w:footnote>
  <w:footnote w:id="109">
    <w:p w14:paraId="420ED3DB" w14:textId="77777777" w:rsidR="00A80AC5" w:rsidRPr="00FA1A0F" w:rsidRDefault="00A80AC5" w:rsidP="00FA1A0F">
      <w:pPr>
        <w:pStyle w:val="FootnoteText"/>
        <w:tabs>
          <w:tab w:val="left" w:pos="567"/>
        </w:tabs>
        <w:spacing w:before="120" w:after="120"/>
        <w:rPr>
          <w:szCs w:val="18"/>
          <w:lang w:val="fr-FR"/>
        </w:rPr>
      </w:pPr>
      <w:r w:rsidRPr="00FA1A0F">
        <w:rPr>
          <w:rStyle w:val="FootnoteReference"/>
          <w:szCs w:val="18"/>
        </w:rPr>
        <w:footnoteRef/>
      </w:r>
      <w:r w:rsidRPr="00FA1A0F">
        <w:rPr>
          <w:szCs w:val="18"/>
          <w:lang w:val="fr-FR"/>
        </w:rPr>
        <w:t xml:space="preserve"> </w:t>
      </w:r>
      <w:r w:rsidRPr="00FA1A0F">
        <w:rPr>
          <w:szCs w:val="18"/>
          <w:lang w:val="fr-FR"/>
        </w:rPr>
        <w:tab/>
        <w:t>Règlement sur le droit de suite des artistes de 2006, règle 10.1) et 3).</w:t>
      </w:r>
    </w:p>
  </w:footnote>
  <w:footnote w:id="110">
    <w:p w14:paraId="4DE24330" w14:textId="59F73D48" w:rsidR="00A80AC5" w:rsidRPr="00FA1A0F" w:rsidRDefault="00A80AC5" w:rsidP="00FA1A0F">
      <w:pPr>
        <w:pStyle w:val="Footnote"/>
        <w:tabs>
          <w:tab w:val="left" w:pos="567"/>
        </w:tabs>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Basé sur la législation du Sénégal, </w:t>
      </w:r>
      <w:r w:rsidR="00041DF8">
        <w:rPr>
          <w:rFonts w:ascii="Arial" w:hAnsi="Arial" w:cs="Arial"/>
          <w:sz w:val="18"/>
          <w:szCs w:val="18"/>
        </w:rPr>
        <w:t>d</w:t>
      </w:r>
      <w:r w:rsidRPr="00FA1A0F">
        <w:rPr>
          <w:rFonts w:ascii="Arial" w:hAnsi="Arial" w:cs="Arial"/>
          <w:sz w:val="18"/>
          <w:szCs w:val="18"/>
        </w:rPr>
        <w:t>écret n° 2015 – 682 du 26 mai 2015 portant application de la loi n° 2008 – 09 du 25 janvier 2008 sur le droit d’auteur et les droits voisins, titre VI, article 25.1) et 2).  Dans le même sens, voir le décret français de 2007, article R 122</w:t>
      </w:r>
      <w:r w:rsidR="00FA1A0F" w:rsidRPr="00FA1A0F">
        <w:rPr>
          <w:rFonts w:ascii="Arial" w:hAnsi="Arial" w:cs="Arial"/>
          <w:sz w:val="18"/>
          <w:szCs w:val="18"/>
        </w:rPr>
        <w:noBreakHyphen/>
      </w:r>
      <w:r w:rsidRPr="00FA1A0F">
        <w:rPr>
          <w:rFonts w:ascii="Arial" w:hAnsi="Arial" w:cs="Arial"/>
          <w:sz w:val="18"/>
          <w:szCs w:val="18"/>
        </w:rPr>
        <w:t>4 (deuxième paragraphe).</w:t>
      </w:r>
    </w:p>
  </w:footnote>
  <w:footnote w:id="111">
    <w:p w14:paraId="7C385EFA" w14:textId="6F2125D5" w:rsidR="00A80AC5" w:rsidRPr="00FA1A0F" w:rsidRDefault="00A80AC5" w:rsidP="00FA1A0F">
      <w:pPr>
        <w:pStyle w:val="FootnoteText"/>
        <w:tabs>
          <w:tab w:val="left" w:pos="567"/>
        </w:tabs>
        <w:spacing w:before="120" w:after="120"/>
        <w:rPr>
          <w:szCs w:val="18"/>
        </w:rPr>
      </w:pPr>
      <w:r w:rsidRPr="00FA1A0F">
        <w:rPr>
          <w:rStyle w:val="FootnoteReference"/>
          <w:szCs w:val="18"/>
        </w:rPr>
        <w:footnoteRef/>
      </w:r>
      <w:r w:rsidRPr="00FA1A0F">
        <w:rPr>
          <w:szCs w:val="18"/>
        </w:rPr>
        <w:t xml:space="preserve"> </w:t>
      </w:r>
      <w:r w:rsidRPr="00FA1A0F">
        <w:rPr>
          <w:szCs w:val="18"/>
        </w:rPr>
        <w:tab/>
      </w:r>
      <w:r w:rsidRPr="00FA1A0F">
        <w:rPr>
          <w:szCs w:val="18"/>
          <w:lang w:val="fr-FR"/>
        </w:rPr>
        <w:t>France, Code de la propriété intellectuelle, article R 122</w:t>
      </w:r>
      <w:r w:rsidR="00FA1A0F" w:rsidRPr="00FA1A0F">
        <w:rPr>
          <w:szCs w:val="18"/>
          <w:lang w:val="fr-FR"/>
        </w:rPr>
        <w:noBreakHyphen/>
      </w:r>
      <w:r w:rsidRPr="00FA1A0F">
        <w:rPr>
          <w:szCs w:val="18"/>
          <w:lang w:val="fr-FR"/>
        </w:rPr>
        <w:t>4, premier paragraphe.</w:t>
      </w:r>
    </w:p>
  </w:footnote>
  <w:footnote w:id="112">
    <w:p w14:paraId="19A09528" w14:textId="77777777"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Directive EC, article 7.</w:t>
      </w:r>
    </w:p>
  </w:footnote>
  <w:footnote w:id="113">
    <w:p w14:paraId="4086EE95" w14:textId="77777777"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Australie, loi de 2009 sur le droit de suite des artistes visuels, articles 13 et 14.</w:t>
      </w:r>
    </w:p>
  </w:footnote>
  <w:footnote w:id="114">
    <w:p w14:paraId="137B95CF" w14:textId="77777777"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Australie, règlement de 2021 sur le droit de suite des artistes visuels, règle 6A.</w:t>
      </w:r>
    </w:p>
  </w:footnote>
  <w:footnote w:id="115">
    <w:p w14:paraId="072EEB36" w14:textId="77777777" w:rsidR="00A80AC5" w:rsidRPr="00FA1A0F" w:rsidRDefault="00A80AC5" w:rsidP="00FA1A0F">
      <w:pPr>
        <w:pStyle w:val="Footnote"/>
        <w:tabs>
          <w:tab w:val="left" w:pos="567"/>
        </w:tabs>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Rédigé de manière à être cohérent avec les dispositions de l’article 14</w:t>
      </w:r>
      <w:r w:rsidRPr="00FA1A0F">
        <w:rPr>
          <w:rFonts w:ascii="Arial" w:hAnsi="Arial" w:cs="Arial"/>
          <w:i/>
          <w:iCs/>
          <w:sz w:val="18"/>
          <w:szCs w:val="18"/>
        </w:rPr>
        <w:t>ter</w:t>
      </w:r>
      <w:r w:rsidRPr="00FA1A0F">
        <w:rPr>
          <w:rFonts w:ascii="Arial" w:hAnsi="Arial" w:cs="Arial"/>
          <w:sz w:val="18"/>
          <w:szCs w:val="18"/>
        </w:rPr>
        <w:t xml:space="preserve"> de la Convention de Berne.</w:t>
      </w:r>
    </w:p>
  </w:footnote>
  <w:footnote w:id="116">
    <w:p w14:paraId="67922436" w14:textId="77777777"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Directive CE, article 6.1.</w:t>
      </w:r>
    </w:p>
  </w:footnote>
  <w:footnote w:id="117">
    <w:p w14:paraId="6C84223A" w14:textId="77777777" w:rsidR="00A80AC5" w:rsidRPr="00FA1A0F" w:rsidRDefault="00A80AC5" w:rsidP="00FA1A0F">
      <w:pPr>
        <w:pStyle w:val="Default"/>
        <w:spacing w:before="120" w:after="120"/>
        <w:rPr>
          <w:sz w:val="18"/>
          <w:szCs w:val="18"/>
          <w:lang w:val="fr-CH"/>
        </w:rPr>
      </w:pPr>
      <w:r w:rsidRPr="00FA1A0F">
        <w:rPr>
          <w:rStyle w:val="FootnoteReference"/>
          <w:sz w:val="18"/>
          <w:szCs w:val="18"/>
        </w:rPr>
        <w:footnoteRef/>
      </w:r>
      <w:r w:rsidRPr="00FA1A0F">
        <w:rPr>
          <w:sz w:val="18"/>
          <w:szCs w:val="18"/>
          <w:lang w:val="fr-CH"/>
        </w:rPr>
        <w:tab/>
        <w:t>Loi fédérale du Mexique sur le droit d’auteur</w:t>
      </w:r>
      <w:r w:rsidRPr="00FA1A0F">
        <w:rPr>
          <w:rFonts w:eastAsia="Times New Roman"/>
          <w:sz w:val="18"/>
          <w:szCs w:val="18"/>
          <w:lang w:val="fr-CH" w:eastAsia="fr-CH"/>
        </w:rPr>
        <w:t xml:space="preserve"> de 1997, </w:t>
      </w:r>
      <w:r w:rsidRPr="00FA1A0F">
        <w:rPr>
          <w:sz w:val="18"/>
          <w:szCs w:val="18"/>
          <w:lang w:val="fr-CH"/>
        </w:rPr>
        <w:t>art. 92</w:t>
      </w:r>
      <w:r w:rsidRPr="00FA1A0F">
        <w:rPr>
          <w:i/>
          <w:iCs/>
          <w:sz w:val="18"/>
          <w:szCs w:val="18"/>
          <w:lang w:val="fr-CH"/>
        </w:rPr>
        <w:t xml:space="preserve">bis. </w:t>
      </w:r>
      <w:r w:rsidRPr="00FA1A0F">
        <w:rPr>
          <w:i/>
          <w:sz w:val="18"/>
          <w:szCs w:val="18"/>
          <w:lang w:val="fr-CH"/>
        </w:rPr>
        <w:t xml:space="preserve"> </w:t>
      </w:r>
      <w:r w:rsidRPr="00FA1A0F">
        <w:rPr>
          <w:sz w:val="18"/>
          <w:szCs w:val="18"/>
          <w:lang w:val="fr-CH"/>
        </w:rPr>
        <w:t>Pour une disposition similaire, voir la loi 203 de la Lettonie sur le droit d’auteur (telle que modifiée), art. 17.9) :</w:t>
      </w:r>
    </w:p>
    <w:p w14:paraId="2421F984" w14:textId="77777777" w:rsidR="00A80AC5" w:rsidRPr="00FA1A0F" w:rsidRDefault="00A80AC5" w:rsidP="00FA1A0F">
      <w:pPr>
        <w:pStyle w:val="Default"/>
        <w:spacing w:before="120" w:after="120"/>
        <w:ind w:left="567"/>
        <w:rPr>
          <w:sz w:val="18"/>
          <w:szCs w:val="18"/>
          <w:lang w:val="fr-CH"/>
        </w:rPr>
      </w:pPr>
      <w:r w:rsidRPr="00FA1A0F">
        <w:rPr>
          <w:color w:val="414142"/>
          <w:sz w:val="18"/>
          <w:szCs w:val="18"/>
          <w:lang w:val="fr-CH"/>
        </w:rPr>
        <w:t>Après le décès de l’auteur, les droits visés au présent article sont dévolus aux héritiers de l’auteur.</w:t>
      </w:r>
    </w:p>
  </w:footnote>
  <w:footnote w:id="118">
    <w:p w14:paraId="466E0CE7" w14:textId="77777777"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Voir aussi le règlement britannique sur le droit de suite, règle 9.</w:t>
      </w:r>
    </w:p>
  </w:footnote>
  <w:footnote w:id="119">
    <w:p w14:paraId="06F1CC7E" w14:textId="764698FC" w:rsidR="00A80AC5" w:rsidRPr="00FA1A0F" w:rsidRDefault="00A80AC5" w:rsidP="00FA1A0F">
      <w:pPr>
        <w:autoSpaceDE w:val="0"/>
        <w:autoSpaceDN w:val="0"/>
        <w:adjustRightInd w:val="0"/>
        <w:spacing w:before="120" w:after="120"/>
        <w:rPr>
          <w:rFonts w:eastAsia="Times New Roman"/>
          <w:sz w:val="18"/>
          <w:szCs w:val="18"/>
          <w:lang w:eastAsia="fr-CH"/>
        </w:rPr>
      </w:pPr>
      <w:r w:rsidRPr="00FA1A0F">
        <w:rPr>
          <w:rStyle w:val="FootnoteReference"/>
          <w:sz w:val="18"/>
          <w:szCs w:val="18"/>
        </w:rPr>
        <w:footnoteRef/>
      </w:r>
      <w:r w:rsidRPr="00FA1A0F">
        <w:rPr>
          <w:rFonts w:eastAsia="Times New Roman"/>
          <w:sz w:val="18"/>
          <w:szCs w:val="18"/>
          <w:lang w:eastAsia="fr-CH"/>
        </w:rPr>
        <w:t xml:space="preserve"> </w:t>
      </w:r>
      <w:r w:rsidRPr="00FA1A0F">
        <w:rPr>
          <w:rFonts w:eastAsia="Times New Roman"/>
          <w:sz w:val="18"/>
          <w:szCs w:val="18"/>
          <w:lang w:eastAsia="fr-CH"/>
        </w:rPr>
        <w:tab/>
        <w:t>Loi de la Nouvelle</w:t>
      </w:r>
      <w:r w:rsidR="00FA1A0F" w:rsidRPr="00FA1A0F">
        <w:rPr>
          <w:rFonts w:eastAsia="Times New Roman"/>
          <w:sz w:val="18"/>
          <w:szCs w:val="18"/>
          <w:lang w:eastAsia="fr-CH"/>
        </w:rPr>
        <w:noBreakHyphen/>
      </w:r>
      <w:r w:rsidRPr="00FA1A0F">
        <w:rPr>
          <w:rFonts w:eastAsia="Times New Roman"/>
          <w:sz w:val="18"/>
          <w:szCs w:val="18"/>
          <w:lang w:eastAsia="fr-CH"/>
        </w:rPr>
        <w:t>Zélande sur le droit de suite des artistes visuels de 2023, art. 14, partie II.</w:t>
      </w:r>
    </w:p>
    <w:p w14:paraId="053EB7B2" w14:textId="77777777" w:rsidR="00A80AC5" w:rsidRPr="00FA1A0F" w:rsidRDefault="00A80AC5" w:rsidP="00FA1A0F">
      <w:pPr>
        <w:pStyle w:val="FootnoteText"/>
        <w:spacing w:before="120" w:after="120"/>
        <w:rPr>
          <w:szCs w:val="18"/>
        </w:rPr>
      </w:pPr>
    </w:p>
  </w:footnote>
  <w:footnote w:id="120">
    <w:p w14:paraId="5219EACD" w14:textId="2E55FFB5"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Loi </w:t>
      </w:r>
      <w:r w:rsidR="00041DF8">
        <w:rPr>
          <w:rFonts w:ascii="Arial" w:hAnsi="Arial" w:cs="Arial"/>
          <w:sz w:val="18"/>
          <w:szCs w:val="18"/>
        </w:rPr>
        <w:t xml:space="preserve">australienne </w:t>
      </w:r>
      <w:r w:rsidR="0085462B">
        <w:rPr>
          <w:rFonts w:ascii="Arial" w:hAnsi="Arial" w:cs="Arial"/>
          <w:sz w:val="18"/>
          <w:szCs w:val="18"/>
        </w:rPr>
        <w:t xml:space="preserve">de 2009 </w:t>
      </w:r>
      <w:r w:rsidRPr="00FA1A0F">
        <w:rPr>
          <w:rFonts w:ascii="Arial" w:hAnsi="Arial" w:cs="Arial"/>
          <w:sz w:val="18"/>
          <w:szCs w:val="18"/>
        </w:rPr>
        <w:t>sur le droit de suite des artistes visuels, articles 13 et 15.</w:t>
      </w:r>
    </w:p>
  </w:footnote>
  <w:footnote w:id="121">
    <w:p w14:paraId="47518AB9" w14:textId="66888538"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Règlement du Royaume</w:t>
      </w:r>
      <w:r w:rsidR="00FA1A0F" w:rsidRPr="00FA1A0F">
        <w:rPr>
          <w:szCs w:val="18"/>
        </w:rPr>
        <w:noBreakHyphen/>
      </w:r>
      <w:r w:rsidRPr="00FA1A0F">
        <w:rPr>
          <w:szCs w:val="18"/>
        </w:rPr>
        <w:t>Uni de 2006 sur le droit de suite des artistes, règle 5.</w:t>
      </w:r>
    </w:p>
  </w:footnote>
  <w:footnote w:id="122">
    <w:p w14:paraId="1E43A34A" w14:textId="77777777"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Voir, par exemple, la loi du Kenya sur le droit d’auteur de 2001, article 2.1) (définition) :</w:t>
      </w:r>
    </w:p>
    <w:p w14:paraId="23DC1DAF" w14:textId="77777777" w:rsidR="00A80AC5" w:rsidRPr="00FA1A0F" w:rsidRDefault="00A80AC5" w:rsidP="00FA1A0F">
      <w:pPr>
        <w:pStyle w:val="FootnoteText"/>
        <w:spacing w:before="120" w:after="120"/>
        <w:ind w:left="1134"/>
        <w:rPr>
          <w:szCs w:val="18"/>
        </w:rPr>
      </w:pPr>
      <w:r w:rsidRPr="00FA1A0F">
        <w:rPr>
          <w:szCs w:val="18"/>
        </w:rPr>
        <w:t>on entend par “œuvre de collaboration” une œuvre produite par la collaboration de deux auteurs ou plus, dans laquelle la contribution de chaque auteur ne peut être séparée de la contribution de l’autre ou des autres auteurs.</w:t>
      </w:r>
    </w:p>
  </w:footnote>
  <w:footnote w:id="123">
    <w:p w14:paraId="4E6B8735" w14:textId="1BA7FAD2"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Loi </w:t>
      </w:r>
      <w:r w:rsidR="00041DF8">
        <w:rPr>
          <w:rFonts w:ascii="Arial" w:hAnsi="Arial" w:cs="Arial"/>
          <w:sz w:val="18"/>
          <w:szCs w:val="18"/>
        </w:rPr>
        <w:t>australienne</w:t>
      </w:r>
      <w:r w:rsidRPr="00FA1A0F">
        <w:rPr>
          <w:rFonts w:ascii="Arial" w:hAnsi="Arial" w:cs="Arial"/>
          <w:sz w:val="18"/>
          <w:szCs w:val="18"/>
        </w:rPr>
        <w:t xml:space="preserve"> </w:t>
      </w:r>
      <w:r w:rsidR="0085462B" w:rsidRPr="00FA1A0F">
        <w:rPr>
          <w:rFonts w:ascii="Arial" w:hAnsi="Arial" w:cs="Arial"/>
          <w:sz w:val="18"/>
          <w:szCs w:val="18"/>
        </w:rPr>
        <w:t>de 2009</w:t>
      </w:r>
      <w:r w:rsidR="0085462B">
        <w:rPr>
          <w:rFonts w:ascii="Arial" w:hAnsi="Arial" w:cs="Arial"/>
          <w:sz w:val="18"/>
          <w:szCs w:val="18"/>
        </w:rPr>
        <w:t xml:space="preserve"> </w:t>
      </w:r>
      <w:r w:rsidRPr="00FA1A0F">
        <w:rPr>
          <w:rFonts w:ascii="Arial" w:hAnsi="Arial" w:cs="Arial"/>
          <w:sz w:val="18"/>
          <w:szCs w:val="18"/>
        </w:rPr>
        <w:t>sur le droit de suite des artistes, article 16.</w:t>
      </w:r>
    </w:p>
  </w:footnote>
  <w:footnote w:id="124">
    <w:p w14:paraId="0E2EE4C8" w14:textId="705779D8"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Loi de la Nouvelle</w:t>
      </w:r>
      <w:r w:rsidR="00FA1A0F" w:rsidRPr="00FA1A0F">
        <w:rPr>
          <w:szCs w:val="18"/>
        </w:rPr>
        <w:noBreakHyphen/>
      </w:r>
      <w:r w:rsidRPr="00FA1A0F">
        <w:rPr>
          <w:szCs w:val="18"/>
        </w:rPr>
        <w:t xml:space="preserve">Zélande </w:t>
      </w:r>
      <w:r w:rsidR="0085462B" w:rsidRPr="00FA1A0F">
        <w:rPr>
          <w:szCs w:val="18"/>
        </w:rPr>
        <w:t>de 2023</w:t>
      </w:r>
      <w:r w:rsidR="0085462B">
        <w:rPr>
          <w:szCs w:val="18"/>
        </w:rPr>
        <w:t xml:space="preserve"> </w:t>
      </w:r>
      <w:r w:rsidRPr="00FA1A0F">
        <w:rPr>
          <w:szCs w:val="18"/>
        </w:rPr>
        <w:t>sur le droit de suite des artistes visuels, article 12.</w:t>
      </w:r>
    </w:p>
  </w:footnote>
  <w:footnote w:id="125">
    <w:p w14:paraId="380B8F0B" w14:textId="77777777"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Dérivé de l’article 26D.5) de la loi du Kenya sur le droit d’auteur de 2001 (qui fait référence à l’“artiste” plutôt qu’à l’“auteur”).</w:t>
      </w:r>
    </w:p>
  </w:footnote>
  <w:footnote w:id="126">
    <w:p w14:paraId="2E7B704A" w14:textId="0696C3AC"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Règlement du Royaume</w:t>
      </w:r>
      <w:r w:rsidR="00FA1A0F" w:rsidRPr="00FA1A0F">
        <w:rPr>
          <w:rFonts w:ascii="Arial" w:hAnsi="Arial" w:cs="Arial"/>
          <w:sz w:val="18"/>
          <w:szCs w:val="18"/>
        </w:rPr>
        <w:noBreakHyphen/>
      </w:r>
      <w:r w:rsidRPr="00FA1A0F">
        <w:rPr>
          <w:rFonts w:ascii="Arial" w:hAnsi="Arial" w:cs="Arial"/>
          <w:sz w:val="18"/>
          <w:szCs w:val="18"/>
        </w:rPr>
        <w:t>Uni sur le droit de suite des artistes de 2006, règle 6.</w:t>
      </w:r>
    </w:p>
  </w:footnote>
  <w:footnote w:id="127">
    <w:p w14:paraId="508F91CF" w14:textId="2DDB5AFA" w:rsidR="00A80AC5" w:rsidRPr="00FA1A0F" w:rsidRDefault="00A80AC5" w:rsidP="00FA1A0F">
      <w:pPr>
        <w:pStyle w:val="Footnote"/>
        <w:jc w:val="left"/>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 xml:space="preserve">Loi </w:t>
      </w:r>
      <w:r w:rsidR="00041DF8">
        <w:rPr>
          <w:rFonts w:ascii="Arial" w:hAnsi="Arial" w:cs="Arial"/>
          <w:sz w:val="18"/>
          <w:szCs w:val="18"/>
        </w:rPr>
        <w:t>australienne</w:t>
      </w:r>
      <w:r w:rsidRPr="00FA1A0F">
        <w:rPr>
          <w:rFonts w:ascii="Arial" w:hAnsi="Arial" w:cs="Arial"/>
          <w:sz w:val="18"/>
          <w:szCs w:val="18"/>
        </w:rPr>
        <w:t xml:space="preserve"> </w:t>
      </w:r>
      <w:r w:rsidR="0085462B">
        <w:rPr>
          <w:rFonts w:ascii="Arial" w:hAnsi="Arial" w:cs="Arial"/>
          <w:sz w:val="18"/>
          <w:szCs w:val="18"/>
        </w:rPr>
        <w:t xml:space="preserve">de 2009 </w:t>
      </w:r>
      <w:r w:rsidRPr="00FA1A0F">
        <w:rPr>
          <w:rFonts w:ascii="Arial" w:hAnsi="Arial" w:cs="Arial"/>
          <w:sz w:val="18"/>
          <w:szCs w:val="18"/>
        </w:rPr>
        <w:t>sur le droit de suite, article 17.</w:t>
      </w:r>
    </w:p>
  </w:footnote>
  <w:footnote w:id="128">
    <w:p w14:paraId="2ED9A49E" w14:textId="77777777" w:rsidR="00A80AC5" w:rsidRPr="00FA1A0F" w:rsidRDefault="00A80AC5" w:rsidP="00FA1A0F">
      <w:pPr>
        <w:pStyle w:val="Footnote"/>
        <w:rPr>
          <w:rFonts w:ascii="Arial" w:hAnsi="Arial" w:cs="Arial"/>
          <w:sz w:val="18"/>
          <w:szCs w:val="18"/>
        </w:rPr>
      </w:pPr>
      <w:r w:rsidRPr="00FA1A0F">
        <w:rPr>
          <w:rStyle w:val="FootnoteReference"/>
          <w:rFonts w:ascii="Arial" w:hAnsi="Arial" w:cs="Arial"/>
          <w:sz w:val="18"/>
          <w:szCs w:val="18"/>
        </w:rPr>
        <w:footnoteRef/>
      </w:r>
      <w:r w:rsidRPr="00FA1A0F">
        <w:rPr>
          <w:rFonts w:ascii="Arial" w:hAnsi="Arial" w:cs="Arial"/>
          <w:sz w:val="18"/>
          <w:szCs w:val="18"/>
        </w:rPr>
        <w:t xml:space="preserve"> </w:t>
      </w:r>
      <w:r w:rsidRPr="00FA1A0F">
        <w:rPr>
          <w:rFonts w:ascii="Arial" w:hAnsi="Arial" w:cs="Arial"/>
          <w:sz w:val="18"/>
          <w:szCs w:val="18"/>
        </w:rPr>
        <w:tab/>
        <w:t>Sur la base de la Directive CE, article 9.</w:t>
      </w:r>
    </w:p>
  </w:footnote>
  <w:footnote w:id="129">
    <w:p w14:paraId="6E8D02E2" w14:textId="22CE7DB1" w:rsidR="00A80AC5" w:rsidRPr="00FA1A0F" w:rsidRDefault="00A80AC5" w:rsidP="00FA1A0F">
      <w:pPr>
        <w:pStyle w:val="FootnoteText"/>
        <w:spacing w:before="120" w:after="120"/>
        <w:rPr>
          <w:szCs w:val="18"/>
        </w:rPr>
      </w:pPr>
      <w:r w:rsidRPr="00FA1A0F">
        <w:rPr>
          <w:rStyle w:val="FootnoteReference"/>
          <w:szCs w:val="18"/>
        </w:rPr>
        <w:footnoteRef/>
      </w:r>
      <w:r w:rsidRPr="00FA1A0F">
        <w:rPr>
          <w:szCs w:val="18"/>
        </w:rPr>
        <w:t xml:space="preserve"> </w:t>
      </w:r>
      <w:r w:rsidRPr="00FA1A0F">
        <w:rPr>
          <w:szCs w:val="18"/>
        </w:rPr>
        <w:tab/>
        <w:t>Voir aussi Ricketson et Ginsburg, [6.136</w:t>
      </w:r>
      <w:r w:rsidR="00FA1A0F" w:rsidRPr="00FA1A0F">
        <w:rPr>
          <w:szCs w:val="18"/>
        </w:rPr>
        <w:noBreakHyphen/>
      </w:r>
      <w:r w:rsidRPr="00FA1A0F">
        <w:rPr>
          <w:szCs w:val="18"/>
        </w:rPr>
        <w:t>6.137].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2A57" w14:textId="710DA120" w:rsidR="00F16975" w:rsidRDefault="003B13E2" w:rsidP="00477D6B">
    <w:pPr>
      <w:jc w:val="right"/>
    </w:pPr>
    <w:bookmarkStart w:id="5" w:name="Code2"/>
    <w:bookmarkEnd w:id="5"/>
    <w:r>
      <w:t>SCCR/43/INF/2 Rev.</w:t>
    </w:r>
  </w:p>
  <w:p w14:paraId="3CCFF7FB" w14:textId="3C5AEB4D" w:rsidR="004F4E31" w:rsidRDefault="00F16975" w:rsidP="004E5742">
    <w:pPr>
      <w:spacing w:after="480"/>
      <w:jc w:val="right"/>
    </w:pPr>
    <w:r>
      <w:t>page</w:t>
    </w:r>
    <w:r w:rsidR="004E5742">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F2"/>
    <w:multiLevelType w:val="hybridMultilevel"/>
    <w:tmpl w:val="C3680842"/>
    <w:lvl w:ilvl="0" w:tplc="C1A8DCEC">
      <w:start w:val="1"/>
      <w:numFmt w:val="lowerLetter"/>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 w15:restartNumberingAfterBreak="0">
    <w:nsid w:val="03EB7F3F"/>
    <w:multiLevelType w:val="hybridMultilevel"/>
    <w:tmpl w:val="94609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3904B7"/>
    <w:multiLevelType w:val="hybridMultilevel"/>
    <w:tmpl w:val="1120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BF298C"/>
    <w:multiLevelType w:val="hybridMultilevel"/>
    <w:tmpl w:val="28E66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75715"/>
    <w:multiLevelType w:val="hybridMultilevel"/>
    <w:tmpl w:val="F490D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5329D"/>
    <w:multiLevelType w:val="hybridMultilevel"/>
    <w:tmpl w:val="BA306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452ADA"/>
    <w:multiLevelType w:val="hybridMultilevel"/>
    <w:tmpl w:val="7F626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FF1F3E"/>
    <w:multiLevelType w:val="hybridMultilevel"/>
    <w:tmpl w:val="AEDE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0772B0"/>
    <w:multiLevelType w:val="hybridMultilevel"/>
    <w:tmpl w:val="634E2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B579C8"/>
    <w:multiLevelType w:val="hybridMultilevel"/>
    <w:tmpl w:val="56460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E14909"/>
    <w:multiLevelType w:val="hybridMultilevel"/>
    <w:tmpl w:val="56F45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1153B7"/>
    <w:multiLevelType w:val="hybridMultilevel"/>
    <w:tmpl w:val="A2A2C604"/>
    <w:lvl w:ilvl="0" w:tplc="8BE2F1A4">
      <w:start w:val="1"/>
      <w:numFmt w:val="lowerLetter"/>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4" w15:restartNumberingAfterBreak="0">
    <w:nsid w:val="298D30E4"/>
    <w:multiLevelType w:val="multilevel"/>
    <w:tmpl w:val="5C1C3762"/>
    <w:styleLink w:val="Style2"/>
    <w:lvl w:ilvl="0">
      <w:start w:val="1"/>
      <w:numFmt w:val="lowerLetter"/>
      <w:lvlText w:val="%1."/>
      <w:lvlJc w:val="left"/>
      <w:pPr>
        <w:ind w:left="720" w:hanging="360"/>
      </w:pPr>
      <w:rPr>
        <w:rFonts w:hint="default"/>
        <w:b w:val="0"/>
        <w:i w:val="0"/>
      </w:rPr>
    </w:lvl>
    <w:lvl w:ilvl="1">
      <w:start w:val="1"/>
      <w:numFmt w:val="lowerLetter"/>
      <w:lvlText w:val="(%2)"/>
      <w:lvlJc w:val="left"/>
      <w:pPr>
        <w:tabs>
          <w:tab w:val="num" w:pos="360"/>
        </w:tabs>
        <w:ind w:left="1429" w:hanging="709"/>
      </w:pPr>
      <w:rPr>
        <w:rFonts w:hint="default"/>
        <w:b w:val="0"/>
        <w:bCs w:val="0"/>
        <w:i w:val="0"/>
      </w:rPr>
    </w:lvl>
    <w:lvl w:ilvl="2">
      <w:start w:val="1"/>
      <w:numFmt w:val="lowerRoman"/>
      <w:lvlText w:val="%3."/>
      <w:lvlJc w:val="left"/>
      <w:pPr>
        <w:tabs>
          <w:tab w:val="num" w:pos="360"/>
        </w:tabs>
        <w:ind w:left="1609" w:hanging="180"/>
      </w:pPr>
      <w:rPr>
        <w:rFonts w:hint="default"/>
      </w:rPr>
    </w:lvl>
    <w:lvl w:ilvl="3">
      <w:start w:val="1"/>
      <w:numFmt w:val="decimal"/>
      <w:lvlText w:val="%4."/>
      <w:lvlJc w:val="left"/>
      <w:pPr>
        <w:tabs>
          <w:tab w:val="num" w:pos="360"/>
        </w:tabs>
        <w:ind w:left="1969" w:hanging="360"/>
      </w:pPr>
      <w:rPr>
        <w:rFonts w:hint="default"/>
      </w:rPr>
    </w:lvl>
    <w:lvl w:ilvl="4">
      <w:start w:val="6"/>
      <w:numFmt w:val="lowerLetter"/>
      <w:lvlText w:val="(%5)"/>
      <w:lvlJc w:val="left"/>
      <w:pPr>
        <w:tabs>
          <w:tab w:val="num" w:pos="360"/>
        </w:tabs>
        <w:ind w:left="2678" w:hanging="709"/>
      </w:pPr>
      <w:rPr>
        <w:rFonts w:hint="default"/>
      </w:rPr>
    </w:lvl>
    <w:lvl w:ilvl="5">
      <w:start w:val="1"/>
      <w:numFmt w:val="lowerRoman"/>
      <w:lvlText w:val="(%6)"/>
      <w:lvlJc w:val="left"/>
      <w:pPr>
        <w:tabs>
          <w:tab w:val="num" w:pos="360"/>
        </w:tabs>
        <w:ind w:left="3386" w:hanging="708"/>
      </w:pPr>
      <w:rPr>
        <w:rFonts w:hint="default"/>
      </w:rPr>
    </w:lvl>
    <w:lvl w:ilvl="6">
      <w:start w:val="1"/>
      <w:numFmt w:val="decimal"/>
      <w:lvlText w:val="%7."/>
      <w:lvlJc w:val="left"/>
      <w:pPr>
        <w:tabs>
          <w:tab w:val="num" w:pos="360"/>
        </w:tabs>
        <w:ind w:left="3746" w:hanging="360"/>
      </w:pPr>
      <w:rPr>
        <w:rFonts w:hint="default"/>
      </w:rPr>
    </w:lvl>
    <w:lvl w:ilvl="7">
      <w:start w:val="1"/>
      <w:numFmt w:val="lowerLetter"/>
      <w:lvlText w:val="%8."/>
      <w:lvlJc w:val="left"/>
      <w:pPr>
        <w:tabs>
          <w:tab w:val="num" w:pos="360"/>
        </w:tabs>
        <w:ind w:left="4106" w:hanging="360"/>
      </w:pPr>
      <w:rPr>
        <w:rFonts w:hint="default"/>
      </w:rPr>
    </w:lvl>
    <w:lvl w:ilvl="8">
      <w:start w:val="1"/>
      <w:numFmt w:val="lowerRoman"/>
      <w:lvlText w:val="%9."/>
      <w:lvlJc w:val="left"/>
      <w:pPr>
        <w:tabs>
          <w:tab w:val="num" w:pos="360"/>
        </w:tabs>
        <w:ind w:left="4286" w:hanging="180"/>
      </w:pPr>
      <w:rPr>
        <w:rFonts w:hint="default"/>
      </w:rPr>
    </w:lvl>
  </w:abstractNum>
  <w:abstractNum w:abstractNumId="15" w15:restartNumberingAfterBreak="0">
    <w:nsid w:val="2A775A58"/>
    <w:multiLevelType w:val="hybridMultilevel"/>
    <w:tmpl w:val="6C4E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0569A"/>
    <w:multiLevelType w:val="multilevel"/>
    <w:tmpl w:val="51188DDE"/>
    <w:styleLink w:val="Style9"/>
    <w:lvl w:ilvl="0">
      <w:start w:val="1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17" w15:restartNumberingAfterBreak="0">
    <w:nsid w:val="30E619C0"/>
    <w:multiLevelType w:val="hybridMultilevel"/>
    <w:tmpl w:val="12FE0D3C"/>
    <w:lvl w:ilvl="0" w:tplc="43D00F44">
      <w:start w:val="1"/>
      <w:numFmt w:val="lowerLetter"/>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8" w15:restartNumberingAfterBreak="0">
    <w:nsid w:val="35FD6E04"/>
    <w:multiLevelType w:val="hybridMultilevel"/>
    <w:tmpl w:val="01AC7132"/>
    <w:lvl w:ilvl="0" w:tplc="0809000F">
      <w:start w:val="1"/>
      <w:numFmt w:val="decimal"/>
      <w:lvlText w:val="%1."/>
      <w:lvlJc w:val="left"/>
      <w:pPr>
        <w:ind w:left="360" w:hanging="360"/>
      </w:pPr>
    </w:lvl>
    <w:lvl w:ilvl="1" w:tplc="24B0D3B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E73E9D"/>
    <w:multiLevelType w:val="multilevel"/>
    <w:tmpl w:val="9DECFB7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38F003EE"/>
    <w:multiLevelType w:val="hybridMultilevel"/>
    <w:tmpl w:val="726615E0"/>
    <w:lvl w:ilvl="0" w:tplc="04090017">
      <w:start w:val="1"/>
      <w:numFmt w:val="lowerLetter"/>
      <w:lvlText w:val="%1)"/>
      <w:lvlJc w:val="left"/>
      <w:pPr>
        <w:ind w:left="720" w:hanging="360"/>
      </w:pPr>
    </w:lvl>
    <w:lvl w:ilvl="1" w:tplc="7180D6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02ADE"/>
    <w:multiLevelType w:val="hybridMultilevel"/>
    <w:tmpl w:val="A6F80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A05984"/>
    <w:multiLevelType w:val="multilevel"/>
    <w:tmpl w:val="0809001D"/>
    <w:styleLink w:val="Style5"/>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0D2DE1"/>
    <w:multiLevelType w:val="hybridMultilevel"/>
    <w:tmpl w:val="66C62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946572"/>
    <w:multiLevelType w:val="hybridMultilevel"/>
    <w:tmpl w:val="0D26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C879EF"/>
    <w:multiLevelType w:val="hybridMultilevel"/>
    <w:tmpl w:val="43381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783F47"/>
    <w:multiLevelType w:val="multilevel"/>
    <w:tmpl w:val="D5CC8BB4"/>
    <w:styleLink w:val="Style7"/>
    <w:lvl w:ilvl="0">
      <w:start w:val="1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27" w15:restartNumberingAfterBreak="0">
    <w:nsid w:val="46C12E32"/>
    <w:multiLevelType w:val="hybridMultilevel"/>
    <w:tmpl w:val="7430E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EB153C"/>
    <w:multiLevelType w:val="hybridMultilevel"/>
    <w:tmpl w:val="B1A47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AE3B1D"/>
    <w:multiLevelType w:val="hybridMultilevel"/>
    <w:tmpl w:val="5F047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1054DA"/>
    <w:multiLevelType w:val="hybridMultilevel"/>
    <w:tmpl w:val="F2DA1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3830E3"/>
    <w:multiLevelType w:val="hybridMultilevel"/>
    <w:tmpl w:val="54023F6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2875991"/>
    <w:multiLevelType w:val="hybridMultilevel"/>
    <w:tmpl w:val="D480C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023446"/>
    <w:multiLevelType w:val="multilevel"/>
    <w:tmpl w:val="4DB47EFC"/>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15:restartNumberingAfterBreak="0">
    <w:nsid w:val="54714BBA"/>
    <w:multiLevelType w:val="hybridMultilevel"/>
    <w:tmpl w:val="E51E3534"/>
    <w:lvl w:ilvl="0" w:tplc="BD8AD6B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BB0D60"/>
    <w:multiLevelType w:val="multilevel"/>
    <w:tmpl w:val="D5CC8BB4"/>
    <w:styleLink w:val="Style6"/>
    <w:lvl w:ilvl="0">
      <w:start w:val="9"/>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37" w15:restartNumberingAfterBreak="0">
    <w:nsid w:val="58C42D52"/>
    <w:multiLevelType w:val="hybridMultilevel"/>
    <w:tmpl w:val="BCF0B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E32F45"/>
    <w:multiLevelType w:val="hybridMultilevel"/>
    <w:tmpl w:val="CAE65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D030380"/>
    <w:multiLevelType w:val="hybridMultilevel"/>
    <w:tmpl w:val="05B4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082322"/>
    <w:multiLevelType w:val="hybridMultilevel"/>
    <w:tmpl w:val="F2A410C8"/>
    <w:lvl w:ilvl="0" w:tplc="2AEAD34C">
      <w:start w:val="1"/>
      <w:numFmt w:val="lowerRoman"/>
      <w:lvlText w:val="%1)"/>
      <w:lvlJc w:val="left"/>
      <w:pPr>
        <w:ind w:left="1318" w:hanging="360"/>
      </w:pPr>
      <w:rPr>
        <w:rFonts w:hint="default"/>
      </w:rPr>
    </w:lvl>
    <w:lvl w:ilvl="1" w:tplc="04090019" w:tentative="1">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41" w15:restartNumberingAfterBreak="0">
    <w:nsid w:val="62383885"/>
    <w:multiLevelType w:val="hybridMultilevel"/>
    <w:tmpl w:val="1D42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787358"/>
    <w:multiLevelType w:val="multilevel"/>
    <w:tmpl w:val="0809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76A2B15"/>
    <w:multiLevelType w:val="hybridMultilevel"/>
    <w:tmpl w:val="405A0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8293610"/>
    <w:multiLevelType w:val="multilevel"/>
    <w:tmpl w:val="CBF644F4"/>
    <w:lvl w:ilvl="0">
      <w:start w:val="15"/>
      <w:numFmt w:val="lowerLetter"/>
      <w:lvlText w:val="%1)"/>
      <w:lvlJc w:val="left"/>
      <w:pPr>
        <w:tabs>
          <w:tab w:val="num" w:pos="567"/>
        </w:tabs>
        <w:ind w:left="0" w:firstLine="0"/>
      </w:pPr>
      <w:rPr>
        <w:rFonts w:hint="default"/>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5" w15:restartNumberingAfterBreak="0">
    <w:nsid w:val="6CC76255"/>
    <w:multiLevelType w:val="multilevel"/>
    <w:tmpl w:val="5E84753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6" w15:restartNumberingAfterBreak="0">
    <w:nsid w:val="7164540A"/>
    <w:multiLevelType w:val="hybridMultilevel"/>
    <w:tmpl w:val="79E6E950"/>
    <w:lvl w:ilvl="0" w:tplc="B34C079E">
      <w:start w:val="1"/>
      <w:numFmt w:val="lowerLetter"/>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47" w15:restartNumberingAfterBreak="0">
    <w:nsid w:val="75551F29"/>
    <w:multiLevelType w:val="multilevel"/>
    <w:tmpl w:val="D5CC8BB4"/>
    <w:styleLink w:val="Style4"/>
    <w:lvl w:ilvl="0">
      <w:start w:val="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8" w15:restartNumberingAfterBreak="0">
    <w:nsid w:val="78F64A45"/>
    <w:multiLevelType w:val="multilevel"/>
    <w:tmpl w:val="EE3AC7A8"/>
    <w:styleLink w:val="Style3"/>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8F94CAA"/>
    <w:multiLevelType w:val="hybridMultilevel"/>
    <w:tmpl w:val="C1EAA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9E644D8"/>
    <w:multiLevelType w:val="multilevel"/>
    <w:tmpl w:val="D5CC8BB4"/>
    <w:styleLink w:val="Style10"/>
    <w:lvl w:ilvl="0">
      <w:start w:val="2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51" w15:restartNumberingAfterBreak="0">
    <w:nsid w:val="7D5E5968"/>
    <w:multiLevelType w:val="hybridMultilevel"/>
    <w:tmpl w:val="72081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DA903C7"/>
    <w:multiLevelType w:val="multilevel"/>
    <w:tmpl w:val="3C62FEB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3" w15:restartNumberingAfterBreak="0">
    <w:nsid w:val="7DAB6CA7"/>
    <w:multiLevelType w:val="hybridMultilevel"/>
    <w:tmpl w:val="3140A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FA0624A"/>
    <w:multiLevelType w:val="hybridMultilevel"/>
    <w:tmpl w:val="E3AE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1606275">
    <w:abstractNumId w:val="31"/>
  </w:num>
  <w:num w:numId="2" w16cid:durableId="1222909605">
    <w:abstractNumId w:val="2"/>
  </w:num>
  <w:num w:numId="3" w16cid:durableId="930237248">
    <w:abstractNumId w:val="7"/>
  </w:num>
  <w:num w:numId="4" w16cid:durableId="1392970340">
    <w:abstractNumId w:val="14"/>
  </w:num>
  <w:num w:numId="5" w16cid:durableId="1374303134">
    <w:abstractNumId w:val="48"/>
  </w:num>
  <w:num w:numId="6" w16cid:durableId="1801069971">
    <w:abstractNumId w:val="47"/>
  </w:num>
  <w:num w:numId="7" w16cid:durableId="557282382">
    <w:abstractNumId w:val="22"/>
  </w:num>
  <w:num w:numId="8" w16cid:durableId="562181652">
    <w:abstractNumId w:val="36"/>
  </w:num>
  <w:num w:numId="9" w16cid:durableId="153227624">
    <w:abstractNumId w:val="26"/>
  </w:num>
  <w:num w:numId="10" w16cid:durableId="1820607429">
    <w:abstractNumId w:val="42"/>
  </w:num>
  <w:num w:numId="11" w16cid:durableId="2101100516">
    <w:abstractNumId w:val="16"/>
  </w:num>
  <w:num w:numId="12" w16cid:durableId="1060666359">
    <w:abstractNumId w:val="5"/>
  </w:num>
  <w:num w:numId="13" w16cid:durableId="934479747">
    <w:abstractNumId w:val="49"/>
  </w:num>
  <w:num w:numId="14" w16cid:durableId="167604447">
    <w:abstractNumId w:val="50"/>
  </w:num>
  <w:num w:numId="15" w16cid:durableId="80294168">
    <w:abstractNumId w:val="37"/>
  </w:num>
  <w:num w:numId="16" w16cid:durableId="1558471370">
    <w:abstractNumId w:val="53"/>
  </w:num>
  <w:num w:numId="17" w16cid:durableId="1048720793">
    <w:abstractNumId w:val="28"/>
  </w:num>
  <w:num w:numId="18" w16cid:durableId="1550075206">
    <w:abstractNumId w:val="41"/>
  </w:num>
  <w:num w:numId="19" w16cid:durableId="937298002">
    <w:abstractNumId w:val="29"/>
  </w:num>
  <w:num w:numId="20" w16cid:durableId="1438015790">
    <w:abstractNumId w:val="45"/>
  </w:num>
  <w:num w:numId="21" w16cid:durableId="536163506">
    <w:abstractNumId w:val="20"/>
  </w:num>
  <w:num w:numId="22" w16cid:durableId="1416783060">
    <w:abstractNumId w:val="52"/>
  </w:num>
  <w:num w:numId="23" w16cid:durableId="196430699">
    <w:abstractNumId w:val="34"/>
  </w:num>
  <w:num w:numId="24" w16cid:durableId="2086145218">
    <w:abstractNumId w:val="19"/>
  </w:num>
  <w:num w:numId="25" w16cid:durableId="209612418">
    <w:abstractNumId w:val="7"/>
    <w:lvlOverride w:ilvl="0">
      <w:startOverride w:val="3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5350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2595103">
    <w:abstractNumId w:val="23"/>
  </w:num>
  <w:num w:numId="28" w16cid:durableId="842352511">
    <w:abstractNumId w:val="11"/>
  </w:num>
  <w:num w:numId="29" w16cid:durableId="1958634762">
    <w:abstractNumId w:val="38"/>
  </w:num>
  <w:num w:numId="30" w16cid:durableId="1159619087">
    <w:abstractNumId w:val="25"/>
  </w:num>
  <w:num w:numId="31" w16cid:durableId="842280748">
    <w:abstractNumId w:val="4"/>
  </w:num>
  <w:num w:numId="32" w16cid:durableId="444544119">
    <w:abstractNumId w:val="51"/>
  </w:num>
  <w:num w:numId="33" w16cid:durableId="1814053706">
    <w:abstractNumId w:val="18"/>
  </w:num>
  <w:num w:numId="34" w16cid:durableId="1104611350">
    <w:abstractNumId w:val="35"/>
  </w:num>
  <w:num w:numId="35" w16cid:durableId="530143694">
    <w:abstractNumId w:val="9"/>
  </w:num>
  <w:num w:numId="36" w16cid:durableId="767697732">
    <w:abstractNumId w:val="6"/>
  </w:num>
  <w:num w:numId="37" w16cid:durableId="1938436857">
    <w:abstractNumId w:val="39"/>
  </w:num>
  <w:num w:numId="38" w16cid:durableId="530463170">
    <w:abstractNumId w:val="24"/>
  </w:num>
  <w:num w:numId="39" w16cid:durableId="1118791701">
    <w:abstractNumId w:val="10"/>
  </w:num>
  <w:num w:numId="40" w16cid:durableId="1987468494">
    <w:abstractNumId w:val="43"/>
  </w:num>
  <w:num w:numId="41" w16cid:durableId="1740789878">
    <w:abstractNumId w:val="54"/>
  </w:num>
  <w:num w:numId="42" w16cid:durableId="286619593">
    <w:abstractNumId w:val="8"/>
  </w:num>
  <w:num w:numId="43" w16cid:durableId="1000084335">
    <w:abstractNumId w:val="1"/>
  </w:num>
  <w:num w:numId="44" w16cid:durableId="677776228">
    <w:abstractNumId w:val="27"/>
  </w:num>
  <w:num w:numId="45" w16cid:durableId="264459387">
    <w:abstractNumId w:val="30"/>
  </w:num>
  <w:num w:numId="46" w16cid:durableId="385881297">
    <w:abstractNumId w:val="12"/>
  </w:num>
  <w:num w:numId="47" w16cid:durableId="1126313278">
    <w:abstractNumId w:val="33"/>
  </w:num>
  <w:num w:numId="48" w16cid:durableId="899752881">
    <w:abstractNumId w:val="3"/>
  </w:num>
  <w:num w:numId="49" w16cid:durableId="1605262871">
    <w:abstractNumId w:val="32"/>
  </w:num>
  <w:num w:numId="50" w16cid:durableId="386534271">
    <w:abstractNumId w:val="44"/>
  </w:num>
  <w:num w:numId="51" w16cid:durableId="144207797">
    <w:abstractNumId w:val="46"/>
  </w:num>
  <w:num w:numId="52" w16cid:durableId="768428113">
    <w:abstractNumId w:val="0"/>
  </w:num>
  <w:num w:numId="53" w16cid:durableId="287318724">
    <w:abstractNumId w:val="40"/>
  </w:num>
  <w:num w:numId="54" w16cid:durableId="1746995465">
    <w:abstractNumId w:val="13"/>
  </w:num>
  <w:num w:numId="55" w16cid:durableId="718237823">
    <w:abstractNumId w:val="17"/>
  </w:num>
  <w:num w:numId="56" w16cid:durableId="1361320111">
    <w:abstractNumId w:val="21"/>
  </w:num>
  <w:num w:numId="57" w16cid:durableId="862939383">
    <w:abstractNumId w:val="15"/>
  </w:num>
  <w:num w:numId="58" w16cid:durableId="443154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E2"/>
    <w:rsid w:val="00007987"/>
    <w:rsid w:val="00011B7D"/>
    <w:rsid w:val="000376B4"/>
    <w:rsid w:val="00041DF8"/>
    <w:rsid w:val="00075432"/>
    <w:rsid w:val="000804CD"/>
    <w:rsid w:val="000A0979"/>
    <w:rsid w:val="000C79A3"/>
    <w:rsid w:val="000D042E"/>
    <w:rsid w:val="000F5E56"/>
    <w:rsid w:val="001362EE"/>
    <w:rsid w:val="001417F8"/>
    <w:rsid w:val="001521C2"/>
    <w:rsid w:val="001832A6"/>
    <w:rsid w:val="00195C6E"/>
    <w:rsid w:val="001B266A"/>
    <w:rsid w:val="001D3D56"/>
    <w:rsid w:val="001D3F2E"/>
    <w:rsid w:val="00203E9D"/>
    <w:rsid w:val="00240654"/>
    <w:rsid w:val="002634C4"/>
    <w:rsid w:val="00294879"/>
    <w:rsid w:val="002A7089"/>
    <w:rsid w:val="002D4918"/>
    <w:rsid w:val="002D7EE2"/>
    <w:rsid w:val="002E4D1A"/>
    <w:rsid w:val="002F16BC"/>
    <w:rsid w:val="002F4E68"/>
    <w:rsid w:val="0030289F"/>
    <w:rsid w:val="00313EC4"/>
    <w:rsid w:val="00315FCA"/>
    <w:rsid w:val="0033027D"/>
    <w:rsid w:val="00360189"/>
    <w:rsid w:val="00373048"/>
    <w:rsid w:val="003845C1"/>
    <w:rsid w:val="003866EB"/>
    <w:rsid w:val="003A1BCD"/>
    <w:rsid w:val="003A6F74"/>
    <w:rsid w:val="003B13E2"/>
    <w:rsid w:val="003B251F"/>
    <w:rsid w:val="004008A2"/>
    <w:rsid w:val="004025DF"/>
    <w:rsid w:val="004151F7"/>
    <w:rsid w:val="00423E3E"/>
    <w:rsid w:val="0042410E"/>
    <w:rsid w:val="0042484B"/>
    <w:rsid w:val="00427AF4"/>
    <w:rsid w:val="00456117"/>
    <w:rsid w:val="004647DA"/>
    <w:rsid w:val="00477D6B"/>
    <w:rsid w:val="004A6BE2"/>
    <w:rsid w:val="004D6471"/>
    <w:rsid w:val="004E3998"/>
    <w:rsid w:val="004E5742"/>
    <w:rsid w:val="004F4E31"/>
    <w:rsid w:val="0051084D"/>
    <w:rsid w:val="005171DB"/>
    <w:rsid w:val="00525B63"/>
    <w:rsid w:val="00544D92"/>
    <w:rsid w:val="00545780"/>
    <w:rsid w:val="00547476"/>
    <w:rsid w:val="00552E97"/>
    <w:rsid w:val="00561DB8"/>
    <w:rsid w:val="00567A4C"/>
    <w:rsid w:val="005921AE"/>
    <w:rsid w:val="005B186E"/>
    <w:rsid w:val="005D359B"/>
    <w:rsid w:val="005E6516"/>
    <w:rsid w:val="00600209"/>
    <w:rsid w:val="00605827"/>
    <w:rsid w:val="0061740B"/>
    <w:rsid w:val="00670E8B"/>
    <w:rsid w:val="00676936"/>
    <w:rsid w:val="00687C6E"/>
    <w:rsid w:val="006B0DB5"/>
    <w:rsid w:val="006B7367"/>
    <w:rsid w:val="006B7CF2"/>
    <w:rsid w:val="006E4243"/>
    <w:rsid w:val="007461F1"/>
    <w:rsid w:val="007B2A4E"/>
    <w:rsid w:val="007C2885"/>
    <w:rsid w:val="007D6961"/>
    <w:rsid w:val="007E3C85"/>
    <w:rsid w:val="007F0475"/>
    <w:rsid w:val="007F07CB"/>
    <w:rsid w:val="007F7AF7"/>
    <w:rsid w:val="00810CEF"/>
    <w:rsid w:val="0081208D"/>
    <w:rsid w:val="00842A13"/>
    <w:rsid w:val="0085462B"/>
    <w:rsid w:val="008713B7"/>
    <w:rsid w:val="00877692"/>
    <w:rsid w:val="00885848"/>
    <w:rsid w:val="008872BA"/>
    <w:rsid w:val="008956E3"/>
    <w:rsid w:val="008B2CC1"/>
    <w:rsid w:val="008D2132"/>
    <w:rsid w:val="008E7930"/>
    <w:rsid w:val="008F2E9C"/>
    <w:rsid w:val="008F5BA5"/>
    <w:rsid w:val="0090731E"/>
    <w:rsid w:val="009155FF"/>
    <w:rsid w:val="009345E1"/>
    <w:rsid w:val="00940E87"/>
    <w:rsid w:val="009463E5"/>
    <w:rsid w:val="00966A22"/>
    <w:rsid w:val="00974CD6"/>
    <w:rsid w:val="00975481"/>
    <w:rsid w:val="009937C4"/>
    <w:rsid w:val="009A0F69"/>
    <w:rsid w:val="009D30E6"/>
    <w:rsid w:val="009E314F"/>
    <w:rsid w:val="009E3F6F"/>
    <w:rsid w:val="009F2340"/>
    <w:rsid w:val="009F499F"/>
    <w:rsid w:val="00A02BD3"/>
    <w:rsid w:val="00A117DD"/>
    <w:rsid w:val="00A13F16"/>
    <w:rsid w:val="00A36B18"/>
    <w:rsid w:val="00A80AC5"/>
    <w:rsid w:val="00A87D6E"/>
    <w:rsid w:val="00AC0AE4"/>
    <w:rsid w:val="00AD2898"/>
    <w:rsid w:val="00AD61DB"/>
    <w:rsid w:val="00B23CDD"/>
    <w:rsid w:val="00B53567"/>
    <w:rsid w:val="00B67244"/>
    <w:rsid w:val="00B859AF"/>
    <w:rsid w:val="00B87BCF"/>
    <w:rsid w:val="00B953FA"/>
    <w:rsid w:val="00BA2CF0"/>
    <w:rsid w:val="00BA62D4"/>
    <w:rsid w:val="00BC2D1A"/>
    <w:rsid w:val="00BF0203"/>
    <w:rsid w:val="00C02FC0"/>
    <w:rsid w:val="00C174AA"/>
    <w:rsid w:val="00C40E15"/>
    <w:rsid w:val="00C664C8"/>
    <w:rsid w:val="00C673E6"/>
    <w:rsid w:val="00C67EA5"/>
    <w:rsid w:val="00C76A79"/>
    <w:rsid w:val="00C77D5B"/>
    <w:rsid w:val="00CA15F5"/>
    <w:rsid w:val="00CF0460"/>
    <w:rsid w:val="00D14B52"/>
    <w:rsid w:val="00D45252"/>
    <w:rsid w:val="00D53C0A"/>
    <w:rsid w:val="00D55C00"/>
    <w:rsid w:val="00D71B4D"/>
    <w:rsid w:val="00D75C1E"/>
    <w:rsid w:val="00D93D55"/>
    <w:rsid w:val="00DB0349"/>
    <w:rsid w:val="00DD6A16"/>
    <w:rsid w:val="00DF06A4"/>
    <w:rsid w:val="00E00356"/>
    <w:rsid w:val="00E0091A"/>
    <w:rsid w:val="00E13C9C"/>
    <w:rsid w:val="00E203AA"/>
    <w:rsid w:val="00E21FC5"/>
    <w:rsid w:val="00E51E61"/>
    <w:rsid w:val="00E527A5"/>
    <w:rsid w:val="00E76456"/>
    <w:rsid w:val="00E9325B"/>
    <w:rsid w:val="00E97651"/>
    <w:rsid w:val="00EA1319"/>
    <w:rsid w:val="00EA2FA6"/>
    <w:rsid w:val="00EC24F5"/>
    <w:rsid w:val="00EC528E"/>
    <w:rsid w:val="00EC67AA"/>
    <w:rsid w:val="00EE71CB"/>
    <w:rsid w:val="00EF001E"/>
    <w:rsid w:val="00F14849"/>
    <w:rsid w:val="00F16975"/>
    <w:rsid w:val="00F346B2"/>
    <w:rsid w:val="00F37154"/>
    <w:rsid w:val="00F41A57"/>
    <w:rsid w:val="00F66152"/>
    <w:rsid w:val="00FA1A0F"/>
    <w:rsid w:val="00FB6AE2"/>
    <w:rsid w:val="00FB6E84"/>
    <w:rsid w:val="00FC3C24"/>
    <w:rsid w:val="00FE4B8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4F6CE"/>
  <w15:docId w15:val="{3CBA6DB4-F2F2-4FAA-9B4D-4D984B5F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A117DD"/>
    <w:pPr>
      <w:keepNext/>
      <w:spacing w:before="480" w:after="240"/>
      <w:outlineLvl w:val="0"/>
    </w:pPr>
    <w:rPr>
      <w:b/>
      <w:bCs/>
      <w:caps/>
      <w:kern w:val="32"/>
      <w:szCs w:val="32"/>
    </w:rPr>
  </w:style>
  <w:style w:type="paragraph" w:styleId="Heading2">
    <w:name w:val="heading 2"/>
    <w:basedOn w:val="Normal"/>
    <w:next w:val="Normal"/>
    <w:link w:val="Heading2Char"/>
    <w:uiPriority w:val="9"/>
    <w:qFormat/>
    <w:rsid w:val="00E21FC5"/>
    <w:pPr>
      <w:keepNext/>
      <w:spacing w:before="240" w:after="240"/>
      <w:outlineLvl w:val="1"/>
    </w:pPr>
    <w:rPr>
      <w:bCs/>
      <w:iCs/>
      <w:caps/>
      <w:szCs w:val="28"/>
    </w:rPr>
  </w:style>
  <w:style w:type="paragraph" w:styleId="Heading3">
    <w:name w:val="heading 3"/>
    <w:basedOn w:val="Normal"/>
    <w:next w:val="Normal"/>
    <w:link w:val="Heading3Char"/>
    <w:uiPriority w:val="9"/>
    <w:qFormat/>
    <w:rsid w:val="004025DF"/>
    <w:pPr>
      <w:keepNext/>
      <w:spacing w:before="240" w:after="60"/>
      <w:outlineLvl w:val="2"/>
    </w:pPr>
    <w:rPr>
      <w:bCs/>
      <w:szCs w:val="26"/>
      <w:u w:val="single"/>
    </w:rPr>
  </w:style>
  <w:style w:type="paragraph" w:styleId="Heading4">
    <w:name w:val="heading 4"/>
    <w:basedOn w:val="Normal"/>
    <w:next w:val="Normal"/>
    <w:link w:val="Heading4Char"/>
    <w:uiPriority w:val="9"/>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table" w:styleId="TableGrid">
    <w:name w:val="Table Grid"/>
    <w:basedOn w:val="TableNormal"/>
    <w:uiPriority w:val="39"/>
    <w:rsid w:val="00C7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17DD"/>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E21FC5"/>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C77D5B"/>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C77D5B"/>
    <w:rPr>
      <w:rFonts w:ascii="Arial" w:eastAsia="SimSun" w:hAnsi="Arial" w:cs="Arial"/>
      <w:bCs/>
      <w:i/>
      <w:sz w:val="22"/>
      <w:szCs w:val="28"/>
      <w:lang w:eastAsia="zh-CN"/>
    </w:rPr>
  </w:style>
  <w:style w:type="paragraph" w:customStyle="1" w:styleId="Style1">
    <w:name w:val="Style1"/>
    <w:basedOn w:val="Normal"/>
    <w:qFormat/>
    <w:rsid w:val="00C77D5B"/>
    <w:pPr>
      <w:widowControl w:val="0"/>
      <w:autoSpaceDE w:val="0"/>
      <w:autoSpaceDN w:val="0"/>
      <w:adjustRightInd w:val="0"/>
      <w:spacing w:before="120" w:after="120" w:line="360" w:lineRule="auto"/>
      <w:jc w:val="both"/>
    </w:pPr>
    <w:rPr>
      <w:rFonts w:ascii="Tms Rmn 12pt" w:eastAsiaTheme="minorEastAsia" w:hAnsi="Tms Rmn 12pt" w:cs="Tms Rmn 12pt"/>
      <w:sz w:val="24"/>
      <w:szCs w:val="24"/>
      <w:lang w:val="fr-FR" w:eastAsia="en-GB"/>
    </w:rPr>
  </w:style>
  <w:style w:type="character" w:customStyle="1" w:styleId="FootnoteTextChar">
    <w:name w:val="Footnote Text Char"/>
    <w:basedOn w:val="DefaultParagraphFont"/>
    <w:link w:val="FootnoteText"/>
    <w:rsid w:val="00C77D5B"/>
    <w:rPr>
      <w:rFonts w:ascii="Arial" w:eastAsia="SimSun" w:hAnsi="Arial" w:cs="Arial"/>
      <w:sz w:val="18"/>
      <w:lang w:eastAsia="zh-CN"/>
    </w:rPr>
  </w:style>
  <w:style w:type="paragraph" w:customStyle="1" w:styleId="Footnote">
    <w:name w:val="Footnote"/>
    <w:basedOn w:val="FootnoteText"/>
    <w:qFormat/>
    <w:rsid w:val="00C77D5B"/>
    <w:pPr>
      <w:spacing w:before="120" w:after="120"/>
      <w:jc w:val="both"/>
    </w:pPr>
    <w:rPr>
      <w:rFonts w:ascii="Times New Roman" w:eastAsia="Times New Roman" w:hAnsi="Times New Roman" w:cs="Times New Roman"/>
      <w:sz w:val="20"/>
      <w:lang w:val="fr-FR" w:eastAsia="en-GB"/>
    </w:rPr>
  </w:style>
  <w:style w:type="paragraph" w:styleId="ListParagraph">
    <w:name w:val="List Paragraph"/>
    <w:basedOn w:val="Normal"/>
    <w:uiPriority w:val="34"/>
    <w:qFormat/>
    <w:rsid w:val="00C77D5B"/>
    <w:pPr>
      <w:spacing w:before="240" w:after="240"/>
      <w:contextualSpacing/>
      <w:jc w:val="both"/>
    </w:pPr>
    <w:rPr>
      <w:rFonts w:eastAsia="Times New Roman" w:cs="Times New Roman"/>
      <w:szCs w:val="24"/>
      <w:lang w:val="fr-FR" w:eastAsia="en-GB"/>
    </w:rPr>
  </w:style>
  <w:style w:type="paragraph" w:styleId="Quote">
    <w:name w:val="Quote"/>
    <w:basedOn w:val="Normal"/>
    <w:next w:val="Normal"/>
    <w:link w:val="QuoteChar"/>
    <w:uiPriority w:val="29"/>
    <w:qFormat/>
    <w:rsid w:val="00C77D5B"/>
    <w:pPr>
      <w:spacing w:before="120" w:after="120"/>
      <w:ind w:left="567"/>
      <w:jc w:val="both"/>
    </w:pPr>
    <w:rPr>
      <w:rFonts w:ascii="Times New Roman" w:eastAsia="Times New Roman" w:hAnsi="Times New Roman" w:cs="Times New Roman (Body CS)"/>
      <w:iCs/>
      <w:color w:val="404040" w:themeColor="text1" w:themeTint="BF"/>
      <w:sz w:val="20"/>
      <w:szCs w:val="24"/>
      <w:lang w:val="fr-FR" w:eastAsia="en-GB"/>
    </w:rPr>
  </w:style>
  <w:style w:type="character" w:customStyle="1" w:styleId="QuoteChar">
    <w:name w:val="Quote Char"/>
    <w:basedOn w:val="DefaultParagraphFont"/>
    <w:link w:val="Quote"/>
    <w:uiPriority w:val="29"/>
    <w:rsid w:val="00C77D5B"/>
    <w:rPr>
      <w:rFonts w:cs="Times New Roman (Body CS)"/>
      <w:iCs/>
      <w:color w:val="404040" w:themeColor="text1" w:themeTint="BF"/>
      <w:szCs w:val="24"/>
      <w:lang w:val="fr-FR" w:eastAsia="en-GB"/>
    </w:rPr>
  </w:style>
  <w:style w:type="paragraph" w:customStyle="1" w:styleId="DocListParagraph">
    <w:name w:val="Doc List Paragraph"/>
    <w:autoRedefine/>
    <w:uiPriority w:val="1"/>
    <w:unhideWhenUsed/>
    <w:qFormat/>
    <w:rsid w:val="00C77D5B"/>
    <w:pPr>
      <w:spacing w:after="160"/>
      <w:jc w:val="both"/>
    </w:pPr>
    <w:rPr>
      <w:rFonts w:ascii="Arial" w:eastAsiaTheme="minorEastAsia" w:hAnsiTheme="minorHAnsi" w:cstheme="minorBidi"/>
      <w:szCs w:val="22"/>
      <w:lang w:val="fr-FR" w:eastAsia="en-AU"/>
    </w:rPr>
  </w:style>
  <w:style w:type="numbering" w:customStyle="1" w:styleId="Style2">
    <w:name w:val="Style2"/>
    <w:uiPriority w:val="99"/>
    <w:rsid w:val="00C77D5B"/>
    <w:pPr>
      <w:numPr>
        <w:numId w:val="4"/>
      </w:numPr>
    </w:pPr>
  </w:style>
  <w:style w:type="character" w:styleId="FootnoteReference">
    <w:name w:val="footnote reference"/>
    <w:basedOn w:val="DefaultParagraphFont"/>
    <w:semiHidden/>
    <w:rsid w:val="00C77D5B"/>
    <w:rPr>
      <w:vertAlign w:val="superscript"/>
    </w:rPr>
  </w:style>
  <w:style w:type="character" w:styleId="Hyperlink">
    <w:name w:val="Hyperlink"/>
    <w:basedOn w:val="DefaultParagraphFont"/>
    <w:uiPriority w:val="99"/>
    <w:unhideWhenUsed/>
    <w:rsid w:val="00C77D5B"/>
    <w:rPr>
      <w:color w:val="0000FF" w:themeColor="hyperlink"/>
      <w:u w:val="single"/>
    </w:rPr>
  </w:style>
  <w:style w:type="paragraph" w:styleId="NormalWeb">
    <w:name w:val="Normal (Web)"/>
    <w:basedOn w:val="Normal"/>
    <w:uiPriority w:val="99"/>
    <w:unhideWhenUsed/>
    <w:rsid w:val="00C77D5B"/>
    <w:pPr>
      <w:spacing w:before="100" w:beforeAutospacing="1" w:after="100" w:afterAutospacing="1"/>
    </w:pPr>
    <w:rPr>
      <w:rFonts w:ascii="Times New Roman" w:eastAsia="Times New Roman" w:hAnsi="Times New Roman" w:cs="Times New Roman"/>
      <w:sz w:val="24"/>
      <w:szCs w:val="24"/>
      <w:lang w:val="fr-FR" w:eastAsia="en-GB"/>
    </w:rPr>
  </w:style>
  <w:style w:type="character" w:styleId="Emphasis">
    <w:name w:val="Emphasis"/>
    <w:basedOn w:val="DefaultParagraphFont"/>
    <w:uiPriority w:val="20"/>
    <w:qFormat/>
    <w:rsid w:val="00C77D5B"/>
    <w:rPr>
      <w:i/>
      <w:iCs/>
    </w:rPr>
  </w:style>
  <w:style w:type="numbering" w:customStyle="1" w:styleId="Style3">
    <w:name w:val="Style3"/>
    <w:uiPriority w:val="99"/>
    <w:rsid w:val="00C77D5B"/>
    <w:pPr>
      <w:numPr>
        <w:numId w:val="5"/>
      </w:numPr>
    </w:pPr>
  </w:style>
  <w:style w:type="numbering" w:customStyle="1" w:styleId="Style4">
    <w:name w:val="Style4"/>
    <w:uiPriority w:val="99"/>
    <w:rsid w:val="00C77D5B"/>
    <w:pPr>
      <w:numPr>
        <w:numId w:val="6"/>
      </w:numPr>
    </w:pPr>
  </w:style>
  <w:style w:type="numbering" w:customStyle="1" w:styleId="Style5">
    <w:name w:val="Style5"/>
    <w:uiPriority w:val="99"/>
    <w:rsid w:val="00C77D5B"/>
    <w:pPr>
      <w:numPr>
        <w:numId w:val="7"/>
      </w:numPr>
    </w:pPr>
  </w:style>
  <w:style w:type="numbering" w:customStyle="1" w:styleId="Style6">
    <w:name w:val="Style6"/>
    <w:uiPriority w:val="99"/>
    <w:rsid w:val="00C77D5B"/>
    <w:pPr>
      <w:numPr>
        <w:numId w:val="8"/>
      </w:numPr>
    </w:pPr>
  </w:style>
  <w:style w:type="numbering" w:customStyle="1" w:styleId="Style7">
    <w:name w:val="Style7"/>
    <w:uiPriority w:val="99"/>
    <w:rsid w:val="00C77D5B"/>
    <w:pPr>
      <w:numPr>
        <w:numId w:val="9"/>
      </w:numPr>
    </w:pPr>
  </w:style>
  <w:style w:type="numbering" w:customStyle="1" w:styleId="Style8">
    <w:name w:val="Style8"/>
    <w:uiPriority w:val="99"/>
    <w:rsid w:val="00C77D5B"/>
    <w:pPr>
      <w:numPr>
        <w:numId w:val="10"/>
      </w:numPr>
    </w:pPr>
  </w:style>
  <w:style w:type="numbering" w:customStyle="1" w:styleId="Style9">
    <w:name w:val="Style9"/>
    <w:uiPriority w:val="99"/>
    <w:rsid w:val="00C77D5B"/>
    <w:pPr>
      <w:numPr>
        <w:numId w:val="11"/>
      </w:numPr>
    </w:pPr>
  </w:style>
  <w:style w:type="numbering" w:customStyle="1" w:styleId="Style10">
    <w:name w:val="Style10"/>
    <w:uiPriority w:val="99"/>
    <w:rsid w:val="00C77D5B"/>
    <w:pPr>
      <w:numPr>
        <w:numId w:val="14"/>
      </w:numPr>
    </w:pPr>
  </w:style>
  <w:style w:type="character" w:customStyle="1" w:styleId="apple-converted-space">
    <w:name w:val="apple-converted-space"/>
    <w:basedOn w:val="DefaultParagraphFont"/>
    <w:rsid w:val="00C77D5B"/>
  </w:style>
  <w:style w:type="character" w:customStyle="1" w:styleId="FooterChar">
    <w:name w:val="Footer Char"/>
    <w:basedOn w:val="DefaultParagraphFont"/>
    <w:link w:val="Footer"/>
    <w:uiPriority w:val="99"/>
    <w:rsid w:val="00C77D5B"/>
    <w:rPr>
      <w:rFonts w:ascii="Arial" w:eastAsia="SimSun" w:hAnsi="Arial" w:cs="Arial"/>
      <w:sz w:val="22"/>
      <w:lang w:eastAsia="zh-CN"/>
    </w:rPr>
  </w:style>
  <w:style w:type="character" w:styleId="PageNumber">
    <w:name w:val="page number"/>
    <w:basedOn w:val="DefaultParagraphFont"/>
    <w:uiPriority w:val="99"/>
    <w:semiHidden/>
    <w:unhideWhenUsed/>
    <w:rsid w:val="00C77D5B"/>
  </w:style>
  <w:style w:type="paragraph" w:styleId="Title">
    <w:name w:val="Title"/>
    <w:basedOn w:val="Normal"/>
    <w:next w:val="Normal"/>
    <w:link w:val="TitleChar"/>
    <w:uiPriority w:val="10"/>
    <w:qFormat/>
    <w:rsid w:val="00C77D5B"/>
    <w:pPr>
      <w:contextualSpacing/>
    </w:pPr>
    <w:rPr>
      <w:rFonts w:asciiTheme="majorHAnsi" w:eastAsiaTheme="majorEastAsia" w:hAnsiTheme="majorHAnsi" w:cstheme="majorBidi"/>
      <w:spacing w:val="-10"/>
      <w:kern w:val="28"/>
      <w:sz w:val="56"/>
      <w:szCs w:val="56"/>
      <w:lang w:val="fr-FR" w:eastAsia="en-GB"/>
    </w:rPr>
  </w:style>
  <w:style w:type="character" w:customStyle="1" w:styleId="TitleChar">
    <w:name w:val="Title Char"/>
    <w:basedOn w:val="DefaultParagraphFont"/>
    <w:link w:val="Title"/>
    <w:uiPriority w:val="10"/>
    <w:rsid w:val="00C77D5B"/>
    <w:rPr>
      <w:rFonts w:asciiTheme="majorHAnsi" w:eastAsiaTheme="majorEastAsia" w:hAnsiTheme="majorHAnsi" w:cstheme="majorBidi"/>
      <w:spacing w:val="-10"/>
      <w:kern w:val="28"/>
      <w:sz w:val="56"/>
      <w:szCs w:val="56"/>
      <w:lang w:val="fr-FR" w:eastAsia="en-GB"/>
    </w:rPr>
  </w:style>
  <w:style w:type="paragraph" w:styleId="Subtitle">
    <w:name w:val="Subtitle"/>
    <w:basedOn w:val="Normal"/>
    <w:next w:val="Normal"/>
    <w:link w:val="SubtitleChar"/>
    <w:uiPriority w:val="11"/>
    <w:qFormat/>
    <w:rsid w:val="00C77D5B"/>
    <w:pPr>
      <w:numPr>
        <w:ilvl w:val="1"/>
      </w:numPr>
      <w:spacing w:after="160"/>
    </w:pPr>
    <w:rPr>
      <w:rFonts w:ascii="Times New Roman" w:eastAsiaTheme="minorEastAsia" w:hAnsi="Times New Roman" w:cs="Times New Roman"/>
      <w:color w:val="5A5A5A" w:themeColor="text1" w:themeTint="A5"/>
      <w:spacing w:val="15"/>
      <w:szCs w:val="22"/>
      <w:lang w:val="fr-FR" w:eastAsia="en-GB"/>
    </w:rPr>
  </w:style>
  <w:style w:type="character" w:customStyle="1" w:styleId="SubtitleChar">
    <w:name w:val="Subtitle Char"/>
    <w:basedOn w:val="DefaultParagraphFont"/>
    <w:link w:val="Subtitle"/>
    <w:uiPriority w:val="11"/>
    <w:rsid w:val="00C77D5B"/>
    <w:rPr>
      <w:rFonts w:eastAsiaTheme="minorEastAsia"/>
      <w:color w:val="5A5A5A" w:themeColor="text1" w:themeTint="A5"/>
      <w:spacing w:val="15"/>
      <w:sz w:val="22"/>
      <w:szCs w:val="22"/>
      <w:lang w:val="fr-FR" w:eastAsia="en-GB"/>
    </w:rPr>
  </w:style>
  <w:style w:type="paragraph" w:customStyle="1" w:styleId="firstpara">
    <w:name w:val="firstpara"/>
    <w:basedOn w:val="Normal"/>
    <w:rsid w:val="00C77D5B"/>
    <w:pPr>
      <w:spacing w:before="120" w:line="280" w:lineRule="exact"/>
      <w:jc w:val="both"/>
    </w:pPr>
    <w:rPr>
      <w:rFonts w:ascii="Times New Roman" w:eastAsia="Times New Roman" w:hAnsi="Times New Roman" w:cs="Times New Roman"/>
      <w:noProof/>
      <w:sz w:val="24"/>
      <w:lang w:val="fr-FR" w:eastAsia="en-GB"/>
    </w:rPr>
  </w:style>
  <w:style w:type="paragraph" w:styleId="Revision">
    <w:name w:val="Revision"/>
    <w:hidden/>
    <w:uiPriority w:val="99"/>
    <w:semiHidden/>
    <w:rsid w:val="00C77D5B"/>
    <w:rPr>
      <w:rFonts w:asciiTheme="minorHAnsi" w:eastAsiaTheme="minorHAnsi" w:hAnsiTheme="minorHAnsi" w:cstheme="minorBidi"/>
      <w:sz w:val="24"/>
      <w:szCs w:val="24"/>
      <w:lang w:val="fr-FR" w:eastAsia="en-US"/>
    </w:rPr>
  </w:style>
  <w:style w:type="paragraph" w:customStyle="1" w:styleId="Default">
    <w:name w:val="Default"/>
    <w:rsid w:val="00C77D5B"/>
    <w:pPr>
      <w:autoSpaceDE w:val="0"/>
      <w:autoSpaceDN w:val="0"/>
      <w:adjustRightInd w:val="0"/>
    </w:pPr>
    <w:rPr>
      <w:rFonts w:ascii="Arial" w:eastAsiaTheme="minorHAnsi" w:hAnsi="Arial" w:cs="Arial"/>
      <w:color w:val="000000"/>
      <w:sz w:val="24"/>
      <w:szCs w:val="24"/>
      <w:lang w:val="fr-FR" w:eastAsia="en-US"/>
    </w:rPr>
  </w:style>
  <w:style w:type="character" w:customStyle="1" w:styleId="b-stepstep-name">
    <w:name w:val="b-step__step-name"/>
    <w:basedOn w:val="DefaultParagraphFont"/>
    <w:rsid w:val="00C77D5B"/>
  </w:style>
  <w:style w:type="paragraph" w:customStyle="1" w:styleId="CM1">
    <w:name w:val="CM1"/>
    <w:basedOn w:val="Default"/>
    <w:next w:val="Default"/>
    <w:uiPriority w:val="99"/>
    <w:rsid w:val="00C77D5B"/>
    <w:pPr>
      <w:spacing w:line="278" w:lineRule="atLeast"/>
    </w:pPr>
    <w:rPr>
      <w:rFonts w:ascii="Times New Roman" w:hAnsi="Times New Roman" w:cs="Times New Roman"/>
      <w:color w:val="auto"/>
    </w:rPr>
  </w:style>
  <w:style w:type="character" w:styleId="FollowedHyperlink">
    <w:name w:val="FollowedHyperlink"/>
    <w:basedOn w:val="DefaultParagraphFont"/>
    <w:uiPriority w:val="99"/>
    <w:semiHidden/>
    <w:unhideWhenUsed/>
    <w:rsid w:val="00C77D5B"/>
    <w:rPr>
      <w:color w:val="800080" w:themeColor="followedHyperlink"/>
      <w:u w:val="single"/>
    </w:rPr>
  </w:style>
  <w:style w:type="paragraph" w:styleId="HTMLPreformatted">
    <w:name w:val="HTML Preformatted"/>
    <w:basedOn w:val="Normal"/>
    <w:link w:val="HTMLPreformattedChar"/>
    <w:uiPriority w:val="99"/>
    <w:unhideWhenUsed/>
    <w:rsid w:val="00C7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fr-FR" w:eastAsia="en-GB"/>
    </w:rPr>
  </w:style>
  <w:style w:type="character" w:customStyle="1" w:styleId="HTMLPreformattedChar">
    <w:name w:val="HTML Preformatted Char"/>
    <w:basedOn w:val="DefaultParagraphFont"/>
    <w:link w:val="HTMLPreformatted"/>
    <w:uiPriority w:val="99"/>
    <w:rsid w:val="00C77D5B"/>
    <w:rPr>
      <w:rFonts w:ascii="Courier New" w:hAnsi="Courier New" w:cs="Courier New"/>
      <w:lang w:val="fr-FR" w:eastAsia="en-GB"/>
    </w:rPr>
  </w:style>
  <w:style w:type="character" w:customStyle="1" w:styleId="y2iqfc">
    <w:name w:val="y2iqfc"/>
    <w:basedOn w:val="DefaultParagraphFont"/>
    <w:rsid w:val="00C77D5B"/>
  </w:style>
  <w:style w:type="paragraph" w:styleId="BalloonText">
    <w:name w:val="Balloon Text"/>
    <w:basedOn w:val="Normal"/>
    <w:link w:val="BalloonTextChar"/>
    <w:uiPriority w:val="99"/>
    <w:semiHidden/>
    <w:unhideWhenUsed/>
    <w:rsid w:val="00C77D5B"/>
    <w:rPr>
      <w:rFonts w:ascii="Segoe UI" w:eastAsia="Times New Roman" w:hAnsi="Segoe UI" w:cs="Segoe UI"/>
      <w:sz w:val="18"/>
      <w:szCs w:val="18"/>
      <w:lang w:val="fr-FR" w:eastAsia="en-GB"/>
    </w:rPr>
  </w:style>
  <w:style w:type="character" w:customStyle="1" w:styleId="BalloonTextChar">
    <w:name w:val="Balloon Text Char"/>
    <w:basedOn w:val="DefaultParagraphFont"/>
    <w:link w:val="BalloonText"/>
    <w:uiPriority w:val="99"/>
    <w:semiHidden/>
    <w:rsid w:val="00C77D5B"/>
    <w:rPr>
      <w:rFonts w:ascii="Segoe UI" w:hAnsi="Segoe UI" w:cs="Segoe UI"/>
      <w:sz w:val="18"/>
      <w:szCs w:val="18"/>
      <w:lang w:val="fr-FR" w:eastAsia="en-GB"/>
    </w:rPr>
  </w:style>
  <w:style w:type="character" w:customStyle="1" w:styleId="HeaderChar">
    <w:name w:val="Header Char"/>
    <w:basedOn w:val="DefaultParagraphFont"/>
    <w:link w:val="Header"/>
    <w:uiPriority w:val="99"/>
    <w:rsid w:val="00C77D5B"/>
    <w:rPr>
      <w:rFonts w:ascii="Arial" w:eastAsia="SimSun" w:hAnsi="Arial" w:cs="Arial"/>
      <w:sz w:val="22"/>
      <w:lang w:eastAsia="zh-CN"/>
    </w:rPr>
  </w:style>
  <w:style w:type="character" w:styleId="CommentReference">
    <w:name w:val="annotation reference"/>
    <w:basedOn w:val="DefaultParagraphFont"/>
    <w:uiPriority w:val="99"/>
    <w:semiHidden/>
    <w:unhideWhenUsed/>
    <w:rsid w:val="00C77D5B"/>
    <w:rPr>
      <w:sz w:val="16"/>
      <w:szCs w:val="16"/>
    </w:rPr>
  </w:style>
  <w:style w:type="character" w:customStyle="1" w:styleId="CommentTextChar">
    <w:name w:val="Comment Text Char"/>
    <w:basedOn w:val="DefaultParagraphFont"/>
    <w:uiPriority w:val="99"/>
    <w:semiHidden/>
    <w:rsid w:val="00C77D5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77D5B"/>
    <w:rPr>
      <w:rFonts w:ascii="Times New Roman" w:eastAsia="Times New Roman" w:hAnsi="Times New Roman" w:cs="Times New Roman"/>
      <w:b/>
      <w:bCs/>
      <w:sz w:val="20"/>
      <w:lang w:val="fr-FR" w:eastAsia="en-GB"/>
    </w:rPr>
  </w:style>
  <w:style w:type="character" w:customStyle="1" w:styleId="CommentTextChar1">
    <w:name w:val="Comment Text Char1"/>
    <w:basedOn w:val="DefaultParagraphFont"/>
    <w:link w:val="CommentText"/>
    <w:uiPriority w:val="99"/>
    <w:semiHidden/>
    <w:rsid w:val="00C77D5B"/>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C77D5B"/>
    <w:rPr>
      <w:rFonts w:ascii="Arial" w:eastAsia="SimSun" w:hAnsi="Arial" w:cs="Arial"/>
      <w:b/>
      <w:bCs/>
      <w:sz w:val="18"/>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wipolex/en/treaties/textdetails/122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pyrighthistory.org/" TargetMode="External"/><Relationship Id="rId2" Type="http://schemas.openxmlformats.org/officeDocument/2006/relationships/hyperlink" Target="http://www.copyrighthistory.org/" TargetMode="External"/><Relationship Id="rId1" Type="http://schemas.openxmlformats.org/officeDocument/2006/relationships/hyperlink" Target="https://www.resale-right.org/countries-with-arr/" TargetMode="External"/><Relationship Id="rId5" Type="http://schemas.openxmlformats.org/officeDocument/2006/relationships/hyperlink" Target="https://www.theverge.com/2021/3/11/22325054/beeple-christies-nft-sale-cost-everydays-69-million" TargetMode="External"/><Relationship Id="rId4" Type="http://schemas.openxmlformats.org/officeDocument/2006/relationships/hyperlink" Target="http://parlinfo.aph.gov.au/parlInfo/search/display/display.w3p;query=BillId_Phrase%3Ar4010%20Title%3A%22second%20reading%22%20Content%3A%22I%20move%22%7C%22and%20move%22%20Content%3A%22be%20now%20read%20a%20second%20time%22%20(Dataset%3Ahansardr%20%7C%20Dataset%3Ahansards);rec=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833F6-CC2D-41DC-A9D4-0B6F90C8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SCCR_43 (F)</Template>
  <TotalTime>9</TotalTime>
  <Pages>62</Pages>
  <Words>23442</Words>
  <Characters>124089</Characters>
  <Application>Microsoft Office Word</Application>
  <DocSecurity>0</DocSecurity>
  <Lines>2481</Lines>
  <Paragraphs>745</Paragraphs>
  <ScaleCrop>false</ScaleCrop>
  <HeadingPairs>
    <vt:vector size="2" baseType="variant">
      <vt:variant>
        <vt:lpstr>Title</vt:lpstr>
      </vt:variant>
      <vt:variant>
        <vt:i4>1</vt:i4>
      </vt:variant>
    </vt:vector>
  </HeadingPairs>
  <TitlesOfParts>
    <vt:vector size="1" baseType="lpstr">
      <vt:lpstr>SCCR/43/INF/2 Rev.</vt:lpstr>
    </vt:vector>
  </TitlesOfParts>
  <Company>WIPO</Company>
  <LinksUpToDate>false</LinksUpToDate>
  <CharactersWithSpaces>146786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SCCR/43/INF/2 Rev.</dc:title>
  <dc:creator>OLIVIÉ Karen</dc:creator>
  <cp:keywords>FOR OFFICIAL USE ONLY</cp:keywords>
  <cp:lastModifiedBy>HAIZEL Francesca</cp:lastModifiedBy>
  <cp:revision>2</cp:revision>
  <cp:lastPrinted>2011-05-19T12:37:00Z</cp:lastPrinted>
  <dcterms:created xsi:type="dcterms:W3CDTF">2025-03-20T17:29:00Z</dcterms:created>
  <dcterms:modified xsi:type="dcterms:W3CDTF">2025-03-20T17:29:00Z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2025-02-25T09:30:36Z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93100bb0-97cb-4ca3-936a-44a968dd9605</vt:lpwstr>
  </property>
  <property fmtid="{D5CDD505-2E9C-101B-9397-08002B2CF9AE}" pid="14" name="MSIP_Label_20773ee6-353b-4fb9-a59d-0b94c8c67bea_ContentBits">
    <vt:lpwstr>0</vt:lpwstr>
  </property>
</Properties>
</file>