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95" w:rsidRPr="00444983" w:rsidRDefault="0040540C" w:rsidP="00B1090C">
      <w:pPr>
        <w:spacing w:after="120"/>
        <w:jc w:val="right"/>
      </w:pPr>
      <w:bookmarkStart w:id="0" w:name="_GoBack"/>
      <w:bookmarkEnd w:id="0"/>
      <w:r w:rsidRPr="00444983"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995" w:rsidRPr="00444983" w:rsidRDefault="00C61AD5" w:rsidP="007C3BD8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</w:rPr>
      </w:pPr>
      <w:r w:rsidRPr="00444983">
        <w:rPr>
          <w:rFonts w:ascii="Arial Black" w:hAnsi="Arial Black"/>
          <w:caps/>
          <w:sz w:val="15"/>
        </w:rPr>
        <w:t>SCCR/40/</w:t>
      </w:r>
      <w:bookmarkStart w:id="1" w:name="Code"/>
      <w:r w:rsidR="003C4995" w:rsidRPr="00444983">
        <w:rPr>
          <w:rFonts w:ascii="Arial Black" w:hAnsi="Arial Black"/>
          <w:caps/>
          <w:sz w:val="15"/>
        </w:rPr>
        <w:t>5</w:t>
      </w:r>
    </w:p>
    <w:bookmarkEnd w:id="1"/>
    <w:p w:rsidR="00837995" w:rsidRPr="00444983" w:rsidRDefault="00B1090C" w:rsidP="0040540C">
      <w:pPr>
        <w:jc w:val="right"/>
      </w:pPr>
      <w:r w:rsidRPr="00444983">
        <w:rPr>
          <w:rFonts w:ascii="Arial Black" w:hAnsi="Arial Black"/>
          <w:caps/>
          <w:sz w:val="15"/>
        </w:rPr>
        <w:t>ORIGINAL</w:t>
      </w:r>
      <w:r w:rsidR="002F2FC1" w:rsidRPr="00444983">
        <w:rPr>
          <w:rFonts w:ascii="Arial Black" w:hAnsi="Arial Black"/>
          <w:caps/>
          <w:sz w:val="15"/>
        </w:rPr>
        <w:t> :</w:t>
      </w:r>
      <w:r w:rsidR="002956DE" w:rsidRPr="00444983">
        <w:rPr>
          <w:rFonts w:ascii="Arial Black" w:hAnsi="Arial Black"/>
          <w:caps/>
          <w:sz w:val="15"/>
        </w:rPr>
        <w:t xml:space="preserve"> </w:t>
      </w:r>
      <w:bookmarkStart w:id="2" w:name="Original"/>
      <w:r w:rsidR="003C4995" w:rsidRPr="00444983">
        <w:rPr>
          <w:rFonts w:ascii="Arial Black" w:hAnsi="Arial Black"/>
          <w:caps/>
          <w:sz w:val="15"/>
        </w:rPr>
        <w:t>anglais</w:t>
      </w:r>
    </w:p>
    <w:bookmarkEnd w:id="2"/>
    <w:p w:rsidR="00837995" w:rsidRPr="00444983" w:rsidRDefault="00B1090C" w:rsidP="00B1090C">
      <w:pPr>
        <w:spacing w:after="1200"/>
        <w:jc w:val="right"/>
      </w:pPr>
      <w:r w:rsidRPr="00444983">
        <w:rPr>
          <w:rFonts w:ascii="Arial Black" w:hAnsi="Arial Black"/>
          <w:caps/>
          <w:sz w:val="15"/>
        </w:rPr>
        <w:t>DATE</w:t>
      </w:r>
      <w:r w:rsidR="002F2FC1" w:rsidRPr="00444983">
        <w:rPr>
          <w:rFonts w:ascii="Arial Black" w:hAnsi="Arial Black"/>
          <w:caps/>
          <w:sz w:val="15"/>
        </w:rPr>
        <w:t> :</w:t>
      </w:r>
      <w:r w:rsidR="002956DE" w:rsidRPr="00444983">
        <w:rPr>
          <w:rFonts w:ascii="Arial Black" w:hAnsi="Arial Black"/>
          <w:caps/>
          <w:sz w:val="15"/>
        </w:rPr>
        <w:t xml:space="preserve"> </w:t>
      </w:r>
      <w:bookmarkStart w:id="3" w:name="Date"/>
      <w:r w:rsidR="003C4995" w:rsidRPr="00444983">
        <w:rPr>
          <w:rFonts w:ascii="Arial Black" w:hAnsi="Arial Black"/>
          <w:caps/>
          <w:sz w:val="15"/>
        </w:rPr>
        <w:t>5</w:t>
      </w:r>
      <w:r w:rsidR="00837995" w:rsidRPr="00444983">
        <w:rPr>
          <w:rFonts w:ascii="Arial Black" w:hAnsi="Arial Black"/>
          <w:caps/>
          <w:sz w:val="15"/>
        </w:rPr>
        <w:t> </w:t>
      </w:r>
      <w:r w:rsidR="003C4995" w:rsidRPr="00444983">
        <w:rPr>
          <w:rFonts w:ascii="Arial Black" w:hAnsi="Arial Black"/>
          <w:caps/>
          <w:sz w:val="15"/>
        </w:rPr>
        <w:t>novembre</w:t>
      </w:r>
      <w:r w:rsidR="00837995" w:rsidRPr="00444983">
        <w:rPr>
          <w:rFonts w:ascii="Arial Black" w:hAnsi="Arial Black"/>
          <w:caps/>
          <w:sz w:val="15"/>
        </w:rPr>
        <w:t> </w:t>
      </w:r>
      <w:r w:rsidR="003C4995" w:rsidRPr="00444983">
        <w:rPr>
          <w:rFonts w:ascii="Arial Black" w:hAnsi="Arial Black"/>
          <w:caps/>
          <w:sz w:val="15"/>
        </w:rPr>
        <w:t>2020</w:t>
      </w:r>
    </w:p>
    <w:bookmarkEnd w:id="3"/>
    <w:p w:rsidR="00837995" w:rsidRPr="005E401D" w:rsidRDefault="00C61AD5" w:rsidP="005E401D">
      <w:pPr>
        <w:pStyle w:val="Title"/>
      </w:pPr>
      <w:r w:rsidRPr="005E401D">
        <w:t>Comité permanent du droit d</w:t>
      </w:r>
      <w:r w:rsidR="002F2FC1" w:rsidRPr="005E401D">
        <w:t>’</w:t>
      </w:r>
      <w:r w:rsidRPr="005E401D">
        <w:t>auteur et des droits connexes</w:t>
      </w:r>
    </w:p>
    <w:p w:rsidR="00837995" w:rsidRPr="00444983" w:rsidRDefault="00C61AD5" w:rsidP="00C61AD5">
      <w:pPr>
        <w:outlineLvl w:val="1"/>
        <w:rPr>
          <w:b/>
          <w:sz w:val="24"/>
          <w:szCs w:val="24"/>
        </w:rPr>
      </w:pPr>
      <w:r w:rsidRPr="00444983">
        <w:rPr>
          <w:b/>
          <w:sz w:val="24"/>
          <w:szCs w:val="24"/>
        </w:rPr>
        <w:t>Quarant</w:t>
      </w:r>
      <w:r w:rsidR="002F2FC1" w:rsidRPr="00444983">
        <w:rPr>
          <w:b/>
          <w:sz w:val="24"/>
          <w:szCs w:val="24"/>
        </w:rPr>
        <w:t>ième session</w:t>
      </w:r>
    </w:p>
    <w:p w:rsidR="00837995" w:rsidRPr="00444983" w:rsidRDefault="00C61AD5" w:rsidP="005E401D">
      <w:pPr>
        <w:spacing w:after="720"/>
        <w:outlineLvl w:val="1"/>
        <w:rPr>
          <w:b/>
          <w:sz w:val="24"/>
          <w:szCs w:val="24"/>
        </w:rPr>
      </w:pPr>
      <w:r w:rsidRPr="00444983">
        <w:rPr>
          <w:b/>
          <w:sz w:val="24"/>
          <w:szCs w:val="24"/>
        </w:rPr>
        <w:t xml:space="preserve">Genève, </w:t>
      </w:r>
      <w:r w:rsidR="008D5BDC" w:rsidRPr="00444983">
        <w:rPr>
          <w:b/>
          <w:sz w:val="24"/>
          <w:szCs w:val="24"/>
        </w:rPr>
        <w:t>16 – 20</w:t>
      </w:r>
      <w:r w:rsidR="00837995" w:rsidRPr="00444983">
        <w:rPr>
          <w:b/>
          <w:sz w:val="24"/>
          <w:szCs w:val="24"/>
        </w:rPr>
        <w:t> </w:t>
      </w:r>
      <w:r w:rsidR="008D5BDC" w:rsidRPr="00444983">
        <w:rPr>
          <w:b/>
          <w:sz w:val="24"/>
          <w:szCs w:val="24"/>
        </w:rPr>
        <w:t>Novembre</w:t>
      </w:r>
      <w:r w:rsidR="00837995" w:rsidRPr="00444983">
        <w:rPr>
          <w:b/>
          <w:sz w:val="24"/>
          <w:szCs w:val="24"/>
        </w:rPr>
        <w:t> </w:t>
      </w:r>
      <w:r w:rsidRPr="00444983">
        <w:rPr>
          <w:b/>
          <w:sz w:val="24"/>
          <w:szCs w:val="24"/>
        </w:rPr>
        <w:t>2020</w:t>
      </w:r>
    </w:p>
    <w:p w:rsidR="002F2FC1" w:rsidRPr="00444983" w:rsidRDefault="008438FA" w:rsidP="008438FA">
      <w:pPr>
        <w:spacing w:after="360"/>
        <w:outlineLvl w:val="0"/>
        <w:rPr>
          <w:caps/>
          <w:sz w:val="24"/>
        </w:rPr>
      </w:pPr>
      <w:r w:rsidRPr="00444983">
        <w:rPr>
          <w:caps/>
          <w:sz w:val="24"/>
        </w:rPr>
        <w:t>Rapport sur l</w:t>
      </w:r>
      <w:r w:rsidR="002F2FC1" w:rsidRPr="00444983">
        <w:rPr>
          <w:caps/>
          <w:sz w:val="24"/>
        </w:rPr>
        <w:t>’</w:t>
      </w:r>
      <w:r w:rsidRPr="00444983">
        <w:rPr>
          <w:caps/>
          <w:sz w:val="24"/>
        </w:rPr>
        <w:t>état d</w:t>
      </w:r>
      <w:r w:rsidR="002F2FC1" w:rsidRPr="00444983">
        <w:rPr>
          <w:caps/>
          <w:sz w:val="24"/>
        </w:rPr>
        <w:t>’</w:t>
      </w:r>
      <w:r w:rsidRPr="00444983">
        <w:rPr>
          <w:caps/>
          <w:sz w:val="24"/>
        </w:rPr>
        <w:t>avancement de l</w:t>
      </w:r>
      <w:r w:rsidR="002F2FC1" w:rsidRPr="00444983">
        <w:rPr>
          <w:caps/>
          <w:sz w:val="24"/>
        </w:rPr>
        <w:t>’</w:t>
      </w:r>
      <w:r w:rsidRPr="00444983">
        <w:rPr>
          <w:caps/>
          <w:sz w:val="24"/>
        </w:rPr>
        <w:t>étude concernant les droits des metteurs en scène</w:t>
      </w:r>
    </w:p>
    <w:p w:rsidR="002F2FC1" w:rsidRPr="00770F26" w:rsidRDefault="008438FA" w:rsidP="008438FA">
      <w:pPr>
        <w:spacing w:after="1040"/>
        <w:outlineLvl w:val="0"/>
        <w:rPr>
          <w:i/>
        </w:rPr>
      </w:pPr>
      <w:proofErr w:type="gramStart"/>
      <w:r w:rsidRPr="00770F26">
        <w:rPr>
          <w:i/>
        </w:rPr>
        <w:t>établi</w:t>
      </w:r>
      <w:proofErr w:type="gramEnd"/>
      <w:r w:rsidRPr="00770F26">
        <w:rPr>
          <w:i/>
        </w:rPr>
        <w:t xml:space="preserve"> par Mme</w:t>
      </w:r>
      <w:r w:rsidR="00837995" w:rsidRPr="00770F26">
        <w:rPr>
          <w:i/>
        </w:rPr>
        <w:t> </w:t>
      </w:r>
      <w:proofErr w:type="spellStart"/>
      <w:r w:rsidRPr="00770F26">
        <w:rPr>
          <w:i/>
        </w:rPr>
        <w:t>Ysolde</w:t>
      </w:r>
      <w:proofErr w:type="spellEnd"/>
      <w:r w:rsidR="00837995" w:rsidRPr="00770F26">
        <w:rPr>
          <w:i/>
        </w:rPr>
        <w:t> </w:t>
      </w:r>
      <w:proofErr w:type="spellStart"/>
      <w:r w:rsidRPr="00770F26">
        <w:rPr>
          <w:i/>
        </w:rPr>
        <w:t>Gendreau</w:t>
      </w:r>
      <w:proofErr w:type="spellEnd"/>
      <w:r w:rsidRPr="00770F26">
        <w:rPr>
          <w:i/>
        </w:rPr>
        <w:t>, professeure à l</w:t>
      </w:r>
      <w:r w:rsidR="002F2FC1" w:rsidRPr="00770F26">
        <w:rPr>
          <w:i/>
        </w:rPr>
        <w:t>’</w:t>
      </w:r>
      <w:r w:rsidRPr="00770F26">
        <w:rPr>
          <w:i/>
        </w:rPr>
        <w:t>Université de Montréal, et M.</w:t>
      </w:r>
      <w:r w:rsidR="00837995" w:rsidRPr="00770F26">
        <w:rPr>
          <w:i/>
        </w:rPr>
        <w:t> </w:t>
      </w:r>
      <w:r w:rsidRPr="00770F26">
        <w:rPr>
          <w:i/>
        </w:rPr>
        <w:t>Anton</w:t>
      </w:r>
      <w:r w:rsidR="00837995" w:rsidRPr="00770F26">
        <w:rPr>
          <w:i/>
        </w:rPr>
        <w:t> </w:t>
      </w:r>
      <w:proofErr w:type="spellStart"/>
      <w:r w:rsidRPr="00770F26">
        <w:rPr>
          <w:i/>
        </w:rPr>
        <w:t>Sergo</w:t>
      </w:r>
      <w:proofErr w:type="spellEnd"/>
      <w:r w:rsidRPr="00770F26">
        <w:rPr>
          <w:i/>
        </w:rPr>
        <w:t>, professeur à l</w:t>
      </w:r>
      <w:r w:rsidR="002F2FC1" w:rsidRPr="00770F26">
        <w:rPr>
          <w:i/>
        </w:rPr>
        <w:t>’</w:t>
      </w:r>
      <w:r w:rsidRPr="00770F26">
        <w:rPr>
          <w:i/>
        </w:rPr>
        <w:t>Académie d</w:t>
      </w:r>
      <w:r w:rsidR="002F2FC1" w:rsidRPr="00770F26">
        <w:rPr>
          <w:i/>
        </w:rPr>
        <w:t>’</w:t>
      </w:r>
      <w:r w:rsidRPr="00770F26">
        <w:rPr>
          <w:i/>
        </w:rPr>
        <w:t>État russe de la propriété intellectuelle</w:t>
      </w:r>
    </w:p>
    <w:p w:rsidR="00837995" w:rsidRPr="00444983" w:rsidRDefault="003C4995" w:rsidP="003C4995">
      <w:r w:rsidRPr="00444983">
        <w:br w:type="page"/>
      </w:r>
    </w:p>
    <w:p w:rsidR="005E401D" w:rsidRDefault="008438FA" w:rsidP="005E401D">
      <w:pPr>
        <w:spacing w:after="220"/>
        <w:rPr>
          <w:szCs w:val="22"/>
        </w:rPr>
      </w:pPr>
      <w:r w:rsidRPr="00444983">
        <w:rPr>
          <w:szCs w:val="22"/>
        </w:rPr>
        <w:lastRenderedPageBreak/>
        <w:t>Depuis la dernière réunion du Comité permanent du droit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auteur et des droits connexes, tenue à Genève en octobre</w:t>
      </w:r>
      <w:r w:rsidR="00837995" w:rsidRPr="00444983">
        <w:rPr>
          <w:szCs w:val="22"/>
        </w:rPr>
        <w:t> </w:t>
      </w:r>
      <w:r w:rsidRPr="00444983">
        <w:rPr>
          <w:szCs w:val="22"/>
        </w:rPr>
        <w:t>2019 et au cours de laquelle nous avons présenté un rapport sur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état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avancement, bon nombre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 xml:space="preserve">événements se sont produits qui ont influé sur les délais de réalisation </w:t>
      </w:r>
      <w:r w:rsidR="00770F26" w:rsidRPr="00444983">
        <w:rPr>
          <w:szCs w:val="22"/>
        </w:rPr>
        <w:t>de l’étude</w:t>
      </w:r>
      <w:r w:rsidR="00444983" w:rsidRPr="00444983">
        <w:rPr>
          <w:szCs w:val="22"/>
        </w:rPr>
        <w:t>.  Ce</w:t>
      </w:r>
      <w:r w:rsidRPr="00444983">
        <w:rPr>
          <w:szCs w:val="22"/>
        </w:rPr>
        <w:t>rtains événements nous ont ralentis, mais nous avons pu avancer.</w:t>
      </w:r>
    </w:p>
    <w:p w:rsidR="005E401D" w:rsidRDefault="008438FA" w:rsidP="005E401D">
      <w:pPr>
        <w:spacing w:after="220"/>
        <w:rPr>
          <w:szCs w:val="22"/>
        </w:rPr>
      </w:pPr>
      <w:r w:rsidRPr="00444983">
        <w:rPr>
          <w:szCs w:val="22"/>
        </w:rPr>
        <w:t>La pandémie de Covid</w:t>
      </w:r>
      <w:r w:rsidR="006D7929">
        <w:rPr>
          <w:szCs w:val="22"/>
        </w:rPr>
        <w:noBreakHyphen/>
      </w:r>
      <w:r w:rsidRPr="00444983">
        <w:rPr>
          <w:szCs w:val="22"/>
        </w:rPr>
        <w:t>19 a eu un impact majeur sur notre rythme de trava</w:t>
      </w:r>
      <w:r w:rsidR="00444983" w:rsidRPr="00444983">
        <w:rPr>
          <w:szCs w:val="22"/>
        </w:rPr>
        <w:t>il.  Ai</w:t>
      </w:r>
      <w:r w:rsidRPr="00444983">
        <w:rPr>
          <w:szCs w:val="22"/>
        </w:rPr>
        <w:t xml:space="preserve">nsi, </w:t>
      </w:r>
      <w:r w:rsidR="005D1977" w:rsidRPr="00444983">
        <w:rPr>
          <w:szCs w:val="22"/>
        </w:rPr>
        <w:t>entre</w:t>
      </w:r>
      <w:r w:rsidRPr="00444983">
        <w:rPr>
          <w:szCs w:val="22"/>
        </w:rPr>
        <w:t xml:space="preserve"> la mi</w:t>
      </w:r>
      <w:r w:rsidR="006D7929">
        <w:rPr>
          <w:szCs w:val="22"/>
        </w:rPr>
        <w:noBreakHyphen/>
      </w:r>
      <w:r w:rsidRPr="00444983">
        <w:rPr>
          <w:szCs w:val="22"/>
        </w:rPr>
        <w:t>mars et la mi</w:t>
      </w:r>
      <w:r w:rsidR="006D7929">
        <w:rPr>
          <w:szCs w:val="22"/>
        </w:rPr>
        <w:noBreakHyphen/>
      </w:r>
      <w:r w:rsidRPr="00444983">
        <w:rPr>
          <w:szCs w:val="22"/>
        </w:rPr>
        <w:t>août,</w:t>
      </w:r>
      <w:r w:rsidR="005D1977" w:rsidRPr="00444983">
        <w:rPr>
          <w:szCs w:val="22"/>
        </w:rPr>
        <w:t xml:space="preserve"> les</w:t>
      </w:r>
      <w:r w:rsidRPr="00444983">
        <w:rPr>
          <w:szCs w:val="22"/>
        </w:rPr>
        <w:t xml:space="preserve"> </w:t>
      </w:r>
      <w:r w:rsidR="005D1977" w:rsidRPr="00444983">
        <w:rPr>
          <w:szCs w:val="22"/>
        </w:rPr>
        <w:t>bibliothèques de Montréal spécialisées dans le domaine du droit sont devenues inaccessibl</w:t>
      </w:r>
      <w:r w:rsidR="00444983" w:rsidRPr="00444983">
        <w:rPr>
          <w:szCs w:val="22"/>
        </w:rPr>
        <w:t xml:space="preserve">es.  </w:t>
      </w:r>
      <w:r w:rsidR="00770F26">
        <w:rPr>
          <w:szCs w:val="22"/>
        </w:rPr>
        <w:t>E</w:t>
      </w:r>
      <w:r w:rsidR="005D1977" w:rsidRPr="00444983">
        <w:rPr>
          <w:szCs w:val="22"/>
        </w:rPr>
        <w:t>lles ont rouvert leurs porte</w:t>
      </w:r>
      <w:r w:rsidR="009F6B0B" w:rsidRPr="00444983">
        <w:rPr>
          <w:szCs w:val="22"/>
        </w:rPr>
        <w:t>s</w:t>
      </w:r>
      <w:r w:rsidR="00770F26">
        <w:rPr>
          <w:szCs w:val="22"/>
        </w:rPr>
        <w:t xml:space="preserve"> p</w:t>
      </w:r>
      <w:r w:rsidR="00770F26" w:rsidRPr="00444983">
        <w:rPr>
          <w:szCs w:val="22"/>
        </w:rPr>
        <w:t>endant un court moment</w:t>
      </w:r>
      <w:r w:rsidR="009F6B0B" w:rsidRPr="00444983">
        <w:rPr>
          <w:szCs w:val="22"/>
        </w:rPr>
        <w:t>, mais depuis le début du mois d</w:t>
      </w:r>
      <w:r w:rsidR="002F2FC1" w:rsidRPr="00444983">
        <w:rPr>
          <w:szCs w:val="22"/>
        </w:rPr>
        <w:t>’</w:t>
      </w:r>
      <w:r w:rsidR="009F6B0B" w:rsidRPr="00444983">
        <w:rPr>
          <w:szCs w:val="22"/>
        </w:rPr>
        <w:t xml:space="preserve">octobre, </w:t>
      </w:r>
      <w:r w:rsidR="005D1977" w:rsidRPr="00444983">
        <w:rPr>
          <w:szCs w:val="22"/>
        </w:rPr>
        <w:t>tout document doit être précisément référencé a</w:t>
      </w:r>
      <w:r w:rsidR="00770F26">
        <w:rPr>
          <w:szCs w:val="22"/>
        </w:rPr>
        <w:t>fin de pouvoir être</w:t>
      </w:r>
      <w:r w:rsidR="003D75B6">
        <w:rPr>
          <w:szCs w:val="22"/>
        </w:rPr>
        <w:t xml:space="preserve"> trouvé par </w:t>
      </w:r>
      <w:r w:rsidR="00E34F69">
        <w:rPr>
          <w:szCs w:val="22"/>
        </w:rPr>
        <w:t>un</w:t>
      </w:r>
      <w:r w:rsidR="003D75B6">
        <w:rPr>
          <w:szCs w:val="22"/>
        </w:rPr>
        <w:t xml:space="preserve"> </w:t>
      </w:r>
      <w:r w:rsidR="005D1977" w:rsidRPr="00444983">
        <w:rPr>
          <w:szCs w:val="22"/>
        </w:rPr>
        <w:t>bibliothécai</w:t>
      </w:r>
      <w:r w:rsidR="00444983" w:rsidRPr="00444983">
        <w:rPr>
          <w:szCs w:val="22"/>
        </w:rPr>
        <w:t>re.  Il</w:t>
      </w:r>
      <w:r w:rsidR="005D1977" w:rsidRPr="00444983">
        <w:rPr>
          <w:szCs w:val="22"/>
        </w:rPr>
        <w:t xml:space="preserve"> est complexe de mener à bien notre tâche dans une situation où les documents nécessaires à la moindre vérification sont impossibles ou difficiles à obten</w:t>
      </w:r>
      <w:r w:rsidR="00444983" w:rsidRPr="00444983">
        <w:rPr>
          <w:szCs w:val="22"/>
        </w:rPr>
        <w:t>ir.  To</w:t>
      </w:r>
      <w:r w:rsidR="005D1977" w:rsidRPr="00444983">
        <w:rPr>
          <w:szCs w:val="22"/>
        </w:rPr>
        <w:t>ut n</w:t>
      </w:r>
      <w:r w:rsidR="002F2FC1" w:rsidRPr="00444983">
        <w:rPr>
          <w:szCs w:val="22"/>
        </w:rPr>
        <w:t>’</w:t>
      </w:r>
      <w:r w:rsidR="005D1977" w:rsidRPr="00444983">
        <w:rPr>
          <w:szCs w:val="22"/>
        </w:rPr>
        <w:t>est pas disponible en ligne.</w:t>
      </w:r>
    </w:p>
    <w:p w:rsidR="005E401D" w:rsidRDefault="00BA6D1D" w:rsidP="005E401D">
      <w:pPr>
        <w:spacing w:after="220"/>
        <w:rPr>
          <w:szCs w:val="22"/>
        </w:rPr>
      </w:pPr>
      <w:r w:rsidRPr="00444983">
        <w:rPr>
          <w:szCs w:val="22"/>
        </w:rPr>
        <w:t xml:space="preserve">La brusque modification </w:t>
      </w:r>
      <w:r w:rsidR="00770F26">
        <w:rPr>
          <w:szCs w:val="22"/>
        </w:rPr>
        <w:t>de nos</w:t>
      </w:r>
      <w:r w:rsidRPr="00444983">
        <w:rPr>
          <w:szCs w:val="22"/>
        </w:rPr>
        <w:t xml:space="preserve"> conditions de travail a également ralenti notre possibilité </w:t>
      </w:r>
      <w:r w:rsidR="00770F26">
        <w:rPr>
          <w:szCs w:val="22"/>
        </w:rPr>
        <w:t>d’entrer en contact avec des personnes à</w:t>
      </w:r>
      <w:r w:rsidR="00E34F69" w:rsidRPr="00E34F69">
        <w:rPr>
          <w:szCs w:val="22"/>
        </w:rPr>
        <w:t xml:space="preserve"> </w:t>
      </w:r>
      <w:r w:rsidR="00E34F69">
        <w:rPr>
          <w:szCs w:val="22"/>
        </w:rPr>
        <w:t>interroger</w:t>
      </w:r>
      <w:r w:rsidR="00444983" w:rsidRPr="00444983">
        <w:rPr>
          <w:szCs w:val="22"/>
        </w:rPr>
        <w:t>.  No</w:t>
      </w:r>
      <w:r w:rsidR="00770F26">
        <w:rPr>
          <w:szCs w:val="22"/>
        </w:rPr>
        <w:t>u</w:t>
      </w:r>
      <w:r w:rsidR="00461747" w:rsidRPr="00444983">
        <w:rPr>
          <w:szCs w:val="22"/>
        </w:rPr>
        <w:t xml:space="preserve">s </w:t>
      </w:r>
      <w:r w:rsidR="00770F26" w:rsidRPr="00444983">
        <w:rPr>
          <w:szCs w:val="22"/>
        </w:rPr>
        <w:t xml:space="preserve">avons </w:t>
      </w:r>
      <w:r w:rsidR="00461747" w:rsidRPr="00444983">
        <w:rPr>
          <w:szCs w:val="22"/>
        </w:rPr>
        <w:t xml:space="preserve">bien entendu </w:t>
      </w:r>
      <w:r w:rsidR="00770F26">
        <w:rPr>
          <w:szCs w:val="22"/>
        </w:rPr>
        <w:t xml:space="preserve">pu </w:t>
      </w:r>
      <w:r w:rsidR="00461747" w:rsidRPr="00444983">
        <w:rPr>
          <w:szCs w:val="22"/>
        </w:rPr>
        <w:t>men</w:t>
      </w:r>
      <w:r w:rsidR="00770F26">
        <w:rPr>
          <w:szCs w:val="22"/>
        </w:rPr>
        <w:t>er</w:t>
      </w:r>
      <w:r w:rsidR="00461747" w:rsidRPr="00444983">
        <w:rPr>
          <w:szCs w:val="22"/>
        </w:rPr>
        <w:t xml:space="preserve"> un certain nombre</w:t>
      </w:r>
      <w:r w:rsidR="00770F26">
        <w:rPr>
          <w:szCs w:val="22"/>
        </w:rPr>
        <w:t xml:space="preserve"> d’entretiens</w:t>
      </w:r>
      <w:r w:rsidR="00E34F69">
        <w:rPr>
          <w:szCs w:val="22"/>
        </w:rPr>
        <w:t>,</w:t>
      </w:r>
      <w:r w:rsidR="00461747" w:rsidRPr="00444983">
        <w:rPr>
          <w:szCs w:val="22"/>
        </w:rPr>
        <w:t xml:space="preserve"> mais il faut préciser que</w:t>
      </w:r>
      <w:r w:rsidR="00770F26">
        <w:rPr>
          <w:szCs w:val="22"/>
        </w:rPr>
        <w:t>,</w:t>
      </w:r>
      <w:r w:rsidR="00461747" w:rsidRPr="00444983">
        <w:rPr>
          <w:szCs w:val="22"/>
        </w:rPr>
        <w:t xml:space="preserve"> même lorsque </w:t>
      </w:r>
      <w:r w:rsidR="00E34F69">
        <w:rPr>
          <w:szCs w:val="22"/>
        </w:rPr>
        <w:t xml:space="preserve">l’on trouve </w:t>
      </w:r>
      <w:r w:rsidR="00461747" w:rsidRPr="00444983">
        <w:rPr>
          <w:szCs w:val="22"/>
        </w:rPr>
        <w:t xml:space="preserve">des personnes </w:t>
      </w:r>
      <w:r w:rsidR="00E34F69">
        <w:rPr>
          <w:szCs w:val="22"/>
        </w:rPr>
        <w:t>à interroger</w:t>
      </w:r>
      <w:r w:rsidR="00461747" w:rsidRPr="00444983">
        <w:rPr>
          <w:szCs w:val="22"/>
        </w:rPr>
        <w:t xml:space="preserve">, </w:t>
      </w:r>
      <w:r w:rsidR="00E34F69">
        <w:rPr>
          <w:szCs w:val="22"/>
        </w:rPr>
        <w:t>c</w:t>
      </w:r>
      <w:r w:rsidR="00770F26" w:rsidRPr="00444983">
        <w:rPr>
          <w:szCs w:val="22"/>
        </w:rPr>
        <w:t>elles</w:t>
      </w:r>
      <w:r w:rsidR="006D7929">
        <w:rPr>
          <w:szCs w:val="22"/>
        </w:rPr>
        <w:noBreakHyphen/>
      </w:r>
      <w:r w:rsidR="00E34F69">
        <w:rPr>
          <w:szCs w:val="22"/>
        </w:rPr>
        <w:t>ci</w:t>
      </w:r>
      <w:r w:rsidR="00770F26">
        <w:rPr>
          <w:szCs w:val="22"/>
        </w:rPr>
        <w:t xml:space="preserve"> ne</w:t>
      </w:r>
      <w:r w:rsidR="00770F26" w:rsidRPr="00444983">
        <w:rPr>
          <w:szCs w:val="22"/>
        </w:rPr>
        <w:t xml:space="preserve"> souhaitent </w:t>
      </w:r>
      <w:r w:rsidR="00461747" w:rsidRPr="00444983">
        <w:rPr>
          <w:szCs w:val="22"/>
        </w:rPr>
        <w:t xml:space="preserve">pas </w:t>
      </w:r>
      <w:r w:rsidR="00E34F69">
        <w:rPr>
          <w:szCs w:val="22"/>
        </w:rPr>
        <w:t>forcé</w:t>
      </w:r>
      <w:r w:rsidR="00461747" w:rsidRPr="00444983">
        <w:rPr>
          <w:szCs w:val="22"/>
        </w:rPr>
        <w:t>ment collabor</w:t>
      </w:r>
      <w:r w:rsidR="00770F26">
        <w:rPr>
          <w:szCs w:val="22"/>
        </w:rPr>
        <w:t>er</w:t>
      </w:r>
      <w:r w:rsidR="00444983" w:rsidRPr="00444983">
        <w:rPr>
          <w:szCs w:val="22"/>
        </w:rPr>
        <w:t>.  Bi</w:t>
      </w:r>
      <w:r w:rsidR="00461747" w:rsidRPr="00444983">
        <w:rPr>
          <w:szCs w:val="22"/>
        </w:rPr>
        <w:t xml:space="preserve">en évidemment, nous souhaitons que </w:t>
      </w:r>
      <w:r w:rsidR="00E34F69">
        <w:rPr>
          <w:szCs w:val="22"/>
        </w:rPr>
        <w:t>notre échantillon</w:t>
      </w:r>
      <w:r w:rsidR="00461747" w:rsidRPr="00444983">
        <w:rPr>
          <w:szCs w:val="22"/>
        </w:rPr>
        <w:t xml:space="preserve"> soit aussi international que possible mais, comme dans n</w:t>
      </w:r>
      <w:r w:rsidR="002F2FC1" w:rsidRPr="00444983">
        <w:rPr>
          <w:szCs w:val="22"/>
        </w:rPr>
        <w:t>’</w:t>
      </w:r>
      <w:r w:rsidR="00461747" w:rsidRPr="00444983">
        <w:rPr>
          <w:szCs w:val="22"/>
        </w:rPr>
        <w:t>importe quel domaine, certains milieux sont plus difficiles d</w:t>
      </w:r>
      <w:r w:rsidR="002F2FC1" w:rsidRPr="00444983">
        <w:rPr>
          <w:szCs w:val="22"/>
        </w:rPr>
        <w:t>’</w:t>
      </w:r>
      <w:r w:rsidR="00461747" w:rsidRPr="00444983">
        <w:rPr>
          <w:szCs w:val="22"/>
        </w:rPr>
        <w:t>accès que d</w:t>
      </w:r>
      <w:r w:rsidR="002F2FC1" w:rsidRPr="00444983">
        <w:rPr>
          <w:szCs w:val="22"/>
        </w:rPr>
        <w:t>’</w:t>
      </w:r>
      <w:r w:rsidR="00461747" w:rsidRPr="00444983">
        <w:rPr>
          <w:szCs w:val="22"/>
        </w:rPr>
        <w:t>autres, tout comme certaines réactions ont été extrêmement professionnelles et utiles.</w:t>
      </w:r>
    </w:p>
    <w:p w:rsidR="005E401D" w:rsidRDefault="00461747" w:rsidP="005E401D">
      <w:pPr>
        <w:spacing w:after="220"/>
        <w:rPr>
          <w:szCs w:val="22"/>
        </w:rPr>
      </w:pPr>
      <w:r w:rsidRPr="00444983">
        <w:rPr>
          <w:szCs w:val="22"/>
        </w:rPr>
        <w:t>Ces entretiens nous ont permis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obtenir des témoignages concrets de metteurs en scène,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avocats</w:t>
      </w:r>
      <w:r w:rsidR="00E34F69">
        <w:rPr>
          <w:szCs w:val="22"/>
        </w:rPr>
        <w:t xml:space="preserve"> ou encore</w:t>
      </w:r>
      <w:r w:rsidRPr="00444983">
        <w:rPr>
          <w:szCs w:val="22"/>
        </w:rPr>
        <w:t xml:space="preserve">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 xml:space="preserve">associations de </w:t>
      </w:r>
      <w:r w:rsidR="00E34F69">
        <w:rPr>
          <w:szCs w:val="22"/>
        </w:rPr>
        <w:t>divers</w:t>
      </w:r>
      <w:r w:rsidRPr="00444983">
        <w:rPr>
          <w:szCs w:val="22"/>
        </w:rPr>
        <w:t xml:space="preserve"> types (organisations de gestion collective, simples associations professionnelles, etc.).</w:t>
      </w:r>
      <w:r w:rsidR="003C4995" w:rsidRPr="00444983">
        <w:t xml:space="preserve">  </w:t>
      </w:r>
      <w:r w:rsidRPr="00444983">
        <w:rPr>
          <w:szCs w:val="22"/>
        </w:rPr>
        <w:t>Ils font apparaître un large éventail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expériences</w:t>
      </w:r>
      <w:r w:rsidR="002F2FC1" w:rsidRPr="00444983">
        <w:rPr>
          <w:szCs w:val="22"/>
        </w:rPr>
        <w:t> :</w:t>
      </w:r>
      <w:r w:rsidRPr="00444983">
        <w:rPr>
          <w:szCs w:val="22"/>
        </w:rPr>
        <w:t xml:space="preserve"> certains font état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environnements très structurés, tandis que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autres trahissent ce q</w:t>
      </w:r>
      <w:r w:rsidR="00E34F69">
        <w:rPr>
          <w:szCs w:val="22"/>
        </w:rPr>
        <w:t xml:space="preserve">ue l’on </w:t>
      </w:r>
      <w:r w:rsidRPr="00444983">
        <w:rPr>
          <w:szCs w:val="22"/>
        </w:rPr>
        <w:t>peut considér</w:t>
      </w:r>
      <w:r w:rsidR="00E34F69">
        <w:rPr>
          <w:szCs w:val="22"/>
        </w:rPr>
        <w:t>er</w:t>
      </w:r>
      <w:r w:rsidRPr="00444983">
        <w:rPr>
          <w:szCs w:val="22"/>
        </w:rPr>
        <w:t xml:space="preserve"> comme une quête traditionnelle de reconnaissance </w:t>
      </w:r>
      <w:r w:rsidR="00E34F69">
        <w:rPr>
          <w:szCs w:val="22"/>
        </w:rPr>
        <w:t>professionnelle de la part des</w:t>
      </w:r>
      <w:r w:rsidRPr="00444983">
        <w:rPr>
          <w:szCs w:val="22"/>
        </w:rPr>
        <w:t xml:space="preserve"> créateurs, avec des difficultés pour obtenir une rémunération et une reconnaissance publique.</w:t>
      </w:r>
    </w:p>
    <w:p w:rsidR="005E401D" w:rsidRDefault="00E80DBC" w:rsidP="005E401D">
      <w:pPr>
        <w:spacing w:after="220"/>
        <w:rPr>
          <w:szCs w:val="22"/>
        </w:rPr>
      </w:pPr>
      <w:r w:rsidRPr="00444983">
        <w:rPr>
          <w:szCs w:val="22"/>
        </w:rPr>
        <w:t>Par exemple,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un des entretiens mené</w:t>
      </w:r>
      <w:r w:rsidR="00444983">
        <w:rPr>
          <w:szCs w:val="22"/>
        </w:rPr>
        <w:t>s</w:t>
      </w:r>
      <w:r w:rsidRPr="00444983">
        <w:rPr>
          <w:szCs w:val="22"/>
        </w:rPr>
        <w:t xml:space="preserve"> avec un metteur scène dans un pays n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offrant aucune reconnaissance officielle du statut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auteur ou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artiste interprète ou exécutant trahit un environnement très informel pour le monde de théât</w:t>
      </w:r>
      <w:r w:rsidR="00444983" w:rsidRPr="00444983">
        <w:rPr>
          <w:szCs w:val="22"/>
        </w:rPr>
        <w:t>re.  Mê</w:t>
      </w:r>
      <w:r w:rsidRPr="00444983">
        <w:rPr>
          <w:szCs w:val="22"/>
        </w:rPr>
        <w:t xml:space="preserve">me si le parrainage par des entreprises était </w:t>
      </w:r>
      <w:r w:rsidR="00E34F69">
        <w:rPr>
          <w:szCs w:val="22"/>
        </w:rPr>
        <w:t>par</w:t>
      </w:r>
      <w:r w:rsidRPr="00444983">
        <w:rPr>
          <w:szCs w:val="22"/>
        </w:rPr>
        <w:t xml:space="preserve"> le passé essentiel pour compléter les recettes des salles de théâtre et verser les salaires pendant les répétitions, les modifications apportées aux règles fiscales ont mis un terme à cette </w:t>
      </w:r>
      <w:r w:rsidR="00D80AD1">
        <w:rPr>
          <w:szCs w:val="22"/>
        </w:rPr>
        <w:t xml:space="preserve">pratique </w:t>
      </w:r>
      <w:r w:rsidRPr="00444983">
        <w:rPr>
          <w:szCs w:val="22"/>
        </w:rPr>
        <w:t>des entrepris</w:t>
      </w:r>
      <w:r w:rsidR="00444983" w:rsidRPr="00444983">
        <w:rPr>
          <w:szCs w:val="22"/>
        </w:rPr>
        <w:t>es.  Il</w:t>
      </w:r>
      <w:r w:rsidRPr="00444983">
        <w:rPr>
          <w:szCs w:val="22"/>
        </w:rPr>
        <w:t xml:space="preserve"> arrive souvent que les metteurs en scène ne puissent pas être payés du fait que le spectacle n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 pas engrangé de bénéfic</w:t>
      </w:r>
      <w:r w:rsidR="00444983" w:rsidRPr="00444983">
        <w:rPr>
          <w:szCs w:val="22"/>
        </w:rPr>
        <w:t>es.  Le</w:t>
      </w:r>
      <w:r w:rsidRPr="00444983">
        <w:rPr>
          <w:szCs w:val="22"/>
        </w:rPr>
        <w:t>s relations entre les parties peuvent être ambiguës du fait que la même personne peut jouer de nombreux rôles (producteur, acteur, metteur en scè</w:t>
      </w:r>
      <w:r w:rsidR="00444983" w:rsidRPr="00444983">
        <w:rPr>
          <w:szCs w:val="22"/>
        </w:rPr>
        <w:t>ne</w:t>
      </w:r>
      <w:r w:rsidR="00D80AD1">
        <w:rPr>
          <w:szCs w:val="22"/>
        </w:rPr>
        <w:t>)</w:t>
      </w:r>
      <w:r w:rsidR="00444983" w:rsidRPr="00444983">
        <w:rPr>
          <w:szCs w:val="22"/>
        </w:rPr>
        <w:t>.  Le</w:t>
      </w:r>
      <w:r w:rsidRPr="00444983">
        <w:rPr>
          <w:szCs w:val="22"/>
        </w:rPr>
        <w:t>s metteurs en scène ne sont pas représentés par des agents ou des syndicats et doivent donc compter sur leur propre pouvoir de négociati</w:t>
      </w:r>
      <w:r w:rsidR="00444983" w:rsidRPr="00444983">
        <w:rPr>
          <w:szCs w:val="22"/>
        </w:rPr>
        <w:t>on.  Le</w:t>
      </w:r>
      <w:r w:rsidR="002C099B" w:rsidRPr="00444983">
        <w:rPr>
          <w:szCs w:val="22"/>
        </w:rPr>
        <w:t xml:space="preserve"> fait de savoir comment les metteurs en scène sont traités dans d</w:t>
      </w:r>
      <w:r w:rsidR="002F2FC1" w:rsidRPr="00444983">
        <w:rPr>
          <w:szCs w:val="22"/>
        </w:rPr>
        <w:t>’</w:t>
      </w:r>
      <w:r w:rsidR="002C099B" w:rsidRPr="00444983">
        <w:rPr>
          <w:szCs w:val="22"/>
        </w:rPr>
        <w:t>autres pays les rend davantage conscients de ce qu</w:t>
      </w:r>
      <w:r w:rsidR="002F2FC1" w:rsidRPr="00444983">
        <w:rPr>
          <w:szCs w:val="22"/>
        </w:rPr>
        <w:t>’</w:t>
      </w:r>
      <w:r w:rsidR="002C099B" w:rsidRPr="00444983">
        <w:rPr>
          <w:szCs w:val="22"/>
        </w:rPr>
        <w:t>ils peuvent négocier.</w:t>
      </w:r>
    </w:p>
    <w:p w:rsidR="005E401D" w:rsidRDefault="002C099B" w:rsidP="005E401D">
      <w:pPr>
        <w:spacing w:after="220"/>
        <w:rPr>
          <w:szCs w:val="22"/>
        </w:rPr>
      </w:pPr>
      <w:r w:rsidRPr="00444983">
        <w:rPr>
          <w:szCs w:val="22"/>
        </w:rPr>
        <w:t xml:space="preserve">Dans un </w:t>
      </w:r>
      <w:r w:rsidR="00E34F69">
        <w:rPr>
          <w:szCs w:val="22"/>
        </w:rPr>
        <w:t xml:space="preserve">autre </w:t>
      </w:r>
      <w:r w:rsidRPr="00444983">
        <w:rPr>
          <w:szCs w:val="22"/>
        </w:rPr>
        <w:t>pays</w:t>
      </w:r>
      <w:r w:rsidR="00E34F69">
        <w:rPr>
          <w:szCs w:val="22"/>
        </w:rPr>
        <w:t>,</w:t>
      </w:r>
      <w:r w:rsidRPr="00444983">
        <w:rPr>
          <w:szCs w:val="22"/>
        </w:rPr>
        <w:t xml:space="preserve"> où les metteurs en scène bénéficient officiellement de droits connexes en vertu de la loi, la connaissance de cette protection est plutôt faib</w:t>
      </w:r>
      <w:r w:rsidR="00444983" w:rsidRPr="00444983">
        <w:rPr>
          <w:szCs w:val="22"/>
        </w:rPr>
        <w:t>le.  Il</w:t>
      </w:r>
      <w:r w:rsidRPr="00444983">
        <w:rPr>
          <w:szCs w:val="22"/>
        </w:rPr>
        <w:t xml:space="preserve"> n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existe pas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organisation de gestion collecti</w:t>
      </w:r>
      <w:r w:rsidR="00444983" w:rsidRPr="00444983">
        <w:rPr>
          <w:szCs w:val="22"/>
        </w:rPr>
        <w:t>ve.  Le</w:t>
      </w:r>
      <w:r w:rsidRPr="00444983">
        <w:rPr>
          <w:szCs w:val="22"/>
        </w:rPr>
        <w:t xml:space="preserve"> contrat de travail est perçu comme le principal instrument de protecti</w:t>
      </w:r>
      <w:r w:rsidR="00444983" w:rsidRPr="00444983">
        <w:rPr>
          <w:szCs w:val="22"/>
        </w:rPr>
        <w:t>on.  Un</w:t>
      </w:r>
      <w:r w:rsidR="00E31160" w:rsidRPr="00444983">
        <w:rPr>
          <w:szCs w:val="22"/>
        </w:rPr>
        <w:t xml:space="preserve"> metteur en scène peut apprendre que le producteur d</w:t>
      </w:r>
      <w:r w:rsidR="002F2FC1" w:rsidRPr="00444983">
        <w:rPr>
          <w:szCs w:val="22"/>
        </w:rPr>
        <w:t>’</w:t>
      </w:r>
      <w:r w:rsidR="00E31160" w:rsidRPr="00444983">
        <w:rPr>
          <w:szCs w:val="22"/>
        </w:rPr>
        <w:t xml:space="preserve">une pièce </w:t>
      </w:r>
      <w:r w:rsidR="00E34F69">
        <w:rPr>
          <w:szCs w:val="22"/>
        </w:rPr>
        <w:t>est rémunéré</w:t>
      </w:r>
      <w:r w:rsidR="00E31160" w:rsidRPr="00444983">
        <w:rPr>
          <w:szCs w:val="22"/>
        </w:rPr>
        <w:t xml:space="preserve"> pour l</w:t>
      </w:r>
      <w:r w:rsidR="002F2FC1" w:rsidRPr="00444983">
        <w:rPr>
          <w:szCs w:val="22"/>
        </w:rPr>
        <w:t>’</w:t>
      </w:r>
      <w:r w:rsidR="00E31160" w:rsidRPr="00444983">
        <w:rPr>
          <w:szCs w:val="22"/>
        </w:rPr>
        <w:t>enregistrement de</w:t>
      </w:r>
      <w:r w:rsidR="00E34F69">
        <w:rPr>
          <w:szCs w:val="22"/>
        </w:rPr>
        <w:t>s</w:t>
      </w:r>
      <w:r w:rsidR="00E31160" w:rsidRPr="00444983">
        <w:rPr>
          <w:szCs w:val="22"/>
        </w:rPr>
        <w:t xml:space="preserve"> prestations à des fins de radiodiffusion,</w:t>
      </w:r>
      <w:r w:rsidR="00E34F69">
        <w:rPr>
          <w:szCs w:val="22"/>
        </w:rPr>
        <w:t xml:space="preserve"> mais</w:t>
      </w:r>
      <w:r w:rsidR="00E31160" w:rsidRPr="00444983">
        <w:rPr>
          <w:szCs w:val="22"/>
        </w:rPr>
        <w:t xml:space="preserve"> sa rémunération </w:t>
      </w:r>
      <w:r w:rsidR="00E34F69">
        <w:rPr>
          <w:szCs w:val="22"/>
        </w:rPr>
        <w:t>dans</w:t>
      </w:r>
      <w:r w:rsidR="00E31160" w:rsidRPr="00444983">
        <w:rPr>
          <w:szCs w:val="22"/>
        </w:rPr>
        <w:t xml:space="preserve"> ce </w:t>
      </w:r>
      <w:r w:rsidR="00E34F69">
        <w:rPr>
          <w:szCs w:val="22"/>
        </w:rPr>
        <w:t>contexte</w:t>
      </w:r>
      <w:r w:rsidR="00E31160" w:rsidRPr="00444983">
        <w:rPr>
          <w:szCs w:val="22"/>
        </w:rPr>
        <w:t xml:space="preserve"> n</w:t>
      </w:r>
      <w:r w:rsidR="002F2FC1" w:rsidRPr="00444983">
        <w:rPr>
          <w:szCs w:val="22"/>
        </w:rPr>
        <w:t>’</w:t>
      </w:r>
      <w:r w:rsidR="00E31160" w:rsidRPr="00444983">
        <w:rPr>
          <w:szCs w:val="22"/>
        </w:rPr>
        <w:t>est pas automatique et dépend de son propre contrat avec le producte</w:t>
      </w:r>
      <w:r w:rsidR="00444983" w:rsidRPr="00444983">
        <w:rPr>
          <w:szCs w:val="22"/>
        </w:rPr>
        <w:t>ur.  Le</w:t>
      </w:r>
      <w:r w:rsidR="00E31160" w:rsidRPr="00444983">
        <w:rPr>
          <w:szCs w:val="22"/>
        </w:rPr>
        <w:t>s lignes directrices établies par une association professionnelle concernant la rémunération minimale ne fonctionnent pas toujours dans la pratiq</w:t>
      </w:r>
      <w:r w:rsidR="00444983" w:rsidRPr="00444983">
        <w:rPr>
          <w:szCs w:val="22"/>
        </w:rPr>
        <w:t>ue.  L’e</w:t>
      </w:r>
      <w:r w:rsidR="00E31160" w:rsidRPr="00444983">
        <w:rPr>
          <w:szCs w:val="22"/>
        </w:rPr>
        <w:t>xportation de productions est parfois considérée comme problématique</w:t>
      </w:r>
      <w:r w:rsidR="002F2FC1" w:rsidRPr="00444983">
        <w:rPr>
          <w:szCs w:val="22"/>
        </w:rPr>
        <w:t> :</w:t>
      </w:r>
      <w:r w:rsidR="00E31160" w:rsidRPr="00444983">
        <w:rPr>
          <w:szCs w:val="22"/>
        </w:rPr>
        <w:t xml:space="preserve"> les producteurs de certains pays étrangers </w:t>
      </w:r>
      <w:r w:rsidR="00837995" w:rsidRPr="00444983">
        <w:rPr>
          <w:szCs w:val="22"/>
        </w:rPr>
        <w:t>“</w:t>
      </w:r>
      <w:r w:rsidR="00E31160" w:rsidRPr="00444983">
        <w:rPr>
          <w:szCs w:val="22"/>
        </w:rPr>
        <w:t>n</w:t>
      </w:r>
      <w:r w:rsidR="002F2FC1" w:rsidRPr="00444983">
        <w:rPr>
          <w:szCs w:val="22"/>
        </w:rPr>
        <w:t>’</w:t>
      </w:r>
      <w:r w:rsidR="00E31160" w:rsidRPr="00444983">
        <w:rPr>
          <w:szCs w:val="22"/>
        </w:rPr>
        <w:t>achèteront</w:t>
      </w:r>
      <w:r w:rsidR="00837995" w:rsidRPr="00444983">
        <w:rPr>
          <w:szCs w:val="22"/>
        </w:rPr>
        <w:t>”</w:t>
      </w:r>
      <w:r w:rsidR="00E31160" w:rsidRPr="00444983">
        <w:rPr>
          <w:szCs w:val="22"/>
        </w:rPr>
        <w:t xml:space="preserve"> pas les indications </w:t>
      </w:r>
      <w:r w:rsidR="005227AC" w:rsidRPr="005227AC">
        <w:rPr>
          <w:szCs w:val="22"/>
        </w:rPr>
        <w:t xml:space="preserve">scénographiques </w:t>
      </w:r>
      <w:r w:rsidR="00E31160" w:rsidRPr="00444983">
        <w:rPr>
          <w:szCs w:val="22"/>
        </w:rPr>
        <w:t xml:space="preserve">avec les droits sur la pièce, mais insisteront pour vendre leurs propres indications </w:t>
      </w:r>
      <w:r w:rsidR="005227AC" w:rsidRPr="005227AC">
        <w:rPr>
          <w:szCs w:val="22"/>
        </w:rPr>
        <w:t xml:space="preserve">scénographiques </w:t>
      </w:r>
      <w:r w:rsidR="00E31160" w:rsidRPr="00444983">
        <w:rPr>
          <w:szCs w:val="22"/>
        </w:rPr>
        <w:t>lors de l</w:t>
      </w:r>
      <w:r w:rsidR="002F2FC1" w:rsidRPr="00444983">
        <w:rPr>
          <w:szCs w:val="22"/>
        </w:rPr>
        <w:t>’</w:t>
      </w:r>
      <w:r w:rsidR="00E31160" w:rsidRPr="00444983">
        <w:rPr>
          <w:szCs w:val="22"/>
        </w:rPr>
        <w:t>acquisition d</w:t>
      </w:r>
      <w:r w:rsidR="002F2FC1" w:rsidRPr="00444983">
        <w:rPr>
          <w:szCs w:val="22"/>
        </w:rPr>
        <w:t>’</w:t>
      </w:r>
      <w:r w:rsidR="00E31160" w:rsidRPr="00444983">
        <w:rPr>
          <w:szCs w:val="22"/>
        </w:rPr>
        <w:t>une production.</w:t>
      </w:r>
    </w:p>
    <w:p w:rsidR="005E401D" w:rsidRDefault="00E31160" w:rsidP="005E401D">
      <w:pPr>
        <w:spacing w:after="220"/>
        <w:rPr>
          <w:szCs w:val="22"/>
        </w:rPr>
      </w:pPr>
      <w:r w:rsidRPr="00444983">
        <w:rPr>
          <w:szCs w:val="22"/>
        </w:rPr>
        <w:lastRenderedPageBreak/>
        <w:t>La rédaction de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étude à proprement parler a commen</w:t>
      </w:r>
      <w:r w:rsidR="00444983" w:rsidRPr="00444983">
        <w:rPr>
          <w:szCs w:val="22"/>
        </w:rPr>
        <w:t>cé.  Le</w:t>
      </w:r>
      <w:r w:rsidRPr="00444983">
        <w:rPr>
          <w:szCs w:val="22"/>
        </w:rPr>
        <w:t xml:space="preserve">s textes internationaux et plusieurs lois nationales ont été examinés </w:t>
      </w:r>
      <w:r w:rsidR="005227AC">
        <w:rPr>
          <w:szCs w:val="22"/>
        </w:rPr>
        <w:t>afin de comprendre le cadr</w:t>
      </w:r>
      <w:r w:rsidRPr="00444983">
        <w:rPr>
          <w:szCs w:val="22"/>
        </w:rPr>
        <w:t>e normatif actu</w:t>
      </w:r>
      <w:r w:rsidR="00444983" w:rsidRPr="00444983">
        <w:rPr>
          <w:szCs w:val="22"/>
        </w:rPr>
        <w:t>el.  L’a</w:t>
      </w:r>
      <w:r w:rsidRPr="00444983">
        <w:rPr>
          <w:szCs w:val="22"/>
        </w:rPr>
        <w:t xml:space="preserve">nalyse des </w:t>
      </w:r>
      <w:r w:rsidR="005227AC">
        <w:rPr>
          <w:szCs w:val="22"/>
        </w:rPr>
        <w:t>traités</w:t>
      </w:r>
      <w:r w:rsidRPr="00444983">
        <w:rPr>
          <w:szCs w:val="22"/>
        </w:rPr>
        <w:t xml:space="preserve"> internationaux a déjà été effectuée et a été présentée à la réunion du Comité permanent du droit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auteur et des droits connexes de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OMPI le 5</w:t>
      </w:r>
      <w:r w:rsidR="00837995" w:rsidRPr="00444983">
        <w:rPr>
          <w:szCs w:val="22"/>
        </w:rPr>
        <w:t> </w:t>
      </w:r>
      <w:r w:rsidRPr="00444983">
        <w:rPr>
          <w:szCs w:val="22"/>
        </w:rPr>
        <w:t>avril</w:t>
      </w:r>
      <w:r w:rsidR="00837995" w:rsidRPr="00444983">
        <w:rPr>
          <w:szCs w:val="22"/>
        </w:rPr>
        <w:t> </w:t>
      </w:r>
      <w:r w:rsidRPr="00444983">
        <w:rPr>
          <w:szCs w:val="22"/>
        </w:rPr>
        <w:t>2019.</w:t>
      </w:r>
      <w:r w:rsidR="003C4995" w:rsidRPr="00444983">
        <w:t xml:space="preserve">  </w:t>
      </w:r>
      <w:r w:rsidRPr="00444983">
        <w:rPr>
          <w:szCs w:val="22"/>
        </w:rPr>
        <w:t>Comme on pouvait s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y attendre, les textes internationaux types ne fournissent pas de directives claires pour la protection des metteurs en scè</w:t>
      </w:r>
      <w:r w:rsidR="00444983" w:rsidRPr="00444983">
        <w:rPr>
          <w:szCs w:val="22"/>
        </w:rPr>
        <w:t>ne.  C’e</w:t>
      </w:r>
      <w:r w:rsidRPr="00444983">
        <w:rPr>
          <w:szCs w:val="22"/>
        </w:rPr>
        <w:t xml:space="preserve">st dans les </w:t>
      </w:r>
      <w:r w:rsidR="005227AC">
        <w:rPr>
          <w:szCs w:val="22"/>
        </w:rPr>
        <w:t>lois</w:t>
      </w:r>
      <w:r w:rsidRPr="00444983">
        <w:rPr>
          <w:szCs w:val="22"/>
        </w:rPr>
        <w:t xml:space="preserve"> nationales ou dans la jurisprudence que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 xml:space="preserve">on peut parfois trouver </w:t>
      </w:r>
      <w:r w:rsidR="005227AC">
        <w:rPr>
          <w:szCs w:val="22"/>
        </w:rPr>
        <w:t>l</w:t>
      </w:r>
      <w:r w:rsidRPr="00444983">
        <w:rPr>
          <w:szCs w:val="22"/>
        </w:rPr>
        <w:t xml:space="preserve">es bases </w:t>
      </w:r>
      <w:r w:rsidR="005227AC">
        <w:rPr>
          <w:szCs w:val="22"/>
        </w:rPr>
        <w:t>de</w:t>
      </w:r>
      <w:r w:rsidRPr="00444983">
        <w:rPr>
          <w:szCs w:val="22"/>
        </w:rPr>
        <w:t xml:space="preserve"> la protecti</w:t>
      </w:r>
      <w:r w:rsidR="00444983" w:rsidRPr="00444983">
        <w:rPr>
          <w:szCs w:val="22"/>
        </w:rPr>
        <w:t xml:space="preserve">on.  </w:t>
      </w:r>
      <w:r w:rsidR="005227AC">
        <w:rPr>
          <w:szCs w:val="22"/>
        </w:rPr>
        <w:t>Faute</w:t>
      </w:r>
      <w:r w:rsidRPr="00444983">
        <w:rPr>
          <w:szCs w:val="22"/>
        </w:rPr>
        <w:t xml:space="preserve"> de traductions </w:t>
      </w:r>
      <w:r w:rsidR="005227AC">
        <w:rPr>
          <w:szCs w:val="22"/>
        </w:rPr>
        <w:t>officielles</w:t>
      </w:r>
      <w:r w:rsidRPr="00444983">
        <w:rPr>
          <w:szCs w:val="22"/>
        </w:rPr>
        <w:t xml:space="preserve"> de nombreuses lois nationales, il est parfois difficile de déterminer le sens précis et la portée de</w:t>
      </w:r>
      <w:r w:rsidR="005227AC">
        <w:rPr>
          <w:szCs w:val="22"/>
        </w:rPr>
        <w:t xml:space="preserve"> ce</w:t>
      </w:r>
      <w:r w:rsidRPr="00444983">
        <w:rPr>
          <w:szCs w:val="22"/>
        </w:rPr>
        <w:t>s lo</w:t>
      </w:r>
      <w:r w:rsidR="00444983" w:rsidRPr="00444983">
        <w:rPr>
          <w:szCs w:val="22"/>
        </w:rPr>
        <w:t>is.  En</w:t>
      </w:r>
      <w:r w:rsidRPr="00444983">
        <w:rPr>
          <w:szCs w:val="22"/>
        </w:rPr>
        <w:t xml:space="preserve">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absence de règles juridiques explicites, les contrats – avec ce qu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ils révèlent du pouvoir de négociation de chacune des parties – jouent un rôle important pour certaines personnes</w:t>
      </w:r>
      <w:r w:rsidR="00444983" w:rsidRPr="00444983">
        <w:rPr>
          <w:szCs w:val="22"/>
        </w:rPr>
        <w:t xml:space="preserve"> </w:t>
      </w:r>
      <w:r w:rsidRPr="00444983">
        <w:rPr>
          <w:szCs w:val="22"/>
        </w:rPr>
        <w:t>dans une situation donnée, mais ne créent guère de normes pouvant être automatiquement étendues à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autres personnes.</w:t>
      </w:r>
    </w:p>
    <w:p w:rsidR="005E401D" w:rsidRDefault="00E31160" w:rsidP="005E401D">
      <w:pPr>
        <w:spacing w:after="220"/>
        <w:rPr>
          <w:szCs w:val="22"/>
        </w:rPr>
      </w:pPr>
      <w:r w:rsidRPr="00444983">
        <w:rPr>
          <w:szCs w:val="22"/>
        </w:rPr>
        <w:t>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existence de la présente étude a suscité une réaction inattend</w:t>
      </w:r>
      <w:r w:rsidR="00444983" w:rsidRPr="00444983">
        <w:rPr>
          <w:szCs w:val="22"/>
        </w:rPr>
        <w:t>ue.  Da</w:t>
      </w:r>
      <w:r w:rsidRPr="00444983">
        <w:rPr>
          <w:szCs w:val="22"/>
        </w:rPr>
        <w:t>ns le cadre des célébrations de son quinzième anniversaire,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 xml:space="preserve">Institut </w:t>
      </w:r>
      <w:proofErr w:type="spellStart"/>
      <w:r w:rsidRPr="00444983">
        <w:rPr>
          <w:szCs w:val="22"/>
        </w:rPr>
        <w:t>Autor</w:t>
      </w:r>
      <w:proofErr w:type="spellEnd"/>
      <w:r w:rsidRPr="00444983">
        <w:rPr>
          <w:szCs w:val="22"/>
        </w:rPr>
        <w:t>, un centre de recherche fondé par la société espagnole de perception SGAE, qui a le statut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observateur accrédité auprès de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OMPI, a chargé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un des auteurs de la présente étude de rédiger un court article sur la protection des metteurs en scène, qui sera présenté dans un projet de publication spéciali</w:t>
      </w:r>
      <w:r w:rsidR="00444983" w:rsidRPr="00444983">
        <w:rPr>
          <w:szCs w:val="22"/>
        </w:rPr>
        <w:t>sé.  L’a</w:t>
      </w:r>
      <w:r w:rsidR="00837995" w:rsidRPr="00444983">
        <w:rPr>
          <w:szCs w:val="22"/>
        </w:rPr>
        <w:t>rticle est disponible en ligne sur le site</w:t>
      </w:r>
      <w:r w:rsidR="00513AAB" w:rsidRPr="00444983">
        <w:rPr>
          <w:szCs w:val="22"/>
        </w:rPr>
        <w:t> </w:t>
      </w:r>
      <w:r w:rsidR="00837995" w:rsidRPr="00444983">
        <w:rPr>
          <w:szCs w:val="22"/>
        </w:rPr>
        <w:t>Web de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Institut à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adresse</w:t>
      </w:r>
      <w:r w:rsidR="005E401D">
        <w:rPr>
          <w:szCs w:val="22"/>
        </w:rPr>
        <w:t xml:space="preserve"> </w:t>
      </w:r>
      <w:hyperlink r:id="rId9" w:history="1">
        <w:r w:rsidR="005E401D" w:rsidRPr="005E401D">
          <w:rPr>
            <w:rStyle w:val="Hyperlink"/>
            <w:spacing w:val="-4"/>
            <w:szCs w:val="22"/>
          </w:rPr>
          <w:t>http://www.institutoautor.org/es</w:t>
        </w:r>
        <w:r w:rsidR="006D7929">
          <w:rPr>
            <w:rStyle w:val="Hyperlink"/>
            <w:spacing w:val="-4"/>
            <w:szCs w:val="22"/>
          </w:rPr>
          <w:noBreakHyphen/>
        </w:r>
        <w:r w:rsidR="005E401D" w:rsidRPr="005E401D">
          <w:rPr>
            <w:rStyle w:val="Hyperlink"/>
            <w:spacing w:val="-4"/>
            <w:szCs w:val="22"/>
          </w:rPr>
          <w:t>ES/SitePages/EstaPasandoDetalleAgenda.aspx?i=2421&amp;s=1&amp;p=1</w:t>
        </w:r>
      </w:hyperlink>
      <w:r w:rsidR="00444983">
        <w:rPr>
          <w:color w:val="000000" w:themeColor="text1"/>
          <w:szCs w:val="22"/>
        </w:rPr>
        <w:t xml:space="preserve"> </w:t>
      </w:r>
      <w:r w:rsidR="00837995" w:rsidRPr="00444983">
        <w:rPr>
          <w:szCs w:val="22"/>
        </w:rPr>
        <w:t>jusqu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à la fin de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 xml:space="preserve">année 2020.  Tous les documents élaborés à cette occasion seront rassemblés dans une brochure </w:t>
      </w:r>
      <w:r w:rsidR="002F2FC1" w:rsidRPr="00444983">
        <w:rPr>
          <w:szCs w:val="22"/>
        </w:rPr>
        <w:t>en 2021</w:t>
      </w:r>
      <w:r w:rsidR="00837995" w:rsidRPr="00444983">
        <w:rPr>
          <w:szCs w:val="22"/>
        </w:rPr>
        <w:t>, qui sera di</w:t>
      </w:r>
      <w:r w:rsidR="00FD172E">
        <w:rPr>
          <w:szCs w:val="22"/>
        </w:rPr>
        <w:t>ffus</w:t>
      </w:r>
      <w:r w:rsidR="00837995" w:rsidRPr="00444983">
        <w:rPr>
          <w:szCs w:val="22"/>
        </w:rPr>
        <w:t xml:space="preserve">ée sur papier et </w:t>
      </w:r>
      <w:r w:rsidR="005227AC">
        <w:rPr>
          <w:szCs w:val="22"/>
        </w:rPr>
        <w:t>au</w:t>
      </w:r>
      <w:r w:rsidR="00837995" w:rsidRPr="00444983">
        <w:rPr>
          <w:szCs w:val="22"/>
        </w:rPr>
        <w:t xml:space="preserve"> form</w:t>
      </w:r>
      <w:r w:rsidR="005227AC">
        <w:rPr>
          <w:szCs w:val="22"/>
        </w:rPr>
        <w:t>at</w:t>
      </w:r>
      <w:r w:rsidR="00837995" w:rsidRPr="00444983">
        <w:rPr>
          <w:szCs w:val="22"/>
        </w:rPr>
        <w:t xml:space="preserve"> électroniq</w:t>
      </w:r>
      <w:r w:rsidR="00444983" w:rsidRPr="00444983">
        <w:rPr>
          <w:szCs w:val="22"/>
        </w:rPr>
        <w:t>ue.  Co</w:t>
      </w:r>
      <w:r w:rsidR="00837995" w:rsidRPr="00444983">
        <w:rPr>
          <w:szCs w:val="22"/>
        </w:rPr>
        <w:t>mme le montre l</w:t>
      </w:r>
      <w:r w:rsidR="00FD172E">
        <w:rPr>
          <w:szCs w:val="22"/>
        </w:rPr>
        <w:t>’</w:t>
      </w:r>
      <w:r w:rsidR="00FD172E" w:rsidRPr="00444983">
        <w:rPr>
          <w:szCs w:val="22"/>
        </w:rPr>
        <w:t xml:space="preserve">actuel </w:t>
      </w:r>
      <w:r w:rsidR="00837995" w:rsidRPr="00444983">
        <w:rPr>
          <w:szCs w:val="22"/>
        </w:rPr>
        <w:t>site</w:t>
      </w:r>
      <w:r w:rsidR="00513AAB" w:rsidRPr="00444983">
        <w:rPr>
          <w:szCs w:val="22"/>
        </w:rPr>
        <w:t> </w:t>
      </w:r>
      <w:r w:rsidR="00837995" w:rsidRPr="00444983">
        <w:rPr>
          <w:szCs w:val="22"/>
        </w:rPr>
        <w:t>Web, les articles rédigés par des auteurs non hispanophones sont publiés dans leur version originale avec leur traduction en espagn</w:t>
      </w:r>
      <w:r w:rsidR="00444983" w:rsidRPr="00444983">
        <w:rPr>
          <w:szCs w:val="22"/>
        </w:rPr>
        <w:t>ol.  La</w:t>
      </w:r>
      <w:r w:rsidR="00837995" w:rsidRPr="00444983">
        <w:rPr>
          <w:szCs w:val="22"/>
        </w:rPr>
        <w:t xml:space="preserve"> participation à ce projet signifie que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étude commandée par</w:t>
      </w:r>
      <w:r w:rsidR="002F2FC1" w:rsidRPr="00444983">
        <w:rPr>
          <w:szCs w:val="22"/>
        </w:rPr>
        <w:t xml:space="preserve"> le SCC</w:t>
      </w:r>
      <w:r w:rsidR="00837995" w:rsidRPr="00444983">
        <w:rPr>
          <w:szCs w:val="22"/>
        </w:rPr>
        <w:t xml:space="preserve">R </w:t>
      </w:r>
      <w:r w:rsidR="005227AC">
        <w:rPr>
          <w:szCs w:val="22"/>
        </w:rPr>
        <w:t>fera l’objet d’</w:t>
      </w:r>
      <w:r w:rsidR="00837995" w:rsidRPr="00444983">
        <w:rPr>
          <w:szCs w:val="22"/>
        </w:rPr>
        <w:t>une visibilité accrue dans le monde hispanophone (principaleme</w:t>
      </w:r>
      <w:r w:rsidR="00444983" w:rsidRPr="00444983">
        <w:rPr>
          <w:szCs w:val="22"/>
        </w:rPr>
        <w:t>nt).  Af</w:t>
      </w:r>
      <w:r w:rsidR="00837995" w:rsidRPr="00444983">
        <w:rPr>
          <w:szCs w:val="22"/>
        </w:rPr>
        <w:t>in de ne pas détourner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attention de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étude qui sera présentée</w:t>
      </w:r>
      <w:r w:rsidR="002F2FC1" w:rsidRPr="00444983">
        <w:rPr>
          <w:szCs w:val="22"/>
        </w:rPr>
        <w:t xml:space="preserve"> au SCC</w:t>
      </w:r>
      <w:r w:rsidR="00837995" w:rsidRPr="00444983">
        <w:rPr>
          <w:szCs w:val="22"/>
        </w:rPr>
        <w:t>R, le document met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 xml:space="preserve">accent sur </w:t>
      </w:r>
      <w:r w:rsidR="005227AC">
        <w:rPr>
          <w:szCs w:val="22"/>
        </w:rPr>
        <w:t>des</w:t>
      </w:r>
      <w:r w:rsidR="00837995" w:rsidRPr="00444983">
        <w:rPr>
          <w:szCs w:val="22"/>
        </w:rPr>
        <w:t xml:space="preserve"> éléments historiques </w:t>
      </w:r>
      <w:r w:rsidR="005227AC">
        <w:rPr>
          <w:szCs w:val="22"/>
        </w:rPr>
        <w:t>de la reconnaissance du</w:t>
      </w:r>
      <w:r w:rsidR="00837995" w:rsidRPr="00444983">
        <w:rPr>
          <w:szCs w:val="22"/>
        </w:rPr>
        <w:t xml:space="preserve"> statut des metteurs en scè</w:t>
      </w:r>
      <w:r w:rsidR="00444983" w:rsidRPr="00444983">
        <w:rPr>
          <w:szCs w:val="22"/>
        </w:rPr>
        <w:t>ne.  Né</w:t>
      </w:r>
      <w:r w:rsidR="00837995" w:rsidRPr="00444983">
        <w:rPr>
          <w:szCs w:val="22"/>
        </w:rPr>
        <w:t xml:space="preserve">anmoins, certains travaux de recherche effectués </w:t>
      </w:r>
      <w:r w:rsidR="005227AC">
        <w:rPr>
          <w:szCs w:val="22"/>
        </w:rPr>
        <w:t xml:space="preserve">pour ce </w:t>
      </w:r>
      <w:r w:rsidR="00837995" w:rsidRPr="00444983">
        <w:rPr>
          <w:szCs w:val="22"/>
        </w:rPr>
        <w:t xml:space="preserve">texte </w:t>
      </w:r>
      <w:r w:rsidR="005227AC">
        <w:rPr>
          <w:szCs w:val="22"/>
        </w:rPr>
        <w:t xml:space="preserve">devraient </w:t>
      </w:r>
      <w:r w:rsidR="00837995" w:rsidRPr="00444983">
        <w:rPr>
          <w:szCs w:val="22"/>
        </w:rPr>
        <w:t>trouver leur place dans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étude et éclairer les conclusions des auteu</w:t>
      </w:r>
      <w:r w:rsidR="00444983" w:rsidRPr="00444983">
        <w:rPr>
          <w:szCs w:val="22"/>
        </w:rPr>
        <w:t>rs.  L’é</w:t>
      </w:r>
      <w:r w:rsidR="00837995" w:rsidRPr="00444983">
        <w:rPr>
          <w:szCs w:val="22"/>
        </w:rPr>
        <w:t>quipe de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OMPI chargée du droit d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 xml:space="preserve">auteur a </w:t>
      </w:r>
      <w:r w:rsidR="00FD172E">
        <w:rPr>
          <w:szCs w:val="22"/>
        </w:rPr>
        <w:t>donné son approbation afin</w:t>
      </w:r>
      <w:r w:rsidR="00837995" w:rsidRPr="00444983">
        <w:rPr>
          <w:szCs w:val="22"/>
        </w:rPr>
        <w:t xml:space="preserve"> que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auteur accepte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>invitation de l</w:t>
      </w:r>
      <w:r w:rsidR="002F2FC1" w:rsidRPr="00444983">
        <w:rPr>
          <w:szCs w:val="22"/>
        </w:rPr>
        <w:t>’</w:t>
      </w:r>
      <w:r w:rsidR="00837995" w:rsidRPr="00444983">
        <w:rPr>
          <w:szCs w:val="22"/>
        </w:rPr>
        <w:t xml:space="preserve">Institut </w:t>
      </w:r>
      <w:proofErr w:type="spellStart"/>
      <w:r w:rsidR="00837995" w:rsidRPr="00444983">
        <w:rPr>
          <w:szCs w:val="22"/>
        </w:rPr>
        <w:t>Autor</w:t>
      </w:r>
      <w:proofErr w:type="spellEnd"/>
      <w:r w:rsidR="00837995" w:rsidRPr="00444983">
        <w:rPr>
          <w:szCs w:val="22"/>
        </w:rPr>
        <w:t>.</w:t>
      </w:r>
    </w:p>
    <w:p w:rsidR="00837995" w:rsidRPr="00444983" w:rsidRDefault="00837995" w:rsidP="005E401D">
      <w:pPr>
        <w:spacing w:after="220"/>
        <w:rPr>
          <w:szCs w:val="22"/>
        </w:rPr>
      </w:pPr>
      <w:r w:rsidRPr="00444983">
        <w:rPr>
          <w:szCs w:val="22"/>
        </w:rPr>
        <w:t>Sur la base des travaux déjà réalisés, nous pouvons dire que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étude devrait être prête pour la quarante</w:t>
      </w:r>
      <w:r w:rsidR="002F2FC1" w:rsidRPr="00444983">
        <w:rPr>
          <w:szCs w:val="22"/>
        </w:rPr>
        <w:t> et unième session du SCC</w:t>
      </w:r>
      <w:r w:rsidRPr="00444983">
        <w:rPr>
          <w:szCs w:val="22"/>
        </w:rPr>
        <w:t xml:space="preserve">R </w:t>
      </w:r>
      <w:r w:rsidR="002F2FC1" w:rsidRPr="00444983">
        <w:rPr>
          <w:szCs w:val="22"/>
        </w:rPr>
        <w:t>en 2021</w:t>
      </w:r>
      <w:r w:rsidRPr="00444983">
        <w:rPr>
          <w:szCs w:val="22"/>
        </w:rPr>
        <w:t>.</w:t>
      </w:r>
      <w:r w:rsidR="003C4995" w:rsidRPr="00444983">
        <w:t xml:space="preserve">  </w:t>
      </w:r>
      <w:r w:rsidRPr="00444983">
        <w:rPr>
          <w:szCs w:val="22"/>
        </w:rPr>
        <w:t>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intégration des entretiens dans le rapport demeure une question difficile car il n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y a pas de fil conducteur qui les unis</w:t>
      </w:r>
      <w:r w:rsidR="00444983" w:rsidRPr="00444983">
        <w:rPr>
          <w:szCs w:val="22"/>
        </w:rPr>
        <w:t>se.  De</w:t>
      </w:r>
      <w:r w:rsidRPr="00444983">
        <w:rPr>
          <w:szCs w:val="22"/>
        </w:rPr>
        <w:t>s études de cas doivent également être élaborées.</w:t>
      </w:r>
      <w:r w:rsidR="003C4995" w:rsidRPr="00444983">
        <w:t xml:space="preserve">  </w:t>
      </w:r>
      <w:r w:rsidRPr="00444983">
        <w:rPr>
          <w:szCs w:val="22"/>
        </w:rPr>
        <w:t>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OMPI ayant participé à une analyse importante de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état de la législation sur le droit d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auteur vers la fin des années </w:t>
      </w:r>
      <w:r w:rsidR="00513AAB" w:rsidRPr="00444983">
        <w:rPr>
          <w:szCs w:val="22"/>
        </w:rPr>
        <w:t>1980</w:t>
      </w:r>
      <w:r w:rsidRPr="00444983">
        <w:rPr>
          <w:szCs w:val="22"/>
        </w:rPr>
        <w:t>, dans laquelle le statut des metteurs en scène avait été examiné, l</w:t>
      </w:r>
      <w:r w:rsidR="002F2FC1" w:rsidRPr="00444983">
        <w:rPr>
          <w:szCs w:val="22"/>
        </w:rPr>
        <w:t>’</w:t>
      </w:r>
      <w:r w:rsidRPr="00444983">
        <w:rPr>
          <w:szCs w:val="22"/>
        </w:rPr>
        <w:t>étude actuellement menée sur proposition de la Fédération de Russie devrait relancer le débat international sur cette question.</w:t>
      </w:r>
    </w:p>
    <w:p w:rsidR="007C3BD8" w:rsidRPr="005E401D" w:rsidRDefault="00837995" w:rsidP="005E401D">
      <w:pPr>
        <w:pStyle w:val="Endofdocument-Annex"/>
      </w:pPr>
      <w:r w:rsidRPr="005E401D">
        <w:t>[Fin du document]</w:t>
      </w:r>
    </w:p>
    <w:sectPr w:rsidR="007C3BD8" w:rsidRPr="005E401D" w:rsidSect="005E4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60" w:rsidRDefault="003A0660">
      <w:r>
        <w:separator/>
      </w:r>
    </w:p>
  </w:endnote>
  <w:endnote w:type="continuationSeparator" w:id="0">
    <w:p w:rsidR="003A0660" w:rsidRPr="009D30E6" w:rsidRDefault="003A066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A0660" w:rsidRPr="009D30E6" w:rsidRDefault="003A066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3A0660" w:rsidRPr="009D30E6" w:rsidRDefault="003A066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95" w:rsidRDefault="00837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95" w:rsidRDefault="00837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95" w:rsidRDefault="0083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60" w:rsidRDefault="003A0660">
      <w:r>
        <w:separator/>
      </w:r>
    </w:p>
  </w:footnote>
  <w:footnote w:type="continuationSeparator" w:id="0">
    <w:p w:rsidR="003A0660" w:rsidRDefault="003A0660" w:rsidP="007461F1">
      <w:r>
        <w:separator/>
      </w:r>
    </w:p>
    <w:p w:rsidR="003A0660" w:rsidRPr="009D30E6" w:rsidRDefault="003A066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3A0660" w:rsidRPr="009D30E6" w:rsidRDefault="003A066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95" w:rsidRDefault="00837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C61AD5" w:rsidRDefault="003C4995" w:rsidP="00477D6B">
    <w:pPr>
      <w:jc w:val="right"/>
      <w:rPr>
        <w:caps/>
      </w:rPr>
    </w:pPr>
    <w:bookmarkStart w:id="4" w:name="Code2"/>
    <w:r>
      <w:rPr>
        <w:caps/>
      </w:rPr>
      <w:t>SCCR/40/5</w:t>
    </w:r>
  </w:p>
  <w:bookmarkEnd w:id="4"/>
  <w:p w:rsidR="00F16975" w:rsidRDefault="00F16975" w:rsidP="00477D6B">
    <w:pPr>
      <w:jc w:val="right"/>
    </w:pPr>
    <w:r>
      <w:t>page</w:t>
    </w:r>
    <w:r w:rsidR="0083799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C4293">
      <w:rPr>
        <w:noProof/>
      </w:rPr>
      <w:t>3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95" w:rsidRDefault="00837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3C4995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B6AC6"/>
    <w:rsid w:val="002C099B"/>
    <w:rsid w:val="002E4D1A"/>
    <w:rsid w:val="002F16BC"/>
    <w:rsid w:val="002F2FC1"/>
    <w:rsid w:val="002F4E68"/>
    <w:rsid w:val="00322C0B"/>
    <w:rsid w:val="00381798"/>
    <w:rsid w:val="003845C1"/>
    <w:rsid w:val="003A0660"/>
    <w:rsid w:val="003A67A3"/>
    <w:rsid w:val="003C4995"/>
    <w:rsid w:val="003D75B6"/>
    <w:rsid w:val="004008A2"/>
    <w:rsid w:val="004025DF"/>
    <w:rsid w:val="0040540C"/>
    <w:rsid w:val="00423E3E"/>
    <w:rsid w:val="00427AF4"/>
    <w:rsid w:val="00444983"/>
    <w:rsid w:val="00461747"/>
    <w:rsid w:val="004647DA"/>
    <w:rsid w:val="00477D6B"/>
    <w:rsid w:val="004D6471"/>
    <w:rsid w:val="00513AAB"/>
    <w:rsid w:val="0051455D"/>
    <w:rsid w:val="005227AC"/>
    <w:rsid w:val="00525B63"/>
    <w:rsid w:val="00525E59"/>
    <w:rsid w:val="00541348"/>
    <w:rsid w:val="005421DD"/>
    <w:rsid w:val="00554FA5"/>
    <w:rsid w:val="00567A4C"/>
    <w:rsid w:val="00574036"/>
    <w:rsid w:val="00595F07"/>
    <w:rsid w:val="005D1977"/>
    <w:rsid w:val="005E401D"/>
    <w:rsid w:val="005E6516"/>
    <w:rsid w:val="00605827"/>
    <w:rsid w:val="00616671"/>
    <w:rsid w:val="00686596"/>
    <w:rsid w:val="006B0DB5"/>
    <w:rsid w:val="006D7929"/>
    <w:rsid w:val="007461F1"/>
    <w:rsid w:val="00770F26"/>
    <w:rsid w:val="007C3BD8"/>
    <w:rsid w:val="007D6961"/>
    <w:rsid w:val="007F07CB"/>
    <w:rsid w:val="008063EF"/>
    <w:rsid w:val="00810CEF"/>
    <w:rsid w:val="0081208D"/>
    <w:rsid w:val="00837995"/>
    <w:rsid w:val="008438FA"/>
    <w:rsid w:val="00873D0F"/>
    <w:rsid w:val="008B2CC1"/>
    <w:rsid w:val="008D5BDC"/>
    <w:rsid w:val="008E585B"/>
    <w:rsid w:val="008E7930"/>
    <w:rsid w:val="0090731E"/>
    <w:rsid w:val="00966A22"/>
    <w:rsid w:val="00974CD6"/>
    <w:rsid w:val="009C219E"/>
    <w:rsid w:val="009D30E6"/>
    <w:rsid w:val="009E3F6F"/>
    <w:rsid w:val="009F499F"/>
    <w:rsid w:val="009F6B0B"/>
    <w:rsid w:val="00A11D74"/>
    <w:rsid w:val="00AC0AE4"/>
    <w:rsid w:val="00AD61DB"/>
    <w:rsid w:val="00B1090C"/>
    <w:rsid w:val="00B35AF5"/>
    <w:rsid w:val="00BA6D1D"/>
    <w:rsid w:val="00BE0BE0"/>
    <w:rsid w:val="00C61AD5"/>
    <w:rsid w:val="00C634F2"/>
    <w:rsid w:val="00C664C8"/>
    <w:rsid w:val="00CF0460"/>
    <w:rsid w:val="00D43E0F"/>
    <w:rsid w:val="00D45252"/>
    <w:rsid w:val="00D71B4D"/>
    <w:rsid w:val="00D75C1E"/>
    <w:rsid w:val="00D80AD1"/>
    <w:rsid w:val="00D93D55"/>
    <w:rsid w:val="00DB1C48"/>
    <w:rsid w:val="00DD4917"/>
    <w:rsid w:val="00DD6A16"/>
    <w:rsid w:val="00E0091A"/>
    <w:rsid w:val="00E203AA"/>
    <w:rsid w:val="00E31160"/>
    <w:rsid w:val="00E34F69"/>
    <w:rsid w:val="00E5217A"/>
    <w:rsid w:val="00E527A5"/>
    <w:rsid w:val="00E76456"/>
    <w:rsid w:val="00E80DBC"/>
    <w:rsid w:val="00EC4293"/>
    <w:rsid w:val="00EE71CB"/>
    <w:rsid w:val="00F16975"/>
    <w:rsid w:val="00F66152"/>
    <w:rsid w:val="00FD172E"/>
    <w:rsid w:val="00FD25C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C650FDD-7285-491A-A2C1-982131C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5E401D"/>
    <w:pPr>
      <w:spacing w:before="66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iPriority w:val="99"/>
    <w:unhideWhenUsed/>
    <w:rsid w:val="005E401D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44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4983"/>
    <w:rPr>
      <w:rFonts w:ascii="Segoe UI" w:eastAsia="SimSun" w:hAnsi="Segoe UI" w:cs="Segoe UI"/>
      <w:sz w:val="18"/>
      <w:szCs w:val="18"/>
      <w:lang w:eastAsia="zh-CN"/>
    </w:rPr>
  </w:style>
  <w:style w:type="paragraph" w:styleId="Title">
    <w:name w:val="Title"/>
    <w:basedOn w:val="Heading1"/>
    <w:next w:val="Normal"/>
    <w:link w:val="TitleChar"/>
    <w:qFormat/>
    <w:rsid w:val="005E401D"/>
    <w:pPr>
      <w:spacing w:before="0" w:after="480"/>
    </w:pPr>
    <w:rPr>
      <w:caps w:val="0"/>
      <w:sz w:val="28"/>
    </w:rPr>
  </w:style>
  <w:style w:type="character" w:customStyle="1" w:styleId="TitleChar">
    <w:name w:val="Title Char"/>
    <w:basedOn w:val="DefaultParagraphFont"/>
    <w:link w:val="Title"/>
    <w:rsid w:val="005E401D"/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character" w:styleId="FollowedHyperlink">
    <w:name w:val="FollowedHyperlink"/>
    <w:basedOn w:val="DefaultParagraphFont"/>
    <w:semiHidden/>
    <w:unhideWhenUsed/>
    <w:rsid w:val="005E4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titutoautor.org/es%1eES/SitePages/EstaPasandoDetalleAgenda.aspx?i=2421&amp;s=1&amp;p=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4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C6CA-EAAF-47A3-9415-DFB0EB0F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40 (F)</Template>
  <TotalTime>1</TotalTime>
  <Pages>3</Pages>
  <Words>1196</Words>
  <Characters>6728</Characters>
  <Application>Microsoft Office Word</Application>
  <DocSecurity>4</DocSecurity>
  <Lines>99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SCCR/40/</vt:lpstr>
    </vt:vector>
  </TitlesOfParts>
  <Company>WIPO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</dc:title>
  <dc:creator>GARRIDO Nathalie</dc:creator>
  <cp:keywords>FOR OFFICIAL USE ONLY</cp:keywords>
  <cp:lastModifiedBy>HAIZEL Francesca</cp:lastModifiedBy>
  <cp:revision>2</cp:revision>
  <cp:lastPrinted>2011-05-19T12:37:00Z</cp:lastPrinted>
  <dcterms:created xsi:type="dcterms:W3CDTF">2020-11-11T17:18:00Z</dcterms:created>
  <dcterms:modified xsi:type="dcterms:W3CDTF">2020-11-11T17:18:00Z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