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5F5" w:rsidRPr="00CC4B57" w:rsidRDefault="007439BA" w:rsidP="007439BA">
      <w:pPr>
        <w:rPr>
          <w:caps/>
          <w:sz w:val="24"/>
          <w:lang w:val="fr-FR"/>
        </w:rPr>
      </w:pPr>
      <w:bookmarkStart w:id="0" w:name="_Toc497378436"/>
      <w:bookmarkStart w:id="1" w:name="_Toc498032585"/>
      <w:bookmarkStart w:id="2" w:name="_Toc498029002"/>
      <w:r w:rsidRPr="00CC4B57">
        <w:rPr>
          <w:caps/>
          <w:sz w:val="24"/>
          <w:lang w:val="fr-FR"/>
        </w:rPr>
        <w:t>Étude sur les limitations et exceptions relatives au droit d</w:t>
      </w:r>
      <w:r w:rsidR="0045102F" w:rsidRPr="00CC4B57">
        <w:rPr>
          <w:caps/>
          <w:sz w:val="24"/>
          <w:lang w:val="fr-FR"/>
        </w:rPr>
        <w:t>’</w:t>
      </w:r>
      <w:r w:rsidRPr="00CC4B57">
        <w:rPr>
          <w:caps/>
          <w:sz w:val="24"/>
          <w:lang w:val="fr-FR"/>
        </w:rPr>
        <w:t>auteur en faveur des bibliothèques et des services d</w:t>
      </w:r>
      <w:r w:rsidR="0045102F" w:rsidRPr="00CC4B57">
        <w:rPr>
          <w:caps/>
          <w:sz w:val="24"/>
          <w:lang w:val="fr-FR"/>
        </w:rPr>
        <w:t>’</w:t>
      </w:r>
      <w:r w:rsidRPr="00CC4B57">
        <w:rPr>
          <w:caps/>
          <w:sz w:val="24"/>
          <w:lang w:val="fr-FR"/>
        </w:rPr>
        <w:t>archives</w:t>
      </w:r>
      <w:r w:rsidR="0045102F" w:rsidRPr="00CC4B57">
        <w:rPr>
          <w:caps/>
          <w:sz w:val="24"/>
          <w:lang w:val="fr-FR"/>
        </w:rPr>
        <w:t> </w:t>
      </w:r>
      <w:proofErr w:type="gramStart"/>
      <w:r w:rsidR="0045102F" w:rsidRPr="00CC4B57">
        <w:rPr>
          <w:caps/>
          <w:sz w:val="24"/>
          <w:lang w:val="fr-FR"/>
        </w:rPr>
        <w:t>:</w:t>
      </w:r>
      <w:r w:rsidRPr="00CC4B57">
        <w:rPr>
          <w:caps/>
          <w:sz w:val="24"/>
          <w:lang w:val="fr-FR"/>
        </w:rPr>
        <w:t xml:space="preserve"> version</w:t>
      </w:r>
      <w:proofErr w:type="gramEnd"/>
      <w:r w:rsidRPr="00CC4B57">
        <w:rPr>
          <w:caps/>
          <w:sz w:val="24"/>
          <w:lang w:val="fr-FR"/>
        </w:rPr>
        <w:t xml:space="preserve"> actualisée et révisée (Édition </w:t>
      </w:r>
      <w:r w:rsidR="0096345D" w:rsidRPr="00CC4B57">
        <w:rPr>
          <w:caps/>
          <w:sz w:val="24"/>
          <w:lang w:val="fr-FR"/>
        </w:rPr>
        <w:t>de 2017</w:t>
      </w:r>
      <w:r w:rsidRPr="00CC4B57">
        <w:rPr>
          <w:caps/>
          <w:sz w:val="24"/>
          <w:lang w:val="fr-FR"/>
        </w:rPr>
        <w:t>)</w:t>
      </w:r>
    </w:p>
    <w:p w:rsidR="00BB45F5" w:rsidRPr="00CC4B57" w:rsidRDefault="00BB45F5" w:rsidP="006D2A00">
      <w:pPr>
        <w:rPr>
          <w:lang w:val="fr-FR"/>
        </w:rPr>
      </w:pPr>
    </w:p>
    <w:p w:rsidR="00BB45F5" w:rsidRPr="00CC4B57" w:rsidRDefault="007439BA" w:rsidP="007439BA">
      <w:pPr>
        <w:rPr>
          <w:i/>
          <w:lang w:val="fr-FR"/>
        </w:rPr>
      </w:pPr>
      <w:bookmarkStart w:id="3" w:name="Prepared"/>
      <w:bookmarkEnd w:id="3"/>
      <w:proofErr w:type="gramStart"/>
      <w:r w:rsidRPr="00CC4B57">
        <w:rPr>
          <w:i/>
          <w:lang w:val="fr-FR"/>
        </w:rPr>
        <w:t>établie</w:t>
      </w:r>
      <w:proofErr w:type="gramEnd"/>
      <w:r w:rsidRPr="00CC4B57">
        <w:rPr>
          <w:i/>
          <w:lang w:val="fr-FR"/>
        </w:rPr>
        <w:t xml:space="preserve"> par M.</w:t>
      </w:r>
      <w:r w:rsidR="00117E3A" w:rsidRPr="00CC4B57">
        <w:rPr>
          <w:i/>
          <w:lang w:val="fr-FR"/>
        </w:rPr>
        <w:t> </w:t>
      </w:r>
      <w:r w:rsidRPr="00CC4B57">
        <w:rPr>
          <w:i/>
          <w:lang w:val="fr-FR"/>
        </w:rPr>
        <w:t>Kenneth</w:t>
      </w:r>
      <w:r w:rsidR="00D956DB" w:rsidRPr="00CC4B57">
        <w:rPr>
          <w:i/>
          <w:lang w:val="fr-FR"/>
        </w:rPr>
        <w:t> </w:t>
      </w:r>
      <w:r w:rsidRPr="00CC4B57">
        <w:rPr>
          <w:i/>
          <w:lang w:val="fr-FR"/>
        </w:rPr>
        <w:t>D.</w:t>
      </w:r>
      <w:r w:rsidR="00117E3A" w:rsidRPr="00CC4B57">
        <w:rPr>
          <w:i/>
          <w:lang w:val="fr-FR"/>
        </w:rPr>
        <w:t> </w:t>
      </w:r>
      <w:r w:rsidRPr="00CC4B57">
        <w:rPr>
          <w:i/>
          <w:lang w:val="fr-FR"/>
        </w:rPr>
        <w:t>docteur en droit et titulaire d</w:t>
      </w:r>
      <w:r w:rsidR="0045102F" w:rsidRPr="00CC4B57">
        <w:rPr>
          <w:i/>
          <w:lang w:val="fr-FR"/>
        </w:rPr>
        <w:t>’</w:t>
      </w:r>
      <w:r w:rsidRPr="00CC4B57">
        <w:rPr>
          <w:i/>
          <w:lang w:val="fr-FR"/>
        </w:rPr>
        <w:t>un doctorat (</w:t>
      </w:r>
      <w:proofErr w:type="spellStart"/>
      <w:r w:rsidRPr="00CC4B57">
        <w:rPr>
          <w:i/>
          <w:lang w:val="fr-FR"/>
        </w:rPr>
        <w:t>Ph.D</w:t>
      </w:r>
      <w:proofErr w:type="spellEnd"/>
      <w:r w:rsidRPr="00CC4B57">
        <w:rPr>
          <w:i/>
          <w:lang w:val="fr-FR"/>
        </w:rPr>
        <w:t>.)</w:t>
      </w:r>
    </w:p>
    <w:bookmarkEnd w:id="0"/>
    <w:bookmarkEnd w:id="1"/>
    <w:p w:rsidR="00BB45F5" w:rsidRPr="00CC4B57" w:rsidRDefault="007439BA" w:rsidP="007439BA">
      <w:pPr>
        <w:pStyle w:val="Heading1"/>
        <w:rPr>
          <w:lang w:val="fr-FR" w:eastAsia="en-US"/>
        </w:rPr>
      </w:pPr>
      <w:r w:rsidRPr="00CC4B57">
        <w:rPr>
          <w:lang w:val="fr-FR" w:eastAsia="en-US"/>
        </w:rPr>
        <w:t>Résumé</w:t>
      </w:r>
    </w:p>
    <w:p w:rsidR="00BB45F5" w:rsidRPr="00CC4B57" w:rsidRDefault="00BB45F5" w:rsidP="006D2A00">
      <w:pPr>
        <w:rPr>
          <w:lang w:val="fr-FR" w:eastAsia="en-US"/>
        </w:rPr>
      </w:pPr>
    </w:p>
    <w:p w:rsidR="00BB45F5" w:rsidRPr="00CC4B57" w:rsidRDefault="00981484" w:rsidP="00981484">
      <w:pPr>
        <w:pStyle w:val="Heading1"/>
        <w:rPr>
          <w:lang w:val="fr-FR"/>
        </w:rPr>
      </w:pPr>
      <w:bookmarkStart w:id="4" w:name="_Toc498032586"/>
      <w:r w:rsidRPr="00CC4B57">
        <w:rPr>
          <w:lang w:val="fr-FR"/>
        </w:rPr>
        <w:t>Introduction</w:t>
      </w:r>
      <w:bookmarkEnd w:id="2"/>
      <w:bookmarkEnd w:id="4"/>
    </w:p>
    <w:p w:rsidR="00BB45F5" w:rsidRPr="00CC4B57" w:rsidRDefault="00BB45F5" w:rsidP="006D2A00">
      <w:pPr>
        <w:rPr>
          <w:lang w:val="fr-FR"/>
        </w:rPr>
      </w:pPr>
    </w:p>
    <w:p w:rsidR="0096345D" w:rsidRPr="00CC4B57" w:rsidRDefault="0065735B" w:rsidP="009873CA">
      <w:pPr>
        <w:rPr>
          <w:rFonts w:eastAsia="Times New Roman"/>
          <w:szCs w:val="22"/>
          <w:lang w:val="fr-FR"/>
        </w:rPr>
      </w:pPr>
      <w:r w:rsidRPr="00CC4B57">
        <w:rPr>
          <w:rFonts w:eastAsia="Times New Roman"/>
          <w:szCs w:val="22"/>
          <w:lang w:val="fr-FR"/>
        </w:rPr>
        <w:t>Les l</w:t>
      </w:r>
      <w:r w:rsidR="009873CA" w:rsidRPr="00CC4B57">
        <w:rPr>
          <w:rFonts w:eastAsia="Times New Roman"/>
          <w:szCs w:val="22"/>
          <w:lang w:val="fr-FR"/>
        </w:rPr>
        <w:t>oi</w:t>
      </w:r>
      <w:r w:rsidRPr="00CC4B57">
        <w:rPr>
          <w:rFonts w:eastAsia="Times New Roman"/>
          <w:szCs w:val="22"/>
          <w:lang w:val="fr-FR"/>
        </w:rPr>
        <w:t>s sur le droit d</w:t>
      </w:r>
      <w:r w:rsidR="0045102F" w:rsidRPr="00CC4B57">
        <w:rPr>
          <w:rFonts w:eastAsia="Times New Roman"/>
          <w:szCs w:val="22"/>
          <w:lang w:val="fr-FR"/>
        </w:rPr>
        <w:t>’</w:t>
      </w:r>
      <w:r w:rsidRPr="00CC4B57">
        <w:rPr>
          <w:rFonts w:eastAsia="Times New Roman"/>
          <w:szCs w:val="22"/>
          <w:lang w:val="fr-FR"/>
        </w:rPr>
        <w:t xml:space="preserve">auteur de la plupart des pays comprennent </w:t>
      </w:r>
      <w:r w:rsidR="009873CA" w:rsidRPr="00CC4B57">
        <w:rPr>
          <w:rFonts w:eastAsia="Times New Roman"/>
          <w:szCs w:val="22"/>
          <w:lang w:val="fr-FR"/>
        </w:rPr>
        <w:t>d</w:t>
      </w:r>
      <w:r w:rsidRPr="00CC4B57">
        <w:rPr>
          <w:rFonts w:eastAsia="Times New Roman"/>
          <w:szCs w:val="22"/>
          <w:lang w:val="fr-FR"/>
        </w:rPr>
        <w:t xml:space="preserve">es exceptions ou </w:t>
      </w:r>
      <w:r w:rsidR="00B105C3" w:rsidRPr="00CC4B57">
        <w:rPr>
          <w:rFonts w:eastAsia="Times New Roman"/>
          <w:szCs w:val="22"/>
          <w:lang w:val="fr-FR"/>
        </w:rPr>
        <w:t xml:space="preserve">des </w:t>
      </w:r>
      <w:r w:rsidRPr="00CC4B57">
        <w:rPr>
          <w:rFonts w:eastAsia="Times New Roman"/>
          <w:szCs w:val="22"/>
          <w:lang w:val="fr-FR"/>
        </w:rPr>
        <w:t xml:space="preserve">limitations expressément applicables aux bibliothèques et </w:t>
      </w:r>
      <w:r w:rsidR="00B105C3" w:rsidRPr="00CC4B57">
        <w:rPr>
          <w:rFonts w:eastAsia="Times New Roman"/>
          <w:szCs w:val="22"/>
          <w:lang w:val="fr-FR"/>
        </w:rPr>
        <w:t xml:space="preserve">aux </w:t>
      </w:r>
      <w:r w:rsidRPr="00CC4B57">
        <w:rPr>
          <w:rFonts w:eastAsia="Times New Roman"/>
          <w:szCs w:val="22"/>
          <w:lang w:val="fr-FR"/>
        </w:rPr>
        <w:t>services d</w:t>
      </w:r>
      <w:r w:rsidR="0045102F" w:rsidRPr="00CC4B57">
        <w:rPr>
          <w:rFonts w:eastAsia="Times New Roman"/>
          <w:szCs w:val="22"/>
          <w:lang w:val="fr-FR"/>
        </w:rPr>
        <w:t>’</w:t>
      </w:r>
      <w:r w:rsidRPr="00CC4B57">
        <w:rPr>
          <w:rFonts w:eastAsia="Times New Roman"/>
          <w:szCs w:val="22"/>
          <w:lang w:val="fr-FR"/>
        </w:rPr>
        <w:t>archiv</w:t>
      </w:r>
      <w:r w:rsidR="00753BBF" w:rsidRPr="00CC4B57">
        <w:rPr>
          <w:rFonts w:eastAsia="Times New Roman"/>
          <w:szCs w:val="22"/>
          <w:lang w:val="fr-FR"/>
        </w:rPr>
        <w:t>es.  Ce</w:t>
      </w:r>
      <w:r w:rsidR="00492DC1" w:rsidRPr="00CC4B57">
        <w:rPr>
          <w:rFonts w:eastAsia="Times New Roman"/>
          <w:szCs w:val="22"/>
          <w:lang w:val="fr-FR"/>
        </w:rPr>
        <w:t xml:space="preserve">s dispositions contribuent grandement au bon fonctionnement des services de bibliothèque et </w:t>
      </w:r>
      <w:r w:rsidR="00B105C3" w:rsidRPr="00CC4B57">
        <w:rPr>
          <w:rFonts w:eastAsia="Times New Roman"/>
          <w:szCs w:val="22"/>
          <w:lang w:val="fr-FR"/>
        </w:rPr>
        <w:t>répondent aux</w:t>
      </w:r>
      <w:r w:rsidR="00492DC1" w:rsidRPr="00CC4B57">
        <w:rPr>
          <w:rFonts w:eastAsia="Times New Roman"/>
          <w:szCs w:val="22"/>
          <w:lang w:val="fr-FR"/>
        </w:rPr>
        <w:t xml:space="preserve"> intérêts privés et publics dans le</w:t>
      </w:r>
      <w:r w:rsidR="00B105C3" w:rsidRPr="00CC4B57">
        <w:rPr>
          <w:rFonts w:eastAsia="Times New Roman"/>
          <w:szCs w:val="22"/>
          <w:lang w:val="fr-FR"/>
        </w:rPr>
        <w:t xml:space="preserve"> cadre de</w:t>
      </w:r>
      <w:r w:rsidR="00492DC1" w:rsidRPr="00CC4B57">
        <w:rPr>
          <w:rFonts w:eastAsia="Times New Roman"/>
          <w:szCs w:val="22"/>
          <w:lang w:val="fr-FR"/>
        </w:rPr>
        <w:t>s l</w:t>
      </w:r>
      <w:r w:rsidR="009873CA" w:rsidRPr="00CC4B57">
        <w:rPr>
          <w:rFonts w:eastAsia="Times New Roman"/>
          <w:szCs w:val="22"/>
          <w:lang w:val="fr-FR"/>
        </w:rPr>
        <w:t>égislations</w:t>
      </w:r>
      <w:r w:rsidR="00492DC1" w:rsidRPr="00CC4B57">
        <w:rPr>
          <w:rFonts w:eastAsia="Times New Roman"/>
          <w:szCs w:val="22"/>
          <w:lang w:val="fr-FR"/>
        </w:rPr>
        <w:t xml:space="preserve"> sur le droit d</w:t>
      </w:r>
      <w:r w:rsidR="0045102F" w:rsidRPr="00CC4B57">
        <w:rPr>
          <w:rFonts w:eastAsia="Times New Roman"/>
          <w:szCs w:val="22"/>
          <w:lang w:val="fr-FR"/>
        </w:rPr>
        <w:t>’</w:t>
      </w:r>
      <w:r w:rsidR="00492DC1" w:rsidRPr="00CC4B57">
        <w:rPr>
          <w:rFonts w:eastAsia="Times New Roman"/>
          <w:szCs w:val="22"/>
          <w:lang w:val="fr-FR"/>
        </w:rPr>
        <w:t>aute</w:t>
      </w:r>
      <w:r w:rsidR="00753BBF" w:rsidRPr="00CC4B57">
        <w:rPr>
          <w:rFonts w:eastAsia="Times New Roman"/>
          <w:szCs w:val="22"/>
          <w:lang w:val="fr-FR"/>
        </w:rPr>
        <w:t>ur.  La</w:t>
      </w:r>
      <w:r w:rsidR="009873CA" w:rsidRPr="00CC4B57">
        <w:rPr>
          <w:rFonts w:eastAsia="Times New Roman"/>
          <w:szCs w:val="22"/>
          <w:lang w:val="fr-FR"/>
        </w:rPr>
        <w:t xml:space="preserve"> présente</w:t>
      </w:r>
      <w:r w:rsidR="00492DC1" w:rsidRPr="00CC4B57">
        <w:rPr>
          <w:rFonts w:eastAsia="Times New Roman"/>
          <w:szCs w:val="22"/>
          <w:lang w:val="fr-FR"/>
        </w:rPr>
        <w:t xml:space="preserve"> étude propose un examen et une analyse des exceptions au droit d</w:t>
      </w:r>
      <w:r w:rsidR="0045102F" w:rsidRPr="00CC4B57">
        <w:rPr>
          <w:rFonts w:eastAsia="Times New Roman"/>
          <w:szCs w:val="22"/>
          <w:lang w:val="fr-FR"/>
        </w:rPr>
        <w:t>’</w:t>
      </w:r>
      <w:r w:rsidR="00492DC1" w:rsidRPr="00CC4B57">
        <w:rPr>
          <w:rFonts w:eastAsia="Times New Roman"/>
          <w:szCs w:val="22"/>
          <w:lang w:val="fr-FR"/>
        </w:rPr>
        <w:t>auteur applicab</w:t>
      </w:r>
      <w:bookmarkStart w:id="5" w:name="_GoBack"/>
      <w:bookmarkEnd w:id="5"/>
      <w:r w:rsidR="00492DC1" w:rsidRPr="00CC4B57">
        <w:rPr>
          <w:rFonts w:eastAsia="Times New Roman"/>
          <w:szCs w:val="22"/>
          <w:lang w:val="fr-FR"/>
        </w:rPr>
        <w:t>les aux bibliothèques et aux services d</w:t>
      </w:r>
      <w:r w:rsidR="0045102F" w:rsidRPr="00CC4B57">
        <w:rPr>
          <w:rFonts w:eastAsia="Times New Roman"/>
          <w:szCs w:val="22"/>
          <w:lang w:val="fr-FR"/>
        </w:rPr>
        <w:t>’</w:t>
      </w:r>
      <w:r w:rsidR="00492DC1" w:rsidRPr="00CC4B57">
        <w:rPr>
          <w:rFonts w:eastAsia="Times New Roman"/>
          <w:szCs w:val="22"/>
          <w:lang w:val="fr-FR"/>
        </w:rPr>
        <w:t>archives dans les lois sur le droit d</w:t>
      </w:r>
      <w:r w:rsidR="0045102F" w:rsidRPr="00CC4B57">
        <w:rPr>
          <w:rFonts w:eastAsia="Times New Roman"/>
          <w:szCs w:val="22"/>
          <w:lang w:val="fr-FR"/>
        </w:rPr>
        <w:t>’</w:t>
      </w:r>
      <w:r w:rsidR="00492DC1" w:rsidRPr="00CC4B57">
        <w:rPr>
          <w:rFonts w:eastAsia="Times New Roman"/>
          <w:szCs w:val="22"/>
          <w:lang w:val="fr-FR"/>
        </w:rPr>
        <w:t>auteur de l</w:t>
      </w:r>
      <w:r w:rsidR="0045102F" w:rsidRPr="00CC4B57">
        <w:rPr>
          <w:rFonts w:eastAsia="Times New Roman"/>
          <w:szCs w:val="22"/>
          <w:lang w:val="fr-FR"/>
        </w:rPr>
        <w:t>’</w:t>
      </w:r>
      <w:r w:rsidR="00492DC1" w:rsidRPr="00CC4B57">
        <w:rPr>
          <w:rFonts w:eastAsia="Times New Roman"/>
          <w:szCs w:val="22"/>
          <w:lang w:val="fr-FR"/>
        </w:rPr>
        <w:t>ensemble des 191</w:t>
      </w:r>
      <w:r w:rsidR="00D956DB" w:rsidRPr="00CC4B57">
        <w:rPr>
          <w:rFonts w:eastAsia="Times New Roman"/>
          <w:szCs w:val="22"/>
          <w:lang w:val="fr-FR"/>
        </w:rPr>
        <w:t> </w:t>
      </w:r>
      <w:r w:rsidR="00492DC1" w:rsidRPr="00CC4B57">
        <w:rPr>
          <w:rFonts w:eastAsia="Times New Roman"/>
          <w:szCs w:val="22"/>
          <w:lang w:val="fr-FR"/>
        </w:rPr>
        <w:t>États membres de l</w:t>
      </w:r>
      <w:r w:rsidR="0045102F" w:rsidRPr="00CC4B57">
        <w:rPr>
          <w:rFonts w:eastAsia="Times New Roman"/>
          <w:szCs w:val="22"/>
          <w:lang w:val="fr-FR"/>
        </w:rPr>
        <w:t>’</w:t>
      </w:r>
      <w:r w:rsidR="00492DC1" w:rsidRPr="00CC4B57">
        <w:rPr>
          <w:rFonts w:eastAsia="Times New Roman"/>
          <w:szCs w:val="22"/>
          <w:lang w:val="fr-FR"/>
        </w:rPr>
        <w:t>Organisation Mondiale de la Propriété Intellectuelle (OMPI).</w:t>
      </w:r>
      <w:r w:rsidR="006D2A00" w:rsidRPr="00CC4B57">
        <w:rPr>
          <w:rFonts w:eastAsia="Times New Roman"/>
          <w:szCs w:val="22"/>
          <w:lang w:val="fr-FR"/>
        </w:rPr>
        <w:t xml:space="preserve">  </w:t>
      </w:r>
      <w:r w:rsidR="00492DC1" w:rsidRPr="00CC4B57">
        <w:rPr>
          <w:rFonts w:eastAsia="Times New Roman"/>
          <w:szCs w:val="22"/>
          <w:lang w:val="fr-FR"/>
        </w:rPr>
        <w:t>Sur ces 191</w:t>
      </w:r>
      <w:r w:rsidR="00D956DB" w:rsidRPr="00CC4B57">
        <w:rPr>
          <w:rFonts w:eastAsia="Times New Roman"/>
          <w:szCs w:val="22"/>
          <w:lang w:val="fr-FR"/>
        </w:rPr>
        <w:t> </w:t>
      </w:r>
      <w:r w:rsidR="00492DC1" w:rsidRPr="00CC4B57">
        <w:rPr>
          <w:rFonts w:eastAsia="Times New Roman"/>
          <w:szCs w:val="22"/>
          <w:lang w:val="fr-FR"/>
        </w:rPr>
        <w:t xml:space="preserve">États, 161 ont inséré </w:t>
      </w:r>
      <w:r w:rsidR="009873CA" w:rsidRPr="00CC4B57">
        <w:rPr>
          <w:rFonts w:eastAsia="Times New Roman"/>
          <w:szCs w:val="22"/>
          <w:lang w:val="fr-FR"/>
        </w:rPr>
        <w:t>dans leur législation sur le droit d</w:t>
      </w:r>
      <w:r w:rsidR="0045102F" w:rsidRPr="00CC4B57">
        <w:rPr>
          <w:rFonts w:eastAsia="Times New Roman"/>
          <w:szCs w:val="22"/>
          <w:lang w:val="fr-FR"/>
        </w:rPr>
        <w:t>’</w:t>
      </w:r>
      <w:r w:rsidR="009873CA" w:rsidRPr="00CC4B57">
        <w:rPr>
          <w:rFonts w:eastAsia="Times New Roman"/>
          <w:szCs w:val="22"/>
          <w:lang w:val="fr-FR"/>
        </w:rPr>
        <w:t xml:space="preserve">auteur </w:t>
      </w:r>
      <w:r w:rsidR="00492DC1" w:rsidRPr="00CC4B57">
        <w:rPr>
          <w:rFonts w:eastAsia="Times New Roman"/>
          <w:szCs w:val="22"/>
          <w:lang w:val="fr-FR"/>
        </w:rPr>
        <w:t xml:space="preserve">au moins une </w:t>
      </w:r>
      <w:r w:rsidR="009873CA" w:rsidRPr="00CC4B57">
        <w:rPr>
          <w:rFonts w:eastAsia="Times New Roman"/>
          <w:szCs w:val="22"/>
          <w:lang w:val="fr-FR"/>
        </w:rPr>
        <w:t>disposition</w:t>
      </w:r>
      <w:r w:rsidR="00492DC1" w:rsidRPr="00CC4B57">
        <w:rPr>
          <w:rFonts w:eastAsia="Times New Roman"/>
          <w:szCs w:val="22"/>
          <w:lang w:val="fr-FR"/>
        </w:rPr>
        <w:t xml:space="preserve"> </w:t>
      </w:r>
      <w:r w:rsidR="009873CA" w:rsidRPr="00CC4B57">
        <w:rPr>
          <w:rFonts w:eastAsia="Times New Roman"/>
          <w:szCs w:val="22"/>
          <w:lang w:val="fr-FR"/>
        </w:rPr>
        <w:t xml:space="preserve">expressément applicable </w:t>
      </w:r>
      <w:r w:rsidR="00492DC1" w:rsidRPr="00CC4B57">
        <w:rPr>
          <w:rFonts w:eastAsia="Times New Roman"/>
          <w:szCs w:val="22"/>
          <w:lang w:val="fr-FR"/>
        </w:rPr>
        <w:t>aux bibliothèques ou aux services d</w:t>
      </w:r>
      <w:r w:rsidR="0045102F" w:rsidRPr="00CC4B57">
        <w:rPr>
          <w:rFonts w:eastAsia="Times New Roman"/>
          <w:szCs w:val="22"/>
          <w:lang w:val="fr-FR"/>
        </w:rPr>
        <w:t>’</w:t>
      </w:r>
      <w:r w:rsidR="00492DC1" w:rsidRPr="00CC4B57">
        <w:rPr>
          <w:rFonts w:eastAsia="Times New Roman"/>
          <w:szCs w:val="22"/>
          <w:lang w:val="fr-FR"/>
        </w:rPr>
        <w:t xml:space="preserve">archives, </w:t>
      </w:r>
      <w:r w:rsidR="009873CA" w:rsidRPr="00CC4B57">
        <w:rPr>
          <w:rFonts w:eastAsia="Times New Roman"/>
          <w:szCs w:val="22"/>
          <w:lang w:val="fr-FR"/>
        </w:rPr>
        <w:t>ce</w:t>
      </w:r>
      <w:r w:rsidR="00492DC1" w:rsidRPr="00CC4B57">
        <w:rPr>
          <w:rFonts w:eastAsia="Times New Roman"/>
          <w:szCs w:val="22"/>
          <w:lang w:val="fr-FR"/>
        </w:rPr>
        <w:t xml:space="preserve"> qui </w:t>
      </w:r>
      <w:r w:rsidR="009873CA" w:rsidRPr="00CC4B57">
        <w:rPr>
          <w:rFonts w:eastAsia="Times New Roman"/>
          <w:szCs w:val="22"/>
          <w:lang w:val="fr-FR"/>
        </w:rPr>
        <w:t>témoigne de</w:t>
      </w:r>
      <w:r w:rsidR="00492DC1" w:rsidRPr="00CC4B57">
        <w:rPr>
          <w:rFonts w:eastAsia="Times New Roman"/>
          <w:szCs w:val="22"/>
          <w:lang w:val="fr-FR"/>
        </w:rPr>
        <w:t xml:space="preserve"> la relation solide </w:t>
      </w:r>
      <w:r w:rsidR="00E535BF" w:rsidRPr="00CC4B57">
        <w:rPr>
          <w:rFonts w:eastAsia="Times New Roman"/>
          <w:szCs w:val="22"/>
          <w:lang w:val="fr-FR"/>
        </w:rPr>
        <w:t xml:space="preserve">qui existe </w:t>
      </w:r>
      <w:r w:rsidR="00492DC1" w:rsidRPr="00CC4B57">
        <w:rPr>
          <w:rFonts w:eastAsia="Times New Roman"/>
          <w:szCs w:val="22"/>
          <w:lang w:val="fr-FR"/>
        </w:rPr>
        <w:t>entre le</w:t>
      </w:r>
      <w:r w:rsidR="00B105C3" w:rsidRPr="00CC4B57">
        <w:rPr>
          <w:rFonts w:eastAsia="Times New Roman"/>
          <w:szCs w:val="22"/>
          <w:lang w:val="fr-FR"/>
        </w:rPr>
        <w:t xml:space="preserve"> droit et le</w:t>
      </w:r>
      <w:r w:rsidR="00492DC1" w:rsidRPr="00CC4B57">
        <w:rPr>
          <w:rFonts w:eastAsia="Times New Roman"/>
          <w:szCs w:val="22"/>
          <w:lang w:val="fr-FR"/>
        </w:rPr>
        <w:t xml:space="preserve">s </w:t>
      </w:r>
      <w:r w:rsidR="00E535BF" w:rsidRPr="00CC4B57">
        <w:rPr>
          <w:rFonts w:eastAsia="Times New Roman"/>
          <w:szCs w:val="22"/>
          <w:lang w:val="fr-FR"/>
        </w:rPr>
        <w:t xml:space="preserve">institutions </w:t>
      </w:r>
      <w:r w:rsidR="00492DC1" w:rsidRPr="00CC4B57">
        <w:rPr>
          <w:rFonts w:eastAsia="Times New Roman"/>
          <w:szCs w:val="22"/>
          <w:lang w:val="fr-FR"/>
        </w:rPr>
        <w:t>culturel</w:t>
      </w:r>
      <w:r w:rsidR="00B105C3" w:rsidRPr="00CC4B57">
        <w:rPr>
          <w:rFonts w:eastAsia="Times New Roman"/>
          <w:szCs w:val="22"/>
          <w:lang w:val="fr-FR"/>
        </w:rPr>
        <w:t>l</w:t>
      </w:r>
      <w:r w:rsidR="00753BBF" w:rsidRPr="00CC4B57">
        <w:rPr>
          <w:rFonts w:eastAsia="Times New Roman"/>
          <w:szCs w:val="22"/>
          <w:lang w:val="fr-FR"/>
        </w:rPr>
        <w:t>es.  En</w:t>
      </w:r>
      <w:r w:rsidR="009873CA" w:rsidRPr="00CC4B57">
        <w:rPr>
          <w:rFonts w:eastAsia="Times New Roman"/>
          <w:szCs w:val="22"/>
          <w:lang w:val="fr-FR"/>
        </w:rPr>
        <w:t xml:space="preserve"> effet, </w:t>
      </w:r>
      <w:r w:rsidR="00E535BF" w:rsidRPr="00CC4B57">
        <w:rPr>
          <w:rFonts w:eastAsia="Times New Roman"/>
          <w:szCs w:val="22"/>
          <w:lang w:val="fr-FR"/>
        </w:rPr>
        <w:t>la généralisation</w:t>
      </w:r>
      <w:r w:rsidR="009873CA" w:rsidRPr="00CC4B57">
        <w:rPr>
          <w:rFonts w:eastAsia="Times New Roman"/>
          <w:szCs w:val="22"/>
          <w:lang w:val="fr-FR"/>
        </w:rPr>
        <w:t xml:space="preserve"> de ces dispositions </w:t>
      </w:r>
      <w:r w:rsidR="00B105C3" w:rsidRPr="00CC4B57">
        <w:rPr>
          <w:rFonts w:eastAsia="Times New Roman"/>
          <w:szCs w:val="22"/>
          <w:lang w:val="fr-FR"/>
        </w:rPr>
        <w:t>sur le droit d</w:t>
      </w:r>
      <w:r w:rsidR="0045102F" w:rsidRPr="00CC4B57">
        <w:rPr>
          <w:rFonts w:eastAsia="Times New Roman"/>
          <w:szCs w:val="22"/>
          <w:lang w:val="fr-FR"/>
        </w:rPr>
        <w:t>’</w:t>
      </w:r>
      <w:r w:rsidR="00B105C3" w:rsidRPr="00CC4B57">
        <w:rPr>
          <w:rFonts w:eastAsia="Times New Roman"/>
          <w:szCs w:val="22"/>
          <w:lang w:val="fr-FR"/>
        </w:rPr>
        <w:t xml:space="preserve">auteur </w:t>
      </w:r>
      <w:r w:rsidR="009873CA" w:rsidRPr="00CC4B57">
        <w:rPr>
          <w:rFonts w:eastAsia="Times New Roman"/>
          <w:szCs w:val="22"/>
          <w:lang w:val="fr-FR"/>
        </w:rPr>
        <w:t>dans l</w:t>
      </w:r>
      <w:r w:rsidR="00E535BF" w:rsidRPr="00CC4B57">
        <w:rPr>
          <w:rFonts w:eastAsia="Times New Roman"/>
          <w:szCs w:val="22"/>
          <w:lang w:val="fr-FR"/>
        </w:rPr>
        <w:t>es</w:t>
      </w:r>
      <w:r w:rsidR="009873CA" w:rsidRPr="00CC4B57">
        <w:rPr>
          <w:rFonts w:eastAsia="Times New Roman"/>
          <w:szCs w:val="22"/>
          <w:lang w:val="fr-FR"/>
        </w:rPr>
        <w:t xml:space="preserve"> législation</w:t>
      </w:r>
      <w:r w:rsidR="00E535BF" w:rsidRPr="00CC4B57">
        <w:rPr>
          <w:rFonts w:eastAsia="Times New Roman"/>
          <w:szCs w:val="22"/>
          <w:lang w:val="fr-FR"/>
        </w:rPr>
        <w:t>s</w:t>
      </w:r>
      <w:r w:rsidR="009873CA" w:rsidRPr="00CC4B57">
        <w:rPr>
          <w:rFonts w:eastAsia="Times New Roman"/>
          <w:szCs w:val="22"/>
          <w:lang w:val="fr-FR"/>
        </w:rPr>
        <w:t xml:space="preserve"> nationale</w:t>
      </w:r>
      <w:r w:rsidR="00E535BF" w:rsidRPr="00CC4B57">
        <w:rPr>
          <w:rFonts w:eastAsia="Times New Roman"/>
          <w:szCs w:val="22"/>
          <w:lang w:val="fr-FR"/>
        </w:rPr>
        <w:t>s</w:t>
      </w:r>
      <w:r w:rsidR="009873CA" w:rsidRPr="00CC4B57">
        <w:rPr>
          <w:rFonts w:eastAsia="Times New Roman"/>
          <w:szCs w:val="22"/>
          <w:lang w:val="fr-FR"/>
        </w:rPr>
        <w:t xml:space="preserve"> indique clairement que </w:t>
      </w:r>
      <w:r w:rsidR="00B105C3" w:rsidRPr="00CC4B57">
        <w:rPr>
          <w:rFonts w:eastAsia="Times New Roman"/>
          <w:szCs w:val="22"/>
          <w:lang w:val="fr-FR"/>
        </w:rPr>
        <w:t>l</w:t>
      </w:r>
      <w:r w:rsidR="009873CA" w:rsidRPr="00CC4B57">
        <w:rPr>
          <w:rFonts w:eastAsia="Times New Roman"/>
          <w:szCs w:val="22"/>
          <w:lang w:val="fr-FR"/>
        </w:rPr>
        <w:t>es exceptions en faveur des bibliothèques et des services d</w:t>
      </w:r>
      <w:r w:rsidR="0045102F" w:rsidRPr="00CC4B57">
        <w:rPr>
          <w:rFonts w:eastAsia="Times New Roman"/>
          <w:szCs w:val="22"/>
          <w:lang w:val="fr-FR"/>
        </w:rPr>
        <w:t>’</w:t>
      </w:r>
      <w:r w:rsidR="009873CA" w:rsidRPr="00CC4B57">
        <w:rPr>
          <w:rFonts w:eastAsia="Times New Roman"/>
          <w:szCs w:val="22"/>
          <w:lang w:val="fr-FR"/>
        </w:rPr>
        <w:t>archives sont des éléments essentiels de la structure de la législation sur le droit d</w:t>
      </w:r>
      <w:r w:rsidR="0045102F" w:rsidRPr="00CC4B57">
        <w:rPr>
          <w:rFonts w:eastAsia="Times New Roman"/>
          <w:szCs w:val="22"/>
          <w:lang w:val="fr-FR"/>
        </w:rPr>
        <w:t>’</w:t>
      </w:r>
      <w:r w:rsidR="009873CA" w:rsidRPr="00CC4B57">
        <w:rPr>
          <w:rFonts w:eastAsia="Times New Roman"/>
          <w:szCs w:val="22"/>
          <w:lang w:val="fr-FR"/>
        </w:rPr>
        <w:t>auteur dans le monde</w:t>
      </w:r>
      <w:r w:rsidR="00B105C3" w:rsidRPr="00CC4B57">
        <w:rPr>
          <w:rFonts w:eastAsia="Times New Roman"/>
          <w:szCs w:val="22"/>
          <w:lang w:val="fr-FR"/>
        </w:rPr>
        <w:t xml:space="preserve"> entier</w:t>
      </w:r>
      <w:r w:rsidR="009873CA" w:rsidRPr="00CC4B57">
        <w:rPr>
          <w:rFonts w:eastAsia="Times New Roman"/>
          <w:szCs w:val="22"/>
          <w:lang w:val="fr-FR"/>
        </w:rPr>
        <w:t>.</w:t>
      </w:r>
    </w:p>
    <w:p w:rsidR="00BB45F5" w:rsidRPr="00CC4B57" w:rsidRDefault="00BB45F5" w:rsidP="006D2A00">
      <w:pPr>
        <w:rPr>
          <w:rFonts w:eastAsia="Times New Roman"/>
          <w:szCs w:val="22"/>
          <w:lang w:val="fr-FR"/>
        </w:rPr>
      </w:pPr>
    </w:p>
    <w:p w:rsidR="0096345D" w:rsidRPr="00CC4B57" w:rsidRDefault="001A2E79" w:rsidP="001A2E79">
      <w:pPr>
        <w:rPr>
          <w:rFonts w:eastAsia="Times New Roman"/>
          <w:szCs w:val="22"/>
          <w:lang w:val="fr-FR"/>
        </w:rPr>
      </w:pPr>
      <w:r w:rsidRPr="00CC4B57">
        <w:rPr>
          <w:rFonts w:eastAsia="Times New Roman"/>
          <w:szCs w:val="22"/>
          <w:lang w:val="fr-FR"/>
        </w:rPr>
        <w:t>Le présent rapport est le quatrième d</w:t>
      </w:r>
      <w:r w:rsidR="0045102F" w:rsidRPr="00CC4B57">
        <w:rPr>
          <w:rFonts w:eastAsia="Times New Roman"/>
          <w:szCs w:val="22"/>
          <w:lang w:val="fr-FR"/>
        </w:rPr>
        <w:t>’</w:t>
      </w:r>
      <w:r w:rsidRPr="00CC4B57">
        <w:rPr>
          <w:rFonts w:eastAsia="Times New Roman"/>
          <w:szCs w:val="22"/>
          <w:lang w:val="fr-FR"/>
        </w:rPr>
        <w:t>une série d</w:t>
      </w:r>
      <w:r w:rsidR="0045102F" w:rsidRPr="00CC4B57">
        <w:rPr>
          <w:rFonts w:eastAsia="Times New Roman"/>
          <w:szCs w:val="22"/>
          <w:lang w:val="fr-FR"/>
        </w:rPr>
        <w:t>’</w:t>
      </w:r>
      <w:r w:rsidRPr="00CC4B57">
        <w:rPr>
          <w:rFonts w:eastAsia="Times New Roman"/>
          <w:szCs w:val="22"/>
          <w:lang w:val="fr-FR"/>
        </w:rPr>
        <w:t>études réalisées à la demande de l</w:t>
      </w:r>
      <w:r w:rsidR="0045102F" w:rsidRPr="00CC4B57">
        <w:rPr>
          <w:rFonts w:eastAsia="Times New Roman"/>
          <w:szCs w:val="22"/>
          <w:lang w:val="fr-FR"/>
        </w:rPr>
        <w:t>’</w:t>
      </w:r>
      <w:r w:rsidRPr="00CC4B57">
        <w:rPr>
          <w:rFonts w:eastAsia="Times New Roman"/>
          <w:szCs w:val="22"/>
          <w:lang w:val="fr-FR"/>
        </w:rPr>
        <w:t>OMPI sur les exceptions au droit d</w:t>
      </w:r>
      <w:r w:rsidR="0045102F" w:rsidRPr="00CC4B57">
        <w:rPr>
          <w:rFonts w:eastAsia="Times New Roman"/>
          <w:szCs w:val="22"/>
          <w:lang w:val="fr-FR"/>
        </w:rPr>
        <w:t>’</w:t>
      </w:r>
      <w:r w:rsidRPr="00CC4B57">
        <w:rPr>
          <w:rFonts w:eastAsia="Times New Roman"/>
          <w:szCs w:val="22"/>
          <w:lang w:val="fr-FR"/>
        </w:rPr>
        <w:t>auteur en faveur des bibliothèques et des services d</w:t>
      </w:r>
      <w:r w:rsidR="0045102F" w:rsidRPr="00CC4B57">
        <w:rPr>
          <w:rFonts w:eastAsia="Times New Roman"/>
          <w:szCs w:val="22"/>
          <w:lang w:val="fr-FR"/>
        </w:rPr>
        <w:t>’</w:t>
      </w:r>
      <w:r w:rsidRPr="00CC4B57">
        <w:rPr>
          <w:rFonts w:eastAsia="Times New Roman"/>
          <w:szCs w:val="22"/>
          <w:lang w:val="fr-FR"/>
        </w:rPr>
        <w:t>archiv</w:t>
      </w:r>
      <w:r w:rsidR="00753BBF" w:rsidRPr="00CC4B57">
        <w:rPr>
          <w:rFonts w:eastAsia="Times New Roman"/>
          <w:szCs w:val="22"/>
          <w:lang w:val="fr-FR"/>
        </w:rPr>
        <w:t>es.  Ch</w:t>
      </w:r>
      <w:r w:rsidR="00B105C3" w:rsidRPr="00CC4B57">
        <w:rPr>
          <w:rFonts w:eastAsia="Times New Roman"/>
          <w:szCs w:val="22"/>
          <w:lang w:val="fr-FR"/>
        </w:rPr>
        <w:t xml:space="preserve">acune de ces études a </w:t>
      </w:r>
      <w:r w:rsidRPr="00CC4B57">
        <w:rPr>
          <w:rFonts w:eastAsia="Times New Roman"/>
          <w:szCs w:val="22"/>
          <w:lang w:val="fr-FR"/>
        </w:rPr>
        <w:t>été établie par Kenneth D.</w:t>
      </w:r>
      <w:r w:rsidR="00117E3A" w:rsidRPr="00CC4B57">
        <w:rPr>
          <w:rFonts w:eastAsia="Times New Roman"/>
          <w:szCs w:val="22"/>
          <w:lang w:val="fr-FR"/>
        </w:rPr>
        <w:t> </w:t>
      </w:r>
      <w:proofErr w:type="spellStart"/>
      <w:r w:rsidRPr="00CC4B57">
        <w:rPr>
          <w:rFonts w:eastAsia="Times New Roman"/>
          <w:szCs w:val="22"/>
          <w:lang w:val="fr-FR"/>
        </w:rPr>
        <w:t>Crews</w:t>
      </w:r>
      <w:proofErr w:type="spellEnd"/>
      <w:r w:rsidRPr="00CC4B57">
        <w:rPr>
          <w:rFonts w:eastAsia="Times New Roman"/>
          <w:szCs w:val="22"/>
          <w:lang w:val="fr-FR"/>
        </w:rPr>
        <w:t xml:space="preserve"> en tant que chercheur princip</w:t>
      </w:r>
      <w:r w:rsidR="00753BBF" w:rsidRPr="00CC4B57">
        <w:rPr>
          <w:rFonts w:eastAsia="Times New Roman"/>
          <w:szCs w:val="22"/>
          <w:lang w:val="fr-FR"/>
        </w:rPr>
        <w:t>al.  Le</w:t>
      </w:r>
      <w:r w:rsidRPr="00CC4B57">
        <w:rPr>
          <w:rFonts w:eastAsia="Times New Roman"/>
          <w:szCs w:val="22"/>
          <w:lang w:val="fr-FR"/>
        </w:rPr>
        <w:t xml:space="preserve"> présent rapport remplace intégralement les données présentées dans les trois</w:t>
      </w:r>
      <w:r w:rsidR="00117E3A" w:rsidRPr="00CC4B57">
        <w:rPr>
          <w:rFonts w:eastAsia="Times New Roman"/>
          <w:szCs w:val="22"/>
          <w:lang w:val="fr-FR"/>
        </w:rPr>
        <w:t> </w:t>
      </w:r>
      <w:r w:rsidRPr="00CC4B57">
        <w:rPr>
          <w:rFonts w:eastAsia="Times New Roman"/>
          <w:szCs w:val="22"/>
          <w:lang w:val="fr-FR"/>
        </w:rPr>
        <w:t>études</w:t>
      </w:r>
      <w:r w:rsidR="006D2A00" w:rsidRPr="00CC4B57">
        <w:rPr>
          <w:rFonts w:eastAsia="Times New Roman"/>
          <w:szCs w:val="22"/>
          <w:lang w:val="fr-FR"/>
        </w:rPr>
        <w:t xml:space="preserve"> </w:t>
      </w:r>
      <w:r w:rsidR="00B105C3" w:rsidRPr="00CC4B57">
        <w:rPr>
          <w:rFonts w:eastAsia="Times New Roman"/>
          <w:szCs w:val="22"/>
          <w:lang w:val="fr-FR"/>
        </w:rPr>
        <w:t xml:space="preserve">précédentes, ces études </w:t>
      </w:r>
      <w:r w:rsidRPr="00CC4B57">
        <w:rPr>
          <w:rFonts w:eastAsia="Times New Roman"/>
          <w:szCs w:val="22"/>
          <w:lang w:val="fr-FR"/>
        </w:rPr>
        <w:t>demeur</w:t>
      </w:r>
      <w:r w:rsidR="00B105C3" w:rsidRPr="00CC4B57">
        <w:rPr>
          <w:rFonts w:eastAsia="Times New Roman"/>
          <w:szCs w:val="22"/>
          <w:lang w:val="fr-FR"/>
        </w:rPr>
        <w:t>a</w:t>
      </w:r>
      <w:r w:rsidRPr="00CC4B57">
        <w:rPr>
          <w:rFonts w:eastAsia="Times New Roman"/>
          <w:szCs w:val="22"/>
          <w:lang w:val="fr-FR"/>
        </w:rPr>
        <w:t>nt néanmoins des sources de référence utiles pour les raisons suivantes</w:t>
      </w:r>
      <w:r w:rsidR="0045102F" w:rsidRPr="00CC4B57">
        <w:rPr>
          <w:rFonts w:eastAsia="Times New Roman"/>
          <w:szCs w:val="22"/>
          <w:lang w:val="fr-FR"/>
        </w:rPr>
        <w:t> :</w:t>
      </w:r>
    </w:p>
    <w:p w:rsidR="00BB45F5" w:rsidRPr="00CC4B57" w:rsidRDefault="00BB45F5" w:rsidP="006D2A00">
      <w:pPr>
        <w:rPr>
          <w:rFonts w:eastAsia="Times New Roman"/>
          <w:szCs w:val="22"/>
          <w:lang w:val="fr-FR"/>
        </w:rPr>
      </w:pPr>
    </w:p>
    <w:p w:rsidR="00BB45F5" w:rsidRPr="00CC4B57" w:rsidRDefault="00B105C3" w:rsidP="00E16F4A">
      <w:pPr>
        <w:pStyle w:val="ListParagraph"/>
        <w:numPr>
          <w:ilvl w:val="0"/>
          <w:numId w:val="9"/>
        </w:numPr>
        <w:spacing w:after="160"/>
        <w:rPr>
          <w:rFonts w:ascii="Arial" w:hAnsi="Arial" w:cs="Arial"/>
          <w:sz w:val="22"/>
          <w:szCs w:val="22"/>
          <w:lang w:val="fr-FR"/>
        </w:rPr>
      </w:pPr>
      <w:r w:rsidRPr="00CC4B57">
        <w:rPr>
          <w:rFonts w:ascii="Arial" w:hAnsi="Arial" w:cs="Arial"/>
          <w:sz w:val="22"/>
          <w:szCs w:val="22"/>
          <w:lang w:val="fr-FR"/>
        </w:rPr>
        <w:t>l</w:t>
      </w:r>
      <w:r w:rsidR="001A2E79" w:rsidRPr="00CC4B57">
        <w:rPr>
          <w:rFonts w:ascii="Arial" w:hAnsi="Arial" w:cs="Arial"/>
          <w:sz w:val="22"/>
          <w:szCs w:val="22"/>
          <w:lang w:val="fr-FR"/>
        </w:rPr>
        <w:t xml:space="preserve">a première étude, réalisée </w:t>
      </w:r>
      <w:r w:rsidR="0096345D" w:rsidRPr="00CC4B57">
        <w:rPr>
          <w:rFonts w:ascii="Arial" w:hAnsi="Arial" w:cs="Arial"/>
          <w:sz w:val="22"/>
          <w:szCs w:val="22"/>
          <w:lang w:val="fr-FR"/>
        </w:rPr>
        <w:t>en 2008</w:t>
      </w:r>
      <w:r w:rsidR="001A2E79" w:rsidRPr="00CC4B57">
        <w:rPr>
          <w:rFonts w:ascii="Arial" w:hAnsi="Arial" w:cs="Arial"/>
          <w:sz w:val="22"/>
          <w:szCs w:val="22"/>
          <w:lang w:val="fr-FR"/>
        </w:rPr>
        <w:t xml:space="preserve">, analysait les </w:t>
      </w:r>
      <w:r w:rsidRPr="00CC4B57">
        <w:rPr>
          <w:rFonts w:ascii="Arial" w:hAnsi="Arial" w:cs="Arial"/>
          <w:sz w:val="22"/>
          <w:szCs w:val="22"/>
          <w:lang w:val="fr-FR"/>
        </w:rPr>
        <w:t xml:space="preserve">textes de </w:t>
      </w:r>
      <w:r w:rsidR="001A2E79" w:rsidRPr="00CC4B57">
        <w:rPr>
          <w:rFonts w:ascii="Arial" w:hAnsi="Arial" w:cs="Arial"/>
          <w:sz w:val="22"/>
          <w:szCs w:val="22"/>
          <w:lang w:val="fr-FR"/>
        </w:rPr>
        <w:t>loi de 149 des États membres de l</w:t>
      </w:r>
      <w:r w:rsidR="0045102F" w:rsidRPr="00CC4B57">
        <w:rPr>
          <w:rFonts w:ascii="Arial" w:hAnsi="Arial" w:cs="Arial"/>
          <w:sz w:val="22"/>
          <w:szCs w:val="22"/>
          <w:lang w:val="fr-FR"/>
        </w:rPr>
        <w:t>’</w:t>
      </w:r>
      <w:r w:rsidR="001A2E79" w:rsidRPr="00CC4B57">
        <w:rPr>
          <w:rFonts w:ascii="Arial" w:hAnsi="Arial" w:cs="Arial"/>
          <w:sz w:val="22"/>
          <w:szCs w:val="22"/>
          <w:lang w:val="fr-FR"/>
        </w:rPr>
        <w:t xml:space="preserve">OMPI, </w:t>
      </w:r>
      <w:r w:rsidR="00087E25" w:rsidRPr="00CC4B57">
        <w:rPr>
          <w:rFonts w:ascii="Arial" w:hAnsi="Arial" w:cs="Arial"/>
          <w:sz w:val="22"/>
          <w:szCs w:val="22"/>
          <w:lang w:val="fr-FR"/>
        </w:rPr>
        <w:t xml:space="preserve">qui étaient </w:t>
      </w:r>
      <w:r w:rsidR="001A2E79" w:rsidRPr="00CC4B57">
        <w:rPr>
          <w:rFonts w:ascii="Arial" w:hAnsi="Arial" w:cs="Arial"/>
          <w:sz w:val="22"/>
          <w:szCs w:val="22"/>
          <w:lang w:val="fr-FR"/>
        </w:rPr>
        <w:t>alors au nombre de 184</w:t>
      </w:r>
      <w:r w:rsidR="001A2E79" w:rsidRPr="00CC4B57">
        <w:rPr>
          <w:rStyle w:val="FootnoteReference"/>
          <w:rFonts w:ascii="Arial" w:hAnsi="Arial"/>
          <w:sz w:val="22"/>
          <w:lang w:val="fr-FR"/>
        </w:rPr>
        <w:footnoteReference w:id="2"/>
      </w:r>
      <w:r w:rsidR="00753BBF" w:rsidRPr="00CC4B57">
        <w:rPr>
          <w:rFonts w:ascii="Arial" w:hAnsi="Arial" w:cs="Arial"/>
          <w:sz w:val="22"/>
          <w:szCs w:val="22"/>
          <w:lang w:val="fr-FR"/>
        </w:rPr>
        <w:t>.</w:t>
      </w:r>
      <w:r w:rsidR="006D2A00" w:rsidRPr="00CC4B57">
        <w:rPr>
          <w:rFonts w:ascii="Arial" w:hAnsi="Arial" w:cs="Arial"/>
          <w:sz w:val="22"/>
          <w:szCs w:val="22"/>
          <w:lang w:val="fr-FR"/>
        </w:rPr>
        <w:t xml:space="preserve">  </w:t>
      </w:r>
      <w:r w:rsidR="00E16F4A" w:rsidRPr="00CC4B57">
        <w:rPr>
          <w:rFonts w:ascii="Arial" w:hAnsi="Arial" w:cs="Arial"/>
          <w:sz w:val="22"/>
          <w:szCs w:val="22"/>
          <w:lang w:val="fr-FR"/>
        </w:rPr>
        <w:t>Elle comprend une vaste introduction (environ 55</w:t>
      </w:r>
      <w:r w:rsidR="00D956DB" w:rsidRPr="00CC4B57">
        <w:rPr>
          <w:rFonts w:ascii="Arial" w:hAnsi="Arial" w:cs="Arial"/>
          <w:sz w:val="22"/>
          <w:szCs w:val="22"/>
          <w:lang w:val="fr-FR"/>
        </w:rPr>
        <w:t> </w:t>
      </w:r>
      <w:r w:rsidR="00E16F4A" w:rsidRPr="00CC4B57">
        <w:rPr>
          <w:rFonts w:ascii="Arial" w:hAnsi="Arial" w:cs="Arial"/>
          <w:sz w:val="22"/>
          <w:szCs w:val="22"/>
          <w:lang w:val="fr-FR"/>
        </w:rPr>
        <w:t>pages) qui examine en détail les antécédents, l</w:t>
      </w:r>
      <w:r w:rsidR="0045102F" w:rsidRPr="00CC4B57">
        <w:rPr>
          <w:rFonts w:ascii="Arial" w:hAnsi="Arial" w:cs="Arial"/>
          <w:sz w:val="22"/>
          <w:szCs w:val="22"/>
          <w:lang w:val="fr-FR"/>
        </w:rPr>
        <w:t>’</w:t>
      </w:r>
      <w:r w:rsidR="00E16F4A" w:rsidRPr="00CC4B57">
        <w:rPr>
          <w:rFonts w:ascii="Arial" w:hAnsi="Arial" w:cs="Arial"/>
          <w:sz w:val="22"/>
          <w:szCs w:val="22"/>
          <w:lang w:val="fr-FR"/>
        </w:rPr>
        <w:t xml:space="preserve">historique et le libellé </w:t>
      </w:r>
      <w:r w:rsidR="00087E25" w:rsidRPr="00CC4B57">
        <w:rPr>
          <w:rFonts w:ascii="Arial" w:hAnsi="Arial" w:cs="Arial"/>
          <w:sz w:val="22"/>
          <w:szCs w:val="22"/>
          <w:lang w:val="fr-FR"/>
        </w:rPr>
        <w:t>de</w:t>
      </w:r>
      <w:r w:rsidRPr="00CC4B57">
        <w:rPr>
          <w:rFonts w:ascii="Arial" w:hAnsi="Arial" w:cs="Arial"/>
          <w:sz w:val="22"/>
          <w:szCs w:val="22"/>
          <w:lang w:val="fr-FR"/>
        </w:rPr>
        <w:t xml:space="preserve"> bon nombre de</w:t>
      </w:r>
      <w:r w:rsidR="00E16F4A" w:rsidRPr="00CC4B57">
        <w:rPr>
          <w:rFonts w:ascii="Arial" w:hAnsi="Arial" w:cs="Arial"/>
          <w:sz w:val="22"/>
          <w:szCs w:val="22"/>
          <w:lang w:val="fr-FR"/>
        </w:rPr>
        <w:t xml:space="preserve"> dispositions </w:t>
      </w:r>
      <w:r w:rsidRPr="00CC4B57">
        <w:rPr>
          <w:rFonts w:ascii="Arial" w:hAnsi="Arial" w:cs="Arial"/>
          <w:sz w:val="22"/>
          <w:szCs w:val="22"/>
          <w:lang w:val="fr-FR"/>
        </w:rPr>
        <w:t>en faveur des</w:t>
      </w:r>
      <w:r w:rsidR="00E16F4A" w:rsidRPr="00CC4B57">
        <w:rPr>
          <w:rFonts w:ascii="Arial" w:hAnsi="Arial" w:cs="Arial"/>
          <w:sz w:val="22"/>
          <w:szCs w:val="22"/>
          <w:lang w:val="fr-FR"/>
        </w:rPr>
        <w:t xml:space="preserve"> bibliothèqu</w:t>
      </w:r>
      <w:r w:rsidR="00753BBF" w:rsidRPr="00CC4B57">
        <w:rPr>
          <w:rFonts w:ascii="Arial" w:hAnsi="Arial" w:cs="Arial"/>
          <w:sz w:val="22"/>
          <w:szCs w:val="22"/>
          <w:lang w:val="fr-FR"/>
        </w:rPr>
        <w:t>es.  Si</w:t>
      </w:r>
      <w:r w:rsidR="00E16F4A" w:rsidRPr="00CC4B57">
        <w:rPr>
          <w:rFonts w:ascii="Arial" w:hAnsi="Arial" w:cs="Arial"/>
          <w:sz w:val="22"/>
          <w:szCs w:val="22"/>
          <w:lang w:val="fr-FR"/>
        </w:rPr>
        <w:t xml:space="preserve"> les statistiques ont changé</w:t>
      </w:r>
      <w:r w:rsidR="00087E25" w:rsidRPr="00CC4B57">
        <w:rPr>
          <w:rFonts w:ascii="Arial" w:hAnsi="Arial" w:cs="Arial"/>
          <w:sz w:val="22"/>
          <w:szCs w:val="22"/>
          <w:lang w:val="fr-FR"/>
        </w:rPr>
        <w:t xml:space="preserve"> depuis lors</w:t>
      </w:r>
      <w:r w:rsidR="00E16F4A" w:rsidRPr="00CC4B57">
        <w:rPr>
          <w:rFonts w:ascii="Arial" w:hAnsi="Arial" w:cs="Arial"/>
          <w:sz w:val="22"/>
          <w:szCs w:val="22"/>
          <w:lang w:val="fr-FR"/>
        </w:rPr>
        <w:t xml:space="preserve">, les </w:t>
      </w:r>
      <w:r w:rsidR="00087E25" w:rsidRPr="00CC4B57">
        <w:rPr>
          <w:rFonts w:ascii="Arial" w:hAnsi="Arial" w:cs="Arial"/>
          <w:sz w:val="22"/>
          <w:szCs w:val="22"/>
          <w:lang w:val="fr-FR"/>
        </w:rPr>
        <w:t>points de vue</w:t>
      </w:r>
      <w:r w:rsidR="00E16F4A" w:rsidRPr="00CC4B57">
        <w:rPr>
          <w:rFonts w:ascii="Arial" w:hAnsi="Arial" w:cs="Arial"/>
          <w:sz w:val="22"/>
          <w:szCs w:val="22"/>
          <w:lang w:val="fr-FR"/>
        </w:rPr>
        <w:t>, concepts et principes restent valables.</w:t>
      </w:r>
    </w:p>
    <w:p w:rsidR="00BB45F5" w:rsidRPr="00CC4B57" w:rsidRDefault="00BB45F5" w:rsidP="006D2A00">
      <w:pPr>
        <w:pStyle w:val="ListParagraph"/>
        <w:rPr>
          <w:rFonts w:ascii="Arial" w:hAnsi="Arial" w:cs="Arial"/>
          <w:sz w:val="22"/>
          <w:szCs w:val="22"/>
          <w:lang w:val="fr-FR"/>
        </w:rPr>
      </w:pPr>
    </w:p>
    <w:p w:rsidR="00BB45F5" w:rsidRPr="00CC4B57" w:rsidRDefault="00E16F4A" w:rsidP="00B105C3">
      <w:pPr>
        <w:pStyle w:val="ListParagraph"/>
        <w:numPr>
          <w:ilvl w:val="0"/>
          <w:numId w:val="9"/>
        </w:numPr>
        <w:spacing w:after="160"/>
        <w:rPr>
          <w:rFonts w:ascii="Arial" w:hAnsi="Arial" w:cs="Arial"/>
          <w:sz w:val="22"/>
          <w:szCs w:val="22"/>
          <w:lang w:val="fr-FR"/>
        </w:rPr>
      </w:pPr>
      <w:r w:rsidRPr="00CC4B57">
        <w:rPr>
          <w:rFonts w:ascii="Arial" w:hAnsi="Arial" w:cs="Arial"/>
          <w:sz w:val="22"/>
          <w:szCs w:val="22"/>
          <w:lang w:val="fr-FR"/>
        </w:rPr>
        <w:t>L</w:t>
      </w:r>
      <w:r w:rsidR="0045102F" w:rsidRPr="00CC4B57">
        <w:rPr>
          <w:rFonts w:ascii="Arial" w:hAnsi="Arial" w:cs="Arial"/>
          <w:sz w:val="22"/>
          <w:szCs w:val="22"/>
          <w:lang w:val="fr-FR"/>
        </w:rPr>
        <w:t>’</w:t>
      </w:r>
      <w:r w:rsidRPr="00CC4B57">
        <w:rPr>
          <w:rFonts w:ascii="Arial" w:hAnsi="Arial" w:cs="Arial"/>
          <w:sz w:val="22"/>
          <w:szCs w:val="22"/>
          <w:lang w:val="fr-FR"/>
        </w:rPr>
        <w:t xml:space="preserve">étude réalisée </w:t>
      </w:r>
      <w:r w:rsidR="0096345D" w:rsidRPr="00CC4B57">
        <w:rPr>
          <w:rFonts w:ascii="Arial" w:hAnsi="Arial" w:cs="Arial"/>
          <w:sz w:val="22"/>
          <w:szCs w:val="22"/>
          <w:lang w:val="fr-FR"/>
        </w:rPr>
        <w:t>en 2014</w:t>
      </w:r>
      <w:r w:rsidRPr="00CC4B57">
        <w:rPr>
          <w:rFonts w:ascii="Arial" w:hAnsi="Arial" w:cs="Arial"/>
          <w:sz w:val="22"/>
          <w:szCs w:val="22"/>
          <w:lang w:val="fr-FR"/>
        </w:rPr>
        <w:t xml:space="preserve"> s</w:t>
      </w:r>
      <w:r w:rsidR="0045102F" w:rsidRPr="00CC4B57">
        <w:rPr>
          <w:rFonts w:ascii="Arial" w:hAnsi="Arial" w:cs="Arial"/>
          <w:sz w:val="22"/>
          <w:szCs w:val="22"/>
          <w:lang w:val="fr-FR"/>
        </w:rPr>
        <w:t>’</w:t>
      </w:r>
      <w:r w:rsidRPr="00CC4B57">
        <w:rPr>
          <w:rFonts w:ascii="Arial" w:hAnsi="Arial" w:cs="Arial"/>
          <w:sz w:val="22"/>
          <w:szCs w:val="22"/>
          <w:lang w:val="fr-FR"/>
        </w:rPr>
        <w:t xml:space="preserve">est intéressée aux </w:t>
      </w:r>
      <w:r w:rsidR="00B105C3" w:rsidRPr="00CC4B57">
        <w:rPr>
          <w:rFonts w:ascii="Arial" w:hAnsi="Arial" w:cs="Arial"/>
          <w:sz w:val="22"/>
          <w:szCs w:val="22"/>
          <w:lang w:val="fr-FR"/>
        </w:rPr>
        <w:t xml:space="preserve">textes de loi </w:t>
      </w:r>
      <w:r w:rsidRPr="00CC4B57">
        <w:rPr>
          <w:rFonts w:ascii="Arial" w:hAnsi="Arial" w:cs="Arial"/>
          <w:sz w:val="22"/>
          <w:szCs w:val="22"/>
          <w:lang w:val="fr-FR"/>
        </w:rPr>
        <w:t>des pays qui avaient révisé leurs exceptions en faveur des bibliothèques depuis l</w:t>
      </w:r>
      <w:r w:rsidR="0045102F" w:rsidRPr="00CC4B57">
        <w:rPr>
          <w:rFonts w:ascii="Arial" w:hAnsi="Arial" w:cs="Arial"/>
          <w:sz w:val="22"/>
          <w:szCs w:val="22"/>
          <w:lang w:val="fr-FR"/>
        </w:rPr>
        <w:t>’</w:t>
      </w:r>
      <w:r w:rsidRPr="00CC4B57">
        <w:rPr>
          <w:rFonts w:ascii="Arial" w:hAnsi="Arial" w:cs="Arial"/>
          <w:sz w:val="22"/>
          <w:szCs w:val="22"/>
          <w:lang w:val="fr-FR"/>
        </w:rPr>
        <w:t xml:space="preserve">étude </w:t>
      </w:r>
      <w:r w:rsidR="0096345D" w:rsidRPr="00CC4B57">
        <w:rPr>
          <w:rFonts w:ascii="Arial" w:hAnsi="Arial" w:cs="Arial"/>
          <w:sz w:val="22"/>
          <w:szCs w:val="22"/>
          <w:lang w:val="fr-FR"/>
        </w:rPr>
        <w:t>de 2008</w:t>
      </w:r>
      <w:r w:rsidRPr="00CC4B57">
        <w:rPr>
          <w:rFonts w:ascii="Arial" w:hAnsi="Arial" w:cs="Arial"/>
          <w:sz w:val="22"/>
          <w:szCs w:val="22"/>
          <w:lang w:val="fr-FR"/>
        </w:rPr>
        <w:t>.</w:t>
      </w:r>
      <w:r w:rsidR="006D2A00" w:rsidRPr="00CC4B57">
        <w:rPr>
          <w:rFonts w:ascii="Arial" w:hAnsi="Arial" w:cs="Arial"/>
          <w:sz w:val="22"/>
          <w:szCs w:val="22"/>
          <w:lang w:val="fr-FR"/>
        </w:rPr>
        <w:t xml:space="preserve">  </w:t>
      </w:r>
      <w:r w:rsidRPr="00CC4B57">
        <w:rPr>
          <w:rFonts w:ascii="Arial" w:hAnsi="Arial" w:cs="Arial"/>
          <w:sz w:val="22"/>
          <w:szCs w:val="22"/>
          <w:lang w:val="fr-FR"/>
        </w:rPr>
        <w:t xml:space="preserve">Elle </w:t>
      </w:r>
      <w:r w:rsidR="00B105C3" w:rsidRPr="00CC4B57">
        <w:rPr>
          <w:rFonts w:ascii="Arial" w:hAnsi="Arial" w:cs="Arial"/>
          <w:sz w:val="22"/>
          <w:szCs w:val="22"/>
          <w:lang w:val="fr-FR"/>
        </w:rPr>
        <w:t>porta</w:t>
      </w:r>
      <w:r w:rsidR="00087E25" w:rsidRPr="00CC4B57">
        <w:rPr>
          <w:rFonts w:ascii="Arial" w:hAnsi="Arial" w:cs="Arial"/>
          <w:sz w:val="22"/>
          <w:szCs w:val="22"/>
          <w:lang w:val="fr-FR"/>
        </w:rPr>
        <w:t xml:space="preserve">it également </w:t>
      </w:r>
      <w:r w:rsidR="00B105C3" w:rsidRPr="00CC4B57">
        <w:rPr>
          <w:rFonts w:ascii="Arial" w:hAnsi="Arial" w:cs="Arial"/>
          <w:sz w:val="22"/>
          <w:szCs w:val="22"/>
          <w:lang w:val="fr-FR"/>
        </w:rPr>
        <w:t xml:space="preserve">sur les textes de loi </w:t>
      </w:r>
      <w:r w:rsidRPr="00CC4B57">
        <w:rPr>
          <w:rFonts w:ascii="Arial" w:hAnsi="Arial" w:cs="Arial"/>
          <w:sz w:val="22"/>
          <w:szCs w:val="22"/>
          <w:lang w:val="fr-FR"/>
        </w:rPr>
        <w:t xml:space="preserve">de pays qui </w:t>
      </w:r>
      <w:r w:rsidR="00087E25" w:rsidRPr="00CC4B57">
        <w:rPr>
          <w:rFonts w:ascii="Arial" w:hAnsi="Arial" w:cs="Arial"/>
          <w:sz w:val="22"/>
          <w:szCs w:val="22"/>
          <w:lang w:val="fr-FR"/>
        </w:rPr>
        <w:t>n</w:t>
      </w:r>
      <w:r w:rsidR="0045102F" w:rsidRPr="00CC4B57">
        <w:rPr>
          <w:rFonts w:ascii="Arial" w:hAnsi="Arial" w:cs="Arial"/>
          <w:sz w:val="22"/>
          <w:szCs w:val="22"/>
          <w:lang w:val="fr-FR"/>
        </w:rPr>
        <w:t>’</w:t>
      </w:r>
      <w:r w:rsidRPr="00CC4B57">
        <w:rPr>
          <w:rFonts w:ascii="Arial" w:hAnsi="Arial" w:cs="Arial"/>
          <w:sz w:val="22"/>
          <w:szCs w:val="22"/>
          <w:lang w:val="fr-FR"/>
        </w:rPr>
        <w:t>étaient pas compris dans l</w:t>
      </w:r>
      <w:r w:rsidR="0045102F" w:rsidRPr="00CC4B57">
        <w:rPr>
          <w:rFonts w:ascii="Arial" w:hAnsi="Arial" w:cs="Arial"/>
          <w:sz w:val="22"/>
          <w:szCs w:val="22"/>
          <w:lang w:val="fr-FR"/>
        </w:rPr>
        <w:t>’</w:t>
      </w:r>
      <w:r w:rsidRPr="00CC4B57">
        <w:rPr>
          <w:rFonts w:ascii="Arial" w:hAnsi="Arial" w:cs="Arial"/>
          <w:sz w:val="22"/>
          <w:szCs w:val="22"/>
          <w:lang w:val="fr-FR"/>
        </w:rPr>
        <w:t>étude précédente, quelle qu</w:t>
      </w:r>
      <w:r w:rsidR="0045102F" w:rsidRPr="00CC4B57">
        <w:rPr>
          <w:rFonts w:ascii="Arial" w:hAnsi="Arial" w:cs="Arial"/>
          <w:sz w:val="22"/>
          <w:szCs w:val="22"/>
          <w:lang w:val="fr-FR"/>
        </w:rPr>
        <w:t>’</w:t>
      </w:r>
      <w:r w:rsidRPr="00CC4B57">
        <w:rPr>
          <w:rFonts w:ascii="Arial" w:hAnsi="Arial" w:cs="Arial"/>
          <w:sz w:val="22"/>
          <w:szCs w:val="22"/>
          <w:lang w:val="fr-FR"/>
        </w:rPr>
        <w:t xml:space="preserve">en soit la raison, mais </w:t>
      </w:r>
      <w:r w:rsidR="00087E25" w:rsidRPr="00CC4B57">
        <w:rPr>
          <w:rFonts w:ascii="Arial" w:hAnsi="Arial" w:cs="Arial"/>
          <w:sz w:val="22"/>
          <w:szCs w:val="22"/>
          <w:lang w:val="fr-FR"/>
        </w:rPr>
        <w:t>dont la situation avai</w:t>
      </w:r>
      <w:r w:rsidRPr="00CC4B57">
        <w:rPr>
          <w:rFonts w:ascii="Arial" w:hAnsi="Arial" w:cs="Arial"/>
          <w:sz w:val="22"/>
          <w:szCs w:val="22"/>
          <w:lang w:val="fr-FR"/>
        </w:rPr>
        <w:t xml:space="preserve">t pu être </w:t>
      </w:r>
      <w:r w:rsidR="00087E25" w:rsidRPr="00CC4B57">
        <w:rPr>
          <w:rFonts w:ascii="Arial" w:hAnsi="Arial" w:cs="Arial"/>
          <w:sz w:val="22"/>
          <w:szCs w:val="22"/>
          <w:lang w:val="fr-FR"/>
        </w:rPr>
        <w:t>examinée</w:t>
      </w:r>
      <w:r w:rsidRPr="00CC4B57">
        <w:rPr>
          <w:rFonts w:ascii="Arial" w:hAnsi="Arial" w:cs="Arial"/>
          <w:sz w:val="22"/>
          <w:szCs w:val="22"/>
          <w:lang w:val="fr-FR"/>
        </w:rPr>
        <w:t xml:space="preserve"> </w:t>
      </w:r>
      <w:r w:rsidR="0096345D" w:rsidRPr="00CC4B57">
        <w:rPr>
          <w:rFonts w:ascii="Arial" w:hAnsi="Arial" w:cs="Arial"/>
          <w:sz w:val="22"/>
          <w:szCs w:val="22"/>
          <w:lang w:val="fr-FR"/>
        </w:rPr>
        <w:t>en 2014</w:t>
      </w:r>
      <w:r w:rsidRPr="00CC4B57">
        <w:rPr>
          <w:rStyle w:val="FootnoteReference"/>
          <w:rFonts w:ascii="Arial" w:hAnsi="Arial"/>
          <w:sz w:val="22"/>
          <w:lang w:val="fr-FR"/>
        </w:rPr>
        <w:footnoteReference w:id="3"/>
      </w:r>
      <w:r w:rsidR="00117E3A" w:rsidRPr="00CC4B57">
        <w:rPr>
          <w:rFonts w:ascii="Arial" w:hAnsi="Arial" w:cs="Arial"/>
          <w:sz w:val="22"/>
          <w:szCs w:val="22"/>
          <w:lang w:val="fr-FR"/>
        </w:rPr>
        <w:t>.</w:t>
      </w:r>
      <w:r w:rsidR="006D2A00" w:rsidRPr="00CC4B57">
        <w:rPr>
          <w:rFonts w:ascii="Arial" w:hAnsi="Arial" w:cs="Arial"/>
          <w:sz w:val="22"/>
          <w:szCs w:val="22"/>
          <w:lang w:val="fr-FR"/>
        </w:rPr>
        <w:t xml:space="preserve">  </w:t>
      </w:r>
      <w:r w:rsidR="00087E25" w:rsidRPr="00CC4B57">
        <w:rPr>
          <w:rFonts w:ascii="Arial" w:hAnsi="Arial" w:cs="Arial"/>
          <w:sz w:val="22"/>
          <w:szCs w:val="22"/>
          <w:lang w:val="fr-FR"/>
        </w:rPr>
        <w:t xml:space="preserve">Elle </w:t>
      </w:r>
      <w:r w:rsidR="00B105C3" w:rsidRPr="00CC4B57">
        <w:rPr>
          <w:rFonts w:ascii="Arial" w:hAnsi="Arial" w:cs="Arial"/>
          <w:sz w:val="22"/>
          <w:szCs w:val="22"/>
          <w:lang w:val="fr-FR"/>
        </w:rPr>
        <w:t xml:space="preserve">présentait des conclusions </w:t>
      </w:r>
      <w:r w:rsidR="00087E25" w:rsidRPr="00CC4B57">
        <w:rPr>
          <w:rFonts w:ascii="Arial" w:hAnsi="Arial" w:cs="Arial"/>
          <w:sz w:val="22"/>
          <w:szCs w:val="22"/>
          <w:lang w:val="fr-FR"/>
        </w:rPr>
        <w:t>concernant 73</w:t>
      </w:r>
      <w:r w:rsidR="00D956DB" w:rsidRPr="00CC4B57">
        <w:rPr>
          <w:rFonts w:ascii="Arial" w:hAnsi="Arial" w:cs="Arial"/>
          <w:sz w:val="22"/>
          <w:szCs w:val="22"/>
          <w:lang w:val="fr-FR"/>
        </w:rPr>
        <w:t> </w:t>
      </w:r>
      <w:r w:rsidR="00087E25" w:rsidRPr="00CC4B57">
        <w:rPr>
          <w:rFonts w:ascii="Arial" w:hAnsi="Arial" w:cs="Arial"/>
          <w:sz w:val="22"/>
          <w:szCs w:val="22"/>
          <w:lang w:val="fr-FR"/>
        </w:rPr>
        <w:t>pays.</w:t>
      </w:r>
    </w:p>
    <w:p w:rsidR="00BB45F5" w:rsidRPr="00CC4B57" w:rsidRDefault="00087E25" w:rsidP="00087E25">
      <w:pPr>
        <w:pStyle w:val="ListParagraph"/>
        <w:numPr>
          <w:ilvl w:val="0"/>
          <w:numId w:val="9"/>
        </w:numPr>
        <w:spacing w:after="160"/>
        <w:rPr>
          <w:rFonts w:ascii="Arial" w:hAnsi="Arial" w:cs="Arial"/>
          <w:sz w:val="22"/>
          <w:szCs w:val="22"/>
          <w:lang w:val="fr-FR"/>
        </w:rPr>
      </w:pPr>
      <w:r w:rsidRPr="00CC4B57">
        <w:rPr>
          <w:rFonts w:ascii="Arial" w:hAnsi="Arial" w:cs="Arial"/>
          <w:sz w:val="22"/>
          <w:szCs w:val="22"/>
          <w:lang w:val="fr-FR"/>
        </w:rPr>
        <w:lastRenderedPageBreak/>
        <w:t>L</w:t>
      </w:r>
      <w:r w:rsidR="0045102F" w:rsidRPr="00CC4B57">
        <w:rPr>
          <w:rFonts w:ascii="Arial" w:hAnsi="Arial" w:cs="Arial"/>
          <w:sz w:val="22"/>
          <w:szCs w:val="22"/>
          <w:lang w:val="fr-FR"/>
        </w:rPr>
        <w:t>’</w:t>
      </w:r>
      <w:r w:rsidRPr="00CC4B57">
        <w:rPr>
          <w:rFonts w:ascii="Arial" w:hAnsi="Arial" w:cs="Arial"/>
          <w:sz w:val="22"/>
          <w:szCs w:val="22"/>
          <w:lang w:val="fr-FR"/>
        </w:rPr>
        <w:t xml:space="preserve">étude réalisée </w:t>
      </w:r>
      <w:r w:rsidR="0096345D" w:rsidRPr="00CC4B57">
        <w:rPr>
          <w:rFonts w:ascii="Arial" w:hAnsi="Arial" w:cs="Arial"/>
          <w:sz w:val="22"/>
          <w:szCs w:val="22"/>
          <w:lang w:val="fr-FR"/>
        </w:rPr>
        <w:t>en 2015</w:t>
      </w:r>
      <w:r w:rsidRPr="00CC4B57">
        <w:rPr>
          <w:rFonts w:ascii="Arial" w:hAnsi="Arial" w:cs="Arial"/>
          <w:sz w:val="22"/>
          <w:szCs w:val="22"/>
          <w:lang w:val="fr-FR"/>
        </w:rPr>
        <w:t xml:space="preserve"> </w:t>
      </w:r>
      <w:r w:rsidR="00B105C3" w:rsidRPr="00CC4B57">
        <w:rPr>
          <w:rFonts w:ascii="Arial" w:hAnsi="Arial" w:cs="Arial"/>
          <w:sz w:val="22"/>
          <w:szCs w:val="22"/>
          <w:lang w:val="fr-FR"/>
        </w:rPr>
        <w:t xml:space="preserve">a </w:t>
      </w:r>
      <w:r w:rsidRPr="00CC4B57">
        <w:rPr>
          <w:rFonts w:ascii="Arial" w:hAnsi="Arial" w:cs="Arial"/>
          <w:sz w:val="22"/>
          <w:szCs w:val="22"/>
          <w:lang w:val="fr-FR"/>
        </w:rPr>
        <w:t>marqu</w:t>
      </w:r>
      <w:r w:rsidR="00B105C3" w:rsidRPr="00CC4B57">
        <w:rPr>
          <w:rFonts w:ascii="Arial" w:hAnsi="Arial" w:cs="Arial"/>
          <w:sz w:val="22"/>
          <w:szCs w:val="22"/>
          <w:lang w:val="fr-FR"/>
        </w:rPr>
        <w:t>é</w:t>
      </w:r>
      <w:r w:rsidRPr="00CC4B57">
        <w:rPr>
          <w:rFonts w:ascii="Arial" w:hAnsi="Arial" w:cs="Arial"/>
          <w:sz w:val="22"/>
          <w:szCs w:val="22"/>
          <w:lang w:val="fr-FR"/>
        </w:rPr>
        <w:t xml:space="preserve"> l</w:t>
      </w:r>
      <w:r w:rsidR="0045102F" w:rsidRPr="00CC4B57">
        <w:rPr>
          <w:rFonts w:ascii="Arial" w:hAnsi="Arial" w:cs="Arial"/>
          <w:sz w:val="22"/>
          <w:szCs w:val="22"/>
          <w:lang w:val="fr-FR"/>
        </w:rPr>
        <w:t>’</w:t>
      </w:r>
      <w:r w:rsidRPr="00CC4B57">
        <w:rPr>
          <w:rFonts w:ascii="Arial" w:hAnsi="Arial" w:cs="Arial"/>
          <w:sz w:val="22"/>
          <w:szCs w:val="22"/>
          <w:lang w:val="fr-FR"/>
        </w:rPr>
        <w:t>aboutissement des précédentes études et o</w:t>
      </w:r>
      <w:r w:rsidR="00B105C3" w:rsidRPr="00CC4B57">
        <w:rPr>
          <w:rFonts w:ascii="Arial" w:hAnsi="Arial" w:cs="Arial"/>
          <w:sz w:val="22"/>
          <w:szCs w:val="22"/>
          <w:lang w:val="fr-FR"/>
        </w:rPr>
        <w:t>f</w:t>
      </w:r>
      <w:r w:rsidRPr="00CC4B57">
        <w:rPr>
          <w:rFonts w:ascii="Arial" w:hAnsi="Arial" w:cs="Arial"/>
          <w:sz w:val="22"/>
          <w:szCs w:val="22"/>
          <w:lang w:val="fr-FR"/>
        </w:rPr>
        <w:t>f</w:t>
      </w:r>
      <w:r w:rsidR="00B105C3" w:rsidRPr="00CC4B57">
        <w:rPr>
          <w:rFonts w:ascii="Arial" w:hAnsi="Arial" w:cs="Arial"/>
          <w:sz w:val="22"/>
          <w:szCs w:val="22"/>
          <w:lang w:val="fr-FR"/>
        </w:rPr>
        <w:t>er</w:t>
      </w:r>
      <w:r w:rsidRPr="00CC4B57">
        <w:rPr>
          <w:rFonts w:ascii="Arial" w:hAnsi="Arial" w:cs="Arial"/>
          <w:sz w:val="22"/>
          <w:szCs w:val="22"/>
          <w:lang w:val="fr-FR"/>
        </w:rPr>
        <w:t>t une version consolidée et actualisée des travaux de recherche</w:t>
      </w:r>
      <w:r w:rsidRPr="00CC4B57">
        <w:rPr>
          <w:rStyle w:val="FootnoteReference"/>
          <w:rFonts w:ascii="Arial" w:hAnsi="Arial"/>
          <w:sz w:val="22"/>
          <w:lang w:val="fr-FR"/>
        </w:rPr>
        <w:footnoteReference w:id="4"/>
      </w:r>
      <w:r w:rsidR="00117E3A" w:rsidRPr="00CC4B57">
        <w:rPr>
          <w:rFonts w:ascii="Arial" w:hAnsi="Arial" w:cs="Arial"/>
          <w:sz w:val="22"/>
          <w:szCs w:val="22"/>
          <w:lang w:val="fr-FR"/>
        </w:rPr>
        <w:t>.</w:t>
      </w:r>
      <w:r w:rsidR="006D2A00" w:rsidRPr="00CC4B57">
        <w:rPr>
          <w:rFonts w:ascii="Arial" w:hAnsi="Arial" w:cs="Arial"/>
          <w:sz w:val="22"/>
          <w:szCs w:val="22"/>
          <w:lang w:val="fr-FR"/>
        </w:rPr>
        <w:t xml:space="preserve">  </w:t>
      </w:r>
      <w:r w:rsidRPr="00CC4B57">
        <w:rPr>
          <w:rFonts w:ascii="Arial" w:hAnsi="Arial" w:cs="Arial"/>
          <w:sz w:val="22"/>
          <w:szCs w:val="22"/>
          <w:lang w:val="fr-FR"/>
        </w:rPr>
        <w:t>Tenant compte du développement des moyens mis en œuvre pour la recherche et de la possibilité qui existait d</w:t>
      </w:r>
      <w:r w:rsidR="0045102F" w:rsidRPr="00CC4B57">
        <w:rPr>
          <w:rFonts w:ascii="Arial" w:hAnsi="Arial" w:cs="Arial"/>
          <w:sz w:val="22"/>
          <w:szCs w:val="22"/>
          <w:lang w:val="fr-FR"/>
        </w:rPr>
        <w:t>’</w:t>
      </w:r>
      <w:r w:rsidRPr="00CC4B57">
        <w:rPr>
          <w:rFonts w:ascii="Arial" w:hAnsi="Arial" w:cs="Arial"/>
          <w:sz w:val="22"/>
          <w:szCs w:val="22"/>
          <w:lang w:val="fr-FR"/>
        </w:rPr>
        <w:t>examiner l</w:t>
      </w:r>
      <w:r w:rsidR="00B105C3" w:rsidRPr="00CC4B57">
        <w:rPr>
          <w:rFonts w:ascii="Arial" w:hAnsi="Arial" w:cs="Arial"/>
          <w:sz w:val="22"/>
          <w:szCs w:val="22"/>
          <w:lang w:val="fr-FR"/>
        </w:rPr>
        <w:t>es textes de</w:t>
      </w:r>
      <w:r w:rsidRPr="00CC4B57">
        <w:rPr>
          <w:rFonts w:ascii="Arial" w:hAnsi="Arial" w:cs="Arial"/>
          <w:sz w:val="22"/>
          <w:szCs w:val="22"/>
          <w:lang w:val="fr-FR"/>
        </w:rPr>
        <w:t xml:space="preserve"> loi de nombreux pays supplémentaires, cette étude </w:t>
      </w:r>
      <w:r w:rsidR="00B105C3" w:rsidRPr="00CC4B57">
        <w:rPr>
          <w:rFonts w:ascii="Arial" w:hAnsi="Arial" w:cs="Arial"/>
          <w:sz w:val="22"/>
          <w:szCs w:val="22"/>
          <w:lang w:val="fr-FR"/>
        </w:rPr>
        <w:t>s</w:t>
      </w:r>
      <w:r w:rsidR="0045102F" w:rsidRPr="00CC4B57">
        <w:rPr>
          <w:rFonts w:ascii="Arial" w:hAnsi="Arial" w:cs="Arial"/>
          <w:sz w:val="22"/>
          <w:szCs w:val="22"/>
          <w:lang w:val="fr-FR"/>
        </w:rPr>
        <w:t>’</w:t>
      </w:r>
      <w:r w:rsidR="00B105C3" w:rsidRPr="00CC4B57">
        <w:rPr>
          <w:rFonts w:ascii="Arial" w:hAnsi="Arial" w:cs="Arial"/>
          <w:sz w:val="22"/>
          <w:szCs w:val="22"/>
          <w:lang w:val="fr-FR"/>
        </w:rPr>
        <w:t xml:space="preserve">est intéressée à </w:t>
      </w:r>
      <w:r w:rsidRPr="00CC4B57">
        <w:rPr>
          <w:rFonts w:ascii="Arial" w:hAnsi="Arial" w:cs="Arial"/>
          <w:sz w:val="22"/>
          <w:szCs w:val="22"/>
          <w:lang w:val="fr-FR"/>
        </w:rPr>
        <w:t>l</w:t>
      </w:r>
      <w:r w:rsidR="0045102F" w:rsidRPr="00CC4B57">
        <w:rPr>
          <w:rFonts w:ascii="Arial" w:hAnsi="Arial" w:cs="Arial"/>
          <w:sz w:val="22"/>
          <w:szCs w:val="22"/>
          <w:lang w:val="fr-FR"/>
        </w:rPr>
        <w:t>’</w:t>
      </w:r>
      <w:r w:rsidRPr="00CC4B57">
        <w:rPr>
          <w:rFonts w:ascii="Arial" w:hAnsi="Arial" w:cs="Arial"/>
          <w:sz w:val="22"/>
          <w:szCs w:val="22"/>
          <w:lang w:val="fr-FR"/>
        </w:rPr>
        <w:t>ensemble des 188</w:t>
      </w:r>
      <w:r w:rsidR="00D956DB" w:rsidRPr="00CC4B57">
        <w:rPr>
          <w:rFonts w:ascii="Arial" w:hAnsi="Arial" w:cs="Arial"/>
          <w:sz w:val="22"/>
          <w:szCs w:val="22"/>
          <w:lang w:val="fr-FR"/>
        </w:rPr>
        <w:t> </w:t>
      </w:r>
      <w:r w:rsidRPr="00CC4B57">
        <w:rPr>
          <w:rFonts w:ascii="Arial" w:hAnsi="Arial" w:cs="Arial"/>
          <w:sz w:val="22"/>
          <w:szCs w:val="22"/>
          <w:lang w:val="fr-FR"/>
        </w:rPr>
        <w:t>États qui étaient alors membres de l</w:t>
      </w:r>
      <w:r w:rsidR="0045102F" w:rsidRPr="00CC4B57">
        <w:rPr>
          <w:rFonts w:ascii="Arial" w:hAnsi="Arial" w:cs="Arial"/>
          <w:sz w:val="22"/>
          <w:szCs w:val="22"/>
          <w:lang w:val="fr-FR"/>
        </w:rPr>
        <w:t>’</w:t>
      </w:r>
      <w:r w:rsidRPr="00CC4B57">
        <w:rPr>
          <w:rFonts w:ascii="Arial" w:hAnsi="Arial" w:cs="Arial"/>
          <w:sz w:val="22"/>
          <w:szCs w:val="22"/>
          <w:lang w:val="fr-FR"/>
        </w:rPr>
        <w:t>OMPI.</w:t>
      </w:r>
    </w:p>
    <w:p w:rsidR="00BB45F5" w:rsidRPr="00CC4B57" w:rsidRDefault="00BB45F5" w:rsidP="006D2A00">
      <w:pPr>
        <w:rPr>
          <w:rFonts w:eastAsia="Times New Roman"/>
          <w:szCs w:val="22"/>
          <w:lang w:val="fr-FR"/>
        </w:rPr>
      </w:pPr>
    </w:p>
    <w:p w:rsidR="00BB45F5" w:rsidRPr="00CC4B57" w:rsidRDefault="00CF56F0" w:rsidP="00CF56F0">
      <w:pPr>
        <w:rPr>
          <w:rFonts w:eastAsia="Times New Roman"/>
          <w:szCs w:val="22"/>
          <w:lang w:val="fr-FR"/>
        </w:rPr>
      </w:pPr>
      <w:r w:rsidRPr="00CC4B57">
        <w:rPr>
          <w:rFonts w:eastAsia="Times New Roman"/>
          <w:szCs w:val="22"/>
          <w:lang w:val="fr-FR"/>
        </w:rPr>
        <w:t>Ces trois</w:t>
      </w:r>
      <w:r w:rsidR="00117E3A" w:rsidRPr="00CC4B57">
        <w:rPr>
          <w:rFonts w:eastAsia="Times New Roman"/>
          <w:szCs w:val="22"/>
          <w:lang w:val="fr-FR"/>
        </w:rPr>
        <w:t> </w:t>
      </w:r>
      <w:r w:rsidRPr="00CC4B57">
        <w:rPr>
          <w:rFonts w:eastAsia="Times New Roman"/>
          <w:szCs w:val="22"/>
          <w:lang w:val="fr-FR"/>
        </w:rPr>
        <w:t>études examinent la nature et la diversité des dispositions de la législation sur le droit d</w:t>
      </w:r>
      <w:r w:rsidR="0045102F" w:rsidRPr="00CC4B57">
        <w:rPr>
          <w:rFonts w:eastAsia="Times New Roman"/>
          <w:szCs w:val="22"/>
          <w:lang w:val="fr-FR"/>
        </w:rPr>
        <w:t>’</w:t>
      </w:r>
      <w:r w:rsidRPr="00CC4B57">
        <w:rPr>
          <w:rFonts w:eastAsia="Times New Roman"/>
          <w:szCs w:val="22"/>
          <w:lang w:val="fr-FR"/>
        </w:rPr>
        <w:t>auteur des États membres de l</w:t>
      </w:r>
      <w:r w:rsidR="0045102F" w:rsidRPr="00CC4B57">
        <w:rPr>
          <w:rFonts w:eastAsia="Times New Roman"/>
          <w:szCs w:val="22"/>
          <w:lang w:val="fr-FR"/>
        </w:rPr>
        <w:t>’</w:t>
      </w:r>
      <w:r w:rsidRPr="00CC4B57">
        <w:rPr>
          <w:rFonts w:eastAsia="Times New Roman"/>
          <w:szCs w:val="22"/>
          <w:lang w:val="fr-FR"/>
        </w:rPr>
        <w:t>OMPI et présentent une étude analytique de la législation en la matiè</w:t>
      </w:r>
      <w:r w:rsidR="00753BBF" w:rsidRPr="00CC4B57">
        <w:rPr>
          <w:rFonts w:eastAsia="Times New Roman"/>
          <w:szCs w:val="22"/>
          <w:lang w:val="fr-FR"/>
        </w:rPr>
        <w:t>re.  Da</w:t>
      </w:r>
      <w:r w:rsidRPr="00CC4B57">
        <w:rPr>
          <w:rFonts w:eastAsia="Times New Roman"/>
          <w:szCs w:val="22"/>
          <w:lang w:val="fr-FR"/>
        </w:rPr>
        <w:t>ns le présent document, l</w:t>
      </w:r>
      <w:r w:rsidR="0045102F" w:rsidRPr="00CC4B57">
        <w:rPr>
          <w:rFonts w:eastAsia="Times New Roman"/>
          <w:szCs w:val="22"/>
          <w:lang w:val="fr-FR"/>
        </w:rPr>
        <w:t>’</w:t>
      </w:r>
      <w:r w:rsidRPr="00CC4B57">
        <w:rPr>
          <w:rFonts w:eastAsia="Times New Roman"/>
          <w:szCs w:val="22"/>
          <w:lang w:val="fr-FR"/>
        </w:rPr>
        <w:t>auteur a néanmoins compilé les informations contenues dans les trois</w:t>
      </w:r>
      <w:r w:rsidR="00117E3A" w:rsidRPr="00CC4B57">
        <w:rPr>
          <w:rFonts w:eastAsia="Times New Roman"/>
          <w:szCs w:val="22"/>
          <w:lang w:val="fr-FR"/>
        </w:rPr>
        <w:t> </w:t>
      </w:r>
      <w:r w:rsidRPr="00CC4B57">
        <w:rPr>
          <w:rFonts w:eastAsia="Times New Roman"/>
          <w:szCs w:val="22"/>
          <w:lang w:val="fr-FR"/>
        </w:rPr>
        <w:t>précédentes études, ajouté de nouvelles informations importantes et des textes de loi actualisés, élargi le champ d</w:t>
      </w:r>
      <w:r w:rsidR="0045102F" w:rsidRPr="00CC4B57">
        <w:rPr>
          <w:rFonts w:eastAsia="Times New Roman"/>
          <w:szCs w:val="22"/>
          <w:lang w:val="fr-FR"/>
        </w:rPr>
        <w:t>’</w:t>
      </w:r>
      <w:r w:rsidRPr="00CC4B57">
        <w:rPr>
          <w:rFonts w:eastAsia="Times New Roman"/>
          <w:szCs w:val="22"/>
          <w:lang w:val="fr-FR"/>
        </w:rPr>
        <w:t>application des sujets couverts par la réglementation et réexaminé et confirmé presque chaque détail.</w:t>
      </w:r>
    </w:p>
    <w:p w:rsidR="00BB45F5" w:rsidRPr="00CC4B57" w:rsidRDefault="00BB45F5" w:rsidP="006D2A00">
      <w:pPr>
        <w:rPr>
          <w:rFonts w:eastAsia="Times New Roman"/>
          <w:szCs w:val="22"/>
          <w:lang w:val="fr-FR"/>
        </w:rPr>
      </w:pPr>
    </w:p>
    <w:p w:rsidR="00BB45F5" w:rsidRPr="00CC4B57" w:rsidRDefault="00CF56F0" w:rsidP="00CF56F0">
      <w:pPr>
        <w:rPr>
          <w:rFonts w:eastAsia="Times New Roman"/>
          <w:i/>
          <w:szCs w:val="22"/>
          <w:lang w:val="fr-FR"/>
        </w:rPr>
      </w:pPr>
      <w:r w:rsidRPr="00CC4B57">
        <w:rPr>
          <w:rFonts w:eastAsia="Times New Roman"/>
          <w:szCs w:val="22"/>
          <w:lang w:val="fr-FR"/>
        </w:rPr>
        <w:t>Sur les 191</w:t>
      </w:r>
      <w:r w:rsidR="00D956DB" w:rsidRPr="00CC4B57">
        <w:rPr>
          <w:rFonts w:eastAsia="Times New Roman"/>
          <w:szCs w:val="22"/>
          <w:lang w:val="fr-FR"/>
        </w:rPr>
        <w:t> </w:t>
      </w:r>
      <w:r w:rsidRPr="00CC4B57">
        <w:rPr>
          <w:rFonts w:eastAsia="Times New Roman"/>
          <w:szCs w:val="22"/>
          <w:lang w:val="fr-FR"/>
        </w:rPr>
        <w:t>États membres de l</w:t>
      </w:r>
      <w:r w:rsidR="0045102F" w:rsidRPr="00CC4B57">
        <w:rPr>
          <w:rFonts w:eastAsia="Times New Roman"/>
          <w:szCs w:val="22"/>
          <w:lang w:val="fr-FR"/>
        </w:rPr>
        <w:t>’</w:t>
      </w:r>
      <w:r w:rsidRPr="00CC4B57">
        <w:rPr>
          <w:rFonts w:eastAsia="Times New Roman"/>
          <w:szCs w:val="22"/>
          <w:lang w:val="fr-FR"/>
        </w:rPr>
        <w:t>OMPI, 28 ne prévoient aucune exception en faveur des bibliothèques dans leur législation nationale sur le droit d</w:t>
      </w:r>
      <w:r w:rsidR="0045102F" w:rsidRPr="00CC4B57">
        <w:rPr>
          <w:rFonts w:eastAsia="Times New Roman"/>
          <w:szCs w:val="22"/>
          <w:lang w:val="fr-FR"/>
        </w:rPr>
        <w:t>’</w:t>
      </w:r>
      <w:r w:rsidRPr="00CC4B57">
        <w:rPr>
          <w:rFonts w:eastAsia="Times New Roman"/>
          <w:szCs w:val="22"/>
          <w:lang w:val="fr-FR"/>
        </w:rPr>
        <w:t>auteur, et deux</w:t>
      </w:r>
      <w:r w:rsidR="00117E3A" w:rsidRPr="00CC4B57">
        <w:rPr>
          <w:rFonts w:eastAsia="Times New Roman"/>
          <w:szCs w:val="22"/>
          <w:lang w:val="fr-FR"/>
        </w:rPr>
        <w:t> </w:t>
      </w:r>
      <w:r w:rsidRPr="00CC4B57">
        <w:rPr>
          <w:rFonts w:eastAsia="Times New Roman"/>
          <w:szCs w:val="22"/>
          <w:lang w:val="fr-FR"/>
        </w:rPr>
        <w:t>n</w:t>
      </w:r>
      <w:r w:rsidR="0045102F" w:rsidRPr="00CC4B57">
        <w:rPr>
          <w:rFonts w:eastAsia="Times New Roman"/>
          <w:szCs w:val="22"/>
          <w:lang w:val="fr-FR"/>
        </w:rPr>
        <w:t>’</w:t>
      </w:r>
      <w:r w:rsidRPr="00CC4B57">
        <w:rPr>
          <w:rFonts w:eastAsia="Times New Roman"/>
          <w:szCs w:val="22"/>
          <w:lang w:val="fr-FR"/>
        </w:rPr>
        <w:t>ont aucune loi sur le droit d</w:t>
      </w:r>
      <w:r w:rsidR="0045102F" w:rsidRPr="00CC4B57">
        <w:rPr>
          <w:rFonts w:eastAsia="Times New Roman"/>
          <w:szCs w:val="22"/>
          <w:lang w:val="fr-FR"/>
        </w:rPr>
        <w:t>’</w:t>
      </w:r>
      <w:r w:rsidRPr="00CC4B57">
        <w:rPr>
          <w:rFonts w:eastAsia="Times New Roman"/>
          <w:szCs w:val="22"/>
          <w:lang w:val="fr-FR"/>
        </w:rPr>
        <w:t>aute</w:t>
      </w:r>
      <w:r w:rsidR="00753BBF" w:rsidRPr="00CC4B57">
        <w:rPr>
          <w:rFonts w:eastAsia="Times New Roman"/>
          <w:szCs w:val="22"/>
          <w:lang w:val="fr-FR"/>
        </w:rPr>
        <w:t>ur.  Le</w:t>
      </w:r>
      <w:r w:rsidRPr="00CC4B57">
        <w:rPr>
          <w:rFonts w:eastAsia="Times New Roman"/>
          <w:szCs w:val="22"/>
          <w:lang w:val="fr-FR"/>
        </w:rPr>
        <w:t>s exceptions en faveur des bibliothèques portent le plus souvent sur les copies d</w:t>
      </w:r>
      <w:r w:rsidR="0045102F" w:rsidRPr="00CC4B57">
        <w:rPr>
          <w:rFonts w:eastAsia="Times New Roman"/>
          <w:szCs w:val="22"/>
          <w:lang w:val="fr-FR"/>
        </w:rPr>
        <w:t>’</w:t>
      </w:r>
      <w:r w:rsidRPr="00CC4B57">
        <w:rPr>
          <w:rFonts w:eastAsia="Times New Roman"/>
          <w:szCs w:val="22"/>
          <w:lang w:val="fr-FR"/>
        </w:rPr>
        <w:t xml:space="preserve">œuvres (généralement des copies uniques et souvent </w:t>
      </w:r>
      <w:r w:rsidR="00945984" w:rsidRPr="00CC4B57">
        <w:rPr>
          <w:rFonts w:eastAsia="Times New Roman"/>
          <w:szCs w:val="22"/>
          <w:lang w:val="fr-FR"/>
        </w:rPr>
        <w:t xml:space="preserve">des copies </w:t>
      </w:r>
      <w:r w:rsidRPr="00CC4B57">
        <w:rPr>
          <w:rFonts w:eastAsia="Times New Roman"/>
          <w:szCs w:val="22"/>
          <w:lang w:val="fr-FR"/>
        </w:rPr>
        <w:t>d</w:t>
      </w:r>
      <w:r w:rsidR="0045102F" w:rsidRPr="00CC4B57">
        <w:rPr>
          <w:rFonts w:eastAsia="Times New Roman"/>
          <w:szCs w:val="22"/>
          <w:lang w:val="fr-FR"/>
        </w:rPr>
        <w:t>’</w:t>
      </w:r>
      <w:r w:rsidRPr="00CC4B57">
        <w:rPr>
          <w:rFonts w:eastAsia="Times New Roman"/>
          <w:szCs w:val="22"/>
          <w:lang w:val="fr-FR"/>
        </w:rPr>
        <w:t xml:space="preserve">œuvres courtes) effectuées soit pour les lecteurs, chercheurs et autres utilisateurs des bibliothèques, soit à des fins de préservation de la collection, soit en vue de remplacer des œuvres </w:t>
      </w:r>
      <w:r w:rsidR="00945984" w:rsidRPr="00CC4B57">
        <w:rPr>
          <w:rFonts w:eastAsia="Times New Roman"/>
          <w:szCs w:val="22"/>
          <w:lang w:val="fr-FR"/>
        </w:rPr>
        <w:t>en</w:t>
      </w:r>
      <w:r w:rsidRPr="00CC4B57">
        <w:rPr>
          <w:rFonts w:eastAsia="Times New Roman"/>
          <w:szCs w:val="22"/>
          <w:lang w:val="fr-FR"/>
        </w:rPr>
        <w:t>dommag</w:t>
      </w:r>
      <w:r w:rsidR="00945984" w:rsidRPr="00CC4B57">
        <w:rPr>
          <w:rFonts w:eastAsia="Times New Roman"/>
          <w:szCs w:val="22"/>
          <w:lang w:val="fr-FR"/>
        </w:rPr>
        <w:t>é</w:t>
      </w:r>
      <w:r w:rsidRPr="00CC4B57">
        <w:rPr>
          <w:rFonts w:eastAsia="Times New Roman"/>
          <w:szCs w:val="22"/>
          <w:lang w:val="fr-FR"/>
        </w:rPr>
        <w:t>e</w:t>
      </w:r>
      <w:r w:rsidR="00945984" w:rsidRPr="00CC4B57">
        <w:rPr>
          <w:rFonts w:eastAsia="Times New Roman"/>
          <w:szCs w:val="22"/>
          <w:lang w:val="fr-FR"/>
        </w:rPr>
        <w:t>s ou perdues</w:t>
      </w:r>
      <w:r w:rsidRPr="00CC4B57">
        <w:rPr>
          <w:rFonts w:eastAsia="Times New Roman"/>
          <w:szCs w:val="22"/>
          <w:lang w:val="fr-FR"/>
        </w:rPr>
        <w:t>.</w:t>
      </w:r>
    </w:p>
    <w:p w:rsidR="00BB45F5" w:rsidRPr="00CC4B57" w:rsidRDefault="00BB45F5" w:rsidP="006D2A00">
      <w:pPr>
        <w:rPr>
          <w:rFonts w:eastAsia="Times New Roman"/>
          <w:szCs w:val="22"/>
          <w:lang w:val="fr-FR"/>
        </w:rPr>
      </w:pPr>
    </w:p>
    <w:p w:rsidR="00BB45F5" w:rsidRPr="00CC4B57" w:rsidRDefault="00CF56F0" w:rsidP="006D2A00">
      <w:pPr>
        <w:rPr>
          <w:szCs w:val="22"/>
          <w:lang w:val="fr-FR"/>
        </w:rPr>
      </w:pPr>
      <w:r w:rsidRPr="00CC4B57">
        <w:rPr>
          <w:rFonts w:eastAsia="Times New Roman"/>
          <w:szCs w:val="22"/>
          <w:lang w:val="fr-FR"/>
        </w:rPr>
        <w:t>Ces services de bibliothèque sont depuis longtemps des éléments essentiels des exceptions en faveur des bibliothèques, et ils continuent d</w:t>
      </w:r>
      <w:r w:rsidR="0045102F" w:rsidRPr="00CC4B57">
        <w:rPr>
          <w:rFonts w:eastAsia="Times New Roman"/>
          <w:szCs w:val="22"/>
          <w:lang w:val="fr-FR"/>
        </w:rPr>
        <w:t>’</w:t>
      </w:r>
      <w:r w:rsidRPr="00CC4B57">
        <w:rPr>
          <w:rFonts w:eastAsia="Times New Roman"/>
          <w:szCs w:val="22"/>
          <w:lang w:val="fr-FR"/>
        </w:rPr>
        <w:t xml:space="preserve">être </w:t>
      </w:r>
      <w:r w:rsidR="00945984" w:rsidRPr="00CC4B57">
        <w:rPr>
          <w:rFonts w:eastAsia="Times New Roman"/>
          <w:szCs w:val="22"/>
          <w:lang w:val="fr-FR"/>
        </w:rPr>
        <w:t>à la base</w:t>
      </w:r>
      <w:r w:rsidRPr="00CC4B57">
        <w:rPr>
          <w:rFonts w:eastAsia="Times New Roman"/>
          <w:szCs w:val="22"/>
          <w:lang w:val="fr-FR"/>
        </w:rPr>
        <w:t xml:space="preserve"> des nouvelles lois sur le droit d</w:t>
      </w:r>
      <w:r w:rsidR="0045102F" w:rsidRPr="00CC4B57">
        <w:rPr>
          <w:rFonts w:eastAsia="Times New Roman"/>
          <w:szCs w:val="22"/>
          <w:lang w:val="fr-FR"/>
        </w:rPr>
        <w:t>’</w:t>
      </w:r>
      <w:r w:rsidRPr="00CC4B57">
        <w:rPr>
          <w:rFonts w:eastAsia="Times New Roman"/>
          <w:szCs w:val="22"/>
          <w:lang w:val="fr-FR"/>
        </w:rPr>
        <w:t xml:space="preserve">auteur </w:t>
      </w:r>
      <w:r w:rsidR="00945984" w:rsidRPr="00CC4B57">
        <w:rPr>
          <w:rFonts w:eastAsia="Times New Roman"/>
          <w:szCs w:val="22"/>
          <w:lang w:val="fr-FR"/>
        </w:rPr>
        <w:t xml:space="preserve">adoptées </w:t>
      </w:r>
      <w:r w:rsidRPr="00CC4B57">
        <w:rPr>
          <w:rFonts w:eastAsia="Times New Roman"/>
          <w:szCs w:val="22"/>
          <w:lang w:val="fr-FR"/>
        </w:rPr>
        <w:t xml:space="preserve">dans le monde. </w:t>
      </w:r>
      <w:r w:rsidR="006D2A00" w:rsidRPr="00CC4B57">
        <w:rPr>
          <w:rFonts w:eastAsia="Times New Roman"/>
          <w:szCs w:val="22"/>
          <w:lang w:val="fr-FR"/>
        </w:rPr>
        <w:t xml:space="preserve"> </w:t>
      </w:r>
      <w:r w:rsidR="00CC5AFE" w:rsidRPr="00CC4B57">
        <w:rPr>
          <w:rFonts w:eastAsia="Times New Roman"/>
          <w:szCs w:val="22"/>
          <w:lang w:val="fr-FR"/>
        </w:rPr>
        <w:t>Cela étant, des révisions occasionnelles ont eu lieu ces dernières années afin de tenir compte de l</w:t>
      </w:r>
      <w:r w:rsidR="0045102F" w:rsidRPr="00CC4B57">
        <w:rPr>
          <w:rFonts w:eastAsia="Times New Roman"/>
          <w:szCs w:val="22"/>
          <w:lang w:val="fr-FR"/>
        </w:rPr>
        <w:t>’</w:t>
      </w:r>
      <w:r w:rsidR="00CC5AFE" w:rsidRPr="00CC4B57">
        <w:rPr>
          <w:rFonts w:eastAsia="Times New Roman"/>
          <w:szCs w:val="22"/>
          <w:lang w:val="fr-FR"/>
        </w:rPr>
        <w:t>évolution des besoins et des nouvelles technologies.</w:t>
      </w:r>
      <w:r w:rsidR="006D2A00" w:rsidRPr="00CC4B57">
        <w:rPr>
          <w:rFonts w:eastAsia="Times New Roman"/>
          <w:szCs w:val="22"/>
          <w:lang w:val="fr-FR"/>
        </w:rPr>
        <w:t xml:space="preserve">  </w:t>
      </w:r>
      <w:r w:rsidR="00CC5AFE" w:rsidRPr="00CC4B57">
        <w:rPr>
          <w:rFonts w:eastAsia="Times New Roman"/>
          <w:szCs w:val="22"/>
          <w:lang w:val="fr-FR"/>
        </w:rPr>
        <w:t>L</w:t>
      </w:r>
      <w:r w:rsidR="0045102F" w:rsidRPr="00CC4B57">
        <w:rPr>
          <w:rFonts w:eastAsia="Times New Roman"/>
          <w:szCs w:val="22"/>
          <w:lang w:val="fr-FR"/>
        </w:rPr>
        <w:t>’</w:t>
      </w:r>
      <w:r w:rsidR="00CC5AFE" w:rsidRPr="00CC4B57">
        <w:rPr>
          <w:rFonts w:eastAsia="Times New Roman"/>
          <w:szCs w:val="22"/>
          <w:lang w:val="fr-FR"/>
        </w:rPr>
        <w:t>Allemagne a adopté cette année une nouvelle disposition autorisant les bibliothèques à procéder à la numérisation des œuvres pour l</w:t>
      </w:r>
      <w:r w:rsidR="0045102F" w:rsidRPr="00CC4B57">
        <w:rPr>
          <w:rFonts w:eastAsia="Times New Roman"/>
          <w:szCs w:val="22"/>
          <w:lang w:val="fr-FR"/>
        </w:rPr>
        <w:t>’</w:t>
      </w:r>
      <w:r w:rsidR="00CC5AFE" w:rsidRPr="00CC4B57">
        <w:rPr>
          <w:rFonts w:eastAsia="Times New Roman"/>
          <w:szCs w:val="22"/>
          <w:lang w:val="fr-FR"/>
        </w:rPr>
        <w:t>exploration de textes et l</w:t>
      </w:r>
      <w:r w:rsidR="0045102F" w:rsidRPr="00CC4B57">
        <w:rPr>
          <w:rFonts w:eastAsia="Times New Roman"/>
          <w:szCs w:val="22"/>
          <w:lang w:val="fr-FR"/>
        </w:rPr>
        <w:t>’</w:t>
      </w:r>
      <w:r w:rsidR="00CC5AFE" w:rsidRPr="00CC4B57">
        <w:rPr>
          <w:rFonts w:eastAsia="Times New Roman"/>
          <w:szCs w:val="22"/>
          <w:lang w:val="fr-FR"/>
        </w:rPr>
        <w:t>extraction de donné</w:t>
      </w:r>
      <w:r w:rsidR="00753BBF" w:rsidRPr="00CC4B57">
        <w:rPr>
          <w:rFonts w:eastAsia="Times New Roman"/>
          <w:szCs w:val="22"/>
          <w:lang w:val="fr-FR"/>
        </w:rPr>
        <w:t>es.  Ce</w:t>
      </w:r>
      <w:r w:rsidR="00CC5AFE" w:rsidRPr="00CC4B57">
        <w:rPr>
          <w:rFonts w:eastAsia="Times New Roman"/>
          <w:szCs w:val="22"/>
          <w:lang w:val="fr-FR"/>
        </w:rPr>
        <w:t xml:space="preserve">s dernières années, </w:t>
      </w:r>
      <w:r w:rsidR="00B105C3" w:rsidRPr="00CC4B57">
        <w:rPr>
          <w:rFonts w:eastAsia="Times New Roman"/>
          <w:szCs w:val="22"/>
          <w:lang w:val="fr-FR"/>
        </w:rPr>
        <w:t>quelque</w:t>
      </w:r>
      <w:r w:rsidR="00945984" w:rsidRPr="00CC4B57">
        <w:rPr>
          <w:rFonts w:eastAsia="Times New Roman"/>
          <w:szCs w:val="22"/>
          <w:lang w:val="fr-FR"/>
        </w:rPr>
        <w:t>s</w:t>
      </w:r>
      <w:r w:rsidR="00CC5AFE" w:rsidRPr="00CC4B57">
        <w:rPr>
          <w:rFonts w:eastAsia="Times New Roman"/>
          <w:szCs w:val="22"/>
          <w:lang w:val="fr-FR"/>
        </w:rPr>
        <w:t xml:space="preserve"> pay</w:t>
      </w:r>
      <w:r w:rsidR="00945984" w:rsidRPr="00CC4B57">
        <w:rPr>
          <w:rFonts w:eastAsia="Times New Roman"/>
          <w:szCs w:val="22"/>
          <w:lang w:val="fr-FR"/>
        </w:rPr>
        <w:t>s ont précisé qu</w:t>
      </w:r>
      <w:r w:rsidR="0045102F" w:rsidRPr="00CC4B57">
        <w:rPr>
          <w:rFonts w:eastAsia="Times New Roman"/>
          <w:szCs w:val="22"/>
          <w:lang w:val="fr-FR"/>
        </w:rPr>
        <w:t>’</w:t>
      </w:r>
      <w:r w:rsidR="00945984" w:rsidRPr="00CC4B57">
        <w:rPr>
          <w:rFonts w:eastAsia="Times New Roman"/>
          <w:szCs w:val="22"/>
          <w:lang w:val="fr-FR"/>
        </w:rPr>
        <w:t xml:space="preserve">il </w:t>
      </w:r>
      <w:r w:rsidR="00B105C3" w:rsidRPr="00CC4B57">
        <w:rPr>
          <w:rFonts w:eastAsia="Times New Roman"/>
          <w:szCs w:val="22"/>
          <w:lang w:val="fr-FR"/>
        </w:rPr>
        <w:t xml:space="preserve">était impossible </w:t>
      </w:r>
      <w:r w:rsidR="00CC5AFE" w:rsidRPr="00CC4B57">
        <w:rPr>
          <w:rFonts w:eastAsia="Times New Roman"/>
          <w:szCs w:val="22"/>
          <w:lang w:val="fr-FR"/>
        </w:rPr>
        <w:t xml:space="preserve">de renoncer </w:t>
      </w:r>
      <w:r w:rsidR="00B105C3" w:rsidRPr="00CC4B57">
        <w:rPr>
          <w:rFonts w:eastAsia="Times New Roman"/>
          <w:szCs w:val="22"/>
          <w:lang w:val="fr-FR"/>
        </w:rPr>
        <w:t xml:space="preserve">par contrat </w:t>
      </w:r>
      <w:r w:rsidR="00CC5AFE" w:rsidRPr="00CC4B57">
        <w:rPr>
          <w:rFonts w:eastAsia="Times New Roman"/>
          <w:szCs w:val="22"/>
          <w:lang w:val="fr-FR"/>
        </w:rPr>
        <w:t>à certaines exceptions en faveur des bibliothèques (et à d</w:t>
      </w:r>
      <w:r w:rsidR="0045102F" w:rsidRPr="00CC4B57">
        <w:rPr>
          <w:rFonts w:eastAsia="Times New Roman"/>
          <w:szCs w:val="22"/>
          <w:lang w:val="fr-FR"/>
        </w:rPr>
        <w:t>’</w:t>
      </w:r>
      <w:r w:rsidR="00CC5AFE" w:rsidRPr="00CC4B57">
        <w:rPr>
          <w:rFonts w:eastAsia="Times New Roman"/>
          <w:szCs w:val="22"/>
          <w:lang w:val="fr-FR"/>
        </w:rPr>
        <w:t xml:space="preserve">autres dispositions </w:t>
      </w:r>
      <w:r w:rsidR="00945984" w:rsidRPr="00CC4B57">
        <w:rPr>
          <w:rFonts w:eastAsia="Times New Roman"/>
          <w:szCs w:val="22"/>
          <w:lang w:val="fr-FR"/>
        </w:rPr>
        <w:t xml:space="preserve">adoptées </w:t>
      </w:r>
      <w:r w:rsidR="00CC5AFE" w:rsidRPr="00CC4B57">
        <w:rPr>
          <w:rFonts w:eastAsia="Times New Roman"/>
          <w:szCs w:val="22"/>
          <w:lang w:val="fr-FR"/>
        </w:rPr>
        <w:t>pour le bien public)</w:t>
      </w:r>
      <w:r w:rsidR="00CC5AFE" w:rsidRPr="00CC4B57">
        <w:rPr>
          <w:rStyle w:val="FootnoteReference"/>
          <w:lang w:val="fr-FR"/>
        </w:rPr>
        <w:footnoteReference w:id="5"/>
      </w:r>
      <w:r w:rsidR="00117E3A" w:rsidRPr="00CC4B57">
        <w:rPr>
          <w:rFonts w:eastAsia="Times New Roman"/>
          <w:szCs w:val="22"/>
          <w:lang w:val="fr-FR"/>
        </w:rPr>
        <w:t>.</w:t>
      </w:r>
      <w:r w:rsidR="00945984" w:rsidRPr="00CC4B57">
        <w:rPr>
          <w:szCs w:val="22"/>
          <w:lang w:val="fr-FR"/>
        </w:rPr>
        <w:t xml:space="preserve">  La Belgique compte depuis longtemps une disposition empêchant les renonciations conventionnelles aux exceptio</w:t>
      </w:r>
      <w:r w:rsidR="00753BBF" w:rsidRPr="00CC4B57">
        <w:rPr>
          <w:szCs w:val="22"/>
          <w:lang w:val="fr-FR"/>
        </w:rPr>
        <w:t>ns.  De</w:t>
      </w:r>
      <w:r w:rsidR="00945984" w:rsidRPr="00CC4B57">
        <w:rPr>
          <w:szCs w:val="22"/>
          <w:lang w:val="fr-FR"/>
        </w:rPr>
        <w:t xml:space="preserve"> nouvelles dispositions sur cette question ont récemment été adoptées par l</w:t>
      </w:r>
      <w:r w:rsidR="0045102F" w:rsidRPr="00CC4B57">
        <w:rPr>
          <w:szCs w:val="22"/>
          <w:lang w:val="fr-FR"/>
        </w:rPr>
        <w:t>’</w:t>
      </w:r>
      <w:r w:rsidR="00945984" w:rsidRPr="00CC4B57">
        <w:rPr>
          <w:szCs w:val="22"/>
          <w:lang w:val="fr-FR"/>
        </w:rPr>
        <w:t>Allemagne, le Koweït, le Monténégro et le Royaume</w:t>
      </w:r>
      <w:r w:rsidR="00BA4B95" w:rsidRPr="00CC4B57">
        <w:rPr>
          <w:szCs w:val="22"/>
          <w:lang w:val="fr-FR"/>
        </w:rPr>
        <w:noBreakHyphen/>
      </w:r>
      <w:r w:rsidR="00945984" w:rsidRPr="00CC4B57">
        <w:rPr>
          <w:szCs w:val="22"/>
          <w:lang w:val="fr-FR"/>
        </w:rPr>
        <w:t>Uni.</w:t>
      </w:r>
    </w:p>
    <w:p w:rsidR="00BB45F5" w:rsidRPr="00CC4B57" w:rsidRDefault="00BB45F5" w:rsidP="006D2A00">
      <w:pPr>
        <w:rPr>
          <w:szCs w:val="22"/>
          <w:lang w:val="fr-FR"/>
        </w:rPr>
      </w:pPr>
    </w:p>
    <w:p w:rsidR="0096345D" w:rsidRPr="00CC4B57" w:rsidRDefault="00945984" w:rsidP="006D2A00">
      <w:pPr>
        <w:rPr>
          <w:rFonts w:eastAsia="Times New Roman"/>
          <w:szCs w:val="22"/>
          <w:lang w:val="fr-FR"/>
        </w:rPr>
      </w:pPr>
      <w:r w:rsidRPr="00CC4B57">
        <w:rPr>
          <w:szCs w:val="22"/>
          <w:lang w:val="fr-FR"/>
        </w:rPr>
        <w:t xml:space="preserve">Bon nombre des nouvelles </w:t>
      </w:r>
      <w:r w:rsidRPr="00CC4B57">
        <w:rPr>
          <w:rFonts w:eastAsia="Times New Roman"/>
          <w:szCs w:val="22"/>
          <w:lang w:val="fr-FR"/>
        </w:rPr>
        <w:t>dispositions</w:t>
      </w:r>
      <w:r w:rsidR="00B105C3" w:rsidRPr="00CC4B57">
        <w:rPr>
          <w:rFonts w:eastAsia="Times New Roman"/>
          <w:szCs w:val="22"/>
          <w:lang w:val="fr-FR"/>
        </w:rPr>
        <w:t xml:space="preserve"> adoptées</w:t>
      </w:r>
      <w:r w:rsidR="006D2A00" w:rsidRPr="00CC4B57">
        <w:rPr>
          <w:rFonts w:eastAsia="Times New Roman"/>
          <w:szCs w:val="22"/>
          <w:lang w:val="fr-FR"/>
        </w:rPr>
        <w:t xml:space="preserve"> </w:t>
      </w:r>
      <w:r w:rsidRPr="00CC4B57">
        <w:rPr>
          <w:rFonts w:eastAsia="Times New Roman"/>
          <w:szCs w:val="22"/>
          <w:lang w:val="fr-FR"/>
        </w:rPr>
        <w:t xml:space="preserve">confirment une </w:t>
      </w:r>
      <w:r w:rsidR="00EC4F6F" w:rsidRPr="00CC4B57">
        <w:rPr>
          <w:rFonts w:eastAsia="Times New Roman"/>
          <w:szCs w:val="22"/>
          <w:lang w:val="fr-FR"/>
        </w:rPr>
        <w:t>situation</w:t>
      </w:r>
      <w:r w:rsidR="006D2A00" w:rsidRPr="00CC4B57">
        <w:rPr>
          <w:rFonts w:eastAsia="Times New Roman"/>
          <w:szCs w:val="22"/>
          <w:lang w:val="fr-FR"/>
        </w:rPr>
        <w:t xml:space="preserve"> </w:t>
      </w:r>
      <w:r w:rsidRPr="00CC4B57">
        <w:rPr>
          <w:rFonts w:eastAsia="Times New Roman"/>
          <w:szCs w:val="22"/>
          <w:lang w:val="fr-FR"/>
        </w:rPr>
        <w:t>mise en lumière dans les</w:t>
      </w:r>
      <w:r w:rsidR="006D2A00" w:rsidRPr="00CC4B57">
        <w:rPr>
          <w:rFonts w:eastAsia="Times New Roman"/>
          <w:szCs w:val="22"/>
          <w:lang w:val="fr-FR"/>
        </w:rPr>
        <w:t xml:space="preserve"> </w:t>
      </w:r>
      <w:r w:rsidRPr="00CC4B57">
        <w:rPr>
          <w:rFonts w:eastAsia="Times New Roman"/>
          <w:szCs w:val="22"/>
          <w:lang w:val="fr-FR"/>
        </w:rPr>
        <w:t>précédentes études</w:t>
      </w:r>
      <w:r w:rsidR="0045102F" w:rsidRPr="00CC4B57">
        <w:rPr>
          <w:rFonts w:eastAsia="Times New Roman"/>
          <w:szCs w:val="22"/>
          <w:lang w:val="fr-FR"/>
        </w:rPr>
        <w:t> </w:t>
      </w:r>
      <w:proofErr w:type="gramStart"/>
      <w:r w:rsidR="0045102F" w:rsidRPr="00CC4B57">
        <w:rPr>
          <w:rFonts w:eastAsia="Times New Roman"/>
          <w:szCs w:val="22"/>
          <w:lang w:val="fr-FR"/>
        </w:rPr>
        <w:t>:</w:t>
      </w:r>
      <w:r w:rsidR="006D2A00" w:rsidRPr="00CC4B57">
        <w:rPr>
          <w:rFonts w:eastAsia="Times New Roman"/>
          <w:szCs w:val="22"/>
          <w:lang w:val="fr-FR"/>
        </w:rPr>
        <w:t xml:space="preserve"> </w:t>
      </w:r>
      <w:r w:rsidRPr="00CC4B57">
        <w:rPr>
          <w:rFonts w:eastAsia="Times New Roman"/>
          <w:szCs w:val="22"/>
          <w:lang w:val="fr-FR"/>
        </w:rPr>
        <w:t>les</w:t>
      </w:r>
      <w:proofErr w:type="gramEnd"/>
      <w:r w:rsidRPr="00CC4B57">
        <w:rPr>
          <w:rFonts w:eastAsia="Times New Roman"/>
          <w:szCs w:val="22"/>
          <w:lang w:val="fr-FR"/>
        </w:rPr>
        <w:t xml:space="preserve"> pays ont tendance à</w:t>
      </w:r>
      <w:r w:rsidR="006D2A00" w:rsidRPr="00CC4B57">
        <w:rPr>
          <w:rFonts w:eastAsia="Times New Roman"/>
          <w:szCs w:val="22"/>
          <w:lang w:val="fr-FR"/>
        </w:rPr>
        <w:t xml:space="preserve"> </w:t>
      </w:r>
      <w:r w:rsidRPr="00CC4B57">
        <w:rPr>
          <w:rFonts w:eastAsia="Times New Roman"/>
          <w:szCs w:val="22"/>
          <w:lang w:val="fr-FR"/>
        </w:rPr>
        <w:t>observer leurs voisins</w:t>
      </w:r>
      <w:r w:rsidR="006D2A00" w:rsidRPr="00CC4B57">
        <w:rPr>
          <w:rFonts w:eastAsia="Times New Roman"/>
          <w:szCs w:val="22"/>
          <w:lang w:val="fr-FR"/>
        </w:rPr>
        <w:t xml:space="preserve">, </w:t>
      </w:r>
      <w:r w:rsidRPr="00CC4B57">
        <w:rPr>
          <w:rFonts w:eastAsia="Times New Roman"/>
          <w:szCs w:val="22"/>
          <w:lang w:val="fr-FR"/>
        </w:rPr>
        <w:t xml:space="preserve">leurs </w:t>
      </w:r>
      <w:r w:rsidR="006D2A00" w:rsidRPr="00CC4B57">
        <w:rPr>
          <w:rFonts w:eastAsia="Times New Roman"/>
          <w:szCs w:val="22"/>
          <w:lang w:val="fr-FR"/>
        </w:rPr>
        <w:t>parte</w:t>
      </w:r>
      <w:r w:rsidRPr="00CC4B57">
        <w:rPr>
          <w:rFonts w:eastAsia="Times New Roman"/>
          <w:szCs w:val="22"/>
          <w:lang w:val="fr-FR"/>
        </w:rPr>
        <w:t>nai</w:t>
      </w:r>
      <w:r w:rsidR="006D2A00" w:rsidRPr="00CC4B57">
        <w:rPr>
          <w:rFonts w:eastAsia="Times New Roman"/>
          <w:szCs w:val="22"/>
          <w:lang w:val="fr-FR"/>
        </w:rPr>
        <w:t>r</w:t>
      </w:r>
      <w:r w:rsidRPr="00CC4B57">
        <w:rPr>
          <w:rFonts w:eastAsia="Times New Roman"/>
          <w:szCs w:val="22"/>
          <w:lang w:val="fr-FR"/>
        </w:rPr>
        <w:t>e</w:t>
      </w:r>
      <w:r w:rsidR="006D2A00" w:rsidRPr="00CC4B57">
        <w:rPr>
          <w:rFonts w:eastAsia="Times New Roman"/>
          <w:szCs w:val="22"/>
          <w:lang w:val="fr-FR"/>
        </w:rPr>
        <w:t>s</w:t>
      </w:r>
      <w:r w:rsidRPr="00CC4B57">
        <w:rPr>
          <w:rFonts w:eastAsia="Times New Roman"/>
          <w:szCs w:val="22"/>
          <w:lang w:val="fr-FR"/>
        </w:rPr>
        <w:t xml:space="preserve"> commerciaux et</w:t>
      </w:r>
      <w:r w:rsidR="006D2A00" w:rsidRPr="00CC4B57">
        <w:rPr>
          <w:rFonts w:eastAsia="Times New Roman"/>
          <w:szCs w:val="22"/>
          <w:lang w:val="fr-FR"/>
        </w:rPr>
        <w:t xml:space="preserve"> </w:t>
      </w:r>
      <w:r w:rsidRPr="00CC4B57">
        <w:rPr>
          <w:rFonts w:eastAsia="Times New Roman"/>
          <w:szCs w:val="22"/>
          <w:lang w:val="fr-FR"/>
        </w:rPr>
        <w:t>les</w:t>
      </w:r>
      <w:r w:rsidR="00E768C9" w:rsidRPr="00CC4B57">
        <w:rPr>
          <w:rFonts w:eastAsia="Times New Roman"/>
          <w:szCs w:val="22"/>
          <w:lang w:val="fr-FR"/>
        </w:rPr>
        <w:t xml:space="preserve"> consortiums</w:t>
      </w:r>
      <w:r w:rsidR="006D2A00" w:rsidRPr="00CC4B57">
        <w:rPr>
          <w:rFonts w:eastAsia="Times New Roman"/>
          <w:szCs w:val="22"/>
          <w:lang w:val="fr-FR"/>
        </w:rPr>
        <w:t xml:space="preserve"> multinationa</w:t>
      </w:r>
      <w:r w:rsidR="00E768C9" w:rsidRPr="00CC4B57">
        <w:rPr>
          <w:rFonts w:eastAsia="Times New Roman"/>
          <w:szCs w:val="22"/>
          <w:lang w:val="fr-FR"/>
        </w:rPr>
        <w:t>ux</w:t>
      </w:r>
      <w:r w:rsidR="006D2A00" w:rsidRPr="00CC4B57">
        <w:rPr>
          <w:rFonts w:eastAsia="Times New Roman"/>
          <w:szCs w:val="22"/>
          <w:lang w:val="fr-FR"/>
        </w:rPr>
        <w:t xml:space="preserve"> </w:t>
      </w:r>
      <w:r w:rsidRPr="00CC4B57">
        <w:rPr>
          <w:rFonts w:eastAsia="Times New Roman"/>
          <w:szCs w:val="22"/>
          <w:lang w:val="fr-FR"/>
        </w:rPr>
        <w:t>pour s</w:t>
      </w:r>
      <w:r w:rsidR="0045102F" w:rsidRPr="00CC4B57">
        <w:rPr>
          <w:rFonts w:eastAsia="Times New Roman"/>
          <w:szCs w:val="22"/>
          <w:lang w:val="fr-FR"/>
        </w:rPr>
        <w:t>’</w:t>
      </w:r>
      <w:r w:rsidRPr="00CC4B57">
        <w:rPr>
          <w:rFonts w:eastAsia="Times New Roman"/>
          <w:szCs w:val="22"/>
          <w:lang w:val="fr-FR"/>
        </w:rPr>
        <w:t>en inspirer</w:t>
      </w:r>
      <w:r w:rsidR="006D2A00" w:rsidRPr="00CC4B57">
        <w:rPr>
          <w:rFonts w:eastAsia="Times New Roman"/>
          <w:szCs w:val="22"/>
          <w:lang w:val="fr-FR"/>
        </w:rPr>
        <w:t xml:space="preserve"> </w:t>
      </w:r>
      <w:r w:rsidR="00EC4F6F" w:rsidRPr="00CC4B57">
        <w:rPr>
          <w:rFonts w:eastAsia="Times New Roman"/>
          <w:szCs w:val="22"/>
          <w:lang w:val="fr-FR"/>
        </w:rPr>
        <w:t xml:space="preserve">et </w:t>
      </w:r>
      <w:r w:rsidRPr="00CC4B57">
        <w:rPr>
          <w:rFonts w:eastAsia="Times New Roman"/>
          <w:szCs w:val="22"/>
          <w:lang w:val="fr-FR"/>
        </w:rPr>
        <w:t>s</w:t>
      </w:r>
      <w:r w:rsidR="0045102F" w:rsidRPr="00CC4B57">
        <w:rPr>
          <w:rFonts w:eastAsia="Times New Roman"/>
          <w:szCs w:val="22"/>
          <w:lang w:val="fr-FR"/>
        </w:rPr>
        <w:t>’</w:t>
      </w:r>
      <w:r w:rsidRPr="00CC4B57">
        <w:rPr>
          <w:rFonts w:eastAsia="Times New Roman"/>
          <w:szCs w:val="22"/>
          <w:lang w:val="fr-FR"/>
        </w:rPr>
        <w:t>orienter au moment de l</w:t>
      </w:r>
      <w:r w:rsidR="0045102F" w:rsidRPr="00CC4B57">
        <w:rPr>
          <w:rFonts w:eastAsia="Times New Roman"/>
          <w:szCs w:val="22"/>
          <w:lang w:val="fr-FR"/>
        </w:rPr>
        <w:t>’</w:t>
      </w:r>
      <w:r w:rsidRPr="00CC4B57">
        <w:rPr>
          <w:rFonts w:eastAsia="Times New Roman"/>
          <w:szCs w:val="22"/>
          <w:lang w:val="fr-FR"/>
        </w:rPr>
        <w:t>élaboration des lo</w:t>
      </w:r>
      <w:r w:rsidR="00753BBF" w:rsidRPr="00CC4B57">
        <w:rPr>
          <w:rFonts w:eastAsia="Times New Roman"/>
          <w:szCs w:val="22"/>
          <w:lang w:val="fr-FR"/>
        </w:rPr>
        <w:t>is.  Pa</w:t>
      </w:r>
      <w:r w:rsidR="006D2A00" w:rsidRPr="00CC4B57">
        <w:rPr>
          <w:rFonts w:eastAsia="Times New Roman"/>
          <w:szCs w:val="22"/>
          <w:lang w:val="fr-FR"/>
        </w:rPr>
        <w:t>r ex</w:t>
      </w:r>
      <w:r w:rsidR="004F6F55" w:rsidRPr="00CC4B57">
        <w:rPr>
          <w:rFonts w:eastAsia="Times New Roman"/>
          <w:szCs w:val="22"/>
          <w:lang w:val="fr-FR"/>
        </w:rPr>
        <w:t>e</w:t>
      </w:r>
      <w:r w:rsidR="006D2A00" w:rsidRPr="00CC4B57">
        <w:rPr>
          <w:rFonts w:eastAsia="Times New Roman"/>
          <w:szCs w:val="22"/>
          <w:lang w:val="fr-FR"/>
        </w:rPr>
        <w:t xml:space="preserve">mple, </w:t>
      </w:r>
      <w:r w:rsidRPr="00CC4B57">
        <w:rPr>
          <w:rFonts w:eastAsia="Times New Roman"/>
          <w:szCs w:val="22"/>
          <w:lang w:val="fr-FR"/>
        </w:rPr>
        <w:t xml:space="preserve">une étude </w:t>
      </w:r>
      <w:r w:rsidR="004F6F55" w:rsidRPr="00CC4B57">
        <w:rPr>
          <w:rFonts w:eastAsia="Times New Roman"/>
          <w:szCs w:val="22"/>
          <w:lang w:val="fr-FR"/>
        </w:rPr>
        <w:t xml:space="preserve">a </w:t>
      </w:r>
      <w:r w:rsidR="00E768C9" w:rsidRPr="00CC4B57">
        <w:rPr>
          <w:rFonts w:eastAsia="Times New Roman"/>
          <w:szCs w:val="22"/>
          <w:lang w:val="fr-FR"/>
        </w:rPr>
        <w:t>révélé</w:t>
      </w:r>
      <w:r w:rsidR="004F6F55" w:rsidRPr="00CC4B57">
        <w:rPr>
          <w:rFonts w:eastAsia="Times New Roman"/>
          <w:szCs w:val="22"/>
          <w:lang w:val="fr-FR"/>
        </w:rPr>
        <w:t xml:space="preserve"> que de nombreux pays</w:t>
      </w:r>
      <w:r w:rsidR="006D2A00" w:rsidRPr="00CC4B57">
        <w:rPr>
          <w:rFonts w:eastAsia="Times New Roman"/>
          <w:szCs w:val="22"/>
          <w:lang w:val="fr-FR"/>
        </w:rPr>
        <w:t xml:space="preserve"> </w:t>
      </w:r>
      <w:r w:rsidR="00E768C9" w:rsidRPr="00CC4B57">
        <w:rPr>
          <w:rFonts w:eastAsia="Times New Roman"/>
          <w:szCs w:val="22"/>
          <w:lang w:val="fr-FR"/>
        </w:rPr>
        <w:t>membres et non membres de</w:t>
      </w:r>
      <w:r w:rsidR="004F6F55" w:rsidRPr="00CC4B57">
        <w:rPr>
          <w:rFonts w:eastAsia="Times New Roman"/>
          <w:szCs w:val="22"/>
          <w:lang w:val="fr-FR"/>
        </w:rPr>
        <w:t xml:space="preserve"> l</w:t>
      </w:r>
      <w:r w:rsidR="0045102F" w:rsidRPr="00CC4B57">
        <w:rPr>
          <w:rFonts w:eastAsia="Times New Roman"/>
          <w:szCs w:val="22"/>
          <w:lang w:val="fr-FR"/>
        </w:rPr>
        <w:t>’</w:t>
      </w:r>
      <w:r w:rsidR="004F6F55" w:rsidRPr="00CC4B57">
        <w:rPr>
          <w:rFonts w:eastAsia="Times New Roman"/>
          <w:szCs w:val="22"/>
          <w:lang w:val="fr-FR"/>
        </w:rPr>
        <w:t xml:space="preserve">Union européenne </w:t>
      </w:r>
      <w:r w:rsidR="00E768C9" w:rsidRPr="00CC4B57">
        <w:rPr>
          <w:rFonts w:eastAsia="Times New Roman"/>
          <w:szCs w:val="22"/>
          <w:lang w:val="fr-FR"/>
        </w:rPr>
        <w:t xml:space="preserve">avaient </w:t>
      </w:r>
      <w:r w:rsidR="004F6F55" w:rsidRPr="00CC4B57">
        <w:rPr>
          <w:rFonts w:eastAsia="Times New Roman"/>
          <w:szCs w:val="22"/>
          <w:lang w:val="fr-FR"/>
        </w:rPr>
        <w:t>adopt</w:t>
      </w:r>
      <w:r w:rsidR="00E768C9" w:rsidRPr="00CC4B57">
        <w:rPr>
          <w:rFonts w:eastAsia="Times New Roman"/>
          <w:szCs w:val="22"/>
          <w:lang w:val="fr-FR"/>
        </w:rPr>
        <w:t>é</w:t>
      </w:r>
      <w:r w:rsidR="004F6F55" w:rsidRPr="00CC4B57">
        <w:rPr>
          <w:rFonts w:eastAsia="Times New Roman"/>
          <w:szCs w:val="22"/>
          <w:lang w:val="fr-FR"/>
        </w:rPr>
        <w:t xml:space="preserve"> une</w:t>
      </w:r>
      <w:r w:rsidR="006D2A00" w:rsidRPr="00CC4B57">
        <w:rPr>
          <w:rFonts w:eastAsia="Times New Roman"/>
          <w:szCs w:val="22"/>
          <w:lang w:val="fr-FR"/>
        </w:rPr>
        <w:t xml:space="preserve"> </w:t>
      </w:r>
      <w:r w:rsidR="004F6F55" w:rsidRPr="00CC4B57">
        <w:rPr>
          <w:rFonts w:eastAsia="Times New Roman"/>
          <w:szCs w:val="22"/>
          <w:lang w:val="fr-FR"/>
        </w:rPr>
        <w:t>disposition émanant d</w:t>
      </w:r>
      <w:r w:rsidR="0045102F" w:rsidRPr="00CC4B57">
        <w:rPr>
          <w:rFonts w:eastAsia="Times New Roman"/>
          <w:szCs w:val="22"/>
          <w:lang w:val="fr-FR"/>
        </w:rPr>
        <w:t>’</w:t>
      </w:r>
      <w:r w:rsidR="004F6F55" w:rsidRPr="00CC4B57">
        <w:rPr>
          <w:rFonts w:eastAsia="Times New Roman"/>
          <w:szCs w:val="22"/>
          <w:lang w:val="fr-FR"/>
        </w:rPr>
        <w:t>une directive de l</w:t>
      </w:r>
      <w:r w:rsidR="0045102F" w:rsidRPr="00CC4B57">
        <w:rPr>
          <w:rFonts w:eastAsia="Times New Roman"/>
          <w:szCs w:val="22"/>
          <w:lang w:val="fr-FR"/>
        </w:rPr>
        <w:t>’</w:t>
      </w:r>
      <w:r w:rsidR="004F6F55" w:rsidRPr="00CC4B57">
        <w:rPr>
          <w:rFonts w:eastAsia="Times New Roman"/>
          <w:szCs w:val="22"/>
          <w:lang w:val="fr-FR"/>
        </w:rPr>
        <w:t xml:space="preserve">Union européenne </w:t>
      </w:r>
      <w:r w:rsidR="0096345D" w:rsidRPr="00CC4B57">
        <w:rPr>
          <w:rFonts w:eastAsia="Times New Roman"/>
          <w:szCs w:val="22"/>
          <w:lang w:val="fr-FR"/>
        </w:rPr>
        <w:t>de 2001</w:t>
      </w:r>
      <w:r w:rsidR="004F6F55" w:rsidRPr="00CC4B57">
        <w:rPr>
          <w:rFonts w:eastAsia="Times New Roman"/>
          <w:szCs w:val="22"/>
          <w:lang w:val="fr-FR"/>
        </w:rPr>
        <w:t>, en vertu de laquelle il était possible d</w:t>
      </w:r>
      <w:r w:rsidR="0045102F" w:rsidRPr="00CC4B57">
        <w:rPr>
          <w:rFonts w:eastAsia="Times New Roman"/>
          <w:szCs w:val="22"/>
          <w:lang w:val="fr-FR"/>
        </w:rPr>
        <w:t>’</w:t>
      </w:r>
      <w:r w:rsidR="004F6F55" w:rsidRPr="00CC4B57">
        <w:rPr>
          <w:rFonts w:eastAsia="Times New Roman"/>
          <w:szCs w:val="22"/>
          <w:lang w:val="fr-FR"/>
        </w:rPr>
        <w:t>effectuer des copies numériques d</w:t>
      </w:r>
      <w:r w:rsidR="0045102F" w:rsidRPr="00CC4B57">
        <w:rPr>
          <w:rFonts w:eastAsia="Times New Roman"/>
          <w:szCs w:val="22"/>
          <w:lang w:val="fr-FR"/>
        </w:rPr>
        <w:t>’</w:t>
      </w:r>
      <w:r w:rsidR="004F6F55" w:rsidRPr="00CC4B57">
        <w:rPr>
          <w:rFonts w:eastAsia="Times New Roman"/>
          <w:szCs w:val="22"/>
          <w:lang w:val="fr-FR"/>
        </w:rPr>
        <w:t>œuvres mises à la disposition des utilisateurs dans les locaux des bibliothèques des pays membres à des fins de recherche et d</w:t>
      </w:r>
      <w:r w:rsidR="0045102F" w:rsidRPr="00CC4B57">
        <w:rPr>
          <w:rFonts w:eastAsia="Times New Roman"/>
          <w:szCs w:val="22"/>
          <w:lang w:val="fr-FR"/>
        </w:rPr>
        <w:t>’</w:t>
      </w:r>
      <w:r w:rsidR="004F6F55" w:rsidRPr="00CC4B57">
        <w:rPr>
          <w:rFonts w:eastAsia="Times New Roman"/>
          <w:szCs w:val="22"/>
          <w:lang w:val="fr-FR"/>
        </w:rPr>
        <w:t>étude</w:t>
      </w:r>
      <w:r w:rsidR="006D2A00" w:rsidRPr="00CC4B57">
        <w:rPr>
          <w:vertAlign w:val="superscript"/>
          <w:lang w:val="fr-FR"/>
        </w:rPr>
        <w:footnoteReference w:id="6"/>
      </w:r>
      <w:r w:rsidR="00117E3A" w:rsidRPr="00CC4B57">
        <w:rPr>
          <w:rFonts w:eastAsia="Times New Roman"/>
          <w:szCs w:val="22"/>
          <w:lang w:val="fr-FR"/>
        </w:rPr>
        <w:t>.</w:t>
      </w:r>
      <w:r w:rsidR="006D2A00" w:rsidRPr="00CC4B57">
        <w:rPr>
          <w:rFonts w:eastAsia="Times New Roman"/>
          <w:szCs w:val="22"/>
          <w:lang w:val="fr-FR"/>
        </w:rPr>
        <w:t xml:space="preserve">  </w:t>
      </w:r>
      <w:r w:rsidR="004F6F55" w:rsidRPr="00CC4B57">
        <w:rPr>
          <w:rFonts w:eastAsia="Times New Roman"/>
          <w:szCs w:val="22"/>
          <w:lang w:val="fr-FR"/>
        </w:rPr>
        <w:t>Cette disposition avait bien entendu façonné la loi des pays de</w:t>
      </w:r>
      <w:r w:rsidR="006D2A00" w:rsidRPr="00CC4B57">
        <w:rPr>
          <w:rFonts w:eastAsia="Times New Roman"/>
          <w:szCs w:val="22"/>
          <w:lang w:val="fr-FR"/>
        </w:rPr>
        <w:t xml:space="preserve"> </w:t>
      </w:r>
      <w:r w:rsidR="004F6F55" w:rsidRPr="00CC4B57">
        <w:rPr>
          <w:rFonts w:eastAsia="Times New Roman"/>
          <w:szCs w:val="22"/>
          <w:lang w:val="fr-FR"/>
        </w:rPr>
        <w:t>l</w:t>
      </w:r>
      <w:r w:rsidR="0045102F" w:rsidRPr="00CC4B57">
        <w:rPr>
          <w:rFonts w:eastAsia="Times New Roman"/>
          <w:szCs w:val="22"/>
          <w:lang w:val="fr-FR"/>
        </w:rPr>
        <w:t>’</w:t>
      </w:r>
      <w:r w:rsidR="004F6F55" w:rsidRPr="00CC4B57">
        <w:rPr>
          <w:rFonts w:eastAsia="Times New Roman"/>
          <w:szCs w:val="22"/>
          <w:lang w:val="fr-FR"/>
        </w:rPr>
        <w:t>Union européenne</w:t>
      </w:r>
      <w:r w:rsidR="006D2A00" w:rsidRPr="00CC4B57">
        <w:rPr>
          <w:rFonts w:eastAsia="Times New Roman"/>
          <w:szCs w:val="22"/>
          <w:lang w:val="fr-FR"/>
        </w:rPr>
        <w:t xml:space="preserve">, </w:t>
      </w:r>
      <w:r w:rsidR="004F6F55" w:rsidRPr="00CC4B57">
        <w:rPr>
          <w:rFonts w:eastAsia="Times New Roman"/>
          <w:szCs w:val="22"/>
          <w:lang w:val="fr-FR"/>
        </w:rPr>
        <w:t xml:space="preserve">mais </w:t>
      </w:r>
      <w:r w:rsidR="00B105C3" w:rsidRPr="00CC4B57">
        <w:rPr>
          <w:rFonts w:eastAsia="Times New Roman"/>
          <w:szCs w:val="22"/>
          <w:lang w:val="fr-FR"/>
        </w:rPr>
        <w:t>des libellés</w:t>
      </w:r>
      <w:r w:rsidR="004F6F55" w:rsidRPr="00CC4B57">
        <w:rPr>
          <w:rFonts w:eastAsia="Times New Roman"/>
          <w:szCs w:val="22"/>
          <w:lang w:val="fr-FR"/>
        </w:rPr>
        <w:t xml:space="preserve"> analogues avaient également été incorporés </w:t>
      </w:r>
      <w:r w:rsidR="00B105C3" w:rsidRPr="00CC4B57">
        <w:rPr>
          <w:rFonts w:eastAsia="Times New Roman"/>
          <w:szCs w:val="22"/>
          <w:lang w:val="fr-FR"/>
        </w:rPr>
        <w:t>dans la</w:t>
      </w:r>
      <w:r w:rsidR="004F6F55" w:rsidRPr="00CC4B57">
        <w:rPr>
          <w:rFonts w:eastAsia="Times New Roman"/>
          <w:szCs w:val="22"/>
          <w:lang w:val="fr-FR"/>
        </w:rPr>
        <w:t xml:space="preserve"> législation </w:t>
      </w:r>
      <w:r w:rsidR="00B105C3" w:rsidRPr="00CC4B57">
        <w:rPr>
          <w:rFonts w:eastAsia="Times New Roman"/>
          <w:szCs w:val="22"/>
          <w:lang w:val="fr-FR"/>
        </w:rPr>
        <w:t>sur le droit d</w:t>
      </w:r>
      <w:r w:rsidR="0045102F" w:rsidRPr="00CC4B57">
        <w:rPr>
          <w:rFonts w:eastAsia="Times New Roman"/>
          <w:szCs w:val="22"/>
          <w:lang w:val="fr-FR"/>
        </w:rPr>
        <w:t>’</w:t>
      </w:r>
      <w:r w:rsidR="00B105C3" w:rsidRPr="00CC4B57">
        <w:rPr>
          <w:rFonts w:eastAsia="Times New Roman"/>
          <w:szCs w:val="22"/>
          <w:lang w:val="fr-FR"/>
        </w:rPr>
        <w:t xml:space="preserve">auteur </w:t>
      </w:r>
      <w:r w:rsidR="004F6F55" w:rsidRPr="00CC4B57">
        <w:rPr>
          <w:rFonts w:eastAsia="Times New Roman"/>
          <w:szCs w:val="22"/>
          <w:lang w:val="fr-FR"/>
        </w:rPr>
        <w:lastRenderedPageBreak/>
        <w:t xml:space="preserve">de pays </w:t>
      </w:r>
      <w:r w:rsidR="00B105C3" w:rsidRPr="00CC4B57">
        <w:rPr>
          <w:rFonts w:eastAsia="Times New Roman"/>
          <w:szCs w:val="22"/>
          <w:lang w:val="fr-FR"/>
        </w:rPr>
        <w:t>aussi divers</w:t>
      </w:r>
      <w:r w:rsidR="004F6F55" w:rsidRPr="00CC4B57">
        <w:rPr>
          <w:rFonts w:eastAsia="Times New Roman"/>
          <w:szCs w:val="22"/>
          <w:lang w:val="fr-FR"/>
        </w:rPr>
        <w:t xml:space="preserve"> que le</w:t>
      </w:r>
      <w:r w:rsidR="006D2A00" w:rsidRPr="00CC4B57">
        <w:rPr>
          <w:rFonts w:eastAsia="Times New Roman"/>
          <w:szCs w:val="22"/>
          <w:lang w:val="fr-FR"/>
        </w:rPr>
        <w:t xml:space="preserve"> Chil</w:t>
      </w:r>
      <w:r w:rsidR="004F6F55" w:rsidRPr="00CC4B57">
        <w:rPr>
          <w:rFonts w:eastAsia="Times New Roman"/>
          <w:szCs w:val="22"/>
          <w:lang w:val="fr-FR"/>
        </w:rPr>
        <w:t>i</w:t>
      </w:r>
      <w:r w:rsidR="006D2A00" w:rsidRPr="00CC4B57">
        <w:rPr>
          <w:rFonts w:eastAsia="Times New Roman"/>
          <w:szCs w:val="22"/>
          <w:lang w:val="fr-FR"/>
        </w:rPr>
        <w:t xml:space="preserve">, </w:t>
      </w:r>
      <w:r w:rsidR="004F6F55" w:rsidRPr="00CC4B57">
        <w:rPr>
          <w:rFonts w:eastAsia="Times New Roman"/>
          <w:szCs w:val="22"/>
          <w:lang w:val="fr-FR"/>
        </w:rPr>
        <w:t xml:space="preserve">la </w:t>
      </w:r>
      <w:r w:rsidR="006D2A00" w:rsidRPr="00CC4B57">
        <w:rPr>
          <w:rFonts w:eastAsia="Times New Roman"/>
          <w:szCs w:val="22"/>
          <w:lang w:val="fr-FR"/>
        </w:rPr>
        <w:t>Chin</w:t>
      </w:r>
      <w:r w:rsidR="004F6F55" w:rsidRPr="00CC4B57">
        <w:rPr>
          <w:rFonts w:eastAsia="Times New Roman"/>
          <w:szCs w:val="22"/>
          <w:lang w:val="fr-FR"/>
        </w:rPr>
        <w:t>e</w:t>
      </w:r>
      <w:r w:rsidR="006D2A00" w:rsidRPr="00CC4B57">
        <w:rPr>
          <w:rFonts w:eastAsia="Times New Roman"/>
          <w:szCs w:val="22"/>
          <w:lang w:val="fr-FR"/>
        </w:rPr>
        <w:t xml:space="preserve">, </w:t>
      </w:r>
      <w:r w:rsidR="004F6F55" w:rsidRPr="00CC4B57">
        <w:rPr>
          <w:rFonts w:eastAsia="Times New Roman"/>
          <w:szCs w:val="22"/>
          <w:lang w:val="fr-FR"/>
        </w:rPr>
        <w:t xml:space="preserve">la </w:t>
      </w:r>
      <w:r w:rsidR="006D2A00" w:rsidRPr="00CC4B57">
        <w:rPr>
          <w:rFonts w:eastAsia="Times New Roman"/>
          <w:szCs w:val="22"/>
          <w:lang w:val="fr-FR"/>
        </w:rPr>
        <w:t>C</w:t>
      </w:r>
      <w:r w:rsidR="004F6F55" w:rsidRPr="00CC4B57">
        <w:rPr>
          <w:rFonts w:eastAsia="Times New Roman"/>
          <w:szCs w:val="22"/>
          <w:lang w:val="fr-FR"/>
        </w:rPr>
        <w:t>ô</w:t>
      </w:r>
      <w:r w:rsidR="006D2A00" w:rsidRPr="00CC4B57">
        <w:rPr>
          <w:rFonts w:eastAsia="Times New Roman"/>
          <w:szCs w:val="22"/>
          <w:lang w:val="fr-FR"/>
        </w:rPr>
        <w:t>te d</w:t>
      </w:r>
      <w:r w:rsidR="0045102F" w:rsidRPr="00CC4B57">
        <w:rPr>
          <w:rFonts w:eastAsia="Times New Roman"/>
          <w:szCs w:val="22"/>
          <w:lang w:val="fr-FR"/>
        </w:rPr>
        <w:t>’</w:t>
      </w:r>
      <w:r w:rsidR="006D2A00" w:rsidRPr="00CC4B57">
        <w:rPr>
          <w:rFonts w:eastAsia="Times New Roman"/>
          <w:szCs w:val="22"/>
          <w:lang w:val="fr-FR"/>
        </w:rPr>
        <w:t xml:space="preserve">Ivoire, </w:t>
      </w:r>
      <w:r w:rsidR="004F6F55" w:rsidRPr="00CC4B57">
        <w:rPr>
          <w:rFonts w:eastAsia="Times New Roman"/>
          <w:szCs w:val="22"/>
          <w:lang w:val="fr-FR"/>
        </w:rPr>
        <w:t>le Kirghizistan</w:t>
      </w:r>
      <w:r w:rsidR="006D2A00" w:rsidRPr="00CC4B57">
        <w:rPr>
          <w:rFonts w:eastAsia="Times New Roman"/>
          <w:szCs w:val="22"/>
          <w:lang w:val="fr-FR"/>
        </w:rPr>
        <w:t xml:space="preserve">, </w:t>
      </w:r>
      <w:r w:rsidR="004F6F55" w:rsidRPr="00CC4B57">
        <w:rPr>
          <w:rFonts w:eastAsia="Times New Roman"/>
          <w:szCs w:val="22"/>
          <w:lang w:val="fr-FR"/>
        </w:rPr>
        <w:t>et la</w:t>
      </w:r>
      <w:r w:rsidR="006D2A00" w:rsidRPr="00CC4B57">
        <w:rPr>
          <w:rFonts w:eastAsia="Times New Roman"/>
          <w:szCs w:val="22"/>
          <w:lang w:val="fr-FR"/>
        </w:rPr>
        <w:t xml:space="preserve"> </w:t>
      </w:r>
      <w:r w:rsidR="004F6F55" w:rsidRPr="00CC4B57">
        <w:rPr>
          <w:rFonts w:eastAsia="Times New Roman"/>
          <w:szCs w:val="22"/>
          <w:lang w:val="fr-FR"/>
        </w:rPr>
        <w:t>République de Corée</w:t>
      </w:r>
      <w:r w:rsidR="006D2A00" w:rsidRPr="00CC4B57">
        <w:rPr>
          <w:rFonts w:eastAsia="Times New Roman"/>
          <w:szCs w:val="22"/>
          <w:lang w:val="fr-FR"/>
        </w:rPr>
        <w:t>.</w:t>
      </w:r>
    </w:p>
    <w:p w:rsidR="00BB45F5" w:rsidRPr="00CC4B57" w:rsidRDefault="00BB45F5" w:rsidP="006D2A00">
      <w:pPr>
        <w:rPr>
          <w:rFonts w:eastAsia="Times New Roman"/>
          <w:szCs w:val="22"/>
          <w:lang w:val="fr-FR"/>
        </w:rPr>
      </w:pPr>
    </w:p>
    <w:p w:rsidR="00BB45F5" w:rsidRPr="00CC4B57" w:rsidRDefault="00E768C9" w:rsidP="006D2A00">
      <w:pPr>
        <w:rPr>
          <w:rFonts w:eastAsia="Times New Roman"/>
          <w:szCs w:val="22"/>
          <w:lang w:val="fr-FR"/>
        </w:rPr>
      </w:pPr>
      <w:r w:rsidRPr="00CC4B57">
        <w:rPr>
          <w:rFonts w:eastAsia="Times New Roman"/>
          <w:szCs w:val="22"/>
          <w:lang w:val="fr-FR"/>
        </w:rPr>
        <w:t>De la même façon, l</w:t>
      </w:r>
      <w:r w:rsidR="0045102F" w:rsidRPr="00CC4B57">
        <w:rPr>
          <w:rFonts w:eastAsia="Times New Roman"/>
          <w:szCs w:val="22"/>
          <w:lang w:val="fr-FR"/>
        </w:rPr>
        <w:t>’</w:t>
      </w:r>
      <w:r w:rsidRPr="00CC4B57">
        <w:rPr>
          <w:rFonts w:eastAsia="Times New Roman"/>
          <w:szCs w:val="22"/>
          <w:lang w:val="fr-FR"/>
        </w:rPr>
        <w:t xml:space="preserve">Union européenne avait publié </w:t>
      </w:r>
      <w:r w:rsidR="0096345D" w:rsidRPr="00CC4B57">
        <w:rPr>
          <w:rFonts w:eastAsia="Times New Roman"/>
          <w:szCs w:val="22"/>
          <w:lang w:val="fr-FR"/>
        </w:rPr>
        <w:t>en 2012</w:t>
      </w:r>
      <w:r w:rsidR="00B105C3" w:rsidRPr="00CC4B57">
        <w:rPr>
          <w:rFonts w:eastAsia="Times New Roman"/>
          <w:szCs w:val="22"/>
          <w:lang w:val="fr-FR"/>
        </w:rPr>
        <w:t xml:space="preserve"> une directive portant sur la définition </w:t>
      </w:r>
      <w:r w:rsidRPr="00CC4B57">
        <w:rPr>
          <w:rFonts w:eastAsia="Times New Roman"/>
          <w:szCs w:val="22"/>
          <w:lang w:val="fr-FR"/>
        </w:rPr>
        <w:t>et l</w:t>
      </w:r>
      <w:r w:rsidR="0045102F" w:rsidRPr="00CC4B57">
        <w:rPr>
          <w:rFonts w:eastAsia="Times New Roman"/>
          <w:szCs w:val="22"/>
          <w:lang w:val="fr-FR"/>
        </w:rPr>
        <w:t>’</w:t>
      </w:r>
      <w:r w:rsidRPr="00CC4B57">
        <w:rPr>
          <w:rFonts w:eastAsia="Times New Roman"/>
          <w:szCs w:val="22"/>
          <w:lang w:val="fr-FR"/>
        </w:rPr>
        <w:t>utilisation des œuvres orphelines</w:t>
      </w:r>
      <w:r w:rsidRPr="00CC4B57">
        <w:rPr>
          <w:rStyle w:val="FootnoteReference"/>
          <w:lang w:val="fr-FR"/>
        </w:rPr>
        <w:footnoteReference w:id="7"/>
      </w:r>
      <w:r w:rsidR="00117E3A" w:rsidRPr="00CC4B57">
        <w:rPr>
          <w:rFonts w:eastAsia="Times New Roman"/>
          <w:szCs w:val="22"/>
          <w:lang w:val="fr-FR"/>
        </w:rPr>
        <w:t>.</w:t>
      </w:r>
      <w:r w:rsidR="006D2A00" w:rsidRPr="00CC4B57">
        <w:rPr>
          <w:rFonts w:eastAsia="Times New Roman"/>
          <w:szCs w:val="22"/>
          <w:lang w:val="fr-FR"/>
        </w:rPr>
        <w:t xml:space="preserve">  </w:t>
      </w:r>
      <w:r w:rsidRPr="00CC4B57">
        <w:rPr>
          <w:rFonts w:eastAsia="Times New Roman"/>
          <w:szCs w:val="22"/>
          <w:lang w:val="fr-FR"/>
        </w:rPr>
        <w:t xml:space="preserve">Naturellement, ces dispositions sont à présent intégrées dans les lois des États membres, mais </w:t>
      </w:r>
      <w:r w:rsidR="00B105C3" w:rsidRPr="00CC4B57">
        <w:rPr>
          <w:rFonts w:eastAsia="Times New Roman"/>
          <w:szCs w:val="22"/>
          <w:lang w:val="fr-FR"/>
        </w:rPr>
        <w:t>une certaine forme de</w:t>
      </w:r>
      <w:r w:rsidRPr="00CC4B57">
        <w:rPr>
          <w:rFonts w:eastAsia="Times New Roman"/>
          <w:szCs w:val="22"/>
          <w:lang w:val="fr-FR"/>
        </w:rPr>
        <w:t xml:space="preserve"> législation </w:t>
      </w:r>
      <w:r w:rsidR="00B105C3" w:rsidRPr="00CC4B57">
        <w:rPr>
          <w:rFonts w:eastAsia="Times New Roman"/>
          <w:szCs w:val="22"/>
          <w:lang w:val="fr-FR"/>
        </w:rPr>
        <w:t>sur les œuvres orphelines existe dans</w:t>
      </w:r>
      <w:r w:rsidRPr="00CC4B57">
        <w:rPr>
          <w:rFonts w:eastAsia="Times New Roman"/>
          <w:szCs w:val="22"/>
          <w:lang w:val="fr-FR"/>
        </w:rPr>
        <w:t xml:space="preserve"> plusieurs autres pays, souvent </w:t>
      </w:r>
      <w:r w:rsidR="00B105C3" w:rsidRPr="00CC4B57">
        <w:rPr>
          <w:rFonts w:eastAsia="Times New Roman"/>
          <w:szCs w:val="22"/>
          <w:lang w:val="fr-FR"/>
        </w:rPr>
        <w:t>adoptée</w:t>
      </w:r>
      <w:r w:rsidRPr="00CC4B57">
        <w:rPr>
          <w:rFonts w:eastAsia="Times New Roman"/>
          <w:szCs w:val="22"/>
          <w:lang w:val="fr-FR"/>
        </w:rPr>
        <w:t xml:space="preserve"> après la prise en considération de cette question à plus large échelle au sein de l</w:t>
      </w:r>
      <w:r w:rsidR="0045102F" w:rsidRPr="00CC4B57">
        <w:rPr>
          <w:rFonts w:eastAsia="Times New Roman"/>
          <w:szCs w:val="22"/>
          <w:lang w:val="fr-FR"/>
        </w:rPr>
        <w:t>’</w:t>
      </w:r>
      <w:r w:rsidRPr="00CC4B57">
        <w:rPr>
          <w:rFonts w:eastAsia="Times New Roman"/>
          <w:szCs w:val="22"/>
          <w:lang w:val="fr-FR"/>
        </w:rPr>
        <w:t>Union européen</w:t>
      </w:r>
      <w:r w:rsidR="00753BBF" w:rsidRPr="00CC4B57">
        <w:rPr>
          <w:rFonts w:eastAsia="Times New Roman"/>
          <w:szCs w:val="22"/>
          <w:lang w:val="fr-FR"/>
        </w:rPr>
        <w:t>ne.  Un</w:t>
      </w:r>
      <w:r w:rsidRPr="00CC4B57">
        <w:rPr>
          <w:rFonts w:eastAsia="Times New Roman"/>
          <w:szCs w:val="22"/>
          <w:lang w:val="fr-FR"/>
        </w:rPr>
        <w:t>e autre disposition connexe adoptée dans certains pays ces dernières années concerne la notion d</w:t>
      </w:r>
      <w:r w:rsidR="0045102F" w:rsidRPr="00CC4B57">
        <w:rPr>
          <w:rFonts w:eastAsia="Times New Roman"/>
          <w:szCs w:val="22"/>
          <w:lang w:val="fr-FR"/>
        </w:rPr>
        <w:t>’</w:t>
      </w:r>
      <w:r w:rsidRPr="00CC4B57">
        <w:rPr>
          <w:rFonts w:eastAsia="Times New Roman"/>
          <w:szCs w:val="22"/>
          <w:lang w:val="fr-FR"/>
        </w:rPr>
        <w:t>usage loy</w:t>
      </w:r>
      <w:r w:rsidR="00753BBF" w:rsidRPr="00CC4B57">
        <w:rPr>
          <w:rFonts w:eastAsia="Times New Roman"/>
          <w:szCs w:val="22"/>
          <w:lang w:val="fr-FR"/>
        </w:rPr>
        <w:t>al.  L’u</w:t>
      </w:r>
      <w:r w:rsidRPr="00CC4B57">
        <w:rPr>
          <w:rFonts w:eastAsia="Times New Roman"/>
          <w:szCs w:val="22"/>
          <w:lang w:val="fr-FR"/>
        </w:rPr>
        <w:t xml:space="preserve">sage loyal constitue une exception </w:t>
      </w:r>
      <w:r w:rsidR="0096345D" w:rsidRPr="00CC4B57">
        <w:rPr>
          <w:rFonts w:eastAsia="Times New Roman"/>
          <w:szCs w:val="22"/>
          <w:lang w:val="fr-FR"/>
        </w:rPr>
        <w:t>“o</w:t>
      </w:r>
      <w:r w:rsidRPr="00CC4B57">
        <w:rPr>
          <w:rFonts w:eastAsia="Times New Roman"/>
          <w:szCs w:val="22"/>
          <w:lang w:val="fr-FR"/>
        </w:rPr>
        <w:t>uvert</w:t>
      </w:r>
      <w:r w:rsidR="0096345D" w:rsidRPr="00CC4B57">
        <w:rPr>
          <w:rFonts w:eastAsia="Times New Roman"/>
          <w:szCs w:val="22"/>
          <w:lang w:val="fr-FR"/>
        </w:rPr>
        <w:t>e”</w:t>
      </w:r>
      <w:r w:rsidRPr="00CC4B57">
        <w:rPr>
          <w:rFonts w:eastAsia="Times New Roman"/>
          <w:szCs w:val="22"/>
          <w:lang w:val="fr-FR"/>
        </w:rPr>
        <w:t>;  il est défini et limité par un ensemble de facteurs, mais</w:t>
      </w:r>
      <w:r w:rsidR="00B105C3" w:rsidRPr="00CC4B57">
        <w:rPr>
          <w:rFonts w:eastAsia="Times New Roman"/>
          <w:szCs w:val="22"/>
          <w:lang w:val="fr-FR"/>
        </w:rPr>
        <w:t xml:space="preserve"> il</w:t>
      </w:r>
      <w:r w:rsidRPr="00CC4B57">
        <w:rPr>
          <w:rFonts w:eastAsia="Times New Roman"/>
          <w:szCs w:val="22"/>
          <w:lang w:val="fr-FR"/>
        </w:rPr>
        <w:t xml:space="preserve"> n</w:t>
      </w:r>
      <w:r w:rsidR="0045102F" w:rsidRPr="00CC4B57">
        <w:rPr>
          <w:rFonts w:eastAsia="Times New Roman"/>
          <w:szCs w:val="22"/>
          <w:lang w:val="fr-FR"/>
        </w:rPr>
        <w:t>’</w:t>
      </w:r>
      <w:r w:rsidRPr="00CC4B57">
        <w:rPr>
          <w:rFonts w:eastAsia="Times New Roman"/>
          <w:szCs w:val="22"/>
          <w:lang w:val="fr-FR"/>
        </w:rPr>
        <w:t>est pas limité à des t</w:t>
      </w:r>
      <w:r w:rsidR="00B105C3" w:rsidRPr="00CC4B57">
        <w:rPr>
          <w:rFonts w:eastAsia="Times New Roman"/>
          <w:szCs w:val="22"/>
          <w:lang w:val="fr-FR"/>
        </w:rPr>
        <w:t>ypes ou usages particuliers d</w:t>
      </w:r>
      <w:r w:rsidR="0045102F" w:rsidRPr="00CC4B57">
        <w:rPr>
          <w:rFonts w:eastAsia="Times New Roman"/>
          <w:szCs w:val="22"/>
          <w:lang w:val="fr-FR"/>
        </w:rPr>
        <w:t>’</w:t>
      </w:r>
      <w:r w:rsidRPr="00CC4B57">
        <w:rPr>
          <w:rFonts w:eastAsia="Times New Roman"/>
          <w:szCs w:val="22"/>
          <w:lang w:val="fr-FR"/>
        </w:rPr>
        <w:t>œuvr</w:t>
      </w:r>
      <w:r w:rsidR="00753BBF" w:rsidRPr="00CC4B57">
        <w:rPr>
          <w:rFonts w:eastAsia="Times New Roman"/>
          <w:szCs w:val="22"/>
          <w:lang w:val="fr-FR"/>
        </w:rPr>
        <w:t>es.  Le</w:t>
      </w:r>
      <w:r w:rsidR="00BB45F5" w:rsidRPr="00CC4B57">
        <w:rPr>
          <w:rFonts w:eastAsia="Times New Roman"/>
          <w:szCs w:val="22"/>
          <w:lang w:val="fr-FR"/>
        </w:rPr>
        <w:t xml:space="preserve">s </w:t>
      </w:r>
      <w:r w:rsidR="00B105C3" w:rsidRPr="00CC4B57">
        <w:rPr>
          <w:rFonts w:eastAsia="Times New Roman"/>
          <w:szCs w:val="22"/>
          <w:lang w:val="fr-FR"/>
        </w:rPr>
        <w:t>tableaux contenus</w:t>
      </w:r>
      <w:r w:rsidR="00BB45F5" w:rsidRPr="00CC4B57">
        <w:rPr>
          <w:rFonts w:eastAsia="Times New Roman"/>
          <w:szCs w:val="22"/>
          <w:lang w:val="fr-FR"/>
        </w:rPr>
        <w:t xml:space="preserve"> dans </w:t>
      </w:r>
      <w:r w:rsidR="00B105C3" w:rsidRPr="00CC4B57">
        <w:rPr>
          <w:rFonts w:eastAsia="Times New Roman"/>
          <w:szCs w:val="22"/>
          <w:lang w:val="fr-FR"/>
        </w:rPr>
        <w:t>l</w:t>
      </w:r>
      <w:r w:rsidR="0045102F" w:rsidRPr="00CC4B57">
        <w:rPr>
          <w:rFonts w:eastAsia="Times New Roman"/>
          <w:szCs w:val="22"/>
          <w:lang w:val="fr-FR"/>
        </w:rPr>
        <w:t>’</w:t>
      </w:r>
      <w:r w:rsidR="00BB45F5" w:rsidRPr="00CC4B57">
        <w:rPr>
          <w:rFonts w:eastAsia="Times New Roman"/>
          <w:szCs w:val="22"/>
          <w:lang w:val="fr-FR"/>
        </w:rPr>
        <w:t xml:space="preserve">étude indiquent quels </w:t>
      </w:r>
      <w:r w:rsidR="00B105C3" w:rsidRPr="00CC4B57">
        <w:rPr>
          <w:rFonts w:eastAsia="Times New Roman"/>
          <w:szCs w:val="22"/>
          <w:lang w:val="fr-FR"/>
        </w:rPr>
        <w:t>États membres comptent des</w:t>
      </w:r>
      <w:r w:rsidR="00BB45F5" w:rsidRPr="00CC4B57">
        <w:rPr>
          <w:rFonts w:eastAsia="Times New Roman"/>
          <w:szCs w:val="22"/>
          <w:lang w:val="fr-FR"/>
        </w:rPr>
        <w:t xml:space="preserve"> </w:t>
      </w:r>
      <w:r w:rsidR="005952CE" w:rsidRPr="00CC4B57">
        <w:rPr>
          <w:rFonts w:eastAsia="Times New Roman"/>
          <w:szCs w:val="22"/>
          <w:lang w:val="fr-FR"/>
        </w:rPr>
        <w:t>textes de loi</w:t>
      </w:r>
      <w:r w:rsidR="00BB45F5" w:rsidRPr="00CC4B57">
        <w:rPr>
          <w:rFonts w:eastAsia="Times New Roman"/>
          <w:szCs w:val="22"/>
          <w:lang w:val="fr-FR"/>
        </w:rPr>
        <w:t xml:space="preserve"> </w:t>
      </w:r>
      <w:r w:rsidR="005952CE" w:rsidRPr="00CC4B57">
        <w:rPr>
          <w:rFonts w:eastAsia="Times New Roman"/>
          <w:szCs w:val="22"/>
          <w:lang w:val="fr-FR"/>
        </w:rPr>
        <w:t>sur l</w:t>
      </w:r>
      <w:r w:rsidR="0045102F" w:rsidRPr="00CC4B57">
        <w:rPr>
          <w:rFonts w:eastAsia="Times New Roman"/>
          <w:szCs w:val="22"/>
          <w:lang w:val="fr-FR"/>
        </w:rPr>
        <w:t>’</w:t>
      </w:r>
      <w:r w:rsidR="005952CE" w:rsidRPr="00CC4B57">
        <w:rPr>
          <w:rFonts w:eastAsia="Times New Roman"/>
          <w:szCs w:val="22"/>
          <w:lang w:val="fr-FR"/>
        </w:rPr>
        <w:t>usage loyal</w:t>
      </w:r>
      <w:r w:rsidR="00BB45F5" w:rsidRPr="00CC4B57">
        <w:rPr>
          <w:rFonts w:eastAsia="Times New Roman"/>
          <w:szCs w:val="22"/>
          <w:lang w:val="fr-FR"/>
        </w:rPr>
        <w:t xml:space="preserve"> dans l</w:t>
      </w:r>
      <w:r w:rsidR="005952CE" w:rsidRPr="00CC4B57">
        <w:rPr>
          <w:rFonts w:eastAsia="Times New Roman"/>
          <w:szCs w:val="22"/>
          <w:lang w:val="fr-FR"/>
        </w:rPr>
        <w:t>eur</w:t>
      </w:r>
      <w:r w:rsidR="00BB45F5" w:rsidRPr="00CC4B57">
        <w:rPr>
          <w:rFonts w:eastAsia="Times New Roman"/>
          <w:szCs w:val="22"/>
          <w:lang w:val="fr-FR"/>
        </w:rPr>
        <w:t xml:space="preserve"> législation nationa</w:t>
      </w:r>
      <w:r w:rsidR="00753BBF" w:rsidRPr="00CC4B57">
        <w:rPr>
          <w:rFonts w:eastAsia="Times New Roman"/>
          <w:szCs w:val="22"/>
          <w:lang w:val="fr-FR"/>
        </w:rPr>
        <w:t>le.  Pa</w:t>
      </w:r>
      <w:r w:rsidR="00BB45F5" w:rsidRPr="00CC4B57">
        <w:rPr>
          <w:rFonts w:eastAsia="Times New Roman"/>
          <w:szCs w:val="22"/>
          <w:lang w:val="fr-FR"/>
        </w:rPr>
        <w:t xml:space="preserve">rmi les pays </w:t>
      </w:r>
      <w:r w:rsidR="005952CE" w:rsidRPr="00CC4B57">
        <w:rPr>
          <w:rFonts w:eastAsia="Times New Roman"/>
          <w:szCs w:val="22"/>
          <w:lang w:val="fr-FR"/>
        </w:rPr>
        <w:t>recensés</w:t>
      </w:r>
      <w:r w:rsidR="00BB45F5" w:rsidRPr="00CC4B57">
        <w:rPr>
          <w:rFonts w:eastAsia="Times New Roman"/>
          <w:szCs w:val="22"/>
          <w:lang w:val="fr-FR"/>
        </w:rPr>
        <w:t xml:space="preserve"> figurent Israël, le Libéria, la République de Corée, Sri</w:t>
      </w:r>
      <w:r w:rsidR="00117E3A" w:rsidRPr="00CC4B57">
        <w:rPr>
          <w:rFonts w:eastAsia="Times New Roman"/>
          <w:szCs w:val="22"/>
          <w:lang w:val="fr-FR"/>
        </w:rPr>
        <w:t> </w:t>
      </w:r>
      <w:r w:rsidR="00BB45F5" w:rsidRPr="00CC4B57">
        <w:rPr>
          <w:rFonts w:eastAsia="Times New Roman"/>
          <w:szCs w:val="22"/>
          <w:lang w:val="fr-FR"/>
        </w:rPr>
        <w:t>Lanka et les États</w:t>
      </w:r>
      <w:r w:rsidR="00BA4B95" w:rsidRPr="00CC4B57">
        <w:rPr>
          <w:rFonts w:eastAsia="MS Gothic"/>
          <w:szCs w:val="22"/>
          <w:lang w:val="fr-FR"/>
        </w:rPr>
        <w:noBreakHyphen/>
      </w:r>
      <w:r w:rsidR="00BB45F5" w:rsidRPr="00CC4B57">
        <w:rPr>
          <w:rFonts w:eastAsia="Times New Roman"/>
          <w:szCs w:val="22"/>
          <w:lang w:val="fr-FR"/>
        </w:rPr>
        <w:t>Unis d</w:t>
      </w:r>
      <w:r w:rsidR="0045102F" w:rsidRPr="00CC4B57">
        <w:rPr>
          <w:rFonts w:eastAsia="Times New Roman"/>
          <w:szCs w:val="22"/>
          <w:lang w:val="fr-FR"/>
        </w:rPr>
        <w:t>’</w:t>
      </w:r>
      <w:r w:rsidR="00BB45F5" w:rsidRPr="00CC4B57">
        <w:rPr>
          <w:rFonts w:eastAsia="Times New Roman"/>
          <w:szCs w:val="22"/>
          <w:lang w:val="fr-FR"/>
        </w:rPr>
        <w:t>Amérique.</w:t>
      </w:r>
    </w:p>
    <w:p w:rsidR="00BB45F5" w:rsidRPr="00CC4B57" w:rsidRDefault="00BB45F5" w:rsidP="006D2A00">
      <w:pPr>
        <w:rPr>
          <w:rFonts w:eastAsia="Times New Roman"/>
          <w:szCs w:val="22"/>
          <w:lang w:val="fr-FR"/>
        </w:rPr>
      </w:pPr>
    </w:p>
    <w:p w:rsidR="00BB45F5" w:rsidRPr="00CC4B57" w:rsidRDefault="00BB45F5" w:rsidP="005D0D69">
      <w:pPr>
        <w:rPr>
          <w:rFonts w:eastAsia="Times New Roman"/>
          <w:szCs w:val="22"/>
          <w:lang w:val="fr-FR"/>
        </w:rPr>
      </w:pPr>
      <w:r w:rsidRPr="00CC4B57">
        <w:rPr>
          <w:rFonts w:eastAsia="Times New Roman"/>
          <w:szCs w:val="22"/>
          <w:lang w:val="fr-FR"/>
        </w:rPr>
        <w:t xml:space="preserve">Les révisions des exceptions en faveur des bibliothèques prennent la forme de modifications particulières de la loi en vigueur, ou </w:t>
      </w:r>
      <w:r w:rsidR="005952CE" w:rsidRPr="00CC4B57">
        <w:rPr>
          <w:rFonts w:eastAsia="Times New Roman"/>
          <w:szCs w:val="22"/>
          <w:lang w:val="fr-FR"/>
        </w:rPr>
        <w:t>d</w:t>
      </w:r>
      <w:r w:rsidR="0045102F" w:rsidRPr="00CC4B57">
        <w:rPr>
          <w:rFonts w:eastAsia="Times New Roman"/>
          <w:szCs w:val="22"/>
          <w:lang w:val="fr-FR"/>
        </w:rPr>
        <w:t>’</w:t>
      </w:r>
      <w:r w:rsidRPr="00CC4B57">
        <w:rPr>
          <w:rFonts w:eastAsia="Times New Roman"/>
          <w:szCs w:val="22"/>
          <w:lang w:val="fr-FR"/>
        </w:rPr>
        <w:t>une révision complète de la loi d</w:t>
      </w:r>
      <w:r w:rsidR="0045102F" w:rsidRPr="00CC4B57">
        <w:rPr>
          <w:rFonts w:eastAsia="Times New Roman"/>
          <w:szCs w:val="22"/>
          <w:lang w:val="fr-FR"/>
        </w:rPr>
        <w:t>’</w:t>
      </w:r>
      <w:r w:rsidRPr="00CC4B57">
        <w:rPr>
          <w:rFonts w:eastAsia="Times New Roman"/>
          <w:szCs w:val="22"/>
          <w:lang w:val="fr-FR"/>
        </w:rPr>
        <w:t xml:space="preserve">un pays sur le droit </w:t>
      </w:r>
      <w:r w:rsidR="005952CE" w:rsidRPr="00CC4B57">
        <w:rPr>
          <w:rFonts w:eastAsia="Times New Roman"/>
          <w:szCs w:val="22"/>
          <w:lang w:val="fr-FR"/>
        </w:rPr>
        <w:t>d</w:t>
      </w:r>
      <w:r w:rsidR="0045102F" w:rsidRPr="00CC4B57">
        <w:rPr>
          <w:rFonts w:eastAsia="Times New Roman"/>
          <w:szCs w:val="22"/>
          <w:lang w:val="fr-FR"/>
        </w:rPr>
        <w:t>’</w:t>
      </w:r>
      <w:r w:rsidR="005952CE" w:rsidRPr="00CC4B57">
        <w:rPr>
          <w:rFonts w:eastAsia="Times New Roman"/>
          <w:szCs w:val="22"/>
          <w:lang w:val="fr-FR"/>
        </w:rPr>
        <w:t>aute</w:t>
      </w:r>
      <w:r w:rsidR="00753BBF" w:rsidRPr="00CC4B57">
        <w:rPr>
          <w:rFonts w:eastAsia="Times New Roman"/>
          <w:szCs w:val="22"/>
          <w:lang w:val="fr-FR"/>
        </w:rPr>
        <w:t>ur.  En</w:t>
      </w:r>
      <w:r w:rsidR="0096345D" w:rsidRPr="00CC4B57">
        <w:rPr>
          <w:rFonts w:eastAsia="Times New Roman"/>
          <w:szCs w:val="22"/>
          <w:lang w:val="fr-FR"/>
        </w:rPr>
        <w:t> 2016</w:t>
      </w:r>
      <w:r w:rsidRPr="00CC4B57">
        <w:rPr>
          <w:rFonts w:eastAsia="Times New Roman"/>
          <w:szCs w:val="22"/>
          <w:lang w:val="fr-FR"/>
        </w:rPr>
        <w:t xml:space="preserve"> par exemple, des lois entièrement nouvelles sur le droit d</w:t>
      </w:r>
      <w:r w:rsidR="0045102F" w:rsidRPr="00CC4B57">
        <w:rPr>
          <w:rFonts w:eastAsia="Times New Roman"/>
          <w:szCs w:val="22"/>
          <w:lang w:val="fr-FR"/>
        </w:rPr>
        <w:t>’</w:t>
      </w:r>
      <w:r w:rsidRPr="00CC4B57">
        <w:rPr>
          <w:rFonts w:eastAsia="Times New Roman"/>
          <w:szCs w:val="22"/>
          <w:lang w:val="fr-FR"/>
        </w:rPr>
        <w:t>auteur ont été adoptées en Albanie, en Côte d</w:t>
      </w:r>
      <w:r w:rsidR="0045102F" w:rsidRPr="00CC4B57">
        <w:rPr>
          <w:rFonts w:eastAsia="Times New Roman"/>
          <w:szCs w:val="22"/>
          <w:lang w:val="fr-FR"/>
        </w:rPr>
        <w:t>’</w:t>
      </w:r>
      <w:r w:rsidRPr="00CC4B57">
        <w:rPr>
          <w:rFonts w:eastAsia="Times New Roman"/>
          <w:szCs w:val="22"/>
          <w:lang w:val="fr-FR"/>
        </w:rPr>
        <w:t>Ivoire, au Koweït, au Libéria et au Mala</w:t>
      </w:r>
      <w:r w:rsidR="00753BBF" w:rsidRPr="00CC4B57">
        <w:rPr>
          <w:rFonts w:eastAsia="Times New Roman"/>
          <w:szCs w:val="22"/>
          <w:lang w:val="fr-FR"/>
        </w:rPr>
        <w:t>wi.  Ce</w:t>
      </w:r>
      <w:r w:rsidRPr="00CC4B57">
        <w:rPr>
          <w:rFonts w:eastAsia="Times New Roman"/>
          <w:szCs w:val="22"/>
          <w:lang w:val="fr-FR"/>
        </w:rPr>
        <w:t xml:space="preserve">s dernières années, de nombreux pays ont modifié les </w:t>
      </w:r>
      <w:r w:rsidR="005952CE" w:rsidRPr="00CC4B57">
        <w:rPr>
          <w:rFonts w:eastAsia="Times New Roman"/>
          <w:szCs w:val="22"/>
          <w:lang w:val="fr-FR"/>
        </w:rPr>
        <w:t xml:space="preserve">textes de </w:t>
      </w:r>
      <w:r w:rsidRPr="00CC4B57">
        <w:rPr>
          <w:rFonts w:eastAsia="Times New Roman"/>
          <w:szCs w:val="22"/>
          <w:lang w:val="fr-FR"/>
        </w:rPr>
        <w:t>loi sur le droit d</w:t>
      </w:r>
      <w:r w:rsidR="0045102F" w:rsidRPr="00CC4B57">
        <w:rPr>
          <w:rFonts w:eastAsia="Times New Roman"/>
          <w:szCs w:val="22"/>
          <w:lang w:val="fr-FR"/>
        </w:rPr>
        <w:t>’</w:t>
      </w:r>
      <w:r w:rsidRPr="00CC4B57">
        <w:rPr>
          <w:rFonts w:eastAsia="Times New Roman"/>
          <w:szCs w:val="22"/>
          <w:lang w:val="fr-FR"/>
        </w:rPr>
        <w:t xml:space="preserve">auteur </w:t>
      </w:r>
      <w:r w:rsidR="005952CE" w:rsidRPr="00CC4B57">
        <w:rPr>
          <w:rFonts w:eastAsia="Times New Roman"/>
          <w:szCs w:val="22"/>
          <w:lang w:val="fr-FR"/>
        </w:rPr>
        <w:t>qui présentent un intérêt pour l</w:t>
      </w:r>
      <w:r w:rsidR="0045102F" w:rsidRPr="00CC4B57">
        <w:rPr>
          <w:rFonts w:eastAsia="Times New Roman"/>
          <w:szCs w:val="22"/>
          <w:lang w:val="fr-FR"/>
        </w:rPr>
        <w:t>’</w:t>
      </w:r>
      <w:r w:rsidRPr="00CC4B57">
        <w:rPr>
          <w:rFonts w:eastAsia="Times New Roman"/>
          <w:szCs w:val="22"/>
          <w:lang w:val="fr-FR"/>
        </w:rPr>
        <w:t>étu</w:t>
      </w:r>
      <w:r w:rsidR="00753BBF" w:rsidRPr="00CC4B57">
        <w:rPr>
          <w:rFonts w:eastAsia="Times New Roman"/>
          <w:szCs w:val="22"/>
          <w:lang w:val="fr-FR"/>
        </w:rPr>
        <w:t>de.  Ce</w:t>
      </w:r>
      <w:r w:rsidRPr="00CC4B57">
        <w:rPr>
          <w:rFonts w:eastAsia="Times New Roman"/>
          <w:szCs w:val="22"/>
          <w:lang w:val="fr-FR"/>
        </w:rPr>
        <w:t>s pays sont notamment l</w:t>
      </w:r>
      <w:r w:rsidR="0045102F" w:rsidRPr="00CC4B57">
        <w:rPr>
          <w:rFonts w:eastAsia="Times New Roman"/>
          <w:szCs w:val="22"/>
          <w:lang w:val="fr-FR"/>
        </w:rPr>
        <w:t>’</w:t>
      </w:r>
      <w:r w:rsidRPr="00CC4B57">
        <w:rPr>
          <w:rFonts w:eastAsia="Times New Roman"/>
          <w:szCs w:val="22"/>
          <w:lang w:val="fr-FR"/>
        </w:rPr>
        <w:t>Australie, l</w:t>
      </w:r>
      <w:r w:rsidR="0045102F" w:rsidRPr="00CC4B57">
        <w:rPr>
          <w:rFonts w:eastAsia="Times New Roman"/>
          <w:szCs w:val="22"/>
          <w:lang w:val="fr-FR"/>
        </w:rPr>
        <w:t>’</w:t>
      </w:r>
      <w:r w:rsidRPr="00CC4B57">
        <w:rPr>
          <w:rFonts w:eastAsia="Times New Roman"/>
          <w:szCs w:val="22"/>
          <w:lang w:val="fr-FR"/>
        </w:rPr>
        <w:t>Allemagne, l</w:t>
      </w:r>
      <w:r w:rsidR="0045102F" w:rsidRPr="00CC4B57">
        <w:rPr>
          <w:rFonts w:eastAsia="Times New Roman"/>
          <w:szCs w:val="22"/>
          <w:lang w:val="fr-FR"/>
        </w:rPr>
        <w:t>’</w:t>
      </w:r>
      <w:r w:rsidRPr="00CC4B57">
        <w:rPr>
          <w:rFonts w:eastAsia="Times New Roman"/>
          <w:szCs w:val="22"/>
          <w:lang w:val="fr-FR"/>
        </w:rPr>
        <w:t>Ouzbékistan et le Portugal, entre autr</w:t>
      </w:r>
      <w:r w:rsidR="00753BBF" w:rsidRPr="00CC4B57">
        <w:rPr>
          <w:rFonts w:eastAsia="Times New Roman"/>
          <w:szCs w:val="22"/>
          <w:lang w:val="fr-FR"/>
        </w:rPr>
        <w:t>es.  Pl</w:t>
      </w:r>
      <w:r w:rsidR="005D0D69" w:rsidRPr="00CC4B57">
        <w:rPr>
          <w:rFonts w:eastAsia="Times New Roman"/>
          <w:szCs w:val="22"/>
          <w:lang w:val="fr-FR"/>
        </w:rPr>
        <w:t xml:space="preserve">us de 50 des </w:t>
      </w:r>
      <w:r w:rsidR="005952CE" w:rsidRPr="00CC4B57">
        <w:rPr>
          <w:rFonts w:eastAsia="Times New Roman"/>
          <w:szCs w:val="22"/>
          <w:lang w:val="fr-FR"/>
        </w:rPr>
        <w:t>tableaux contenus dans</w:t>
      </w:r>
      <w:r w:rsidR="005D0D69" w:rsidRPr="00CC4B57">
        <w:rPr>
          <w:rFonts w:eastAsia="Times New Roman"/>
          <w:szCs w:val="22"/>
          <w:lang w:val="fr-FR"/>
        </w:rPr>
        <w:t xml:space="preserve"> l</w:t>
      </w:r>
      <w:r w:rsidR="0045102F" w:rsidRPr="00CC4B57">
        <w:rPr>
          <w:rFonts w:eastAsia="Times New Roman"/>
          <w:szCs w:val="22"/>
          <w:lang w:val="fr-FR"/>
        </w:rPr>
        <w:t>’</w:t>
      </w:r>
      <w:r w:rsidR="005D0D69" w:rsidRPr="00CC4B57">
        <w:rPr>
          <w:rFonts w:eastAsia="Times New Roman"/>
          <w:szCs w:val="22"/>
          <w:lang w:val="fr-FR"/>
        </w:rPr>
        <w:t>étude ont été révisés et actualisés</w:t>
      </w:r>
      <w:r w:rsidR="005952CE" w:rsidRPr="00CC4B57">
        <w:rPr>
          <w:rFonts w:eastAsia="Times New Roman"/>
          <w:szCs w:val="22"/>
          <w:lang w:val="fr-FR"/>
        </w:rPr>
        <w:t xml:space="preserve"> pour illustrer le</w:t>
      </w:r>
      <w:r w:rsidR="005D0D69" w:rsidRPr="00CC4B57">
        <w:rPr>
          <w:rFonts w:eastAsia="Times New Roman"/>
          <w:szCs w:val="22"/>
          <w:lang w:val="fr-FR"/>
        </w:rPr>
        <w:t xml:space="preserve"> grand nombre de lois nouvelles qui ont été adoptées, ou qui ont été recensées et traduites à des fins d</w:t>
      </w:r>
      <w:r w:rsidR="0045102F" w:rsidRPr="00CC4B57">
        <w:rPr>
          <w:rFonts w:eastAsia="Times New Roman"/>
          <w:szCs w:val="22"/>
          <w:lang w:val="fr-FR"/>
        </w:rPr>
        <w:t>’</w:t>
      </w:r>
      <w:r w:rsidR="005D0D69" w:rsidRPr="00CC4B57">
        <w:rPr>
          <w:rFonts w:eastAsia="Times New Roman"/>
          <w:szCs w:val="22"/>
          <w:lang w:val="fr-FR"/>
        </w:rPr>
        <w:t>étude depuis le dernier rapport.</w:t>
      </w:r>
    </w:p>
    <w:p w:rsidR="00BB45F5" w:rsidRPr="00CC4B57" w:rsidRDefault="00BB45F5" w:rsidP="006D2A00">
      <w:pPr>
        <w:rPr>
          <w:rFonts w:eastAsia="Times New Roman"/>
          <w:szCs w:val="22"/>
          <w:lang w:val="fr-FR"/>
        </w:rPr>
      </w:pPr>
    </w:p>
    <w:p w:rsidR="00BB45F5" w:rsidRPr="00CC4B57" w:rsidRDefault="005D0D69" w:rsidP="005D0D69">
      <w:pPr>
        <w:rPr>
          <w:rFonts w:eastAsia="Times New Roman"/>
          <w:szCs w:val="22"/>
          <w:lang w:val="fr-FR"/>
        </w:rPr>
      </w:pPr>
      <w:r w:rsidRPr="00CC4B57">
        <w:rPr>
          <w:rFonts w:eastAsia="Times New Roman"/>
          <w:szCs w:val="22"/>
          <w:lang w:val="fr-FR"/>
        </w:rPr>
        <w:t>Ces nouve</w:t>
      </w:r>
      <w:r w:rsidR="005952CE" w:rsidRPr="00CC4B57">
        <w:rPr>
          <w:rFonts w:eastAsia="Times New Roman"/>
          <w:szCs w:val="22"/>
          <w:lang w:val="fr-FR"/>
        </w:rPr>
        <w:t>aux</w:t>
      </w:r>
      <w:r w:rsidRPr="00CC4B57">
        <w:rPr>
          <w:rFonts w:eastAsia="Times New Roman"/>
          <w:szCs w:val="22"/>
          <w:lang w:val="fr-FR"/>
        </w:rPr>
        <w:t xml:space="preserve"> </w:t>
      </w:r>
      <w:r w:rsidR="005952CE" w:rsidRPr="00CC4B57">
        <w:rPr>
          <w:rFonts w:eastAsia="Times New Roman"/>
          <w:szCs w:val="22"/>
          <w:lang w:val="fr-FR"/>
        </w:rPr>
        <w:t xml:space="preserve">textes de loi </w:t>
      </w:r>
      <w:r w:rsidRPr="00CC4B57">
        <w:rPr>
          <w:rFonts w:eastAsia="Times New Roman"/>
          <w:szCs w:val="22"/>
          <w:lang w:val="fr-FR"/>
        </w:rPr>
        <w:t>continuent de témoigner de la recherche d</w:t>
      </w:r>
      <w:r w:rsidR="0045102F" w:rsidRPr="00CC4B57">
        <w:rPr>
          <w:rFonts w:eastAsia="Times New Roman"/>
          <w:szCs w:val="22"/>
          <w:lang w:val="fr-FR"/>
        </w:rPr>
        <w:t>’</w:t>
      </w:r>
      <w:r w:rsidRPr="00CC4B57">
        <w:rPr>
          <w:rFonts w:eastAsia="Times New Roman"/>
          <w:szCs w:val="22"/>
          <w:lang w:val="fr-FR"/>
        </w:rPr>
        <w:t>une formule qui tienne compte des objectifs contradictoires p</w:t>
      </w:r>
      <w:r w:rsidR="005952CE" w:rsidRPr="00CC4B57">
        <w:rPr>
          <w:rFonts w:eastAsia="Times New Roman"/>
          <w:szCs w:val="22"/>
          <w:lang w:val="fr-FR"/>
        </w:rPr>
        <w:t>ouva</w:t>
      </w:r>
      <w:r w:rsidRPr="00CC4B57">
        <w:rPr>
          <w:rFonts w:eastAsia="Times New Roman"/>
          <w:szCs w:val="22"/>
          <w:lang w:val="fr-FR"/>
        </w:rPr>
        <w:t>nt exister dans la loi d</w:t>
      </w:r>
      <w:r w:rsidR="0045102F" w:rsidRPr="00CC4B57">
        <w:rPr>
          <w:rFonts w:eastAsia="Times New Roman"/>
          <w:szCs w:val="22"/>
          <w:lang w:val="fr-FR"/>
        </w:rPr>
        <w:t>’</w:t>
      </w:r>
      <w:r w:rsidRPr="00CC4B57">
        <w:rPr>
          <w:rFonts w:eastAsia="Times New Roman"/>
          <w:szCs w:val="22"/>
          <w:lang w:val="fr-FR"/>
        </w:rPr>
        <w:t>un pays en matière de droit d</w:t>
      </w:r>
      <w:r w:rsidR="0045102F" w:rsidRPr="00CC4B57">
        <w:rPr>
          <w:rFonts w:eastAsia="Times New Roman"/>
          <w:szCs w:val="22"/>
          <w:lang w:val="fr-FR"/>
        </w:rPr>
        <w:t>’</w:t>
      </w:r>
      <w:r w:rsidRPr="00CC4B57">
        <w:rPr>
          <w:rFonts w:eastAsia="Times New Roman"/>
          <w:szCs w:val="22"/>
          <w:lang w:val="fr-FR"/>
        </w:rPr>
        <w:t>aute</w:t>
      </w:r>
      <w:r w:rsidR="00753BBF" w:rsidRPr="00CC4B57">
        <w:rPr>
          <w:rFonts w:eastAsia="Times New Roman"/>
          <w:szCs w:val="22"/>
          <w:lang w:val="fr-FR"/>
        </w:rPr>
        <w:t>ur.  Le</w:t>
      </w:r>
      <w:r w:rsidRPr="00CC4B57">
        <w:rPr>
          <w:rFonts w:eastAsia="Times New Roman"/>
          <w:szCs w:val="22"/>
          <w:lang w:val="fr-FR"/>
        </w:rPr>
        <w:t xml:space="preserve"> contenu précis des exceptions en faveur des bibliothèques en dit long sur le lien existant entre la législation sur le droit d</w:t>
      </w:r>
      <w:r w:rsidR="0045102F" w:rsidRPr="00CC4B57">
        <w:rPr>
          <w:rFonts w:eastAsia="Times New Roman"/>
          <w:szCs w:val="22"/>
          <w:lang w:val="fr-FR"/>
        </w:rPr>
        <w:t>’</w:t>
      </w:r>
      <w:r w:rsidRPr="00CC4B57">
        <w:rPr>
          <w:rFonts w:eastAsia="Times New Roman"/>
          <w:szCs w:val="22"/>
          <w:lang w:val="fr-FR"/>
        </w:rPr>
        <w:t>auteur et les services de bibliothèque, et il est le fruit d</w:t>
      </w:r>
      <w:r w:rsidR="0045102F" w:rsidRPr="00CC4B57">
        <w:rPr>
          <w:rFonts w:eastAsia="Times New Roman"/>
          <w:szCs w:val="22"/>
          <w:lang w:val="fr-FR"/>
        </w:rPr>
        <w:t>’</w:t>
      </w:r>
      <w:r w:rsidRPr="00CC4B57">
        <w:rPr>
          <w:rFonts w:eastAsia="Times New Roman"/>
          <w:szCs w:val="22"/>
          <w:lang w:val="fr-FR"/>
        </w:rPr>
        <w:t>un compromis entre des objectifs culturels, historiques et économiqu</w:t>
      </w:r>
      <w:r w:rsidR="00753BBF" w:rsidRPr="00CC4B57">
        <w:rPr>
          <w:rFonts w:eastAsia="Times New Roman"/>
          <w:szCs w:val="22"/>
          <w:lang w:val="fr-FR"/>
        </w:rPr>
        <w:t>es.  Le</w:t>
      </w:r>
      <w:r w:rsidRPr="00CC4B57">
        <w:rPr>
          <w:rFonts w:eastAsia="Times New Roman"/>
          <w:szCs w:val="22"/>
          <w:lang w:val="fr-FR"/>
        </w:rPr>
        <w:t>s exceptions en faveur des bibliothèques répondent aux intérêts du public en autorisant les bibliothèques à faire certaines utilisations présentant un intérêt sur le plan social des œuvres protégées par le droit d</w:t>
      </w:r>
      <w:r w:rsidR="0045102F" w:rsidRPr="00CC4B57">
        <w:rPr>
          <w:rFonts w:eastAsia="Times New Roman"/>
          <w:szCs w:val="22"/>
          <w:lang w:val="fr-FR"/>
        </w:rPr>
        <w:t>’</w:t>
      </w:r>
      <w:r w:rsidRPr="00CC4B57">
        <w:rPr>
          <w:rFonts w:eastAsia="Times New Roman"/>
          <w:szCs w:val="22"/>
          <w:lang w:val="fr-FR"/>
        </w:rPr>
        <w:t>auteur, tout en fixant des limites et des conditions afin de protéger les intérêts des titulaires de droits d</w:t>
      </w:r>
      <w:r w:rsidR="0045102F" w:rsidRPr="00CC4B57">
        <w:rPr>
          <w:rFonts w:eastAsia="Times New Roman"/>
          <w:szCs w:val="22"/>
          <w:lang w:val="fr-FR"/>
        </w:rPr>
        <w:t>’</w:t>
      </w:r>
      <w:r w:rsidRPr="00CC4B57">
        <w:rPr>
          <w:rFonts w:eastAsia="Times New Roman"/>
          <w:szCs w:val="22"/>
          <w:lang w:val="fr-FR"/>
        </w:rPr>
        <w:t>auteur, des éditeurs et des autres titulaires de droi</w:t>
      </w:r>
      <w:r w:rsidR="00753BBF" w:rsidRPr="00CC4B57">
        <w:rPr>
          <w:rFonts w:eastAsia="Times New Roman"/>
          <w:szCs w:val="22"/>
          <w:lang w:val="fr-FR"/>
        </w:rPr>
        <w:t>ts.  Le</w:t>
      </w:r>
      <w:r w:rsidRPr="00CC4B57">
        <w:rPr>
          <w:rFonts w:eastAsia="Times New Roman"/>
          <w:szCs w:val="22"/>
          <w:lang w:val="fr-FR"/>
        </w:rPr>
        <w:t xml:space="preserve"> </w:t>
      </w:r>
      <w:r w:rsidR="005952CE" w:rsidRPr="00CC4B57">
        <w:rPr>
          <w:rFonts w:eastAsia="Times New Roman"/>
          <w:szCs w:val="22"/>
          <w:lang w:val="fr-FR"/>
        </w:rPr>
        <w:t xml:space="preserve">présent </w:t>
      </w:r>
      <w:r w:rsidRPr="00CC4B57">
        <w:rPr>
          <w:rFonts w:eastAsia="Times New Roman"/>
          <w:szCs w:val="22"/>
          <w:lang w:val="fr-FR"/>
        </w:rPr>
        <w:t xml:space="preserve">rapport </w:t>
      </w:r>
      <w:r w:rsidR="005952CE" w:rsidRPr="00CC4B57">
        <w:rPr>
          <w:rFonts w:eastAsia="Times New Roman"/>
          <w:szCs w:val="22"/>
          <w:lang w:val="fr-FR"/>
        </w:rPr>
        <w:t>contient d</w:t>
      </w:r>
      <w:r w:rsidRPr="00CC4B57">
        <w:rPr>
          <w:rFonts w:eastAsia="Times New Roman"/>
          <w:szCs w:val="22"/>
          <w:lang w:val="fr-FR"/>
        </w:rPr>
        <w:t>es données concernant les textes de loi qui peuvent permettre de mieux comprendre les objectifs et solutions possibles pour élaborer une législation encore plus efficace à l</w:t>
      </w:r>
      <w:r w:rsidR="0045102F" w:rsidRPr="00CC4B57">
        <w:rPr>
          <w:rFonts w:eastAsia="Times New Roman"/>
          <w:szCs w:val="22"/>
          <w:lang w:val="fr-FR"/>
        </w:rPr>
        <w:t>’</w:t>
      </w:r>
      <w:r w:rsidRPr="00CC4B57">
        <w:rPr>
          <w:rFonts w:eastAsia="Times New Roman"/>
          <w:szCs w:val="22"/>
          <w:lang w:val="fr-FR"/>
        </w:rPr>
        <w:t>avenir.</w:t>
      </w:r>
    </w:p>
    <w:p w:rsidR="00BB45F5" w:rsidRPr="00CC4B57" w:rsidRDefault="00BB45F5" w:rsidP="006D2A00">
      <w:pPr>
        <w:rPr>
          <w:lang w:val="fr-FR"/>
        </w:rPr>
      </w:pPr>
    </w:p>
    <w:p w:rsidR="00BB45F5" w:rsidRPr="00CC4B57" w:rsidRDefault="00981484" w:rsidP="00981484">
      <w:pPr>
        <w:pStyle w:val="Heading1"/>
        <w:rPr>
          <w:lang w:val="fr-FR" w:eastAsia="en-US"/>
        </w:rPr>
      </w:pPr>
      <w:r>
        <w:rPr>
          <w:lang w:val="fr-FR" w:eastAsia="en-US"/>
        </w:rPr>
        <w:t>T</w:t>
      </w:r>
      <w:r w:rsidRPr="00CC4B57">
        <w:rPr>
          <w:lang w:val="fr-FR" w:eastAsia="en-US"/>
        </w:rPr>
        <w:t>erminologie</w:t>
      </w:r>
    </w:p>
    <w:p w:rsidR="00BB45F5" w:rsidRPr="00CC4B57" w:rsidRDefault="00BB45F5" w:rsidP="006D2A00">
      <w:pPr>
        <w:rPr>
          <w:rFonts w:eastAsia="Times New Roman"/>
          <w:szCs w:val="22"/>
          <w:lang w:val="fr-FR"/>
        </w:rPr>
      </w:pPr>
    </w:p>
    <w:p w:rsidR="00BB45F5" w:rsidRPr="00CC4B57" w:rsidRDefault="005D0D69" w:rsidP="005D0D69">
      <w:pPr>
        <w:rPr>
          <w:rFonts w:eastAsia="Times New Roman"/>
          <w:szCs w:val="22"/>
          <w:lang w:val="fr-FR"/>
        </w:rPr>
      </w:pPr>
      <w:r w:rsidRPr="00CC4B57">
        <w:rPr>
          <w:rFonts w:eastAsia="Times New Roman"/>
          <w:szCs w:val="22"/>
          <w:lang w:val="fr-FR"/>
        </w:rPr>
        <w:t>Les termes et désignations employés dans l</w:t>
      </w:r>
      <w:r w:rsidR="0045102F" w:rsidRPr="00CC4B57">
        <w:rPr>
          <w:rFonts w:eastAsia="Times New Roman"/>
          <w:szCs w:val="22"/>
          <w:lang w:val="fr-FR"/>
        </w:rPr>
        <w:t>’</w:t>
      </w:r>
      <w:r w:rsidRPr="00CC4B57">
        <w:rPr>
          <w:rFonts w:eastAsia="Times New Roman"/>
          <w:szCs w:val="22"/>
          <w:lang w:val="fr-FR"/>
        </w:rPr>
        <w:t>examen du droit d</w:t>
      </w:r>
      <w:r w:rsidR="0045102F" w:rsidRPr="00CC4B57">
        <w:rPr>
          <w:rFonts w:eastAsia="Times New Roman"/>
          <w:szCs w:val="22"/>
          <w:lang w:val="fr-FR"/>
        </w:rPr>
        <w:t>’</w:t>
      </w:r>
      <w:r w:rsidRPr="00CC4B57">
        <w:rPr>
          <w:rFonts w:eastAsia="Times New Roman"/>
          <w:szCs w:val="22"/>
          <w:lang w:val="fr-FR"/>
        </w:rPr>
        <w:t>auteur et des exceptions relatives au droit d</w:t>
      </w:r>
      <w:r w:rsidR="0045102F" w:rsidRPr="00CC4B57">
        <w:rPr>
          <w:rFonts w:eastAsia="Times New Roman"/>
          <w:szCs w:val="22"/>
          <w:lang w:val="fr-FR"/>
        </w:rPr>
        <w:t>’</w:t>
      </w:r>
      <w:r w:rsidRPr="00CC4B57">
        <w:rPr>
          <w:rFonts w:eastAsia="Times New Roman"/>
          <w:szCs w:val="22"/>
          <w:lang w:val="fr-FR"/>
        </w:rPr>
        <w:t>auteur peuvent avoir de profondes répercussio</w:t>
      </w:r>
      <w:r w:rsidR="00753BBF" w:rsidRPr="00CC4B57">
        <w:rPr>
          <w:rFonts w:eastAsia="Times New Roman"/>
          <w:szCs w:val="22"/>
          <w:lang w:val="fr-FR"/>
        </w:rPr>
        <w:t>ns.  Le</w:t>
      </w:r>
      <w:r w:rsidRPr="00CC4B57">
        <w:rPr>
          <w:rFonts w:eastAsia="Times New Roman"/>
          <w:szCs w:val="22"/>
          <w:lang w:val="fr-FR"/>
        </w:rPr>
        <w:t xml:space="preserve"> présent rapport reprend de nombreux termes employés dans les études précédentes, mais il est bon de donner à nouveau la définition de certains d</w:t>
      </w:r>
      <w:r w:rsidR="0045102F" w:rsidRPr="00CC4B57">
        <w:rPr>
          <w:rFonts w:eastAsia="Times New Roman"/>
          <w:szCs w:val="22"/>
          <w:lang w:val="fr-FR"/>
        </w:rPr>
        <w:t>’</w:t>
      </w:r>
      <w:r w:rsidRPr="00CC4B57">
        <w:rPr>
          <w:rFonts w:eastAsia="Times New Roman"/>
          <w:szCs w:val="22"/>
          <w:lang w:val="fr-FR"/>
        </w:rPr>
        <w:t>entre eux</w:t>
      </w:r>
      <w:r w:rsidR="0045102F" w:rsidRPr="00CC4B57">
        <w:rPr>
          <w:rFonts w:eastAsia="Times New Roman"/>
          <w:szCs w:val="22"/>
          <w:lang w:val="fr-FR"/>
        </w:rPr>
        <w:t> :</w:t>
      </w:r>
    </w:p>
    <w:p w:rsidR="00BB45F5" w:rsidRPr="00CC4B57" w:rsidRDefault="00BB45F5" w:rsidP="006D2A00">
      <w:pPr>
        <w:rPr>
          <w:rFonts w:eastAsia="Times New Roman"/>
          <w:szCs w:val="22"/>
          <w:lang w:val="fr-FR"/>
        </w:rPr>
      </w:pPr>
    </w:p>
    <w:p w:rsidR="00BB45F5" w:rsidRPr="00CC4B57" w:rsidRDefault="005D0D69" w:rsidP="005D0D69">
      <w:pPr>
        <w:numPr>
          <w:ilvl w:val="0"/>
          <w:numId w:val="7"/>
        </w:numPr>
        <w:rPr>
          <w:rFonts w:eastAsia="Times New Roman"/>
          <w:szCs w:val="22"/>
          <w:lang w:val="fr-FR"/>
        </w:rPr>
      </w:pPr>
      <w:r w:rsidRPr="00CC4B57">
        <w:rPr>
          <w:rFonts w:eastAsia="Times New Roman"/>
          <w:szCs w:val="22"/>
          <w:lang w:val="fr-FR"/>
        </w:rPr>
        <w:t>“Bibliothèque” et “bibliothécaire”</w:t>
      </w:r>
      <w:r w:rsidR="0045102F" w:rsidRPr="00CC4B57">
        <w:rPr>
          <w:rFonts w:eastAsia="Times New Roman"/>
          <w:szCs w:val="22"/>
          <w:lang w:val="fr-FR"/>
        </w:rPr>
        <w:t> </w:t>
      </w:r>
      <w:proofErr w:type="gramStart"/>
      <w:r w:rsidR="0045102F" w:rsidRPr="00CC4B57">
        <w:rPr>
          <w:rFonts w:eastAsia="Times New Roman"/>
          <w:szCs w:val="22"/>
          <w:lang w:val="fr-FR"/>
        </w:rPr>
        <w:t>:</w:t>
      </w:r>
      <w:r w:rsidRPr="00CC4B57">
        <w:rPr>
          <w:rFonts w:eastAsia="Times New Roman"/>
          <w:szCs w:val="22"/>
          <w:lang w:val="fr-FR"/>
        </w:rPr>
        <w:t xml:space="preserve"> dans</w:t>
      </w:r>
      <w:proofErr w:type="gramEnd"/>
      <w:r w:rsidRPr="00CC4B57">
        <w:rPr>
          <w:rFonts w:eastAsia="Times New Roman"/>
          <w:szCs w:val="22"/>
          <w:lang w:val="fr-FR"/>
        </w:rPr>
        <w:t xml:space="preserve"> cette introduction tout du moins, ces termes désignent parfois non seulement les bibliothèques et les bibliothécaires, mais aussi les services d</w:t>
      </w:r>
      <w:r w:rsidR="0045102F" w:rsidRPr="00CC4B57">
        <w:rPr>
          <w:rFonts w:eastAsia="Times New Roman"/>
          <w:szCs w:val="22"/>
          <w:lang w:val="fr-FR"/>
        </w:rPr>
        <w:t>’</w:t>
      </w:r>
      <w:r w:rsidRPr="00CC4B57">
        <w:rPr>
          <w:rFonts w:eastAsia="Times New Roman"/>
          <w:szCs w:val="22"/>
          <w:lang w:val="fr-FR"/>
        </w:rPr>
        <w:t>archives et les archivist</w:t>
      </w:r>
      <w:r w:rsidR="00753BBF" w:rsidRPr="00CC4B57">
        <w:rPr>
          <w:rFonts w:eastAsia="Times New Roman"/>
          <w:szCs w:val="22"/>
          <w:lang w:val="fr-FR"/>
        </w:rPr>
        <w:t>es.  Le</w:t>
      </w:r>
      <w:r w:rsidRPr="00CC4B57">
        <w:rPr>
          <w:rFonts w:eastAsia="Times New Roman"/>
          <w:szCs w:val="22"/>
          <w:lang w:val="fr-FR"/>
        </w:rPr>
        <w:t>s différences entre bibliothèques et services d</w:t>
      </w:r>
      <w:r w:rsidR="0045102F" w:rsidRPr="00CC4B57">
        <w:rPr>
          <w:rFonts w:eastAsia="Times New Roman"/>
          <w:szCs w:val="22"/>
          <w:lang w:val="fr-FR"/>
        </w:rPr>
        <w:t>’</w:t>
      </w:r>
      <w:r w:rsidRPr="00CC4B57">
        <w:rPr>
          <w:rFonts w:eastAsia="Times New Roman"/>
          <w:szCs w:val="22"/>
          <w:lang w:val="fr-FR"/>
        </w:rPr>
        <w:t>archives sont nombreuses et important</w:t>
      </w:r>
      <w:r w:rsidR="00753BBF" w:rsidRPr="00CC4B57">
        <w:rPr>
          <w:rFonts w:eastAsia="Times New Roman"/>
          <w:szCs w:val="22"/>
          <w:lang w:val="fr-FR"/>
        </w:rPr>
        <w:t>es.  Da</w:t>
      </w:r>
      <w:r w:rsidRPr="00CC4B57">
        <w:rPr>
          <w:rFonts w:eastAsia="Times New Roman"/>
          <w:szCs w:val="22"/>
          <w:lang w:val="fr-FR"/>
        </w:rPr>
        <w:t>ns un souci d</w:t>
      </w:r>
      <w:r w:rsidR="0045102F" w:rsidRPr="00CC4B57">
        <w:rPr>
          <w:rFonts w:eastAsia="Times New Roman"/>
          <w:szCs w:val="22"/>
          <w:lang w:val="fr-FR"/>
        </w:rPr>
        <w:t>’</w:t>
      </w:r>
      <w:r w:rsidRPr="00CC4B57">
        <w:rPr>
          <w:rFonts w:eastAsia="Times New Roman"/>
          <w:szCs w:val="22"/>
          <w:lang w:val="fr-FR"/>
        </w:rPr>
        <w:t xml:space="preserve">efficacité linguistique, aux fins du présent rapport, le terme “bibliothèque” peut parfois </w:t>
      </w:r>
      <w:r w:rsidRPr="00CC4B57">
        <w:rPr>
          <w:rFonts w:eastAsia="Times New Roman"/>
          <w:szCs w:val="22"/>
          <w:lang w:val="fr-FR"/>
        </w:rPr>
        <w:lastRenderedPageBreak/>
        <w:t>s</w:t>
      </w:r>
      <w:r w:rsidR="0045102F" w:rsidRPr="00CC4B57">
        <w:rPr>
          <w:rFonts w:eastAsia="Times New Roman"/>
          <w:szCs w:val="22"/>
          <w:lang w:val="fr-FR"/>
        </w:rPr>
        <w:t>’</w:t>
      </w:r>
      <w:r w:rsidRPr="00CC4B57">
        <w:rPr>
          <w:rFonts w:eastAsia="Times New Roman"/>
          <w:szCs w:val="22"/>
          <w:lang w:val="fr-FR"/>
        </w:rPr>
        <w:t>appliquer aux deux</w:t>
      </w:r>
      <w:r w:rsidR="00117E3A" w:rsidRPr="00CC4B57">
        <w:rPr>
          <w:rFonts w:eastAsia="Times New Roman"/>
          <w:szCs w:val="22"/>
          <w:lang w:val="fr-FR"/>
        </w:rPr>
        <w:t> </w:t>
      </w:r>
      <w:r w:rsidRPr="00CC4B57">
        <w:rPr>
          <w:rFonts w:eastAsia="Times New Roman"/>
          <w:szCs w:val="22"/>
          <w:lang w:val="fr-FR"/>
        </w:rPr>
        <w:t>types d</w:t>
      </w:r>
      <w:r w:rsidR="0045102F" w:rsidRPr="00CC4B57">
        <w:rPr>
          <w:rFonts w:eastAsia="Times New Roman"/>
          <w:szCs w:val="22"/>
          <w:lang w:val="fr-FR"/>
        </w:rPr>
        <w:t>’</w:t>
      </w:r>
      <w:r w:rsidRPr="00CC4B57">
        <w:rPr>
          <w:rFonts w:eastAsia="Times New Roman"/>
          <w:szCs w:val="22"/>
          <w:lang w:val="fr-FR"/>
        </w:rPr>
        <w:t>institutio</w:t>
      </w:r>
      <w:r w:rsidR="00753BBF" w:rsidRPr="00CC4B57">
        <w:rPr>
          <w:rFonts w:eastAsia="Times New Roman"/>
          <w:szCs w:val="22"/>
          <w:lang w:val="fr-FR"/>
        </w:rPr>
        <w:t>ns.  To</w:t>
      </w:r>
      <w:r w:rsidRPr="00CC4B57">
        <w:rPr>
          <w:rFonts w:eastAsia="Times New Roman"/>
          <w:szCs w:val="22"/>
          <w:lang w:val="fr-FR"/>
        </w:rPr>
        <w:t>utefois, dans les tableaux, les deux</w:t>
      </w:r>
      <w:r w:rsidR="00117E3A" w:rsidRPr="00CC4B57">
        <w:rPr>
          <w:rFonts w:eastAsia="Times New Roman"/>
          <w:szCs w:val="22"/>
          <w:lang w:val="fr-FR"/>
        </w:rPr>
        <w:t> </w:t>
      </w:r>
      <w:r w:rsidRPr="00CC4B57">
        <w:rPr>
          <w:rFonts w:eastAsia="Times New Roman"/>
          <w:szCs w:val="22"/>
          <w:lang w:val="fr-FR"/>
        </w:rPr>
        <w:t>termes figurent dans des catégories distinct</w:t>
      </w:r>
      <w:r w:rsidR="00753BBF" w:rsidRPr="00CC4B57">
        <w:rPr>
          <w:rFonts w:eastAsia="Times New Roman"/>
          <w:szCs w:val="22"/>
          <w:lang w:val="fr-FR"/>
        </w:rPr>
        <w:t>es.  Si</w:t>
      </w:r>
      <w:r w:rsidRPr="00CC4B57">
        <w:rPr>
          <w:rFonts w:eastAsia="Times New Roman"/>
          <w:szCs w:val="22"/>
          <w:lang w:val="fr-FR"/>
        </w:rPr>
        <w:t xml:space="preserve"> les textes de loi portent à la fois sur les bibliothèques et les services d</w:t>
      </w:r>
      <w:r w:rsidR="0045102F" w:rsidRPr="00CC4B57">
        <w:rPr>
          <w:rFonts w:eastAsia="Times New Roman"/>
          <w:szCs w:val="22"/>
          <w:lang w:val="fr-FR"/>
        </w:rPr>
        <w:t>’</w:t>
      </w:r>
      <w:r w:rsidRPr="00CC4B57">
        <w:rPr>
          <w:rFonts w:eastAsia="Times New Roman"/>
          <w:szCs w:val="22"/>
          <w:lang w:val="fr-FR"/>
        </w:rPr>
        <w:t>archives, les musées ou toute autre institution, les tableaux font apparaître ces termes dans des catégories différent</w:t>
      </w:r>
      <w:r w:rsidR="00753BBF" w:rsidRPr="00CC4B57">
        <w:rPr>
          <w:rFonts w:eastAsia="Times New Roman"/>
          <w:szCs w:val="22"/>
          <w:lang w:val="fr-FR"/>
        </w:rPr>
        <w:t>es.  De</w:t>
      </w:r>
      <w:r w:rsidRPr="00CC4B57">
        <w:rPr>
          <w:rFonts w:eastAsia="Times New Roman"/>
          <w:szCs w:val="22"/>
          <w:lang w:val="fr-FR"/>
        </w:rPr>
        <w:t xml:space="preserve"> même, si les textes de loi font référence uniquement aux bibliothèques, ces dernières apparaîtront dans une seule catégorie.</w:t>
      </w:r>
    </w:p>
    <w:p w:rsidR="00BB45F5" w:rsidRPr="00CC4B57" w:rsidRDefault="00BB45F5" w:rsidP="006D2A00">
      <w:pPr>
        <w:rPr>
          <w:rFonts w:eastAsia="Times New Roman"/>
          <w:szCs w:val="22"/>
          <w:lang w:val="fr-FR"/>
        </w:rPr>
      </w:pPr>
    </w:p>
    <w:p w:rsidR="00BB45F5" w:rsidRPr="00CC4B57" w:rsidRDefault="005D0D69" w:rsidP="00DC6B3B">
      <w:pPr>
        <w:numPr>
          <w:ilvl w:val="0"/>
          <w:numId w:val="7"/>
        </w:numPr>
        <w:ind w:left="714" w:hanging="357"/>
        <w:rPr>
          <w:rFonts w:eastAsia="Times New Roman"/>
          <w:szCs w:val="22"/>
          <w:lang w:val="fr-FR"/>
        </w:rPr>
      </w:pPr>
      <w:r w:rsidRPr="00CC4B57">
        <w:rPr>
          <w:rFonts w:eastAsia="Times New Roman"/>
          <w:szCs w:val="22"/>
          <w:lang w:val="fr-FR"/>
        </w:rPr>
        <w:t>“Droit d</w:t>
      </w:r>
      <w:r w:rsidR="0045102F" w:rsidRPr="00CC4B57">
        <w:rPr>
          <w:rFonts w:eastAsia="Times New Roman"/>
          <w:szCs w:val="22"/>
          <w:lang w:val="fr-FR"/>
        </w:rPr>
        <w:t>’</w:t>
      </w:r>
      <w:r w:rsidRPr="00CC4B57">
        <w:rPr>
          <w:rFonts w:eastAsia="Times New Roman"/>
          <w:szCs w:val="22"/>
          <w:lang w:val="fr-FR"/>
        </w:rPr>
        <w:t>auteur”</w:t>
      </w:r>
      <w:r w:rsidR="0045102F" w:rsidRPr="00CC4B57">
        <w:rPr>
          <w:rFonts w:eastAsia="Times New Roman"/>
          <w:szCs w:val="22"/>
          <w:lang w:val="fr-FR"/>
        </w:rPr>
        <w:t> </w:t>
      </w:r>
      <w:proofErr w:type="gramStart"/>
      <w:r w:rsidR="0045102F" w:rsidRPr="00CC4B57">
        <w:rPr>
          <w:rFonts w:eastAsia="Times New Roman"/>
          <w:szCs w:val="22"/>
          <w:lang w:val="fr-FR"/>
        </w:rPr>
        <w:t>:</w:t>
      </w:r>
      <w:r w:rsidRPr="00CC4B57">
        <w:rPr>
          <w:rFonts w:eastAsia="Times New Roman"/>
          <w:szCs w:val="22"/>
          <w:lang w:val="fr-FR"/>
        </w:rPr>
        <w:t xml:space="preserve"> la</w:t>
      </w:r>
      <w:proofErr w:type="gramEnd"/>
      <w:r w:rsidRPr="00CC4B57">
        <w:rPr>
          <w:rFonts w:eastAsia="Times New Roman"/>
          <w:szCs w:val="22"/>
          <w:lang w:val="fr-FR"/>
        </w:rPr>
        <w:t xml:space="preserve"> portée et la nature de la législation sur le droit d</w:t>
      </w:r>
      <w:r w:rsidR="0045102F" w:rsidRPr="00CC4B57">
        <w:rPr>
          <w:rFonts w:eastAsia="Times New Roman"/>
          <w:szCs w:val="22"/>
          <w:lang w:val="fr-FR"/>
        </w:rPr>
        <w:t>’</w:t>
      </w:r>
      <w:r w:rsidRPr="00CC4B57">
        <w:rPr>
          <w:rFonts w:eastAsia="Times New Roman"/>
          <w:szCs w:val="22"/>
          <w:lang w:val="fr-FR"/>
        </w:rPr>
        <w:t>auteur évoluent dans de nombreux pa</w:t>
      </w:r>
      <w:r w:rsidR="00753BBF" w:rsidRPr="00CC4B57">
        <w:rPr>
          <w:rFonts w:eastAsia="Times New Roman"/>
          <w:szCs w:val="22"/>
          <w:lang w:val="fr-FR"/>
        </w:rPr>
        <w:t>ys.  Au</w:t>
      </w:r>
      <w:r w:rsidRPr="00CC4B57">
        <w:rPr>
          <w:rFonts w:eastAsia="Times New Roman"/>
          <w:szCs w:val="22"/>
          <w:lang w:val="fr-FR"/>
        </w:rPr>
        <w:t>x fins de la présente étude, l</w:t>
      </w:r>
      <w:r w:rsidR="0045102F" w:rsidRPr="00CC4B57">
        <w:rPr>
          <w:rFonts w:eastAsia="Times New Roman"/>
          <w:szCs w:val="22"/>
          <w:lang w:val="fr-FR"/>
        </w:rPr>
        <w:t>’</w:t>
      </w:r>
      <w:r w:rsidRPr="00CC4B57">
        <w:rPr>
          <w:rFonts w:eastAsia="Times New Roman"/>
          <w:szCs w:val="22"/>
          <w:lang w:val="fr-FR"/>
        </w:rPr>
        <w:t>expression “droit d</w:t>
      </w:r>
      <w:r w:rsidR="0045102F" w:rsidRPr="00CC4B57">
        <w:rPr>
          <w:rFonts w:eastAsia="Times New Roman"/>
          <w:szCs w:val="22"/>
          <w:lang w:val="fr-FR"/>
        </w:rPr>
        <w:t>’</w:t>
      </w:r>
      <w:r w:rsidRPr="00CC4B57">
        <w:rPr>
          <w:rFonts w:eastAsia="Times New Roman"/>
          <w:szCs w:val="22"/>
          <w:lang w:val="fr-FR"/>
        </w:rPr>
        <w:t>auteur” se rapporte aux droits juridiques associés à une œuvre protégée de n</w:t>
      </w:r>
      <w:r w:rsidR="0045102F" w:rsidRPr="00CC4B57">
        <w:rPr>
          <w:rFonts w:eastAsia="Times New Roman"/>
          <w:szCs w:val="22"/>
          <w:lang w:val="fr-FR"/>
        </w:rPr>
        <w:t>’</w:t>
      </w:r>
      <w:r w:rsidRPr="00CC4B57">
        <w:rPr>
          <w:rFonts w:eastAsia="Times New Roman"/>
          <w:szCs w:val="22"/>
          <w:lang w:val="fr-FR"/>
        </w:rPr>
        <w:t>importe quelle catégor</w:t>
      </w:r>
      <w:r w:rsidR="00753BBF" w:rsidRPr="00CC4B57">
        <w:rPr>
          <w:rFonts w:eastAsia="Times New Roman"/>
          <w:szCs w:val="22"/>
          <w:lang w:val="fr-FR"/>
        </w:rPr>
        <w:t>ie.  Ce</w:t>
      </w:r>
      <w:r w:rsidR="00DC6B3B" w:rsidRPr="00CC4B57">
        <w:rPr>
          <w:rFonts w:eastAsia="Times New Roman"/>
          <w:szCs w:val="22"/>
          <w:lang w:val="fr-FR"/>
        </w:rPr>
        <w:t>s droits englobent le plus souvent ce que l</w:t>
      </w:r>
      <w:r w:rsidR="0045102F" w:rsidRPr="00CC4B57">
        <w:rPr>
          <w:rFonts w:eastAsia="Times New Roman"/>
          <w:szCs w:val="22"/>
          <w:lang w:val="fr-FR"/>
        </w:rPr>
        <w:t>’</w:t>
      </w:r>
      <w:r w:rsidR="00DC6B3B" w:rsidRPr="00CC4B57">
        <w:rPr>
          <w:rFonts w:eastAsia="Times New Roman"/>
          <w:szCs w:val="22"/>
          <w:lang w:val="fr-FR"/>
        </w:rPr>
        <w:t>on appelle les “droits patrimoniaux” de reproduction, par exemp</w:t>
      </w:r>
      <w:r w:rsidR="00753BBF" w:rsidRPr="00CC4B57">
        <w:rPr>
          <w:rFonts w:eastAsia="Times New Roman"/>
          <w:szCs w:val="22"/>
          <w:lang w:val="fr-FR"/>
        </w:rPr>
        <w:t>le.  Lo</w:t>
      </w:r>
      <w:r w:rsidR="00DC6B3B" w:rsidRPr="00CC4B57">
        <w:rPr>
          <w:rFonts w:eastAsia="Times New Roman"/>
          <w:szCs w:val="22"/>
          <w:lang w:val="fr-FR"/>
        </w:rPr>
        <w:t>rsqu</w:t>
      </w:r>
      <w:r w:rsidR="0045102F" w:rsidRPr="00CC4B57">
        <w:rPr>
          <w:rFonts w:eastAsia="Times New Roman"/>
          <w:szCs w:val="22"/>
          <w:lang w:val="fr-FR"/>
        </w:rPr>
        <w:t>’</w:t>
      </w:r>
      <w:r w:rsidR="00DC6B3B" w:rsidRPr="00CC4B57">
        <w:rPr>
          <w:rFonts w:eastAsia="Times New Roman"/>
          <w:szCs w:val="22"/>
          <w:lang w:val="fr-FR"/>
        </w:rPr>
        <w:t>il y a lieu, la présente étude fait mention des droits moraux et des droits voisins (dénommés “droits connexes” dans certains systèmes juridiques).</w:t>
      </w:r>
    </w:p>
    <w:p w:rsidR="00BB45F5" w:rsidRPr="00CC4B57" w:rsidRDefault="00BB45F5" w:rsidP="006D2A00">
      <w:pPr>
        <w:rPr>
          <w:rFonts w:eastAsia="Times New Roman"/>
          <w:szCs w:val="22"/>
          <w:lang w:val="fr-FR"/>
        </w:rPr>
      </w:pPr>
    </w:p>
    <w:p w:rsidR="00BB45F5" w:rsidRPr="00CC4B57" w:rsidRDefault="00DC6B3B" w:rsidP="00DC6B3B">
      <w:pPr>
        <w:numPr>
          <w:ilvl w:val="0"/>
          <w:numId w:val="7"/>
        </w:numPr>
        <w:ind w:left="714" w:hanging="357"/>
        <w:rPr>
          <w:rFonts w:eastAsia="Times New Roman"/>
          <w:szCs w:val="22"/>
          <w:lang w:val="fr-FR"/>
        </w:rPr>
      </w:pPr>
      <w:r w:rsidRPr="00CC4B57">
        <w:rPr>
          <w:rFonts w:eastAsia="Times New Roman"/>
          <w:szCs w:val="22"/>
          <w:lang w:val="fr-FR"/>
        </w:rPr>
        <w:t>“Exception”</w:t>
      </w:r>
      <w:r w:rsidR="0045102F" w:rsidRPr="00CC4B57">
        <w:rPr>
          <w:rFonts w:eastAsia="Times New Roman"/>
          <w:szCs w:val="22"/>
          <w:lang w:val="fr-FR"/>
        </w:rPr>
        <w:t> </w:t>
      </w:r>
      <w:proofErr w:type="gramStart"/>
      <w:r w:rsidR="0045102F" w:rsidRPr="00CC4B57">
        <w:rPr>
          <w:rFonts w:eastAsia="Times New Roman"/>
          <w:szCs w:val="22"/>
          <w:lang w:val="fr-FR"/>
        </w:rPr>
        <w:t>:</w:t>
      </w:r>
      <w:r w:rsidRPr="00CC4B57">
        <w:rPr>
          <w:rFonts w:eastAsia="Times New Roman"/>
          <w:szCs w:val="22"/>
          <w:lang w:val="fr-FR"/>
        </w:rPr>
        <w:t xml:space="preserve"> c</w:t>
      </w:r>
      <w:r w:rsidR="0045102F" w:rsidRPr="00CC4B57">
        <w:rPr>
          <w:rFonts w:eastAsia="Times New Roman"/>
          <w:szCs w:val="22"/>
          <w:lang w:val="fr-FR"/>
        </w:rPr>
        <w:t>’</w:t>
      </w:r>
      <w:r w:rsidRPr="00CC4B57">
        <w:rPr>
          <w:rFonts w:eastAsia="Times New Roman"/>
          <w:szCs w:val="22"/>
          <w:lang w:val="fr-FR"/>
        </w:rPr>
        <w:t>est</w:t>
      </w:r>
      <w:proofErr w:type="gramEnd"/>
      <w:r w:rsidRPr="00CC4B57">
        <w:rPr>
          <w:rFonts w:eastAsia="Times New Roman"/>
          <w:szCs w:val="22"/>
          <w:lang w:val="fr-FR"/>
        </w:rPr>
        <w:t xml:space="preserve"> fondamentalement de limitations et d</w:t>
      </w:r>
      <w:r w:rsidR="0045102F" w:rsidRPr="00CC4B57">
        <w:rPr>
          <w:rFonts w:eastAsia="Times New Roman"/>
          <w:szCs w:val="22"/>
          <w:lang w:val="fr-FR"/>
        </w:rPr>
        <w:t>’</w:t>
      </w:r>
      <w:r w:rsidRPr="00CC4B57">
        <w:rPr>
          <w:rFonts w:eastAsia="Times New Roman"/>
          <w:szCs w:val="22"/>
          <w:lang w:val="fr-FR"/>
        </w:rPr>
        <w:t>exceptions relatives au droit d</w:t>
      </w:r>
      <w:r w:rsidR="0045102F" w:rsidRPr="00CC4B57">
        <w:rPr>
          <w:rFonts w:eastAsia="Times New Roman"/>
          <w:szCs w:val="22"/>
          <w:lang w:val="fr-FR"/>
        </w:rPr>
        <w:t>’</w:t>
      </w:r>
      <w:r w:rsidRPr="00CC4B57">
        <w:rPr>
          <w:rFonts w:eastAsia="Times New Roman"/>
          <w:szCs w:val="22"/>
          <w:lang w:val="fr-FR"/>
        </w:rPr>
        <w:t>auteur qu</w:t>
      </w:r>
      <w:r w:rsidR="0045102F" w:rsidRPr="00CC4B57">
        <w:rPr>
          <w:rFonts w:eastAsia="Times New Roman"/>
          <w:szCs w:val="22"/>
          <w:lang w:val="fr-FR"/>
        </w:rPr>
        <w:t>’</w:t>
      </w:r>
      <w:r w:rsidRPr="00CC4B57">
        <w:rPr>
          <w:rFonts w:eastAsia="Times New Roman"/>
          <w:szCs w:val="22"/>
          <w:lang w:val="fr-FR"/>
        </w:rPr>
        <w:t>il est question i</w:t>
      </w:r>
      <w:r w:rsidR="00753BBF" w:rsidRPr="00CC4B57">
        <w:rPr>
          <w:rFonts w:eastAsia="Times New Roman"/>
          <w:szCs w:val="22"/>
          <w:lang w:val="fr-FR"/>
        </w:rPr>
        <w:t>ci.  Le</w:t>
      </w:r>
      <w:r w:rsidRPr="00CC4B57">
        <w:rPr>
          <w:rFonts w:eastAsia="Times New Roman"/>
          <w:szCs w:val="22"/>
          <w:lang w:val="fr-FR"/>
        </w:rPr>
        <w:t xml:space="preserve"> texte de la législation et de la littérature juridique utilise parfois d</w:t>
      </w:r>
      <w:r w:rsidR="0045102F" w:rsidRPr="00CC4B57">
        <w:rPr>
          <w:rFonts w:eastAsia="Times New Roman"/>
          <w:szCs w:val="22"/>
          <w:lang w:val="fr-FR"/>
        </w:rPr>
        <w:t>’</w:t>
      </w:r>
      <w:r w:rsidRPr="00CC4B57">
        <w:rPr>
          <w:rFonts w:eastAsia="Times New Roman"/>
          <w:szCs w:val="22"/>
          <w:lang w:val="fr-FR"/>
        </w:rPr>
        <w:t>autres désignations, comme celles d</w:t>
      </w:r>
      <w:r w:rsidR="0045102F" w:rsidRPr="00CC4B57">
        <w:rPr>
          <w:rFonts w:eastAsia="Times New Roman"/>
          <w:szCs w:val="22"/>
          <w:lang w:val="fr-FR"/>
        </w:rPr>
        <w:t>’</w:t>
      </w:r>
      <w:r w:rsidRPr="00CC4B57">
        <w:rPr>
          <w:rFonts w:eastAsia="Times New Roman"/>
          <w:szCs w:val="22"/>
          <w:lang w:val="fr-FR"/>
        </w:rPr>
        <w:t>“exemptions” ou de “limitations des droits des titulaires de droits d</w:t>
      </w:r>
      <w:r w:rsidR="0045102F" w:rsidRPr="00CC4B57">
        <w:rPr>
          <w:rFonts w:eastAsia="Times New Roman"/>
          <w:szCs w:val="22"/>
          <w:lang w:val="fr-FR"/>
        </w:rPr>
        <w:t>’</w:t>
      </w:r>
      <w:r w:rsidRPr="00CC4B57">
        <w:rPr>
          <w:rFonts w:eastAsia="Times New Roman"/>
          <w:szCs w:val="22"/>
          <w:lang w:val="fr-FR"/>
        </w:rPr>
        <w:t>auteur” ou de “droits des titulaires de droits d</w:t>
      </w:r>
      <w:r w:rsidR="0045102F" w:rsidRPr="00CC4B57">
        <w:rPr>
          <w:rFonts w:eastAsia="Times New Roman"/>
          <w:szCs w:val="22"/>
          <w:lang w:val="fr-FR"/>
        </w:rPr>
        <w:t>’</w:t>
      </w:r>
      <w:r w:rsidRPr="00CC4B57">
        <w:rPr>
          <w:rFonts w:eastAsia="Times New Roman"/>
          <w:szCs w:val="22"/>
          <w:lang w:val="fr-FR"/>
        </w:rPr>
        <w:t>auteur”.</w:t>
      </w:r>
      <w:r w:rsidR="006D2A00" w:rsidRPr="00CC4B57">
        <w:rPr>
          <w:rFonts w:eastAsia="Times New Roman"/>
          <w:szCs w:val="22"/>
          <w:lang w:val="fr-FR"/>
        </w:rPr>
        <w:t xml:space="preserve">  </w:t>
      </w:r>
      <w:r w:rsidRPr="00CC4B57">
        <w:rPr>
          <w:rFonts w:eastAsia="Times New Roman"/>
          <w:szCs w:val="22"/>
          <w:lang w:val="fr-FR"/>
        </w:rPr>
        <w:t>La présente étude ne prend pas position quant à la pertinence de telle ou telle désignation, mais retient celle d</w:t>
      </w:r>
      <w:r w:rsidR="0045102F" w:rsidRPr="00CC4B57">
        <w:rPr>
          <w:rFonts w:eastAsia="Times New Roman"/>
          <w:szCs w:val="22"/>
          <w:lang w:val="fr-FR"/>
        </w:rPr>
        <w:t>’</w:t>
      </w:r>
      <w:r w:rsidRPr="00CC4B57">
        <w:rPr>
          <w:rFonts w:eastAsia="Times New Roman"/>
          <w:szCs w:val="22"/>
          <w:lang w:val="fr-FR"/>
        </w:rPr>
        <w:t>“exception” à des fins de clarté et de simplici</w:t>
      </w:r>
      <w:r w:rsidR="00753BBF" w:rsidRPr="00CC4B57">
        <w:rPr>
          <w:rFonts w:eastAsia="Times New Roman"/>
          <w:szCs w:val="22"/>
          <w:lang w:val="fr-FR"/>
        </w:rPr>
        <w:t>té.  Le</w:t>
      </w:r>
      <w:r w:rsidRPr="00CC4B57">
        <w:rPr>
          <w:rFonts w:eastAsia="Times New Roman"/>
          <w:szCs w:val="22"/>
          <w:lang w:val="fr-FR"/>
        </w:rPr>
        <w:t>s exceptions s</w:t>
      </w:r>
      <w:r w:rsidR="0045102F" w:rsidRPr="00CC4B57">
        <w:rPr>
          <w:rFonts w:eastAsia="Times New Roman"/>
          <w:szCs w:val="22"/>
          <w:lang w:val="fr-FR"/>
        </w:rPr>
        <w:t>’</w:t>
      </w:r>
      <w:r w:rsidRPr="00CC4B57">
        <w:rPr>
          <w:rFonts w:eastAsia="Times New Roman"/>
          <w:szCs w:val="22"/>
          <w:lang w:val="fr-FR"/>
        </w:rPr>
        <w:t>appliquant expressément aux bibliothèques (et aux services d</w:t>
      </w:r>
      <w:r w:rsidR="0045102F" w:rsidRPr="00CC4B57">
        <w:rPr>
          <w:rFonts w:eastAsia="Times New Roman"/>
          <w:szCs w:val="22"/>
          <w:lang w:val="fr-FR"/>
        </w:rPr>
        <w:t>’</w:t>
      </w:r>
      <w:r w:rsidRPr="00CC4B57">
        <w:rPr>
          <w:rFonts w:eastAsia="Times New Roman"/>
          <w:szCs w:val="22"/>
          <w:lang w:val="fr-FR"/>
        </w:rPr>
        <w:t>archives) sont les “exceptions en faveur des bibliothèques”</w:t>
      </w:r>
      <w:r w:rsidRPr="00CC4B57">
        <w:rPr>
          <w:rStyle w:val="FootnoteReference"/>
          <w:lang w:val="fr-FR"/>
        </w:rPr>
        <w:footnoteReference w:id="8"/>
      </w:r>
      <w:r w:rsidR="00117E3A" w:rsidRPr="00CC4B57">
        <w:rPr>
          <w:rFonts w:eastAsia="Times New Roman"/>
          <w:szCs w:val="22"/>
          <w:lang w:val="fr-FR"/>
        </w:rPr>
        <w:t>.</w:t>
      </w:r>
    </w:p>
    <w:p w:rsidR="00BB45F5" w:rsidRPr="00CC4B57" w:rsidRDefault="00BB45F5" w:rsidP="006D2A00">
      <w:pPr>
        <w:rPr>
          <w:rFonts w:eastAsia="Times New Roman"/>
          <w:szCs w:val="22"/>
          <w:lang w:val="fr-FR"/>
        </w:rPr>
      </w:pPr>
    </w:p>
    <w:p w:rsidR="00BB45F5" w:rsidRPr="00CC4B57" w:rsidRDefault="00DC6B3B" w:rsidP="00DC6B3B">
      <w:pPr>
        <w:rPr>
          <w:rFonts w:eastAsia="Times New Roman"/>
          <w:szCs w:val="22"/>
          <w:lang w:val="fr-FR"/>
        </w:rPr>
      </w:pPr>
      <w:r w:rsidRPr="00CC4B57">
        <w:rPr>
          <w:rFonts w:eastAsia="Times New Roman"/>
          <w:szCs w:val="22"/>
          <w:lang w:val="fr-FR"/>
        </w:rPr>
        <w:t>Aux fins de la présente étude, ce que l</w:t>
      </w:r>
      <w:r w:rsidR="0045102F" w:rsidRPr="00CC4B57">
        <w:rPr>
          <w:rFonts w:eastAsia="Times New Roman"/>
          <w:szCs w:val="22"/>
          <w:lang w:val="fr-FR"/>
        </w:rPr>
        <w:t>’</w:t>
      </w:r>
      <w:r w:rsidRPr="00CC4B57">
        <w:rPr>
          <w:rFonts w:eastAsia="Times New Roman"/>
          <w:szCs w:val="22"/>
          <w:lang w:val="fr-FR"/>
        </w:rPr>
        <w:t>on entend par “exception en faveur des bibliothèques” suppose que la bibliothèque (ou une institution autre) bénéficie en vertu de la loi de la possibilité d</w:t>
      </w:r>
      <w:r w:rsidR="0045102F" w:rsidRPr="00CC4B57">
        <w:rPr>
          <w:rFonts w:eastAsia="Times New Roman"/>
          <w:szCs w:val="22"/>
          <w:lang w:val="fr-FR"/>
        </w:rPr>
        <w:t>’</w:t>
      </w:r>
      <w:r w:rsidRPr="00CC4B57">
        <w:rPr>
          <w:rFonts w:eastAsia="Times New Roman"/>
          <w:szCs w:val="22"/>
          <w:lang w:val="fr-FR"/>
        </w:rPr>
        <w:t>utiliser un ouvrage donné sans devoir obtenir l</w:t>
      </w:r>
      <w:r w:rsidR="0045102F" w:rsidRPr="00CC4B57">
        <w:rPr>
          <w:rFonts w:eastAsia="Times New Roman"/>
          <w:szCs w:val="22"/>
          <w:lang w:val="fr-FR"/>
        </w:rPr>
        <w:t>’</w:t>
      </w:r>
      <w:r w:rsidRPr="00CC4B57">
        <w:rPr>
          <w:rFonts w:eastAsia="Times New Roman"/>
          <w:szCs w:val="22"/>
          <w:lang w:val="fr-FR"/>
        </w:rPr>
        <w:t>autorisation de l</w:t>
      </w:r>
      <w:r w:rsidR="0045102F" w:rsidRPr="00CC4B57">
        <w:rPr>
          <w:rFonts w:eastAsia="Times New Roman"/>
          <w:szCs w:val="22"/>
          <w:lang w:val="fr-FR"/>
        </w:rPr>
        <w:t>’</w:t>
      </w:r>
      <w:r w:rsidRPr="00CC4B57">
        <w:rPr>
          <w:rFonts w:eastAsia="Times New Roman"/>
          <w:szCs w:val="22"/>
          <w:lang w:val="fr-FR"/>
        </w:rPr>
        <w:t>auteur, du titulaire du droit d</w:t>
      </w:r>
      <w:r w:rsidR="0045102F" w:rsidRPr="00CC4B57">
        <w:rPr>
          <w:rFonts w:eastAsia="Times New Roman"/>
          <w:szCs w:val="22"/>
          <w:lang w:val="fr-FR"/>
        </w:rPr>
        <w:t>’</w:t>
      </w:r>
      <w:r w:rsidRPr="00CC4B57">
        <w:rPr>
          <w:rFonts w:eastAsia="Times New Roman"/>
          <w:szCs w:val="22"/>
          <w:lang w:val="fr-FR"/>
        </w:rPr>
        <w:t>auteur ou de toute autre partie, et qu</w:t>
      </w:r>
      <w:r w:rsidR="0045102F" w:rsidRPr="00CC4B57">
        <w:rPr>
          <w:rFonts w:eastAsia="Times New Roman"/>
          <w:szCs w:val="22"/>
          <w:lang w:val="fr-FR"/>
        </w:rPr>
        <w:t>’</w:t>
      </w:r>
      <w:r w:rsidRPr="00CC4B57">
        <w:rPr>
          <w:rFonts w:eastAsia="Times New Roman"/>
          <w:szCs w:val="22"/>
          <w:lang w:val="fr-FR"/>
        </w:rPr>
        <w:t>aucune rémunération ou autre contrepartie financière ne peut être exigée pour cette utilisati</w:t>
      </w:r>
      <w:r w:rsidR="00753BBF" w:rsidRPr="00CC4B57">
        <w:rPr>
          <w:rFonts w:eastAsia="Times New Roman"/>
          <w:szCs w:val="22"/>
          <w:lang w:val="fr-FR"/>
        </w:rPr>
        <w:t>on.  De</w:t>
      </w:r>
      <w:r w:rsidRPr="00CC4B57">
        <w:rPr>
          <w:rFonts w:eastAsia="Times New Roman"/>
          <w:szCs w:val="22"/>
          <w:lang w:val="fr-FR"/>
        </w:rPr>
        <w:t xml:space="preserve"> ce fait, si le texte de loi énonce expressément que l</w:t>
      </w:r>
      <w:r w:rsidR="0045102F" w:rsidRPr="00CC4B57">
        <w:rPr>
          <w:rFonts w:eastAsia="Times New Roman"/>
          <w:szCs w:val="22"/>
          <w:lang w:val="fr-FR"/>
        </w:rPr>
        <w:t>’</w:t>
      </w:r>
      <w:r w:rsidRPr="00CC4B57">
        <w:rPr>
          <w:rFonts w:eastAsia="Times New Roman"/>
          <w:szCs w:val="22"/>
          <w:lang w:val="fr-FR"/>
        </w:rPr>
        <w:t>utilisation est permise sans autorisation ni rémunération, ces points ne seront pas systématiquement répétés dans les tablea</w:t>
      </w:r>
      <w:r w:rsidR="00753BBF" w:rsidRPr="00CC4B57">
        <w:rPr>
          <w:rFonts w:eastAsia="Times New Roman"/>
          <w:szCs w:val="22"/>
          <w:lang w:val="fr-FR"/>
        </w:rPr>
        <w:t>ux.  In</w:t>
      </w:r>
      <w:r w:rsidRPr="00CC4B57">
        <w:rPr>
          <w:rFonts w:eastAsia="Times New Roman"/>
          <w:szCs w:val="22"/>
          <w:lang w:val="fr-FR"/>
        </w:rPr>
        <w:t>versement, si le texte de loi dispose que l</w:t>
      </w:r>
      <w:r w:rsidR="0045102F" w:rsidRPr="00CC4B57">
        <w:rPr>
          <w:rFonts w:eastAsia="Times New Roman"/>
          <w:szCs w:val="22"/>
          <w:lang w:val="fr-FR"/>
        </w:rPr>
        <w:t>’</w:t>
      </w:r>
      <w:r w:rsidRPr="00CC4B57">
        <w:rPr>
          <w:rFonts w:eastAsia="Times New Roman"/>
          <w:szCs w:val="22"/>
          <w:lang w:val="fr-FR"/>
        </w:rPr>
        <w:t>application de l</w:t>
      </w:r>
      <w:r w:rsidR="0045102F" w:rsidRPr="00CC4B57">
        <w:rPr>
          <w:rFonts w:eastAsia="Times New Roman"/>
          <w:szCs w:val="22"/>
          <w:lang w:val="fr-FR"/>
        </w:rPr>
        <w:t>’</w:t>
      </w:r>
      <w:r w:rsidRPr="00CC4B57">
        <w:rPr>
          <w:rFonts w:eastAsia="Times New Roman"/>
          <w:szCs w:val="22"/>
          <w:lang w:val="fr-FR"/>
        </w:rPr>
        <w:t>exception est subordonnée à l</w:t>
      </w:r>
      <w:r w:rsidR="0045102F" w:rsidRPr="00CC4B57">
        <w:rPr>
          <w:rFonts w:eastAsia="Times New Roman"/>
          <w:szCs w:val="22"/>
          <w:lang w:val="fr-FR"/>
        </w:rPr>
        <w:t>’</w:t>
      </w:r>
      <w:r w:rsidRPr="00CC4B57">
        <w:rPr>
          <w:rFonts w:eastAsia="Times New Roman"/>
          <w:szCs w:val="22"/>
          <w:lang w:val="fr-FR"/>
        </w:rPr>
        <w:t>obtention d</w:t>
      </w:r>
      <w:r w:rsidR="0045102F" w:rsidRPr="00CC4B57">
        <w:rPr>
          <w:rFonts w:eastAsia="Times New Roman"/>
          <w:szCs w:val="22"/>
          <w:lang w:val="fr-FR"/>
        </w:rPr>
        <w:t>’</w:t>
      </w:r>
      <w:r w:rsidRPr="00CC4B57">
        <w:rPr>
          <w:rFonts w:eastAsia="Times New Roman"/>
          <w:szCs w:val="22"/>
          <w:lang w:val="fr-FR"/>
        </w:rPr>
        <w:t>une autorisation ou au versement d</w:t>
      </w:r>
      <w:r w:rsidR="0045102F" w:rsidRPr="00CC4B57">
        <w:rPr>
          <w:rFonts w:eastAsia="Times New Roman"/>
          <w:szCs w:val="22"/>
          <w:lang w:val="fr-FR"/>
        </w:rPr>
        <w:t>’</w:t>
      </w:r>
      <w:r w:rsidRPr="00CC4B57">
        <w:rPr>
          <w:rFonts w:eastAsia="Times New Roman"/>
          <w:szCs w:val="22"/>
          <w:lang w:val="fr-FR"/>
        </w:rPr>
        <w:t>une rémunération, ou à la participation à un système d</w:t>
      </w:r>
      <w:r w:rsidR="0045102F" w:rsidRPr="00CC4B57">
        <w:rPr>
          <w:rFonts w:eastAsia="Times New Roman"/>
          <w:szCs w:val="22"/>
          <w:lang w:val="fr-FR"/>
        </w:rPr>
        <w:t>’</w:t>
      </w:r>
      <w:r w:rsidRPr="00CC4B57">
        <w:rPr>
          <w:rFonts w:eastAsia="Times New Roman"/>
          <w:szCs w:val="22"/>
          <w:lang w:val="fr-FR"/>
        </w:rPr>
        <w:t>octroi de licences, cette prescription légale apparaît dans les tableaux.</w:t>
      </w:r>
    </w:p>
    <w:p w:rsidR="00BB45F5" w:rsidRPr="00CC4B57" w:rsidRDefault="00BB45F5" w:rsidP="006D2A00">
      <w:pPr>
        <w:rPr>
          <w:rFonts w:eastAsia="Times New Roman"/>
          <w:szCs w:val="22"/>
          <w:lang w:val="fr-FR"/>
        </w:rPr>
      </w:pPr>
    </w:p>
    <w:p w:rsidR="00BB45F5" w:rsidRPr="00CC4B57" w:rsidRDefault="00DC6B3B" w:rsidP="00DC6B3B">
      <w:pPr>
        <w:pStyle w:val="Heading1"/>
        <w:rPr>
          <w:szCs w:val="22"/>
          <w:lang w:val="fr-FR" w:eastAsia="en-US"/>
        </w:rPr>
      </w:pPr>
      <w:r w:rsidRPr="00CC4B57">
        <w:rPr>
          <w:szCs w:val="22"/>
          <w:lang w:val="fr-FR" w:eastAsia="en-US"/>
        </w:rPr>
        <w:t>Champ de l</w:t>
      </w:r>
      <w:r w:rsidR="0045102F" w:rsidRPr="00CC4B57">
        <w:rPr>
          <w:szCs w:val="22"/>
          <w:lang w:val="fr-FR" w:eastAsia="en-US"/>
        </w:rPr>
        <w:t>’</w:t>
      </w:r>
      <w:r w:rsidRPr="00CC4B57">
        <w:rPr>
          <w:szCs w:val="22"/>
          <w:lang w:val="fr-FR" w:eastAsia="en-US"/>
        </w:rPr>
        <w:t>étude</w:t>
      </w:r>
    </w:p>
    <w:p w:rsidR="00BB45F5" w:rsidRPr="00CC4B57" w:rsidRDefault="00BB45F5" w:rsidP="006D2A00">
      <w:pPr>
        <w:rPr>
          <w:rFonts w:eastAsia="Times New Roman"/>
          <w:szCs w:val="22"/>
          <w:lang w:val="fr-FR"/>
        </w:rPr>
      </w:pPr>
    </w:p>
    <w:p w:rsidR="0096345D" w:rsidRPr="00CC4B57" w:rsidRDefault="005952CE" w:rsidP="00DC6B3B">
      <w:pPr>
        <w:rPr>
          <w:rFonts w:eastAsia="Times New Roman"/>
          <w:szCs w:val="22"/>
          <w:lang w:val="fr-FR"/>
        </w:rPr>
      </w:pPr>
      <w:r w:rsidRPr="00CC4B57">
        <w:rPr>
          <w:rFonts w:eastAsia="Times New Roman"/>
          <w:szCs w:val="22"/>
          <w:lang w:val="fr-FR"/>
        </w:rPr>
        <w:t>L</w:t>
      </w:r>
      <w:r w:rsidR="0045102F" w:rsidRPr="00CC4B57">
        <w:rPr>
          <w:rFonts w:eastAsia="Times New Roman"/>
          <w:szCs w:val="22"/>
          <w:lang w:val="fr-FR"/>
        </w:rPr>
        <w:t>’</w:t>
      </w:r>
      <w:r w:rsidR="00DC6B3B" w:rsidRPr="00CC4B57">
        <w:rPr>
          <w:rFonts w:eastAsia="Times New Roman"/>
          <w:szCs w:val="22"/>
          <w:lang w:val="fr-FR"/>
        </w:rPr>
        <w:t>étude porte sur les dispositions prévues dans la législation nationale en matière de droit d</w:t>
      </w:r>
      <w:r w:rsidR="0045102F" w:rsidRPr="00CC4B57">
        <w:rPr>
          <w:rFonts w:eastAsia="Times New Roman"/>
          <w:szCs w:val="22"/>
          <w:lang w:val="fr-FR"/>
        </w:rPr>
        <w:t>’</w:t>
      </w:r>
      <w:r w:rsidR="00DC6B3B" w:rsidRPr="00CC4B57">
        <w:rPr>
          <w:rFonts w:eastAsia="Times New Roman"/>
          <w:szCs w:val="22"/>
          <w:lang w:val="fr-FR"/>
        </w:rPr>
        <w:t>auteur qui établissent expressément des exceptions relatives au droit d</w:t>
      </w:r>
      <w:r w:rsidR="0045102F" w:rsidRPr="00CC4B57">
        <w:rPr>
          <w:rFonts w:eastAsia="Times New Roman"/>
          <w:szCs w:val="22"/>
          <w:lang w:val="fr-FR"/>
        </w:rPr>
        <w:t>’</w:t>
      </w:r>
      <w:r w:rsidR="00DC6B3B" w:rsidRPr="00CC4B57">
        <w:rPr>
          <w:rFonts w:eastAsia="Times New Roman"/>
          <w:szCs w:val="22"/>
          <w:lang w:val="fr-FR"/>
        </w:rPr>
        <w:t>auteur en faveur des bibliothèques en général ou de certains types de bibliothèques relevant de grandes catégori</w:t>
      </w:r>
      <w:r w:rsidR="00753BBF" w:rsidRPr="00CC4B57">
        <w:rPr>
          <w:rFonts w:eastAsia="Times New Roman"/>
          <w:szCs w:val="22"/>
          <w:lang w:val="fr-FR"/>
        </w:rPr>
        <w:t>es.  Ce</w:t>
      </w:r>
      <w:r w:rsidR="00DC6B3B" w:rsidRPr="00CC4B57">
        <w:rPr>
          <w:rFonts w:eastAsia="Times New Roman"/>
          <w:szCs w:val="22"/>
          <w:lang w:val="fr-FR"/>
        </w:rPr>
        <w:t>tte étude ne s</w:t>
      </w:r>
      <w:r w:rsidR="0045102F" w:rsidRPr="00CC4B57">
        <w:rPr>
          <w:rFonts w:eastAsia="Times New Roman"/>
          <w:szCs w:val="22"/>
          <w:lang w:val="fr-FR"/>
        </w:rPr>
        <w:t>’</w:t>
      </w:r>
      <w:r w:rsidR="00DC6B3B" w:rsidRPr="00CC4B57">
        <w:rPr>
          <w:rFonts w:eastAsia="Times New Roman"/>
          <w:szCs w:val="22"/>
          <w:lang w:val="fr-FR"/>
        </w:rPr>
        <w:t>étend pas de manière systématique aux textes de loi applicables uniquement à des bibliothèques prises isolément ou à de petits groupes d</w:t>
      </w:r>
      <w:r w:rsidR="0045102F" w:rsidRPr="00CC4B57">
        <w:rPr>
          <w:rFonts w:eastAsia="Times New Roman"/>
          <w:szCs w:val="22"/>
          <w:lang w:val="fr-FR"/>
        </w:rPr>
        <w:t>’</w:t>
      </w:r>
      <w:r w:rsidR="00DC6B3B" w:rsidRPr="00CC4B57">
        <w:rPr>
          <w:rFonts w:eastAsia="Times New Roman"/>
          <w:szCs w:val="22"/>
          <w:lang w:val="fr-FR"/>
        </w:rPr>
        <w:t>utilisateurs bien définis, telles que les bibliothèques d</w:t>
      </w:r>
      <w:r w:rsidR="0045102F" w:rsidRPr="00CC4B57">
        <w:rPr>
          <w:rFonts w:eastAsia="Times New Roman"/>
          <w:szCs w:val="22"/>
          <w:lang w:val="fr-FR"/>
        </w:rPr>
        <w:t>’</w:t>
      </w:r>
      <w:r w:rsidR="00DC6B3B" w:rsidRPr="00CC4B57">
        <w:rPr>
          <w:rFonts w:eastAsia="Times New Roman"/>
          <w:szCs w:val="22"/>
          <w:lang w:val="fr-FR"/>
        </w:rPr>
        <w:t>État ou les bibliothèques nationales.</w:t>
      </w:r>
    </w:p>
    <w:p w:rsidR="00BB45F5" w:rsidRPr="00CC4B57" w:rsidRDefault="00BB45F5" w:rsidP="006D2A00">
      <w:pPr>
        <w:rPr>
          <w:rFonts w:eastAsia="Times New Roman"/>
          <w:szCs w:val="22"/>
          <w:lang w:val="fr-FR"/>
        </w:rPr>
      </w:pPr>
    </w:p>
    <w:p w:rsidR="00BB45F5" w:rsidRPr="00CC4B57" w:rsidRDefault="00DC6B3B" w:rsidP="00DC6B3B">
      <w:pPr>
        <w:rPr>
          <w:rFonts w:eastAsia="Times New Roman"/>
          <w:szCs w:val="22"/>
          <w:lang w:val="fr-FR"/>
        </w:rPr>
      </w:pPr>
      <w:r w:rsidRPr="00CC4B57">
        <w:rPr>
          <w:rFonts w:eastAsia="Times New Roman"/>
          <w:szCs w:val="22"/>
          <w:lang w:val="fr-FR"/>
        </w:rPr>
        <w:t>Cette recherche s</w:t>
      </w:r>
      <w:r w:rsidR="0045102F" w:rsidRPr="00CC4B57">
        <w:rPr>
          <w:rFonts w:eastAsia="Times New Roman"/>
          <w:szCs w:val="22"/>
          <w:lang w:val="fr-FR"/>
        </w:rPr>
        <w:t>’</w:t>
      </w:r>
      <w:r w:rsidRPr="00CC4B57">
        <w:rPr>
          <w:rFonts w:eastAsia="Times New Roman"/>
          <w:szCs w:val="22"/>
          <w:lang w:val="fr-FR"/>
        </w:rPr>
        <w:t xml:space="preserve">applique également aux textes de loi relatifs à la question de la neutralisation des systèmes techniques de protection, en vue principalement de faire ressortir toute disposition qui pourrait permettre à des bibliothèques ou à des services </w:t>
      </w:r>
      <w:r w:rsidRPr="00CC4B57">
        <w:rPr>
          <w:rFonts w:eastAsia="Times New Roman"/>
          <w:szCs w:val="22"/>
          <w:lang w:val="fr-FR"/>
        </w:rPr>
        <w:lastRenderedPageBreak/>
        <w:t>d</w:t>
      </w:r>
      <w:r w:rsidR="0045102F" w:rsidRPr="00CC4B57">
        <w:rPr>
          <w:rFonts w:eastAsia="Times New Roman"/>
          <w:szCs w:val="22"/>
          <w:lang w:val="fr-FR"/>
        </w:rPr>
        <w:t>’</w:t>
      </w:r>
      <w:r w:rsidRPr="00CC4B57">
        <w:rPr>
          <w:rFonts w:eastAsia="Times New Roman"/>
          <w:szCs w:val="22"/>
          <w:lang w:val="fr-FR"/>
        </w:rPr>
        <w:t>archives d</w:t>
      </w:r>
      <w:r w:rsidR="0045102F" w:rsidRPr="00CC4B57">
        <w:rPr>
          <w:rFonts w:eastAsia="Times New Roman"/>
          <w:szCs w:val="22"/>
          <w:lang w:val="fr-FR"/>
        </w:rPr>
        <w:t>’</w:t>
      </w:r>
      <w:r w:rsidRPr="00CC4B57">
        <w:rPr>
          <w:rFonts w:eastAsia="Times New Roman"/>
          <w:szCs w:val="22"/>
          <w:lang w:val="fr-FR"/>
        </w:rPr>
        <w:t>appliquer des mesures de neutralisation ou d</w:t>
      </w:r>
      <w:r w:rsidR="0045102F" w:rsidRPr="00CC4B57">
        <w:rPr>
          <w:rFonts w:eastAsia="Times New Roman"/>
          <w:szCs w:val="22"/>
          <w:lang w:val="fr-FR"/>
        </w:rPr>
        <w:t>’</w:t>
      </w:r>
      <w:r w:rsidRPr="00CC4B57">
        <w:rPr>
          <w:rFonts w:eastAsia="Times New Roman"/>
          <w:szCs w:val="22"/>
          <w:lang w:val="fr-FR"/>
        </w:rPr>
        <w:t>autres mesures qui seraient interdites dans le cas contraire, dans le cadre des services qu</w:t>
      </w:r>
      <w:r w:rsidR="0045102F" w:rsidRPr="00CC4B57">
        <w:rPr>
          <w:rFonts w:eastAsia="Times New Roman"/>
          <w:szCs w:val="22"/>
          <w:lang w:val="fr-FR"/>
        </w:rPr>
        <w:t>’</w:t>
      </w:r>
      <w:r w:rsidRPr="00CC4B57">
        <w:rPr>
          <w:rFonts w:eastAsia="Times New Roman"/>
          <w:szCs w:val="22"/>
          <w:lang w:val="fr-FR"/>
        </w:rPr>
        <w:t>ils offrent ou afin de tirer parti des avantages découlant d</w:t>
      </w:r>
      <w:r w:rsidR="0045102F" w:rsidRPr="00CC4B57">
        <w:rPr>
          <w:rFonts w:eastAsia="Times New Roman"/>
          <w:szCs w:val="22"/>
          <w:lang w:val="fr-FR"/>
        </w:rPr>
        <w:t>’</w:t>
      </w:r>
      <w:r w:rsidRPr="00CC4B57">
        <w:rPr>
          <w:rFonts w:eastAsia="Times New Roman"/>
          <w:szCs w:val="22"/>
          <w:lang w:val="fr-FR"/>
        </w:rPr>
        <w:t>une exception en faveur des bibliothèques lorsqu</w:t>
      </w:r>
      <w:r w:rsidR="0045102F" w:rsidRPr="00CC4B57">
        <w:rPr>
          <w:rFonts w:eastAsia="Times New Roman"/>
          <w:szCs w:val="22"/>
          <w:lang w:val="fr-FR"/>
        </w:rPr>
        <w:t>’</w:t>
      </w:r>
      <w:r w:rsidRPr="00CC4B57">
        <w:rPr>
          <w:rFonts w:eastAsia="Times New Roman"/>
          <w:szCs w:val="22"/>
          <w:lang w:val="fr-FR"/>
        </w:rPr>
        <w:t>un ouvrage donné est protégé par des mesures techniques.</w:t>
      </w:r>
    </w:p>
    <w:p w:rsidR="00BB45F5" w:rsidRPr="00CC4B57" w:rsidRDefault="00BB45F5" w:rsidP="006D2A00">
      <w:pPr>
        <w:rPr>
          <w:rFonts w:eastAsia="Times New Roman"/>
          <w:szCs w:val="22"/>
          <w:lang w:val="fr-FR"/>
        </w:rPr>
      </w:pPr>
    </w:p>
    <w:p w:rsidR="00BB45F5" w:rsidRPr="00CC4B57" w:rsidRDefault="00DC6B3B" w:rsidP="00DC6B3B">
      <w:pPr>
        <w:rPr>
          <w:rFonts w:eastAsia="Times New Roman"/>
          <w:szCs w:val="22"/>
          <w:lang w:val="fr-FR"/>
        </w:rPr>
      </w:pPr>
      <w:r w:rsidRPr="00CC4B57">
        <w:rPr>
          <w:rFonts w:eastAsia="Times New Roman"/>
          <w:szCs w:val="22"/>
          <w:lang w:val="fr-FR"/>
        </w:rPr>
        <w:t>Dans les cas où la législation d</w:t>
      </w:r>
      <w:r w:rsidR="0045102F" w:rsidRPr="00CC4B57">
        <w:rPr>
          <w:rFonts w:eastAsia="Times New Roman"/>
          <w:szCs w:val="22"/>
          <w:lang w:val="fr-FR"/>
        </w:rPr>
        <w:t>’</w:t>
      </w:r>
      <w:r w:rsidRPr="00CC4B57">
        <w:rPr>
          <w:rFonts w:eastAsia="Times New Roman"/>
          <w:szCs w:val="22"/>
          <w:lang w:val="fr-FR"/>
        </w:rPr>
        <w:t>un pays ne compte aucune exception en faveur des bibliothèques, ce point est mentionné au début du tableau concernant ce pays</w:t>
      </w:r>
      <w:r w:rsidRPr="00CC4B57">
        <w:rPr>
          <w:rStyle w:val="FootnoteReference"/>
          <w:lang w:val="fr-FR"/>
        </w:rPr>
        <w:footnoteReference w:id="9"/>
      </w:r>
      <w:r w:rsidR="00117E3A" w:rsidRPr="00CC4B57">
        <w:rPr>
          <w:rFonts w:eastAsia="Times New Roman"/>
          <w:szCs w:val="22"/>
          <w:lang w:val="fr-FR"/>
        </w:rPr>
        <w:t>.</w:t>
      </w:r>
      <w:r w:rsidR="006D2A00" w:rsidRPr="00CC4B57">
        <w:rPr>
          <w:rFonts w:eastAsia="Times New Roman"/>
          <w:szCs w:val="22"/>
          <w:lang w:val="fr-FR"/>
        </w:rPr>
        <w:t xml:space="preserve">  </w:t>
      </w:r>
      <w:r w:rsidRPr="00CC4B57">
        <w:rPr>
          <w:rFonts w:eastAsia="Times New Roman"/>
          <w:szCs w:val="22"/>
          <w:lang w:val="fr-FR"/>
        </w:rPr>
        <w:t>Dans les autres cas, les tableaux présentent les sujets sur lesquels portent les textes de loi, répartis comme suit</w:t>
      </w:r>
      <w:r w:rsidR="0045102F" w:rsidRPr="00CC4B57">
        <w:rPr>
          <w:rFonts w:eastAsia="Times New Roman"/>
          <w:szCs w:val="22"/>
          <w:lang w:val="fr-FR"/>
        </w:rPr>
        <w:t> :</w:t>
      </w:r>
    </w:p>
    <w:p w:rsidR="00BB45F5" w:rsidRPr="00CC4B57" w:rsidRDefault="00BB45F5" w:rsidP="006D2A00">
      <w:pPr>
        <w:rPr>
          <w:rFonts w:eastAsia="Times New Roman"/>
          <w:szCs w:val="22"/>
          <w:lang w:val="fr-FR"/>
        </w:rPr>
      </w:pPr>
    </w:p>
    <w:p w:rsidR="00BB45F5" w:rsidRPr="00CC4B57" w:rsidRDefault="00DC6B3B" w:rsidP="00DC6B3B">
      <w:pPr>
        <w:numPr>
          <w:ilvl w:val="0"/>
          <w:numId w:val="8"/>
        </w:numPr>
        <w:tabs>
          <w:tab w:val="left" w:pos="720"/>
        </w:tabs>
        <w:ind w:left="714" w:hanging="357"/>
        <w:contextualSpacing/>
        <w:rPr>
          <w:rFonts w:eastAsia="Times New Roman"/>
          <w:szCs w:val="22"/>
          <w:lang w:val="fr-FR"/>
        </w:rPr>
      </w:pPr>
      <w:r w:rsidRPr="00CC4B57">
        <w:rPr>
          <w:rFonts w:eastAsia="Times New Roman"/>
          <w:szCs w:val="22"/>
          <w:lang w:val="fr-FR"/>
        </w:rPr>
        <w:t>Exception générale en faveur des bibliothèqu</w:t>
      </w:r>
      <w:r w:rsidR="00753BBF" w:rsidRPr="00CC4B57">
        <w:rPr>
          <w:rFonts w:eastAsia="Times New Roman"/>
          <w:szCs w:val="22"/>
          <w:lang w:val="fr-FR"/>
        </w:rPr>
        <w:t>es.  Ce</w:t>
      </w:r>
      <w:r w:rsidRPr="00CC4B57">
        <w:rPr>
          <w:rFonts w:eastAsia="Times New Roman"/>
          <w:szCs w:val="22"/>
          <w:lang w:val="fr-FR"/>
        </w:rPr>
        <w:t>rtains pays appliquent une disposition générale et souple autorisant les bibliothèques ou d</w:t>
      </w:r>
      <w:r w:rsidR="0045102F" w:rsidRPr="00CC4B57">
        <w:rPr>
          <w:rFonts w:eastAsia="Times New Roman"/>
          <w:szCs w:val="22"/>
          <w:lang w:val="fr-FR"/>
        </w:rPr>
        <w:t>’</w:t>
      </w:r>
      <w:r w:rsidRPr="00CC4B57">
        <w:rPr>
          <w:rFonts w:eastAsia="Times New Roman"/>
          <w:szCs w:val="22"/>
          <w:lang w:val="fr-FR"/>
        </w:rPr>
        <w:t>autres institutions à réaliser des copies d</w:t>
      </w:r>
      <w:r w:rsidR="0045102F" w:rsidRPr="00CC4B57">
        <w:rPr>
          <w:rFonts w:eastAsia="Times New Roman"/>
          <w:szCs w:val="22"/>
          <w:lang w:val="fr-FR"/>
        </w:rPr>
        <w:t>’</w:t>
      </w:r>
      <w:r w:rsidRPr="00CC4B57">
        <w:rPr>
          <w:rFonts w:eastAsia="Times New Roman"/>
          <w:szCs w:val="22"/>
          <w:lang w:val="fr-FR"/>
        </w:rPr>
        <w:t>œuvres, le plus souvent sous différentes conditions, à des fins qui ne sont pas délimité</w:t>
      </w:r>
      <w:r w:rsidR="00753BBF" w:rsidRPr="00CC4B57">
        <w:rPr>
          <w:rFonts w:eastAsia="Times New Roman"/>
          <w:szCs w:val="22"/>
          <w:lang w:val="fr-FR"/>
        </w:rPr>
        <w:t>es.  Le</w:t>
      </w:r>
      <w:r w:rsidRPr="00CC4B57">
        <w:rPr>
          <w:rFonts w:eastAsia="Times New Roman"/>
          <w:szCs w:val="22"/>
          <w:lang w:val="fr-FR"/>
        </w:rPr>
        <w:t xml:space="preserve"> tableau ci</w:t>
      </w:r>
      <w:r w:rsidR="00BA4B95" w:rsidRPr="00CC4B57">
        <w:rPr>
          <w:rFonts w:eastAsia="Times New Roman"/>
          <w:szCs w:val="22"/>
          <w:lang w:val="fr-FR"/>
        </w:rPr>
        <w:noBreakHyphen/>
      </w:r>
      <w:r w:rsidRPr="00CC4B57">
        <w:rPr>
          <w:rFonts w:eastAsia="Times New Roman"/>
          <w:szCs w:val="22"/>
          <w:lang w:val="fr-FR"/>
        </w:rPr>
        <w:t>après indique le nombre de pays qui disposent uniquement d</w:t>
      </w:r>
      <w:r w:rsidR="0045102F" w:rsidRPr="00CC4B57">
        <w:rPr>
          <w:rFonts w:eastAsia="Times New Roman"/>
          <w:szCs w:val="22"/>
          <w:lang w:val="fr-FR"/>
        </w:rPr>
        <w:t>’</w:t>
      </w:r>
      <w:r w:rsidRPr="00CC4B57">
        <w:rPr>
          <w:rFonts w:eastAsia="Times New Roman"/>
          <w:szCs w:val="22"/>
          <w:lang w:val="fr-FR"/>
        </w:rPr>
        <w:t>une exception générale en faveur des bibliothèqu</w:t>
      </w:r>
      <w:r w:rsidR="00753BBF" w:rsidRPr="00CC4B57">
        <w:rPr>
          <w:rFonts w:eastAsia="Times New Roman"/>
          <w:szCs w:val="22"/>
          <w:lang w:val="fr-FR"/>
        </w:rPr>
        <w:t>es.  Le</w:t>
      </w:r>
      <w:r w:rsidRPr="00CC4B57">
        <w:rPr>
          <w:rFonts w:eastAsia="Times New Roman"/>
          <w:szCs w:val="22"/>
          <w:lang w:val="fr-FR"/>
        </w:rPr>
        <w:t xml:space="preserve"> nombre de pays comptant une exception générale associée à d</w:t>
      </w:r>
      <w:r w:rsidR="0045102F" w:rsidRPr="00CC4B57">
        <w:rPr>
          <w:rFonts w:eastAsia="Times New Roman"/>
          <w:szCs w:val="22"/>
          <w:lang w:val="fr-FR"/>
        </w:rPr>
        <w:t>’</w:t>
      </w:r>
      <w:r w:rsidRPr="00CC4B57">
        <w:rPr>
          <w:rFonts w:eastAsia="Times New Roman"/>
          <w:szCs w:val="22"/>
          <w:lang w:val="fr-FR"/>
        </w:rPr>
        <w:t>autres dispositions est bien plus important, mais il est particulièrement intéressant d</w:t>
      </w:r>
      <w:r w:rsidR="0045102F" w:rsidRPr="00CC4B57">
        <w:rPr>
          <w:rFonts w:eastAsia="Times New Roman"/>
          <w:szCs w:val="22"/>
          <w:lang w:val="fr-FR"/>
        </w:rPr>
        <w:t>’</w:t>
      </w:r>
      <w:r w:rsidRPr="00CC4B57">
        <w:rPr>
          <w:rFonts w:eastAsia="Times New Roman"/>
          <w:szCs w:val="22"/>
          <w:lang w:val="fr-FR"/>
        </w:rPr>
        <w:t>observer que ces pays se fondent uniquement sur une exception générale et ne bénéficient pas des avantages qui découlent d</w:t>
      </w:r>
      <w:r w:rsidR="0045102F" w:rsidRPr="00CC4B57">
        <w:rPr>
          <w:rFonts w:eastAsia="Times New Roman"/>
          <w:szCs w:val="22"/>
          <w:lang w:val="fr-FR"/>
        </w:rPr>
        <w:t>’</w:t>
      </w:r>
      <w:r w:rsidRPr="00CC4B57">
        <w:rPr>
          <w:rFonts w:eastAsia="Times New Roman"/>
          <w:szCs w:val="22"/>
          <w:lang w:val="fr-FR"/>
        </w:rPr>
        <w:t>un texte de loi visant directement les bibliothèques.</w:t>
      </w:r>
    </w:p>
    <w:p w:rsidR="00BB45F5" w:rsidRPr="00CC4B57" w:rsidRDefault="00BB45F5" w:rsidP="006D2A00">
      <w:pPr>
        <w:tabs>
          <w:tab w:val="left" w:pos="720"/>
        </w:tabs>
        <w:ind w:left="714"/>
        <w:rPr>
          <w:rFonts w:eastAsia="Times New Roman"/>
          <w:szCs w:val="22"/>
          <w:lang w:val="fr-FR"/>
        </w:rPr>
      </w:pPr>
    </w:p>
    <w:p w:rsidR="00BB45F5" w:rsidRPr="00CC4B57" w:rsidRDefault="00DC6B3B" w:rsidP="00DC6B3B">
      <w:pPr>
        <w:numPr>
          <w:ilvl w:val="0"/>
          <w:numId w:val="8"/>
        </w:numPr>
        <w:tabs>
          <w:tab w:val="left" w:pos="720"/>
        </w:tabs>
        <w:ind w:left="714" w:hanging="357"/>
        <w:contextualSpacing/>
        <w:rPr>
          <w:rFonts w:eastAsia="Times New Roman"/>
          <w:szCs w:val="22"/>
          <w:lang w:val="fr-FR"/>
        </w:rPr>
      </w:pPr>
      <w:r w:rsidRPr="00CC4B57">
        <w:rPr>
          <w:rFonts w:eastAsia="Times New Roman"/>
          <w:szCs w:val="22"/>
          <w:lang w:val="fr-FR"/>
        </w:rPr>
        <w:t>Copies à des fins de recherche et d</w:t>
      </w:r>
      <w:r w:rsidR="0045102F" w:rsidRPr="00CC4B57">
        <w:rPr>
          <w:rFonts w:eastAsia="Times New Roman"/>
          <w:szCs w:val="22"/>
          <w:lang w:val="fr-FR"/>
        </w:rPr>
        <w:t>’</w:t>
      </w:r>
      <w:r w:rsidRPr="00CC4B57">
        <w:rPr>
          <w:rFonts w:eastAsia="Times New Roman"/>
          <w:szCs w:val="22"/>
          <w:lang w:val="fr-FR"/>
        </w:rPr>
        <w:t>étu</w:t>
      </w:r>
      <w:r w:rsidR="00753BBF" w:rsidRPr="00CC4B57">
        <w:rPr>
          <w:rFonts w:eastAsia="Times New Roman"/>
          <w:szCs w:val="22"/>
          <w:lang w:val="fr-FR"/>
        </w:rPr>
        <w:t>de.  L’u</w:t>
      </w:r>
      <w:r w:rsidRPr="00CC4B57">
        <w:rPr>
          <w:rFonts w:eastAsia="Times New Roman"/>
          <w:szCs w:val="22"/>
          <w:lang w:val="fr-FR"/>
        </w:rPr>
        <w:t>n des thèmes les plus fréquemment traités dans les textes de loi examinés dans le cadre de cette étude est la possibilité pour les bibliothèques ou d</w:t>
      </w:r>
      <w:r w:rsidR="0045102F" w:rsidRPr="00CC4B57">
        <w:rPr>
          <w:rFonts w:eastAsia="Times New Roman"/>
          <w:szCs w:val="22"/>
          <w:lang w:val="fr-FR"/>
        </w:rPr>
        <w:t>’</w:t>
      </w:r>
      <w:r w:rsidRPr="00CC4B57">
        <w:rPr>
          <w:rFonts w:eastAsia="Times New Roman"/>
          <w:szCs w:val="22"/>
          <w:lang w:val="fr-FR"/>
        </w:rPr>
        <w:t>autres institutions d</w:t>
      </w:r>
      <w:r w:rsidR="0045102F" w:rsidRPr="00CC4B57">
        <w:rPr>
          <w:rFonts w:eastAsia="Times New Roman"/>
          <w:szCs w:val="22"/>
          <w:lang w:val="fr-FR"/>
        </w:rPr>
        <w:t>’</w:t>
      </w:r>
      <w:r w:rsidRPr="00CC4B57">
        <w:rPr>
          <w:rFonts w:eastAsia="Times New Roman"/>
          <w:szCs w:val="22"/>
          <w:lang w:val="fr-FR"/>
        </w:rPr>
        <w:t>effectuer des copies (généralement des copies uniques) à la demande des utilisateurs, souvent exclusivement aux fins des travaux de recherche ou d</w:t>
      </w:r>
      <w:r w:rsidR="0045102F" w:rsidRPr="00CC4B57">
        <w:rPr>
          <w:rFonts w:eastAsia="Times New Roman"/>
          <w:szCs w:val="22"/>
          <w:lang w:val="fr-FR"/>
        </w:rPr>
        <w:t>’</w:t>
      </w:r>
      <w:r w:rsidRPr="00CC4B57">
        <w:rPr>
          <w:rFonts w:eastAsia="Times New Roman"/>
          <w:szCs w:val="22"/>
          <w:lang w:val="fr-FR"/>
        </w:rPr>
        <w:t>étude menés à titre privé par ces personn</w:t>
      </w:r>
      <w:r w:rsidR="00753BBF" w:rsidRPr="00CC4B57">
        <w:rPr>
          <w:rFonts w:eastAsia="Times New Roman"/>
          <w:szCs w:val="22"/>
          <w:lang w:val="fr-FR"/>
        </w:rPr>
        <w:t>es.  Da</w:t>
      </w:r>
      <w:r w:rsidRPr="00CC4B57">
        <w:rPr>
          <w:rFonts w:eastAsia="Times New Roman"/>
          <w:szCs w:val="22"/>
          <w:lang w:val="fr-FR"/>
        </w:rPr>
        <w:t>ns cette catégorie figure toute disposition permettant aux bibliothèques d</w:t>
      </w:r>
      <w:r w:rsidR="0045102F" w:rsidRPr="00CC4B57">
        <w:rPr>
          <w:rFonts w:eastAsia="Times New Roman"/>
          <w:szCs w:val="22"/>
          <w:lang w:val="fr-FR"/>
        </w:rPr>
        <w:t>’</w:t>
      </w:r>
      <w:r w:rsidRPr="00CC4B57">
        <w:rPr>
          <w:rFonts w:eastAsia="Times New Roman"/>
          <w:szCs w:val="22"/>
          <w:lang w:val="fr-FR"/>
        </w:rPr>
        <w:t>effectuer des copies d</w:t>
      </w:r>
      <w:r w:rsidR="0045102F" w:rsidRPr="00CC4B57">
        <w:rPr>
          <w:rFonts w:eastAsia="Times New Roman"/>
          <w:szCs w:val="22"/>
          <w:lang w:val="fr-FR"/>
        </w:rPr>
        <w:t>’</w:t>
      </w:r>
      <w:r w:rsidRPr="00CC4B57">
        <w:rPr>
          <w:rFonts w:eastAsia="Times New Roman"/>
          <w:szCs w:val="22"/>
          <w:lang w:val="fr-FR"/>
        </w:rPr>
        <w:t>œuvres pour le compte des utilisateurs, que les termes “recherche et étude” apparaissent ou non dans le texte.</w:t>
      </w:r>
    </w:p>
    <w:p w:rsidR="00BB45F5" w:rsidRPr="00CC4B57" w:rsidRDefault="00BB45F5" w:rsidP="006D2A00">
      <w:pPr>
        <w:ind w:left="720"/>
        <w:rPr>
          <w:rFonts w:eastAsia="Times New Roman"/>
          <w:szCs w:val="22"/>
          <w:lang w:val="fr-FR"/>
        </w:rPr>
      </w:pPr>
    </w:p>
    <w:p w:rsidR="00BB45F5" w:rsidRPr="00CC4B57" w:rsidRDefault="00DC6B3B" w:rsidP="00703B46">
      <w:pPr>
        <w:numPr>
          <w:ilvl w:val="0"/>
          <w:numId w:val="8"/>
        </w:numPr>
        <w:tabs>
          <w:tab w:val="left" w:pos="720"/>
        </w:tabs>
        <w:ind w:left="714" w:hanging="357"/>
        <w:contextualSpacing/>
        <w:rPr>
          <w:rFonts w:eastAsia="Times New Roman"/>
          <w:szCs w:val="22"/>
          <w:lang w:val="fr-FR"/>
        </w:rPr>
      </w:pPr>
      <w:r w:rsidRPr="00CC4B57">
        <w:rPr>
          <w:rFonts w:eastAsia="Times New Roman"/>
          <w:szCs w:val="22"/>
          <w:lang w:val="fr-FR"/>
        </w:rPr>
        <w:t>Mise à dispositi</w:t>
      </w:r>
      <w:r w:rsidR="00753BBF" w:rsidRPr="00CC4B57">
        <w:rPr>
          <w:rFonts w:eastAsia="Times New Roman"/>
          <w:szCs w:val="22"/>
          <w:lang w:val="fr-FR"/>
        </w:rPr>
        <w:t>on.  Su</w:t>
      </w:r>
      <w:r w:rsidRPr="00CC4B57">
        <w:rPr>
          <w:rFonts w:eastAsia="Times New Roman"/>
          <w:szCs w:val="22"/>
          <w:lang w:val="fr-FR"/>
        </w:rPr>
        <w:t>ite à l</w:t>
      </w:r>
      <w:r w:rsidR="0045102F" w:rsidRPr="00CC4B57">
        <w:rPr>
          <w:rFonts w:eastAsia="Times New Roman"/>
          <w:szCs w:val="22"/>
          <w:lang w:val="fr-FR"/>
        </w:rPr>
        <w:t>’</w:t>
      </w:r>
      <w:r w:rsidRPr="00CC4B57">
        <w:rPr>
          <w:rFonts w:eastAsia="Times New Roman"/>
          <w:szCs w:val="22"/>
          <w:lang w:val="fr-FR"/>
        </w:rPr>
        <w:t>adoption par l</w:t>
      </w:r>
      <w:r w:rsidR="0045102F" w:rsidRPr="00CC4B57">
        <w:rPr>
          <w:rFonts w:eastAsia="Times New Roman"/>
          <w:szCs w:val="22"/>
          <w:lang w:val="fr-FR"/>
        </w:rPr>
        <w:t>’</w:t>
      </w:r>
      <w:r w:rsidRPr="00CC4B57">
        <w:rPr>
          <w:rFonts w:eastAsia="Times New Roman"/>
          <w:szCs w:val="22"/>
          <w:lang w:val="fr-FR"/>
        </w:rPr>
        <w:t xml:space="preserve">Union européenne </w:t>
      </w:r>
      <w:r w:rsidR="0096345D" w:rsidRPr="00CC4B57">
        <w:rPr>
          <w:rFonts w:eastAsia="Times New Roman"/>
          <w:szCs w:val="22"/>
          <w:lang w:val="fr-FR"/>
        </w:rPr>
        <w:t>en 2001</w:t>
      </w:r>
      <w:r w:rsidRPr="00CC4B57">
        <w:rPr>
          <w:rFonts w:eastAsia="Times New Roman"/>
          <w:szCs w:val="22"/>
          <w:lang w:val="fr-FR"/>
        </w:rPr>
        <w:t xml:space="preserve"> de la directive mentionnée plus haut, de nombreux pays européens ont adopté un texte de loi visant à autoriser les bibliothèques à mettre les œuvres numériques à la disposition des utilisateurs sur place, généralement pour leurs travaux de recherche ou d</w:t>
      </w:r>
      <w:r w:rsidR="0045102F" w:rsidRPr="00CC4B57">
        <w:rPr>
          <w:rFonts w:eastAsia="Times New Roman"/>
          <w:szCs w:val="22"/>
          <w:lang w:val="fr-FR"/>
        </w:rPr>
        <w:t>’</w:t>
      </w:r>
      <w:r w:rsidRPr="00CC4B57">
        <w:rPr>
          <w:rFonts w:eastAsia="Times New Roman"/>
          <w:szCs w:val="22"/>
          <w:lang w:val="fr-FR"/>
        </w:rPr>
        <w:t>étu</w:t>
      </w:r>
      <w:r w:rsidR="00753BBF" w:rsidRPr="00CC4B57">
        <w:rPr>
          <w:rFonts w:eastAsia="Times New Roman"/>
          <w:szCs w:val="22"/>
          <w:lang w:val="fr-FR"/>
        </w:rPr>
        <w:t>de.  Le</w:t>
      </w:r>
      <w:r w:rsidR="00703B46" w:rsidRPr="00CC4B57">
        <w:rPr>
          <w:rFonts w:eastAsia="Times New Roman"/>
          <w:szCs w:val="22"/>
          <w:lang w:val="fr-FR"/>
        </w:rPr>
        <w:t xml:space="preserve"> tableau ci</w:t>
      </w:r>
      <w:r w:rsidR="00BA4B95" w:rsidRPr="00CC4B57">
        <w:rPr>
          <w:rFonts w:eastAsia="Times New Roman"/>
          <w:szCs w:val="22"/>
          <w:lang w:val="fr-FR"/>
        </w:rPr>
        <w:noBreakHyphen/>
      </w:r>
      <w:r w:rsidR="00703B46" w:rsidRPr="00CC4B57">
        <w:rPr>
          <w:rFonts w:eastAsia="Times New Roman"/>
          <w:szCs w:val="22"/>
          <w:lang w:val="fr-FR"/>
        </w:rPr>
        <w:t>après indique de nombreux pays non membres de l</w:t>
      </w:r>
      <w:r w:rsidR="0045102F" w:rsidRPr="00CC4B57">
        <w:rPr>
          <w:rFonts w:eastAsia="Times New Roman"/>
          <w:szCs w:val="22"/>
          <w:lang w:val="fr-FR"/>
        </w:rPr>
        <w:t>’</w:t>
      </w:r>
      <w:r w:rsidR="00703B46" w:rsidRPr="00CC4B57">
        <w:rPr>
          <w:rFonts w:eastAsia="Times New Roman"/>
          <w:szCs w:val="22"/>
          <w:lang w:val="fr-FR"/>
        </w:rPr>
        <w:t>Union européenne qui ont adopté ce type de dispositions.</w:t>
      </w:r>
    </w:p>
    <w:p w:rsidR="00BB45F5" w:rsidRPr="00CC4B57" w:rsidRDefault="00BB45F5" w:rsidP="006D2A00">
      <w:pPr>
        <w:ind w:left="720"/>
        <w:rPr>
          <w:rFonts w:eastAsia="Times New Roman"/>
          <w:szCs w:val="22"/>
          <w:lang w:val="fr-FR"/>
        </w:rPr>
      </w:pPr>
    </w:p>
    <w:p w:rsidR="00BB45F5" w:rsidRPr="00CC4B57" w:rsidRDefault="00703B46" w:rsidP="00703B46">
      <w:pPr>
        <w:numPr>
          <w:ilvl w:val="0"/>
          <w:numId w:val="8"/>
        </w:numPr>
        <w:tabs>
          <w:tab w:val="left" w:pos="720"/>
        </w:tabs>
        <w:ind w:left="714" w:hanging="357"/>
        <w:contextualSpacing/>
        <w:rPr>
          <w:rFonts w:eastAsia="Times New Roman"/>
          <w:szCs w:val="22"/>
          <w:lang w:val="fr-FR"/>
        </w:rPr>
      </w:pPr>
      <w:r w:rsidRPr="00CC4B57">
        <w:rPr>
          <w:rFonts w:eastAsia="Times New Roman"/>
          <w:szCs w:val="22"/>
          <w:lang w:val="fr-FR"/>
        </w:rPr>
        <w:t>Copies à des fins de préservation ou de remplaceme</w:t>
      </w:r>
      <w:r w:rsidR="00753BBF" w:rsidRPr="00CC4B57">
        <w:rPr>
          <w:rFonts w:eastAsia="Times New Roman"/>
          <w:szCs w:val="22"/>
          <w:lang w:val="fr-FR"/>
        </w:rPr>
        <w:t>nt.  Pa</w:t>
      </w:r>
      <w:r w:rsidRPr="00CC4B57">
        <w:rPr>
          <w:rFonts w:eastAsia="Times New Roman"/>
          <w:szCs w:val="22"/>
          <w:lang w:val="fr-FR"/>
        </w:rPr>
        <w:t>rmi les exceptions les plus courantes en faveur des bibliothèques, on compte des textes de loi en vertu desquels les bibliothèques sont autorisées à effectuer des copies d</w:t>
      </w:r>
      <w:r w:rsidR="0045102F" w:rsidRPr="00CC4B57">
        <w:rPr>
          <w:rFonts w:eastAsia="Times New Roman"/>
          <w:szCs w:val="22"/>
          <w:lang w:val="fr-FR"/>
        </w:rPr>
        <w:t>’</w:t>
      </w:r>
      <w:r w:rsidRPr="00CC4B57">
        <w:rPr>
          <w:rFonts w:eastAsia="Times New Roman"/>
          <w:szCs w:val="22"/>
          <w:lang w:val="fr-FR"/>
        </w:rPr>
        <w:t>œuvres à des fins de préservation, sans qu</w:t>
      </w:r>
      <w:r w:rsidR="0045102F" w:rsidRPr="00CC4B57">
        <w:rPr>
          <w:rFonts w:eastAsia="Times New Roman"/>
          <w:szCs w:val="22"/>
          <w:lang w:val="fr-FR"/>
        </w:rPr>
        <w:t>’</w:t>
      </w:r>
      <w:r w:rsidRPr="00CC4B57">
        <w:rPr>
          <w:rFonts w:eastAsia="Times New Roman"/>
          <w:szCs w:val="22"/>
          <w:lang w:val="fr-FR"/>
        </w:rPr>
        <w:t>il soit nécessaire pour autant qu</w:t>
      </w:r>
      <w:r w:rsidR="0045102F" w:rsidRPr="00CC4B57">
        <w:rPr>
          <w:rFonts w:eastAsia="Times New Roman"/>
          <w:szCs w:val="22"/>
          <w:lang w:val="fr-FR"/>
        </w:rPr>
        <w:t>’</w:t>
      </w:r>
      <w:r w:rsidRPr="00CC4B57">
        <w:rPr>
          <w:rFonts w:eastAsia="Times New Roman"/>
          <w:szCs w:val="22"/>
          <w:lang w:val="fr-FR"/>
        </w:rPr>
        <w:t>un risque pèse sur l</w:t>
      </w:r>
      <w:r w:rsidR="0045102F" w:rsidRPr="00CC4B57">
        <w:rPr>
          <w:rFonts w:eastAsia="Times New Roman"/>
          <w:szCs w:val="22"/>
          <w:lang w:val="fr-FR"/>
        </w:rPr>
        <w:t>’</w:t>
      </w:r>
      <w:r w:rsidRPr="00CC4B57">
        <w:rPr>
          <w:rFonts w:eastAsia="Times New Roman"/>
          <w:szCs w:val="22"/>
          <w:lang w:val="fr-FR"/>
        </w:rPr>
        <w:t>œuvre en questi</w:t>
      </w:r>
      <w:r w:rsidR="00753BBF" w:rsidRPr="00CC4B57">
        <w:rPr>
          <w:rFonts w:eastAsia="Times New Roman"/>
          <w:szCs w:val="22"/>
          <w:lang w:val="fr-FR"/>
        </w:rPr>
        <w:t>on.  Il</w:t>
      </w:r>
      <w:r w:rsidRPr="00CC4B57">
        <w:rPr>
          <w:rFonts w:eastAsia="Times New Roman"/>
          <w:szCs w:val="22"/>
          <w:lang w:val="fr-FR"/>
        </w:rPr>
        <w:t xml:space="preserve"> en va pratiquement de même des textes de loi permettant aux bibliothèques de remplacer des exemplaires existants de leur collection, ou de la collection d</w:t>
      </w:r>
      <w:r w:rsidR="0045102F" w:rsidRPr="00CC4B57">
        <w:rPr>
          <w:rFonts w:eastAsia="Times New Roman"/>
          <w:szCs w:val="22"/>
          <w:lang w:val="fr-FR"/>
        </w:rPr>
        <w:t>’</w:t>
      </w:r>
      <w:r w:rsidRPr="00CC4B57">
        <w:rPr>
          <w:rFonts w:eastAsia="Times New Roman"/>
          <w:szCs w:val="22"/>
          <w:lang w:val="fr-FR"/>
        </w:rPr>
        <w:t>une autre bibliothèque, lorsque ces derniers ont été perdus, endommagés, détériorés ou ont été exposés à un autre risque.</w:t>
      </w:r>
    </w:p>
    <w:p w:rsidR="00BB45F5" w:rsidRPr="00CC4B57" w:rsidRDefault="00BB45F5" w:rsidP="006D2A00">
      <w:pPr>
        <w:ind w:left="720"/>
        <w:rPr>
          <w:rFonts w:eastAsia="Times New Roman"/>
          <w:szCs w:val="22"/>
          <w:lang w:val="fr-FR"/>
        </w:rPr>
      </w:pPr>
    </w:p>
    <w:p w:rsidR="00BB45F5" w:rsidRPr="00CC4B57" w:rsidRDefault="00703B46" w:rsidP="00703B46">
      <w:pPr>
        <w:numPr>
          <w:ilvl w:val="0"/>
          <w:numId w:val="8"/>
        </w:numPr>
        <w:tabs>
          <w:tab w:val="left" w:pos="720"/>
        </w:tabs>
        <w:ind w:left="714" w:hanging="357"/>
        <w:contextualSpacing/>
        <w:rPr>
          <w:rFonts w:eastAsia="Times New Roman"/>
          <w:szCs w:val="22"/>
          <w:lang w:val="fr-FR"/>
        </w:rPr>
      </w:pPr>
      <w:r w:rsidRPr="00CC4B57">
        <w:rPr>
          <w:rFonts w:eastAsia="Times New Roman"/>
          <w:szCs w:val="22"/>
          <w:lang w:val="fr-FR"/>
        </w:rPr>
        <w:t>Prêt entre bibliothèques ou fourniture de documen</w:t>
      </w:r>
      <w:r w:rsidR="00753BBF" w:rsidRPr="00CC4B57">
        <w:rPr>
          <w:rFonts w:eastAsia="Times New Roman"/>
          <w:szCs w:val="22"/>
          <w:lang w:val="fr-FR"/>
        </w:rPr>
        <w:t>ts.  Le</w:t>
      </w:r>
      <w:r w:rsidRPr="00CC4B57">
        <w:rPr>
          <w:rFonts w:eastAsia="Times New Roman"/>
          <w:szCs w:val="22"/>
          <w:lang w:val="fr-FR"/>
        </w:rPr>
        <w:t>s dispositions en vertu desquelles les bibliothèques sont autorisées à réaliser des copies d</w:t>
      </w:r>
      <w:r w:rsidR="0045102F" w:rsidRPr="00CC4B57">
        <w:rPr>
          <w:rFonts w:eastAsia="Times New Roman"/>
          <w:szCs w:val="22"/>
          <w:lang w:val="fr-FR"/>
        </w:rPr>
        <w:t>’</w:t>
      </w:r>
      <w:r w:rsidRPr="00CC4B57">
        <w:rPr>
          <w:rFonts w:eastAsia="Times New Roman"/>
          <w:szCs w:val="22"/>
          <w:lang w:val="fr-FR"/>
        </w:rPr>
        <w:t>œuvres en vue de les fournir à d</w:t>
      </w:r>
      <w:r w:rsidR="0045102F" w:rsidRPr="00CC4B57">
        <w:rPr>
          <w:rFonts w:eastAsia="Times New Roman"/>
          <w:szCs w:val="22"/>
          <w:lang w:val="fr-FR"/>
        </w:rPr>
        <w:t>’</w:t>
      </w:r>
      <w:r w:rsidRPr="00CC4B57">
        <w:rPr>
          <w:rFonts w:eastAsia="Times New Roman"/>
          <w:szCs w:val="22"/>
          <w:lang w:val="fr-FR"/>
        </w:rPr>
        <w:t>autres bibliothèques pour leur propre usage ou pour le prêt aux utilisateurs à leur demande sont beaucoup moins courantes.</w:t>
      </w:r>
    </w:p>
    <w:p w:rsidR="00BB45F5" w:rsidRPr="00CC4B57" w:rsidRDefault="00BB45F5" w:rsidP="006D2A00">
      <w:pPr>
        <w:ind w:left="720"/>
        <w:rPr>
          <w:rFonts w:eastAsia="Times New Roman"/>
          <w:szCs w:val="22"/>
          <w:lang w:val="fr-FR"/>
        </w:rPr>
      </w:pPr>
    </w:p>
    <w:p w:rsidR="00BB45F5" w:rsidRPr="00CC4B57" w:rsidRDefault="00703B46" w:rsidP="00703B46">
      <w:pPr>
        <w:numPr>
          <w:ilvl w:val="0"/>
          <w:numId w:val="8"/>
        </w:numPr>
        <w:tabs>
          <w:tab w:val="left" w:pos="720"/>
        </w:tabs>
        <w:ind w:left="714" w:hanging="357"/>
        <w:contextualSpacing/>
        <w:rPr>
          <w:rFonts w:eastAsia="Times New Roman"/>
          <w:szCs w:val="22"/>
          <w:lang w:val="fr-FR"/>
        </w:rPr>
      </w:pPr>
      <w:proofErr w:type="spellStart"/>
      <w:r w:rsidRPr="00CC4B57">
        <w:rPr>
          <w:rFonts w:eastAsia="Times New Roman"/>
          <w:szCs w:val="22"/>
          <w:lang w:val="fr-FR"/>
        </w:rPr>
        <w:t>Antineutralisati</w:t>
      </w:r>
      <w:r w:rsidR="00753BBF" w:rsidRPr="00CC4B57">
        <w:rPr>
          <w:rFonts w:eastAsia="Times New Roman"/>
          <w:szCs w:val="22"/>
          <w:lang w:val="fr-FR"/>
        </w:rPr>
        <w:t>on</w:t>
      </w:r>
      <w:proofErr w:type="spellEnd"/>
      <w:r w:rsidR="00753BBF" w:rsidRPr="00CC4B57">
        <w:rPr>
          <w:rFonts w:eastAsia="Times New Roman"/>
          <w:szCs w:val="22"/>
          <w:lang w:val="fr-FR"/>
        </w:rPr>
        <w:t>.  De</w:t>
      </w:r>
      <w:r w:rsidRPr="00CC4B57">
        <w:rPr>
          <w:rFonts w:eastAsia="Times New Roman"/>
          <w:szCs w:val="22"/>
          <w:lang w:val="fr-FR"/>
        </w:rPr>
        <w:t xml:space="preserve"> nombreux pays ont adopté des dispositions interdisant la neutralisation des mesures techniques de protecti</w:t>
      </w:r>
      <w:r w:rsidR="00753BBF" w:rsidRPr="00CC4B57">
        <w:rPr>
          <w:rFonts w:eastAsia="Times New Roman"/>
          <w:szCs w:val="22"/>
          <w:lang w:val="fr-FR"/>
        </w:rPr>
        <w:t>on.  Pa</w:t>
      </w:r>
      <w:r w:rsidRPr="00CC4B57">
        <w:rPr>
          <w:rFonts w:eastAsia="Times New Roman"/>
          <w:szCs w:val="22"/>
          <w:lang w:val="fr-FR"/>
        </w:rPr>
        <w:t>rmi ces pays, quelques</w:t>
      </w:r>
      <w:r w:rsidR="00BA4B95" w:rsidRPr="00CC4B57">
        <w:rPr>
          <w:rFonts w:eastAsia="Times New Roman"/>
          <w:szCs w:val="22"/>
          <w:lang w:val="fr-FR"/>
        </w:rPr>
        <w:noBreakHyphen/>
      </w:r>
      <w:r w:rsidRPr="00CC4B57">
        <w:rPr>
          <w:rFonts w:eastAsia="Times New Roman"/>
          <w:szCs w:val="22"/>
          <w:lang w:val="fr-FR"/>
        </w:rPr>
        <w:t>uns ont également adopté certaines exceptio</w:t>
      </w:r>
      <w:r w:rsidR="00753BBF" w:rsidRPr="00CC4B57">
        <w:rPr>
          <w:rFonts w:eastAsia="Times New Roman"/>
          <w:szCs w:val="22"/>
          <w:lang w:val="fr-FR"/>
        </w:rPr>
        <w:t>ns.  Ce</w:t>
      </w:r>
      <w:r w:rsidRPr="00CC4B57">
        <w:rPr>
          <w:rFonts w:eastAsia="Times New Roman"/>
          <w:szCs w:val="22"/>
          <w:lang w:val="fr-FR"/>
        </w:rPr>
        <w:t>tte étude recense les pays qui appliquent des exceptions légales visant expressément les bibliothèques.</w:t>
      </w:r>
    </w:p>
    <w:p w:rsidR="00BB45F5" w:rsidRPr="00CC4B57" w:rsidRDefault="00BB45F5" w:rsidP="006D2A00">
      <w:pPr>
        <w:rPr>
          <w:rFonts w:eastAsia="Times New Roman"/>
          <w:szCs w:val="22"/>
          <w:lang w:val="fr-FR"/>
        </w:rPr>
      </w:pPr>
    </w:p>
    <w:p w:rsidR="00BB45F5" w:rsidRPr="00CC4B57" w:rsidRDefault="00703B46" w:rsidP="00703B46">
      <w:pPr>
        <w:rPr>
          <w:rFonts w:eastAsia="Times New Roman"/>
          <w:szCs w:val="22"/>
          <w:lang w:val="fr-FR"/>
        </w:rPr>
      </w:pPr>
      <w:r w:rsidRPr="00CC4B57">
        <w:rPr>
          <w:rFonts w:eastAsia="Times New Roman"/>
          <w:szCs w:val="22"/>
          <w:lang w:val="fr-FR"/>
        </w:rPr>
        <w:t>Les tableaux couvrent souvent bien d</w:t>
      </w:r>
      <w:r w:rsidR="0045102F" w:rsidRPr="00CC4B57">
        <w:rPr>
          <w:rFonts w:eastAsia="Times New Roman"/>
          <w:szCs w:val="22"/>
          <w:lang w:val="fr-FR"/>
        </w:rPr>
        <w:t>’</w:t>
      </w:r>
      <w:r w:rsidRPr="00CC4B57">
        <w:rPr>
          <w:rFonts w:eastAsia="Times New Roman"/>
          <w:szCs w:val="22"/>
          <w:lang w:val="fr-FR"/>
        </w:rPr>
        <w:t>autres thèmes que ceux que nous venons d</w:t>
      </w:r>
      <w:r w:rsidR="0045102F" w:rsidRPr="00CC4B57">
        <w:rPr>
          <w:rFonts w:eastAsia="Times New Roman"/>
          <w:szCs w:val="22"/>
          <w:lang w:val="fr-FR"/>
        </w:rPr>
        <w:t>’</w:t>
      </w:r>
      <w:r w:rsidRPr="00CC4B57">
        <w:rPr>
          <w:rFonts w:eastAsia="Times New Roman"/>
          <w:szCs w:val="22"/>
          <w:lang w:val="fr-FR"/>
        </w:rPr>
        <w:t>énumér</w:t>
      </w:r>
      <w:r w:rsidR="00753BBF" w:rsidRPr="00CC4B57">
        <w:rPr>
          <w:rFonts w:eastAsia="Times New Roman"/>
          <w:szCs w:val="22"/>
          <w:lang w:val="fr-FR"/>
        </w:rPr>
        <w:t>er.  Ce</w:t>
      </w:r>
      <w:r w:rsidRPr="00CC4B57">
        <w:rPr>
          <w:rFonts w:eastAsia="Times New Roman"/>
          <w:szCs w:val="22"/>
          <w:lang w:val="fr-FR"/>
        </w:rPr>
        <w:t>rtains pays ont adopté des textes de loi portant sur les besoins particuliers des bibliothèques, et ces textes sont présentés ici en déta</w:t>
      </w:r>
      <w:r w:rsidR="00753BBF" w:rsidRPr="00CC4B57">
        <w:rPr>
          <w:rFonts w:eastAsia="Times New Roman"/>
          <w:szCs w:val="22"/>
          <w:lang w:val="fr-FR"/>
        </w:rPr>
        <w:t>il.  La</w:t>
      </w:r>
      <w:r w:rsidRPr="00CC4B57">
        <w:rPr>
          <w:rFonts w:eastAsia="Times New Roman"/>
          <w:szCs w:val="22"/>
          <w:lang w:val="fr-FR"/>
        </w:rPr>
        <w:t xml:space="preserve"> section “dispositions diverses” de chaque tableau contient souvent de brèves références à d</w:t>
      </w:r>
      <w:r w:rsidR="0045102F" w:rsidRPr="00CC4B57">
        <w:rPr>
          <w:rFonts w:eastAsia="Times New Roman"/>
          <w:szCs w:val="22"/>
          <w:lang w:val="fr-FR"/>
        </w:rPr>
        <w:t>’</w:t>
      </w:r>
      <w:r w:rsidRPr="00CC4B57">
        <w:rPr>
          <w:rFonts w:eastAsia="Times New Roman"/>
          <w:szCs w:val="22"/>
          <w:lang w:val="fr-FR"/>
        </w:rPr>
        <w:t>autres dispositions relatives au droit d</w:t>
      </w:r>
      <w:r w:rsidR="0045102F" w:rsidRPr="00CC4B57">
        <w:rPr>
          <w:rFonts w:eastAsia="Times New Roman"/>
          <w:szCs w:val="22"/>
          <w:lang w:val="fr-FR"/>
        </w:rPr>
        <w:t>’</w:t>
      </w:r>
      <w:r w:rsidRPr="00CC4B57">
        <w:rPr>
          <w:rFonts w:eastAsia="Times New Roman"/>
          <w:szCs w:val="22"/>
          <w:lang w:val="fr-FR"/>
        </w:rPr>
        <w:t>auteur pouvant revêtir une importance pour les bibliothèques, comme la copie à titre personnel, le prêt public, l</w:t>
      </w:r>
      <w:r w:rsidR="0045102F" w:rsidRPr="00CC4B57">
        <w:rPr>
          <w:rFonts w:eastAsia="Times New Roman"/>
          <w:szCs w:val="22"/>
          <w:lang w:val="fr-FR"/>
        </w:rPr>
        <w:t>’</w:t>
      </w:r>
      <w:r w:rsidRPr="00CC4B57">
        <w:rPr>
          <w:rFonts w:eastAsia="Times New Roman"/>
          <w:szCs w:val="22"/>
          <w:lang w:val="fr-FR"/>
        </w:rPr>
        <w:t>acte loyal, les besoins des personnes handicapées, et bien d</w:t>
      </w:r>
      <w:r w:rsidR="0045102F" w:rsidRPr="00CC4B57">
        <w:rPr>
          <w:rFonts w:eastAsia="Times New Roman"/>
          <w:szCs w:val="22"/>
          <w:lang w:val="fr-FR"/>
        </w:rPr>
        <w:t>’</w:t>
      </w:r>
      <w:r w:rsidRPr="00CC4B57">
        <w:rPr>
          <w:rFonts w:eastAsia="Times New Roman"/>
          <w:szCs w:val="22"/>
          <w:lang w:val="fr-FR"/>
        </w:rPr>
        <w:t>autres enco</w:t>
      </w:r>
      <w:r w:rsidR="00753BBF" w:rsidRPr="00CC4B57">
        <w:rPr>
          <w:rFonts w:eastAsia="Times New Roman"/>
          <w:szCs w:val="22"/>
          <w:lang w:val="fr-FR"/>
        </w:rPr>
        <w:t>re.  Ce</w:t>
      </w:r>
      <w:r w:rsidRPr="00CC4B57">
        <w:rPr>
          <w:rFonts w:eastAsia="Times New Roman"/>
          <w:szCs w:val="22"/>
          <w:lang w:val="fr-FR"/>
        </w:rPr>
        <w:t>s références ne sont pas exhaustiv</w:t>
      </w:r>
      <w:r w:rsidR="00753BBF" w:rsidRPr="00CC4B57">
        <w:rPr>
          <w:rFonts w:eastAsia="Times New Roman"/>
          <w:szCs w:val="22"/>
          <w:lang w:val="fr-FR"/>
        </w:rPr>
        <w:t>es.  El</w:t>
      </w:r>
      <w:r w:rsidRPr="00CC4B57">
        <w:rPr>
          <w:rFonts w:eastAsia="Times New Roman"/>
          <w:szCs w:val="22"/>
          <w:lang w:val="fr-FR"/>
        </w:rPr>
        <w:t>les n</w:t>
      </w:r>
      <w:r w:rsidR="0045102F" w:rsidRPr="00CC4B57">
        <w:rPr>
          <w:rFonts w:eastAsia="Times New Roman"/>
          <w:szCs w:val="22"/>
          <w:lang w:val="fr-FR"/>
        </w:rPr>
        <w:t>’</w:t>
      </w:r>
      <w:r w:rsidRPr="00CC4B57">
        <w:rPr>
          <w:rFonts w:eastAsia="Times New Roman"/>
          <w:szCs w:val="22"/>
          <w:lang w:val="fr-FR"/>
        </w:rPr>
        <w:t>offrent qu</w:t>
      </w:r>
      <w:r w:rsidR="0045102F" w:rsidRPr="00CC4B57">
        <w:rPr>
          <w:rFonts w:eastAsia="Times New Roman"/>
          <w:szCs w:val="22"/>
          <w:lang w:val="fr-FR"/>
        </w:rPr>
        <w:t>’</w:t>
      </w:r>
      <w:r w:rsidRPr="00CC4B57">
        <w:rPr>
          <w:rFonts w:eastAsia="Times New Roman"/>
          <w:szCs w:val="22"/>
          <w:lang w:val="fr-FR"/>
        </w:rPr>
        <w:t>un résumé et ne sont pas le résultat de recherches approfondies pour tous les pays dans l</w:t>
      </w:r>
      <w:r w:rsidR="0045102F" w:rsidRPr="00CC4B57">
        <w:rPr>
          <w:rFonts w:eastAsia="Times New Roman"/>
          <w:szCs w:val="22"/>
          <w:lang w:val="fr-FR"/>
        </w:rPr>
        <w:t>’</w:t>
      </w:r>
      <w:r w:rsidRPr="00CC4B57">
        <w:rPr>
          <w:rFonts w:eastAsia="Times New Roman"/>
          <w:szCs w:val="22"/>
          <w:lang w:val="fr-FR"/>
        </w:rPr>
        <w:t>ensemble du rappo</w:t>
      </w:r>
      <w:r w:rsidR="00753BBF" w:rsidRPr="00CC4B57">
        <w:rPr>
          <w:rFonts w:eastAsia="Times New Roman"/>
          <w:szCs w:val="22"/>
          <w:lang w:val="fr-FR"/>
        </w:rPr>
        <w:t>rt.  Né</w:t>
      </w:r>
      <w:r w:rsidRPr="00CC4B57">
        <w:rPr>
          <w:rFonts w:eastAsia="Times New Roman"/>
          <w:szCs w:val="22"/>
          <w:lang w:val="fr-FR"/>
        </w:rPr>
        <w:t>anmoins, ces références témoignent de la diversité grandissante des textes de loi et de la complexité croissante du lien entre protection juridique et exceptions relatives au droit d</w:t>
      </w:r>
      <w:r w:rsidR="0045102F" w:rsidRPr="00CC4B57">
        <w:rPr>
          <w:rFonts w:eastAsia="Times New Roman"/>
          <w:szCs w:val="22"/>
          <w:lang w:val="fr-FR"/>
        </w:rPr>
        <w:t>’</w:t>
      </w:r>
      <w:r w:rsidRPr="00CC4B57">
        <w:rPr>
          <w:rFonts w:eastAsia="Times New Roman"/>
          <w:szCs w:val="22"/>
          <w:lang w:val="fr-FR"/>
        </w:rPr>
        <w:t>auteur.</w:t>
      </w:r>
    </w:p>
    <w:p w:rsidR="006D2A00" w:rsidRPr="00CC4B57" w:rsidRDefault="006D2A00" w:rsidP="006D2A00">
      <w:pPr>
        <w:rPr>
          <w:rFonts w:eastAsia="Times New Roman"/>
          <w:szCs w:val="22"/>
          <w:lang w:val="fr-F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528"/>
      </w:tblGrid>
      <w:tr w:rsidR="006D2A00" w:rsidRPr="00CC4B57" w:rsidTr="0098570E">
        <w:tc>
          <w:tcPr>
            <w:tcW w:w="8613" w:type="dxa"/>
            <w:gridSpan w:val="2"/>
            <w:shd w:val="clear" w:color="auto" w:fill="auto"/>
          </w:tcPr>
          <w:p w:rsidR="00BB45F5" w:rsidRPr="00CC4B57" w:rsidRDefault="00703B46" w:rsidP="00703B46">
            <w:pPr>
              <w:rPr>
                <w:rFonts w:eastAsia="Times New Roman"/>
                <w:b/>
                <w:bCs/>
                <w:szCs w:val="22"/>
                <w:lang w:val="fr-FR"/>
              </w:rPr>
            </w:pPr>
            <w:r w:rsidRPr="00CC4B57">
              <w:rPr>
                <w:rFonts w:eastAsia="Times New Roman"/>
                <w:b/>
                <w:bCs/>
                <w:szCs w:val="22"/>
                <w:lang w:val="fr-FR"/>
              </w:rPr>
              <w:t>Exceptions en faveur des bibliothèques dans les lois nationales sur le droit d</w:t>
            </w:r>
            <w:r w:rsidR="0045102F" w:rsidRPr="00CC4B57">
              <w:rPr>
                <w:rFonts w:eastAsia="Times New Roman"/>
                <w:b/>
                <w:bCs/>
                <w:szCs w:val="22"/>
                <w:lang w:val="fr-FR"/>
              </w:rPr>
              <w:t>’</w:t>
            </w:r>
            <w:r w:rsidRPr="00CC4B57">
              <w:rPr>
                <w:rFonts w:eastAsia="Times New Roman"/>
                <w:b/>
                <w:bCs/>
                <w:szCs w:val="22"/>
                <w:lang w:val="fr-FR"/>
              </w:rPr>
              <w:t>auteur</w:t>
            </w:r>
          </w:p>
          <w:p w:rsidR="00BB45F5" w:rsidRPr="00CC4B57" w:rsidRDefault="00703B46" w:rsidP="00703B46">
            <w:pPr>
              <w:rPr>
                <w:rFonts w:eastAsia="Times New Roman"/>
                <w:szCs w:val="22"/>
                <w:lang w:val="fr-FR"/>
              </w:rPr>
            </w:pPr>
            <w:r w:rsidRPr="00CC4B57">
              <w:rPr>
                <w:rFonts w:eastAsia="Times New Roman"/>
                <w:szCs w:val="22"/>
                <w:lang w:val="fr-FR"/>
              </w:rPr>
              <w:t>Résumé des conclusions d</w:t>
            </w:r>
            <w:r w:rsidR="0045102F" w:rsidRPr="00CC4B57">
              <w:rPr>
                <w:rFonts w:eastAsia="Times New Roman"/>
                <w:szCs w:val="22"/>
                <w:lang w:val="fr-FR"/>
              </w:rPr>
              <w:t>’</w:t>
            </w:r>
            <w:r w:rsidRPr="00CC4B57">
              <w:rPr>
                <w:rFonts w:eastAsia="Times New Roman"/>
                <w:szCs w:val="22"/>
                <w:lang w:val="fr-FR"/>
              </w:rPr>
              <w:t xml:space="preserve">une étude réalisée </w:t>
            </w:r>
            <w:r w:rsidR="0096345D" w:rsidRPr="00CC4B57">
              <w:rPr>
                <w:rFonts w:eastAsia="Times New Roman"/>
                <w:szCs w:val="22"/>
                <w:lang w:val="fr-FR"/>
              </w:rPr>
              <w:t>en 2017</w:t>
            </w:r>
            <w:r w:rsidRPr="00CC4B57">
              <w:rPr>
                <w:rFonts w:eastAsia="Times New Roman"/>
                <w:szCs w:val="22"/>
                <w:lang w:val="fr-FR"/>
              </w:rPr>
              <w:t xml:space="preserve"> pour l</w:t>
            </w:r>
            <w:r w:rsidR="0045102F" w:rsidRPr="00CC4B57">
              <w:rPr>
                <w:rFonts w:eastAsia="Times New Roman"/>
                <w:szCs w:val="22"/>
                <w:lang w:val="fr-FR"/>
              </w:rPr>
              <w:t>’</w:t>
            </w:r>
            <w:r w:rsidRPr="00CC4B57">
              <w:rPr>
                <w:rFonts w:eastAsia="Times New Roman"/>
                <w:szCs w:val="22"/>
                <w:lang w:val="fr-FR"/>
              </w:rPr>
              <w:t>Organisation Mondiale de la Propriété Intellectuelle</w:t>
            </w:r>
          </w:p>
          <w:p w:rsidR="00BB45F5" w:rsidRPr="00CC4B57" w:rsidRDefault="00703B46" w:rsidP="00703B46">
            <w:pPr>
              <w:rPr>
                <w:rFonts w:eastAsia="Times New Roman"/>
                <w:szCs w:val="22"/>
                <w:lang w:val="fr-FR"/>
              </w:rPr>
            </w:pPr>
            <w:r w:rsidRPr="00CC4B57">
              <w:rPr>
                <w:rFonts w:eastAsia="Times New Roman"/>
                <w:szCs w:val="22"/>
                <w:lang w:val="fr-FR"/>
              </w:rPr>
              <w:t>Étude établie par Kenneth D.</w:t>
            </w:r>
            <w:r w:rsidR="00117E3A" w:rsidRPr="00CC4B57">
              <w:rPr>
                <w:rFonts w:eastAsia="Times New Roman"/>
                <w:szCs w:val="22"/>
                <w:lang w:val="fr-FR"/>
              </w:rPr>
              <w:t> </w:t>
            </w:r>
            <w:proofErr w:type="spellStart"/>
            <w:r w:rsidRPr="00CC4B57">
              <w:rPr>
                <w:rFonts w:eastAsia="Times New Roman"/>
                <w:szCs w:val="22"/>
                <w:lang w:val="fr-FR"/>
              </w:rPr>
              <w:t>Crews</w:t>
            </w:r>
            <w:proofErr w:type="spellEnd"/>
          </w:p>
          <w:p w:rsidR="00BB45F5" w:rsidRPr="00CC4B57" w:rsidRDefault="00703B46" w:rsidP="00703B46">
            <w:pPr>
              <w:rPr>
                <w:rFonts w:eastAsia="Times New Roman"/>
                <w:szCs w:val="22"/>
                <w:lang w:val="fr-FR"/>
              </w:rPr>
            </w:pPr>
            <w:r w:rsidRPr="00CC4B57">
              <w:rPr>
                <w:rFonts w:eastAsia="Times New Roman"/>
                <w:szCs w:val="22"/>
                <w:lang w:val="fr-FR"/>
              </w:rPr>
              <w:t>Nombre total de pays couverts par l</w:t>
            </w:r>
            <w:r w:rsidR="0045102F" w:rsidRPr="00CC4B57">
              <w:rPr>
                <w:rFonts w:eastAsia="Times New Roman"/>
                <w:szCs w:val="22"/>
                <w:lang w:val="fr-FR"/>
              </w:rPr>
              <w:t>’</w:t>
            </w:r>
            <w:r w:rsidRPr="00CC4B57">
              <w:rPr>
                <w:rFonts w:eastAsia="Times New Roman"/>
                <w:szCs w:val="22"/>
                <w:lang w:val="fr-FR"/>
              </w:rPr>
              <w:t>étude</w:t>
            </w:r>
            <w:r w:rsidR="0045102F" w:rsidRPr="00CC4B57">
              <w:rPr>
                <w:rFonts w:eastAsia="Times New Roman"/>
                <w:szCs w:val="22"/>
                <w:lang w:val="fr-FR"/>
              </w:rPr>
              <w:t> </w:t>
            </w:r>
            <w:proofErr w:type="gramStart"/>
            <w:r w:rsidR="0045102F" w:rsidRPr="00CC4B57">
              <w:rPr>
                <w:rFonts w:eastAsia="Times New Roman"/>
                <w:szCs w:val="22"/>
                <w:lang w:val="fr-FR"/>
              </w:rPr>
              <w:t>:</w:t>
            </w:r>
            <w:r w:rsidRPr="00CC4B57">
              <w:rPr>
                <w:rFonts w:eastAsia="Times New Roman"/>
                <w:szCs w:val="22"/>
                <w:lang w:val="fr-FR"/>
              </w:rPr>
              <w:t xml:space="preserve"> 191</w:t>
            </w:r>
            <w:proofErr w:type="gramEnd"/>
          </w:p>
          <w:p w:rsidR="006D2A00" w:rsidRPr="00CC4B57" w:rsidRDefault="006D2A00" w:rsidP="0098570E">
            <w:pPr>
              <w:rPr>
                <w:rFonts w:eastAsia="Times New Roman"/>
                <w:szCs w:val="22"/>
                <w:lang w:val="fr-FR"/>
              </w:rPr>
            </w:pPr>
          </w:p>
        </w:tc>
      </w:tr>
      <w:tr w:rsidR="006D2A00" w:rsidRPr="00CC4B57" w:rsidTr="0098570E">
        <w:tc>
          <w:tcPr>
            <w:tcW w:w="3085" w:type="dxa"/>
            <w:shd w:val="clear" w:color="auto" w:fill="auto"/>
          </w:tcPr>
          <w:p w:rsidR="006D2A00" w:rsidRPr="00CC4B57" w:rsidRDefault="006D2A00" w:rsidP="0098570E">
            <w:pPr>
              <w:rPr>
                <w:rFonts w:eastAsia="Times New Roman"/>
                <w:b/>
                <w:szCs w:val="22"/>
                <w:lang w:val="fr-FR"/>
              </w:rPr>
            </w:pPr>
            <w:r w:rsidRPr="00CC4B57">
              <w:rPr>
                <w:rFonts w:eastAsia="Times New Roman"/>
                <w:b/>
                <w:szCs w:val="22"/>
                <w:lang w:val="fr-FR"/>
              </w:rPr>
              <w:t>Exception</w:t>
            </w:r>
          </w:p>
        </w:tc>
        <w:tc>
          <w:tcPr>
            <w:tcW w:w="5528" w:type="dxa"/>
            <w:shd w:val="clear" w:color="auto" w:fill="auto"/>
          </w:tcPr>
          <w:p w:rsidR="006D2A00" w:rsidRPr="00CC4B57" w:rsidRDefault="00703B46" w:rsidP="00703B46">
            <w:pPr>
              <w:rPr>
                <w:rFonts w:eastAsia="Times New Roman"/>
                <w:b/>
                <w:szCs w:val="22"/>
                <w:lang w:val="fr-FR"/>
              </w:rPr>
            </w:pPr>
            <w:r w:rsidRPr="00CC4B57">
              <w:rPr>
                <w:rFonts w:eastAsia="Times New Roman"/>
                <w:b/>
                <w:szCs w:val="22"/>
                <w:lang w:val="fr-FR"/>
              </w:rPr>
              <w:t>Nombre de pays</w:t>
            </w:r>
          </w:p>
        </w:tc>
      </w:tr>
      <w:tr w:rsidR="006D2A00" w:rsidRPr="00CC4B57" w:rsidTr="0098570E">
        <w:tc>
          <w:tcPr>
            <w:tcW w:w="3085" w:type="dxa"/>
            <w:shd w:val="clear" w:color="auto" w:fill="auto"/>
          </w:tcPr>
          <w:p w:rsidR="00BB45F5" w:rsidRPr="00CC4B57" w:rsidRDefault="00703B46" w:rsidP="00703B46">
            <w:pPr>
              <w:rPr>
                <w:rFonts w:eastAsia="Times New Roman"/>
                <w:szCs w:val="22"/>
                <w:lang w:val="fr-FR"/>
              </w:rPr>
            </w:pPr>
            <w:r w:rsidRPr="00CC4B57">
              <w:rPr>
                <w:rFonts w:eastAsia="Times New Roman"/>
                <w:szCs w:val="22"/>
                <w:lang w:val="fr-FR"/>
              </w:rPr>
              <w:t>Aucune exception en faveur des bibliothèques</w:t>
            </w:r>
            <w:r w:rsidRPr="00CC4B57">
              <w:rPr>
                <w:rStyle w:val="FootnoteReference"/>
                <w:rFonts w:eastAsia="Times New Roman"/>
                <w:szCs w:val="22"/>
                <w:lang w:val="fr-FR"/>
              </w:rPr>
              <w:footnoteReference w:id="10"/>
            </w:r>
          </w:p>
          <w:p w:rsidR="006D2A00" w:rsidRPr="00CC4B57" w:rsidRDefault="006D2A00" w:rsidP="0098570E">
            <w:pPr>
              <w:rPr>
                <w:rFonts w:eastAsia="Times New Roman"/>
                <w:szCs w:val="22"/>
                <w:lang w:val="fr-FR"/>
              </w:rPr>
            </w:pPr>
          </w:p>
        </w:tc>
        <w:tc>
          <w:tcPr>
            <w:tcW w:w="5528" w:type="dxa"/>
            <w:shd w:val="clear" w:color="auto" w:fill="auto"/>
          </w:tcPr>
          <w:p w:rsidR="00BB45F5" w:rsidRPr="00CC4B57" w:rsidRDefault="006D2A00" w:rsidP="0098570E">
            <w:pPr>
              <w:rPr>
                <w:rFonts w:eastAsia="Times New Roman"/>
                <w:szCs w:val="22"/>
                <w:lang w:val="fr-FR"/>
              </w:rPr>
            </w:pPr>
            <w:r w:rsidRPr="00CC4B57">
              <w:rPr>
                <w:rFonts w:eastAsia="Times New Roman"/>
                <w:szCs w:val="22"/>
                <w:lang w:val="fr-FR"/>
              </w:rPr>
              <w:t>28</w:t>
            </w:r>
          </w:p>
          <w:p w:rsidR="006D2A00" w:rsidRPr="00CC4B57" w:rsidRDefault="00703B46" w:rsidP="00703B46">
            <w:pPr>
              <w:rPr>
                <w:rFonts w:eastAsia="Times New Roman"/>
                <w:sz w:val="18"/>
                <w:szCs w:val="18"/>
                <w:lang w:val="fr-FR"/>
              </w:rPr>
            </w:pPr>
            <w:r w:rsidRPr="00CC4B57">
              <w:rPr>
                <w:rFonts w:eastAsia="Times New Roman"/>
                <w:sz w:val="18"/>
                <w:szCs w:val="18"/>
                <w:lang w:val="fr-FR"/>
              </w:rPr>
              <w:t>(En outre, deux pays qui n</w:t>
            </w:r>
            <w:r w:rsidR="0045102F" w:rsidRPr="00CC4B57">
              <w:rPr>
                <w:rFonts w:eastAsia="Times New Roman"/>
                <w:sz w:val="18"/>
                <w:szCs w:val="18"/>
                <w:lang w:val="fr-FR"/>
              </w:rPr>
              <w:t>’</w:t>
            </w:r>
            <w:r w:rsidRPr="00CC4B57">
              <w:rPr>
                <w:rFonts w:eastAsia="Times New Roman"/>
                <w:sz w:val="18"/>
                <w:szCs w:val="18"/>
                <w:lang w:val="fr-FR"/>
              </w:rPr>
              <w:t>ont adopté aucun texte de loi sur le droit d</w:t>
            </w:r>
            <w:r w:rsidR="0045102F" w:rsidRPr="00CC4B57">
              <w:rPr>
                <w:rFonts w:eastAsia="Times New Roman"/>
                <w:sz w:val="18"/>
                <w:szCs w:val="18"/>
                <w:lang w:val="fr-FR"/>
              </w:rPr>
              <w:t>’</w:t>
            </w:r>
            <w:r w:rsidRPr="00CC4B57">
              <w:rPr>
                <w:rFonts w:eastAsia="Times New Roman"/>
                <w:sz w:val="18"/>
                <w:szCs w:val="18"/>
                <w:lang w:val="fr-FR"/>
              </w:rPr>
              <w:t>auteur</w:t>
            </w:r>
            <w:r w:rsidR="00797B96" w:rsidRPr="00CC4B57">
              <w:rPr>
                <w:rFonts w:eastAsia="Times New Roman"/>
                <w:sz w:val="18"/>
                <w:szCs w:val="18"/>
                <w:lang w:val="fr-FR"/>
              </w:rPr>
              <w:t>.)</w:t>
            </w:r>
          </w:p>
        </w:tc>
      </w:tr>
      <w:tr w:rsidR="006D2A00" w:rsidRPr="00CC4B57" w:rsidTr="0098570E">
        <w:tc>
          <w:tcPr>
            <w:tcW w:w="3085" w:type="dxa"/>
            <w:shd w:val="clear" w:color="auto" w:fill="auto"/>
          </w:tcPr>
          <w:p w:rsidR="00BB45F5" w:rsidRPr="00CC4B57" w:rsidRDefault="00703B46" w:rsidP="00703B46">
            <w:pPr>
              <w:rPr>
                <w:rFonts w:eastAsia="Times New Roman"/>
                <w:szCs w:val="22"/>
                <w:lang w:val="fr-FR"/>
              </w:rPr>
            </w:pPr>
            <w:r w:rsidRPr="00CC4B57">
              <w:rPr>
                <w:rFonts w:eastAsia="Times New Roman"/>
                <w:szCs w:val="22"/>
                <w:lang w:val="fr-FR"/>
              </w:rPr>
              <w:t>Exception générale en faveur des bibliothèques</w:t>
            </w:r>
            <w:r w:rsidRPr="00CC4B57">
              <w:rPr>
                <w:rStyle w:val="FootnoteReference"/>
                <w:rFonts w:eastAsia="Times New Roman"/>
                <w:szCs w:val="22"/>
                <w:lang w:val="fr-FR"/>
              </w:rPr>
              <w:footnoteReference w:id="11"/>
            </w:r>
          </w:p>
          <w:p w:rsidR="00BB45F5" w:rsidRPr="00CC4B57" w:rsidRDefault="00C81511" w:rsidP="00C81511">
            <w:pPr>
              <w:rPr>
                <w:rFonts w:eastAsia="Times New Roman"/>
                <w:sz w:val="18"/>
                <w:szCs w:val="18"/>
                <w:lang w:val="fr-FR"/>
              </w:rPr>
            </w:pPr>
            <w:r w:rsidRPr="00CC4B57">
              <w:rPr>
                <w:rFonts w:eastAsia="Times New Roman"/>
                <w:sz w:val="18"/>
                <w:szCs w:val="18"/>
                <w:lang w:val="fr-FR"/>
              </w:rPr>
              <w:t>(Note</w:t>
            </w:r>
            <w:r w:rsidR="0045102F" w:rsidRPr="00CC4B57">
              <w:rPr>
                <w:rFonts w:eastAsia="Times New Roman"/>
                <w:sz w:val="18"/>
                <w:szCs w:val="18"/>
                <w:lang w:val="fr-FR"/>
              </w:rPr>
              <w:t> </w:t>
            </w:r>
            <w:proofErr w:type="gramStart"/>
            <w:r w:rsidR="0045102F" w:rsidRPr="00CC4B57">
              <w:rPr>
                <w:rFonts w:eastAsia="Times New Roman"/>
                <w:sz w:val="18"/>
                <w:szCs w:val="18"/>
                <w:lang w:val="fr-FR"/>
              </w:rPr>
              <w:t>:</w:t>
            </w:r>
            <w:r w:rsidRPr="00CC4B57">
              <w:rPr>
                <w:rFonts w:eastAsia="Times New Roman"/>
                <w:sz w:val="18"/>
                <w:szCs w:val="18"/>
                <w:lang w:val="fr-FR"/>
              </w:rPr>
              <w:t xml:space="preserve"> les</w:t>
            </w:r>
            <w:proofErr w:type="gramEnd"/>
            <w:r w:rsidRPr="00CC4B57">
              <w:rPr>
                <w:rFonts w:eastAsia="Times New Roman"/>
                <w:sz w:val="18"/>
                <w:szCs w:val="18"/>
                <w:lang w:val="fr-FR"/>
              </w:rPr>
              <w:t xml:space="preserve"> statistiques portent sur le nombre de pays prévoyant </w:t>
            </w:r>
            <w:r w:rsidRPr="00CC4B57">
              <w:rPr>
                <w:rFonts w:eastAsia="Times New Roman"/>
                <w:i/>
                <w:sz w:val="18"/>
                <w:szCs w:val="18"/>
                <w:lang w:val="fr-FR"/>
              </w:rPr>
              <w:t>uniquement</w:t>
            </w:r>
            <w:r w:rsidRPr="00CC4B57">
              <w:rPr>
                <w:rFonts w:eastAsia="Times New Roman"/>
                <w:sz w:val="18"/>
                <w:szCs w:val="18"/>
                <w:lang w:val="fr-FR"/>
              </w:rPr>
              <w:t xml:space="preserve"> une exception générale et aucune exception particulière).</w:t>
            </w:r>
          </w:p>
          <w:p w:rsidR="006D2A00" w:rsidRPr="00CC4B57" w:rsidRDefault="006D2A00" w:rsidP="0098570E">
            <w:pPr>
              <w:rPr>
                <w:rFonts w:eastAsia="Times New Roman"/>
                <w:szCs w:val="22"/>
                <w:lang w:val="fr-FR"/>
              </w:rPr>
            </w:pPr>
          </w:p>
        </w:tc>
        <w:tc>
          <w:tcPr>
            <w:tcW w:w="5528" w:type="dxa"/>
            <w:shd w:val="clear" w:color="auto" w:fill="auto"/>
          </w:tcPr>
          <w:p w:rsidR="006D2A00" w:rsidRPr="00CC4B57" w:rsidRDefault="006D2A00" w:rsidP="0098570E">
            <w:pPr>
              <w:rPr>
                <w:rFonts w:eastAsia="Times New Roman"/>
                <w:szCs w:val="22"/>
                <w:lang w:val="fr-FR"/>
              </w:rPr>
            </w:pPr>
            <w:r w:rsidRPr="00CC4B57">
              <w:rPr>
                <w:rFonts w:eastAsia="Times New Roman"/>
                <w:szCs w:val="22"/>
                <w:lang w:val="fr-FR"/>
              </w:rPr>
              <w:t>21</w:t>
            </w:r>
          </w:p>
        </w:tc>
      </w:tr>
      <w:tr w:rsidR="006D2A00" w:rsidRPr="00CC4B57" w:rsidTr="0098570E">
        <w:tc>
          <w:tcPr>
            <w:tcW w:w="3085" w:type="dxa"/>
            <w:shd w:val="clear" w:color="auto" w:fill="auto"/>
          </w:tcPr>
          <w:p w:rsidR="00BB45F5" w:rsidRPr="00CC4B57" w:rsidRDefault="00C81511" w:rsidP="00C81511">
            <w:pPr>
              <w:rPr>
                <w:rFonts w:eastAsia="Times New Roman"/>
                <w:szCs w:val="22"/>
                <w:lang w:val="fr-FR"/>
              </w:rPr>
            </w:pPr>
            <w:r w:rsidRPr="00CC4B57">
              <w:rPr>
                <w:rFonts w:eastAsia="Times New Roman"/>
                <w:szCs w:val="22"/>
                <w:lang w:val="fr-FR"/>
              </w:rPr>
              <w:t>Reproduction pour les usagers de bibliothèques</w:t>
            </w:r>
          </w:p>
          <w:p w:rsidR="00BB45F5" w:rsidRPr="00CC4B57" w:rsidRDefault="00C81511" w:rsidP="00C81511">
            <w:pPr>
              <w:rPr>
                <w:rFonts w:eastAsia="Times New Roman"/>
                <w:sz w:val="18"/>
                <w:szCs w:val="18"/>
                <w:lang w:val="fr-FR"/>
              </w:rPr>
            </w:pPr>
            <w:r w:rsidRPr="00CC4B57">
              <w:rPr>
                <w:rFonts w:eastAsia="Times New Roman"/>
                <w:sz w:val="18"/>
                <w:szCs w:val="18"/>
                <w:lang w:val="fr-FR"/>
              </w:rPr>
              <w:t>(aux fins de recherche ou d</w:t>
            </w:r>
            <w:r w:rsidR="0045102F" w:rsidRPr="00CC4B57">
              <w:rPr>
                <w:rFonts w:eastAsia="Times New Roman"/>
                <w:sz w:val="18"/>
                <w:szCs w:val="18"/>
                <w:lang w:val="fr-FR"/>
              </w:rPr>
              <w:t>’</w:t>
            </w:r>
            <w:r w:rsidRPr="00CC4B57">
              <w:rPr>
                <w:rFonts w:eastAsia="Times New Roman"/>
                <w:sz w:val="18"/>
                <w:szCs w:val="18"/>
                <w:lang w:val="fr-FR"/>
              </w:rPr>
              <w:t>étude ou à des fins similaires)</w:t>
            </w:r>
          </w:p>
          <w:p w:rsidR="006D2A00" w:rsidRPr="00CC4B57" w:rsidRDefault="006D2A00" w:rsidP="0098570E">
            <w:pPr>
              <w:rPr>
                <w:rFonts w:eastAsia="Times New Roman"/>
                <w:szCs w:val="22"/>
                <w:lang w:val="fr-FR"/>
              </w:rPr>
            </w:pPr>
          </w:p>
        </w:tc>
        <w:tc>
          <w:tcPr>
            <w:tcW w:w="5528" w:type="dxa"/>
            <w:shd w:val="clear" w:color="auto" w:fill="auto"/>
          </w:tcPr>
          <w:p w:rsidR="006D2A00" w:rsidRPr="00CC4B57" w:rsidRDefault="006D2A00" w:rsidP="0098570E">
            <w:pPr>
              <w:rPr>
                <w:rFonts w:eastAsia="Times New Roman"/>
                <w:szCs w:val="22"/>
                <w:lang w:val="fr-FR"/>
              </w:rPr>
            </w:pPr>
            <w:r w:rsidRPr="00CC4B57">
              <w:rPr>
                <w:rFonts w:eastAsia="Times New Roman"/>
                <w:szCs w:val="22"/>
                <w:lang w:val="fr-FR"/>
              </w:rPr>
              <w:t>105</w:t>
            </w:r>
          </w:p>
        </w:tc>
      </w:tr>
      <w:tr w:rsidR="006D2A00" w:rsidRPr="00CC4B57" w:rsidTr="0098570E">
        <w:tc>
          <w:tcPr>
            <w:tcW w:w="3085" w:type="dxa"/>
            <w:shd w:val="clear" w:color="auto" w:fill="auto"/>
          </w:tcPr>
          <w:p w:rsidR="00BB45F5" w:rsidRPr="00CC4B57" w:rsidRDefault="006D2A00" w:rsidP="0098570E">
            <w:pPr>
              <w:rPr>
                <w:rFonts w:eastAsia="Times New Roman"/>
                <w:szCs w:val="22"/>
                <w:lang w:val="fr-FR"/>
              </w:rPr>
            </w:pPr>
            <w:r w:rsidRPr="00CC4B57">
              <w:rPr>
                <w:rFonts w:eastAsia="Times New Roman"/>
                <w:szCs w:val="22"/>
                <w:lang w:val="fr-FR"/>
              </w:rPr>
              <w:t>Pr</w:t>
            </w:r>
            <w:r w:rsidR="00C81511" w:rsidRPr="00CC4B57">
              <w:rPr>
                <w:rFonts w:eastAsia="Times New Roman"/>
                <w:szCs w:val="22"/>
                <w:lang w:val="fr-FR"/>
              </w:rPr>
              <w:t>é</w:t>
            </w:r>
            <w:r w:rsidRPr="00CC4B57">
              <w:rPr>
                <w:rFonts w:eastAsia="Times New Roman"/>
                <w:szCs w:val="22"/>
                <w:lang w:val="fr-FR"/>
              </w:rPr>
              <w:t>servation o</w:t>
            </w:r>
            <w:r w:rsidR="00C81511" w:rsidRPr="00CC4B57">
              <w:rPr>
                <w:rFonts w:eastAsia="Times New Roman"/>
                <w:szCs w:val="22"/>
                <w:lang w:val="fr-FR"/>
              </w:rPr>
              <w:t>u</w:t>
            </w:r>
            <w:r w:rsidRPr="00CC4B57">
              <w:rPr>
                <w:rFonts w:eastAsia="Times New Roman"/>
                <w:szCs w:val="22"/>
                <w:lang w:val="fr-FR"/>
              </w:rPr>
              <w:t xml:space="preserve"> </w:t>
            </w:r>
            <w:r w:rsidR="00C81511" w:rsidRPr="00CC4B57">
              <w:rPr>
                <w:rFonts w:eastAsia="Times New Roman"/>
                <w:szCs w:val="22"/>
                <w:lang w:val="fr-FR"/>
              </w:rPr>
              <w:t>r</w:t>
            </w:r>
            <w:r w:rsidRPr="00CC4B57">
              <w:rPr>
                <w:rFonts w:eastAsia="Times New Roman"/>
                <w:szCs w:val="22"/>
                <w:lang w:val="fr-FR"/>
              </w:rPr>
              <w:t>e</w:t>
            </w:r>
            <w:r w:rsidR="00C81511" w:rsidRPr="00CC4B57">
              <w:rPr>
                <w:rFonts w:eastAsia="Times New Roman"/>
                <w:szCs w:val="22"/>
                <w:lang w:val="fr-FR"/>
              </w:rPr>
              <w:t>m</w:t>
            </w:r>
            <w:r w:rsidRPr="00CC4B57">
              <w:rPr>
                <w:rFonts w:eastAsia="Times New Roman"/>
                <w:szCs w:val="22"/>
                <w:lang w:val="fr-FR"/>
              </w:rPr>
              <w:t>placement</w:t>
            </w:r>
          </w:p>
          <w:p w:rsidR="006D2A00" w:rsidRPr="00CC4B57" w:rsidRDefault="006D2A00" w:rsidP="0098570E">
            <w:pPr>
              <w:rPr>
                <w:rFonts w:eastAsia="Times New Roman"/>
                <w:szCs w:val="22"/>
                <w:lang w:val="fr-FR"/>
              </w:rPr>
            </w:pPr>
          </w:p>
        </w:tc>
        <w:tc>
          <w:tcPr>
            <w:tcW w:w="5528" w:type="dxa"/>
            <w:shd w:val="clear" w:color="auto" w:fill="auto"/>
          </w:tcPr>
          <w:p w:rsidR="00BB45F5" w:rsidRPr="00CC4B57" w:rsidRDefault="00C81511" w:rsidP="00C81511">
            <w:pPr>
              <w:rPr>
                <w:rFonts w:eastAsia="Times New Roman"/>
                <w:szCs w:val="22"/>
                <w:lang w:val="fr-FR"/>
              </w:rPr>
            </w:pPr>
            <w:r w:rsidRPr="00CC4B57">
              <w:rPr>
                <w:rFonts w:eastAsia="Times New Roman"/>
                <w:szCs w:val="22"/>
                <w:lang w:val="fr-FR"/>
              </w:rPr>
              <w:t>Préservation</w:t>
            </w:r>
            <w:r w:rsidR="0045102F" w:rsidRPr="00CC4B57">
              <w:rPr>
                <w:rFonts w:eastAsia="Times New Roman"/>
                <w:szCs w:val="22"/>
                <w:lang w:val="fr-FR"/>
              </w:rPr>
              <w:t> </w:t>
            </w:r>
            <w:proofErr w:type="gramStart"/>
            <w:r w:rsidR="0045102F" w:rsidRPr="00CC4B57">
              <w:rPr>
                <w:rFonts w:eastAsia="Times New Roman"/>
                <w:szCs w:val="22"/>
                <w:lang w:val="fr-FR"/>
              </w:rPr>
              <w:t>:</w:t>
            </w:r>
            <w:r w:rsidRPr="00CC4B57">
              <w:rPr>
                <w:rFonts w:eastAsia="Times New Roman"/>
                <w:szCs w:val="22"/>
                <w:lang w:val="fr-FR"/>
              </w:rPr>
              <w:t xml:space="preserve"> 102</w:t>
            </w:r>
            <w:proofErr w:type="gramEnd"/>
          </w:p>
          <w:p w:rsidR="00BB45F5" w:rsidRPr="00CC4B57" w:rsidRDefault="00BB45F5" w:rsidP="0098570E">
            <w:pPr>
              <w:rPr>
                <w:rFonts w:eastAsia="Times New Roman"/>
                <w:szCs w:val="22"/>
                <w:lang w:val="fr-FR"/>
              </w:rPr>
            </w:pPr>
          </w:p>
          <w:p w:rsidR="006D2A00" w:rsidRPr="00CC4B57" w:rsidRDefault="00C81511" w:rsidP="00BA4B95">
            <w:pPr>
              <w:rPr>
                <w:rFonts w:eastAsia="Times New Roman"/>
                <w:szCs w:val="22"/>
                <w:lang w:val="fr-FR"/>
              </w:rPr>
            </w:pPr>
            <w:r w:rsidRPr="00CC4B57">
              <w:rPr>
                <w:rFonts w:eastAsia="Times New Roman"/>
                <w:szCs w:val="22"/>
                <w:lang w:val="fr-FR"/>
              </w:rPr>
              <w:t>Remplacement</w:t>
            </w:r>
            <w:r w:rsidR="0045102F" w:rsidRPr="00CC4B57">
              <w:rPr>
                <w:rFonts w:eastAsia="Times New Roman"/>
                <w:szCs w:val="22"/>
                <w:lang w:val="fr-FR"/>
              </w:rPr>
              <w:t> </w:t>
            </w:r>
            <w:proofErr w:type="gramStart"/>
            <w:r w:rsidR="0045102F" w:rsidRPr="00CC4B57">
              <w:rPr>
                <w:rFonts w:eastAsia="Times New Roman"/>
                <w:szCs w:val="22"/>
                <w:lang w:val="fr-FR"/>
              </w:rPr>
              <w:t>:</w:t>
            </w:r>
            <w:r w:rsidRPr="00CC4B57">
              <w:rPr>
                <w:rFonts w:eastAsia="Times New Roman"/>
                <w:szCs w:val="22"/>
                <w:lang w:val="fr-FR"/>
              </w:rPr>
              <w:t xml:space="preserve"> 98</w:t>
            </w:r>
            <w:proofErr w:type="gramEnd"/>
          </w:p>
        </w:tc>
      </w:tr>
      <w:tr w:rsidR="006D2A00" w:rsidRPr="00CC4B57" w:rsidTr="0098570E">
        <w:tc>
          <w:tcPr>
            <w:tcW w:w="3085" w:type="dxa"/>
            <w:shd w:val="clear" w:color="auto" w:fill="auto"/>
          </w:tcPr>
          <w:p w:rsidR="00BB45F5" w:rsidRPr="00CC4B57" w:rsidRDefault="00C81511" w:rsidP="00C81511">
            <w:pPr>
              <w:rPr>
                <w:rFonts w:eastAsia="Times New Roman"/>
                <w:szCs w:val="22"/>
                <w:lang w:val="fr-FR"/>
              </w:rPr>
            </w:pPr>
            <w:r w:rsidRPr="00CC4B57">
              <w:rPr>
                <w:rFonts w:eastAsia="Times New Roman"/>
                <w:szCs w:val="22"/>
                <w:lang w:val="fr-FR"/>
              </w:rPr>
              <w:lastRenderedPageBreak/>
              <w:t>Recherche ou étude</w:t>
            </w:r>
            <w:r w:rsidRPr="00CC4B57">
              <w:rPr>
                <w:rStyle w:val="FootnoteReference"/>
                <w:rFonts w:eastAsia="Times New Roman"/>
                <w:szCs w:val="22"/>
                <w:lang w:val="fr-FR"/>
              </w:rPr>
              <w:footnoteReference w:id="12"/>
            </w:r>
          </w:p>
          <w:p w:rsidR="00BB45F5" w:rsidRPr="00CC4B57" w:rsidRDefault="00C81511" w:rsidP="00C81511">
            <w:pPr>
              <w:rPr>
                <w:rFonts w:eastAsia="Times New Roman"/>
                <w:sz w:val="18"/>
                <w:szCs w:val="18"/>
                <w:lang w:val="fr-FR"/>
              </w:rPr>
            </w:pPr>
            <w:r w:rsidRPr="00CC4B57">
              <w:rPr>
                <w:rFonts w:eastAsia="Times New Roman"/>
                <w:sz w:val="18"/>
                <w:szCs w:val="18"/>
                <w:lang w:val="fr-FR"/>
              </w:rPr>
              <w:t>(</w:t>
            </w:r>
            <w:r w:rsidR="00797B96" w:rsidRPr="00CC4B57">
              <w:rPr>
                <w:rFonts w:eastAsia="Times New Roman"/>
                <w:sz w:val="18"/>
                <w:szCs w:val="18"/>
                <w:lang w:val="fr-FR"/>
              </w:rPr>
              <w:t>m</w:t>
            </w:r>
            <w:r w:rsidRPr="00CC4B57">
              <w:rPr>
                <w:rFonts w:eastAsia="Times New Roman"/>
                <w:sz w:val="18"/>
                <w:szCs w:val="18"/>
                <w:lang w:val="fr-FR"/>
              </w:rPr>
              <w:t>ise à disposi</w:t>
            </w:r>
            <w:r w:rsidR="00F73CCA" w:rsidRPr="00CC4B57">
              <w:rPr>
                <w:rFonts w:eastAsia="Times New Roman"/>
                <w:sz w:val="18"/>
                <w:szCs w:val="18"/>
                <w:lang w:val="fr-FR"/>
              </w:rPr>
              <w:t>ti</w:t>
            </w:r>
            <w:r w:rsidRPr="00CC4B57">
              <w:rPr>
                <w:rFonts w:eastAsia="Times New Roman"/>
                <w:sz w:val="18"/>
                <w:szCs w:val="18"/>
                <w:lang w:val="fr-FR"/>
              </w:rPr>
              <w:t>on sur des terminaux spécialisés)</w:t>
            </w:r>
          </w:p>
          <w:p w:rsidR="006D2A00" w:rsidRPr="00CC4B57" w:rsidRDefault="006D2A00" w:rsidP="0098570E">
            <w:pPr>
              <w:rPr>
                <w:rFonts w:eastAsia="Times New Roman"/>
                <w:szCs w:val="22"/>
                <w:lang w:val="fr-FR"/>
              </w:rPr>
            </w:pPr>
          </w:p>
        </w:tc>
        <w:tc>
          <w:tcPr>
            <w:tcW w:w="5528" w:type="dxa"/>
            <w:shd w:val="clear" w:color="auto" w:fill="auto"/>
          </w:tcPr>
          <w:p w:rsidR="006D2A00" w:rsidRPr="00CC4B57" w:rsidRDefault="006D2A00" w:rsidP="0098570E">
            <w:pPr>
              <w:rPr>
                <w:rFonts w:eastAsia="Times New Roman"/>
                <w:szCs w:val="22"/>
                <w:lang w:val="fr-FR"/>
              </w:rPr>
            </w:pPr>
            <w:r w:rsidRPr="00CC4B57">
              <w:rPr>
                <w:rFonts w:eastAsia="Times New Roman"/>
                <w:szCs w:val="22"/>
                <w:lang w:val="fr-FR"/>
              </w:rPr>
              <w:t>34</w:t>
            </w:r>
          </w:p>
        </w:tc>
      </w:tr>
      <w:tr w:rsidR="006D2A00" w:rsidRPr="00CC4B57" w:rsidTr="0098570E">
        <w:tc>
          <w:tcPr>
            <w:tcW w:w="3085" w:type="dxa"/>
            <w:shd w:val="clear" w:color="auto" w:fill="auto"/>
          </w:tcPr>
          <w:p w:rsidR="00BB45F5" w:rsidRPr="00CC4B57" w:rsidRDefault="00006CE1" w:rsidP="00006CE1">
            <w:pPr>
              <w:rPr>
                <w:rFonts w:eastAsia="Times New Roman"/>
                <w:szCs w:val="22"/>
                <w:lang w:val="fr-FR"/>
              </w:rPr>
            </w:pPr>
            <w:r w:rsidRPr="00CC4B57">
              <w:rPr>
                <w:rFonts w:eastAsia="Times New Roman"/>
                <w:szCs w:val="22"/>
                <w:lang w:val="fr-FR"/>
              </w:rPr>
              <w:t>Fourniture de documents ou prêt entre bibliothèques</w:t>
            </w:r>
          </w:p>
          <w:p w:rsidR="006D2A00" w:rsidRPr="00CC4B57" w:rsidRDefault="006D2A00" w:rsidP="0098570E">
            <w:pPr>
              <w:rPr>
                <w:rFonts w:eastAsia="Times New Roman"/>
                <w:szCs w:val="22"/>
                <w:lang w:val="fr-FR"/>
              </w:rPr>
            </w:pPr>
          </w:p>
        </w:tc>
        <w:tc>
          <w:tcPr>
            <w:tcW w:w="5528" w:type="dxa"/>
            <w:shd w:val="clear" w:color="auto" w:fill="auto"/>
          </w:tcPr>
          <w:p w:rsidR="00BB45F5" w:rsidRPr="00CC4B57" w:rsidRDefault="00006CE1" w:rsidP="00006CE1">
            <w:pPr>
              <w:rPr>
                <w:rFonts w:eastAsia="Times New Roman"/>
                <w:szCs w:val="22"/>
                <w:lang w:val="fr-FR"/>
              </w:rPr>
            </w:pPr>
            <w:r w:rsidRPr="00CC4B57">
              <w:rPr>
                <w:rFonts w:eastAsia="Times New Roman"/>
                <w:szCs w:val="22"/>
                <w:lang w:val="fr-FR"/>
              </w:rPr>
              <w:t>Fourniture de documents</w:t>
            </w:r>
            <w:r w:rsidR="0045102F" w:rsidRPr="00CC4B57">
              <w:rPr>
                <w:rFonts w:eastAsia="Times New Roman"/>
                <w:szCs w:val="22"/>
                <w:lang w:val="fr-FR"/>
              </w:rPr>
              <w:t> </w:t>
            </w:r>
            <w:proofErr w:type="gramStart"/>
            <w:r w:rsidR="0045102F" w:rsidRPr="00CC4B57">
              <w:rPr>
                <w:rFonts w:eastAsia="Times New Roman"/>
                <w:szCs w:val="22"/>
                <w:lang w:val="fr-FR"/>
              </w:rPr>
              <w:t>:</w:t>
            </w:r>
            <w:r w:rsidRPr="00CC4B57">
              <w:rPr>
                <w:rFonts w:eastAsia="Times New Roman"/>
                <w:szCs w:val="22"/>
                <w:lang w:val="fr-FR"/>
              </w:rPr>
              <w:t xml:space="preserve"> 22</w:t>
            </w:r>
            <w:proofErr w:type="gramEnd"/>
          </w:p>
          <w:p w:rsidR="00BB45F5" w:rsidRPr="00CC4B57" w:rsidRDefault="00BB45F5" w:rsidP="0098570E">
            <w:pPr>
              <w:rPr>
                <w:rFonts w:eastAsia="Times New Roman"/>
                <w:szCs w:val="22"/>
                <w:lang w:val="fr-FR"/>
              </w:rPr>
            </w:pPr>
          </w:p>
          <w:p w:rsidR="00BB45F5" w:rsidRPr="00CC4B57" w:rsidRDefault="00006CE1" w:rsidP="00006CE1">
            <w:pPr>
              <w:rPr>
                <w:rFonts w:eastAsia="Times New Roman"/>
                <w:szCs w:val="22"/>
                <w:lang w:val="fr-FR"/>
              </w:rPr>
            </w:pPr>
            <w:r w:rsidRPr="00CC4B57">
              <w:rPr>
                <w:rFonts w:eastAsia="Times New Roman"/>
                <w:szCs w:val="22"/>
                <w:lang w:val="fr-FR"/>
              </w:rPr>
              <w:t>Prêt entre bibliothèques</w:t>
            </w:r>
            <w:r w:rsidR="0045102F" w:rsidRPr="00CC4B57">
              <w:rPr>
                <w:rFonts w:eastAsia="Times New Roman"/>
                <w:szCs w:val="22"/>
                <w:lang w:val="fr-FR"/>
              </w:rPr>
              <w:t> </w:t>
            </w:r>
            <w:proofErr w:type="gramStart"/>
            <w:r w:rsidR="0045102F" w:rsidRPr="00CC4B57">
              <w:rPr>
                <w:rFonts w:eastAsia="Times New Roman"/>
                <w:szCs w:val="22"/>
                <w:lang w:val="fr-FR"/>
              </w:rPr>
              <w:t>:</w:t>
            </w:r>
            <w:r w:rsidRPr="00CC4B57">
              <w:rPr>
                <w:rFonts w:eastAsia="Times New Roman"/>
                <w:szCs w:val="22"/>
                <w:lang w:val="fr-FR"/>
              </w:rPr>
              <w:t xml:space="preserve"> 9</w:t>
            </w:r>
            <w:proofErr w:type="gramEnd"/>
          </w:p>
          <w:p w:rsidR="006D2A00" w:rsidRPr="00CC4B57" w:rsidRDefault="006D2A00" w:rsidP="0098570E">
            <w:pPr>
              <w:rPr>
                <w:rFonts w:eastAsia="Times New Roman"/>
                <w:szCs w:val="22"/>
                <w:lang w:val="fr-FR"/>
              </w:rPr>
            </w:pPr>
          </w:p>
        </w:tc>
      </w:tr>
      <w:tr w:rsidR="006D2A00" w:rsidRPr="00CC4B57" w:rsidTr="0098570E">
        <w:tc>
          <w:tcPr>
            <w:tcW w:w="3085" w:type="dxa"/>
            <w:shd w:val="clear" w:color="auto" w:fill="auto"/>
          </w:tcPr>
          <w:p w:rsidR="006D2A00" w:rsidRPr="00CC4B57" w:rsidRDefault="00006CE1" w:rsidP="00006CE1">
            <w:pPr>
              <w:rPr>
                <w:rFonts w:eastAsia="Times New Roman"/>
                <w:szCs w:val="22"/>
                <w:lang w:val="fr-FR"/>
              </w:rPr>
            </w:pPr>
            <w:proofErr w:type="spellStart"/>
            <w:r w:rsidRPr="00CC4B57">
              <w:rPr>
                <w:rFonts w:eastAsia="Times New Roman"/>
                <w:szCs w:val="22"/>
                <w:lang w:val="fr-FR"/>
              </w:rPr>
              <w:t>Antineutralisation</w:t>
            </w:r>
            <w:proofErr w:type="spellEnd"/>
            <w:r w:rsidRPr="00CC4B57">
              <w:rPr>
                <w:rFonts w:eastAsia="Times New Roman"/>
                <w:szCs w:val="22"/>
                <w:lang w:val="fr-FR"/>
              </w:rPr>
              <w:t xml:space="preserve"> des mesures techniques de protection – exception en faveur des bibliothèques</w:t>
            </w:r>
          </w:p>
        </w:tc>
        <w:tc>
          <w:tcPr>
            <w:tcW w:w="5528" w:type="dxa"/>
            <w:shd w:val="clear" w:color="auto" w:fill="auto"/>
          </w:tcPr>
          <w:p w:rsidR="006D2A00" w:rsidRPr="00CC4B57" w:rsidRDefault="006D2A00" w:rsidP="0098570E">
            <w:pPr>
              <w:rPr>
                <w:rFonts w:eastAsia="Times New Roman"/>
                <w:szCs w:val="22"/>
                <w:lang w:val="fr-FR"/>
              </w:rPr>
            </w:pPr>
            <w:r w:rsidRPr="00CC4B57">
              <w:rPr>
                <w:rFonts w:eastAsia="Times New Roman"/>
                <w:szCs w:val="22"/>
                <w:lang w:val="fr-FR"/>
              </w:rPr>
              <w:t>53</w:t>
            </w:r>
          </w:p>
        </w:tc>
      </w:tr>
    </w:tbl>
    <w:p w:rsidR="00BA4B95" w:rsidRPr="00CC4B57" w:rsidRDefault="00BA4B95" w:rsidP="0098570E">
      <w:pPr>
        <w:tabs>
          <w:tab w:val="left" w:pos="3085"/>
        </w:tabs>
        <w:rPr>
          <w:rFonts w:eastAsia="Times New Roman"/>
          <w:szCs w:val="22"/>
          <w:lang w:val="fr-FR"/>
        </w:rPr>
      </w:pPr>
    </w:p>
    <w:p w:rsidR="00BB45F5" w:rsidRPr="00CC4B57" w:rsidRDefault="00006CE1" w:rsidP="00006CE1">
      <w:pPr>
        <w:pStyle w:val="Heading1"/>
        <w:rPr>
          <w:szCs w:val="22"/>
          <w:lang w:val="fr-FR" w:eastAsia="en-US"/>
        </w:rPr>
      </w:pPr>
      <w:r w:rsidRPr="00CC4B57">
        <w:rPr>
          <w:szCs w:val="22"/>
          <w:lang w:val="fr-FR" w:eastAsia="en-US"/>
        </w:rPr>
        <w:t>Méthodologie</w:t>
      </w:r>
    </w:p>
    <w:p w:rsidR="00BB45F5" w:rsidRPr="00CC4B57" w:rsidRDefault="00BB45F5" w:rsidP="006D2A00">
      <w:pPr>
        <w:rPr>
          <w:rFonts w:eastAsia="Times New Roman"/>
          <w:szCs w:val="22"/>
          <w:lang w:val="fr-FR"/>
        </w:rPr>
      </w:pPr>
    </w:p>
    <w:p w:rsidR="00BB45F5" w:rsidRPr="00CC4B57" w:rsidRDefault="0098570E" w:rsidP="0098570E">
      <w:pPr>
        <w:rPr>
          <w:rFonts w:eastAsia="Times New Roman"/>
          <w:szCs w:val="22"/>
          <w:lang w:val="fr-FR"/>
        </w:rPr>
      </w:pPr>
      <w:r w:rsidRPr="00CC4B57">
        <w:rPr>
          <w:rFonts w:eastAsia="Times New Roman"/>
          <w:szCs w:val="22"/>
          <w:lang w:val="fr-FR"/>
        </w:rPr>
        <w:t xml:space="preserve">Si le rapport </w:t>
      </w:r>
      <w:r w:rsidR="0096345D" w:rsidRPr="00CC4B57">
        <w:rPr>
          <w:rFonts w:eastAsia="Times New Roman"/>
          <w:szCs w:val="22"/>
          <w:lang w:val="fr-FR"/>
        </w:rPr>
        <w:t>de 2017</w:t>
      </w:r>
      <w:r w:rsidRPr="00CC4B57">
        <w:rPr>
          <w:rFonts w:eastAsia="Times New Roman"/>
          <w:szCs w:val="22"/>
          <w:lang w:val="fr-FR"/>
        </w:rPr>
        <w:t xml:space="preserve"> remplace les études précédentes, celles</w:t>
      </w:r>
      <w:r w:rsidR="00BA4B95" w:rsidRPr="00CC4B57">
        <w:rPr>
          <w:rFonts w:eastAsia="Times New Roman"/>
          <w:szCs w:val="22"/>
          <w:lang w:val="fr-FR"/>
        </w:rPr>
        <w:noBreakHyphen/>
      </w:r>
      <w:r w:rsidRPr="00CC4B57">
        <w:rPr>
          <w:rFonts w:eastAsia="Times New Roman"/>
          <w:szCs w:val="22"/>
          <w:lang w:val="fr-FR"/>
        </w:rPr>
        <w:t xml:space="preserve">ci conservent </w:t>
      </w:r>
      <w:r w:rsidR="00F73CCA" w:rsidRPr="00CC4B57">
        <w:rPr>
          <w:rFonts w:eastAsia="Times New Roman"/>
          <w:szCs w:val="22"/>
          <w:lang w:val="fr-FR"/>
        </w:rPr>
        <w:t>leur</w:t>
      </w:r>
      <w:r w:rsidRPr="00CC4B57">
        <w:rPr>
          <w:rFonts w:eastAsia="Times New Roman"/>
          <w:szCs w:val="22"/>
          <w:lang w:val="fr-FR"/>
        </w:rPr>
        <w:t xml:space="preserve"> vale</w:t>
      </w:r>
      <w:r w:rsidR="00753BBF" w:rsidRPr="00CC4B57">
        <w:rPr>
          <w:rFonts w:eastAsia="Times New Roman"/>
          <w:szCs w:val="22"/>
          <w:lang w:val="fr-FR"/>
        </w:rPr>
        <w:t>ur.  Da</w:t>
      </w:r>
      <w:r w:rsidRPr="00CC4B57">
        <w:rPr>
          <w:rFonts w:eastAsia="Times New Roman"/>
          <w:szCs w:val="22"/>
          <w:lang w:val="fr-FR"/>
        </w:rPr>
        <w:t>ns un premier temps, nous avons examiné l</w:t>
      </w:r>
      <w:r w:rsidR="0045102F" w:rsidRPr="00CC4B57">
        <w:rPr>
          <w:rFonts w:eastAsia="Times New Roman"/>
          <w:szCs w:val="22"/>
          <w:lang w:val="fr-FR"/>
        </w:rPr>
        <w:t>’</w:t>
      </w:r>
      <w:r w:rsidRPr="00CC4B57">
        <w:rPr>
          <w:rFonts w:eastAsia="Times New Roman"/>
          <w:szCs w:val="22"/>
          <w:lang w:val="fr-FR"/>
        </w:rPr>
        <w:t xml:space="preserve">étude effectuée </w:t>
      </w:r>
      <w:r w:rsidR="0096345D" w:rsidRPr="00CC4B57">
        <w:rPr>
          <w:rFonts w:eastAsia="Times New Roman"/>
          <w:szCs w:val="22"/>
          <w:lang w:val="fr-FR"/>
        </w:rPr>
        <w:t>en 2015</w:t>
      </w:r>
      <w:r w:rsidRPr="00CC4B57">
        <w:rPr>
          <w:rFonts w:eastAsia="Times New Roman"/>
          <w:szCs w:val="22"/>
          <w:lang w:val="fr-FR"/>
        </w:rPr>
        <w:t xml:space="preserve"> et mis en évidence les pays qui </w:t>
      </w:r>
      <w:r w:rsidR="00F73CCA" w:rsidRPr="00CC4B57">
        <w:rPr>
          <w:rFonts w:eastAsia="Times New Roman"/>
          <w:szCs w:val="22"/>
          <w:lang w:val="fr-FR"/>
        </w:rPr>
        <w:t>viennent</w:t>
      </w:r>
      <w:r w:rsidRPr="00CC4B57">
        <w:rPr>
          <w:rFonts w:eastAsia="Times New Roman"/>
          <w:szCs w:val="22"/>
          <w:lang w:val="fr-FR"/>
        </w:rPr>
        <w:t xml:space="preserve"> d</w:t>
      </w:r>
      <w:r w:rsidR="0045102F" w:rsidRPr="00CC4B57">
        <w:rPr>
          <w:rFonts w:eastAsia="Times New Roman"/>
          <w:szCs w:val="22"/>
          <w:lang w:val="fr-FR"/>
        </w:rPr>
        <w:t>’</w:t>
      </w:r>
      <w:r w:rsidRPr="00CC4B57">
        <w:rPr>
          <w:rFonts w:eastAsia="Times New Roman"/>
          <w:szCs w:val="22"/>
          <w:lang w:val="fr-FR"/>
        </w:rPr>
        <w:t xml:space="preserve">adopter des textes de loi ou </w:t>
      </w:r>
      <w:r w:rsidR="00F73CCA" w:rsidRPr="00CC4B57">
        <w:rPr>
          <w:rFonts w:eastAsia="Times New Roman"/>
          <w:szCs w:val="22"/>
          <w:lang w:val="fr-FR"/>
        </w:rPr>
        <w:t>prévoien</w:t>
      </w:r>
      <w:r w:rsidRPr="00CC4B57">
        <w:rPr>
          <w:rFonts w:eastAsia="Times New Roman"/>
          <w:szCs w:val="22"/>
          <w:lang w:val="fr-FR"/>
        </w:rPr>
        <w:t>t de nouvelles dispositio</w:t>
      </w:r>
      <w:r w:rsidR="00753BBF" w:rsidRPr="00CC4B57">
        <w:rPr>
          <w:rFonts w:eastAsia="Times New Roman"/>
          <w:szCs w:val="22"/>
          <w:lang w:val="fr-FR"/>
        </w:rPr>
        <w:t>ns.  No</w:t>
      </w:r>
      <w:r w:rsidRPr="00CC4B57">
        <w:rPr>
          <w:rFonts w:eastAsia="Times New Roman"/>
          <w:szCs w:val="22"/>
          <w:lang w:val="fr-FR"/>
        </w:rPr>
        <w:t>us avons ensuite procédé à un examen approfondi des r</w:t>
      </w:r>
      <w:r w:rsidR="00BA4B95" w:rsidRPr="00CC4B57">
        <w:rPr>
          <w:rFonts w:eastAsia="Times New Roman"/>
          <w:szCs w:val="22"/>
          <w:lang w:val="fr-FR"/>
        </w:rPr>
        <w:t xml:space="preserve">essources disponibles dans </w:t>
      </w:r>
      <w:proofErr w:type="spellStart"/>
      <w:r w:rsidR="00BA4B95" w:rsidRPr="00CC4B57">
        <w:rPr>
          <w:rFonts w:eastAsia="Times New Roman"/>
          <w:szCs w:val="22"/>
          <w:lang w:val="fr-FR"/>
        </w:rPr>
        <w:t>WIPO</w:t>
      </w:r>
      <w:proofErr w:type="spellEnd"/>
      <w:r w:rsidR="00BA4B95" w:rsidRPr="00CC4B57">
        <w:rPr>
          <w:rFonts w:eastAsia="Times New Roman"/>
          <w:szCs w:val="22"/>
          <w:lang w:val="fr-FR"/>
        </w:rPr>
        <w:t> </w:t>
      </w:r>
      <w:proofErr w:type="spellStart"/>
      <w:r w:rsidRPr="00CC4B57">
        <w:rPr>
          <w:rFonts w:eastAsia="Times New Roman"/>
          <w:szCs w:val="22"/>
          <w:lang w:val="fr-FR"/>
        </w:rPr>
        <w:t>Lex</w:t>
      </w:r>
      <w:proofErr w:type="spellEnd"/>
      <w:r w:rsidRPr="00CC4B57">
        <w:rPr>
          <w:rFonts w:eastAsia="Times New Roman"/>
          <w:szCs w:val="22"/>
          <w:lang w:val="fr-FR"/>
        </w:rPr>
        <w:t>, une source d</w:t>
      </w:r>
      <w:r w:rsidR="0045102F" w:rsidRPr="00CC4B57">
        <w:rPr>
          <w:rFonts w:eastAsia="Times New Roman"/>
          <w:szCs w:val="22"/>
          <w:lang w:val="fr-FR"/>
        </w:rPr>
        <w:t>’</w:t>
      </w:r>
      <w:r w:rsidRPr="00CC4B57">
        <w:rPr>
          <w:rFonts w:eastAsia="Times New Roman"/>
          <w:szCs w:val="22"/>
          <w:lang w:val="fr-FR"/>
        </w:rPr>
        <w:t>information très complète sur les textes législatifs et autres sources dans le domaine de la propriété intellectuelle de tous les pays membres de l</w:t>
      </w:r>
      <w:r w:rsidR="0045102F" w:rsidRPr="00CC4B57">
        <w:rPr>
          <w:rFonts w:eastAsia="Times New Roman"/>
          <w:szCs w:val="22"/>
          <w:lang w:val="fr-FR"/>
        </w:rPr>
        <w:t>’</w:t>
      </w:r>
      <w:r w:rsidRPr="00CC4B57">
        <w:rPr>
          <w:rFonts w:eastAsia="Times New Roman"/>
          <w:szCs w:val="22"/>
          <w:lang w:val="fr-FR"/>
        </w:rPr>
        <w:t>OMPI (voir www.wipo.int/wipolex/en/).</w:t>
      </w:r>
      <w:r w:rsidR="006D2A00" w:rsidRPr="00CC4B57">
        <w:rPr>
          <w:rFonts w:eastAsia="Times New Roman"/>
          <w:szCs w:val="22"/>
          <w:lang w:val="fr-FR"/>
        </w:rPr>
        <w:t xml:space="preserve">  </w:t>
      </w:r>
      <w:r w:rsidRPr="00CC4B57">
        <w:rPr>
          <w:rFonts w:eastAsia="Times New Roman"/>
          <w:szCs w:val="22"/>
          <w:lang w:val="fr-FR"/>
        </w:rPr>
        <w:t>Les résultats ainsi obtenus ont été complétés, remplacés ou confirmés à l</w:t>
      </w:r>
      <w:r w:rsidR="0045102F" w:rsidRPr="00CC4B57">
        <w:rPr>
          <w:rFonts w:eastAsia="Times New Roman"/>
          <w:szCs w:val="22"/>
          <w:lang w:val="fr-FR"/>
        </w:rPr>
        <w:t>’</w:t>
      </w:r>
      <w:r w:rsidRPr="00CC4B57">
        <w:rPr>
          <w:rFonts w:eastAsia="Times New Roman"/>
          <w:szCs w:val="22"/>
          <w:lang w:val="fr-FR"/>
        </w:rPr>
        <w:t>issue d</w:t>
      </w:r>
      <w:r w:rsidR="0045102F" w:rsidRPr="00CC4B57">
        <w:rPr>
          <w:rFonts w:eastAsia="Times New Roman"/>
          <w:szCs w:val="22"/>
          <w:lang w:val="fr-FR"/>
        </w:rPr>
        <w:t>’</w:t>
      </w:r>
      <w:r w:rsidRPr="00CC4B57">
        <w:rPr>
          <w:rFonts w:eastAsia="Times New Roman"/>
          <w:szCs w:val="22"/>
          <w:lang w:val="fr-FR"/>
        </w:rPr>
        <w:t>une recherche juridique rigoureuse;  à cette fin, nous avons consulté des sources d</w:t>
      </w:r>
      <w:r w:rsidR="0045102F" w:rsidRPr="00CC4B57">
        <w:rPr>
          <w:rFonts w:eastAsia="Times New Roman"/>
          <w:szCs w:val="22"/>
          <w:lang w:val="fr-FR"/>
        </w:rPr>
        <w:t>’</w:t>
      </w:r>
      <w:r w:rsidRPr="00CC4B57">
        <w:rPr>
          <w:rFonts w:eastAsia="Times New Roman"/>
          <w:szCs w:val="22"/>
          <w:lang w:val="fr-FR"/>
        </w:rPr>
        <w:t>information en ligne et des bases de données, nous nous sommes rendus dans des bibliothèques et avons pris contact avec des bureaux de droit d</w:t>
      </w:r>
      <w:r w:rsidR="0045102F" w:rsidRPr="00CC4B57">
        <w:rPr>
          <w:rFonts w:eastAsia="Times New Roman"/>
          <w:szCs w:val="22"/>
          <w:lang w:val="fr-FR"/>
        </w:rPr>
        <w:t>’</w:t>
      </w:r>
      <w:r w:rsidRPr="00CC4B57">
        <w:rPr>
          <w:rFonts w:eastAsia="Times New Roman"/>
          <w:szCs w:val="22"/>
          <w:lang w:val="fr-FR"/>
        </w:rPr>
        <w:t>auteur et des experts dans certains pa</w:t>
      </w:r>
      <w:r w:rsidR="00753BBF" w:rsidRPr="00CC4B57">
        <w:rPr>
          <w:rFonts w:eastAsia="Times New Roman"/>
          <w:szCs w:val="22"/>
          <w:lang w:val="fr-FR"/>
        </w:rPr>
        <w:t>ys.  Pa</w:t>
      </w:r>
      <w:r w:rsidRPr="00CC4B57">
        <w:rPr>
          <w:rFonts w:eastAsia="Times New Roman"/>
          <w:szCs w:val="22"/>
          <w:lang w:val="fr-FR"/>
        </w:rPr>
        <w:t>r la suite, nous avons à nouveau vérifié les sources en consultant le site</w:t>
      </w:r>
      <w:r w:rsidR="00117E3A" w:rsidRPr="00CC4B57">
        <w:rPr>
          <w:rFonts w:eastAsia="Times New Roman"/>
          <w:szCs w:val="22"/>
          <w:lang w:val="fr-FR"/>
        </w:rPr>
        <w:t> </w:t>
      </w:r>
      <w:r w:rsidRPr="00CC4B57">
        <w:rPr>
          <w:rFonts w:eastAsia="Times New Roman"/>
          <w:szCs w:val="22"/>
          <w:lang w:val="fr-FR"/>
        </w:rPr>
        <w:t>Web du bureau de droit d</w:t>
      </w:r>
      <w:r w:rsidR="0045102F" w:rsidRPr="00CC4B57">
        <w:rPr>
          <w:rFonts w:eastAsia="Times New Roman"/>
          <w:szCs w:val="22"/>
          <w:lang w:val="fr-FR"/>
        </w:rPr>
        <w:t>’</w:t>
      </w:r>
      <w:r w:rsidRPr="00CC4B57">
        <w:rPr>
          <w:rFonts w:eastAsia="Times New Roman"/>
          <w:szCs w:val="22"/>
          <w:lang w:val="fr-FR"/>
        </w:rPr>
        <w:t>auteur de chaque pays, principalement à partir de la liste fournie par l</w:t>
      </w:r>
      <w:r w:rsidR="0045102F" w:rsidRPr="00CC4B57">
        <w:rPr>
          <w:rFonts w:eastAsia="Times New Roman"/>
          <w:szCs w:val="22"/>
          <w:lang w:val="fr-FR"/>
        </w:rPr>
        <w:t>’</w:t>
      </w:r>
      <w:r w:rsidRPr="00CC4B57">
        <w:rPr>
          <w:rFonts w:eastAsia="Times New Roman"/>
          <w:szCs w:val="22"/>
          <w:lang w:val="fr-FR"/>
        </w:rPr>
        <w:t>OMPI (voir http://www.wipo.int/directory/fr/urls.j</w:t>
      </w:r>
      <w:r w:rsidR="00753BBF" w:rsidRPr="00CC4B57">
        <w:rPr>
          <w:rFonts w:eastAsia="Times New Roman"/>
          <w:szCs w:val="22"/>
          <w:lang w:val="fr-FR"/>
        </w:rPr>
        <w:t>sp).  De</w:t>
      </w:r>
      <w:r w:rsidRPr="00CC4B57">
        <w:rPr>
          <w:rFonts w:eastAsia="Times New Roman"/>
          <w:szCs w:val="22"/>
          <w:lang w:val="fr-FR"/>
        </w:rPr>
        <w:t xml:space="preserve"> manière générale, nous avons préféré citer le</w:t>
      </w:r>
      <w:r w:rsidR="00BA4B95" w:rsidRPr="00CC4B57">
        <w:rPr>
          <w:rFonts w:eastAsia="Times New Roman"/>
          <w:szCs w:val="22"/>
          <w:lang w:val="fr-FR"/>
        </w:rPr>
        <w:t xml:space="preserve">s sources disponibles dans </w:t>
      </w:r>
      <w:proofErr w:type="spellStart"/>
      <w:r w:rsidR="00BA4B95" w:rsidRPr="00CC4B57">
        <w:rPr>
          <w:rFonts w:eastAsia="Times New Roman"/>
          <w:szCs w:val="22"/>
          <w:lang w:val="fr-FR"/>
        </w:rPr>
        <w:t>WIPO</w:t>
      </w:r>
      <w:proofErr w:type="spellEnd"/>
      <w:r w:rsidR="00BA4B95" w:rsidRPr="00CC4B57">
        <w:rPr>
          <w:rFonts w:eastAsia="Times New Roman"/>
          <w:szCs w:val="22"/>
          <w:lang w:val="fr-FR"/>
        </w:rPr>
        <w:t> </w:t>
      </w:r>
      <w:proofErr w:type="spellStart"/>
      <w:r w:rsidRPr="00CC4B57">
        <w:rPr>
          <w:rFonts w:eastAsia="Times New Roman"/>
          <w:szCs w:val="22"/>
          <w:lang w:val="fr-FR"/>
        </w:rPr>
        <w:t>Lex</w:t>
      </w:r>
      <w:proofErr w:type="spellEnd"/>
      <w:r w:rsidRPr="00CC4B57">
        <w:rPr>
          <w:rFonts w:eastAsia="Times New Roman"/>
          <w:szCs w:val="22"/>
          <w:lang w:val="fr-FR"/>
        </w:rPr>
        <w:t>, mais si une source différente et préférable était mise à disposition, nous l</w:t>
      </w:r>
      <w:r w:rsidR="0045102F" w:rsidRPr="00CC4B57">
        <w:rPr>
          <w:rFonts w:eastAsia="Times New Roman"/>
          <w:szCs w:val="22"/>
          <w:lang w:val="fr-FR"/>
        </w:rPr>
        <w:t>’</w:t>
      </w:r>
      <w:r w:rsidRPr="00CC4B57">
        <w:rPr>
          <w:rFonts w:eastAsia="Times New Roman"/>
          <w:szCs w:val="22"/>
          <w:lang w:val="fr-FR"/>
        </w:rPr>
        <w:t>avons citée dans ce document.</w:t>
      </w:r>
    </w:p>
    <w:p w:rsidR="00BB45F5" w:rsidRPr="00CC4B57" w:rsidRDefault="00BB45F5" w:rsidP="006D2A00">
      <w:pPr>
        <w:rPr>
          <w:rFonts w:eastAsia="Times New Roman"/>
          <w:szCs w:val="22"/>
          <w:lang w:val="fr-FR"/>
        </w:rPr>
      </w:pPr>
    </w:p>
    <w:p w:rsidR="00BB45F5" w:rsidRPr="00CC4B57" w:rsidRDefault="0098570E" w:rsidP="0098570E">
      <w:pPr>
        <w:rPr>
          <w:rFonts w:eastAsia="Times New Roman"/>
          <w:szCs w:val="22"/>
          <w:lang w:val="fr-FR"/>
        </w:rPr>
      </w:pPr>
      <w:r w:rsidRPr="00CC4B57">
        <w:rPr>
          <w:rFonts w:eastAsia="Times New Roman"/>
          <w:szCs w:val="22"/>
          <w:lang w:val="fr-FR"/>
        </w:rPr>
        <w:t>L</w:t>
      </w:r>
      <w:r w:rsidR="0045102F" w:rsidRPr="00CC4B57">
        <w:rPr>
          <w:rFonts w:eastAsia="Times New Roman"/>
          <w:szCs w:val="22"/>
          <w:lang w:val="fr-FR"/>
        </w:rPr>
        <w:t>’</w:t>
      </w:r>
      <w:r w:rsidRPr="00CC4B57">
        <w:rPr>
          <w:rFonts w:eastAsia="Times New Roman"/>
          <w:szCs w:val="22"/>
          <w:lang w:val="fr-FR"/>
        </w:rPr>
        <w:t>objet de la recherche était de trouver une source fiable et en vigueur concernant les exceptions en faveur des bibliothèques prévues dans chaque pa</w:t>
      </w:r>
      <w:r w:rsidR="00753BBF" w:rsidRPr="00CC4B57">
        <w:rPr>
          <w:rFonts w:eastAsia="Times New Roman"/>
          <w:szCs w:val="22"/>
          <w:lang w:val="fr-FR"/>
        </w:rPr>
        <w:t>ys.  Il</w:t>
      </w:r>
      <w:r w:rsidRPr="00CC4B57">
        <w:rPr>
          <w:rFonts w:eastAsia="Times New Roman"/>
          <w:szCs w:val="22"/>
          <w:lang w:val="fr-FR"/>
        </w:rPr>
        <w:t xml:space="preserve"> est possible que la source que nous avons choisi de citer ne soit pas une version “officielle” du texte de loi d</w:t>
      </w:r>
      <w:r w:rsidR="0045102F" w:rsidRPr="00CC4B57">
        <w:rPr>
          <w:rFonts w:eastAsia="Times New Roman"/>
          <w:szCs w:val="22"/>
          <w:lang w:val="fr-FR"/>
        </w:rPr>
        <w:t>’</w:t>
      </w:r>
      <w:r w:rsidRPr="00CC4B57">
        <w:rPr>
          <w:rFonts w:eastAsia="Times New Roman"/>
          <w:szCs w:val="22"/>
          <w:lang w:val="fr-FR"/>
        </w:rPr>
        <w:t>un pays donné, mais tous les résultats des recherches indiquaient que la source était à jour s</w:t>
      </w:r>
      <w:r w:rsidR="0045102F" w:rsidRPr="00CC4B57">
        <w:rPr>
          <w:rFonts w:eastAsia="Times New Roman"/>
          <w:szCs w:val="22"/>
          <w:lang w:val="fr-FR"/>
        </w:rPr>
        <w:t>’</w:t>
      </w:r>
      <w:r w:rsidRPr="00CC4B57">
        <w:rPr>
          <w:rFonts w:eastAsia="Times New Roman"/>
          <w:szCs w:val="22"/>
          <w:lang w:val="fr-FR"/>
        </w:rPr>
        <w:t>agissant des questions concernées, et que la source et la traduction étaient fiabl</w:t>
      </w:r>
      <w:r w:rsidR="00753BBF" w:rsidRPr="00CC4B57">
        <w:rPr>
          <w:rFonts w:eastAsia="Times New Roman"/>
          <w:szCs w:val="22"/>
          <w:lang w:val="fr-FR"/>
        </w:rPr>
        <w:t>es.  De</w:t>
      </w:r>
      <w:r w:rsidRPr="00CC4B57">
        <w:rPr>
          <w:rFonts w:eastAsia="Times New Roman"/>
          <w:szCs w:val="22"/>
          <w:lang w:val="fr-FR"/>
        </w:rPr>
        <w:t xml:space="preserve"> manière générale, nous avons cherché en priorité une version traduite en anglais, bien que l</w:t>
      </w:r>
      <w:r w:rsidR="0045102F" w:rsidRPr="00CC4B57">
        <w:rPr>
          <w:rFonts w:eastAsia="Times New Roman"/>
          <w:szCs w:val="22"/>
          <w:lang w:val="fr-FR"/>
        </w:rPr>
        <w:t>’</w:t>
      </w:r>
      <w:r w:rsidRPr="00CC4B57">
        <w:rPr>
          <w:rFonts w:eastAsia="Times New Roman"/>
          <w:szCs w:val="22"/>
          <w:lang w:val="fr-FR"/>
        </w:rPr>
        <w:t>auteur de la présente recherche ait pu effectuer des traductions depuis certaines langu</w:t>
      </w:r>
      <w:r w:rsidR="00753BBF" w:rsidRPr="00CC4B57">
        <w:rPr>
          <w:rFonts w:eastAsia="Times New Roman"/>
          <w:szCs w:val="22"/>
          <w:lang w:val="fr-FR"/>
        </w:rPr>
        <w:t>es.  D’a</w:t>
      </w:r>
      <w:r w:rsidRPr="00CC4B57">
        <w:rPr>
          <w:rFonts w:eastAsia="Times New Roman"/>
          <w:szCs w:val="22"/>
          <w:lang w:val="fr-FR"/>
        </w:rPr>
        <w:t>utres traductions ont été effectuées ou vérifiées au moyen de l</w:t>
      </w:r>
      <w:r w:rsidR="0045102F" w:rsidRPr="00CC4B57">
        <w:rPr>
          <w:rFonts w:eastAsia="Times New Roman"/>
          <w:szCs w:val="22"/>
          <w:lang w:val="fr-FR"/>
        </w:rPr>
        <w:t>’</w:t>
      </w:r>
      <w:r w:rsidR="00BA4B95" w:rsidRPr="00CC4B57">
        <w:rPr>
          <w:rFonts w:eastAsia="Times New Roman"/>
          <w:szCs w:val="22"/>
          <w:lang w:val="fr-FR"/>
        </w:rPr>
        <w:t xml:space="preserve">outil de traduction de </w:t>
      </w:r>
      <w:proofErr w:type="spellStart"/>
      <w:r w:rsidR="00BA4B95" w:rsidRPr="00CC4B57">
        <w:rPr>
          <w:rFonts w:eastAsia="Times New Roman"/>
          <w:szCs w:val="22"/>
          <w:lang w:val="fr-FR"/>
        </w:rPr>
        <w:t>WIPO</w:t>
      </w:r>
      <w:proofErr w:type="spellEnd"/>
      <w:r w:rsidR="00BA4B95" w:rsidRPr="00CC4B57">
        <w:rPr>
          <w:rFonts w:eastAsia="Times New Roman"/>
          <w:szCs w:val="22"/>
          <w:lang w:val="fr-FR"/>
        </w:rPr>
        <w:t> </w:t>
      </w:r>
      <w:proofErr w:type="spellStart"/>
      <w:r w:rsidRPr="00CC4B57">
        <w:rPr>
          <w:rFonts w:eastAsia="Times New Roman"/>
          <w:szCs w:val="22"/>
          <w:lang w:val="fr-FR"/>
        </w:rPr>
        <w:t>Lex</w:t>
      </w:r>
      <w:proofErr w:type="spellEnd"/>
      <w:r w:rsidRPr="00CC4B57">
        <w:rPr>
          <w:rFonts w:eastAsia="Times New Roman"/>
          <w:szCs w:val="22"/>
          <w:lang w:val="fr-FR"/>
        </w:rPr>
        <w:t xml:space="preserve"> ou de Google Traducti</w:t>
      </w:r>
      <w:r w:rsidR="00753BBF" w:rsidRPr="00CC4B57">
        <w:rPr>
          <w:rFonts w:eastAsia="Times New Roman"/>
          <w:szCs w:val="22"/>
          <w:lang w:val="fr-FR"/>
        </w:rPr>
        <w:t>on.  Da</w:t>
      </w:r>
      <w:r w:rsidRPr="00CC4B57">
        <w:rPr>
          <w:rFonts w:eastAsia="Times New Roman"/>
          <w:szCs w:val="22"/>
          <w:lang w:val="fr-FR"/>
        </w:rPr>
        <w:t>ns d</w:t>
      </w:r>
      <w:r w:rsidR="0045102F" w:rsidRPr="00CC4B57">
        <w:rPr>
          <w:rFonts w:eastAsia="Times New Roman"/>
          <w:szCs w:val="22"/>
          <w:lang w:val="fr-FR"/>
        </w:rPr>
        <w:t>’</w:t>
      </w:r>
      <w:r w:rsidRPr="00CC4B57">
        <w:rPr>
          <w:rFonts w:eastAsia="Times New Roman"/>
          <w:szCs w:val="22"/>
          <w:lang w:val="fr-FR"/>
        </w:rPr>
        <w:t>autres cas, nos collègues de différents pays nous ont généreusement offert leurs compétences et leurs éclairages, et leur nom est mentionné dans la partie “Remerciements” en raison de la contribution importante qu</w:t>
      </w:r>
      <w:r w:rsidR="0045102F" w:rsidRPr="00CC4B57">
        <w:rPr>
          <w:rFonts w:eastAsia="Times New Roman"/>
          <w:szCs w:val="22"/>
          <w:lang w:val="fr-FR"/>
        </w:rPr>
        <w:t>’</w:t>
      </w:r>
      <w:r w:rsidRPr="00CC4B57">
        <w:rPr>
          <w:rFonts w:eastAsia="Times New Roman"/>
          <w:szCs w:val="22"/>
          <w:lang w:val="fr-FR"/>
        </w:rPr>
        <w:t>ils ont apportée.</w:t>
      </w:r>
    </w:p>
    <w:p w:rsidR="00BB45F5" w:rsidRPr="00CC4B57" w:rsidRDefault="00BB45F5" w:rsidP="006D2A00">
      <w:pPr>
        <w:rPr>
          <w:rFonts w:eastAsia="Times New Roman"/>
          <w:szCs w:val="22"/>
          <w:lang w:val="fr-FR"/>
        </w:rPr>
      </w:pPr>
    </w:p>
    <w:p w:rsidR="00BB45F5" w:rsidRPr="00CC4B57" w:rsidRDefault="0098570E" w:rsidP="00BA4B95">
      <w:pPr>
        <w:rPr>
          <w:caps/>
          <w:lang w:val="fr-FR" w:eastAsia="en-US"/>
        </w:rPr>
      </w:pPr>
      <w:r w:rsidRPr="00CC4B57">
        <w:rPr>
          <w:lang w:val="fr-FR"/>
        </w:rPr>
        <w:t>Les textes de loi utilisés dans l</w:t>
      </w:r>
      <w:r w:rsidR="0045102F" w:rsidRPr="00CC4B57">
        <w:rPr>
          <w:lang w:val="fr-FR"/>
        </w:rPr>
        <w:t>’</w:t>
      </w:r>
      <w:r w:rsidRPr="00CC4B57">
        <w:rPr>
          <w:lang w:val="fr-FR"/>
        </w:rPr>
        <w:t>analyse sont cités à la fin du tableau pour chaque pa</w:t>
      </w:r>
      <w:r w:rsidR="00753BBF" w:rsidRPr="00CC4B57">
        <w:rPr>
          <w:lang w:val="fr-FR"/>
        </w:rPr>
        <w:t>ys.  La</w:t>
      </w:r>
      <w:r w:rsidRPr="00CC4B57">
        <w:rPr>
          <w:lang w:val="fr-FR"/>
        </w:rPr>
        <w:t xml:space="preserve"> ponctuation et l</w:t>
      </w:r>
      <w:r w:rsidR="0045102F" w:rsidRPr="00CC4B57">
        <w:rPr>
          <w:lang w:val="fr-FR"/>
        </w:rPr>
        <w:t>’</w:t>
      </w:r>
      <w:r w:rsidRPr="00CC4B57">
        <w:rPr>
          <w:lang w:val="fr-FR"/>
        </w:rPr>
        <w:t>orthographe ont été éditées afin d</w:t>
      </w:r>
      <w:r w:rsidR="0045102F" w:rsidRPr="00CC4B57">
        <w:rPr>
          <w:lang w:val="fr-FR"/>
        </w:rPr>
        <w:t>’</w:t>
      </w:r>
      <w:r w:rsidRPr="00CC4B57">
        <w:rPr>
          <w:lang w:val="fr-FR"/>
        </w:rPr>
        <w:t>assurer une cohérence dans l</w:t>
      </w:r>
      <w:r w:rsidR="0045102F" w:rsidRPr="00CC4B57">
        <w:rPr>
          <w:lang w:val="fr-FR"/>
        </w:rPr>
        <w:t>’</w:t>
      </w:r>
      <w:r w:rsidRPr="00CC4B57">
        <w:rPr>
          <w:lang w:val="fr-FR"/>
        </w:rPr>
        <w:t>ensemble du document, sauf lorsqu</w:t>
      </w:r>
      <w:r w:rsidR="0045102F" w:rsidRPr="00CC4B57">
        <w:rPr>
          <w:lang w:val="fr-FR"/>
        </w:rPr>
        <w:t>’</w:t>
      </w:r>
      <w:r w:rsidRPr="00CC4B57">
        <w:rPr>
          <w:lang w:val="fr-FR"/>
        </w:rPr>
        <w:t>il s</w:t>
      </w:r>
      <w:r w:rsidR="0045102F" w:rsidRPr="00CC4B57">
        <w:rPr>
          <w:lang w:val="fr-FR"/>
        </w:rPr>
        <w:t>’</w:t>
      </w:r>
      <w:r w:rsidRPr="00CC4B57">
        <w:rPr>
          <w:lang w:val="fr-FR"/>
        </w:rPr>
        <w:t>agit d</w:t>
      </w:r>
      <w:r w:rsidR="0045102F" w:rsidRPr="00CC4B57">
        <w:rPr>
          <w:lang w:val="fr-FR"/>
        </w:rPr>
        <w:t>’</w:t>
      </w:r>
      <w:r w:rsidRPr="00CC4B57">
        <w:rPr>
          <w:lang w:val="fr-FR"/>
        </w:rPr>
        <w:t>une citati</w:t>
      </w:r>
      <w:r w:rsidR="00753BBF" w:rsidRPr="00CC4B57">
        <w:rPr>
          <w:lang w:val="fr-FR"/>
        </w:rPr>
        <w:t>on.  Le</w:t>
      </w:r>
      <w:r w:rsidRPr="00CC4B57">
        <w:rPr>
          <w:lang w:val="fr-FR"/>
        </w:rPr>
        <w:t>s noms de pays sont ceux figurant sur la liste des États membres de l</w:t>
      </w:r>
      <w:r w:rsidR="0045102F" w:rsidRPr="00CC4B57">
        <w:rPr>
          <w:lang w:val="fr-FR"/>
        </w:rPr>
        <w:t>’</w:t>
      </w:r>
      <w:r w:rsidRPr="00CC4B57">
        <w:rPr>
          <w:lang w:val="fr-FR"/>
        </w:rPr>
        <w:t>OMPI (voir www.wipo.int/members/fr/).</w:t>
      </w:r>
      <w:r w:rsidR="006D2A00" w:rsidRPr="00CC4B57">
        <w:rPr>
          <w:lang w:val="fr-FR"/>
        </w:rPr>
        <w:t xml:space="preserve">  </w:t>
      </w:r>
      <w:r w:rsidRPr="00CC4B57">
        <w:rPr>
          <w:lang w:val="fr-FR"/>
        </w:rPr>
        <w:t>Toutes les dates ont été harmonisées selon le format jour/mois/ann</w:t>
      </w:r>
      <w:r w:rsidR="00753BBF" w:rsidRPr="00CC4B57">
        <w:rPr>
          <w:lang w:val="fr-FR"/>
        </w:rPr>
        <w:t>ée.  La</w:t>
      </w:r>
      <w:r w:rsidRPr="00CC4B57">
        <w:rPr>
          <w:lang w:val="fr-FR"/>
        </w:rPr>
        <w:t xml:space="preserve"> date indiquée à la fin du tableau de </w:t>
      </w:r>
      <w:r w:rsidRPr="00CC4B57">
        <w:rPr>
          <w:lang w:val="fr-FR"/>
        </w:rPr>
        <w:lastRenderedPageBreak/>
        <w:t>chaque pays correspond à la date à laquelle le tableau a été créé, actualisé, révisé ou modifié d</w:t>
      </w:r>
      <w:r w:rsidR="0045102F" w:rsidRPr="00CC4B57">
        <w:rPr>
          <w:lang w:val="fr-FR"/>
        </w:rPr>
        <w:t>’</w:t>
      </w:r>
      <w:r w:rsidRPr="00CC4B57">
        <w:rPr>
          <w:lang w:val="fr-FR"/>
        </w:rPr>
        <w:t>une manière ou d</w:t>
      </w:r>
      <w:r w:rsidR="0045102F" w:rsidRPr="00CC4B57">
        <w:rPr>
          <w:lang w:val="fr-FR"/>
        </w:rPr>
        <w:t>’</w:t>
      </w:r>
      <w:r w:rsidRPr="00CC4B57">
        <w:rPr>
          <w:lang w:val="fr-FR"/>
        </w:rPr>
        <w:t>une aut</w:t>
      </w:r>
      <w:r w:rsidR="00753BBF" w:rsidRPr="00CC4B57">
        <w:rPr>
          <w:lang w:val="fr-FR"/>
        </w:rPr>
        <w:t>re.  Il</w:t>
      </w:r>
      <w:r w:rsidRPr="00CC4B57">
        <w:rPr>
          <w:lang w:val="fr-FR"/>
        </w:rPr>
        <w:t xml:space="preserve"> est possible que des dates plus anciennes soient indiquées, auquel cas ces dates correspondent à la modification des tableaux dans le cadre de l</w:t>
      </w:r>
      <w:r w:rsidR="0045102F" w:rsidRPr="00CC4B57">
        <w:rPr>
          <w:lang w:val="fr-FR"/>
        </w:rPr>
        <w:t>’</w:t>
      </w:r>
      <w:r w:rsidRPr="00CC4B57">
        <w:rPr>
          <w:lang w:val="fr-FR"/>
        </w:rPr>
        <w:t>une ou l</w:t>
      </w:r>
      <w:r w:rsidR="0045102F" w:rsidRPr="00CC4B57">
        <w:rPr>
          <w:lang w:val="fr-FR"/>
        </w:rPr>
        <w:t>’</w:t>
      </w:r>
      <w:r w:rsidRPr="00CC4B57">
        <w:rPr>
          <w:lang w:val="fr-FR"/>
        </w:rPr>
        <w:t xml:space="preserve">autre des précédentes </w:t>
      </w:r>
      <w:r w:rsidR="005306A7" w:rsidRPr="00CC4B57">
        <w:rPr>
          <w:lang w:val="fr-FR"/>
        </w:rPr>
        <w:t xml:space="preserve">études </w:t>
      </w:r>
      <w:r w:rsidRPr="00CC4B57">
        <w:rPr>
          <w:lang w:val="fr-FR"/>
        </w:rPr>
        <w:t>de l</w:t>
      </w:r>
      <w:r w:rsidR="0045102F" w:rsidRPr="00CC4B57">
        <w:rPr>
          <w:lang w:val="fr-FR"/>
        </w:rPr>
        <w:t>’</w:t>
      </w:r>
      <w:r w:rsidRPr="00CC4B57">
        <w:rPr>
          <w:lang w:val="fr-FR"/>
        </w:rPr>
        <w:t>O</w:t>
      </w:r>
      <w:r w:rsidR="00753BBF" w:rsidRPr="00CC4B57">
        <w:rPr>
          <w:lang w:val="fr-FR"/>
        </w:rPr>
        <w:t xml:space="preserve">MPI.  </w:t>
      </w:r>
      <w:bookmarkStart w:id="6" w:name="_Toc497378441"/>
      <w:bookmarkStart w:id="7" w:name="_Toc498032590"/>
      <w:r w:rsidR="00753BBF" w:rsidRPr="00CC4B57">
        <w:rPr>
          <w:lang w:val="fr-FR"/>
        </w:rPr>
        <w:t>Si</w:t>
      </w:r>
      <w:r w:rsidR="005952CE" w:rsidRPr="00CC4B57">
        <w:rPr>
          <w:lang w:val="fr-FR"/>
        </w:rPr>
        <w:t xml:space="preserve"> la </w:t>
      </w:r>
      <w:r w:rsidRPr="00CC4B57">
        <w:rPr>
          <w:lang w:val="fr-FR"/>
        </w:rPr>
        <w:t>date</w:t>
      </w:r>
      <w:r w:rsidR="005952CE" w:rsidRPr="00CC4B57">
        <w:rPr>
          <w:lang w:val="fr-FR"/>
        </w:rPr>
        <w:t xml:space="preserve"> la plus récente n</w:t>
      </w:r>
      <w:r w:rsidR="0045102F" w:rsidRPr="00CC4B57">
        <w:rPr>
          <w:lang w:val="fr-FR"/>
        </w:rPr>
        <w:t>’</w:t>
      </w:r>
      <w:r w:rsidR="005952CE" w:rsidRPr="00CC4B57">
        <w:rPr>
          <w:lang w:val="fr-FR"/>
        </w:rPr>
        <w:t xml:space="preserve">est pas </w:t>
      </w:r>
      <w:r w:rsidR="005306A7" w:rsidRPr="00CC4B57">
        <w:rPr>
          <w:lang w:val="fr-FR"/>
        </w:rPr>
        <w:t>2017</w:t>
      </w:r>
      <w:r w:rsidR="005952CE" w:rsidRPr="00CC4B57">
        <w:rPr>
          <w:lang w:val="fr-FR"/>
        </w:rPr>
        <w:t xml:space="preserve">, cela </w:t>
      </w:r>
      <w:r w:rsidRPr="00CC4B57">
        <w:rPr>
          <w:lang w:val="fr-FR"/>
        </w:rPr>
        <w:t>signifie que les recherches</w:t>
      </w:r>
      <w:r w:rsidR="005306A7" w:rsidRPr="00CC4B57">
        <w:rPr>
          <w:lang w:val="fr-FR"/>
        </w:rPr>
        <w:t xml:space="preserve"> effectuées</w:t>
      </w:r>
      <w:r w:rsidR="005952CE" w:rsidRPr="00CC4B57">
        <w:rPr>
          <w:lang w:val="fr-FR"/>
        </w:rPr>
        <w:t xml:space="preserve"> n</w:t>
      </w:r>
      <w:r w:rsidR="0045102F" w:rsidRPr="00CC4B57">
        <w:rPr>
          <w:lang w:val="fr-FR"/>
        </w:rPr>
        <w:t>’</w:t>
      </w:r>
      <w:r w:rsidR="005952CE" w:rsidRPr="00CC4B57">
        <w:rPr>
          <w:lang w:val="fr-FR"/>
        </w:rPr>
        <w:t>ont révélé aucune</w:t>
      </w:r>
      <w:r w:rsidR="005306A7" w:rsidRPr="00CC4B57">
        <w:rPr>
          <w:lang w:val="fr-FR"/>
        </w:rPr>
        <w:t xml:space="preserve"> </w:t>
      </w:r>
      <w:r w:rsidRPr="00CC4B57">
        <w:rPr>
          <w:lang w:val="fr-FR"/>
        </w:rPr>
        <w:t xml:space="preserve">raison de procéder à </w:t>
      </w:r>
      <w:r w:rsidR="005952CE" w:rsidRPr="00CC4B57">
        <w:rPr>
          <w:lang w:val="fr-FR"/>
        </w:rPr>
        <w:t>des</w:t>
      </w:r>
      <w:r w:rsidRPr="00CC4B57">
        <w:rPr>
          <w:lang w:val="fr-FR"/>
        </w:rPr>
        <w:t xml:space="preserve"> révision</w:t>
      </w:r>
      <w:r w:rsidR="005952CE" w:rsidRPr="00CC4B57">
        <w:rPr>
          <w:lang w:val="fr-FR"/>
        </w:rPr>
        <w:t>s</w:t>
      </w:r>
      <w:r w:rsidRPr="00CC4B57">
        <w:rPr>
          <w:lang w:val="fr-FR"/>
        </w:rPr>
        <w:t xml:space="preserve"> depuis la dernière étude.</w:t>
      </w:r>
      <w:bookmarkEnd w:id="6"/>
      <w:bookmarkEnd w:id="7"/>
    </w:p>
    <w:p w:rsidR="00BB45F5" w:rsidRPr="00CC4B57" w:rsidRDefault="00BB45F5" w:rsidP="006D2A00">
      <w:pPr>
        <w:rPr>
          <w:rFonts w:eastAsia="Times New Roman"/>
          <w:szCs w:val="22"/>
          <w:lang w:val="fr-FR"/>
        </w:rPr>
      </w:pPr>
    </w:p>
    <w:p w:rsidR="00BA4B95" w:rsidRPr="00CC4B57" w:rsidRDefault="00BA4B95" w:rsidP="00BA4B95">
      <w:pPr>
        <w:pStyle w:val="Heading1"/>
        <w:rPr>
          <w:szCs w:val="22"/>
          <w:lang w:val="fr-FR" w:eastAsia="en-US"/>
        </w:rPr>
      </w:pPr>
      <w:r w:rsidRPr="00CC4B57">
        <w:rPr>
          <w:szCs w:val="22"/>
          <w:lang w:val="fr-FR" w:eastAsia="en-US"/>
        </w:rPr>
        <w:t>Remerciements</w:t>
      </w:r>
    </w:p>
    <w:p w:rsidR="00BA4B95" w:rsidRPr="00CC4B57" w:rsidRDefault="00BA4B95" w:rsidP="006D2A00">
      <w:pPr>
        <w:rPr>
          <w:rFonts w:eastAsia="Times New Roman"/>
          <w:szCs w:val="22"/>
          <w:lang w:val="fr-FR"/>
        </w:rPr>
      </w:pPr>
    </w:p>
    <w:p w:rsidR="00BB45F5" w:rsidRPr="00CC4B57" w:rsidRDefault="0098570E" w:rsidP="0098570E">
      <w:pPr>
        <w:rPr>
          <w:rFonts w:eastAsia="Times New Roman"/>
          <w:szCs w:val="22"/>
          <w:lang w:val="fr-FR"/>
        </w:rPr>
      </w:pPr>
      <w:r w:rsidRPr="00CC4B57">
        <w:rPr>
          <w:rFonts w:eastAsia="Times New Roman"/>
          <w:szCs w:val="22"/>
          <w:lang w:val="fr-FR"/>
        </w:rPr>
        <w:t>Cette étude n</w:t>
      </w:r>
      <w:r w:rsidR="0045102F" w:rsidRPr="00CC4B57">
        <w:rPr>
          <w:rFonts w:eastAsia="Times New Roman"/>
          <w:szCs w:val="22"/>
          <w:lang w:val="fr-FR"/>
        </w:rPr>
        <w:t>’</w:t>
      </w:r>
      <w:r w:rsidRPr="00CC4B57">
        <w:rPr>
          <w:rFonts w:eastAsia="Times New Roman"/>
          <w:szCs w:val="22"/>
          <w:lang w:val="fr-FR"/>
        </w:rPr>
        <w:t>aurait pu voir le jour sans le soutien de mes collègues du monde enti</w:t>
      </w:r>
      <w:r w:rsidR="00753BBF" w:rsidRPr="00CC4B57">
        <w:rPr>
          <w:rFonts w:eastAsia="Times New Roman"/>
          <w:szCs w:val="22"/>
          <w:lang w:val="fr-FR"/>
        </w:rPr>
        <w:t>er.  Je</w:t>
      </w:r>
      <w:r w:rsidRPr="00CC4B57">
        <w:rPr>
          <w:rFonts w:eastAsia="Times New Roman"/>
          <w:szCs w:val="22"/>
          <w:lang w:val="fr-FR"/>
        </w:rPr>
        <w:t xml:space="preserve"> remercie en particulier les experts ci</w:t>
      </w:r>
      <w:r w:rsidR="00BA4B95" w:rsidRPr="00CC4B57">
        <w:rPr>
          <w:rFonts w:eastAsia="Times New Roman"/>
          <w:szCs w:val="22"/>
          <w:lang w:val="fr-FR"/>
        </w:rPr>
        <w:noBreakHyphen/>
      </w:r>
      <w:r w:rsidRPr="00CC4B57">
        <w:rPr>
          <w:rFonts w:eastAsia="Times New Roman"/>
          <w:szCs w:val="22"/>
          <w:lang w:val="fr-FR"/>
        </w:rPr>
        <w:t>après pour les avis et les informations qu</w:t>
      </w:r>
      <w:r w:rsidR="0045102F" w:rsidRPr="00CC4B57">
        <w:rPr>
          <w:rFonts w:eastAsia="Times New Roman"/>
          <w:szCs w:val="22"/>
          <w:lang w:val="fr-FR"/>
        </w:rPr>
        <w:t>’</w:t>
      </w:r>
      <w:r w:rsidRPr="00CC4B57">
        <w:rPr>
          <w:rFonts w:eastAsia="Times New Roman"/>
          <w:szCs w:val="22"/>
          <w:lang w:val="fr-FR"/>
        </w:rPr>
        <w:t>ils m</w:t>
      </w:r>
      <w:r w:rsidR="0045102F" w:rsidRPr="00CC4B57">
        <w:rPr>
          <w:rFonts w:eastAsia="Times New Roman"/>
          <w:szCs w:val="22"/>
          <w:lang w:val="fr-FR"/>
        </w:rPr>
        <w:t>’</w:t>
      </w:r>
      <w:r w:rsidRPr="00CC4B57">
        <w:rPr>
          <w:rFonts w:eastAsia="Times New Roman"/>
          <w:szCs w:val="22"/>
          <w:lang w:val="fr-FR"/>
        </w:rPr>
        <w:t>ont généreusement fournis ces dernières années et qui ont directement influencé cette étude.</w:t>
      </w:r>
    </w:p>
    <w:p w:rsidR="00BB45F5" w:rsidRPr="00CC4B57" w:rsidRDefault="00BB45F5" w:rsidP="006D2A00">
      <w:pPr>
        <w:rPr>
          <w:rFonts w:eastAsia="Times New Roman"/>
          <w:szCs w:val="22"/>
          <w:lang w:val="fr-FR"/>
        </w:rPr>
      </w:pPr>
    </w:p>
    <w:p w:rsidR="00BB45F5" w:rsidRPr="00CC4B57" w:rsidRDefault="0098570E" w:rsidP="0098570E">
      <w:pPr>
        <w:rPr>
          <w:rFonts w:eastAsia="Times New Roman"/>
          <w:szCs w:val="22"/>
          <w:lang w:val="fr-FR" w:eastAsia="en-US"/>
        </w:rPr>
      </w:pPr>
      <w:r w:rsidRPr="00CC4B57">
        <w:rPr>
          <w:rFonts w:eastAsia="Times New Roman"/>
          <w:szCs w:val="22"/>
          <w:lang w:val="fr-FR" w:eastAsia="en-US"/>
        </w:rPr>
        <w:t>Noureddine Ahmidouch (OMPI)</w:t>
      </w:r>
    </w:p>
    <w:p w:rsidR="00BB45F5" w:rsidRPr="00CC4B57" w:rsidRDefault="0098570E" w:rsidP="0098570E">
      <w:pPr>
        <w:rPr>
          <w:rFonts w:eastAsia="Times New Roman"/>
          <w:szCs w:val="22"/>
          <w:lang w:val="fr-FR" w:eastAsia="en-US"/>
        </w:rPr>
      </w:pPr>
      <w:proofErr w:type="spellStart"/>
      <w:r w:rsidRPr="00CC4B57">
        <w:rPr>
          <w:rFonts w:eastAsia="Times New Roman"/>
          <w:szCs w:val="22"/>
          <w:lang w:val="fr-FR" w:eastAsia="en-US"/>
        </w:rPr>
        <w:t>Shayea</w:t>
      </w:r>
      <w:proofErr w:type="spellEnd"/>
      <w:r w:rsidRPr="00CC4B57">
        <w:rPr>
          <w:rFonts w:eastAsia="Times New Roman"/>
          <w:szCs w:val="22"/>
          <w:lang w:val="fr-FR" w:eastAsia="en-US"/>
        </w:rPr>
        <w:t xml:space="preserve"> </w:t>
      </w:r>
      <w:proofErr w:type="spellStart"/>
      <w:r w:rsidRPr="00CC4B57">
        <w:rPr>
          <w:rFonts w:eastAsia="Times New Roman"/>
          <w:szCs w:val="22"/>
          <w:lang w:val="fr-FR" w:eastAsia="en-US"/>
        </w:rPr>
        <w:t>Alshayea</w:t>
      </w:r>
      <w:proofErr w:type="spellEnd"/>
      <w:r w:rsidRPr="00CC4B57">
        <w:rPr>
          <w:rFonts w:eastAsia="Times New Roman"/>
          <w:szCs w:val="22"/>
          <w:lang w:val="fr-FR" w:eastAsia="en-US"/>
        </w:rPr>
        <w:t xml:space="preserve"> (</w:t>
      </w:r>
      <w:r w:rsidR="0045102F" w:rsidRPr="00CC4B57">
        <w:rPr>
          <w:rFonts w:eastAsia="Times New Roman"/>
          <w:szCs w:val="22"/>
          <w:lang w:val="fr-FR" w:eastAsia="en-US"/>
        </w:rPr>
        <w:t>Arabie saoudite</w:t>
      </w:r>
      <w:r w:rsidRPr="00CC4B57">
        <w:rPr>
          <w:rFonts w:eastAsia="Times New Roman"/>
          <w:szCs w:val="22"/>
          <w:lang w:val="fr-FR" w:eastAsia="en-US"/>
        </w:rPr>
        <w:t>)</w:t>
      </w:r>
    </w:p>
    <w:p w:rsidR="00BB45F5" w:rsidRPr="00CC4B57" w:rsidRDefault="0098570E" w:rsidP="0098570E">
      <w:pPr>
        <w:rPr>
          <w:rFonts w:eastAsia="Times New Roman"/>
          <w:szCs w:val="22"/>
          <w:lang w:val="fr-FR"/>
        </w:rPr>
      </w:pPr>
      <w:proofErr w:type="spellStart"/>
      <w:r w:rsidRPr="00CC4B57">
        <w:rPr>
          <w:rFonts w:eastAsia="Times New Roman"/>
          <w:szCs w:val="22"/>
          <w:lang w:val="fr-FR"/>
        </w:rPr>
        <w:t>Nomintuya</w:t>
      </w:r>
      <w:proofErr w:type="spellEnd"/>
      <w:r w:rsidRPr="00CC4B57">
        <w:rPr>
          <w:rFonts w:eastAsia="Times New Roman"/>
          <w:szCs w:val="22"/>
          <w:lang w:val="fr-FR"/>
        </w:rPr>
        <w:t xml:space="preserve"> </w:t>
      </w:r>
      <w:proofErr w:type="spellStart"/>
      <w:r w:rsidRPr="00CC4B57">
        <w:rPr>
          <w:rFonts w:eastAsia="Times New Roman"/>
          <w:szCs w:val="22"/>
          <w:lang w:val="fr-FR"/>
        </w:rPr>
        <w:t>Baasankhuu</w:t>
      </w:r>
      <w:proofErr w:type="spellEnd"/>
      <w:r w:rsidRPr="00CC4B57">
        <w:rPr>
          <w:rFonts w:eastAsia="Times New Roman"/>
          <w:szCs w:val="22"/>
          <w:lang w:val="fr-FR"/>
        </w:rPr>
        <w:t xml:space="preserve"> (Mongolie)</w:t>
      </w:r>
    </w:p>
    <w:p w:rsidR="00BB45F5" w:rsidRPr="00CC4B57" w:rsidRDefault="0098570E" w:rsidP="0098570E">
      <w:pPr>
        <w:rPr>
          <w:rFonts w:eastAsia="Times New Roman"/>
          <w:szCs w:val="22"/>
          <w:lang w:val="fr-FR" w:eastAsia="en-US"/>
        </w:rPr>
      </w:pPr>
      <w:proofErr w:type="spellStart"/>
      <w:r w:rsidRPr="00CC4B57">
        <w:rPr>
          <w:rFonts w:eastAsia="Times New Roman"/>
          <w:szCs w:val="22"/>
          <w:lang w:val="fr-FR" w:eastAsia="en-US"/>
        </w:rPr>
        <w:t>Seangill</w:t>
      </w:r>
      <w:proofErr w:type="spellEnd"/>
      <w:r w:rsidRPr="00CC4B57">
        <w:rPr>
          <w:rFonts w:eastAsia="Times New Roman"/>
          <w:szCs w:val="22"/>
          <w:lang w:val="fr-FR" w:eastAsia="en-US"/>
        </w:rPr>
        <w:t xml:space="preserve"> Peter</w:t>
      </w:r>
      <w:r w:rsidR="00D956DB" w:rsidRPr="00CC4B57">
        <w:rPr>
          <w:rFonts w:eastAsia="Times New Roman"/>
          <w:szCs w:val="22"/>
          <w:lang w:val="fr-FR" w:eastAsia="en-US"/>
        </w:rPr>
        <w:t> </w:t>
      </w:r>
      <w:proofErr w:type="spellStart"/>
      <w:r w:rsidRPr="00CC4B57">
        <w:rPr>
          <w:rFonts w:eastAsia="Times New Roman"/>
          <w:szCs w:val="22"/>
          <w:lang w:val="fr-FR" w:eastAsia="en-US"/>
        </w:rPr>
        <w:t>Bae</w:t>
      </w:r>
      <w:proofErr w:type="spellEnd"/>
      <w:r w:rsidRPr="00CC4B57">
        <w:rPr>
          <w:rFonts w:eastAsia="Times New Roman"/>
          <w:szCs w:val="22"/>
          <w:lang w:val="fr-FR" w:eastAsia="en-US"/>
        </w:rPr>
        <w:t xml:space="preserve"> (États</w:t>
      </w:r>
      <w:r w:rsidR="00BA4B95" w:rsidRPr="00CC4B57">
        <w:rPr>
          <w:rFonts w:eastAsia="Times New Roman"/>
          <w:szCs w:val="22"/>
          <w:lang w:val="fr-FR" w:eastAsia="en-US"/>
        </w:rPr>
        <w:noBreakHyphen/>
      </w:r>
      <w:r w:rsidRPr="00CC4B57">
        <w:rPr>
          <w:rFonts w:eastAsia="Times New Roman"/>
          <w:szCs w:val="22"/>
          <w:lang w:val="fr-FR" w:eastAsia="en-US"/>
        </w:rPr>
        <w:t>Unis d</w:t>
      </w:r>
      <w:r w:rsidR="0045102F" w:rsidRPr="00CC4B57">
        <w:rPr>
          <w:rFonts w:eastAsia="Times New Roman"/>
          <w:szCs w:val="22"/>
          <w:lang w:val="fr-FR" w:eastAsia="en-US"/>
        </w:rPr>
        <w:t>’</w:t>
      </w:r>
      <w:r w:rsidRPr="00CC4B57">
        <w:rPr>
          <w:rFonts w:eastAsia="Times New Roman"/>
          <w:szCs w:val="22"/>
          <w:lang w:val="fr-FR" w:eastAsia="en-US"/>
        </w:rPr>
        <w:t>Amérique)</w:t>
      </w:r>
    </w:p>
    <w:p w:rsidR="00BB45F5" w:rsidRPr="00CC4B57" w:rsidRDefault="0098570E" w:rsidP="0098570E">
      <w:pPr>
        <w:rPr>
          <w:rFonts w:eastAsia="Times New Roman"/>
          <w:szCs w:val="22"/>
          <w:lang w:val="fr-FR" w:eastAsia="en-US"/>
        </w:rPr>
      </w:pPr>
      <w:proofErr w:type="spellStart"/>
      <w:r w:rsidRPr="00CC4B57">
        <w:rPr>
          <w:rFonts w:eastAsia="Times New Roman"/>
          <w:szCs w:val="22"/>
          <w:lang w:val="fr-FR" w:eastAsia="en-US"/>
        </w:rPr>
        <w:t>Emilija</w:t>
      </w:r>
      <w:proofErr w:type="spellEnd"/>
      <w:r w:rsidRPr="00CC4B57">
        <w:rPr>
          <w:rFonts w:eastAsia="Times New Roman"/>
          <w:szCs w:val="22"/>
          <w:lang w:val="fr-FR" w:eastAsia="en-US"/>
        </w:rPr>
        <w:t xml:space="preserve"> </w:t>
      </w:r>
      <w:proofErr w:type="spellStart"/>
      <w:r w:rsidRPr="00CC4B57">
        <w:rPr>
          <w:rFonts w:eastAsia="Times New Roman"/>
          <w:szCs w:val="22"/>
          <w:lang w:val="fr-FR" w:eastAsia="en-US"/>
        </w:rPr>
        <w:t>Banionytė</w:t>
      </w:r>
      <w:proofErr w:type="spellEnd"/>
      <w:r w:rsidRPr="00CC4B57">
        <w:rPr>
          <w:rFonts w:eastAsia="Times New Roman"/>
          <w:szCs w:val="22"/>
          <w:lang w:val="fr-FR" w:eastAsia="en-US"/>
        </w:rPr>
        <w:t xml:space="preserve"> (Lituanie)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Alexandra</w:t>
      </w:r>
      <w:r w:rsidR="00D956DB" w:rsidRPr="00CC4B57">
        <w:rPr>
          <w:rFonts w:eastAsia="Times New Roman"/>
          <w:szCs w:val="22"/>
          <w:lang w:val="fr-FR" w:eastAsia="en-US"/>
        </w:rPr>
        <w:t> </w:t>
      </w:r>
      <w:proofErr w:type="spellStart"/>
      <w:r w:rsidRPr="00CC4B57">
        <w:rPr>
          <w:rFonts w:eastAsia="Times New Roman"/>
          <w:szCs w:val="22"/>
          <w:lang w:val="fr-FR" w:eastAsia="en-US"/>
        </w:rPr>
        <w:t>Bhattacharya</w:t>
      </w:r>
      <w:proofErr w:type="spellEnd"/>
      <w:r w:rsidRPr="00CC4B57">
        <w:rPr>
          <w:rFonts w:eastAsia="Times New Roman"/>
          <w:szCs w:val="22"/>
          <w:lang w:val="fr-FR" w:eastAsia="en-US"/>
        </w:rPr>
        <w:t xml:space="preserve"> (Bangladesh)</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Maja </w:t>
      </w:r>
      <w:proofErr w:type="spellStart"/>
      <w:r w:rsidRPr="00CC4B57">
        <w:rPr>
          <w:rFonts w:eastAsia="Times New Roman"/>
          <w:szCs w:val="22"/>
          <w:lang w:val="fr-FR" w:eastAsia="en-US"/>
        </w:rPr>
        <w:t>Bogataj</w:t>
      </w:r>
      <w:proofErr w:type="spellEnd"/>
      <w:r w:rsidR="00D956DB" w:rsidRPr="00CC4B57">
        <w:rPr>
          <w:rFonts w:eastAsia="Times New Roman"/>
          <w:szCs w:val="22"/>
          <w:lang w:val="fr-FR" w:eastAsia="en-US"/>
        </w:rPr>
        <w:t> </w:t>
      </w:r>
      <w:proofErr w:type="spellStart"/>
      <w:r w:rsidRPr="00CC4B57">
        <w:rPr>
          <w:rFonts w:eastAsia="Times New Roman"/>
          <w:szCs w:val="22"/>
          <w:lang w:val="fr-FR" w:eastAsia="en-US"/>
        </w:rPr>
        <w:t>Jančič</w:t>
      </w:r>
      <w:proofErr w:type="spellEnd"/>
      <w:r w:rsidRPr="00CC4B57">
        <w:rPr>
          <w:rFonts w:eastAsia="Times New Roman"/>
          <w:szCs w:val="22"/>
          <w:lang w:val="fr-FR" w:eastAsia="en-US"/>
        </w:rPr>
        <w:t xml:space="preserve"> (Slovénie)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Vicky</w:t>
      </w:r>
      <w:r w:rsidR="00D956DB" w:rsidRPr="00CC4B57">
        <w:rPr>
          <w:rFonts w:eastAsia="Times New Roman"/>
          <w:szCs w:val="22"/>
          <w:lang w:val="fr-FR" w:eastAsia="en-US"/>
        </w:rPr>
        <w:t> </w:t>
      </w:r>
      <w:proofErr w:type="spellStart"/>
      <w:r w:rsidRPr="00CC4B57">
        <w:rPr>
          <w:rFonts w:eastAsia="Times New Roman"/>
          <w:szCs w:val="22"/>
          <w:lang w:val="fr-FR" w:eastAsia="en-US"/>
        </w:rPr>
        <w:t>Breemen</w:t>
      </w:r>
      <w:proofErr w:type="spellEnd"/>
      <w:r w:rsidRPr="00CC4B57">
        <w:rPr>
          <w:rFonts w:eastAsia="Times New Roman"/>
          <w:szCs w:val="22"/>
          <w:lang w:val="fr-FR" w:eastAsia="en-US"/>
        </w:rPr>
        <w:t xml:space="preserve"> (Pays</w:t>
      </w:r>
      <w:r w:rsidR="00BA4B95" w:rsidRPr="00CC4B57">
        <w:rPr>
          <w:rFonts w:eastAsia="Times New Roman"/>
          <w:szCs w:val="22"/>
          <w:lang w:val="fr-FR" w:eastAsia="en-US"/>
        </w:rPr>
        <w:noBreakHyphen/>
      </w:r>
      <w:r w:rsidRPr="00CC4B57">
        <w:rPr>
          <w:rFonts w:eastAsia="Times New Roman"/>
          <w:szCs w:val="22"/>
          <w:lang w:val="fr-FR" w:eastAsia="en-US"/>
        </w:rPr>
        <w:t>Bas)</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Ana </w:t>
      </w:r>
      <w:proofErr w:type="spellStart"/>
      <w:r w:rsidRPr="00CC4B57">
        <w:rPr>
          <w:rFonts w:eastAsia="Times New Roman"/>
          <w:szCs w:val="22"/>
          <w:lang w:val="fr-FR" w:eastAsia="en-US"/>
        </w:rPr>
        <w:t>Budimir</w:t>
      </w:r>
      <w:proofErr w:type="spellEnd"/>
      <w:r w:rsidRPr="00CC4B57">
        <w:rPr>
          <w:rFonts w:eastAsia="Times New Roman"/>
          <w:szCs w:val="22"/>
          <w:lang w:val="fr-FR" w:eastAsia="en-US"/>
        </w:rPr>
        <w:t xml:space="preserve"> (Slovénie)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Diane </w:t>
      </w:r>
      <w:proofErr w:type="spellStart"/>
      <w:r w:rsidRPr="00CC4B57">
        <w:rPr>
          <w:rFonts w:eastAsia="Times New Roman"/>
          <w:szCs w:val="22"/>
          <w:lang w:val="fr-FR" w:eastAsia="en-US"/>
        </w:rPr>
        <w:t>Chadarevian</w:t>
      </w:r>
      <w:proofErr w:type="spellEnd"/>
      <w:r w:rsidRPr="00CC4B57">
        <w:rPr>
          <w:rFonts w:eastAsia="Times New Roman"/>
          <w:szCs w:val="22"/>
          <w:lang w:val="fr-FR" w:eastAsia="en-US"/>
        </w:rPr>
        <w:t xml:space="preserve"> (OMPI)</w:t>
      </w:r>
    </w:p>
    <w:p w:rsidR="00BB45F5" w:rsidRPr="00CC4B57" w:rsidRDefault="0098570E" w:rsidP="0098570E">
      <w:pPr>
        <w:rPr>
          <w:rFonts w:eastAsia="Times New Roman"/>
          <w:szCs w:val="22"/>
          <w:lang w:val="fr-FR"/>
        </w:rPr>
      </w:pPr>
      <w:proofErr w:type="spellStart"/>
      <w:r w:rsidRPr="00CC4B57">
        <w:rPr>
          <w:rFonts w:eastAsia="Times New Roman"/>
          <w:szCs w:val="22"/>
          <w:lang w:val="fr-FR"/>
        </w:rPr>
        <w:t>Aisulu</w:t>
      </w:r>
      <w:proofErr w:type="spellEnd"/>
      <w:r w:rsidRPr="00CC4B57">
        <w:rPr>
          <w:rFonts w:eastAsia="Times New Roman"/>
          <w:szCs w:val="22"/>
          <w:lang w:val="fr-FR"/>
        </w:rPr>
        <w:t xml:space="preserve"> </w:t>
      </w:r>
      <w:proofErr w:type="spellStart"/>
      <w:r w:rsidRPr="00CC4B57">
        <w:rPr>
          <w:rFonts w:eastAsia="Times New Roman"/>
          <w:szCs w:val="22"/>
          <w:lang w:val="fr-FR"/>
        </w:rPr>
        <w:t>Chubarova</w:t>
      </w:r>
      <w:proofErr w:type="spellEnd"/>
      <w:r w:rsidRPr="00CC4B57">
        <w:rPr>
          <w:rFonts w:eastAsia="Times New Roman"/>
          <w:szCs w:val="22"/>
          <w:lang w:val="fr-FR"/>
        </w:rPr>
        <w:t xml:space="preserve"> (Kirghizistan)</w:t>
      </w:r>
    </w:p>
    <w:p w:rsidR="00BB45F5" w:rsidRPr="00CC4B57" w:rsidRDefault="0098570E" w:rsidP="0098570E">
      <w:pPr>
        <w:rPr>
          <w:rFonts w:eastAsia="Times New Roman"/>
          <w:szCs w:val="22"/>
          <w:lang w:val="fr-FR"/>
        </w:rPr>
      </w:pPr>
      <w:r w:rsidRPr="00CC4B57">
        <w:rPr>
          <w:rFonts w:eastAsia="Times New Roman"/>
          <w:szCs w:val="22"/>
          <w:lang w:val="fr-FR"/>
        </w:rPr>
        <w:t xml:space="preserve">Jessica </w:t>
      </w:r>
      <w:proofErr w:type="spellStart"/>
      <w:r w:rsidRPr="00CC4B57">
        <w:rPr>
          <w:rFonts w:eastAsia="Times New Roman"/>
          <w:szCs w:val="22"/>
          <w:lang w:val="fr-FR"/>
        </w:rPr>
        <w:t>Coates</w:t>
      </w:r>
      <w:proofErr w:type="spellEnd"/>
      <w:r w:rsidRPr="00CC4B57">
        <w:rPr>
          <w:rFonts w:eastAsia="Times New Roman"/>
          <w:szCs w:val="22"/>
          <w:lang w:val="fr-FR"/>
        </w:rPr>
        <w:t xml:space="preserve"> (Australie)</w:t>
      </w:r>
    </w:p>
    <w:p w:rsidR="00BB45F5" w:rsidRPr="00CC4B57" w:rsidRDefault="0098570E" w:rsidP="0098570E">
      <w:pPr>
        <w:rPr>
          <w:rFonts w:eastAsia="Times New Roman"/>
          <w:szCs w:val="22"/>
          <w:lang w:val="fr-FR" w:eastAsia="en-US"/>
        </w:rPr>
      </w:pPr>
      <w:proofErr w:type="spellStart"/>
      <w:r w:rsidRPr="00CC4B57">
        <w:rPr>
          <w:rFonts w:eastAsia="Times New Roman"/>
          <w:szCs w:val="22"/>
          <w:lang w:val="fr-FR" w:eastAsia="en-US"/>
        </w:rPr>
        <w:t>Hasmik</w:t>
      </w:r>
      <w:proofErr w:type="spellEnd"/>
      <w:r w:rsidRPr="00CC4B57">
        <w:rPr>
          <w:rFonts w:eastAsia="Times New Roman"/>
          <w:szCs w:val="22"/>
          <w:lang w:val="fr-FR" w:eastAsia="en-US"/>
        </w:rPr>
        <w:t xml:space="preserve"> </w:t>
      </w:r>
      <w:proofErr w:type="spellStart"/>
      <w:r w:rsidRPr="00CC4B57">
        <w:rPr>
          <w:rFonts w:eastAsia="Times New Roman"/>
          <w:szCs w:val="22"/>
          <w:lang w:val="fr-FR" w:eastAsia="en-US"/>
        </w:rPr>
        <w:t>Galstyan</w:t>
      </w:r>
      <w:proofErr w:type="spellEnd"/>
      <w:r w:rsidRPr="00CC4B57">
        <w:rPr>
          <w:rFonts w:eastAsia="Times New Roman"/>
          <w:szCs w:val="22"/>
          <w:lang w:val="fr-FR" w:eastAsia="en-US"/>
        </w:rPr>
        <w:t xml:space="preserve"> (Arménie)</w:t>
      </w:r>
    </w:p>
    <w:p w:rsidR="00BB45F5" w:rsidRPr="00CC4B57" w:rsidRDefault="0098570E" w:rsidP="0098570E">
      <w:pPr>
        <w:rPr>
          <w:rFonts w:eastAsia="Times New Roman"/>
          <w:szCs w:val="22"/>
          <w:lang w:val="fr-FR"/>
        </w:rPr>
      </w:pPr>
      <w:r w:rsidRPr="00CC4B57">
        <w:rPr>
          <w:rFonts w:eastAsia="Times New Roman"/>
          <w:szCs w:val="22"/>
          <w:lang w:val="fr-FR"/>
        </w:rPr>
        <w:t xml:space="preserve">Teresa </w:t>
      </w:r>
      <w:proofErr w:type="spellStart"/>
      <w:r w:rsidRPr="00CC4B57">
        <w:rPr>
          <w:rFonts w:eastAsia="Times New Roman"/>
          <w:szCs w:val="22"/>
          <w:lang w:val="fr-FR"/>
        </w:rPr>
        <w:t>Hackett</w:t>
      </w:r>
      <w:proofErr w:type="spellEnd"/>
      <w:r w:rsidRPr="00CC4B57">
        <w:rPr>
          <w:rFonts w:eastAsia="Times New Roman"/>
          <w:szCs w:val="22"/>
          <w:lang w:val="fr-FR"/>
        </w:rPr>
        <w:t xml:space="preserve"> (Irlande)</w:t>
      </w:r>
    </w:p>
    <w:p w:rsidR="00BB45F5" w:rsidRPr="00CC4B57" w:rsidRDefault="0098570E" w:rsidP="0098570E">
      <w:pPr>
        <w:rPr>
          <w:szCs w:val="22"/>
          <w:lang w:val="fr-FR"/>
        </w:rPr>
      </w:pPr>
      <w:r w:rsidRPr="00CC4B57">
        <w:rPr>
          <w:szCs w:val="22"/>
          <w:lang w:val="fr-FR"/>
        </w:rPr>
        <w:t xml:space="preserve">Christina </w:t>
      </w:r>
      <w:proofErr w:type="spellStart"/>
      <w:r w:rsidRPr="00CC4B57">
        <w:rPr>
          <w:szCs w:val="22"/>
          <w:lang w:val="fr-FR"/>
        </w:rPr>
        <w:t>Hambaryan</w:t>
      </w:r>
      <w:proofErr w:type="spellEnd"/>
      <w:r w:rsidRPr="00CC4B57">
        <w:rPr>
          <w:szCs w:val="22"/>
          <w:lang w:val="fr-FR"/>
        </w:rPr>
        <w:t xml:space="preserve"> (Arménie)</w:t>
      </w:r>
    </w:p>
    <w:p w:rsidR="00BB45F5" w:rsidRPr="00CC4B57" w:rsidRDefault="0098570E" w:rsidP="0098570E">
      <w:pPr>
        <w:rPr>
          <w:szCs w:val="22"/>
          <w:lang w:val="fr-FR"/>
        </w:rPr>
      </w:pPr>
      <w:r w:rsidRPr="00CC4B57">
        <w:rPr>
          <w:szCs w:val="22"/>
          <w:lang w:val="fr-FR"/>
        </w:rPr>
        <w:t xml:space="preserve">Amr </w:t>
      </w:r>
      <w:proofErr w:type="spellStart"/>
      <w:r w:rsidRPr="00CC4B57">
        <w:rPr>
          <w:szCs w:val="22"/>
          <w:lang w:val="fr-FR"/>
        </w:rPr>
        <w:t>Hammad</w:t>
      </w:r>
      <w:proofErr w:type="spellEnd"/>
      <w:r w:rsidRPr="00CC4B57">
        <w:rPr>
          <w:szCs w:val="22"/>
          <w:lang w:val="fr-FR"/>
        </w:rPr>
        <w:t xml:space="preserve"> (Égypte)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Mariana </w:t>
      </w:r>
      <w:proofErr w:type="spellStart"/>
      <w:r w:rsidRPr="00CC4B57">
        <w:rPr>
          <w:rFonts w:eastAsia="Times New Roman"/>
          <w:szCs w:val="22"/>
          <w:lang w:val="fr-FR" w:eastAsia="en-US"/>
        </w:rPr>
        <w:t>Harjevschi</w:t>
      </w:r>
      <w:proofErr w:type="spellEnd"/>
      <w:r w:rsidRPr="00CC4B57">
        <w:rPr>
          <w:rFonts w:eastAsia="Times New Roman"/>
          <w:szCs w:val="22"/>
          <w:lang w:val="fr-FR" w:eastAsia="en-US"/>
        </w:rPr>
        <w:t xml:space="preserve"> (</w:t>
      </w:r>
      <w:r w:rsidR="00D956DB" w:rsidRPr="00CC4B57">
        <w:rPr>
          <w:rFonts w:eastAsia="Times New Roman"/>
          <w:szCs w:val="22"/>
          <w:lang w:val="fr-FR" w:eastAsia="en-US"/>
        </w:rPr>
        <w:t>République de M</w:t>
      </w:r>
      <w:r w:rsidRPr="00CC4B57">
        <w:rPr>
          <w:rFonts w:eastAsia="Times New Roman"/>
          <w:szCs w:val="22"/>
          <w:lang w:val="fr-FR" w:eastAsia="en-US"/>
        </w:rPr>
        <w:t>oldova)</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Nina </w:t>
      </w:r>
      <w:proofErr w:type="spellStart"/>
      <w:r w:rsidRPr="00CC4B57">
        <w:rPr>
          <w:rFonts w:eastAsia="Times New Roman"/>
          <w:szCs w:val="22"/>
          <w:lang w:val="fr-FR" w:eastAsia="en-US"/>
        </w:rPr>
        <w:t>Hekau</w:t>
      </w:r>
      <w:proofErr w:type="spellEnd"/>
      <w:r w:rsidRPr="00CC4B57">
        <w:rPr>
          <w:rFonts w:eastAsia="Times New Roman"/>
          <w:szCs w:val="22"/>
          <w:lang w:val="fr-FR" w:eastAsia="en-US"/>
        </w:rPr>
        <w:t xml:space="preserve"> (</w:t>
      </w:r>
      <w:proofErr w:type="spellStart"/>
      <w:r w:rsidRPr="00CC4B57">
        <w:rPr>
          <w:rFonts w:eastAsia="Times New Roman"/>
          <w:szCs w:val="22"/>
          <w:lang w:val="fr-FR" w:eastAsia="en-US"/>
        </w:rPr>
        <w:t>Nioué</w:t>
      </w:r>
      <w:proofErr w:type="spellEnd"/>
      <w:r w:rsidRPr="00CC4B57">
        <w:rPr>
          <w:rFonts w:eastAsia="Times New Roman"/>
          <w:szCs w:val="22"/>
          <w:lang w:val="fr-FR" w:eastAsia="en-US"/>
        </w:rPr>
        <w:t>)</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Trish </w:t>
      </w:r>
      <w:proofErr w:type="spellStart"/>
      <w:r w:rsidRPr="00CC4B57">
        <w:rPr>
          <w:rFonts w:eastAsia="Times New Roman"/>
          <w:szCs w:val="22"/>
          <w:lang w:val="fr-FR" w:eastAsia="en-US"/>
        </w:rPr>
        <w:t>Hempworth</w:t>
      </w:r>
      <w:proofErr w:type="spellEnd"/>
      <w:r w:rsidRPr="00CC4B57">
        <w:rPr>
          <w:rFonts w:eastAsia="Times New Roman"/>
          <w:szCs w:val="22"/>
          <w:lang w:val="fr-FR" w:eastAsia="en-US"/>
        </w:rPr>
        <w:t xml:space="preserve"> (Australie)</w:t>
      </w:r>
    </w:p>
    <w:p w:rsidR="00BB45F5" w:rsidRPr="00CC4B57" w:rsidRDefault="0098570E" w:rsidP="0098570E">
      <w:pPr>
        <w:rPr>
          <w:rFonts w:eastAsia="Times New Roman"/>
          <w:szCs w:val="22"/>
          <w:lang w:val="fr-FR"/>
        </w:rPr>
      </w:pPr>
      <w:r w:rsidRPr="00CC4B57">
        <w:rPr>
          <w:rFonts w:eastAsia="Times New Roman"/>
          <w:szCs w:val="22"/>
          <w:lang w:val="fr-FR"/>
        </w:rPr>
        <w:t>Jose Roberto Herrera Diaz (Colombie)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Oliver </w:t>
      </w:r>
      <w:proofErr w:type="spellStart"/>
      <w:r w:rsidRPr="00CC4B57">
        <w:rPr>
          <w:rFonts w:eastAsia="Times New Roman"/>
          <w:szCs w:val="22"/>
          <w:lang w:val="fr-FR" w:eastAsia="en-US"/>
        </w:rPr>
        <w:t>Hinte</w:t>
      </w:r>
      <w:proofErr w:type="spellEnd"/>
      <w:r w:rsidRPr="00CC4B57">
        <w:rPr>
          <w:rFonts w:eastAsia="Times New Roman"/>
          <w:szCs w:val="22"/>
          <w:lang w:val="fr-FR" w:eastAsia="en-US"/>
        </w:rPr>
        <w:t xml:space="preserve"> (Allemagne)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Peter </w:t>
      </w:r>
      <w:proofErr w:type="spellStart"/>
      <w:r w:rsidRPr="00CC4B57">
        <w:rPr>
          <w:rFonts w:eastAsia="Times New Roman"/>
          <w:szCs w:val="22"/>
          <w:lang w:val="fr-FR" w:eastAsia="en-US"/>
        </w:rPr>
        <w:t>Hirtle</w:t>
      </w:r>
      <w:proofErr w:type="spellEnd"/>
      <w:r w:rsidRPr="00CC4B57">
        <w:rPr>
          <w:rFonts w:eastAsia="Times New Roman"/>
          <w:szCs w:val="22"/>
          <w:lang w:val="fr-FR" w:eastAsia="en-US"/>
        </w:rPr>
        <w:t xml:space="preserve"> (États</w:t>
      </w:r>
      <w:r w:rsidR="00BA4B95" w:rsidRPr="00CC4B57">
        <w:rPr>
          <w:rFonts w:eastAsia="Times New Roman"/>
          <w:szCs w:val="22"/>
          <w:lang w:val="fr-FR" w:eastAsia="en-US"/>
        </w:rPr>
        <w:noBreakHyphen/>
      </w:r>
      <w:r w:rsidRPr="00CC4B57">
        <w:rPr>
          <w:rFonts w:eastAsia="Times New Roman"/>
          <w:szCs w:val="22"/>
          <w:lang w:val="fr-FR" w:eastAsia="en-US"/>
        </w:rPr>
        <w:t>Unis d</w:t>
      </w:r>
      <w:r w:rsidR="0045102F" w:rsidRPr="00CC4B57">
        <w:rPr>
          <w:rFonts w:eastAsia="Times New Roman"/>
          <w:szCs w:val="22"/>
          <w:lang w:val="fr-FR" w:eastAsia="en-US"/>
        </w:rPr>
        <w:t>’</w:t>
      </w:r>
      <w:r w:rsidRPr="00CC4B57">
        <w:rPr>
          <w:rFonts w:eastAsia="Times New Roman"/>
          <w:szCs w:val="22"/>
          <w:lang w:val="fr-FR" w:eastAsia="en-US"/>
        </w:rPr>
        <w:t>Amérique)</w:t>
      </w:r>
    </w:p>
    <w:p w:rsidR="00BB45F5" w:rsidRPr="00CC4B57" w:rsidRDefault="0098570E" w:rsidP="0098570E">
      <w:pPr>
        <w:rPr>
          <w:rFonts w:eastAsia="Times New Roman"/>
          <w:szCs w:val="22"/>
          <w:lang w:val="fr-FR"/>
        </w:rPr>
      </w:pPr>
      <w:r w:rsidRPr="00CC4B57">
        <w:rPr>
          <w:rFonts w:eastAsia="Times New Roman"/>
          <w:szCs w:val="22"/>
          <w:lang w:val="fr-FR"/>
        </w:rPr>
        <w:t xml:space="preserve">Susan </w:t>
      </w:r>
      <w:proofErr w:type="spellStart"/>
      <w:r w:rsidRPr="00CC4B57">
        <w:rPr>
          <w:rFonts w:eastAsia="Times New Roman"/>
          <w:szCs w:val="22"/>
          <w:lang w:val="fr-FR"/>
        </w:rPr>
        <w:t>Isiko</w:t>
      </w:r>
      <w:proofErr w:type="spellEnd"/>
      <w:r w:rsidRPr="00CC4B57">
        <w:rPr>
          <w:rFonts w:eastAsia="Times New Roman"/>
          <w:szCs w:val="22"/>
          <w:lang w:val="fr-FR"/>
        </w:rPr>
        <w:t xml:space="preserve"> </w:t>
      </w:r>
      <w:proofErr w:type="spellStart"/>
      <w:r w:rsidRPr="00CC4B57">
        <w:rPr>
          <w:rFonts w:eastAsia="Times New Roman"/>
          <w:szCs w:val="22"/>
          <w:lang w:val="fr-FR"/>
        </w:rPr>
        <w:t>Strba</w:t>
      </w:r>
      <w:proofErr w:type="spellEnd"/>
      <w:r w:rsidRPr="00CC4B57">
        <w:rPr>
          <w:rFonts w:eastAsia="Times New Roman"/>
          <w:szCs w:val="22"/>
          <w:lang w:val="fr-FR"/>
        </w:rPr>
        <w:t xml:space="preserve"> (Suisse)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Prudence </w:t>
      </w:r>
      <w:proofErr w:type="spellStart"/>
      <w:r w:rsidRPr="00CC4B57">
        <w:rPr>
          <w:rFonts w:eastAsia="Times New Roman"/>
          <w:szCs w:val="22"/>
          <w:lang w:val="fr-FR" w:eastAsia="en-US"/>
        </w:rPr>
        <w:t>Jahja</w:t>
      </w:r>
      <w:proofErr w:type="spellEnd"/>
      <w:r w:rsidRPr="00CC4B57">
        <w:rPr>
          <w:rFonts w:eastAsia="Times New Roman"/>
          <w:szCs w:val="22"/>
          <w:lang w:val="fr-FR" w:eastAsia="en-US"/>
        </w:rPr>
        <w:t xml:space="preserve"> (Indonésie)</w:t>
      </w:r>
    </w:p>
    <w:p w:rsidR="00BB45F5" w:rsidRPr="00CC4B57" w:rsidRDefault="0098570E" w:rsidP="0098570E">
      <w:pPr>
        <w:rPr>
          <w:rFonts w:eastAsia="Times New Roman"/>
          <w:szCs w:val="22"/>
          <w:lang w:val="fr-FR"/>
        </w:rPr>
      </w:pPr>
      <w:r w:rsidRPr="00CC4B57">
        <w:rPr>
          <w:rFonts w:eastAsia="Times New Roman"/>
          <w:szCs w:val="22"/>
          <w:lang w:val="fr-FR"/>
        </w:rPr>
        <w:t>Ibrahim H.</w:t>
      </w:r>
      <w:r w:rsidR="00117E3A" w:rsidRPr="00CC4B57">
        <w:rPr>
          <w:rFonts w:eastAsia="Times New Roman"/>
          <w:szCs w:val="22"/>
          <w:lang w:val="fr-FR"/>
        </w:rPr>
        <w:t> </w:t>
      </w:r>
      <w:proofErr w:type="spellStart"/>
      <w:r w:rsidRPr="00CC4B57">
        <w:rPr>
          <w:rFonts w:eastAsia="Times New Roman"/>
          <w:szCs w:val="22"/>
          <w:lang w:val="fr-FR"/>
        </w:rPr>
        <w:t>Jama</w:t>
      </w:r>
      <w:proofErr w:type="spellEnd"/>
      <w:r w:rsidRPr="00CC4B57">
        <w:rPr>
          <w:rFonts w:eastAsia="Times New Roman"/>
          <w:szCs w:val="22"/>
          <w:lang w:val="fr-FR"/>
        </w:rPr>
        <w:t xml:space="preserve"> (Royaume</w:t>
      </w:r>
      <w:r w:rsidR="00BA4B95" w:rsidRPr="00CC4B57">
        <w:rPr>
          <w:rFonts w:eastAsia="Times New Roman"/>
          <w:szCs w:val="22"/>
          <w:lang w:val="fr-FR"/>
        </w:rPr>
        <w:noBreakHyphen/>
      </w:r>
      <w:r w:rsidRPr="00CC4B57">
        <w:rPr>
          <w:rFonts w:eastAsia="Times New Roman"/>
          <w:szCs w:val="22"/>
          <w:lang w:val="fr-FR"/>
        </w:rPr>
        <w:t>Uni)</w:t>
      </w:r>
    </w:p>
    <w:p w:rsidR="00BB45F5" w:rsidRPr="00CC4B57" w:rsidRDefault="0098570E" w:rsidP="0098570E">
      <w:pPr>
        <w:rPr>
          <w:rFonts w:eastAsia="Times New Roman"/>
          <w:szCs w:val="22"/>
          <w:lang w:val="fr-FR" w:eastAsia="en-US"/>
        </w:rPr>
      </w:pPr>
      <w:proofErr w:type="spellStart"/>
      <w:r w:rsidRPr="00CC4B57">
        <w:rPr>
          <w:rFonts w:eastAsia="Times New Roman"/>
          <w:szCs w:val="22"/>
          <w:lang w:val="fr-FR" w:eastAsia="en-US"/>
        </w:rPr>
        <w:t>Melanie</w:t>
      </w:r>
      <w:proofErr w:type="spellEnd"/>
      <w:r w:rsidRPr="00CC4B57">
        <w:rPr>
          <w:rFonts w:eastAsia="Times New Roman"/>
          <w:szCs w:val="22"/>
          <w:lang w:val="fr-FR" w:eastAsia="en-US"/>
        </w:rPr>
        <w:t xml:space="preserve"> Johnson (Nouvelle</w:t>
      </w:r>
      <w:r w:rsidR="00BA4B95" w:rsidRPr="00CC4B57">
        <w:rPr>
          <w:rFonts w:eastAsia="Times New Roman"/>
          <w:szCs w:val="22"/>
          <w:lang w:val="fr-FR" w:eastAsia="en-US"/>
        </w:rPr>
        <w:noBreakHyphen/>
      </w:r>
      <w:r w:rsidRPr="00CC4B57">
        <w:rPr>
          <w:rFonts w:eastAsia="Times New Roman"/>
          <w:szCs w:val="22"/>
          <w:lang w:val="fr-FR" w:eastAsia="en-US"/>
        </w:rPr>
        <w:t>Zélande)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Mickael le </w:t>
      </w:r>
      <w:proofErr w:type="spellStart"/>
      <w:r w:rsidRPr="00CC4B57">
        <w:rPr>
          <w:rFonts w:eastAsia="Times New Roman"/>
          <w:szCs w:val="22"/>
          <w:lang w:val="fr-FR" w:eastAsia="en-US"/>
        </w:rPr>
        <w:t>Borloch</w:t>
      </w:r>
      <w:proofErr w:type="spellEnd"/>
      <w:r w:rsidRPr="00CC4B57">
        <w:rPr>
          <w:rFonts w:eastAsia="Times New Roman"/>
          <w:szCs w:val="22"/>
          <w:lang w:val="fr-FR" w:eastAsia="en-US"/>
        </w:rPr>
        <w:t xml:space="preserve"> (France)</w:t>
      </w:r>
    </w:p>
    <w:p w:rsidR="00BB45F5" w:rsidRPr="00CC4B57" w:rsidRDefault="0098570E" w:rsidP="0098570E">
      <w:pPr>
        <w:rPr>
          <w:rFonts w:eastAsia="Times New Roman"/>
          <w:szCs w:val="22"/>
          <w:lang w:val="fr-FR"/>
        </w:rPr>
      </w:pPr>
      <w:proofErr w:type="spellStart"/>
      <w:r w:rsidRPr="00CC4B57">
        <w:rPr>
          <w:rFonts w:eastAsia="Times New Roman"/>
          <w:szCs w:val="22"/>
          <w:lang w:val="fr-FR"/>
        </w:rPr>
        <w:t>Jukka</w:t>
      </w:r>
      <w:proofErr w:type="spellEnd"/>
      <w:r w:rsidRPr="00CC4B57">
        <w:rPr>
          <w:rFonts w:eastAsia="Times New Roman"/>
          <w:szCs w:val="22"/>
          <w:lang w:val="fr-FR"/>
        </w:rPr>
        <w:t xml:space="preserve"> </w:t>
      </w:r>
      <w:proofErr w:type="spellStart"/>
      <w:r w:rsidRPr="00CC4B57">
        <w:rPr>
          <w:rFonts w:eastAsia="Times New Roman"/>
          <w:szCs w:val="22"/>
          <w:lang w:val="fr-FR"/>
        </w:rPr>
        <w:t>Liedes</w:t>
      </w:r>
      <w:proofErr w:type="spellEnd"/>
      <w:r w:rsidRPr="00CC4B57">
        <w:rPr>
          <w:rFonts w:eastAsia="Times New Roman"/>
          <w:szCs w:val="22"/>
          <w:lang w:val="fr-FR"/>
        </w:rPr>
        <w:t xml:space="preserve"> (Finlande)</w:t>
      </w:r>
    </w:p>
    <w:p w:rsidR="00BB45F5" w:rsidRPr="00CC4B57" w:rsidRDefault="0098570E" w:rsidP="0098570E">
      <w:pPr>
        <w:rPr>
          <w:szCs w:val="22"/>
          <w:lang w:val="fr-FR"/>
        </w:rPr>
      </w:pPr>
      <w:r w:rsidRPr="00CC4B57">
        <w:rPr>
          <w:szCs w:val="22"/>
          <w:lang w:val="fr-FR"/>
        </w:rPr>
        <w:t xml:space="preserve">Enrique </w:t>
      </w:r>
      <w:proofErr w:type="spellStart"/>
      <w:r w:rsidRPr="00CC4B57">
        <w:rPr>
          <w:szCs w:val="22"/>
          <w:lang w:val="fr-FR"/>
        </w:rPr>
        <w:t>Martínez</w:t>
      </w:r>
      <w:proofErr w:type="spellEnd"/>
      <w:r w:rsidRPr="00CC4B57">
        <w:rPr>
          <w:szCs w:val="22"/>
          <w:lang w:val="fr-FR"/>
        </w:rPr>
        <w:t xml:space="preserve"> Guzmán (Guat</w:t>
      </w:r>
      <w:r w:rsidR="00D956DB" w:rsidRPr="00CC4B57">
        <w:rPr>
          <w:szCs w:val="22"/>
          <w:lang w:val="fr-FR"/>
        </w:rPr>
        <w:t>e</w:t>
      </w:r>
      <w:r w:rsidRPr="00CC4B57">
        <w:rPr>
          <w:szCs w:val="22"/>
          <w:lang w:val="fr-FR"/>
        </w:rPr>
        <w:t>mala)</w:t>
      </w:r>
    </w:p>
    <w:p w:rsidR="00BB45F5" w:rsidRPr="00CC4B57" w:rsidRDefault="0098570E" w:rsidP="0098570E">
      <w:pPr>
        <w:rPr>
          <w:szCs w:val="22"/>
          <w:lang w:val="fr-FR"/>
        </w:rPr>
      </w:pPr>
      <w:r w:rsidRPr="00CC4B57">
        <w:rPr>
          <w:szCs w:val="22"/>
          <w:lang w:val="fr-FR"/>
        </w:rPr>
        <w:t>Harald Müller (Allemagne)</w:t>
      </w:r>
    </w:p>
    <w:p w:rsidR="00BB45F5" w:rsidRPr="00CC4B57" w:rsidRDefault="0098570E" w:rsidP="0098570E">
      <w:pPr>
        <w:rPr>
          <w:rFonts w:eastAsia="Times New Roman"/>
          <w:szCs w:val="22"/>
          <w:lang w:val="fr-FR" w:eastAsia="en-US"/>
        </w:rPr>
      </w:pPr>
      <w:proofErr w:type="spellStart"/>
      <w:r w:rsidRPr="00CC4B57">
        <w:rPr>
          <w:rFonts w:eastAsia="Times New Roman"/>
          <w:szCs w:val="22"/>
          <w:lang w:val="fr-FR" w:eastAsia="en-US"/>
        </w:rPr>
        <w:t>Zeinab</w:t>
      </w:r>
      <w:proofErr w:type="spellEnd"/>
      <w:r w:rsidRPr="00CC4B57">
        <w:rPr>
          <w:rFonts w:eastAsia="Times New Roman"/>
          <w:szCs w:val="22"/>
          <w:lang w:val="fr-FR" w:eastAsia="en-US"/>
        </w:rPr>
        <w:t xml:space="preserve"> Mustafa (République arabe syrienne)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Dana </w:t>
      </w:r>
      <w:proofErr w:type="spellStart"/>
      <w:r w:rsidRPr="00CC4B57">
        <w:rPr>
          <w:rFonts w:eastAsia="Times New Roman"/>
          <w:szCs w:val="22"/>
          <w:lang w:val="fr-FR" w:eastAsia="en-US"/>
        </w:rPr>
        <w:t>Neascu</w:t>
      </w:r>
      <w:proofErr w:type="spellEnd"/>
      <w:r w:rsidRPr="00CC4B57">
        <w:rPr>
          <w:rFonts w:eastAsia="Times New Roman"/>
          <w:szCs w:val="22"/>
          <w:lang w:val="fr-FR" w:eastAsia="en-US"/>
        </w:rPr>
        <w:t xml:space="preserve"> (États</w:t>
      </w:r>
      <w:r w:rsidR="00BA4B95" w:rsidRPr="00CC4B57">
        <w:rPr>
          <w:rFonts w:eastAsia="Times New Roman"/>
          <w:szCs w:val="22"/>
          <w:lang w:val="fr-FR" w:eastAsia="en-US"/>
        </w:rPr>
        <w:noBreakHyphen/>
      </w:r>
      <w:r w:rsidRPr="00CC4B57">
        <w:rPr>
          <w:rFonts w:eastAsia="Times New Roman"/>
          <w:szCs w:val="22"/>
          <w:lang w:val="fr-FR" w:eastAsia="en-US"/>
        </w:rPr>
        <w:t>Unis d</w:t>
      </w:r>
      <w:r w:rsidR="0045102F" w:rsidRPr="00CC4B57">
        <w:rPr>
          <w:rFonts w:eastAsia="Times New Roman"/>
          <w:szCs w:val="22"/>
          <w:lang w:val="fr-FR" w:eastAsia="en-US"/>
        </w:rPr>
        <w:t>’</w:t>
      </w:r>
      <w:r w:rsidRPr="00CC4B57">
        <w:rPr>
          <w:rFonts w:eastAsia="Times New Roman"/>
          <w:szCs w:val="22"/>
          <w:lang w:val="fr-FR" w:eastAsia="en-US"/>
        </w:rPr>
        <w:t>Amérique)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Denise Nicholson (Afrique du Sud)</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Victoria Owen (Canada)</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Ron </w:t>
      </w:r>
      <w:proofErr w:type="spellStart"/>
      <w:r w:rsidRPr="00CC4B57">
        <w:rPr>
          <w:rFonts w:eastAsia="Times New Roman"/>
          <w:szCs w:val="22"/>
          <w:lang w:val="fr-FR" w:eastAsia="en-US"/>
        </w:rPr>
        <w:t>Pinder</w:t>
      </w:r>
      <w:proofErr w:type="spellEnd"/>
      <w:r w:rsidRPr="00CC4B57">
        <w:rPr>
          <w:rFonts w:eastAsia="Times New Roman"/>
          <w:szCs w:val="22"/>
          <w:lang w:val="fr-FR" w:eastAsia="en-US"/>
        </w:rPr>
        <w:t xml:space="preserve"> (Bahamas)</w:t>
      </w:r>
    </w:p>
    <w:p w:rsidR="00BB45F5" w:rsidRPr="00CC4B57" w:rsidRDefault="0098570E" w:rsidP="0098570E">
      <w:pPr>
        <w:rPr>
          <w:rFonts w:eastAsia="Times New Roman"/>
          <w:szCs w:val="22"/>
          <w:lang w:val="fr-FR" w:eastAsia="en-US"/>
        </w:rPr>
      </w:pPr>
      <w:proofErr w:type="spellStart"/>
      <w:r w:rsidRPr="00CC4B57">
        <w:rPr>
          <w:rFonts w:eastAsia="Times New Roman"/>
          <w:szCs w:val="22"/>
          <w:lang w:val="fr-FR" w:eastAsia="en-US"/>
        </w:rPr>
        <w:t>Behrooz</w:t>
      </w:r>
      <w:proofErr w:type="spellEnd"/>
      <w:r w:rsidRPr="00CC4B57">
        <w:rPr>
          <w:rFonts w:eastAsia="Times New Roman"/>
          <w:szCs w:val="22"/>
          <w:lang w:val="fr-FR" w:eastAsia="en-US"/>
        </w:rPr>
        <w:t xml:space="preserve"> </w:t>
      </w:r>
      <w:proofErr w:type="spellStart"/>
      <w:r w:rsidRPr="00CC4B57">
        <w:rPr>
          <w:rFonts w:eastAsia="Times New Roman"/>
          <w:szCs w:val="22"/>
          <w:lang w:val="fr-FR" w:eastAsia="en-US"/>
        </w:rPr>
        <w:t>Rasuli</w:t>
      </w:r>
      <w:proofErr w:type="spellEnd"/>
      <w:r w:rsidRPr="00CC4B57">
        <w:rPr>
          <w:rFonts w:eastAsia="Times New Roman"/>
          <w:szCs w:val="22"/>
          <w:lang w:val="fr-FR" w:eastAsia="en-US"/>
        </w:rPr>
        <w:t xml:space="preserve"> (Iran (République islamique d</w:t>
      </w:r>
      <w:r w:rsidR="0045102F" w:rsidRPr="00CC4B57">
        <w:rPr>
          <w:rFonts w:eastAsia="Times New Roman"/>
          <w:szCs w:val="22"/>
          <w:lang w:val="fr-FR" w:eastAsia="en-US"/>
        </w:rPr>
        <w:t>’</w:t>
      </w:r>
      <w:r w:rsidRPr="00CC4B57">
        <w:rPr>
          <w:rFonts w:eastAsia="Times New Roman"/>
          <w:szCs w:val="22"/>
          <w:lang w:val="fr-FR" w:eastAsia="en-US"/>
        </w:rPr>
        <w:t>))</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Maria </w:t>
      </w:r>
      <w:proofErr w:type="spellStart"/>
      <w:r w:rsidRPr="00CC4B57">
        <w:rPr>
          <w:rFonts w:eastAsia="Times New Roman"/>
          <w:szCs w:val="22"/>
          <w:lang w:val="fr-FR" w:eastAsia="en-US"/>
        </w:rPr>
        <w:t>Rehbinder</w:t>
      </w:r>
      <w:proofErr w:type="spellEnd"/>
      <w:r w:rsidRPr="00CC4B57">
        <w:rPr>
          <w:rFonts w:eastAsia="Times New Roman"/>
          <w:szCs w:val="22"/>
          <w:lang w:val="fr-FR" w:eastAsia="en-US"/>
        </w:rPr>
        <w:t xml:space="preserve"> (Finlande)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Jerker </w:t>
      </w:r>
      <w:proofErr w:type="spellStart"/>
      <w:r w:rsidRPr="00CC4B57">
        <w:rPr>
          <w:rFonts w:eastAsia="Times New Roman"/>
          <w:szCs w:val="22"/>
          <w:lang w:val="fr-FR" w:eastAsia="en-US"/>
        </w:rPr>
        <w:t>Ryden</w:t>
      </w:r>
      <w:proofErr w:type="spellEnd"/>
      <w:r w:rsidRPr="00CC4B57">
        <w:rPr>
          <w:rFonts w:eastAsia="Times New Roman"/>
          <w:szCs w:val="22"/>
          <w:lang w:val="fr-FR" w:eastAsia="en-US"/>
        </w:rPr>
        <w:t xml:space="preserve"> (Suède)</w:t>
      </w:r>
    </w:p>
    <w:p w:rsidR="00BB45F5" w:rsidRPr="00CC4B57" w:rsidRDefault="0098570E" w:rsidP="0098570E">
      <w:pPr>
        <w:rPr>
          <w:rFonts w:eastAsia="Times New Roman"/>
          <w:szCs w:val="22"/>
          <w:lang w:val="fr-FR" w:eastAsia="en-US"/>
        </w:rPr>
      </w:pPr>
      <w:proofErr w:type="spellStart"/>
      <w:r w:rsidRPr="00CC4B57">
        <w:rPr>
          <w:rFonts w:eastAsia="Times New Roman"/>
          <w:szCs w:val="22"/>
          <w:lang w:val="fr-FR" w:eastAsia="en-US"/>
        </w:rPr>
        <w:t>Elbashier</w:t>
      </w:r>
      <w:proofErr w:type="spellEnd"/>
      <w:r w:rsidRPr="00CC4B57">
        <w:rPr>
          <w:rFonts w:eastAsia="Times New Roman"/>
          <w:szCs w:val="22"/>
          <w:lang w:val="fr-FR" w:eastAsia="en-US"/>
        </w:rPr>
        <w:t xml:space="preserve"> </w:t>
      </w:r>
      <w:proofErr w:type="spellStart"/>
      <w:r w:rsidRPr="00CC4B57">
        <w:rPr>
          <w:rFonts w:eastAsia="Times New Roman"/>
          <w:szCs w:val="22"/>
          <w:lang w:val="fr-FR" w:eastAsia="en-US"/>
        </w:rPr>
        <w:t>Sahal</w:t>
      </w:r>
      <w:proofErr w:type="spellEnd"/>
      <w:r w:rsidRPr="00CC4B57">
        <w:rPr>
          <w:rFonts w:eastAsia="Times New Roman"/>
          <w:szCs w:val="22"/>
          <w:lang w:val="fr-FR" w:eastAsia="en-US"/>
        </w:rPr>
        <w:t xml:space="preserve"> (Soudan)</w:t>
      </w:r>
    </w:p>
    <w:p w:rsidR="00BB45F5" w:rsidRPr="00CC4B57" w:rsidRDefault="0098570E" w:rsidP="0098570E">
      <w:pPr>
        <w:rPr>
          <w:rFonts w:eastAsia="Times New Roman"/>
          <w:szCs w:val="22"/>
          <w:lang w:val="fr-FR" w:eastAsia="en-US"/>
        </w:rPr>
      </w:pPr>
      <w:proofErr w:type="spellStart"/>
      <w:r w:rsidRPr="00CC4B57">
        <w:rPr>
          <w:rFonts w:eastAsia="Times New Roman"/>
          <w:szCs w:val="22"/>
          <w:lang w:val="fr-FR" w:eastAsia="en-US"/>
        </w:rPr>
        <w:t>Sangeeta</w:t>
      </w:r>
      <w:proofErr w:type="spellEnd"/>
      <w:r w:rsidRPr="00CC4B57">
        <w:rPr>
          <w:rFonts w:eastAsia="Times New Roman"/>
          <w:szCs w:val="22"/>
          <w:lang w:val="fr-FR" w:eastAsia="en-US"/>
        </w:rPr>
        <w:t xml:space="preserve"> </w:t>
      </w:r>
      <w:proofErr w:type="spellStart"/>
      <w:r w:rsidRPr="00CC4B57">
        <w:rPr>
          <w:rFonts w:eastAsia="Times New Roman"/>
          <w:szCs w:val="22"/>
          <w:lang w:val="fr-FR" w:eastAsia="en-US"/>
        </w:rPr>
        <w:t>Shashikant</w:t>
      </w:r>
      <w:proofErr w:type="spellEnd"/>
      <w:r w:rsidRPr="00CC4B57">
        <w:rPr>
          <w:rFonts w:eastAsia="Times New Roman"/>
          <w:szCs w:val="22"/>
          <w:lang w:val="fr-FR" w:eastAsia="en-US"/>
        </w:rPr>
        <w:t xml:space="preserve"> (Bangladesh)</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Irina </w:t>
      </w:r>
      <w:proofErr w:type="spellStart"/>
      <w:r w:rsidRPr="00CC4B57">
        <w:rPr>
          <w:rFonts w:eastAsia="Times New Roman"/>
          <w:szCs w:val="22"/>
          <w:lang w:val="fr-FR" w:eastAsia="en-US"/>
        </w:rPr>
        <w:t>Shurmina</w:t>
      </w:r>
      <w:proofErr w:type="spellEnd"/>
      <w:r w:rsidRPr="00CC4B57">
        <w:rPr>
          <w:rFonts w:eastAsia="Times New Roman"/>
          <w:szCs w:val="22"/>
          <w:lang w:val="fr-FR" w:eastAsia="en-US"/>
        </w:rPr>
        <w:t xml:space="preserve"> (Fédération de Russie)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lastRenderedPageBreak/>
        <w:t xml:space="preserve">Barbara </w:t>
      </w:r>
      <w:proofErr w:type="spellStart"/>
      <w:r w:rsidRPr="00CC4B57">
        <w:rPr>
          <w:rFonts w:eastAsia="Times New Roman"/>
          <w:szCs w:val="22"/>
          <w:lang w:val="fr-FR" w:eastAsia="en-US"/>
        </w:rPr>
        <w:t>Stratton</w:t>
      </w:r>
      <w:proofErr w:type="spellEnd"/>
      <w:r w:rsidRPr="00CC4B57">
        <w:rPr>
          <w:rFonts w:eastAsia="Times New Roman"/>
          <w:szCs w:val="22"/>
          <w:lang w:val="fr-FR" w:eastAsia="en-US"/>
        </w:rPr>
        <w:t xml:space="preserve"> (Royaume</w:t>
      </w:r>
      <w:r w:rsidR="00BA4B95" w:rsidRPr="00CC4B57">
        <w:rPr>
          <w:rFonts w:eastAsia="Times New Roman"/>
          <w:szCs w:val="22"/>
          <w:lang w:val="fr-FR" w:eastAsia="en-US"/>
        </w:rPr>
        <w:noBreakHyphen/>
      </w:r>
      <w:r w:rsidRPr="00CC4B57">
        <w:rPr>
          <w:rFonts w:eastAsia="Times New Roman"/>
          <w:szCs w:val="22"/>
          <w:lang w:val="fr-FR" w:eastAsia="en-US"/>
        </w:rPr>
        <w:t>Uni)</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Tatiana </w:t>
      </w:r>
      <w:proofErr w:type="spellStart"/>
      <w:r w:rsidRPr="00CC4B57">
        <w:rPr>
          <w:rFonts w:eastAsia="Times New Roman"/>
          <w:szCs w:val="22"/>
          <w:lang w:val="fr-FR" w:eastAsia="en-US"/>
        </w:rPr>
        <w:t>Synodinou</w:t>
      </w:r>
      <w:proofErr w:type="spellEnd"/>
      <w:r w:rsidRPr="00CC4B57">
        <w:rPr>
          <w:rFonts w:eastAsia="Times New Roman"/>
          <w:szCs w:val="22"/>
          <w:lang w:val="fr-FR" w:eastAsia="en-US"/>
        </w:rPr>
        <w:t xml:space="preserve"> (Chypre)</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Barbara </w:t>
      </w:r>
      <w:proofErr w:type="spellStart"/>
      <w:r w:rsidRPr="00CC4B57">
        <w:rPr>
          <w:rFonts w:eastAsia="Times New Roman"/>
          <w:szCs w:val="22"/>
          <w:lang w:val="fr-FR" w:eastAsia="en-US"/>
        </w:rPr>
        <w:t>Szczepanska</w:t>
      </w:r>
      <w:proofErr w:type="spellEnd"/>
      <w:r w:rsidRPr="00CC4B57">
        <w:rPr>
          <w:rFonts w:eastAsia="Times New Roman"/>
          <w:szCs w:val="22"/>
          <w:lang w:val="fr-FR" w:eastAsia="en-US"/>
        </w:rPr>
        <w:t xml:space="preserve"> (Pologne)</w:t>
      </w:r>
    </w:p>
    <w:p w:rsidR="00BB45F5" w:rsidRPr="00CC4B57" w:rsidRDefault="0098570E" w:rsidP="0098570E">
      <w:pPr>
        <w:rPr>
          <w:rFonts w:eastAsia="Times New Roman"/>
          <w:szCs w:val="22"/>
          <w:lang w:val="fr-FR" w:eastAsia="en-US"/>
        </w:rPr>
      </w:pPr>
      <w:proofErr w:type="spellStart"/>
      <w:r w:rsidRPr="00CC4B57">
        <w:rPr>
          <w:rFonts w:eastAsia="Times New Roman"/>
          <w:szCs w:val="22"/>
          <w:lang w:val="fr-FR" w:eastAsia="en-US"/>
        </w:rPr>
        <w:t>Gretel</w:t>
      </w:r>
      <w:proofErr w:type="spellEnd"/>
      <w:r w:rsidR="00D956DB" w:rsidRPr="00CC4B57">
        <w:rPr>
          <w:rFonts w:eastAsia="Times New Roman"/>
          <w:szCs w:val="22"/>
          <w:lang w:val="fr-FR" w:eastAsia="en-US"/>
        </w:rPr>
        <w:t> </w:t>
      </w:r>
      <w:proofErr w:type="spellStart"/>
      <w:r w:rsidRPr="00CC4B57">
        <w:rPr>
          <w:rFonts w:eastAsia="Times New Roman"/>
          <w:szCs w:val="22"/>
          <w:lang w:val="fr-FR" w:eastAsia="en-US"/>
        </w:rPr>
        <w:t>Villafranca</w:t>
      </w:r>
      <w:proofErr w:type="spellEnd"/>
      <w:r w:rsidRPr="00CC4B57">
        <w:rPr>
          <w:rFonts w:eastAsia="Times New Roman"/>
          <w:szCs w:val="22"/>
          <w:lang w:val="fr-FR" w:eastAsia="en-US"/>
        </w:rPr>
        <w:t xml:space="preserve"> de </w:t>
      </w:r>
      <w:proofErr w:type="spellStart"/>
      <w:r w:rsidRPr="00CC4B57">
        <w:rPr>
          <w:rFonts w:eastAsia="Times New Roman"/>
          <w:szCs w:val="22"/>
          <w:lang w:val="fr-FR" w:eastAsia="en-US"/>
        </w:rPr>
        <w:t>Tejada</w:t>
      </w:r>
      <w:proofErr w:type="spellEnd"/>
      <w:r w:rsidRPr="00CC4B57">
        <w:rPr>
          <w:rFonts w:eastAsia="Times New Roman"/>
          <w:szCs w:val="22"/>
          <w:lang w:val="fr-FR" w:eastAsia="en-US"/>
        </w:rPr>
        <w:t xml:space="preserve"> (Cuba)</w:t>
      </w:r>
    </w:p>
    <w:p w:rsidR="00BB45F5" w:rsidRPr="00CC4B57" w:rsidRDefault="0098570E" w:rsidP="0098570E">
      <w:pPr>
        <w:rPr>
          <w:rFonts w:eastAsia="Times New Roman"/>
          <w:szCs w:val="22"/>
          <w:lang w:val="fr-FR" w:eastAsia="en-US"/>
        </w:rPr>
      </w:pPr>
      <w:r w:rsidRPr="00CC4B57">
        <w:rPr>
          <w:rFonts w:eastAsia="Times New Roman"/>
          <w:szCs w:val="22"/>
          <w:lang w:val="fr-FR" w:eastAsia="en-US"/>
        </w:rPr>
        <w:t xml:space="preserve">Harald </w:t>
      </w:r>
      <w:proofErr w:type="spellStart"/>
      <w:r w:rsidRPr="00CC4B57">
        <w:rPr>
          <w:rFonts w:eastAsia="Times New Roman"/>
          <w:szCs w:val="22"/>
          <w:lang w:val="fr-FR" w:eastAsia="en-US"/>
        </w:rPr>
        <w:t>von</w:t>
      </w:r>
      <w:proofErr w:type="spellEnd"/>
      <w:r w:rsidRPr="00CC4B57">
        <w:rPr>
          <w:rFonts w:eastAsia="Times New Roman"/>
          <w:szCs w:val="22"/>
          <w:lang w:val="fr-FR" w:eastAsia="en-US"/>
        </w:rPr>
        <w:t xml:space="preserve"> </w:t>
      </w:r>
      <w:proofErr w:type="spellStart"/>
      <w:r w:rsidRPr="00CC4B57">
        <w:rPr>
          <w:rFonts w:eastAsia="Times New Roman"/>
          <w:szCs w:val="22"/>
          <w:lang w:val="fr-FR" w:eastAsia="en-US"/>
        </w:rPr>
        <w:t>Hielmcrone</w:t>
      </w:r>
      <w:proofErr w:type="spellEnd"/>
      <w:r w:rsidRPr="00CC4B57">
        <w:rPr>
          <w:rFonts w:eastAsia="Times New Roman"/>
          <w:szCs w:val="22"/>
          <w:lang w:val="fr-FR" w:eastAsia="en-US"/>
        </w:rPr>
        <w:t xml:space="preserve"> (Danemark)</w:t>
      </w:r>
    </w:p>
    <w:p w:rsidR="00BB45F5" w:rsidRPr="00CC4B57" w:rsidRDefault="000D13D9" w:rsidP="000D13D9">
      <w:pPr>
        <w:rPr>
          <w:rFonts w:eastAsia="Times New Roman"/>
          <w:szCs w:val="22"/>
          <w:lang w:val="fr-FR" w:eastAsia="en-US"/>
        </w:rPr>
      </w:pPr>
      <w:r w:rsidRPr="00CC4B57">
        <w:rPr>
          <w:rFonts w:eastAsia="Times New Roman"/>
          <w:szCs w:val="22"/>
          <w:lang w:val="fr-FR" w:eastAsia="en-US"/>
        </w:rPr>
        <w:t>Benjamin White (Royaume</w:t>
      </w:r>
      <w:r w:rsidR="00BA4B95" w:rsidRPr="00CC4B57">
        <w:rPr>
          <w:rFonts w:eastAsia="Times New Roman"/>
          <w:szCs w:val="22"/>
          <w:lang w:val="fr-FR" w:eastAsia="en-US"/>
        </w:rPr>
        <w:noBreakHyphen/>
      </w:r>
      <w:r w:rsidRPr="00CC4B57">
        <w:rPr>
          <w:rFonts w:eastAsia="Times New Roman"/>
          <w:szCs w:val="22"/>
          <w:lang w:val="fr-FR" w:eastAsia="en-US"/>
        </w:rPr>
        <w:t>Uni)</w:t>
      </w:r>
    </w:p>
    <w:p w:rsidR="00BB45F5" w:rsidRPr="00CC4B57" w:rsidRDefault="000D13D9" w:rsidP="000D13D9">
      <w:pPr>
        <w:rPr>
          <w:rFonts w:eastAsia="Times New Roman"/>
          <w:szCs w:val="22"/>
          <w:lang w:val="fr-FR"/>
        </w:rPr>
      </w:pPr>
      <w:r w:rsidRPr="00CC4B57">
        <w:rPr>
          <w:rFonts w:eastAsia="Times New Roman"/>
          <w:szCs w:val="22"/>
          <w:lang w:val="fr-FR"/>
        </w:rPr>
        <w:t>Pavel Zeman (République tchèque)</w:t>
      </w:r>
    </w:p>
    <w:p w:rsidR="00BB45F5" w:rsidRPr="00CC4B57" w:rsidRDefault="00BB45F5" w:rsidP="006D2A00">
      <w:pPr>
        <w:rPr>
          <w:szCs w:val="22"/>
          <w:lang w:val="fr-FR"/>
        </w:rPr>
      </w:pPr>
    </w:p>
    <w:p w:rsidR="00BB45F5" w:rsidRPr="00CC4B57" w:rsidRDefault="000D13D9" w:rsidP="008007E6">
      <w:pPr>
        <w:rPr>
          <w:rFonts w:eastAsia="Times New Roman"/>
          <w:szCs w:val="22"/>
          <w:lang w:val="fr-FR" w:eastAsia="en-US"/>
        </w:rPr>
      </w:pPr>
      <w:r w:rsidRPr="00CC4B57">
        <w:rPr>
          <w:rFonts w:eastAsia="Times New Roman"/>
          <w:szCs w:val="22"/>
          <w:lang w:val="fr-FR" w:eastAsia="en-US"/>
        </w:rPr>
        <w:t>Mes collègues de l</w:t>
      </w:r>
      <w:r w:rsidR="0045102F" w:rsidRPr="00CC4B57">
        <w:rPr>
          <w:rFonts w:eastAsia="Times New Roman"/>
          <w:szCs w:val="22"/>
          <w:lang w:val="fr-FR" w:eastAsia="en-US"/>
        </w:rPr>
        <w:t>’</w:t>
      </w:r>
      <w:r w:rsidRPr="00CC4B57">
        <w:rPr>
          <w:rFonts w:eastAsia="Times New Roman"/>
          <w:szCs w:val="22"/>
          <w:lang w:val="fr-FR" w:eastAsia="en-US"/>
        </w:rPr>
        <w:t>OMPI ont joué un rôle déterminant pour que cette étude puisse voir le jour et être aussi exhausti</w:t>
      </w:r>
      <w:r w:rsidR="00753BBF" w:rsidRPr="00CC4B57">
        <w:rPr>
          <w:rFonts w:eastAsia="Times New Roman"/>
          <w:szCs w:val="22"/>
          <w:lang w:val="fr-FR" w:eastAsia="en-US"/>
        </w:rPr>
        <w:t>ve.  Ce</w:t>
      </w:r>
      <w:r w:rsidR="00CC4B57" w:rsidRPr="00CC4B57">
        <w:rPr>
          <w:rFonts w:eastAsia="Times New Roman"/>
          <w:szCs w:val="22"/>
          <w:lang w:val="fr-FR" w:eastAsia="en-US"/>
        </w:rPr>
        <w:t xml:space="preserve">s dernières années, </w:t>
      </w:r>
      <w:proofErr w:type="spellStart"/>
      <w:r w:rsidR="00CC4B57" w:rsidRPr="00CC4B57">
        <w:rPr>
          <w:rFonts w:eastAsia="Times New Roman"/>
          <w:szCs w:val="22"/>
          <w:lang w:val="fr-FR" w:eastAsia="en-US"/>
        </w:rPr>
        <w:t>WIPO</w:t>
      </w:r>
      <w:proofErr w:type="spellEnd"/>
      <w:r w:rsidR="00CC4B57" w:rsidRPr="00CC4B57">
        <w:rPr>
          <w:rFonts w:eastAsia="Times New Roman"/>
          <w:szCs w:val="22"/>
          <w:lang w:val="fr-FR" w:eastAsia="en-US"/>
        </w:rPr>
        <w:t> </w:t>
      </w:r>
      <w:proofErr w:type="spellStart"/>
      <w:r w:rsidRPr="00CC4B57">
        <w:rPr>
          <w:rFonts w:eastAsia="Times New Roman"/>
          <w:szCs w:val="22"/>
          <w:lang w:val="fr-FR" w:eastAsia="en-US"/>
        </w:rPr>
        <w:t>Lex</w:t>
      </w:r>
      <w:proofErr w:type="spellEnd"/>
      <w:r w:rsidRPr="00CC4B57">
        <w:rPr>
          <w:rFonts w:eastAsia="Times New Roman"/>
          <w:szCs w:val="22"/>
          <w:lang w:val="fr-FR" w:eastAsia="en-US"/>
        </w:rPr>
        <w:t xml:space="preserve"> a évolué progressivement et rapidement, et elle est devenue une base de données extraordinaire sur le droit de la propriété intellectuel</w:t>
      </w:r>
      <w:r w:rsidR="00753BBF" w:rsidRPr="00CC4B57">
        <w:rPr>
          <w:rFonts w:eastAsia="Times New Roman"/>
          <w:szCs w:val="22"/>
          <w:lang w:val="fr-FR" w:eastAsia="en-US"/>
        </w:rPr>
        <w:t>le.  J’a</w:t>
      </w:r>
      <w:r w:rsidRPr="00CC4B57">
        <w:rPr>
          <w:rFonts w:eastAsia="Times New Roman"/>
          <w:szCs w:val="22"/>
          <w:lang w:val="fr-FR" w:eastAsia="en-US"/>
        </w:rPr>
        <w:t>dresse mes remerciements les plus sincères à tous les membres du personnel de l</w:t>
      </w:r>
      <w:r w:rsidR="0045102F" w:rsidRPr="00CC4B57">
        <w:rPr>
          <w:rFonts w:eastAsia="Times New Roman"/>
          <w:szCs w:val="22"/>
          <w:lang w:val="fr-FR" w:eastAsia="en-US"/>
        </w:rPr>
        <w:t>’</w:t>
      </w:r>
      <w:r w:rsidRPr="00CC4B57">
        <w:rPr>
          <w:rFonts w:eastAsia="Times New Roman"/>
          <w:szCs w:val="22"/>
          <w:lang w:val="fr-FR" w:eastAsia="en-US"/>
        </w:rPr>
        <w:t>OMP</w:t>
      </w:r>
      <w:r w:rsidR="00CC4B57" w:rsidRPr="00CC4B57">
        <w:rPr>
          <w:rFonts w:eastAsia="Times New Roman"/>
          <w:szCs w:val="22"/>
          <w:lang w:val="fr-FR" w:eastAsia="en-US"/>
        </w:rPr>
        <w:t xml:space="preserve">I qui ont permis à </w:t>
      </w:r>
      <w:proofErr w:type="spellStart"/>
      <w:r w:rsidR="00CC4B57" w:rsidRPr="00CC4B57">
        <w:rPr>
          <w:rFonts w:eastAsia="Times New Roman"/>
          <w:szCs w:val="22"/>
          <w:lang w:val="fr-FR" w:eastAsia="en-US"/>
        </w:rPr>
        <w:t>WIPO</w:t>
      </w:r>
      <w:proofErr w:type="spellEnd"/>
      <w:r w:rsidR="00CC4B57" w:rsidRPr="00CC4B57">
        <w:rPr>
          <w:rFonts w:eastAsia="Times New Roman"/>
          <w:szCs w:val="22"/>
          <w:lang w:val="fr-FR" w:eastAsia="en-US"/>
        </w:rPr>
        <w:t> </w:t>
      </w:r>
      <w:proofErr w:type="spellStart"/>
      <w:r w:rsidRPr="00CC4B57">
        <w:rPr>
          <w:rFonts w:eastAsia="Times New Roman"/>
          <w:szCs w:val="22"/>
          <w:lang w:val="fr-FR" w:eastAsia="en-US"/>
        </w:rPr>
        <w:t>Lex</w:t>
      </w:r>
      <w:proofErr w:type="spellEnd"/>
      <w:r w:rsidRPr="00CC4B57">
        <w:rPr>
          <w:rFonts w:eastAsia="Times New Roman"/>
          <w:szCs w:val="22"/>
          <w:lang w:val="fr-FR" w:eastAsia="en-US"/>
        </w:rPr>
        <w:t xml:space="preserve"> de prendre de l</w:t>
      </w:r>
      <w:r w:rsidR="0045102F" w:rsidRPr="00CC4B57">
        <w:rPr>
          <w:rFonts w:eastAsia="Times New Roman"/>
          <w:szCs w:val="22"/>
          <w:lang w:val="fr-FR" w:eastAsia="en-US"/>
        </w:rPr>
        <w:t>’</w:t>
      </w:r>
      <w:r w:rsidRPr="00CC4B57">
        <w:rPr>
          <w:rFonts w:eastAsia="Times New Roman"/>
          <w:szCs w:val="22"/>
          <w:lang w:val="fr-FR" w:eastAsia="en-US"/>
        </w:rPr>
        <w:t>ampleur et qui ont contribué à ce qu</w:t>
      </w:r>
      <w:r w:rsidR="0045102F" w:rsidRPr="00CC4B57">
        <w:rPr>
          <w:rFonts w:eastAsia="Times New Roman"/>
          <w:szCs w:val="22"/>
          <w:lang w:val="fr-FR" w:eastAsia="en-US"/>
        </w:rPr>
        <w:t>’</w:t>
      </w:r>
      <w:r w:rsidRPr="00CC4B57">
        <w:rPr>
          <w:rFonts w:eastAsia="Times New Roman"/>
          <w:szCs w:val="22"/>
          <w:lang w:val="fr-FR" w:eastAsia="en-US"/>
        </w:rPr>
        <w:t>elle constitue un corpus de législation bien structuré, riche et dans lequel il est possible d</w:t>
      </w:r>
      <w:r w:rsidR="0045102F" w:rsidRPr="00CC4B57">
        <w:rPr>
          <w:rFonts w:eastAsia="Times New Roman"/>
          <w:szCs w:val="22"/>
          <w:lang w:val="fr-FR" w:eastAsia="en-US"/>
        </w:rPr>
        <w:t>’</w:t>
      </w:r>
      <w:r w:rsidRPr="00CC4B57">
        <w:rPr>
          <w:rFonts w:eastAsia="Times New Roman"/>
          <w:szCs w:val="22"/>
          <w:lang w:val="fr-FR" w:eastAsia="en-US"/>
        </w:rPr>
        <w:t>effectuer des recherch</w:t>
      </w:r>
      <w:r w:rsidR="00753BBF" w:rsidRPr="00CC4B57">
        <w:rPr>
          <w:rFonts w:eastAsia="Times New Roman"/>
          <w:szCs w:val="22"/>
          <w:lang w:val="fr-FR" w:eastAsia="en-US"/>
        </w:rPr>
        <w:t>es.  Je</w:t>
      </w:r>
      <w:r w:rsidR="008007E6" w:rsidRPr="00CC4B57">
        <w:rPr>
          <w:rFonts w:eastAsia="Times New Roman"/>
          <w:szCs w:val="22"/>
          <w:lang w:val="fr-FR" w:eastAsia="en-US"/>
        </w:rPr>
        <w:t xml:space="preserve"> remercie en particulier </w:t>
      </w:r>
      <w:r w:rsidR="005306A7" w:rsidRPr="00CC4B57">
        <w:rPr>
          <w:rFonts w:eastAsia="Times New Roman"/>
          <w:szCs w:val="22"/>
          <w:lang w:val="fr-FR" w:eastAsia="en-US"/>
        </w:rPr>
        <w:t>Mmes</w:t>
      </w:r>
      <w:r w:rsidR="00117E3A" w:rsidRPr="00CC4B57">
        <w:rPr>
          <w:rFonts w:eastAsia="Times New Roman"/>
          <w:szCs w:val="22"/>
          <w:lang w:val="fr-FR" w:eastAsia="en-US"/>
        </w:rPr>
        <w:t> </w:t>
      </w:r>
      <w:r w:rsidR="008007E6" w:rsidRPr="00CC4B57">
        <w:rPr>
          <w:rFonts w:eastAsia="Times New Roman"/>
          <w:szCs w:val="22"/>
          <w:lang w:val="fr-FR" w:eastAsia="en-US"/>
        </w:rPr>
        <w:t xml:space="preserve">Michele Woods et </w:t>
      </w:r>
      <w:proofErr w:type="spellStart"/>
      <w:r w:rsidR="008007E6" w:rsidRPr="00CC4B57">
        <w:rPr>
          <w:rFonts w:eastAsia="Times New Roman"/>
          <w:szCs w:val="22"/>
          <w:lang w:val="fr-FR" w:eastAsia="en-US"/>
        </w:rPr>
        <w:t>Geid</w:t>
      </w:r>
      <w:r w:rsidR="00CC4B57" w:rsidRPr="00CC4B57">
        <w:rPr>
          <w:rFonts w:eastAsia="Times New Roman"/>
          <w:szCs w:val="22"/>
          <w:lang w:val="fr-FR" w:eastAsia="en-US"/>
        </w:rPr>
        <w:t>y</w:t>
      </w:r>
      <w:proofErr w:type="spellEnd"/>
      <w:r w:rsidR="00CC4B57" w:rsidRPr="00CC4B57">
        <w:rPr>
          <w:lang w:val="fr-FR"/>
        </w:rPr>
        <w:t> </w:t>
      </w:r>
      <w:r w:rsidR="008007E6" w:rsidRPr="00CC4B57">
        <w:rPr>
          <w:rFonts w:eastAsia="Times New Roman"/>
          <w:szCs w:val="22"/>
          <w:lang w:val="fr-FR" w:eastAsia="en-US"/>
        </w:rPr>
        <w:t>Lung, qui ont toujours appuyé ce proj</w:t>
      </w:r>
      <w:r w:rsidR="00753BBF" w:rsidRPr="00CC4B57">
        <w:rPr>
          <w:rFonts w:eastAsia="Times New Roman"/>
          <w:szCs w:val="22"/>
          <w:lang w:val="fr-FR" w:eastAsia="en-US"/>
        </w:rPr>
        <w:t>et.  Je</w:t>
      </w:r>
      <w:r w:rsidR="008007E6" w:rsidRPr="00CC4B57">
        <w:rPr>
          <w:rFonts w:eastAsia="Times New Roman"/>
          <w:szCs w:val="22"/>
          <w:lang w:val="fr-FR" w:eastAsia="en-US"/>
        </w:rPr>
        <w:t xml:space="preserve"> remercie le Directeur général</w:t>
      </w:r>
      <w:r w:rsidR="005306A7" w:rsidRPr="00CC4B57">
        <w:rPr>
          <w:rFonts w:eastAsia="Times New Roman"/>
          <w:szCs w:val="22"/>
          <w:lang w:val="fr-FR" w:eastAsia="en-US"/>
        </w:rPr>
        <w:t xml:space="preserve"> de l</w:t>
      </w:r>
      <w:r w:rsidR="0045102F" w:rsidRPr="00CC4B57">
        <w:rPr>
          <w:rFonts w:eastAsia="Times New Roman"/>
          <w:szCs w:val="22"/>
          <w:lang w:val="fr-FR" w:eastAsia="en-US"/>
        </w:rPr>
        <w:t>’</w:t>
      </w:r>
      <w:r w:rsidR="005306A7" w:rsidRPr="00CC4B57">
        <w:rPr>
          <w:rFonts w:eastAsia="Times New Roman"/>
          <w:szCs w:val="22"/>
          <w:lang w:val="fr-FR" w:eastAsia="en-US"/>
        </w:rPr>
        <w:t>OMPI</w:t>
      </w:r>
      <w:r w:rsidR="008007E6" w:rsidRPr="00CC4B57">
        <w:rPr>
          <w:rFonts w:eastAsia="Times New Roman"/>
          <w:szCs w:val="22"/>
          <w:lang w:val="fr-FR" w:eastAsia="en-US"/>
        </w:rPr>
        <w:t>, M.</w:t>
      </w:r>
      <w:r w:rsidR="00117E3A" w:rsidRPr="00CC4B57">
        <w:rPr>
          <w:rFonts w:eastAsia="Times New Roman"/>
          <w:szCs w:val="22"/>
          <w:lang w:val="fr-FR" w:eastAsia="en-US"/>
        </w:rPr>
        <w:t> </w:t>
      </w:r>
      <w:r w:rsidR="008007E6" w:rsidRPr="00CC4B57">
        <w:rPr>
          <w:rFonts w:eastAsia="Times New Roman"/>
          <w:szCs w:val="22"/>
          <w:lang w:val="fr-FR" w:eastAsia="en-US"/>
        </w:rPr>
        <w:t>Francis </w:t>
      </w:r>
      <w:proofErr w:type="spellStart"/>
      <w:r w:rsidR="008007E6" w:rsidRPr="00CC4B57">
        <w:rPr>
          <w:rFonts w:eastAsia="Times New Roman"/>
          <w:szCs w:val="22"/>
          <w:lang w:val="fr-FR" w:eastAsia="en-US"/>
        </w:rPr>
        <w:t>Gurry</w:t>
      </w:r>
      <w:proofErr w:type="spellEnd"/>
      <w:r w:rsidR="008007E6" w:rsidRPr="00CC4B57">
        <w:rPr>
          <w:rFonts w:eastAsia="Times New Roman"/>
          <w:szCs w:val="22"/>
          <w:lang w:val="fr-FR" w:eastAsia="en-US"/>
        </w:rPr>
        <w:t>, et la vice</w:t>
      </w:r>
      <w:r w:rsidR="00BA4B95" w:rsidRPr="00CC4B57">
        <w:rPr>
          <w:rFonts w:eastAsia="Times New Roman"/>
          <w:szCs w:val="22"/>
          <w:lang w:val="fr-FR" w:eastAsia="en-US"/>
        </w:rPr>
        <w:noBreakHyphen/>
      </w:r>
      <w:r w:rsidR="008007E6" w:rsidRPr="00CC4B57">
        <w:rPr>
          <w:rFonts w:eastAsia="Times New Roman"/>
          <w:szCs w:val="22"/>
          <w:lang w:val="fr-FR" w:eastAsia="en-US"/>
        </w:rPr>
        <w:t>directrice générale, Mme</w:t>
      </w:r>
      <w:r w:rsidR="00117E3A" w:rsidRPr="00CC4B57">
        <w:rPr>
          <w:rFonts w:eastAsia="Times New Roman"/>
          <w:szCs w:val="22"/>
          <w:lang w:val="fr-FR" w:eastAsia="en-US"/>
        </w:rPr>
        <w:t> </w:t>
      </w:r>
      <w:r w:rsidR="008007E6" w:rsidRPr="00CC4B57">
        <w:rPr>
          <w:rFonts w:eastAsia="Times New Roman"/>
          <w:szCs w:val="22"/>
          <w:lang w:val="fr-FR" w:eastAsia="en-US"/>
        </w:rPr>
        <w:t>Sylvie</w:t>
      </w:r>
      <w:r w:rsidR="00D956DB" w:rsidRPr="00CC4B57">
        <w:rPr>
          <w:rFonts w:eastAsia="Times New Roman"/>
          <w:szCs w:val="22"/>
          <w:lang w:val="fr-FR" w:eastAsia="en-US"/>
        </w:rPr>
        <w:t> </w:t>
      </w:r>
      <w:r w:rsidR="008007E6" w:rsidRPr="00CC4B57">
        <w:rPr>
          <w:rFonts w:eastAsia="Times New Roman"/>
          <w:szCs w:val="22"/>
          <w:lang w:val="fr-FR" w:eastAsia="en-US"/>
        </w:rPr>
        <w:t xml:space="preserve">Forbin, pour leur </w:t>
      </w:r>
      <w:r w:rsidR="005306A7" w:rsidRPr="00CC4B57">
        <w:rPr>
          <w:rFonts w:eastAsia="Times New Roman"/>
          <w:szCs w:val="22"/>
          <w:lang w:val="fr-FR" w:eastAsia="en-US"/>
        </w:rPr>
        <w:t>direction éclairée</w:t>
      </w:r>
      <w:r w:rsidR="008007E6" w:rsidRPr="00CC4B57">
        <w:rPr>
          <w:rFonts w:eastAsia="Times New Roman"/>
          <w:szCs w:val="22"/>
          <w:lang w:val="fr-FR" w:eastAsia="en-US"/>
        </w:rPr>
        <w:t>.</w:t>
      </w:r>
    </w:p>
    <w:p w:rsidR="00BB45F5" w:rsidRPr="00CC4B57" w:rsidRDefault="00BB45F5" w:rsidP="006D2A00">
      <w:pPr>
        <w:rPr>
          <w:rFonts w:eastAsia="Times New Roman"/>
          <w:szCs w:val="22"/>
          <w:lang w:val="fr-FR" w:eastAsia="en-US"/>
        </w:rPr>
      </w:pPr>
    </w:p>
    <w:p w:rsidR="00BB45F5" w:rsidRPr="00CC4B57" w:rsidRDefault="008007E6" w:rsidP="00CA6889">
      <w:pPr>
        <w:rPr>
          <w:rFonts w:eastAsia="Times New Roman"/>
          <w:szCs w:val="22"/>
          <w:lang w:val="fr-FR" w:eastAsia="en-US"/>
        </w:rPr>
      </w:pPr>
      <w:r w:rsidRPr="00CC4B57">
        <w:rPr>
          <w:rFonts w:eastAsia="Times New Roman"/>
          <w:szCs w:val="22"/>
          <w:lang w:val="fr-FR"/>
        </w:rPr>
        <w:t>L</w:t>
      </w:r>
      <w:r w:rsidR="0045102F" w:rsidRPr="00CC4B57">
        <w:rPr>
          <w:rFonts w:eastAsia="Times New Roman"/>
          <w:szCs w:val="22"/>
          <w:lang w:val="fr-FR"/>
        </w:rPr>
        <w:t>’</w:t>
      </w:r>
      <w:r w:rsidRPr="00CC4B57">
        <w:rPr>
          <w:rFonts w:eastAsia="Times New Roman"/>
          <w:szCs w:val="22"/>
          <w:lang w:val="fr-FR"/>
        </w:rPr>
        <w:t xml:space="preserve">influence de </w:t>
      </w:r>
      <w:r w:rsidR="005306A7" w:rsidRPr="00CC4B57">
        <w:rPr>
          <w:rFonts w:eastAsia="Times New Roman"/>
          <w:szCs w:val="22"/>
          <w:lang w:val="fr-FR" w:eastAsia="en-US"/>
        </w:rPr>
        <w:t>Mmes</w:t>
      </w:r>
      <w:r w:rsidR="00117E3A" w:rsidRPr="00CC4B57">
        <w:rPr>
          <w:rFonts w:eastAsia="Times New Roman"/>
          <w:szCs w:val="22"/>
          <w:lang w:val="fr-FR" w:eastAsia="en-US"/>
        </w:rPr>
        <w:t> </w:t>
      </w:r>
      <w:r w:rsidRPr="00CC4B57">
        <w:rPr>
          <w:rFonts w:eastAsia="Times New Roman"/>
          <w:szCs w:val="22"/>
          <w:lang w:val="fr-FR"/>
        </w:rPr>
        <w:t>Michelle</w:t>
      </w:r>
      <w:r w:rsidR="00D956DB" w:rsidRPr="00CC4B57">
        <w:rPr>
          <w:rFonts w:eastAsia="Times New Roman"/>
          <w:szCs w:val="22"/>
          <w:lang w:val="fr-FR"/>
        </w:rPr>
        <w:t> </w:t>
      </w:r>
      <w:proofErr w:type="spellStart"/>
      <w:r w:rsidRPr="00CC4B57">
        <w:rPr>
          <w:rFonts w:eastAsia="Times New Roman"/>
          <w:szCs w:val="22"/>
          <w:lang w:val="fr-FR"/>
        </w:rPr>
        <w:t>Choe</w:t>
      </w:r>
      <w:proofErr w:type="spellEnd"/>
      <w:r w:rsidRPr="00CC4B57">
        <w:rPr>
          <w:rFonts w:eastAsia="Times New Roman"/>
          <w:szCs w:val="22"/>
          <w:lang w:val="fr-FR"/>
        </w:rPr>
        <w:t xml:space="preserve"> et Trina </w:t>
      </w:r>
      <w:proofErr w:type="spellStart"/>
      <w:r w:rsidRPr="00CC4B57">
        <w:rPr>
          <w:rFonts w:eastAsia="Times New Roman"/>
          <w:szCs w:val="22"/>
          <w:lang w:val="fr-FR"/>
        </w:rPr>
        <w:t>Kissel</w:t>
      </w:r>
      <w:proofErr w:type="spellEnd"/>
      <w:r w:rsidRPr="00CC4B57">
        <w:rPr>
          <w:rFonts w:eastAsia="Times New Roman"/>
          <w:szCs w:val="22"/>
          <w:lang w:val="fr-FR"/>
        </w:rPr>
        <w:t xml:space="preserve"> Taylor, assistantes de recherche dans le cadre des précédentes études, continue d</w:t>
      </w:r>
      <w:r w:rsidR="0045102F" w:rsidRPr="00CC4B57">
        <w:rPr>
          <w:rFonts w:eastAsia="Times New Roman"/>
          <w:szCs w:val="22"/>
          <w:lang w:val="fr-FR"/>
        </w:rPr>
        <w:t>’</w:t>
      </w:r>
      <w:r w:rsidRPr="00CC4B57">
        <w:rPr>
          <w:rFonts w:eastAsia="Times New Roman"/>
          <w:szCs w:val="22"/>
          <w:lang w:val="fr-FR"/>
        </w:rPr>
        <w:t xml:space="preserve">être manifeste dans le présent rapport. </w:t>
      </w:r>
      <w:r w:rsidR="006D2A00" w:rsidRPr="00CC4B57">
        <w:rPr>
          <w:rFonts w:eastAsia="Times New Roman"/>
          <w:szCs w:val="22"/>
          <w:lang w:val="fr-FR"/>
        </w:rPr>
        <w:t xml:space="preserve"> </w:t>
      </w:r>
      <w:r w:rsidR="00CA6889" w:rsidRPr="00CC4B57">
        <w:rPr>
          <w:rFonts w:eastAsia="Times New Roman"/>
          <w:szCs w:val="22"/>
          <w:lang w:val="fr-FR"/>
        </w:rPr>
        <w:t>J</w:t>
      </w:r>
      <w:r w:rsidR="0045102F" w:rsidRPr="00CC4B57">
        <w:rPr>
          <w:rFonts w:eastAsia="Times New Roman"/>
          <w:szCs w:val="22"/>
          <w:lang w:val="fr-FR"/>
        </w:rPr>
        <w:t>’</w:t>
      </w:r>
      <w:r w:rsidR="00CA6889" w:rsidRPr="00CC4B57">
        <w:rPr>
          <w:rFonts w:eastAsia="Times New Roman"/>
          <w:szCs w:val="22"/>
          <w:lang w:val="fr-FR"/>
        </w:rPr>
        <w:t>ai eu le plaisir de travailler avec M.</w:t>
      </w:r>
      <w:r w:rsidR="00117E3A" w:rsidRPr="00CC4B57">
        <w:rPr>
          <w:rFonts w:eastAsia="Times New Roman"/>
          <w:szCs w:val="22"/>
          <w:lang w:val="fr-FR"/>
        </w:rPr>
        <w:t> </w:t>
      </w:r>
      <w:r w:rsidR="00CA6889" w:rsidRPr="00CC4B57">
        <w:rPr>
          <w:rFonts w:eastAsia="Times New Roman"/>
          <w:szCs w:val="22"/>
          <w:lang w:val="fr-FR"/>
        </w:rPr>
        <w:t xml:space="preserve">Mickaël Le </w:t>
      </w:r>
      <w:proofErr w:type="spellStart"/>
      <w:r w:rsidR="00CA6889" w:rsidRPr="00CC4B57">
        <w:rPr>
          <w:rFonts w:eastAsia="Times New Roman"/>
          <w:szCs w:val="22"/>
          <w:lang w:val="fr-FR"/>
        </w:rPr>
        <w:t>Borloch</w:t>
      </w:r>
      <w:proofErr w:type="spellEnd"/>
      <w:r w:rsidR="00CA6889" w:rsidRPr="00CC4B57">
        <w:rPr>
          <w:rFonts w:eastAsia="Times New Roman"/>
          <w:szCs w:val="22"/>
          <w:lang w:val="fr-FR"/>
        </w:rPr>
        <w:t xml:space="preserve"> (</w:t>
      </w:r>
      <w:r w:rsidR="005306A7" w:rsidRPr="00CC4B57">
        <w:rPr>
          <w:rFonts w:eastAsia="Times New Roman"/>
          <w:szCs w:val="22"/>
          <w:lang w:val="fr-FR"/>
        </w:rPr>
        <w:t xml:space="preserve">conseil </w:t>
      </w:r>
      <w:r w:rsidR="005952CE" w:rsidRPr="00CC4B57">
        <w:rPr>
          <w:rFonts w:eastAsia="Times New Roman"/>
          <w:szCs w:val="22"/>
          <w:lang w:val="fr-FR"/>
        </w:rPr>
        <w:t>à Paris</w:t>
      </w:r>
      <w:r w:rsidR="00CA6889" w:rsidRPr="00CC4B57">
        <w:rPr>
          <w:rFonts w:eastAsia="Times New Roman"/>
          <w:szCs w:val="22"/>
          <w:lang w:val="fr-FR"/>
        </w:rPr>
        <w:t xml:space="preserve">) </w:t>
      </w:r>
      <w:r w:rsidR="005306A7" w:rsidRPr="00CC4B57">
        <w:rPr>
          <w:rFonts w:eastAsia="Times New Roman"/>
          <w:szCs w:val="22"/>
          <w:lang w:val="fr-FR"/>
        </w:rPr>
        <w:t>dans le cadre des</w:t>
      </w:r>
      <w:r w:rsidR="00CA6889" w:rsidRPr="00CC4B57">
        <w:rPr>
          <w:rFonts w:eastAsia="Times New Roman"/>
          <w:szCs w:val="22"/>
          <w:lang w:val="fr-FR"/>
        </w:rPr>
        <w:t xml:space="preserve"> précédentes études et de </w:t>
      </w:r>
      <w:r w:rsidR="005306A7" w:rsidRPr="00CC4B57">
        <w:rPr>
          <w:rFonts w:eastAsia="Times New Roman"/>
          <w:szCs w:val="22"/>
          <w:lang w:val="fr-FR"/>
        </w:rPr>
        <w:t>la présente</w:t>
      </w:r>
      <w:r w:rsidR="00CA6889" w:rsidRPr="00CC4B57">
        <w:rPr>
          <w:rFonts w:eastAsia="Times New Roman"/>
          <w:szCs w:val="22"/>
          <w:lang w:val="fr-FR"/>
        </w:rPr>
        <w:t xml:space="preserve"> mise à jo</w:t>
      </w:r>
      <w:r w:rsidR="00753BBF" w:rsidRPr="00CC4B57">
        <w:rPr>
          <w:rFonts w:eastAsia="Times New Roman"/>
          <w:szCs w:val="22"/>
          <w:lang w:val="fr-FR"/>
        </w:rPr>
        <w:t>ur.  J’a</w:t>
      </w:r>
      <w:r w:rsidR="00CA6889" w:rsidRPr="00CC4B57">
        <w:rPr>
          <w:rFonts w:eastAsia="Times New Roman"/>
          <w:szCs w:val="22"/>
          <w:lang w:val="fr-FR"/>
        </w:rPr>
        <w:t>i rencontré Mickaël lors d</w:t>
      </w:r>
      <w:r w:rsidR="005306A7" w:rsidRPr="00CC4B57">
        <w:rPr>
          <w:rFonts w:eastAsia="Times New Roman"/>
          <w:szCs w:val="22"/>
          <w:lang w:val="fr-FR"/>
        </w:rPr>
        <w:t>e l</w:t>
      </w:r>
      <w:r w:rsidR="0045102F" w:rsidRPr="00CC4B57">
        <w:rPr>
          <w:rFonts w:eastAsia="Times New Roman"/>
          <w:szCs w:val="22"/>
          <w:lang w:val="fr-FR"/>
        </w:rPr>
        <w:t>’</w:t>
      </w:r>
      <w:r w:rsidR="00CA6889" w:rsidRPr="00CC4B57">
        <w:rPr>
          <w:rFonts w:eastAsia="Times New Roman"/>
          <w:szCs w:val="22"/>
          <w:lang w:val="fr-FR"/>
        </w:rPr>
        <w:t>une de mes interventions à La Sorbonne</w:t>
      </w:r>
      <w:r w:rsidR="005952CE" w:rsidRPr="00CC4B57">
        <w:rPr>
          <w:rFonts w:eastAsia="Times New Roman"/>
          <w:szCs w:val="22"/>
          <w:lang w:val="fr-FR"/>
        </w:rPr>
        <w:t>,</w:t>
      </w:r>
      <w:r w:rsidR="00CA6889" w:rsidRPr="00CC4B57">
        <w:rPr>
          <w:rFonts w:eastAsia="Times New Roman"/>
          <w:szCs w:val="22"/>
          <w:lang w:val="fr-FR"/>
        </w:rPr>
        <w:t xml:space="preserve"> à Paris, et il est actuellement stagiaire au sein de mon étu</w:t>
      </w:r>
      <w:r w:rsidR="00753BBF" w:rsidRPr="00CC4B57">
        <w:rPr>
          <w:rFonts w:eastAsia="Times New Roman"/>
          <w:szCs w:val="22"/>
          <w:lang w:val="fr-FR"/>
        </w:rPr>
        <w:t>de.  Se</w:t>
      </w:r>
      <w:r w:rsidR="00CA6889" w:rsidRPr="00CC4B57">
        <w:rPr>
          <w:rFonts w:eastAsia="Times New Roman"/>
          <w:szCs w:val="22"/>
          <w:lang w:val="fr-FR"/>
        </w:rPr>
        <w:t xml:space="preserve">s travaux de recherche et ses compétences linguistiques ont fait la différence dans </w:t>
      </w:r>
      <w:r w:rsidR="005952CE" w:rsidRPr="00CC4B57">
        <w:rPr>
          <w:rFonts w:eastAsia="Times New Roman"/>
          <w:szCs w:val="22"/>
          <w:lang w:val="fr-FR"/>
        </w:rPr>
        <w:t xml:space="preserve">bon nombre des </w:t>
      </w:r>
      <w:r w:rsidR="00CA6889" w:rsidRPr="00CC4B57">
        <w:rPr>
          <w:rFonts w:eastAsia="Times New Roman"/>
          <w:szCs w:val="22"/>
          <w:lang w:val="fr-FR"/>
        </w:rPr>
        <w:t xml:space="preserve">analyses </w:t>
      </w:r>
      <w:r w:rsidR="005952CE" w:rsidRPr="00CC4B57">
        <w:rPr>
          <w:rFonts w:eastAsia="Times New Roman"/>
          <w:szCs w:val="22"/>
          <w:lang w:val="fr-FR"/>
        </w:rPr>
        <w:t>effectué</w:t>
      </w:r>
      <w:r w:rsidR="00753BBF" w:rsidRPr="00CC4B57">
        <w:rPr>
          <w:rFonts w:eastAsia="Times New Roman"/>
          <w:szCs w:val="22"/>
          <w:lang w:val="fr-FR"/>
        </w:rPr>
        <w:t>es.  Me</w:t>
      </w:r>
      <w:r w:rsidR="00CA6889" w:rsidRPr="00CC4B57">
        <w:rPr>
          <w:rFonts w:eastAsia="Times New Roman"/>
          <w:szCs w:val="22"/>
          <w:lang w:val="fr-FR"/>
        </w:rPr>
        <w:t xml:space="preserve">s collègues du cabinet </w:t>
      </w:r>
      <w:proofErr w:type="spellStart"/>
      <w:r w:rsidR="00CA6889" w:rsidRPr="00CC4B57">
        <w:rPr>
          <w:rFonts w:eastAsia="Times New Roman"/>
          <w:szCs w:val="22"/>
          <w:lang w:val="fr-FR"/>
        </w:rPr>
        <w:t>Gipson</w:t>
      </w:r>
      <w:proofErr w:type="spellEnd"/>
      <w:r w:rsidR="00CA6889" w:rsidRPr="00CC4B57">
        <w:rPr>
          <w:rFonts w:eastAsia="Times New Roman"/>
          <w:szCs w:val="22"/>
          <w:lang w:val="fr-FR"/>
        </w:rPr>
        <w:t xml:space="preserve"> Hoffman &amp; </w:t>
      </w:r>
      <w:proofErr w:type="spellStart"/>
      <w:r w:rsidR="00CA6889" w:rsidRPr="00CC4B57">
        <w:rPr>
          <w:rFonts w:eastAsia="Times New Roman"/>
          <w:szCs w:val="22"/>
          <w:lang w:val="fr-FR"/>
        </w:rPr>
        <w:t>Pancione</w:t>
      </w:r>
      <w:proofErr w:type="spellEnd"/>
      <w:r w:rsidR="00CA6889" w:rsidRPr="00CC4B57">
        <w:rPr>
          <w:rFonts w:eastAsia="Times New Roman"/>
          <w:szCs w:val="22"/>
          <w:lang w:val="fr-FR"/>
        </w:rPr>
        <w:t xml:space="preserve"> ont fait preuve d</w:t>
      </w:r>
      <w:r w:rsidR="0045102F" w:rsidRPr="00CC4B57">
        <w:rPr>
          <w:rFonts w:eastAsia="Times New Roman"/>
          <w:szCs w:val="22"/>
          <w:lang w:val="fr-FR"/>
        </w:rPr>
        <w:t>’</w:t>
      </w:r>
      <w:r w:rsidR="00CA6889" w:rsidRPr="00CC4B57">
        <w:rPr>
          <w:rFonts w:eastAsia="Times New Roman"/>
          <w:szCs w:val="22"/>
          <w:lang w:val="fr-FR"/>
        </w:rPr>
        <w:t>une incroyable patience et d</w:t>
      </w:r>
      <w:r w:rsidR="0045102F" w:rsidRPr="00CC4B57">
        <w:rPr>
          <w:rFonts w:eastAsia="Times New Roman"/>
          <w:szCs w:val="22"/>
          <w:lang w:val="fr-FR"/>
        </w:rPr>
        <w:t>’</w:t>
      </w:r>
      <w:r w:rsidR="00CA6889" w:rsidRPr="00CC4B57">
        <w:rPr>
          <w:rFonts w:eastAsia="Times New Roman"/>
          <w:szCs w:val="22"/>
          <w:lang w:val="fr-FR"/>
        </w:rPr>
        <w:t>un appui extraordinai</w:t>
      </w:r>
      <w:r w:rsidR="00753BBF" w:rsidRPr="00CC4B57">
        <w:rPr>
          <w:rFonts w:eastAsia="Times New Roman"/>
          <w:szCs w:val="22"/>
          <w:lang w:val="fr-FR"/>
        </w:rPr>
        <w:t xml:space="preserve">re.  </w:t>
      </w:r>
      <w:r w:rsidR="00753BBF" w:rsidRPr="00CC4B57">
        <w:rPr>
          <w:rFonts w:eastAsia="Times New Roman"/>
          <w:szCs w:val="22"/>
          <w:lang w:val="fr-FR" w:eastAsia="en-US"/>
        </w:rPr>
        <w:t>Si</w:t>
      </w:r>
      <w:r w:rsidR="00CA6889" w:rsidRPr="00CC4B57">
        <w:rPr>
          <w:rFonts w:eastAsia="Times New Roman"/>
          <w:szCs w:val="22"/>
          <w:lang w:val="fr-FR" w:eastAsia="en-US"/>
        </w:rPr>
        <w:t xml:space="preserve"> j</w:t>
      </w:r>
      <w:r w:rsidR="0045102F" w:rsidRPr="00CC4B57">
        <w:rPr>
          <w:rFonts w:eastAsia="Times New Roman"/>
          <w:szCs w:val="22"/>
          <w:lang w:val="fr-FR" w:eastAsia="en-US"/>
        </w:rPr>
        <w:t>’</w:t>
      </w:r>
      <w:r w:rsidR="00CA6889" w:rsidRPr="00CC4B57">
        <w:rPr>
          <w:rFonts w:eastAsia="Times New Roman"/>
          <w:szCs w:val="22"/>
          <w:lang w:val="fr-FR" w:eastAsia="en-US"/>
        </w:rPr>
        <w:t>ai pu compter sur la contribution unique de nombreux collègues, j</w:t>
      </w:r>
      <w:r w:rsidR="0045102F" w:rsidRPr="00CC4B57">
        <w:rPr>
          <w:rFonts w:eastAsia="Times New Roman"/>
          <w:szCs w:val="22"/>
          <w:lang w:val="fr-FR" w:eastAsia="en-US"/>
        </w:rPr>
        <w:t>’</w:t>
      </w:r>
      <w:r w:rsidR="00CA6889" w:rsidRPr="00CC4B57">
        <w:rPr>
          <w:rFonts w:eastAsia="Times New Roman"/>
          <w:szCs w:val="22"/>
          <w:lang w:val="fr-FR" w:eastAsia="en-US"/>
        </w:rPr>
        <w:t>exerce</w:t>
      </w:r>
      <w:r w:rsidR="005306A7" w:rsidRPr="00CC4B57">
        <w:rPr>
          <w:rFonts w:eastAsia="Times New Roman"/>
          <w:szCs w:val="22"/>
          <w:lang w:val="fr-FR" w:eastAsia="en-US"/>
        </w:rPr>
        <w:t xml:space="preserve"> toute</w:t>
      </w:r>
      <w:r w:rsidR="00CA6889" w:rsidRPr="00CC4B57">
        <w:rPr>
          <w:rFonts w:eastAsia="Times New Roman"/>
          <w:szCs w:val="22"/>
          <w:lang w:val="fr-FR" w:eastAsia="en-US"/>
        </w:rPr>
        <w:t xml:space="preserve"> la responsabilité concernant l</w:t>
      </w:r>
      <w:r w:rsidR="0045102F" w:rsidRPr="00CC4B57">
        <w:rPr>
          <w:rFonts w:eastAsia="Times New Roman"/>
          <w:szCs w:val="22"/>
          <w:lang w:val="fr-FR" w:eastAsia="en-US"/>
        </w:rPr>
        <w:t>’</w:t>
      </w:r>
      <w:r w:rsidR="00CA6889" w:rsidRPr="00CC4B57">
        <w:rPr>
          <w:rFonts w:eastAsia="Times New Roman"/>
          <w:szCs w:val="22"/>
          <w:lang w:val="fr-FR" w:eastAsia="en-US"/>
        </w:rPr>
        <w:t>exactitude de cette étude et j</w:t>
      </w:r>
      <w:r w:rsidR="0045102F" w:rsidRPr="00CC4B57">
        <w:rPr>
          <w:rFonts w:eastAsia="Times New Roman"/>
          <w:szCs w:val="22"/>
          <w:lang w:val="fr-FR" w:eastAsia="en-US"/>
        </w:rPr>
        <w:t>’</w:t>
      </w:r>
      <w:r w:rsidR="00CA6889" w:rsidRPr="00CC4B57">
        <w:rPr>
          <w:rFonts w:eastAsia="Times New Roman"/>
          <w:szCs w:val="22"/>
          <w:lang w:val="fr-FR" w:eastAsia="en-US"/>
        </w:rPr>
        <w:t>accueillerai avec intérêt les observations et informations actualisées que tous les lecteurs souhaiteront me soumettre.</w:t>
      </w:r>
    </w:p>
    <w:p w:rsidR="00BB45F5" w:rsidRPr="00CC4B57" w:rsidRDefault="00BB45F5" w:rsidP="006D2A00">
      <w:pPr>
        <w:rPr>
          <w:rFonts w:eastAsia="Times New Roman"/>
          <w:szCs w:val="22"/>
          <w:lang w:val="fr-FR" w:eastAsia="en-US"/>
        </w:rPr>
      </w:pPr>
    </w:p>
    <w:p w:rsidR="00BB45F5" w:rsidRPr="00CC4B57" w:rsidRDefault="006D2A00" w:rsidP="006D2A00">
      <w:pPr>
        <w:rPr>
          <w:rFonts w:eastAsia="Times New Roman"/>
          <w:szCs w:val="22"/>
          <w:lang w:val="fr-FR" w:eastAsia="en-US"/>
        </w:rPr>
      </w:pPr>
      <w:r w:rsidRPr="00CC4B57">
        <w:rPr>
          <w:rFonts w:eastAsia="Times New Roman"/>
          <w:szCs w:val="22"/>
          <w:lang w:val="fr-FR" w:eastAsia="en-US"/>
        </w:rPr>
        <w:t>Kenneth D.</w:t>
      </w:r>
      <w:r w:rsidR="00117E3A" w:rsidRPr="00CC4B57">
        <w:rPr>
          <w:rFonts w:eastAsia="Times New Roman"/>
          <w:szCs w:val="22"/>
          <w:lang w:val="fr-FR" w:eastAsia="en-US"/>
        </w:rPr>
        <w:t> </w:t>
      </w:r>
      <w:proofErr w:type="spellStart"/>
      <w:r w:rsidRPr="00CC4B57">
        <w:rPr>
          <w:rFonts w:eastAsia="Times New Roman"/>
          <w:szCs w:val="22"/>
          <w:lang w:val="fr-FR" w:eastAsia="en-US"/>
        </w:rPr>
        <w:t>Crews</w:t>
      </w:r>
      <w:proofErr w:type="spellEnd"/>
    </w:p>
    <w:p w:rsidR="00BB45F5" w:rsidRPr="00CC4B57" w:rsidRDefault="00CA6889" w:rsidP="00CA6889">
      <w:pPr>
        <w:rPr>
          <w:rFonts w:eastAsia="Times New Roman"/>
          <w:szCs w:val="22"/>
          <w:lang w:val="fr-FR" w:eastAsia="en-US"/>
        </w:rPr>
      </w:pPr>
      <w:r w:rsidRPr="00CC4B57">
        <w:rPr>
          <w:rFonts w:eastAsia="Times New Roman"/>
          <w:szCs w:val="22"/>
          <w:lang w:val="fr-FR" w:eastAsia="en-US"/>
        </w:rPr>
        <w:t>Los Angeles (États</w:t>
      </w:r>
      <w:r w:rsidR="00BA4B95" w:rsidRPr="00CC4B57">
        <w:rPr>
          <w:rFonts w:eastAsia="Times New Roman"/>
          <w:szCs w:val="22"/>
          <w:lang w:val="fr-FR" w:eastAsia="en-US"/>
        </w:rPr>
        <w:noBreakHyphen/>
      </w:r>
      <w:r w:rsidRPr="00CC4B57">
        <w:rPr>
          <w:rFonts w:eastAsia="Times New Roman"/>
          <w:szCs w:val="22"/>
          <w:lang w:val="fr-FR" w:eastAsia="en-US"/>
        </w:rPr>
        <w:t>Unis d</w:t>
      </w:r>
      <w:r w:rsidR="0045102F" w:rsidRPr="00CC4B57">
        <w:rPr>
          <w:rFonts w:eastAsia="Times New Roman"/>
          <w:szCs w:val="22"/>
          <w:lang w:val="fr-FR" w:eastAsia="en-US"/>
        </w:rPr>
        <w:t>’</w:t>
      </w:r>
      <w:r w:rsidRPr="00CC4B57">
        <w:rPr>
          <w:rFonts w:eastAsia="Times New Roman"/>
          <w:szCs w:val="22"/>
          <w:lang w:val="fr-FR" w:eastAsia="en-US"/>
        </w:rPr>
        <w:t>Amérique)</w:t>
      </w:r>
    </w:p>
    <w:p w:rsidR="00BB45F5" w:rsidRPr="00CC4B57" w:rsidRDefault="00CA6889" w:rsidP="00CA6889">
      <w:pPr>
        <w:rPr>
          <w:szCs w:val="22"/>
          <w:lang w:val="fr-FR"/>
        </w:rPr>
      </w:pPr>
      <w:r w:rsidRPr="00CC4B57">
        <w:rPr>
          <w:szCs w:val="22"/>
          <w:lang w:val="fr-FR"/>
        </w:rPr>
        <w:t>Le 3</w:t>
      </w:r>
      <w:r w:rsidR="0096345D" w:rsidRPr="00CC4B57">
        <w:rPr>
          <w:szCs w:val="22"/>
          <w:lang w:val="fr-FR"/>
        </w:rPr>
        <w:t>0 octobre 20</w:t>
      </w:r>
      <w:r w:rsidRPr="00CC4B57">
        <w:rPr>
          <w:szCs w:val="22"/>
          <w:lang w:val="fr-FR"/>
        </w:rPr>
        <w:t>17</w:t>
      </w:r>
    </w:p>
    <w:p w:rsidR="00BB45F5" w:rsidRPr="00CC4B57" w:rsidRDefault="00BB45F5" w:rsidP="006D2A00">
      <w:pPr>
        <w:rPr>
          <w:szCs w:val="22"/>
          <w:lang w:val="fr-FR"/>
        </w:rPr>
      </w:pPr>
    </w:p>
    <w:p w:rsidR="00BB45F5" w:rsidRPr="00CC4B57" w:rsidRDefault="00BB45F5" w:rsidP="006D2A00">
      <w:pPr>
        <w:rPr>
          <w:rFonts w:eastAsia="Times New Roman"/>
          <w:strike/>
          <w:szCs w:val="22"/>
          <w:lang w:val="fr-FR" w:eastAsia="en-US"/>
        </w:rPr>
      </w:pPr>
    </w:p>
    <w:p w:rsidR="00BB45F5" w:rsidRPr="00CC4B57" w:rsidRDefault="00CA6889" w:rsidP="00CA6889">
      <w:pPr>
        <w:ind w:left="5760"/>
        <w:rPr>
          <w:rFonts w:eastAsia="Times New Roman"/>
          <w:szCs w:val="22"/>
          <w:lang w:val="fr-FR" w:eastAsia="en-US"/>
        </w:rPr>
      </w:pPr>
      <w:r w:rsidRPr="00CC4B57">
        <w:rPr>
          <w:rFonts w:eastAsia="Times New Roman"/>
          <w:szCs w:val="22"/>
          <w:lang w:val="fr-FR" w:eastAsia="en-US"/>
        </w:rPr>
        <w:t>[Fin du document]</w:t>
      </w:r>
    </w:p>
    <w:sectPr w:rsidR="00BB45F5" w:rsidRPr="00CC4B57" w:rsidSect="0045102F">
      <w:headerReference w:type="default" r:id="rId9"/>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0E" w:rsidRDefault="0098570E" w:rsidP="006D2A00">
      <w:r>
        <w:separator/>
      </w:r>
    </w:p>
  </w:endnote>
  <w:endnote w:type="continuationSeparator" w:id="0">
    <w:p w:rsidR="0098570E" w:rsidRDefault="0098570E" w:rsidP="006D2A00">
      <w:r>
        <w:continuationSeparator/>
      </w:r>
    </w:p>
  </w:endnote>
  <w:endnote w:type="continuationNotice" w:id="1">
    <w:p w:rsidR="00753BBF" w:rsidRDefault="00753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0E" w:rsidRDefault="0098570E" w:rsidP="006D2A00">
      <w:r>
        <w:separator/>
      </w:r>
    </w:p>
  </w:footnote>
  <w:footnote w:type="continuationSeparator" w:id="0">
    <w:p w:rsidR="0098570E" w:rsidRDefault="0098570E" w:rsidP="006D2A00">
      <w:r>
        <w:continuationSeparator/>
      </w:r>
    </w:p>
  </w:footnote>
  <w:footnote w:type="continuationNotice" w:id="1">
    <w:p w:rsidR="00753BBF" w:rsidRDefault="00753BBF"/>
  </w:footnote>
  <w:footnote w:id="2">
    <w:p w:rsidR="0098570E" w:rsidRPr="005952CE" w:rsidRDefault="0098570E" w:rsidP="00E16F4A">
      <w:pPr>
        <w:pStyle w:val="FootnoteText"/>
        <w:rPr>
          <w:lang w:val="fr-CH"/>
        </w:rPr>
      </w:pPr>
      <w:r w:rsidRPr="005952CE">
        <w:rPr>
          <w:rStyle w:val="FootnoteReference"/>
        </w:rPr>
        <w:footnoteRef/>
      </w:r>
      <w:r w:rsidRPr="005952CE">
        <w:rPr>
          <w:lang w:val="fr-CH"/>
        </w:rPr>
        <w:t xml:space="preserve"> </w:t>
      </w:r>
      <w:r w:rsidR="0043646F">
        <w:rPr>
          <w:lang w:val="fr-CH"/>
        </w:rPr>
        <w:tab/>
      </w:r>
      <w:r w:rsidRPr="005952CE">
        <w:rPr>
          <w:lang w:val="fr-CH"/>
        </w:rPr>
        <w:t>Kenneth D.</w:t>
      </w:r>
      <w:r w:rsidR="00117E3A" w:rsidRPr="00117E3A">
        <w:rPr>
          <w:lang w:val="fr-CH"/>
        </w:rPr>
        <w:t> </w:t>
      </w:r>
      <w:proofErr w:type="spellStart"/>
      <w:r w:rsidRPr="005952CE">
        <w:rPr>
          <w:lang w:val="fr-CH"/>
        </w:rPr>
        <w:t>Crews</w:t>
      </w:r>
      <w:proofErr w:type="spellEnd"/>
      <w:r w:rsidRPr="005952CE">
        <w:rPr>
          <w:lang w:val="fr-CH"/>
        </w:rPr>
        <w:t>, Étude sur les limitations et exceptions au droit d</w:t>
      </w:r>
      <w:r w:rsidR="00EB58EA">
        <w:rPr>
          <w:lang w:val="fr-CH"/>
        </w:rPr>
        <w:t>’</w:t>
      </w:r>
      <w:r w:rsidRPr="005952CE">
        <w:rPr>
          <w:lang w:val="fr-CH"/>
        </w:rPr>
        <w:t>auteur en faveur des bibliothèques et services d</w:t>
      </w:r>
      <w:r w:rsidR="00EB58EA">
        <w:rPr>
          <w:lang w:val="fr-CH"/>
        </w:rPr>
        <w:t>’</w:t>
      </w:r>
      <w:r w:rsidRPr="005952CE">
        <w:rPr>
          <w:lang w:val="fr-CH"/>
        </w:rPr>
        <w:t>archives, Organisation Mondiale de la Propriété Intellectuelle, Comité permanent du droit d</w:t>
      </w:r>
      <w:r w:rsidR="00EB58EA">
        <w:rPr>
          <w:lang w:val="fr-CH"/>
        </w:rPr>
        <w:t>’</w:t>
      </w:r>
      <w:r w:rsidRPr="005952CE">
        <w:rPr>
          <w:lang w:val="fr-CH"/>
        </w:rPr>
        <w:t>auteur et des droits connexes, dix</w:t>
      </w:r>
      <w:r w:rsidR="00EB58EA">
        <w:rPr>
          <w:lang w:val="fr-CH"/>
        </w:rPr>
        <w:t>-</w:t>
      </w:r>
      <w:r w:rsidRPr="005952CE">
        <w:rPr>
          <w:lang w:val="fr-CH"/>
        </w:rPr>
        <w:t>sept</w:t>
      </w:r>
      <w:r w:rsidR="00EB58EA">
        <w:rPr>
          <w:lang w:val="fr-CH"/>
        </w:rPr>
        <w:t>ième session</w:t>
      </w:r>
      <w:r w:rsidRPr="005952CE">
        <w:rPr>
          <w:lang w:val="fr-CH"/>
        </w:rPr>
        <w:t xml:space="preserve"> (Genève (Suisse), 2008), disponible à l</w:t>
      </w:r>
      <w:r w:rsidR="00EB58EA">
        <w:rPr>
          <w:lang w:val="fr-CH"/>
        </w:rPr>
        <w:t>’</w:t>
      </w:r>
      <w:r w:rsidRPr="005952CE">
        <w:rPr>
          <w:lang w:val="fr-CH"/>
        </w:rPr>
        <w:t>adresse http://www.wipo.int/meetings/en/doc_details.jsp?doc_id=109192.</w:t>
      </w:r>
    </w:p>
  </w:footnote>
  <w:footnote w:id="3">
    <w:p w:rsidR="0098570E" w:rsidRPr="00087E25" w:rsidRDefault="0098570E" w:rsidP="00087E25">
      <w:pPr>
        <w:pStyle w:val="FootnoteText"/>
        <w:rPr>
          <w:lang w:val="fr-CH"/>
        </w:rPr>
      </w:pPr>
      <w:r w:rsidRPr="005952CE">
        <w:rPr>
          <w:rStyle w:val="FootnoteReference"/>
        </w:rPr>
        <w:footnoteRef/>
      </w:r>
      <w:r w:rsidRPr="005952CE">
        <w:rPr>
          <w:lang w:val="fr-CH"/>
        </w:rPr>
        <w:t xml:space="preserve"> </w:t>
      </w:r>
      <w:r w:rsidR="0043646F">
        <w:rPr>
          <w:lang w:val="fr-CH"/>
        </w:rPr>
        <w:tab/>
      </w:r>
      <w:r w:rsidRPr="005952CE">
        <w:rPr>
          <w:lang w:val="fr-CH"/>
        </w:rPr>
        <w:t>Kenneth D.</w:t>
      </w:r>
      <w:r w:rsidR="00117E3A" w:rsidRPr="00117E3A">
        <w:rPr>
          <w:lang w:val="fr-CH"/>
        </w:rPr>
        <w:t> </w:t>
      </w:r>
      <w:proofErr w:type="spellStart"/>
      <w:r w:rsidRPr="005952CE">
        <w:rPr>
          <w:lang w:val="fr-CH"/>
        </w:rPr>
        <w:t>Crews</w:t>
      </w:r>
      <w:proofErr w:type="spellEnd"/>
      <w:r w:rsidRPr="005952CE">
        <w:rPr>
          <w:lang w:val="fr-CH"/>
        </w:rPr>
        <w:t>, Étude sur les limitations et exceptions au droit d</w:t>
      </w:r>
      <w:r w:rsidR="00EB58EA">
        <w:rPr>
          <w:lang w:val="fr-CH"/>
        </w:rPr>
        <w:t>’</w:t>
      </w:r>
      <w:r w:rsidRPr="005952CE">
        <w:rPr>
          <w:lang w:val="fr-CH"/>
        </w:rPr>
        <w:t>auteur en faveur des bibliothèques et services d</w:t>
      </w:r>
      <w:r w:rsidR="00EB58EA">
        <w:rPr>
          <w:lang w:val="fr-CH"/>
        </w:rPr>
        <w:t>’</w:t>
      </w:r>
      <w:r w:rsidRPr="005952CE">
        <w:rPr>
          <w:lang w:val="fr-CH"/>
        </w:rPr>
        <w:t>archives, Organisation Mondiale de la Propriété Intellectuelle, Comité permanent du droit d</w:t>
      </w:r>
      <w:r w:rsidR="00EB58EA">
        <w:rPr>
          <w:lang w:val="fr-CH"/>
        </w:rPr>
        <w:t>’</w:t>
      </w:r>
      <w:r w:rsidRPr="005952CE">
        <w:rPr>
          <w:lang w:val="fr-CH"/>
        </w:rPr>
        <w:t>auteur et des droits connexes, vingt</w:t>
      </w:r>
      <w:r w:rsidR="00EB58EA">
        <w:rPr>
          <w:lang w:val="fr-CH"/>
        </w:rPr>
        <w:t>-</w:t>
      </w:r>
      <w:r w:rsidRPr="005952CE">
        <w:rPr>
          <w:lang w:val="fr-CH"/>
        </w:rPr>
        <w:t>neuv</w:t>
      </w:r>
      <w:r w:rsidR="00EB58EA">
        <w:rPr>
          <w:lang w:val="fr-CH"/>
        </w:rPr>
        <w:t>ième session</w:t>
      </w:r>
      <w:r w:rsidRPr="005952CE">
        <w:rPr>
          <w:lang w:val="fr-CH"/>
        </w:rPr>
        <w:t xml:space="preserve"> (Genève (Suisse), 2014), disponible à l</w:t>
      </w:r>
      <w:r w:rsidR="00EB58EA">
        <w:rPr>
          <w:lang w:val="fr-CH"/>
        </w:rPr>
        <w:t>’</w:t>
      </w:r>
      <w:r w:rsidRPr="005952CE">
        <w:rPr>
          <w:lang w:val="fr-CH"/>
        </w:rPr>
        <w:t>adresse http://www.wipo.int/meetings/en/doc_details.jsp?doc_id=290457.</w:t>
      </w:r>
    </w:p>
  </w:footnote>
  <w:footnote w:id="4">
    <w:p w:rsidR="0098570E" w:rsidRPr="005952CE" w:rsidRDefault="0098570E" w:rsidP="00087E25">
      <w:pPr>
        <w:pStyle w:val="FootnoteText"/>
        <w:rPr>
          <w:lang w:val="fr-CH"/>
        </w:rPr>
      </w:pPr>
      <w:r w:rsidRPr="005952CE">
        <w:rPr>
          <w:rStyle w:val="FootnoteReference"/>
        </w:rPr>
        <w:footnoteRef/>
      </w:r>
      <w:r w:rsidRPr="005952CE">
        <w:rPr>
          <w:lang w:val="fr-CH"/>
        </w:rPr>
        <w:t xml:space="preserve"> </w:t>
      </w:r>
      <w:r w:rsidR="0043646F">
        <w:rPr>
          <w:lang w:val="fr-CH"/>
        </w:rPr>
        <w:tab/>
      </w:r>
      <w:r w:rsidRPr="005952CE">
        <w:rPr>
          <w:lang w:val="fr-CH"/>
        </w:rPr>
        <w:t>Kenneth D.</w:t>
      </w:r>
      <w:r w:rsidR="00117E3A" w:rsidRPr="00117E3A">
        <w:rPr>
          <w:lang w:val="fr-CH"/>
        </w:rPr>
        <w:t> </w:t>
      </w:r>
      <w:proofErr w:type="spellStart"/>
      <w:r w:rsidRPr="005952CE">
        <w:rPr>
          <w:lang w:val="fr-CH"/>
        </w:rPr>
        <w:t>Crews</w:t>
      </w:r>
      <w:proofErr w:type="spellEnd"/>
      <w:r w:rsidRPr="005952CE">
        <w:rPr>
          <w:lang w:val="fr-CH"/>
        </w:rPr>
        <w:t>, Étude sur les limitations et exceptions au droit d</w:t>
      </w:r>
      <w:r w:rsidR="00EB58EA">
        <w:rPr>
          <w:lang w:val="fr-CH"/>
        </w:rPr>
        <w:t>’</w:t>
      </w:r>
      <w:r w:rsidRPr="005952CE">
        <w:rPr>
          <w:lang w:val="fr-CH"/>
        </w:rPr>
        <w:t>auteur en faveur des bibliothèques et services d</w:t>
      </w:r>
      <w:r w:rsidR="00EB58EA">
        <w:rPr>
          <w:lang w:val="fr-CH"/>
        </w:rPr>
        <w:t>’</w:t>
      </w:r>
      <w:r w:rsidRPr="005952CE">
        <w:rPr>
          <w:lang w:val="fr-CH"/>
        </w:rPr>
        <w:t>archives</w:t>
      </w:r>
      <w:r w:rsidR="00EB58EA">
        <w:rPr>
          <w:lang w:val="fr-CH"/>
        </w:rPr>
        <w:t> :</w:t>
      </w:r>
      <w:r w:rsidRPr="005952CE">
        <w:rPr>
          <w:lang w:val="fr-CH"/>
        </w:rPr>
        <w:t xml:space="preserve"> version actualisée et révisée, Organisation Mondiale de la Propriété Intellectuelle, Comité permanent du droit d</w:t>
      </w:r>
      <w:r w:rsidR="00EB58EA">
        <w:rPr>
          <w:lang w:val="fr-CH"/>
        </w:rPr>
        <w:t>’</w:t>
      </w:r>
      <w:r w:rsidRPr="005952CE">
        <w:rPr>
          <w:lang w:val="fr-CH"/>
        </w:rPr>
        <w:t>auteur et des droits connexes, dix</w:t>
      </w:r>
      <w:r w:rsidR="00EB58EA">
        <w:rPr>
          <w:lang w:val="fr-CH"/>
        </w:rPr>
        <w:t>-</w:t>
      </w:r>
      <w:r w:rsidRPr="005952CE">
        <w:rPr>
          <w:lang w:val="fr-CH"/>
        </w:rPr>
        <w:t>sept</w:t>
      </w:r>
      <w:r w:rsidR="00EB58EA">
        <w:rPr>
          <w:lang w:val="fr-CH"/>
        </w:rPr>
        <w:t>ième session</w:t>
      </w:r>
      <w:r w:rsidRPr="005952CE">
        <w:rPr>
          <w:lang w:val="fr-CH"/>
        </w:rPr>
        <w:t xml:space="preserve"> (Genève (Suisse), 2015), disponible à l</w:t>
      </w:r>
      <w:r w:rsidR="00EB58EA">
        <w:rPr>
          <w:lang w:val="fr-CH"/>
        </w:rPr>
        <w:t>’</w:t>
      </w:r>
      <w:r w:rsidRPr="005952CE">
        <w:rPr>
          <w:lang w:val="fr-CH"/>
        </w:rPr>
        <w:t>adresse http://www.wipo.int/meetings/en/doc_details.jsp?doc_id=306216.</w:t>
      </w:r>
    </w:p>
  </w:footnote>
  <w:footnote w:id="5">
    <w:p w:rsidR="0098570E" w:rsidRPr="005952CE" w:rsidRDefault="0098570E" w:rsidP="00945984">
      <w:pPr>
        <w:pStyle w:val="FootnoteText"/>
        <w:rPr>
          <w:lang w:val="fr-CH"/>
        </w:rPr>
      </w:pPr>
      <w:r w:rsidRPr="005952CE">
        <w:rPr>
          <w:rStyle w:val="FootnoteReference"/>
        </w:rPr>
        <w:footnoteRef/>
      </w:r>
      <w:r w:rsidRPr="005952CE">
        <w:rPr>
          <w:lang w:val="fr-CH"/>
        </w:rPr>
        <w:t xml:space="preserve"> </w:t>
      </w:r>
      <w:r w:rsidR="0043646F">
        <w:rPr>
          <w:lang w:val="fr-CH"/>
        </w:rPr>
        <w:tab/>
      </w:r>
      <w:r w:rsidRPr="005952CE">
        <w:rPr>
          <w:lang w:val="fr-CH"/>
        </w:rPr>
        <w:t>Les législations des États</w:t>
      </w:r>
      <w:r w:rsidR="00EB58EA">
        <w:rPr>
          <w:rFonts w:eastAsia="MS Gothic" w:hint="eastAsia"/>
          <w:lang w:val="fr-CH"/>
        </w:rPr>
        <w:t>-</w:t>
      </w:r>
      <w:r w:rsidRPr="005952CE">
        <w:rPr>
          <w:lang w:val="fr-CH"/>
        </w:rPr>
        <w:t>Unis d</w:t>
      </w:r>
      <w:r w:rsidR="00EB58EA">
        <w:rPr>
          <w:lang w:val="fr-CH"/>
        </w:rPr>
        <w:t>’</w:t>
      </w:r>
      <w:r w:rsidRPr="005952CE">
        <w:rPr>
          <w:lang w:val="fr-CH"/>
        </w:rPr>
        <w:t>Amérique et de l</w:t>
      </w:r>
      <w:r w:rsidR="00EB58EA">
        <w:rPr>
          <w:lang w:val="fr-CH"/>
        </w:rPr>
        <w:t>’</w:t>
      </w:r>
      <w:r w:rsidRPr="005952CE">
        <w:rPr>
          <w:lang w:val="fr-CH"/>
        </w:rPr>
        <w:t xml:space="preserve">Afrique du Sud (adoptées il y a déjà un moment) vont dans </w:t>
      </w:r>
      <w:r w:rsidR="00B105C3" w:rsidRPr="005952CE">
        <w:rPr>
          <w:lang w:val="fr-CH"/>
        </w:rPr>
        <w:t>le</w:t>
      </w:r>
      <w:r w:rsidRPr="005952CE">
        <w:rPr>
          <w:lang w:val="fr-CH"/>
        </w:rPr>
        <w:t xml:space="preserve"> sens </w:t>
      </w:r>
      <w:r w:rsidR="00B105C3" w:rsidRPr="005952CE">
        <w:rPr>
          <w:lang w:val="fr-CH"/>
        </w:rPr>
        <w:t>contraire</w:t>
      </w:r>
      <w:r w:rsidRPr="005952CE">
        <w:rPr>
          <w:lang w:val="fr-CH"/>
        </w:rPr>
        <w:t xml:space="preserve"> en protégeant expressément le caractère exécutoire d</w:t>
      </w:r>
      <w:r w:rsidR="00EB58EA">
        <w:rPr>
          <w:lang w:val="fr-CH"/>
        </w:rPr>
        <w:t>’</w:t>
      </w:r>
      <w:r w:rsidR="00B105C3" w:rsidRPr="005952CE">
        <w:rPr>
          <w:lang w:val="fr-CH"/>
        </w:rPr>
        <w:t>accor</w:t>
      </w:r>
      <w:r w:rsidRPr="005952CE">
        <w:rPr>
          <w:lang w:val="fr-CH"/>
        </w:rPr>
        <w:t xml:space="preserve">ds pouvant </w:t>
      </w:r>
      <w:r w:rsidR="00B105C3" w:rsidRPr="005952CE">
        <w:rPr>
          <w:lang w:val="fr-CH"/>
        </w:rPr>
        <w:t>influer</w:t>
      </w:r>
      <w:r w:rsidRPr="005952CE">
        <w:rPr>
          <w:lang w:val="fr-CH"/>
        </w:rPr>
        <w:t xml:space="preserve"> sur l</w:t>
      </w:r>
      <w:r w:rsidR="00B105C3" w:rsidRPr="005952CE">
        <w:rPr>
          <w:lang w:val="fr-CH"/>
        </w:rPr>
        <w:t>a problématique d</w:t>
      </w:r>
      <w:r w:rsidRPr="005952CE">
        <w:rPr>
          <w:lang w:val="fr-CH"/>
        </w:rPr>
        <w:t>es bibliothèques.</w:t>
      </w:r>
    </w:p>
  </w:footnote>
  <w:footnote w:id="6">
    <w:p w:rsidR="0098570E" w:rsidRPr="005228EF" w:rsidRDefault="0098570E" w:rsidP="006D2A00">
      <w:pPr>
        <w:pStyle w:val="FootnoteText"/>
        <w:rPr>
          <w:lang w:val="fr-CH"/>
        </w:rPr>
      </w:pPr>
      <w:r w:rsidRPr="005952CE">
        <w:rPr>
          <w:rStyle w:val="FootnoteReference"/>
        </w:rPr>
        <w:footnoteRef/>
      </w:r>
      <w:r w:rsidR="005228EF" w:rsidRPr="005952CE">
        <w:rPr>
          <w:lang w:val="fr-CH"/>
        </w:rPr>
        <w:t xml:space="preserve"> </w:t>
      </w:r>
      <w:r w:rsidR="0043646F">
        <w:rPr>
          <w:lang w:val="fr-CH"/>
        </w:rPr>
        <w:tab/>
      </w:r>
      <w:r w:rsidR="005228EF" w:rsidRPr="005952CE">
        <w:rPr>
          <w:lang w:val="fr-CH"/>
        </w:rPr>
        <w:t>Directive 2001/29/</w:t>
      </w:r>
      <w:r w:rsidRPr="005952CE">
        <w:rPr>
          <w:lang w:val="fr-CH"/>
        </w:rPr>
        <w:t>C</w:t>
      </w:r>
      <w:r w:rsidR="005228EF" w:rsidRPr="005952CE">
        <w:rPr>
          <w:lang w:val="fr-CH"/>
        </w:rPr>
        <w:t>E</w:t>
      </w:r>
      <w:r w:rsidRPr="005952CE">
        <w:rPr>
          <w:lang w:val="fr-CH"/>
        </w:rPr>
        <w:t xml:space="preserve"> </w:t>
      </w:r>
      <w:r w:rsidR="005228EF" w:rsidRPr="005952CE">
        <w:rPr>
          <w:lang w:val="fr-CH"/>
        </w:rPr>
        <w:t>du Parle</w:t>
      </w:r>
      <w:r w:rsidRPr="005952CE">
        <w:rPr>
          <w:lang w:val="fr-CH"/>
        </w:rPr>
        <w:t xml:space="preserve">ment </w:t>
      </w:r>
      <w:r w:rsidR="005228EF" w:rsidRPr="005952CE">
        <w:rPr>
          <w:rStyle w:val="st1"/>
          <w:lang w:val="fr-CH"/>
        </w:rPr>
        <w:t xml:space="preserve">européen et du Conseil du </w:t>
      </w:r>
      <w:r w:rsidRPr="005952CE">
        <w:rPr>
          <w:lang w:val="fr-CH"/>
        </w:rPr>
        <w:t>2</w:t>
      </w:r>
      <w:r w:rsidR="008D00AF" w:rsidRPr="005952CE">
        <w:rPr>
          <w:lang w:val="fr-CH"/>
        </w:rPr>
        <w:t>2</w:t>
      </w:r>
      <w:r w:rsidR="008D00AF">
        <w:rPr>
          <w:lang w:val="fr-CH"/>
        </w:rPr>
        <w:t> </w:t>
      </w:r>
      <w:r w:rsidR="008D00AF" w:rsidRPr="005952CE">
        <w:rPr>
          <w:lang w:val="fr-CH"/>
        </w:rPr>
        <w:t>mai</w:t>
      </w:r>
      <w:r w:rsidR="008D00AF">
        <w:rPr>
          <w:lang w:val="fr-CH"/>
        </w:rPr>
        <w:t> </w:t>
      </w:r>
      <w:r w:rsidR="008D00AF" w:rsidRPr="005952CE">
        <w:rPr>
          <w:lang w:val="fr-CH"/>
        </w:rPr>
        <w:t>20</w:t>
      </w:r>
      <w:r w:rsidRPr="005952CE">
        <w:rPr>
          <w:lang w:val="fr-CH"/>
        </w:rPr>
        <w:t xml:space="preserve">01 </w:t>
      </w:r>
      <w:r w:rsidR="005228EF" w:rsidRPr="005952CE">
        <w:rPr>
          <w:rStyle w:val="st1"/>
          <w:lang w:val="fr-CH"/>
        </w:rPr>
        <w:t>sur l</w:t>
      </w:r>
      <w:r w:rsidR="00EB58EA">
        <w:rPr>
          <w:rStyle w:val="st1"/>
          <w:lang w:val="fr-CH"/>
        </w:rPr>
        <w:t>’</w:t>
      </w:r>
      <w:r w:rsidR="005228EF" w:rsidRPr="005952CE">
        <w:rPr>
          <w:rStyle w:val="st1"/>
          <w:lang w:val="fr-CH"/>
        </w:rPr>
        <w:t>harmonisation de certains aspects du droit d</w:t>
      </w:r>
      <w:r w:rsidR="00EB58EA">
        <w:rPr>
          <w:rStyle w:val="st1"/>
          <w:lang w:val="fr-CH"/>
        </w:rPr>
        <w:t>’</w:t>
      </w:r>
      <w:r w:rsidR="005228EF" w:rsidRPr="005952CE">
        <w:rPr>
          <w:rStyle w:val="st1"/>
          <w:lang w:val="fr-CH"/>
        </w:rPr>
        <w:t>auteur</w:t>
      </w:r>
      <w:r w:rsidR="005228EF" w:rsidRPr="005952CE">
        <w:rPr>
          <w:lang w:val="fr-CH"/>
        </w:rPr>
        <w:t xml:space="preserve"> </w:t>
      </w:r>
      <w:r w:rsidR="005228EF" w:rsidRPr="005952CE">
        <w:rPr>
          <w:lang w:val="fr-FR"/>
        </w:rPr>
        <w:t>et des droits voisins dans la société de l</w:t>
      </w:r>
      <w:r w:rsidR="00EB58EA">
        <w:rPr>
          <w:lang w:val="fr-FR"/>
        </w:rPr>
        <w:t>’</w:t>
      </w:r>
      <w:r w:rsidR="005228EF" w:rsidRPr="005952CE">
        <w:rPr>
          <w:lang w:val="fr-FR"/>
        </w:rPr>
        <w:t>information</w:t>
      </w:r>
      <w:r w:rsidRPr="005952CE">
        <w:rPr>
          <w:lang w:val="fr-CH"/>
        </w:rPr>
        <w:t xml:space="preserve">, </w:t>
      </w:r>
      <w:r w:rsidR="008D00AF" w:rsidRPr="005952CE">
        <w:rPr>
          <w:lang w:val="fr-CH"/>
        </w:rPr>
        <w:t>pages</w:t>
      </w:r>
      <w:r w:rsidR="008D00AF">
        <w:rPr>
          <w:lang w:val="fr-CH"/>
        </w:rPr>
        <w:t> </w:t>
      </w:r>
      <w:r w:rsidR="008D00AF" w:rsidRPr="005952CE">
        <w:rPr>
          <w:lang w:val="fr-CH"/>
        </w:rPr>
        <w:t>1</w:t>
      </w:r>
      <w:r w:rsidR="005228EF" w:rsidRPr="005952CE">
        <w:rPr>
          <w:lang w:val="fr-CH"/>
        </w:rPr>
        <w:t xml:space="preserve">0 à 19 du </w:t>
      </w:r>
      <w:r w:rsidR="005228EF" w:rsidRPr="005952CE">
        <w:rPr>
          <w:rStyle w:val="Emphasis"/>
          <w:b w:val="0"/>
          <w:lang w:val="fr-CH"/>
        </w:rPr>
        <w:t>Journal officiel n</w:t>
      </w:r>
      <w:r w:rsidR="005228EF" w:rsidRPr="00D8671F">
        <w:rPr>
          <w:rStyle w:val="Emphasis"/>
          <w:b w:val="0"/>
          <w:lang w:val="fr-CH"/>
        </w:rPr>
        <w:t>° </w:t>
      </w:r>
      <w:r w:rsidR="005228EF" w:rsidRPr="005952CE">
        <w:rPr>
          <w:rStyle w:val="st1"/>
          <w:lang w:val="fr-CH"/>
        </w:rPr>
        <w:t xml:space="preserve">L 167, </w:t>
      </w:r>
      <w:r w:rsidR="005228EF" w:rsidRPr="005952CE">
        <w:rPr>
          <w:lang w:val="fr-CH"/>
        </w:rPr>
        <w:t>2001</w:t>
      </w:r>
      <w:r w:rsidRPr="005952CE">
        <w:rPr>
          <w:lang w:val="fr-CH"/>
        </w:rPr>
        <w:t>.</w:t>
      </w:r>
    </w:p>
  </w:footnote>
  <w:footnote w:id="7">
    <w:p w:rsidR="0098570E" w:rsidRPr="005228EF" w:rsidRDefault="0098570E">
      <w:pPr>
        <w:pStyle w:val="FootnoteText"/>
        <w:rPr>
          <w:lang w:val="fr-CH"/>
        </w:rPr>
      </w:pPr>
      <w:r w:rsidRPr="005228EF">
        <w:rPr>
          <w:rStyle w:val="FootnoteReference"/>
        </w:rPr>
        <w:footnoteRef/>
      </w:r>
      <w:r w:rsidRPr="005228EF">
        <w:rPr>
          <w:lang w:val="fr-CH"/>
        </w:rPr>
        <w:t xml:space="preserve"> </w:t>
      </w:r>
      <w:r w:rsidR="0043646F">
        <w:rPr>
          <w:lang w:val="fr-CH"/>
        </w:rPr>
        <w:tab/>
      </w:r>
      <w:r w:rsidR="005228EF" w:rsidRPr="005228EF">
        <w:rPr>
          <w:lang w:val="fr-CH"/>
        </w:rPr>
        <w:t xml:space="preserve">Directive </w:t>
      </w:r>
      <w:r w:rsidRPr="005228EF">
        <w:rPr>
          <w:lang w:val="fr-CH"/>
        </w:rPr>
        <w:t>2012/28/</w:t>
      </w:r>
      <w:r w:rsidR="005228EF" w:rsidRPr="005228EF">
        <w:rPr>
          <w:lang w:val="fr-CH"/>
        </w:rPr>
        <w:t>UE</w:t>
      </w:r>
      <w:r w:rsidRPr="005228EF">
        <w:rPr>
          <w:lang w:val="fr-CH"/>
        </w:rPr>
        <w:t xml:space="preserve"> </w:t>
      </w:r>
      <w:r w:rsidR="005228EF" w:rsidRPr="005228EF">
        <w:rPr>
          <w:lang w:val="fr-CH"/>
        </w:rPr>
        <w:t xml:space="preserve">du Parlement </w:t>
      </w:r>
      <w:r w:rsidR="005228EF" w:rsidRPr="005228EF">
        <w:rPr>
          <w:rStyle w:val="st1"/>
          <w:lang w:val="fr-CH"/>
        </w:rPr>
        <w:t>européen et du Conseil du</w:t>
      </w:r>
      <w:r w:rsidR="005228EF" w:rsidRPr="005228EF">
        <w:rPr>
          <w:lang w:val="fr-CH"/>
        </w:rPr>
        <w:t xml:space="preserve"> </w:t>
      </w:r>
      <w:r w:rsidRPr="005228EF">
        <w:rPr>
          <w:lang w:val="fr-CH"/>
        </w:rPr>
        <w:t>2</w:t>
      </w:r>
      <w:r w:rsidR="008D00AF" w:rsidRPr="005228EF">
        <w:rPr>
          <w:lang w:val="fr-CH"/>
        </w:rPr>
        <w:t>5</w:t>
      </w:r>
      <w:r w:rsidR="008D00AF">
        <w:rPr>
          <w:lang w:val="fr-CH"/>
        </w:rPr>
        <w:t> </w:t>
      </w:r>
      <w:r w:rsidR="008D00AF" w:rsidRPr="005228EF">
        <w:rPr>
          <w:lang w:val="fr-CH"/>
        </w:rPr>
        <w:t>octobre</w:t>
      </w:r>
      <w:r w:rsidR="008D00AF">
        <w:rPr>
          <w:lang w:val="fr-CH"/>
        </w:rPr>
        <w:t> </w:t>
      </w:r>
      <w:r w:rsidR="008D00AF" w:rsidRPr="005228EF">
        <w:rPr>
          <w:lang w:val="fr-CH"/>
        </w:rPr>
        <w:t>20</w:t>
      </w:r>
      <w:r w:rsidRPr="005228EF">
        <w:rPr>
          <w:lang w:val="fr-CH"/>
        </w:rPr>
        <w:t xml:space="preserve">12 </w:t>
      </w:r>
      <w:r w:rsidR="005228EF" w:rsidRPr="005228EF">
        <w:rPr>
          <w:rStyle w:val="st1"/>
          <w:lang w:val="fr-CH"/>
        </w:rPr>
        <w:t>sur certaines utilisations autorisées des œuvres </w:t>
      </w:r>
      <w:r w:rsidR="005228EF" w:rsidRPr="005228EF">
        <w:rPr>
          <w:rStyle w:val="notranslate"/>
          <w:lang w:val="fr-FR"/>
        </w:rPr>
        <w:t>orphelines</w:t>
      </w:r>
      <w:r w:rsidRPr="005228EF">
        <w:rPr>
          <w:lang w:val="fr-CH"/>
        </w:rPr>
        <w:t xml:space="preserve">, </w:t>
      </w:r>
      <w:r w:rsidR="008D00AF" w:rsidRPr="005228EF">
        <w:rPr>
          <w:lang w:val="fr-CH"/>
        </w:rPr>
        <w:t>pages</w:t>
      </w:r>
      <w:r w:rsidR="008D00AF">
        <w:rPr>
          <w:lang w:val="fr-CH"/>
        </w:rPr>
        <w:t> </w:t>
      </w:r>
      <w:r w:rsidR="008D00AF" w:rsidRPr="005228EF">
        <w:rPr>
          <w:lang w:val="fr-CH"/>
        </w:rPr>
        <w:t>5</w:t>
      </w:r>
      <w:r w:rsidR="005228EF" w:rsidRPr="005228EF">
        <w:rPr>
          <w:lang w:val="fr-CH"/>
        </w:rPr>
        <w:t xml:space="preserve"> à 12 du </w:t>
      </w:r>
      <w:r w:rsidR="005228EF" w:rsidRPr="005228EF">
        <w:rPr>
          <w:rStyle w:val="Emphasis"/>
          <w:b w:val="0"/>
          <w:lang w:val="fr-CH"/>
        </w:rPr>
        <w:t>Journal officiel n° </w:t>
      </w:r>
      <w:r w:rsidR="005228EF" w:rsidRPr="005228EF">
        <w:rPr>
          <w:lang w:val="fr-CH"/>
        </w:rPr>
        <w:t xml:space="preserve">L 299, </w:t>
      </w:r>
      <w:r w:rsidRPr="005228EF">
        <w:rPr>
          <w:lang w:val="fr-CH"/>
        </w:rPr>
        <w:t>2012.</w:t>
      </w:r>
    </w:p>
  </w:footnote>
  <w:footnote w:id="8">
    <w:p w:rsidR="0098570E" w:rsidRPr="00DC6B3B" w:rsidRDefault="0098570E" w:rsidP="00DC6B3B">
      <w:pPr>
        <w:pStyle w:val="FootnoteText"/>
        <w:rPr>
          <w:lang w:val="fr-CH"/>
        </w:rPr>
      </w:pPr>
      <w:r w:rsidRPr="005952CE">
        <w:rPr>
          <w:rStyle w:val="FootnoteReference"/>
        </w:rPr>
        <w:footnoteRef/>
      </w:r>
      <w:r w:rsidRPr="005952CE">
        <w:rPr>
          <w:lang w:val="fr-CH"/>
        </w:rPr>
        <w:t xml:space="preserve"> </w:t>
      </w:r>
      <w:r w:rsidR="0043646F">
        <w:rPr>
          <w:lang w:val="fr-CH"/>
        </w:rPr>
        <w:tab/>
      </w:r>
      <w:r w:rsidRPr="005952CE">
        <w:rPr>
          <w:lang w:val="fr-CH"/>
        </w:rPr>
        <w:t xml:space="preserve">Le présent rapport emploie le terme “exemption” dans le contexte de la législation </w:t>
      </w:r>
      <w:proofErr w:type="spellStart"/>
      <w:r w:rsidRPr="005952CE">
        <w:rPr>
          <w:lang w:val="fr-CH"/>
        </w:rPr>
        <w:t>antineutralisation</w:t>
      </w:r>
      <w:proofErr w:type="spellEnd"/>
      <w:r w:rsidRPr="005952CE">
        <w:rPr>
          <w:lang w:val="fr-CH"/>
        </w:rPr>
        <w:t>, compte dûment tenu du fait que cette législation diffère fondamentalement des critères conventionnels prévus par le droit d</w:t>
      </w:r>
      <w:r w:rsidR="00EB58EA">
        <w:rPr>
          <w:lang w:val="fr-CH"/>
        </w:rPr>
        <w:t>’</w:t>
      </w:r>
      <w:r w:rsidRPr="005952CE">
        <w:rPr>
          <w:lang w:val="fr-CH"/>
        </w:rPr>
        <w:t>auteur.  De nombreux pays prévoient des “exemptions” à l</w:t>
      </w:r>
      <w:r w:rsidR="00EB58EA">
        <w:rPr>
          <w:lang w:val="fr-CH"/>
        </w:rPr>
        <w:t>’</w:t>
      </w:r>
      <w:r w:rsidRPr="005952CE">
        <w:rPr>
          <w:lang w:val="fr-CH"/>
        </w:rPr>
        <w:t>interdiction de neutraliser des mesures techniques de protection.  Le terme “exemption” permet aussi de clarifier que l</w:t>
      </w:r>
      <w:r w:rsidR="00EB58EA">
        <w:rPr>
          <w:lang w:val="fr-CH"/>
        </w:rPr>
        <w:t>’</w:t>
      </w:r>
      <w:r w:rsidRPr="005952CE">
        <w:rPr>
          <w:lang w:val="fr-CH"/>
        </w:rPr>
        <w:t>expression “aucune exception” renvoie aux exceptions aux droits patrimoniaux et à d</w:t>
      </w:r>
      <w:r w:rsidR="00EB58EA">
        <w:rPr>
          <w:lang w:val="fr-CH"/>
        </w:rPr>
        <w:t>’</w:t>
      </w:r>
      <w:r w:rsidRPr="005952CE">
        <w:rPr>
          <w:lang w:val="fr-CH"/>
        </w:rPr>
        <w:t>autres droits qui sont au cœur même de la législation sur le droit d</w:t>
      </w:r>
      <w:r w:rsidR="00EB58EA">
        <w:rPr>
          <w:lang w:val="fr-CH"/>
        </w:rPr>
        <w:t>’</w:t>
      </w:r>
      <w:r w:rsidRPr="005952CE">
        <w:rPr>
          <w:lang w:val="fr-CH"/>
        </w:rPr>
        <w:t>auteur.</w:t>
      </w:r>
    </w:p>
  </w:footnote>
  <w:footnote w:id="9">
    <w:p w:rsidR="0098570E" w:rsidRPr="00DC6B3B" w:rsidRDefault="0098570E" w:rsidP="00DC6B3B">
      <w:pPr>
        <w:pStyle w:val="FootnoteText"/>
        <w:rPr>
          <w:lang w:val="fr-CH"/>
        </w:rPr>
      </w:pPr>
      <w:r w:rsidRPr="005952CE">
        <w:rPr>
          <w:rStyle w:val="FootnoteReference"/>
        </w:rPr>
        <w:footnoteRef/>
      </w:r>
      <w:r w:rsidRPr="005952CE">
        <w:rPr>
          <w:lang w:val="fr-CH"/>
        </w:rPr>
        <w:t xml:space="preserve"> </w:t>
      </w:r>
      <w:r w:rsidR="0043646F">
        <w:rPr>
          <w:lang w:val="fr-CH"/>
        </w:rPr>
        <w:tab/>
      </w:r>
      <w:r w:rsidRPr="005952CE">
        <w:rPr>
          <w:lang w:val="fr-CH"/>
        </w:rPr>
        <w:t>Ce rapport est centré sur les textes de loi relatifs au droit d</w:t>
      </w:r>
      <w:r w:rsidR="00EB58EA">
        <w:rPr>
          <w:lang w:val="fr-CH"/>
        </w:rPr>
        <w:t>’</w:t>
      </w:r>
      <w:r w:rsidRPr="005952CE">
        <w:rPr>
          <w:lang w:val="fr-CH"/>
        </w:rPr>
        <w:t>auteur (et, dans certains cas, la réglementation adoptée en vertu du pouvoir conféré par les textes de loi) en vigueur dans chaque pays.  Aux fins de la présente étude, les pays ne disposant d</w:t>
      </w:r>
      <w:r w:rsidR="00EB58EA">
        <w:rPr>
          <w:lang w:val="fr-CH"/>
        </w:rPr>
        <w:t>’</w:t>
      </w:r>
      <w:r w:rsidRPr="005952CE">
        <w:rPr>
          <w:lang w:val="fr-CH"/>
        </w:rPr>
        <w:t>“aucune exception” sont les pays dans lesquels la législation en matière de droit d</w:t>
      </w:r>
      <w:r w:rsidR="00EB58EA">
        <w:rPr>
          <w:lang w:val="fr-CH"/>
        </w:rPr>
        <w:t>’</w:t>
      </w:r>
      <w:r w:rsidRPr="005952CE">
        <w:rPr>
          <w:lang w:val="fr-CH"/>
        </w:rPr>
        <w:t>auteur, telle qu</w:t>
      </w:r>
      <w:r w:rsidR="00EB58EA">
        <w:rPr>
          <w:lang w:val="fr-CH"/>
        </w:rPr>
        <w:t>’</w:t>
      </w:r>
      <w:r w:rsidRPr="005952CE">
        <w:rPr>
          <w:lang w:val="fr-CH"/>
        </w:rPr>
        <w:t>adoptée par l</w:t>
      </w:r>
      <w:r w:rsidR="00EB58EA">
        <w:rPr>
          <w:lang w:val="fr-CH"/>
        </w:rPr>
        <w:t>’</w:t>
      </w:r>
      <w:r w:rsidRPr="005952CE">
        <w:rPr>
          <w:lang w:val="fr-CH"/>
        </w:rPr>
        <w:t>organe législatif compétent, inclut ou non une exception au droit d</w:t>
      </w:r>
      <w:r w:rsidR="00EB58EA">
        <w:rPr>
          <w:lang w:val="fr-CH"/>
        </w:rPr>
        <w:t>’</w:t>
      </w:r>
      <w:r w:rsidRPr="005952CE">
        <w:rPr>
          <w:lang w:val="fr-CH"/>
        </w:rPr>
        <w:t>auteur visant expressément les bibliothèques.  Par ailleurs, certains pays ne disposent d</w:t>
      </w:r>
      <w:r w:rsidR="00EB58EA">
        <w:rPr>
          <w:lang w:val="fr-CH"/>
        </w:rPr>
        <w:t>’</w:t>
      </w:r>
      <w:r w:rsidRPr="005952CE">
        <w:rPr>
          <w:lang w:val="fr-CH"/>
        </w:rPr>
        <w:t>aucune exception législative mais sont membres d</w:t>
      </w:r>
      <w:r w:rsidR="00EB58EA">
        <w:rPr>
          <w:lang w:val="fr-CH"/>
        </w:rPr>
        <w:t>’</w:t>
      </w:r>
      <w:r w:rsidRPr="005952CE">
        <w:rPr>
          <w:lang w:val="fr-CH"/>
        </w:rPr>
        <w:t>instruments multinationaux qui incluent des exceptions au droit d</w:t>
      </w:r>
      <w:r w:rsidR="00EB58EA">
        <w:rPr>
          <w:lang w:val="fr-CH"/>
        </w:rPr>
        <w:t>’</w:t>
      </w:r>
      <w:r w:rsidRPr="005952CE">
        <w:rPr>
          <w:lang w:val="fr-CH"/>
        </w:rPr>
        <w:t>auteur en faveur des bibliothèques.  L</w:t>
      </w:r>
      <w:r w:rsidR="00EB58EA">
        <w:rPr>
          <w:lang w:val="fr-CH"/>
        </w:rPr>
        <w:t>’</w:t>
      </w:r>
      <w:r w:rsidRPr="005952CE">
        <w:rPr>
          <w:lang w:val="fr-CH"/>
        </w:rPr>
        <w:t>Accord de Carthagène et l</w:t>
      </w:r>
      <w:r w:rsidR="00EB58EA">
        <w:rPr>
          <w:lang w:val="fr-CH"/>
        </w:rPr>
        <w:t>’</w:t>
      </w:r>
      <w:r w:rsidRPr="005952CE">
        <w:rPr>
          <w:lang w:val="fr-CH"/>
        </w:rPr>
        <w:t>Accord de Bangui en sont deux</w:t>
      </w:r>
      <w:r w:rsidR="00117E3A" w:rsidRPr="00117E3A">
        <w:rPr>
          <w:lang w:val="fr-CH"/>
        </w:rPr>
        <w:t> </w:t>
      </w:r>
      <w:r w:rsidRPr="005952CE">
        <w:rPr>
          <w:lang w:val="fr-CH"/>
        </w:rPr>
        <w:t>exemples;  ils sont mentionnés dans les tableaux relatifs aux pays concernés.  Afin de fournir une analyse cohérente, les pays recensés comme ne disposant d</w:t>
      </w:r>
      <w:r w:rsidR="00EB58EA">
        <w:rPr>
          <w:lang w:val="fr-CH"/>
        </w:rPr>
        <w:t>’</w:t>
      </w:r>
      <w:r w:rsidRPr="005952CE">
        <w:rPr>
          <w:lang w:val="fr-CH"/>
        </w:rPr>
        <w:t>aucune exception en faveur des bibliothèques sont ceux qui ne comptent aucune disposition de ce type dans leur législation nationale.</w:t>
      </w:r>
    </w:p>
  </w:footnote>
  <w:footnote w:id="10">
    <w:p w:rsidR="0098570E" w:rsidRPr="005952CE" w:rsidRDefault="0098570E" w:rsidP="00703B46">
      <w:pPr>
        <w:pStyle w:val="FootnoteText"/>
        <w:rPr>
          <w:lang w:val="fr-CH"/>
        </w:rPr>
      </w:pPr>
      <w:r w:rsidRPr="005952CE">
        <w:rPr>
          <w:rStyle w:val="FootnoteReference"/>
        </w:rPr>
        <w:footnoteRef/>
      </w:r>
      <w:r w:rsidRPr="005952CE">
        <w:rPr>
          <w:lang w:val="fr-CH"/>
        </w:rPr>
        <w:t xml:space="preserve"> </w:t>
      </w:r>
      <w:r w:rsidR="0043646F">
        <w:rPr>
          <w:lang w:val="fr-CH"/>
        </w:rPr>
        <w:tab/>
      </w:r>
      <w:r w:rsidRPr="005952CE">
        <w:rPr>
          <w:lang w:val="fr-CH"/>
        </w:rPr>
        <w:t>L</w:t>
      </w:r>
      <w:r w:rsidR="00EB58EA">
        <w:rPr>
          <w:lang w:val="fr-CH"/>
        </w:rPr>
        <w:t>’</w:t>
      </w:r>
      <w:r w:rsidRPr="005952CE">
        <w:rPr>
          <w:lang w:val="fr-CH"/>
        </w:rPr>
        <w:t xml:space="preserve">étude </w:t>
      </w:r>
      <w:r w:rsidR="008D00AF" w:rsidRPr="005952CE">
        <w:rPr>
          <w:lang w:val="fr-CH"/>
        </w:rPr>
        <w:t>de</w:t>
      </w:r>
      <w:r w:rsidR="008D00AF">
        <w:rPr>
          <w:lang w:val="fr-CH"/>
        </w:rPr>
        <w:t> </w:t>
      </w:r>
      <w:r w:rsidR="008D00AF" w:rsidRPr="005952CE">
        <w:rPr>
          <w:lang w:val="fr-CH"/>
        </w:rPr>
        <w:t>2015</w:t>
      </w:r>
      <w:r w:rsidRPr="005952CE">
        <w:rPr>
          <w:lang w:val="fr-CH"/>
        </w:rPr>
        <w:t xml:space="preserve"> </w:t>
      </w:r>
      <w:r w:rsidR="005952CE">
        <w:rPr>
          <w:lang w:val="fr-CH"/>
        </w:rPr>
        <w:t>indiquait</w:t>
      </w:r>
      <w:r w:rsidRPr="005952CE">
        <w:rPr>
          <w:lang w:val="fr-CH"/>
        </w:rPr>
        <w:t xml:space="preserve"> que 32</w:t>
      </w:r>
      <w:r w:rsidR="00D956DB">
        <w:rPr>
          <w:lang w:val="fr-CH"/>
        </w:rPr>
        <w:t> </w:t>
      </w:r>
      <w:r w:rsidRPr="005952CE">
        <w:rPr>
          <w:lang w:val="fr-CH"/>
        </w:rPr>
        <w:t>pays, sur les 188</w:t>
      </w:r>
      <w:r w:rsidR="00D956DB">
        <w:rPr>
          <w:lang w:val="fr-CH"/>
        </w:rPr>
        <w:t> </w:t>
      </w:r>
      <w:r w:rsidRPr="005952CE">
        <w:rPr>
          <w:lang w:val="fr-CH"/>
        </w:rPr>
        <w:t xml:space="preserve">États membres, ne prévoyaient aucune exception en faveur des bibliothèques.  Le fait que ce </w:t>
      </w:r>
      <w:r w:rsidR="005306A7" w:rsidRPr="005952CE">
        <w:rPr>
          <w:lang w:val="fr-CH"/>
        </w:rPr>
        <w:t>chiffre</w:t>
      </w:r>
      <w:r w:rsidRPr="005952CE">
        <w:rPr>
          <w:lang w:val="fr-CH"/>
        </w:rPr>
        <w:t xml:space="preserve"> ait connu une baisse indique non seulement que certains de ces 32</w:t>
      </w:r>
      <w:r w:rsidR="00D956DB">
        <w:rPr>
          <w:lang w:val="fr-CH"/>
        </w:rPr>
        <w:t> </w:t>
      </w:r>
      <w:r w:rsidRPr="005952CE">
        <w:rPr>
          <w:lang w:val="fr-CH"/>
        </w:rPr>
        <w:t xml:space="preserve">pays ont révisé leur législation, mais aussi que les révisions se </w:t>
      </w:r>
      <w:r w:rsidR="005306A7" w:rsidRPr="005952CE">
        <w:rPr>
          <w:lang w:val="fr-CH"/>
        </w:rPr>
        <w:t>sont généralement traduit</w:t>
      </w:r>
      <w:r w:rsidRPr="005952CE">
        <w:rPr>
          <w:lang w:val="fr-CH"/>
        </w:rPr>
        <w:t>e</w:t>
      </w:r>
      <w:r w:rsidR="005306A7" w:rsidRPr="005952CE">
        <w:rPr>
          <w:lang w:val="fr-CH"/>
        </w:rPr>
        <w:t xml:space="preserve">s par </w:t>
      </w:r>
      <w:r w:rsidRPr="005952CE">
        <w:rPr>
          <w:lang w:val="fr-CH"/>
        </w:rPr>
        <w:t>des exceptions en faveur des bibliothèques.</w:t>
      </w:r>
    </w:p>
  </w:footnote>
  <w:footnote w:id="11">
    <w:p w:rsidR="0098570E" w:rsidRPr="005952CE" w:rsidRDefault="0098570E" w:rsidP="00C81511">
      <w:pPr>
        <w:pStyle w:val="FootnoteText"/>
        <w:rPr>
          <w:lang w:val="fr-CH"/>
        </w:rPr>
      </w:pPr>
      <w:r w:rsidRPr="005952CE">
        <w:rPr>
          <w:rStyle w:val="FootnoteReference"/>
        </w:rPr>
        <w:footnoteRef/>
      </w:r>
      <w:r w:rsidRPr="005952CE">
        <w:rPr>
          <w:lang w:val="fr-CH"/>
        </w:rPr>
        <w:t xml:space="preserve"> </w:t>
      </w:r>
      <w:r w:rsidR="0043646F">
        <w:rPr>
          <w:lang w:val="fr-CH"/>
        </w:rPr>
        <w:tab/>
      </w:r>
      <w:r w:rsidRPr="005952CE">
        <w:rPr>
          <w:lang w:val="fr-CH"/>
        </w:rPr>
        <w:t>L</w:t>
      </w:r>
      <w:r w:rsidR="00EB58EA">
        <w:rPr>
          <w:lang w:val="fr-CH"/>
        </w:rPr>
        <w:t>’</w:t>
      </w:r>
      <w:r w:rsidRPr="005952CE">
        <w:rPr>
          <w:lang w:val="fr-CH"/>
        </w:rPr>
        <w:t xml:space="preserve">étude </w:t>
      </w:r>
      <w:r w:rsidR="008D00AF" w:rsidRPr="005952CE">
        <w:rPr>
          <w:lang w:val="fr-CH"/>
        </w:rPr>
        <w:t>de</w:t>
      </w:r>
      <w:r w:rsidR="008D00AF">
        <w:rPr>
          <w:lang w:val="fr-CH"/>
        </w:rPr>
        <w:t> </w:t>
      </w:r>
      <w:r w:rsidR="008D00AF" w:rsidRPr="005952CE">
        <w:rPr>
          <w:lang w:val="fr-CH"/>
        </w:rPr>
        <w:t>2015</w:t>
      </w:r>
      <w:r w:rsidRPr="005952CE">
        <w:rPr>
          <w:lang w:val="fr-CH"/>
        </w:rPr>
        <w:t xml:space="preserve"> </w:t>
      </w:r>
      <w:r w:rsidR="005952CE">
        <w:rPr>
          <w:lang w:val="fr-CH"/>
        </w:rPr>
        <w:t>indiquait</w:t>
      </w:r>
      <w:r w:rsidR="005952CE" w:rsidRPr="005952CE">
        <w:rPr>
          <w:lang w:val="fr-CH"/>
        </w:rPr>
        <w:t xml:space="preserve"> </w:t>
      </w:r>
      <w:r w:rsidRPr="005952CE">
        <w:rPr>
          <w:lang w:val="fr-CH"/>
        </w:rPr>
        <w:t>que 31</w:t>
      </w:r>
      <w:r w:rsidR="00D956DB">
        <w:rPr>
          <w:lang w:val="fr-CH"/>
        </w:rPr>
        <w:t> </w:t>
      </w:r>
      <w:r w:rsidRPr="005952CE">
        <w:rPr>
          <w:lang w:val="fr-CH"/>
        </w:rPr>
        <w:t>pays prévoyaient une exception générale au droit d</w:t>
      </w:r>
      <w:r w:rsidR="00EB58EA">
        <w:rPr>
          <w:lang w:val="fr-CH"/>
        </w:rPr>
        <w:t>’</w:t>
      </w:r>
      <w:r w:rsidRPr="005952CE">
        <w:rPr>
          <w:lang w:val="fr-CH"/>
        </w:rPr>
        <w:t>auteur</w:t>
      </w:r>
      <w:r w:rsidR="005306A7" w:rsidRPr="005952CE">
        <w:rPr>
          <w:lang w:val="fr-CH"/>
        </w:rPr>
        <w:t>,</w:t>
      </w:r>
      <w:r w:rsidRPr="005952CE">
        <w:rPr>
          <w:lang w:val="fr-CH"/>
        </w:rPr>
        <w:t xml:space="preserve"> mais aucune exception particulière.</w:t>
      </w:r>
    </w:p>
  </w:footnote>
  <w:footnote w:id="12">
    <w:p w:rsidR="0098570E" w:rsidRPr="005952CE" w:rsidRDefault="0098570E" w:rsidP="00C81511">
      <w:pPr>
        <w:pStyle w:val="FootnoteText"/>
        <w:rPr>
          <w:lang w:val="fr-CH"/>
        </w:rPr>
      </w:pPr>
      <w:r w:rsidRPr="005952CE">
        <w:rPr>
          <w:rStyle w:val="FootnoteReference"/>
        </w:rPr>
        <w:footnoteRef/>
      </w:r>
      <w:r w:rsidRPr="005952CE">
        <w:rPr>
          <w:lang w:val="fr-CH"/>
        </w:rPr>
        <w:t xml:space="preserve"> </w:t>
      </w:r>
      <w:r w:rsidR="0043646F">
        <w:rPr>
          <w:lang w:val="fr-CH"/>
        </w:rPr>
        <w:tab/>
      </w:r>
      <w:r w:rsidRPr="005952CE">
        <w:rPr>
          <w:lang w:val="fr-CH"/>
        </w:rPr>
        <w:t>L</w:t>
      </w:r>
      <w:r w:rsidR="00EB58EA">
        <w:rPr>
          <w:lang w:val="fr-CH"/>
        </w:rPr>
        <w:t>’</w:t>
      </w:r>
      <w:r w:rsidRPr="005952CE">
        <w:rPr>
          <w:lang w:val="fr-CH"/>
        </w:rPr>
        <w:t xml:space="preserve">étude </w:t>
      </w:r>
      <w:r w:rsidR="008D00AF" w:rsidRPr="005952CE">
        <w:rPr>
          <w:lang w:val="fr-CH"/>
        </w:rPr>
        <w:t>de</w:t>
      </w:r>
      <w:r w:rsidR="008D00AF">
        <w:rPr>
          <w:lang w:val="fr-CH"/>
        </w:rPr>
        <w:t> </w:t>
      </w:r>
      <w:r w:rsidR="008D00AF" w:rsidRPr="005952CE">
        <w:rPr>
          <w:lang w:val="fr-CH"/>
        </w:rPr>
        <w:t>2015</w:t>
      </w:r>
      <w:r w:rsidRPr="005952CE">
        <w:rPr>
          <w:lang w:val="fr-CH"/>
        </w:rPr>
        <w:t xml:space="preserve"> </w:t>
      </w:r>
      <w:r w:rsidR="005952CE">
        <w:rPr>
          <w:lang w:val="fr-CH"/>
        </w:rPr>
        <w:t>indiquait</w:t>
      </w:r>
      <w:r w:rsidR="005952CE" w:rsidRPr="005952CE">
        <w:rPr>
          <w:lang w:val="fr-CH"/>
        </w:rPr>
        <w:t xml:space="preserve"> </w:t>
      </w:r>
      <w:r w:rsidRPr="005952CE">
        <w:rPr>
          <w:lang w:val="fr-CH"/>
        </w:rPr>
        <w:t>que 28</w:t>
      </w:r>
      <w:r w:rsidR="00D956DB">
        <w:rPr>
          <w:lang w:val="fr-CH"/>
        </w:rPr>
        <w:t> </w:t>
      </w:r>
      <w:r w:rsidRPr="005952CE">
        <w:rPr>
          <w:lang w:val="fr-CH"/>
        </w:rPr>
        <w:t xml:space="preserve">pays prévoyaient </w:t>
      </w:r>
      <w:r w:rsidR="005952CE">
        <w:rPr>
          <w:lang w:val="fr-CH"/>
        </w:rPr>
        <w:t>cette</w:t>
      </w:r>
      <w:r w:rsidRPr="005952CE">
        <w:rPr>
          <w:lang w:val="fr-CH"/>
        </w:rPr>
        <w:t xml:space="preserve"> disposition</w:t>
      </w:r>
      <w:r w:rsidR="00F73CCA" w:rsidRPr="005952CE">
        <w:rPr>
          <w:lang w:val="fr-CH"/>
        </w:rPr>
        <w:t>, qui</w:t>
      </w:r>
      <w:r w:rsidRPr="005952CE">
        <w:rPr>
          <w:lang w:val="fr-CH"/>
        </w:rPr>
        <w:t xml:space="preserve"> éman</w:t>
      </w:r>
      <w:r w:rsidR="005952CE">
        <w:rPr>
          <w:lang w:val="fr-CH"/>
        </w:rPr>
        <w:t>ait</w:t>
      </w:r>
      <w:r w:rsidRPr="005952CE">
        <w:rPr>
          <w:lang w:val="fr-CH"/>
        </w:rPr>
        <w:t xml:space="preserve"> d</w:t>
      </w:r>
      <w:r w:rsidR="00EB58EA">
        <w:rPr>
          <w:lang w:val="fr-CH"/>
        </w:rPr>
        <w:t>’</w:t>
      </w:r>
      <w:r w:rsidRPr="005952CE">
        <w:rPr>
          <w:lang w:val="fr-CH"/>
        </w:rPr>
        <w:t>une directive de l</w:t>
      </w:r>
      <w:r w:rsidR="00EB58EA">
        <w:rPr>
          <w:lang w:val="fr-CH"/>
        </w:rPr>
        <w:t>’</w:t>
      </w:r>
      <w:r w:rsidRPr="005952CE">
        <w:rPr>
          <w:lang w:val="fr-CH"/>
        </w:rPr>
        <w:t>U</w:t>
      </w:r>
      <w:r w:rsidR="00F73CCA" w:rsidRPr="005952CE">
        <w:rPr>
          <w:lang w:val="fr-CH"/>
        </w:rPr>
        <w:t>nion européenne</w:t>
      </w:r>
      <w:r w:rsidRPr="005952CE">
        <w:rPr>
          <w:lang w:val="fr-CH"/>
        </w:rPr>
        <w:t xml:space="preserve">. </w:t>
      </w:r>
      <w:r w:rsidR="00F73CCA" w:rsidRPr="005952CE">
        <w:rPr>
          <w:lang w:val="fr-CH"/>
        </w:rPr>
        <w:t xml:space="preserve"> </w:t>
      </w:r>
      <w:r w:rsidR="005952CE">
        <w:rPr>
          <w:lang w:val="fr-CH"/>
        </w:rPr>
        <w:t>L</w:t>
      </w:r>
      <w:r w:rsidR="00EB58EA">
        <w:rPr>
          <w:lang w:val="fr-CH"/>
        </w:rPr>
        <w:t>’</w:t>
      </w:r>
      <w:r w:rsidRPr="005952CE">
        <w:rPr>
          <w:lang w:val="fr-CH"/>
        </w:rPr>
        <w:t xml:space="preserve">augmentation permet </w:t>
      </w:r>
      <w:r w:rsidR="005952CE">
        <w:rPr>
          <w:lang w:val="fr-CH"/>
        </w:rPr>
        <w:t xml:space="preserve">non seulement </w:t>
      </w:r>
      <w:r w:rsidRPr="005952CE">
        <w:rPr>
          <w:lang w:val="fr-CH"/>
        </w:rPr>
        <w:t>de penser qu</w:t>
      </w:r>
      <w:r w:rsidR="00EB58EA">
        <w:rPr>
          <w:lang w:val="fr-CH"/>
        </w:rPr>
        <w:t>’</w:t>
      </w:r>
      <w:r w:rsidRPr="005952CE">
        <w:rPr>
          <w:lang w:val="fr-CH"/>
        </w:rPr>
        <w:t xml:space="preserve">un plus grand nombre de pays jugent cette disposition </w:t>
      </w:r>
      <w:r w:rsidRPr="00C81511">
        <w:rPr>
          <w:color w:val="000000"/>
          <w:lang w:val="fr-CH"/>
        </w:rPr>
        <w:t xml:space="preserve">importante, mais aussi que </w:t>
      </w:r>
      <w:r w:rsidRPr="005952CE">
        <w:rPr>
          <w:lang w:val="fr-CH"/>
        </w:rPr>
        <w:t>l</w:t>
      </w:r>
      <w:r w:rsidR="00EB58EA">
        <w:rPr>
          <w:lang w:val="fr-CH"/>
        </w:rPr>
        <w:t>’</w:t>
      </w:r>
      <w:r w:rsidRPr="005952CE">
        <w:rPr>
          <w:lang w:val="fr-CH"/>
        </w:rPr>
        <w:t xml:space="preserve">influence de </w:t>
      </w:r>
      <w:r w:rsidR="00F73CCA" w:rsidRPr="005952CE">
        <w:rPr>
          <w:lang w:val="fr-CH"/>
        </w:rPr>
        <w:t>l</w:t>
      </w:r>
      <w:r w:rsidR="00EB58EA">
        <w:rPr>
          <w:lang w:val="fr-CH"/>
        </w:rPr>
        <w:t>’</w:t>
      </w:r>
      <w:r w:rsidR="00F73CCA" w:rsidRPr="005952CE">
        <w:rPr>
          <w:lang w:val="fr-CH"/>
        </w:rPr>
        <w:t xml:space="preserve">Union européenne </w:t>
      </w:r>
      <w:r w:rsidRPr="005952CE">
        <w:rPr>
          <w:lang w:val="fr-CH"/>
        </w:rPr>
        <w:t>en matière d</w:t>
      </w:r>
      <w:r w:rsidR="00EB58EA">
        <w:rPr>
          <w:lang w:val="fr-CH"/>
        </w:rPr>
        <w:t>’</w:t>
      </w:r>
      <w:r w:rsidRPr="005952CE">
        <w:rPr>
          <w:lang w:val="fr-CH"/>
        </w:rPr>
        <w:t xml:space="preserve">élaboration des lois dépasse de loin </w:t>
      </w:r>
      <w:r w:rsidR="00F73CCA" w:rsidRPr="005952CE">
        <w:rPr>
          <w:lang w:val="fr-CH"/>
        </w:rPr>
        <w:t xml:space="preserve">le cadre de </w:t>
      </w:r>
      <w:r w:rsidRPr="005952CE">
        <w:rPr>
          <w:lang w:val="fr-CH"/>
        </w:rPr>
        <w:t>ses propres membres.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18682"/>
      <w:docPartObj>
        <w:docPartGallery w:val="Page Numbers (Top of Page)"/>
        <w:docPartUnique/>
      </w:docPartObj>
    </w:sdtPr>
    <w:sdtEndPr>
      <w:rPr>
        <w:noProof/>
      </w:rPr>
    </w:sdtEndPr>
    <w:sdtContent>
      <w:p w:rsidR="0098570E" w:rsidRDefault="0098570E">
        <w:pPr>
          <w:pStyle w:val="Header"/>
          <w:jc w:val="right"/>
        </w:pPr>
        <w:r>
          <w:fldChar w:fldCharType="begin"/>
        </w:r>
        <w:r>
          <w:instrText xml:space="preserve"> PAGE   \* MERGEFORMAT </w:instrText>
        </w:r>
        <w:r>
          <w:fldChar w:fldCharType="separate"/>
        </w:r>
        <w:r w:rsidR="00981484">
          <w:rPr>
            <w:noProof/>
          </w:rPr>
          <w:t>2</w:t>
        </w:r>
        <w:r>
          <w:rPr>
            <w:noProof/>
          </w:rPr>
          <w:fldChar w:fldCharType="end"/>
        </w:r>
      </w:p>
    </w:sdtContent>
  </w:sdt>
  <w:p w:rsidR="0098570E" w:rsidRDefault="00985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637B93"/>
    <w:multiLevelType w:val="hybridMultilevel"/>
    <w:tmpl w:val="188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B634EF"/>
    <w:multiLevelType w:val="hybridMultilevel"/>
    <w:tmpl w:val="C08C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8"/>
  </w:num>
  <w:num w:numId="4">
    <w:abstractNumId w:val="7"/>
  </w:num>
  <w:num w:numId="5">
    <w:abstractNumId w:val="0"/>
  </w:num>
  <w:num w:numId="6">
    <w:abstractNumId w:val="6"/>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6D2A00"/>
    <w:rsid w:val="00006CE1"/>
    <w:rsid w:val="00087E25"/>
    <w:rsid w:val="000D13D9"/>
    <w:rsid w:val="000F5E56"/>
    <w:rsid w:val="00117E3A"/>
    <w:rsid w:val="001A2E79"/>
    <w:rsid w:val="00431118"/>
    <w:rsid w:val="0043646F"/>
    <w:rsid w:val="0045102F"/>
    <w:rsid w:val="00492DC1"/>
    <w:rsid w:val="00494488"/>
    <w:rsid w:val="004F6F55"/>
    <w:rsid w:val="005228EF"/>
    <w:rsid w:val="00526BC1"/>
    <w:rsid w:val="005306A7"/>
    <w:rsid w:val="00566B9D"/>
    <w:rsid w:val="005952CE"/>
    <w:rsid w:val="005D0D69"/>
    <w:rsid w:val="0065735B"/>
    <w:rsid w:val="006D2A00"/>
    <w:rsid w:val="00703B46"/>
    <w:rsid w:val="007439BA"/>
    <w:rsid w:val="00753BBF"/>
    <w:rsid w:val="00797B96"/>
    <w:rsid w:val="007B240C"/>
    <w:rsid w:val="007D53C7"/>
    <w:rsid w:val="008007E6"/>
    <w:rsid w:val="00804DB7"/>
    <w:rsid w:val="008D00AF"/>
    <w:rsid w:val="00945984"/>
    <w:rsid w:val="0096345D"/>
    <w:rsid w:val="00981484"/>
    <w:rsid w:val="0098570E"/>
    <w:rsid w:val="009873CA"/>
    <w:rsid w:val="00AA40F3"/>
    <w:rsid w:val="00B105C3"/>
    <w:rsid w:val="00BA4B95"/>
    <w:rsid w:val="00BB45F5"/>
    <w:rsid w:val="00C554EC"/>
    <w:rsid w:val="00C81511"/>
    <w:rsid w:val="00CA6889"/>
    <w:rsid w:val="00CC4B57"/>
    <w:rsid w:val="00CC5AFE"/>
    <w:rsid w:val="00CF56F0"/>
    <w:rsid w:val="00D8671F"/>
    <w:rsid w:val="00D956DB"/>
    <w:rsid w:val="00DC6B3B"/>
    <w:rsid w:val="00E16F4A"/>
    <w:rsid w:val="00E535BF"/>
    <w:rsid w:val="00E768C9"/>
    <w:rsid w:val="00EB58EA"/>
    <w:rsid w:val="00EC4F6F"/>
    <w:rsid w:val="00F3677C"/>
    <w:rsid w:val="00F73C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A00"/>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FootnoteReference">
    <w:name w:val="footnote reference"/>
    <w:rsid w:val="006D2A00"/>
    <w:rPr>
      <w:vertAlign w:val="superscript"/>
    </w:rPr>
  </w:style>
  <w:style w:type="character" w:customStyle="1" w:styleId="FootnoteTextChar">
    <w:name w:val="Footnote Text Char"/>
    <w:link w:val="FootnoteText"/>
    <w:uiPriority w:val="99"/>
    <w:rsid w:val="006D2A00"/>
    <w:rPr>
      <w:rFonts w:ascii="Arial" w:hAnsi="Arial" w:cs="Arial"/>
      <w:sz w:val="18"/>
    </w:rPr>
  </w:style>
  <w:style w:type="paragraph" w:styleId="ListParagraph">
    <w:name w:val="List Paragraph"/>
    <w:basedOn w:val="Normal"/>
    <w:uiPriority w:val="34"/>
    <w:qFormat/>
    <w:rsid w:val="006D2A00"/>
    <w:pPr>
      <w:ind w:left="720"/>
      <w:contextualSpacing/>
    </w:pPr>
    <w:rPr>
      <w:rFonts w:ascii="Times New Roman" w:eastAsia="Times New Roman" w:hAnsi="Times New Roman" w:cs="Times New Roman"/>
      <w:sz w:val="24"/>
      <w:szCs w:val="24"/>
      <w:lang w:eastAsia="en-US"/>
    </w:rPr>
  </w:style>
  <w:style w:type="character" w:customStyle="1" w:styleId="Heading1Char">
    <w:name w:val="Heading 1 Char"/>
    <w:link w:val="Heading1"/>
    <w:rsid w:val="006D2A00"/>
    <w:rPr>
      <w:rFonts w:ascii="Arial" w:eastAsia="SimSun" w:hAnsi="Arial" w:cs="Arial"/>
      <w:b/>
      <w:bCs/>
      <w:caps/>
      <w:kern w:val="32"/>
      <w:sz w:val="22"/>
      <w:szCs w:val="32"/>
    </w:rPr>
  </w:style>
  <w:style w:type="character" w:customStyle="1" w:styleId="HeaderChar">
    <w:name w:val="Header Char"/>
    <w:basedOn w:val="DefaultParagraphFont"/>
    <w:link w:val="Header"/>
    <w:uiPriority w:val="99"/>
    <w:rsid w:val="006D2A00"/>
    <w:rPr>
      <w:rFonts w:ascii="Arial" w:eastAsia="SimSun" w:hAnsi="Arial" w:cs="Arial"/>
      <w:sz w:val="22"/>
      <w:lang w:eastAsia="zh-CN"/>
    </w:rPr>
  </w:style>
  <w:style w:type="paragraph" w:styleId="BalloonText">
    <w:name w:val="Balloon Text"/>
    <w:basedOn w:val="Normal"/>
    <w:link w:val="BalloonTextChar"/>
    <w:rsid w:val="00526BC1"/>
    <w:rPr>
      <w:rFonts w:ascii="Tahoma" w:hAnsi="Tahoma" w:cs="Tahoma"/>
      <w:sz w:val="16"/>
      <w:szCs w:val="16"/>
    </w:rPr>
  </w:style>
  <w:style w:type="character" w:customStyle="1" w:styleId="BalloonTextChar">
    <w:name w:val="Balloon Text Char"/>
    <w:basedOn w:val="DefaultParagraphFont"/>
    <w:link w:val="BalloonText"/>
    <w:rsid w:val="00526BC1"/>
    <w:rPr>
      <w:rFonts w:ascii="Tahoma" w:eastAsia="SimSun" w:hAnsi="Tahoma" w:cs="Tahoma"/>
      <w:sz w:val="16"/>
      <w:szCs w:val="16"/>
      <w:lang w:eastAsia="zh-CN"/>
    </w:rPr>
  </w:style>
  <w:style w:type="character" w:customStyle="1" w:styleId="st1">
    <w:name w:val="st1"/>
    <w:basedOn w:val="DefaultParagraphFont"/>
    <w:rsid w:val="005228EF"/>
  </w:style>
  <w:style w:type="character" w:styleId="Emphasis">
    <w:name w:val="Emphasis"/>
    <w:basedOn w:val="DefaultParagraphFont"/>
    <w:uiPriority w:val="20"/>
    <w:qFormat/>
    <w:rsid w:val="005228EF"/>
    <w:rPr>
      <w:b/>
      <w:bCs/>
      <w:i w:val="0"/>
      <w:iCs w:val="0"/>
    </w:rPr>
  </w:style>
  <w:style w:type="character" w:customStyle="1" w:styleId="notranslate">
    <w:name w:val="notranslate"/>
    <w:basedOn w:val="DefaultParagraphFont"/>
    <w:rsid w:val="005228EF"/>
  </w:style>
  <w:style w:type="character" w:styleId="Hyperlink">
    <w:name w:val="Hyperlink"/>
    <w:basedOn w:val="DefaultParagraphFont"/>
    <w:rsid w:val="00753B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A00"/>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FootnoteReference">
    <w:name w:val="footnote reference"/>
    <w:rsid w:val="006D2A00"/>
    <w:rPr>
      <w:vertAlign w:val="superscript"/>
    </w:rPr>
  </w:style>
  <w:style w:type="character" w:customStyle="1" w:styleId="FootnoteTextChar">
    <w:name w:val="Footnote Text Char"/>
    <w:link w:val="FootnoteText"/>
    <w:uiPriority w:val="99"/>
    <w:rsid w:val="006D2A00"/>
    <w:rPr>
      <w:rFonts w:ascii="Arial" w:hAnsi="Arial" w:cs="Arial"/>
      <w:sz w:val="18"/>
    </w:rPr>
  </w:style>
  <w:style w:type="paragraph" w:styleId="ListParagraph">
    <w:name w:val="List Paragraph"/>
    <w:basedOn w:val="Normal"/>
    <w:uiPriority w:val="34"/>
    <w:qFormat/>
    <w:rsid w:val="006D2A00"/>
    <w:pPr>
      <w:ind w:left="720"/>
      <w:contextualSpacing/>
    </w:pPr>
    <w:rPr>
      <w:rFonts w:ascii="Times New Roman" w:eastAsia="Times New Roman" w:hAnsi="Times New Roman" w:cs="Times New Roman"/>
      <w:sz w:val="24"/>
      <w:szCs w:val="24"/>
      <w:lang w:eastAsia="en-US"/>
    </w:rPr>
  </w:style>
  <w:style w:type="character" w:customStyle="1" w:styleId="Heading1Char">
    <w:name w:val="Heading 1 Char"/>
    <w:link w:val="Heading1"/>
    <w:rsid w:val="006D2A00"/>
    <w:rPr>
      <w:rFonts w:ascii="Arial" w:eastAsia="SimSun" w:hAnsi="Arial" w:cs="Arial"/>
      <w:b/>
      <w:bCs/>
      <w:caps/>
      <w:kern w:val="32"/>
      <w:sz w:val="22"/>
      <w:szCs w:val="32"/>
    </w:rPr>
  </w:style>
  <w:style w:type="character" w:customStyle="1" w:styleId="HeaderChar">
    <w:name w:val="Header Char"/>
    <w:basedOn w:val="DefaultParagraphFont"/>
    <w:link w:val="Header"/>
    <w:uiPriority w:val="99"/>
    <w:rsid w:val="006D2A00"/>
    <w:rPr>
      <w:rFonts w:ascii="Arial" w:eastAsia="SimSun" w:hAnsi="Arial" w:cs="Arial"/>
      <w:sz w:val="22"/>
      <w:lang w:eastAsia="zh-CN"/>
    </w:rPr>
  </w:style>
  <w:style w:type="paragraph" w:styleId="BalloonText">
    <w:name w:val="Balloon Text"/>
    <w:basedOn w:val="Normal"/>
    <w:link w:val="BalloonTextChar"/>
    <w:rsid w:val="00526BC1"/>
    <w:rPr>
      <w:rFonts w:ascii="Tahoma" w:hAnsi="Tahoma" w:cs="Tahoma"/>
      <w:sz w:val="16"/>
      <w:szCs w:val="16"/>
    </w:rPr>
  </w:style>
  <w:style w:type="character" w:customStyle="1" w:styleId="BalloonTextChar">
    <w:name w:val="Balloon Text Char"/>
    <w:basedOn w:val="DefaultParagraphFont"/>
    <w:link w:val="BalloonText"/>
    <w:rsid w:val="00526BC1"/>
    <w:rPr>
      <w:rFonts w:ascii="Tahoma" w:eastAsia="SimSun" w:hAnsi="Tahoma" w:cs="Tahoma"/>
      <w:sz w:val="16"/>
      <w:szCs w:val="16"/>
      <w:lang w:eastAsia="zh-CN"/>
    </w:rPr>
  </w:style>
  <w:style w:type="character" w:customStyle="1" w:styleId="st1">
    <w:name w:val="st1"/>
    <w:basedOn w:val="DefaultParagraphFont"/>
    <w:rsid w:val="005228EF"/>
  </w:style>
  <w:style w:type="character" w:styleId="Emphasis">
    <w:name w:val="Emphasis"/>
    <w:basedOn w:val="DefaultParagraphFont"/>
    <w:uiPriority w:val="20"/>
    <w:qFormat/>
    <w:rsid w:val="005228EF"/>
    <w:rPr>
      <w:b/>
      <w:bCs/>
      <w:i w:val="0"/>
      <w:iCs w:val="0"/>
    </w:rPr>
  </w:style>
  <w:style w:type="character" w:customStyle="1" w:styleId="notranslate">
    <w:name w:val="notranslate"/>
    <w:basedOn w:val="DefaultParagraphFont"/>
    <w:rsid w:val="005228EF"/>
  </w:style>
  <w:style w:type="character" w:styleId="Hyperlink">
    <w:name w:val="Hyperlink"/>
    <w:basedOn w:val="DefaultParagraphFont"/>
    <w:rsid w:val="00753B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75914-2DB4-4229-88D7-D89BB5A7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3883</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LUNG Geidy</dc:creator>
  <cp:keywords>NGG/cr</cp:keywords>
  <cp:lastModifiedBy>OLIVIÉ Karen</cp:lastModifiedBy>
  <cp:revision>10</cp:revision>
  <cp:lastPrinted>2017-11-13T16:33:00Z</cp:lastPrinted>
  <dcterms:created xsi:type="dcterms:W3CDTF">2017-11-14T10:44:00Z</dcterms:created>
  <dcterms:modified xsi:type="dcterms:W3CDTF">2017-11-15T08:23:00Z</dcterms:modified>
</cp:coreProperties>
</file>