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54AE" w:rsidRPr="00F920D7" w:rsidTr="00DD41D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854AE" w:rsidRPr="00F920D7" w:rsidRDefault="000854AE" w:rsidP="00DD41D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54AE" w:rsidRPr="00F920D7" w:rsidRDefault="000854AE" w:rsidP="00DD41D0">
            <w:pPr>
              <w:rPr>
                <w:lang w:val="fr-FR"/>
              </w:rPr>
            </w:pPr>
            <w:r w:rsidRPr="00F920D7">
              <w:rPr>
                <w:noProof/>
                <w:lang w:eastAsia="en-US"/>
              </w:rPr>
              <w:drawing>
                <wp:inline distT="0" distB="0" distL="0" distR="0" wp14:anchorId="4419E22E" wp14:editId="3006C512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54AE" w:rsidRPr="00F920D7" w:rsidRDefault="000854AE" w:rsidP="00DD41D0">
            <w:pPr>
              <w:jc w:val="right"/>
              <w:rPr>
                <w:lang w:val="fr-FR"/>
              </w:rPr>
            </w:pPr>
            <w:r w:rsidRPr="00F920D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854AE" w:rsidRPr="00F920D7" w:rsidTr="00DD41D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854AE" w:rsidRPr="00F920D7" w:rsidRDefault="000854AE" w:rsidP="00590A4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920D7">
              <w:rPr>
                <w:rFonts w:ascii="Arial Black" w:hAnsi="Arial Black"/>
                <w:caps/>
                <w:sz w:val="15"/>
                <w:lang w:val="fr-FR"/>
              </w:rPr>
              <w:t>SCCR/26</w:t>
            </w:r>
            <w:bookmarkStart w:id="0" w:name="Code"/>
            <w:bookmarkEnd w:id="0"/>
            <w:r w:rsidRPr="00F920D7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590A4D" w:rsidRPr="00F920D7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F920D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0854AE" w:rsidRPr="00F920D7" w:rsidTr="00DD41D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854AE" w:rsidRPr="00F920D7" w:rsidRDefault="000854AE" w:rsidP="00DD41D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920D7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F920D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0854AE" w:rsidRPr="00F920D7" w:rsidTr="00DD41D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854AE" w:rsidRPr="00F920D7" w:rsidRDefault="000854AE" w:rsidP="00590A4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2" w:name="_GoBack"/>
            <w:bookmarkEnd w:id="2"/>
            <w:r w:rsidRPr="00F920D7">
              <w:rPr>
                <w:rFonts w:ascii="Arial Black" w:hAnsi="Arial Black"/>
                <w:caps/>
                <w:sz w:val="15"/>
                <w:lang w:val="fr-FR"/>
              </w:rPr>
              <w:t>DATE : 1</w:t>
            </w:r>
            <w:r w:rsidR="0084657D" w:rsidRPr="00F920D7">
              <w:rPr>
                <w:rFonts w:ascii="Arial Black" w:hAnsi="Arial Black"/>
                <w:caps/>
                <w:sz w:val="15"/>
                <w:lang w:val="fr-FR"/>
              </w:rPr>
              <w:t>0 janvier 20</w:t>
            </w:r>
            <w:r w:rsidRPr="00F920D7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590A4D" w:rsidRPr="00F920D7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F920D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</w:p>
        </w:tc>
      </w:tr>
    </w:tbl>
    <w:p w:rsidR="000854AE" w:rsidRPr="00F920D7" w:rsidRDefault="000854AE" w:rsidP="000854AE">
      <w:pPr>
        <w:rPr>
          <w:lang w:val="fr-FR"/>
        </w:rPr>
      </w:pPr>
    </w:p>
    <w:p w:rsidR="000854AE" w:rsidRPr="00F920D7" w:rsidRDefault="000854AE" w:rsidP="000854AE">
      <w:pPr>
        <w:rPr>
          <w:lang w:val="fr-FR"/>
        </w:rPr>
      </w:pPr>
    </w:p>
    <w:p w:rsidR="000854AE" w:rsidRPr="00F920D7" w:rsidRDefault="000854AE" w:rsidP="000854AE">
      <w:pPr>
        <w:rPr>
          <w:lang w:val="fr-FR"/>
        </w:rPr>
      </w:pPr>
    </w:p>
    <w:p w:rsidR="000854AE" w:rsidRPr="00F920D7" w:rsidRDefault="000854AE" w:rsidP="000854AE">
      <w:pPr>
        <w:rPr>
          <w:lang w:val="fr-FR"/>
        </w:rPr>
      </w:pPr>
    </w:p>
    <w:p w:rsidR="000854AE" w:rsidRPr="00F920D7" w:rsidRDefault="000854AE" w:rsidP="000854AE">
      <w:pPr>
        <w:rPr>
          <w:lang w:val="fr-FR"/>
        </w:rPr>
      </w:pPr>
    </w:p>
    <w:p w:rsidR="000854AE" w:rsidRPr="00F920D7" w:rsidRDefault="000854AE" w:rsidP="000854AE">
      <w:pPr>
        <w:rPr>
          <w:lang w:val="fr-FR"/>
        </w:rPr>
      </w:pPr>
      <w:r w:rsidRPr="00F920D7">
        <w:rPr>
          <w:b/>
          <w:sz w:val="28"/>
          <w:szCs w:val="28"/>
          <w:lang w:val="fr-FR"/>
        </w:rPr>
        <w:t>Comité permanent du droit d</w:t>
      </w:r>
      <w:r w:rsidR="0084657D" w:rsidRPr="00F920D7">
        <w:rPr>
          <w:b/>
          <w:sz w:val="28"/>
          <w:szCs w:val="28"/>
          <w:lang w:val="fr-FR"/>
        </w:rPr>
        <w:t>’</w:t>
      </w:r>
      <w:r w:rsidRPr="00F920D7">
        <w:rPr>
          <w:b/>
          <w:sz w:val="28"/>
          <w:szCs w:val="28"/>
          <w:lang w:val="fr-FR"/>
        </w:rPr>
        <w:t>auteur et des droits connexes</w:t>
      </w:r>
    </w:p>
    <w:p w:rsidR="000854AE" w:rsidRPr="00F920D7" w:rsidRDefault="000854AE" w:rsidP="000854AE">
      <w:pPr>
        <w:rPr>
          <w:lang w:val="fr-FR"/>
        </w:rPr>
      </w:pPr>
    </w:p>
    <w:p w:rsidR="00590A4D" w:rsidRPr="00F920D7" w:rsidRDefault="00590A4D" w:rsidP="000854AE">
      <w:pPr>
        <w:rPr>
          <w:lang w:val="fr-FR"/>
        </w:rPr>
      </w:pPr>
    </w:p>
    <w:p w:rsidR="000854AE" w:rsidRPr="00F920D7" w:rsidRDefault="000854AE" w:rsidP="000854AE">
      <w:pPr>
        <w:rPr>
          <w:b/>
          <w:sz w:val="24"/>
          <w:szCs w:val="24"/>
          <w:lang w:val="fr-FR"/>
        </w:rPr>
      </w:pPr>
      <w:r w:rsidRPr="00F920D7">
        <w:rPr>
          <w:b/>
          <w:sz w:val="24"/>
          <w:szCs w:val="24"/>
          <w:lang w:val="fr-FR"/>
        </w:rPr>
        <w:t>Vingt</w:t>
      </w:r>
      <w:r w:rsidR="00F920D7" w:rsidRPr="00F920D7">
        <w:rPr>
          <w:b/>
          <w:sz w:val="24"/>
          <w:szCs w:val="24"/>
          <w:lang w:val="fr-FR"/>
        </w:rPr>
        <w:noBreakHyphen/>
      </w:r>
      <w:r w:rsidRPr="00F920D7">
        <w:rPr>
          <w:b/>
          <w:sz w:val="24"/>
          <w:szCs w:val="24"/>
          <w:lang w:val="fr-FR"/>
        </w:rPr>
        <w:t>sixième session</w:t>
      </w:r>
    </w:p>
    <w:p w:rsidR="000854AE" w:rsidRPr="00F920D7" w:rsidRDefault="000854AE" w:rsidP="000854AE">
      <w:pPr>
        <w:rPr>
          <w:b/>
          <w:sz w:val="24"/>
          <w:szCs w:val="24"/>
          <w:lang w:val="fr-FR"/>
        </w:rPr>
      </w:pPr>
      <w:r w:rsidRPr="00F920D7">
        <w:rPr>
          <w:b/>
          <w:sz w:val="24"/>
          <w:szCs w:val="24"/>
          <w:lang w:val="fr-FR"/>
        </w:rPr>
        <w:t>Genève, 16 – 20 décembre 2013</w:t>
      </w:r>
    </w:p>
    <w:p w:rsidR="000854AE" w:rsidRPr="00F920D7" w:rsidRDefault="000854AE" w:rsidP="000854AE">
      <w:pPr>
        <w:rPr>
          <w:lang w:val="fr-FR"/>
        </w:rPr>
      </w:pPr>
    </w:p>
    <w:p w:rsidR="00590A4D" w:rsidRPr="00F920D7" w:rsidRDefault="00590A4D" w:rsidP="000854AE">
      <w:pPr>
        <w:rPr>
          <w:lang w:val="fr-FR"/>
        </w:rPr>
      </w:pPr>
    </w:p>
    <w:p w:rsidR="00590A4D" w:rsidRPr="00F920D7" w:rsidRDefault="00590A4D" w:rsidP="000854AE">
      <w:pPr>
        <w:rPr>
          <w:lang w:val="fr-FR"/>
        </w:rPr>
      </w:pPr>
    </w:p>
    <w:p w:rsidR="008B2CC1" w:rsidRPr="00F920D7" w:rsidRDefault="00590A4D" w:rsidP="00590A4D">
      <w:pPr>
        <w:rPr>
          <w:sz w:val="24"/>
          <w:szCs w:val="24"/>
          <w:lang w:val="fr-FR"/>
        </w:rPr>
      </w:pPr>
      <w:r w:rsidRPr="00F920D7">
        <w:rPr>
          <w:sz w:val="24"/>
          <w:szCs w:val="24"/>
          <w:lang w:val="fr-FR"/>
        </w:rPr>
        <w:t>OBJECTIFS ET PRINCIPES CONCERNANT LES EXCEPTIONS ET LIMITATIONS EN FAVEUR DES BIBLIOTHÈQUES ET DES SERVICES D</w:t>
      </w:r>
      <w:r w:rsidR="0084657D" w:rsidRPr="00F920D7">
        <w:rPr>
          <w:sz w:val="24"/>
          <w:szCs w:val="24"/>
          <w:lang w:val="fr-FR"/>
        </w:rPr>
        <w:t>’</w:t>
      </w:r>
      <w:r w:rsidRPr="00F920D7">
        <w:rPr>
          <w:sz w:val="24"/>
          <w:szCs w:val="24"/>
          <w:lang w:val="fr-FR"/>
        </w:rPr>
        <w:t>ARCHIVES</w:t>
      </w:r>
    </w:p>
    <w:p w:rsidR="008B2CC1" w:rsidRPr="00F920D7" w:rsidRDefault="008B2CC1" w:rsidP="008B2CC1">
      <w:pPr>
        <w:rPr>
          <w:lang w:val="fr-FR"/>
        </w:rPr>
      </w:pPr>
    </w:p>
    <w:p w:rsidR="002F5EB3" w:rsidRPr="00F920D7" w:rsidRDefault="002F5EB3" w:rsidP="002F5EB3">
      <w:pPr>
        <w:rPr>
          <w:lang w:val="fr-FR"/>
        </w:rPr>
      </w:pPr>
      <w:bookmarkStart w:id="4" w:name="Prepared"/>
      <w:bookmarkEnd w:id="4"/>
      <w:r w:rsidRPr="00F920D7">
        <w:rPr>
          <w:i/>
          <w:lang w:val="fr-FR"/>
        </w:rPr>
        <w:t xml:space="preserve">Document </w:t>
      </w:r>
      <w:r w:rsidR="00BA5D35" w:rsidRPr="00F920D7">
        <w:rPr>
          <w:i/>
          <w:lang w:val="fr-FR"/>
        </w:rPr>
        <w:t>soumis par les États</w:t>
      </w:r>
      <w:r w:rsidR="00F920D7" w:rsidRPr="00F920D7">
        <w:rPr>
          <w:i/>
          <w:lang w:val="fr-FR"/>
        </w:rPr>
        <w:noBreakHyphen/>
      </w:r>
      <w:r w:rsidR="00BA5D35" w:rsidRPr="00F920D7">
        <w:rPr>
          <w:i/>
          <w:lang w:val="fr-FR"/>
        </w:rPr>
        <w:t>Unis</w:t>
      </w:r>
      <w:r w:rsidR="00596A3D" w:rsidRPr="00F920D7">
        <w:rPr>
          <w:i/>
          <w:lang w:val="fr-FR"/>
        </w:rPr>
        <w:t xml:space="preserve"> </w:t>
      </w:r>
      <w:r w:rsidR="00BA5D35" w:rsidRPr="00F920D7">
        <w:rPr>
          <w:i/>
          <w:lang w:val="fr-FR"/>
        </w:rPr>
        <w:t>d</w:t>
      </w:r>
      <w:r w:rsidR="0084657D" w:rsidRPr="00F920D7">
        <w:rPr>
          <w:i/>
          <w:lang w:val="fr-FR"/>
        </w:rPr>
        <w:t>’</w:t>
      </w:r>
      <w:r w:rsidR="00BA5D35" w:rsidRPr="00F920D7">
        <w:rPr>
          <w:i/>
          <w:lang w:val="fr-FR"/>
        </w:rPr>
        <w:t>Amérique</w:t>
      </w:r>
    </w:p>
    <w:p w:rsidR="000F5E56" w:rsidRPr="00F920D7" w:rsidRDefault="000F5E56">
      <w:pPr>
        <w:rPr>
          <w:lang w:val="fr-FR"/>
        </w:rPr>
      </w:pPr>
    </w:p>
    <w:p w:rsidR="002928D3" w:rsidRPr="00F920D7" w:rsidRDefault="002928D3">
      <w:pPr>
        <w:rPr>
          <w:lang w:val="fr-FR"/>
        </w:rPr>
      </w:pPr>
    </w:p>
    <w:p w:rsidR="00590A4D" w:rsidRPr="00F920D7" w:rsidRDefault="00590A4D">
      <w:pPr>
        <w:rPr>
          <w:lang w:val="fr-FR"/>
        </w:rPr>
      </w:pPr>
    </w:p>
    <w:p w:rsidR="00590A4D" w:rsidRPr="00F920D7" w:rsidRDefault="00590A4D">
      <w:pPr>
        <w:rPr>
          <w:lang w:val="fr-FR"/>
        </w:rPr>
      </w:pPr>
    </w:p>
    <w:p w:rsidR="002F5EB3" w:rsidRPr="00F920D7" w:rsidRDefault="002F5EB3" w:rsidP="00D935CA">
      <w:pPr>
        <w:pStyle w:val="Heading1"/>
        <w:rPr>
          <w:szCs w:val="22"/>
          <w:lang w:val="fr-FR"/>
        </w:rPr>
      </w:pPr>
      <w:r w:rsidRPr="00F920D7">
        <w:rPr>
          <w:lang w:val="fr-FR"/>
        </w:rPr>
        <w:br w:type="page"/>
      </w:r>
      <w:r w:rsidR="00E062F9" w:rsidRPr="00F920D7">
        <w:rPr>
          <w:lang w:val="fr-FR"/>
        </w:rPr>
        <w:lastRenderedPageBreak/>
        <w:t>Adoption d</w:t>
      </w:r>
      <w:r w:rsidR="0084657D" w:rsidRPr="00F920D7">
        <w:rPr>
          <w:lang w:val="fr-FR"/>
        </w:rPr>
        <w:t>’</w:t>
      </w:r>
      <w:r w:rsidR="00E062F9" w:rsidRPr="00F920D7">
        <w:rPr>
          <w:lang w:val="fr-FR"/>
        </w:rPr>
        <w:t>exceptions au niveau national</w:t>
      </w:r>
    </w:p>
    <w:p w:rsidR="002F5EB3" w:rsidRPr="00F920D7" w:rsidRDefault="002F5EB3" w:rsidP="00D935CA">
      <w:pPr>
        <w:pStyle w:val="Heading4"/>
        <w:keepNext w:val="0"/>
        <w:rPr>
          <w:b/>
          <w:szCs w:val="22"/>
          <w:lang w:val="fr-FR"/>
        </w:rPr>
      </w:pPr>
      <w:r w:rsidRPr="00F920D7">
        <w:rPr>
          <w:lang w:val="fr-FR"/>
        </w:rPr>
        <w:t>Objecti</w:t>
      </w:r>
      <w:r w:rsidR="00BA5D35" w:rsidRPr="00F920D7">
        <w:rPr>
          <w:lang w:val="fr-FR"/>
        </w:rPr>
        <w:t>f </w:t>
      </w:r>
      <w:r w:rsidRPr="00F920D7">
        <w:rPr>
          <w:lang w:val="fr-FR"/>
        </w:rPr>
        <w:t>:</w:t>
      </w:r>
    </w:p>
    <w:p w:rsidR="002F5EB3" w:rsidRPr="00F920D7" w:rsidRDefault="002F5EB3" w:rsidP="00D935CA">
      <w:pPr>
        <w:tabs>
          <w:tab w:val="left" w:pos="4770"/>
        </w:tabs>
        <w:rPr>
          <w:szCs w:val="22"/>
          <w:lang w:val="fr-FR"/>
        </w:rPr>
      </w:pPr>
    </w:p>
    <w:p w:rsidR="002F5EB3" w:rsidRPr="00F920D7" w:rsidRDefault="003D25D3" w:rsidP="00D935CA">
      <w:pPr>
        <w:tabs>
          <w:tab w:val="left" w:pos="47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Encourager les États membres à adopter dans leur législation nationale, conformément à leurs obligations internationales, des exceptions et limitations qui facilitent la mission de service public des bibliothèques et des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archives, en conciliant les droits des auteurs et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intérêt public, notamment en matière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éducation, de recherche et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accès à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information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pStyle w:val="Heading4"/>
        <w:keepNext w:val="0"/>
        <w:rPr>
          <w:lang w:val="fr-FR"/>
        </w:rPr>
      </w:pPr>
      <w:r w:rsidRPr="00F920D7">
        <w:rPr>
          <w:lang w:val="fr-FR"/>
        </w:rPr>
        <w:t>Principes</w:t>
      </w:r>
      <w:r w:rsidR="003D25D3" w:rsidRPr="00F920D7">
        <w:rPr>
          <w:lang w:val="fr-FR"/>
        </w:rPr>
        <w:t> </w:t>
      </w:r>
      <w:r w:rsidRPr="00F920D7">
        <w:rPr>
          <w:lang w:val="fr-FR"/>
        </w:rPr>
        <w:t>:</w:t>
      </w:r>
    </w:p>
    <w:p w:rsidR="002F5EB3" w:rsidRPr="00F920D7" w:rsidRDefault="002F5EB3" w:rsidP="00D935CA">
      <w:pPr>
        <w:tabs>
          <w:tab w:val="left" w:pos="4770"/>
        </w:tabs>
        <w:rPr>
          <w:szCs w:val="22"/>
          <w:lang w:val="fr-FR"/>
        </w:rPr>
      </w:pPr>
    </w:p>
    <w:p w:rsidR="002F5EB3" w:rsidRPr="00F920D7" w:rsidRDefault="003D25D3" w:rsidP="00D935CA">
      <w:pPr>
        <w:tabs>
          <w:tab w:val="left" w:pos="47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Les exceptions et limitations, qui font partie intégrante des systèmes nationaux de droit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auteur, jouent un rôle essentiel en permettant aux bibliothèques et aux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de répondre aux besoins du public, aidant les individus à réaliser pleinement leur potentiel et à entrer en contact avec les autres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tabs>
          <w:tab w:val="left" w:pos="4770"/>
        </w:tabs>
        <w:rPr>
          <w:szCs w:val="22"/>
          <w:lang w:val="fr-FR"/>
        </w:rPr>
      </w:pPr>
    </w:p>
    <w:p w:rsidR="002F5EB3" w:rsidRPr="00F920D7" w:rsidRDefault="003D25D3" w:rsidP="00D935CA">
      <w:pPr>
        <w:tabs>
          <w:tab w:val="left" w:pos="47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Les exceptions et limitations en faveur des bibliothèques et des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facilitent la tâche de ces institutions s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agissant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aider les individus à rechercher, recevoir et communiquer les informations nécessaires pour participer réellement à la vie publique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rPr>
          <w:szCs w:val="22"/>
          <w:lang w:val="fr-FR"/>
        </w:rPr>
      </w:pPr>
    </w:p>
    <w:p w:rsidR="0084657D" w:rsidRPr="00F920D7" w:rsidRDefault="003D25D3" w:rsidP="00D935CA">
      <w:pPr>
        <w:rPr>
          <w:szCs w:val="22"/>
          <w:lang w:val="fr-FR"/>
        </w:rPr>
      </w:pPr>
      <w:r w:rsidRPr="00F920D7">
        <w:rPr>
          <w:szCs w:val="22"/>
          <w:lang w:val="fr-FR"/>
        </w:rPr>
        <w:t>Les exceptions et limitations font aussi progresser la connaissance en préservant le patrimoine culturel, artistique et scientifique mondial et en assurant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accès à ce patrimoine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rPr>
          <w:szCs w:val="22"/>
          <w:lang w:val="fr-FR"/>
        </w:rPr>
      </w:pPr>
    </w:p>
    <w:p w:rsidR="0084657D" w:rsidRPr="00F920D7" w:rsidRDefault="003D25D3" w:rsidP="00D935CA">
      <w:pPr>
        <w:rPr>
          <w:szCs w:val="22"/>
          <w:lang w:val="fr-FR"/>
        </w:rPr>
      </w:pPr>
      <w:r w:rsidRPr="00F920D7">
        <w:rPr>
          <w:szCs w:val="22"/>
          <w:lang w:val="fr-FR"/>
        </w:rPr>
        <w:t>Les mesures de protection des auteurs,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une part, et les exceptions et limitations, y</w:t>
      </w:r>
      <w:r w:rsidR="00596A3D" w:rsidRPr="00F920D7">
        <w:rPr>
          <w:szCs w:val="22"/>
          <w:lang w:val="fr-FR"/>
        </w:rPr>
        <w:t> </w:t>
      </w:r>
      <w:r w:rsidRPr="00F920D7">
        <w:rPr>
          <w:szCs w:val="22"/>
          <w:lang w:val="fr-FR"/>
        </w:rPr>
        <w:t>compris celles en faveur des bibliothèques et des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archives,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autre part, sont des éléments essentiels pour réaliser les objectifs du système du droit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auteur en matière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encouragement de la créativité, de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innovation et de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apprentissage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E062F9" w:rsidP="00D935CA">
      <w:pPr>
        <w:pStyle w:val="Heading1"/>
        <w:rPr>
          <w:lang w:val="fr-FR"/>
        </w:rPr>
      </w:pPr>
      <w:r w:rsidRPr="00F920D7">
        <w:rPr>
          <w:lang w:val="fr-FR"/>
        </w:rPr>
        <w:t>Conservation</w:t>
      </w:r>
    </w:p>
    <w:p w:rsidR="002F5EB3" w:rsidRPr="00F920D7" w:rsidRDefault="002F5EB3" w:rsidP="00D935CA">
      <w:pPr>
        <w:pStyle w:val="Heading4"/>
        <w:keepNext w:val="0"/>
        <w:rPr>
          <w:b/>
          <w:szCs w:val="22"/>
          <w:lang w:val="fr-FR"/>
        </w:rPr>
      </w:pPr>
      <w:r w:rsidRPr="00F920D7">
        <w:rPr>
          <w:lang w:val="fr-FR"/>
        </w:rPr>
        <w:t>Objecti</w:t>
      </w:r>
      <w:r w:rsidR="003D25D3" w:rsidRPr="00F920D7">
        <w:rPr>
          <w:lang w:val="fr-FR"/>
        </w:rPr>
        <w:t>f </w:t>
      </w:r>
      <w:r w:rsidRPr="00F920D7">
        <w:rPr>
          <w:lang w:val="fr-FR"/>
        </w:rPr>
        <w:t>:</w:t>
      </w:r>
    </w:p>
    <w:p w:rsidR="002F5EB3" w:rsidRPr="00F920D7" w:rsidRDefault="003D25D3" w:rsidP="00D935CA">
      <w:pPr>
        <w:pStyle w:val="Heading4"/>
        <w:keepNext w:val="0"/>
        <w:rPr>
          <w:i w:val="0"/>
          <w:lang w:val="fr-FR"/>
        </w:rPr>
      </w:pPr>
      <w:r w:rsidRPr="00F920D7">
        <w:rPr>
          <w:i w:val="0"/>
          <w:lang w:val="fr-FR"/>
        </w:rPr>
        <w:t>Permettre aux bibliothèques et aux services d</w:t>
      </w:r>
      <w:r w:rsidR="0084657D" w:rsidRPr="00F920D7">
        <w:rPr>
          <w:i w:val="0"/>
          <w:lang w:val="fr-FR"/>
        </w:rPr>
        <w:t>’</w:t>
      </w:r>
      <w:r w:rsidRPr="00F920D7">
        <w:rPr>
          <w:i w:val="0"/>
          <w:lang w:val="fr-FR"/>
        </w:rPr>
        <w:t>archives de mener à bien leur mission de service public en matière de conservation des œuvres</w:t>
      </w:r>
      <w:r w:rsidR="002F5EB3" w:rsidRPr="00F920D7">
        <w:rPr>
          <w:i w:val="0"/>
          <w:lang w:val="fr-FR"/>
        </w:rPr>
        <w:t>.</w:t>
      </w:r>
    </w:p>
    <w:p w:rsidR="002F5EB3" w:rsidRPr="00F920D7" w:rsidRDefault="002F5EB3" w:rsidP="00D935CA">
      <w:pPr>
        <w:pStyle w:val="Heading4"/>
        <w:keepNext w:val="0"/>
        <w:rPr>
          <w:lang w:val="fr-FR"/>
        </w:rPr>
      </w:pPr>
      <w:r w:rsidRPr="00F920D7">
        <w:rPr>
          <w:lang w:val="fr-FR"/>
        </w:rPr>
        <w:t>Principes</w:t>
      </w:r>
      <w:r w:rsidR="003D25D3" w:rsidRPr="00F920D7">
        <w:rPr>
          <w:lang w:val="fr-FR"/>
        </w:rPr>
        <w:t> </w:t>
      </w:r>
      <w:r w:rsidRPr="00F920D7">
        <w:rPr>
          <w:lang w:val="fr-FR"/>
        </w:rPr>
        <w:t>:</w:t>
      </w:r>
    </w:p>
    <w:p w:rsidR="002F5EB3" w:rsidRPr="00F920D7" w:rsidRDefault="002F5EB3" w:rsidP="00D935CA">
      <w:pPr>
        <w:tabs>
          <w:tab w:val="left" w:pos="1170"/>
        </w:tabs>
        <w:rPr>
          <w:szCs w:val="22"/>
          <w:lang w:val="fr-FR"/>
        </w:rPr>
      </w:pPr>
    </w:p>
    <w:p w:rsidR="002F5EB3" w:rsidRPr="00F920D7" w:rsidRDefault="003D25D3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Les exceptions et limitations peuvent et doivent permettre aux bibliothèques et aux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de mener à bien leur mission de service public en matière de conservation des œuvres, qui représentent le savoir et le patrimoine accumulés par les nations et les peuples du monde entier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tabs>
          <w:tab w:val="left" w:pos="1170"/>
        </w:tabs>
        <w:rPr>
          <w:szCs w:val="22"/>
          <w:lang w:val="fr-FR"/>
        </w:rPr>
      </w:pPr>
    </w:p>
    <w:p w:rsidR="002F5EB3" w:rsidRPr="00F920D7" w:rsidRDefault="003D25D3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À cet effet, les exceptions et limitations peuvent et doivent permettre aux bibliothèques et aux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de réaliser, sous certaines conditions, des copies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 xml:space="preserve">œuvres publiées et non publiées, y compris des </w:t>
      </w:r>
      <w:r w:rsidR="00466470" w:rsidRPr="00F920D7">
        <w:rPr>
          <w:szCs w:val="22"/>
          <w:lang w:val="fr-FR"/>
        </w:rPr>
        <w:t xml:space="preserve">œuvres </w:t>
      </w:r>
      <w:r w:rsidRPr="00F920D7">
        <w:rPr>
          <w:szCs w:val="22"/>
          <w:lang w:val="fr-FR"/>
        </w:rPr>
        <w:t>extrêmement éphémères, aux fins de conservation et de remplacement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tabs>
          <w:tab w:val="left" w:pos="1170"/>
        </w:tabs>
        <w:rPr>
          <w:rFonts w:eastAsia="MS Mincho"/>
          <w:i/>
          <w:szCs w:val="22"/>
          <w:lang w:val="fr-FR"/>
        </w:rPr>
      </w:pPr>
    </w:p>
    <w:p w:rsidR="0084657D" w:rsidRPr="00F920D7" w:rsidRDefault="00466470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Cette conservation doit être effectuée sur une variété de supports et dans une variété de formats et peut comprendre la migration de contenu à partir de formats de stockage obsolètes en différents formats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pStyle w:val="Heading1"/>
        <w:rPr>
          <w:lang w:val="fr-FR"/>
        </w:rPr>
      </w:pPr>
      <w:r w:rsidRPr="00F920D7">
        <w:rPr>
          <w:lang w:val="fr-FR"/>
        </w:rPr>
        <w:br w:type="page"/>
      </w:r>
      <w:r w:rsidR="00E062F9" w:rsidRPr="00F920D7">
        <w:rPr>
          <w:lang w:val="fr-FR"/>
        </w:rPr>
        <w:t>Appui à la recherche et au développement humain</w:t>
      </w:r>
    </w:p>
    <w:p w:rsidR="002F5EB3" w:rsidRPr="00F920D7" w:rsidRDefault="002F5EB3" w:rsidP="00D935CA">
      <w:pPr>
        <w:pStyle w:val="Heading4"/>
        <w:keepNext w:val="0"/>
        <w:rPr>
          <w:lang w:val="fr-FR"/>
        </w:rPr>
      </w:pPr>
      <w:r w:rsidRPr="00F920D7">
        <w:rPr>
          <w:lang w:val="fr-FR"/>
        </w:rPr>
        <w:t>Objecti</w:t>
      </w:r>
      <w:r w:rsidR="00466470" w:rsidRPr="00F920D7">
        <w:rPr>
          <w:lang w:val="fr-FR"/>
        </w:rPr>
        <w:t>f </w:t>
      </w:r>
      <w:r w:rsidRPr="00F920D7">
        <w:rPr>
          <w:lang w:val="fr-FR"/>
        </w:rPr>
        <w:t>:</w:t>
      </w:r>
    </w:p>
    <w:p w:rsidR="002F5EB3" w:rsidRPr="00F920D7" w:rsidRDefault="002F5EB3" w:rsidP="00D935CA">
      <w:pPr>
        <w:rPr>
          <w:lang w:val="fr-FR"/>
        </w:rPr>
      </w:pPr>
    </w:p>
    <w:p w:rsidR="002F5EB3" w:rsidRPr="00F920D7" w:rsidRDefault="00466470" w:rsidP="00D935CA">
      <w:pPr>
        <w:pStyle w:val="Heading4"/>
        <w:keepNext w:val="0"/>
        <w:spacing w:before="0" w:after="0"/>
        <w:rPr>
          <w:i w:val="0"/>
          <w:lang w:val="fr-FR"/>
        </w:rPr>
      </w:pPr>
      <w:r w:rsidRPr="00F920D7">
        <w:rPr>
          <w:i w:val="0"/>
          <w:lang w:val="fr-FR"/>
        </w:rPr>
        <w:t>Permettre aux bibliothèques et aux services d</w:t>
      </w:r>
      <w:r w:rsidR="0084657D" w:rsidRPr="00F920D7">
        <w:rPr>
          <w:i w:val="0"/>
          <w:lang w:val="fr-FR"/>
        </w:rPr>
        <w:t>’</w:t>
      </w:r>
      <w:r w:rsidRPr="00F920D7">
        <w:rPr>
          <w:i w:val="0"/>
          <w:lang w:val="fr-FR"/>
        </w:rPr>
        <w:t>archives de mener à bien leur mission de service public en matière de promotion de la recherche et de la connaissance</w:t>
      </w:r>
      <w:r w:rsidR="002F5EB3" w:rsidRPr="00F920D7">
        <w:rPr>
          <w:i w:val="0"/>
          <w:lang w:val="fr-FR"/>
        </w:rPr>
        <w:t>.</w:t>
      </w:r>
    </w:p>
    <w:p w:rsidR="002F5EB3" w:rsidRPr="00F920D7" w:rsidRDefault="002F5EB3" w:rsidP="00D935CA">
      <w:pPr>
        <w:pStyle w:val="Heading4"/>
        <w:keepNext w:val="0"/>
        <w:rPr>
          <w:lang w:val="fr-FR"/>
        </w:rPr>
      </w:pPr>
      <w:r w:rsidRPr="00F920D7">
        <w:rPr>
          <w:lang w:val="fr-FR"/>
        </w:rPr>
        <w:t>Principes</w:t>
      </w:r>
      <w:r w:rsidR="00466470" w:rsidRPr="00F920D7">
        <w:rPr>
          <w:lang w:val="fr-FR"/>
        </w:rPr>
        <w:t> </w:t>
      </w:r>
      <w:r w:rsidRPr="00F920D7">
        <w:rPr>
          <w:lang w:val="fr-FR"/>
        </w:rPr>
        <w:t>:</w:t>
      </w:r>
    </w:p>
    <w:p w:rsidR="002F5EB3" w:rsidRPr="00F920D7" w:rsidRDefault="002F5EB3" w:rsidP="00D935CA">
      <w:pPr>
        <w:tabs>
          <w:tab w:val="left" w:pos="1170"/>
        </w:tabs>
        <w:rPr>
          <w:i/>
          <w:szCs w:val="22"/>
          <w:lang w:val="fr-FR"/>
        </w:rPr>
      </w:pPr>
    </w:p>
    <w:p w:rsidR="0084657D" w:rsidRPr="00F920D7" w:rsidRDefault="00466470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Les bibliothèques et les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font progresser la connaissance en donnant accès à leurs collections, dont la somme représente le savoir cumulé des nations et des peuples du monde entier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tabs>
          <w:tab w:val="left" w:pos="1170"/>
        </w:tabs>
        <w:rPr>
          <w:szCs w:val="22"/>
          <w:lang w:val="fr-FR"/>
        </w:rPr>
      </w:pPr>
    </w:p>
    <w:p w:rsidR="0084657D" w:rsidRPr="00F920D7" w:rsidRDefault="00466470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Les bibliothèques et les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apportent une contribution essentielle à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économie</w:t>
      </w:r>
      <w:r w:rsidR="0084657D" w:rsidRPr="00F920D7">
        <w:rPr>
          <w:szCs w:val="22"/>
          <w:lang w:val="fr-FR"/>
        </w:rPr>
        <w:t xml:space="preserve"> du XXI</w:t>
      </w:r>
      <w:r w:rsidRPr="00F920D7">
        <w:rPr>
          <w:szCs w:val="22"/>
          <w:vertAlign w:val="superscript"/>
          <w:lang w:val="fr-FR"/>
        </w:rPr>
        <w:t>e</w:t>
      </w:r>
      <w:r w:rsidRPr="00F920D7">
        <w:rPr>
          <w:szCs w:val="22"/>
          <w:lang w:val="fr-FR"/>
        </w:rPr>
        <w:t> siècle fondée sur le savoir en favorisant la recherche,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apprentissage,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innovation et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activité créatrice, en donnant accès à des collections diverses et en fournissant des informations et des services au grand public, y</w:t>
      </w:r>
      <w:r w:rsidR="00596A3D" w:rsidRPr="00F920D7">
        <w:rPr>
          <w:szCs w:val="22"/>
          <w:lang w:val="fr-FR"/>
        </w:rPr>
        <w:t> </w:t>
      </w:r>
      <w:r w:rsidRPr="00F920D7">
        <w:rPr>
          <w:szCs w:val="22"/>
          <w:lang w:val="fr-FR"/>
        </w:rPr>
        <w:t>compris aux milieux défavorisés et aux membres vulnérables de la société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tabs>
          <w:tab w:val="left" w:pos="1170"/>
        </w:tabs>
        <w:rPr>
          <w:szCs w:val="22"/>
          <w:lang w:val="fr-FR"/>
        </w:rPr>
      </w:pPr>
    </w:p>
    <w:p w:rsidR="002F5EB3" w:rsidRPr="00F920D7" w:rsidRDefault="00466470" w:rsidP="00D935CA">
      <w:pPr>
        <w:pStyle w:val="BodyTextIndent3"/>
        <w:spacing w:line="240" w:lineRule="auto"/>
        <w:ind w:left="0"/>
        <w:rPr>
          <w:rFonts w:ascii="Arial" w:hAnsi="Arial" w:cs="Arial"/>
          <w:noProof w:val="0"/>
          <w:color w:val="auto"/>
          <w:sz w:val="22"/>
          <w:szCs w:val="22"/>
          <w:lang w:val="fr-FR"/>
        </w:rPr>
      </w:pPr>
      <w:r w:rsidRPr="00F920D7">
        <w:rPr>
          <w:rFonts w:ascii="Arial" w:hAnsi="Arial" w:cs="Arial"/>
          <w:noProof w:val="0"/>
          <w:color w:val="auto"/>
          <w:sz w:val="22"/>
          <w:szCs w:val="22"/>
          <w:lang w:val="fr-FR"/>
        </w:rPr>
        <w:t>Des exceptions et limitations raisonnables peuvent et doivent définir un cadre permettant aux bibliothèques et aux services d</w:t>
      </w:r>
      <w:r w:rsidR="0084657D" w:rsidRPr="00F920D7">
        <w:rPr>
          <w:rFonts w:ascii="Arial" w:hAnsi="Arial" w:cs="Arial"/>
          <w:noProof w:val="0"/>
          <w:color w:val="auto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noProof w:val="0"/>
          <w:color w:val="auto"/>
          <w:sz w:val="22"/>
          <w:szCs w:val="22"/>
          <w:lang w:val="fr-FR"/>
        </w:rPr>
        <w:t>archives de mettre à la disposition des chercheurs et d</w:t>
      </w:r>
      <w:r w:rsidR="0084657D" w:rsidRPr="00F920D7">
        <w:rPr>
          <w:rFonts w:ascii="Arial" w:hAnsi="Arial" w:cs="Arial"/>
          <w:noProof w:val="0"/>
          <w:color w:val="auto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noProof w:val="0"/>
          <w:color w:val="auto"/>
          <w:sz w:val="22"/>
          <w:szCs w:val="22"/>
          <w:lang w:val="fr-FR"/>
        </w:rPr>
        <w:t>autres utilisateurs des copies de certains documents, directement ou par le biais de bibliothèques servant d</w:t>
      </w:r>
      <w:r w:rsidR="0084657D" w:rsidRPr="00F920D7">
        <w:rPr>
          <w:rFonts w:ascii="Arial" w:hAnsi="Arial" w:cs="Arial"/>
          <w:noProof w:val="0"/>
          <w:color w:val="auto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noProof w:val="0"/>
          <w:color w:val="auto"/>
          <w:sz w:val="22"/>
          <w:szCs w:val="22"/>
          <w:lang w:val="fr-FR"/>
        </w:rPr>
        <w:t>intermédiaires</w:t>
      </w:r>
      <w:r w:rsidR="002F5EB3" w:rsidRPr="00F920D7">
        <w:rPr>
          <w:rFonts w:ascii="Arial" w:hAnsi="Arial" w:cs="Arial"/>
          <w:noProof w:val="0"/>
          <w:color w:val="auto"/>
          <w:sz w:val="22"/>
          <w:szCs w:val="22"/>
          <w:lang w:val="fr-FR"/>
        </w:rPr>
        <w:t>.</w:t>
      </w:r>
    </w:p>
    <w:p w:rsidR="002F5EB3" w:rsidRPr="00F920D7" w:rsidRDefault="00E062F9" w:rsidP="00D935CA">
      <w:pPr>
        <w:pStyle w:val="Heading1"/>
        <w:rPr>
          <w:lang w:val="fr-FR"/>
        </w:rPr>
      </w:pPr>
      <w:r w:rsidRPr="00F920D7">
        <w:rPr>
          <w:lang w:val="fr-FR"/>
        </w:rPr>
        <w:t>Dépôt légal</w:t>
      </w:r>
    </w:p>
    <w:p w:rsidR="002F5EB3" w:rsidRPr="00F920D7" w:rsidRDefault="002F5EB3" w:rsidP="00D935CA">
      <w:pPr>
        <w:pStyle w:val="Heading4"/>
        <w:keepNext w:val="0"/>
        <w:rPr>
          <w:lang w:val="fr-FR"/>
        </w:rPr>
      </w:pPr>
      <w:r w:rsidRPr="00F920D7">
        <w:rPr>
          <w:lang w:val="fr-FR"/>
        </w:rPr>
        <w:t>Objecti</w:t>
      </w:r>
      <w:r w:rsidR="00466470" w:rsidRPr="00F920D7">
        <w:rPr>
          <w:lang w:val="fr-FR"/>
        </w:rPr>
        <w:t>f </w:t>
      </w:r>
      <w:r w:rsidRPr="00F920D7">
        <w:rPr>
          <w:lang w:val="fr-FR"/>
        </w:rPr>
        <w:t>:</w:t>
      </w:r>
    </w:p>
    <w:p w:rsidR="002F5EB3" w:rsidRPr="00F920D7" w:rsidRDefault="00466470" w:rsidP="00D935CA">
      <w:pPr>
        <w:pStyle w:val="Heading4"/>
        <w:keepNext w:val="0"/>
        <w:rPr>
          <w:i w:val="0"/>
          <w:lang w:val="fr-FR"/>
        </w:rPr>
      </w:pPr>
      <w:r w:rsidRPr="00F920D7">
        <w:rPr>
          <w:i w:val="0"/>
          <w:lang w:val="fr-FR"/>
        </w:rPr>
        <w:t>Encourager l</w:t>
      </w:r>
      <w:r w:rsidR="0084657D" w:rsidRPr="00F920D7">
        <w:rPr>
          <w:i w:val="0"/>
          <w:lang w:val="fr-FR"/>
        </w:rPr>
        <w:t>’</w:t>
      </w:r>
      <w:r w:rsidRPr="00F920D7">
        <w:rPr>
          <w:i w:val="0"/>
          <w:lang w:val="fr-FR"/>
        </w:rPr>
        <w:t>adoption de lois et de systèmes nationaux de dépôt légal</w:t>
      </w:r>
      <w:r w:rsidR="002F5EB3" w:rsidRPr="00F920D7">
        <w:rPr>
          <w:i w:val="0"/>
          <w:lang w:val="fr-FR"/>
        </w:rPr>
        <w:t>.</w:t>
      </w:r>
    </w:p>
    <w:p w:rsidR="002F5EB3" w:rsidRPr="00F920D7" w:rsidRDefault="002F5EB3" w:rsidP="00D935CA">
      <w:pPr>
        <w:pStyle w:val="Heading4"/>
        <w:keepNext w:val="0"/>
        <w:rPr>
          <w:lang w:val="fr-FR"/>
        </w:rPr>
      </w:pPr>
      <w:r w:rsidRPr="00F920D7">
        <w:rPr>
          <w:lang w:val="fr-FR"/>
        </w:rPr>
        <w:t>Principes</w:t>
      </w:r>
      <w:r w:rsidR="00466470" w:rsidRPr="00F920D7">
        <w:rPr>
          <w:lang w:val="fr-FR"/>
        </w:rPr>
        <w:t> </w:t>
      </w:r>
      <w:r w:rsidRPr="00F920D7">
        <w:rPr>
          <w:lang w:val="fr-FR"/>
        </w:rPr>
        <w:t>:</w:t>
      </w:r>
    </w:p>
    <w:p w:rsidR="002F5EB3" w:rsidRPr="00F920D7" w:rsidRDefault="002F5EB3" w:rsidP="00D935CA">
      <w:pPr>
        <w:tabs>
          <w:tab w:val="left" w:pos="1170"/>
        </w:tabs>
        <w:rPr>
          <w:i/>
          <w:szCs w:val="22"/>
          <w:lang w:val="fr-FR"/>
        </w:rPr>
      </w:pPr>
    </w:p>
    <w:p w:rsidR="002F5EB3" w:rsidRPr="00F920D7" w:rsidRDefault="00466470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Les systèmes de dépôt légal contribuent à enrichir les collections nationales et peuvent faciliter les efforts de conservation, notamment s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ils portent sur de nombreuses catégories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œuvres publiées dans de multiples formats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tabs>
          <w:tab w:val="left" w:pos="1170"/>
        </w:tabs>
        <w:rPr>
          <w:szCs w:val="22"/>
          <w:lang w:val="fr-FR"/>
        </w:rPr>
      </w:pPr>
    </w:p>
    <w:p w:rsidR="0084657D" w:rsidRPr="00F920D7" w:rsidRDefault="00466470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Les bibliothèques et les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servent également le public en tenant à jour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information essentielle de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 xml:space="preserve">administration publique. </w:t>
      </w:r>
      <w:r w:rsidR="00577DFC" w:rsidRPr="00F920D7">
        <w:rPr>
          <w:szCs w:val="22"/>
          <w:lang w:val="fr-FR"/>
        </w:rPr>
        <w:t xml:space="preserve"> </w:t>
      </w:r>
      <w:r w:rsidRPr="00F920D7">
        <w:rPr>
          <w:szCs w:val="22"/>
          <w:lang w:val="fr-FR"/>
        </w:rPr>
        <w:t>Les restrictions de droit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auteur pesant sur les œuvres de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administration publique ne doivent pas limiter la capacité des bibliothèques et des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de recevoir, conserver et diffuser ces œuvres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344A92" w:rsidP="00D935CA">
      <w:pPr>
        <w:pStyle w:val="Heading1"/>
        <w:rPr>
          <w:lang w:val="fr-FR"/>
        </w:rPr>
      </w:pPr>
      <w:r w:rsidRPr="00F920D7">
        <w:rPr>
          <w:lang w:val="fr-FR"/>
        </w:rPr>
        <w:t>Exceptions et limitations dans un environnement numérique</w:t>
      </w:r>
    </w:p>
    <w:p w:rsidR="002F5EB3" w:rsidRPr="00F920D7" w:rsidRDefault="002F5EB3" w:rsidP="00D935CA">
      <w:pPr>
        <w:pStyle w:val="Heading4"/>
        <w:keepNext w:val="0"/>
        <w:rPr>
          <w:lang w:val="fr-FR"/>
        </w:rPr>
      </w:pPr>
      <w:r w:rsidRPr="00F920D7">
        <w:rPr>
          <w:lang w:val="fr-FR"/>
        </w:rPr>
        <w:t>Objecti</w:t>
      </w:r>
      <w:r w:rsidR="00466470" w:rsidRPr="00F920D7">
        <w:rPr>
          <w:lang w:val="fr-FR"/>
        </w:rPr>
        <w:t>f </w:t>
      </w:r>
      <w:r w:rsidRPr="00F920D7">
        <w:rPr>
          <w:lang w:val="fr-FR"/>
        </w:rPr>
        <w:t>:</w:t>
      </w:r>
    </w:p>
    <w:p w:rsidR="002F5EB3" w:rsidRPr="00F920D7" w:rsidRDefault="002F5EB3" w:rsidP="00D935CA">
      <w:pPr>
        <w:tabs>
          <w:tab w:val="left" w:pos="1170"/>
        </w:tabs>
        <w:rPr>
          <w:szCs w:val="22"/>
          <w:lang w:val="fr-FR"/>
        </w:rPr>
      </w:pPr>
    </w:p>
    <w:p w:rsidR="002F5EB3" w:rsidRPr="00F920D7" w:rsidRDefault="00B00747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Permettre aux bibliothèques et aux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de mener à bien leur mission de service public dans l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environnement numérique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pStyle w:val="Heading4"/>
        <w:keepNext w:val="0"/>
        <w:rPr>
          <w:lang w:val="fr-FR"/>
        </w:rPr>
      </w:pPr>
      <w:r w:rsidRPr="00F920D7">
        <w:rPr>
          <w:lang w:val="fr-FR"/>
        </w:rPr>
        <w:t>Principes</w:t>
      </w:r>
      <w:r w:rsidR="00B00747" w:rsidRPr="00F920D7">
        <w:rPr>
          <w:lang w:val="fr-FR"/>
        </w:rPr>
        <w:t> </w:t>
      </w:r>
      <w:r w:rsidRPr="00F920D7">
        <w:rPr>
          <w:lang w:val="fr-FR"/>
        </w:rPr>
        <w:t>:</w:t>
      </w:r>
    </w:p>
    <w:p w:rsidR="002F5EB3" w:rsidRPr="00F920D7" w:rsidRDefault="002F5EB3" w:rsidP="00D935CA">
      <w:pPr>
        <w:tabs>
          <w:tab w:val="left" w:pos="1170"/>
        </w:tabs>
        <w:rPr>
          <w:i/>
          <w:szCs w:val="22"/>
          <w:lang w:val="fr-FR"/>
        </w:rPr>
      </w:pPr>
    </w:p>
    <w:p w:rsidR="002F5EB3" w:rsidRPr="00F920D7" w:rsidRDefault="00B00747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Les technologies numériques changent la manière dont les bibliothèques et les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obtiennent</w:t>
      </w:r>
      <w:r w:rsidR="00577DFC" w:rsidRPr="00F920D7">
        <w:rPr>
          <w:szCs w:val="22"/>
          <w:lang w:val="fr-FR"/>
        </w:rPr>
        <w:t xml:space="preserve"> et </w:t>
      </w:r>
      <w:r w:rsidRPr="00F920D7">
        <w:rPr>
          <w:szCs w:val="22"/>
          <w:lang w:val="fr-FR"/>
        </w:rPr>
        <w:t xml:space="preserve">conservent </w:t>
      </w:r>
      <w:r w:rsidR="00577DFC" w:rsidRPr="00F920D7">
        <w:rPr>
          <w:szCs w:val="22"/>
          <w:lang w:val="fr-FR"/>
        </w:rPr>
        <w:t xml:space="preserve">les contenus numériques </w:t>
      </w:r>
      <w:r w:rsidRPr="00F920D7">
        <w:rPr>
          <w:szCs w:val="22"/>
          <w:lang w:val="fr-FR"/>
        </w:rPr>
        <w:t xml:space="preserve">et </w:t>
      </w:r>
      <w:r w:rsidR="00577DFC" w:rsidRPr="00F920D7">
        <w:rPr>
          <w:szCs w:val="22"/>
          <w:lang w:val="fr-FR"/>
        </w:rPr>
        <w:t>donnent</w:t>
      </w:r>
      <w:r w:rsidRPr="00F920D7">
        <w:rPr>
          <w:szCs w:val="22"/>
          <w:lang w:val="fr-FR"/>
        </w:rPr>
        <w:t xml:space="preserve"> accès </w:t>
      </w:r>
      <w:r w:rsidR="00577DFC" w:rsidRPr="00F920D7">
        <w:rPr>
          <w:szCs w:val="22"/>
          <w:lang w:val="fr-FR"/>
        </w:rPr>
        <w:t>à ces</w:t>
      </w:r>
      <w:r w:rsidRPr="00F920D7">
        <w:rPr>
          <w:szCs w:val="22"/>
          <w:lang w:val="fr-FR"/>
        </w:rPr>
        <w:t xml:space="preserve"> contenus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tabs>
          <w:tab w:val="left" w:pos="1170"/>
        </w:tabs>
        <w:rPr>
          <w:szCs w:val="22"/>
          <w:lang w:val="fr-FR"/>
        </w:rPr>
      </w:pPr>
    </w:p>
    <w:p w:rsidR="0084657D" w:rsidRPr="00F920D7" w:rsidRDefault="00B00747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 xml:space="preserve">Les limitations et </w:t>
      </w:r>
      <w:r w:rsidR="002F5EB3" w:rsidRPr="00F920D7">
        <w:rPr>
          <w:szCs w:val="22"/>
          <w:lang w:val="fr-FR"/>
        </w:rPr>
        <w:t xml:space="preserve">exceptions </w:t>
      </w:r>
      <w:r w:rsidRPr="00F920D7">
        <w:rPr>
          <w:szCs w:val="22"/>
          <w:lang w:val="fr-FR"/>
        </w:rPr>
        <w:t>doivent permettre aux bibliothèques et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 xml:space="preserve">archives de </w:t>
      </w:r>
      <w:r w:rsidR="00577DFC" w:rsidRPr="00F920D7">
        <w:rPr>
          <w:szCs w:val="22"/>
          <w:lang w:val="fr-FR"/>
        </w:rPr>
        <w:t>con</w:t>
      </w:r>
      <w:r w:rsidRPr="00F920D7">
        <w:rPr>
          <w:szCs w:val="22"/>
          <w:lang w:val="fr-FR"/>
        </w:rPr>
        <w:t xml:space="preserve">server les informations </w:t>
      </w:r>
      <w:r w:rsidR="00326BD0">
        <w:rPr>
          <w:szCs w:val="22"/>
          <w:lang w:val="fr-FR"/>
        </w:rPr>
        <w:t>élaborées</w:t>
      </w:r>
      <w:r w:rsidRPr="00F920D7">
        <w:rPr>
          <w:szCs w:val="22"/>
          <w:lang w:val="fr-FR"/>
        </w:rPr>
        <w:t xml:space="preserve"> et </w:t>
      </w:r>
      <w:r w:rsidR="00326BD0">
        <w:rPr>
          <w:szCs w:val="22"/>
          <w:lang w:val="fr-FR"/>
        </w:rPr>
        <w:t>diffusées</w:t>
      </w:r>
      <w:r w:rsidRPr="00F920D7">
        <w:rPr>
          <w:szCs w:val="22"/>
          <w:lang w:val="fr-FR"/>
        </w:rPr>
        <w:t xml:space="preserve"> sous une forme numérique et par des technologies en réseau et d</w:t>
      </w:r>
      <w:r w:rsidR="00577DFC" w:rsidRPr="00F920D7">
        <w:rPr>
          <w:szCs w:val="22"/>
          <w:lang w:val="fr-FR"/>
        </w:rPr>
        <w:t xml:space="preserve">e </w:t>
      </w:r>
      <w:r w:rsidRPr="00F920D7">
        <w:rPr>
          <w:szCs w:val="22"/>
          <w:lang w:val="fr-FR"/>
        </w:rPr>
        <w:t>donner accès</w:t>
      </w:r>
      <w:r w:rsidR="00577DFC" w:rsidRPr="00F920D7">
        <w:rPr>
          <w:szCs w:val="22"/>
          <w:lang w:val="fr-FR"/>
        </w:rPr>
        <w:t xml:space="preserve"> à ces informations</w:t>
      </w:r>
      <w:r w:rsidRPr="00F920D7">
        <w:rPr>
          <w:szCs w:val="22"/>
          <w:lang w:val="fr-FR"/>
        </w:rPr>
        <w:t>.</w:t>
      </w:r>
    </w:p>
    <w:p w:rsidR="00CE68E9" w:rsidRPr="00F920D7" w:rsidRDefault="00CE68E9" w:rsidP="00D935CA">
      <w:pPr>
        <w:rPr>
          <w:szCs w:val="22"/>
          <w:lang w:val="fr-FR"/>
        </w:rPr>
      </w:pPr>
    </w:p>
    <w:p w:rsidR="002F5EB3" w:rsidRPr="00F920D7" w:rsidRDefault="00344A92" w:rsidP="00D935CA">
      <w:pPr>
        <w:pStyle w:val="Heading1"/>
        <w:rPr>
          <w:lang w:val="fr-FR"/>
        </w:rPr>
      </w:pPr>
      <w:r w:rsidRPr="00F920D7">
        <w:rPr>
          <w:lang w:val="fr-FR"/>
        </w:rPr>
        <w:t>Autres principes généraux</w:t>
      </w:r>
    </w:p>
    <w:p w:rsidR="002F5EB3" w:rsidRPr="00F920D7" w:rsidRDefault="002F5EB3" w:rsidP="00D935CA">
      <w:pPr>
        <w:rPr>
          <w:szCs w:val="22"/>
          <w:lang w:val="fr-FR"/>
        </w:rPr>
      </w:pPr>
    </w:p>
    <w:p w:rsidR="0084657D" w:rsidRPr="00F920D7" w:rsidRDefault="00577DFC" w:rsidP="00D935CA">
      <w:pPr>
        <w:tabs>
          <w:tab w:val="left" w:pos="1170"/>
        </w:tabs>
        <w:rPr>
          <w:szCs w:val="22"/>
          <w:lang w:val="fr-FR"/>
        </w:rPr>
      </w:pPr>
      <w:r w:rsidRPr="00F920D7">
        <w:rPr>
          <w:szCs w:val="22"/>
          <w:lang w:val="fr-FR"/>
        </w:rPr>
        <w:t>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autres exceptions et limitations, y</w:t>
      </w:r>
      <w:r w:rsidR="00596A3D" w:rsidRPr="00F920D7">
        <w:rPr>
          <w:szCs w:val="22"/>
          <w:lang w:val="fr-FR"/>
        </w:rPr>
        <w:t> </w:t>
      </w:r>
      <w:r w:rsidRPr="00F920D7">
        <w:rPr>
          <w:szCs w:val="22"/>
          <w:lang w:val="fr-FR"/>
        </w:rPr>
        <w:t>compris des exceptions générales, peuvent aussi jouer un rôle important s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agissant de permettre aux bibliothèques et aux services d</w:t>
      </w:r>
      <w:r w:rsidR="0084657D" w:rsidRPr="00F920D7">
        <w:rPr>
          <w:szCs w:val="22"/>
          <w:lang w:val="fr-FR"/>
        </w:rPr>
        <w:t>’</w:t>
      </w:r>
      <w:r w:rsidRPr="00F920D7">
        <w:rPr>
          <w:szCs w:val="22"/>
          <w:lang w:val="fr-FR"/>
        </w:rPr>
        <w:t>archives de mener à bien leur mission de service public</w:t>
      </w:r>
      <w:r w:rsidR="002F5EB3" w:rsidRPr="00F920D7">
        <w:rPr>
          <w:szCs w:val="22"/>
          <w:lang w:val="fr-FR"/>
        </w:rPr>
        <w:t>.</w:t>
      </w:r>
    </w:p>
    <w:p w:rsidR="002F5EB3" w:rsidRPr="00F920D7" w:rsidRDefault="002F5EB3" w:rsidP="00D935CA">
      <w:pPr>
        <w:pStyle w:val="BodyTextIndent2"/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</w:p>
    <w:p w:rsidR="002F5EB3" w:rsidRPr="00F920D7" w:rsidRDefault="00577DFC" w:rsidP="00D935CA">
      <w:pPr>
        <w:pStyle w:val="BodyTextIndent2"/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Les États membres doivent prévoir pour certains types d</w:t>
      </w:r>
      <w:r w:rsidR="0084657D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atteintes des limitations de responsabilité applicables aux bibliothèques et aux services d</w:t>
      </w:r>
      <w:r w:rsidR="0084657D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archives ainsi qu</w:t>
      </w:r>
      <w:r w:rsidR="0084657D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à leurs employés et agents qui agissent de bonne foi, en pensant ou en ayant des raisons de penser que leurs actes sont conformes à la législation sur le droit d</w:t>
      </w:r>
      <w:r w:rsidR="0084657D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auteur</w:t>
      </w:r>
      <w:r w:rsidR="002F5EB3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.</w:t>
      </w:r>
    </w:p>
    <w:p w:rsidR="002F5EB3" w:rsidRPr="00F920D7" w:rsidRDefault="002F5EB3" w:rsidP="00D935CA">
      <w:pPr>
        <w:pStyle w:val="BodyTextIndent2"/>
        <w:spacing w:line="240" w:lineRule="auto"/>
        <w:ind w:left="0"/>
        <w:rPr>
          <w:rFonts w:ascii="Arial" w:hAnsi="Arial" w:cs="Arial"/>
          <w:noProof w:val="0"/>
          <w:sz w:val="22"/>
          <w:szCs w:val="22"/>
          <w:lang w:val="fr-FR"/>
        </w:rPr>
      </w:pPr>
    </w:p>
    <w:p w:rsidR="002F5EB3" w:rsidRPr="00F920D7" w:rsidRDefault="00577DFC" w:rsidP="00D935CA">
      <w:pPr>
        <w:pStyle w:val="BodyTextIndent2"/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Les titulaires de droits ont un rôle crucial à jouer pour assurer un accès durable aux œuvres protégées dans les pays développés et les pays en développement.  Lorsque le rythme de l</w:t>
      </w:r>
      <w:r w:rsidR="0084657D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évolution technologique appelle des réponses adaptées, les États membres devraient encourager la recherche de solutions concertées et innovantes entre toutes les parties prenantes</w:t>
      </w:r>
      <w:r w:rsidR="002F5EB3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.</w:t>
      </w:r>
    </w:p>
    <w:p w:rsidR="002F5EB3" w:rsidRPr="00F920D7" w:rsidRDefault="002F5EB3" w:rsidP="00D935CA">
      <w:pPr>
        <w:pStyle w:val="BodyTextIndent2"/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</w:p>
    <w:p w:rsidR="0084657D" w:rsidRPr="00F920D7" w:rsidRDefault="00577DFC" w:rsidP="00D935CA">
      <w:pPr>
        <w:pStyle w:val="BodyTextIndent2"/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Les musées partagent avec les bibliothèques et les services d</w:t>
      </w:r>
      <w:r w:rsidR="0084657D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archives de nombreuses missions de service public, et les États membres voudront peut</w:t>
      </w:r>
      <w:r w:rsidR="00F920D7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noBreakHyphen/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être envisager la possibilité de prévoir des exceptions et limitations identiques ou semblables à leur intention</w:t>
      </w:r>
      <w:r w:rsidR="002F5EB3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.</w:t>
      </w:r>
    </w:p>
    <w:p w:rsidR="002F5EB3" w:rsidRPr="00F920D7" w:rsidRDefault="002F5EB3" w:rsidP="00D935CA">
      <w:pPr>
        <w:pStyle w:val="BodyTextIndent2"/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</w:p>
    <w:p w:rsidR="0084657D" w:rsidRPr="00F920D7" w:rsidRDefault="002F5EB3" w:rsidP="00D935CA">
      <w:pPr>
        <w:pStyle w:val="BodyTextIndent2"/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L</w:t>
      </w:r>
      <w:r w:rsidR="00F45551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es bibliothèques et les services d</w:t>
      </w:r>
      <w:r w:rsidR="0084657D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’</w:t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 xml:space="preserve">archives </w:t>
      </w:r>
      <w:r w:rsidR="00F45551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doivent mettre en place des garanties adaptées afin de veiller à l</w:t>
      </w:r>
      <w:r w:rsidR="0084657D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’</w:t>
      </w:r>
      <w:r w:rsidR="00F45551"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application responsable et légitime des exceptions et limitations</w:t>
      </w:r>
      <w:r w:rsidRPr="00F920D7">
        <w:rPr>
          <w:rFonts w:ascii="Arial" w:hAnsi="Arial" w:cs="Arial"/>
          <w:i w:val="0"/>
          <w:noProof w:val="0"/>
          <w:sz w:val="22"/>
          <w:szCs w:val="22"/>
          <w:lang w:val="fr-FR"/>
        </w:rPr>
        <w:t>.</w:t>
      </w:r>
    </w:p>
    <w:p w:rsidR="002F5EB3" w:rsidRPr="00F920D7" w:rsidRDefault="002F5EB3" w:rsidP="00D935CA">
      <w:pPr>
        <w:pStyle w:val="BodyTextIndent2"/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</w:p>
    <w:p w:rsidR="002F5EB3" w:rsidRPr="00F920D7" w:rsidRDefault="002F5EB3" w:rsidP="00D935CA">
      <w:pPr>
        <w:pStyle w:val="BodyTextIndent2"/>
        <w:tabs>
          <w:tab w:val="clear" w:pos="1170"/>
        </w:tabs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</w:p>
    <w:p w:rsidR="002F5EB3" w:rsidRPr="00F920D7" w:rsidRDefault="002F5EB3" w:rsidP="00D935CA">
      <w:pPr>
        <w:pStyle w:val="BodyTextIndent2"/>
        <w:tabs>
          <w:tab w:val="clear" w:pos="1170"/>
        </w:tabs>
        <w:spacing w:line="240" w:lineRule="auto"/>
        <w:ind w:left="0"/>
        <w:rPr>
          <w:rFonts w:ascii="Arial" w:hAnsi="Arial" w:cs="Arial"/>
          <w:i w:val="0"/>
          <w:noProof w:val="0"/>
          <w:sz w:val="22"/>
          <w:szCs w:val="22"/>
          <w:lang w:val="fr-FR"/>
        </w:rPr>
      </w:pPr>
    </w:p>
    <w:p w:rsidR="002F5EB3" w:rsidRPr="00F920D7" w:rsidRDefault="002F5EB3" w:rsidP="00D935CA">
      <w:pPr>
        <w:pStyle w:val="Endofdocument-Annex"/>
        <w:ind w:left="5387"/>
        <w:rPr>
          <w:lang w:val="fr-FR"/>
        </w:rPr>
      </w:pPr>
      <w:r w:rsidRPr="00F920D7">
        <w:rPr>
          <w:lang w:val="fr-FR"/>
        </w:rPr>
        <w:t>[</w:t>
      </w:r>
      <w:r w:rsidR="00F45551" w:rsidRPr="00F920D7">
        <w:rPr>
          <w:lang w:val="fr-FR"/>
        </w:rPr>
        <w:t xml:space="preserve">Fin du </w:t>
      </w:r>
      <w:r w:rsidRPr="00F920D7">
        <w:rPr>
          <w:lang w:val="fr-FR"/>
        </w:rPr>
        <w:t>document]</w:t>
      </w:r>
    </w:p>
    <w:sectPr w:rsidR="002F5EB3" w:rsidRPr="00F920D7" w:rsidSect="00B6193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B3" w:rsidRDefault="002F5EB3">
      <w:r>
        <w:separator/>
      </w:r>
    </w:p>
  </w:endnote>
  <w:endnote w:type="continuationSeparator" w:id="0">
    <w:p w:rsidR="002F5EB3" w:rsidRDefault="002F5EB3" w:rsidP="003B38C1">
      <w:r>
        <w:separator/>
      </w:r>
    </w:p>
    <w:p w:rsidR="002F5EB3" w:rsidRPr="003B38C1" w:rsidRDefault="002F5E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5EB3" w:rsidRPr="003B38C1" w:rsidRDefault="002F5E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B3" w:rsidRDefault="002F5EB3">
      <w:r>
        <w:separator/>
      </w:r>
    </w:p>
  </w:footnote>
  <w:footnote w:type="continuationSeparator" w:id="0">
    <w:p w:rsidR="002F5EB3" w:rsidRDefault="002F5EB3" w:rsidP="008B60B2">
      <w:r>
        <w:separator/>
      </w:r>
    </w:p>
    <w:p w:rsidR="002F5EB3" w:rsidRPr="00ED77FB" w:rsidRDefault="002F5E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5EB3" w:rsidRPr="00ED77FB" w:rsidRDefault="002F5E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F5EB3" w:rsidP="00477D6B">
    <w:pPr>
      <w:jc w:val="right"/>
    </w:pPr>
    <w:bookmarkStart w:id="5" w:name="Code2"/>
    <w:bookmarkEnd w:id="5"/>
    <w:r>
      <w:t>SCCR/26/8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977D9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B3"/>
    <w:rsid w:val="00043CAA"/>
    <w:rsid w:val="00075432"/>
    <w:rsid w:val="000854AE"/>
    <w:rsid w:val="000968ED"/>
    <w:rsid w:val="000F5E56"/>
    <w:rsid w:val="001362EE"/>
    <w:rsid w:val="001832A6"/>
    <w:rsid w:val="002634C4"/>
    <w:rsid w:val="002928D3"/>
    <w:rsid w:val="002F1FE6"/>
    <w:rsid w:val="002F4E68"/>
    <w:rsid w:val="002F5EB3"/>
    <w:rsid w:val="003021A1"/>
    <w:rsid w:val="00312F7F"/>
    <w:rsid w:val="00326BD0"/>
    <w:rsid w:val="00341AEE"/>
    <w:rsid w:val="00344A92"/>
    <w:rsid w:val="00361450"/>
    <w:rsid w:val="003673CF"/>
    <w:rsid w:val="003845C1"/>
    <w:rsid w:val="003A6F89"/>
    <w:rsid w:val="003B38C1"/>
    <w:rsid w:val="003D25D3"/>
    <w:rsid w:val="003E1E89"/>
    <w:rsid w:val="00423E3E"/>
    <w:rsid w:val="00427AF4"/>
    <w:rsid w:val="004647DA"/>
    <w:rsid w:val="00466470"/>
    <w:rsid w:val="00474062"/>
    <w:rsid w:val="00477D6B"/>
    <w:rsid w:val="005019FF"/>
    <w:rsid w:val="0053057A"/>
    <w:rsid w:val="00547F4C"/>
    <w:rsid w:val="00560A29"/>
    <w:rsid w:val="00577DFC"/>
    <w:rsid w:val="00590A4D"/>
    <w:rsid w:val="00596A3D"/>
    <w:rsid w:val="005C6649"/>
    <w:rsid w:val="00605827"/>
    <w:rsid w:val="00646050"/>
    <w:rsid w:val="006713CA"/>
    <w:rsid w:val="00676C5C"/>
    <w:rsid w:val="00767180"/>
    <w:rsid w:val="007D1613"/>
    <w:rsid w:val="0084657D"/>
    <w:rsid w:val="00853F21"/>
    <w:rsid w:val="008B2CC1"/>
    <w:rsid w:val="008B60B2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15AF9"/>
    <w:rsid w:val="00A33FEB"/>
    <w:rsid w:val="00A42DAF"/>
    <w:rsid w:val="00A45BD8"/>
    <w:rsid w:val="00A80CD7"/>
    <w:rsid w:val="00A869B7"/>
    <w:rsid w:val="00AC205C"/>
    <w:rsid w:val="00AF0A6B"/>
    <w:rsid w:val="00B00747"/>
    <w:rsid w:val="00B05A69"/>
    <w:rsid w:val="00B61939"/>
    <w:rsid w:val="00B64600"/>
    <w:rsid w:val="00B81922"/>
    <w:rsid w:val="00B85736"/>
    <w:rsid w:val="00B9734B"/>
    <w:rsid w:val="00BA5D35"/>
    <w:rsid w:val="00C11BFE"/>
    <w:rsid w:val="00C977D9"/>
    <w:rsid w:val="00CE68E9"/>
    <w:rsid w:val="00D23B7D"/>
    <w:rsid w:val="00D45252"/>
    <w:rsid w:val="00D718AA"/>
    <w:rsid w:val="00D71B4D"/>
    <w:rsid w:val="00D935CA"/>
    <w:rsid w:val="00D93D55"/>
    <w:rsid w:val="00E062F9"/>
    <w:rsid w:val="00E335FE"/>
    <w:rsid w:val="00EC4E49"/>
    <w:rsid w:val="00ED77FB"/>
    <w:rsid w:val="00EE45FA"/>
    <w:rsid w:val="00F45551"/>
    <w:rsid w:val="00F66152"/>
    <w:rsid w:val="00F9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2F5EB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4Char">
    <w:name w:val="Heading 4 Char"/>
    <w:link w:val="Heading4"/>
    <w:rsid w:val="002F5EB3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BodyTextIndent2">
    <w:name w:val="Body Text Indent 2"/>
    <w:basedOn w:val="Normal"/>
    <w:link w:val="BodyTextIndent2Char"/>
    <w:rsid w:val="002F5EB3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F5EB3"/>
    <w:rPr>
      <w:rFonts w:ascii="Californian FB" w:eastAsia="MS ??" w:hAnsi="Californian FB"/>
      <w:i/>
      <w:noProof/>
    </w:rPr>
  </w:style>
  <w:style w:type="paragraph" w:styleId="BodyTextIndent3">
    <w:name w:val="Body Text Indent 3"/>
    <w:basedOn w:val="Normal"/>
    <w:link w:val="BodyTextIndent3Char"/>
    <w:rsid w:val="002F5EB3"/>
    <w:pPr>
      <w:tabs>
        <w:tab w:val="left" w:pos="1170"/>
      </w:tabs>
      <w:spacing w:after="120" w:line="260" w:lineRule="atLeast"/>
      <w:ind w:left="720"/>
      <w:contextualSpacing/>
    </w:pPr>
    <w:rPr>
      <w:rFonts w:ascii="Times New Roman" w:eastAsia="MS ??" w:hAnsi="Times New Roman" w:cs="Times New Roman"/>
      <w:noProof/>
      <w:color w:val="000000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F5EB3"/>
    <w:rPr>
      <w:rFonts w:eastAsia="MS ??"/>
      <w:noProof/>
      <w:color w:val="000000"/>
      <w:sz w:val="24"/>
    </w:rPr>
  </w:style>
  <w:style w:type="paragraph" w:styleId="BalloonText">
    <w:name w:val="Balloon Text"/>
    <w:basedOn w:val="Normal"/>
    <w:link w:val="BalloonTextChar"/>
    <w:rsid w:val="00CE6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8E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F92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2F5EB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4Char">
    <w:name w:val="Heading 4 Char"/>
    <w:link w:val="Heading4"/>
    <w:rsid w:val="002F5EB3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BodyTextIndent2">
    <w:name w:val="Body Text Indent 2"/>
    <w:basedOn w:val="Normal"/>
    <w:link w:val="BodyTextIndent2Char"/>
    <w:rsid w:val="002F5EB3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F5EB3"/>
    <w:rPr>
      <w:rFonts w:ascii="Californian FB" w:eastAsia="MS ??" w:hAnsi="Californian FB"/>
      <w:i/>
      <w:noProof/>
    </w:rPr>
  </w:style>
  <w:style w:type="paragraph" w:styleId="BodyTextIndent3">
    <w:name w:val="Body Text Indent 3"/>
    <w:basedOn w:val="Normal"/>
    <w:link w:val="BodyTextIndent3Char"/>
    <w:rsid w:val="002F5EB3"/>
    <w:pPr>
      <w:tabs>
        <w:tab w:val="left" w:pos="1170"/>
      </w:tabs>
      <w:spacing w:after="120" w:line="260" w:lineRule="atLeast"/>
      <w:ind w:left="720"/>
      <w:contextualSpacing/>
    </w:pPr>
    <w:rPr>
      <w:rFonts w:ascii="Times New Roman" w:eastAsia="MS ??" w:hAnsi="Times New Roman" w:cs="Times New Roman"/>
      <w:noProof/>
      <w:color w:val="000000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F5EB3"/>
    <w:rPr>
      <w:rFonts w:eastAsia="MS ??"/>
      <w:noProof/>
      <w:color w:val="000000"/>
      <w:sz w:val="24"/>
    </w:rPr>
  </w:style>
  <w:style w:type="paragraph" w:styleId="BalloonText">
    <w:name w:val="Balloon Text"/>
    <w:basedOn w:val="Normal"/>
    <w:link w:val="BalloonTextChar"/>
    <w:rsid w:val="00CE6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8E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F92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DA3B-1964-4112-A8DA-0D27B420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1</TotalTime>
  <Pages>4</Pages>
  <Words>981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ST/ko</cp:keywords>
  <cp:lastModifiedBy>HAIZEL Francesca</cp:lastModifiedBy>
  <cp:revision>3</cp:revision>
  <cp:lastPrinted>2014-03-13T15:44:00Z</cp:lastPrinted>
  <dcterms:created xsi:type="dcterms:W3CDTF">2014-03-13T15:44:00Z</dcterms:created>
  <dcterms:modified xsi:type="dcterms:W3CDTF">2014-03-13T15:45:00Z</dcterms:modified>
</cp:coreProperties>
</file>