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F2E8" w14:textId="77777777" w:rsidR="008B2CC1" w:rsidRPr="008F31F1" w:rsidRDefault="008B14EA" w:rsidP="008B14EA">
      <w:pPr>
        <w:spacing w:after="120"/>
        <w:jc w:val="right"/>
        <w:rPr>
          <w:lang w:val="es-419"/>
        </w:rPr>
      </w:pPr>
      <w:r w:rsidRPr="008F31F1">
        <w:rPr>
          <w:noProof/>
          <w:lang w:val="es-419" w:eastAsia="en-US"/>
        </w:rPr>
        <w:drawing>
          <wp:inline distT="0" distB="0" distL="0" distR="0" wp14:anchorId="6854E6F1" wp14:editId="1C2CABE8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8F31F1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78CB9C86" wp14:editId="3640B831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1986A6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4F26EB8" w14:textId="3F682F5A" w:rsidR="008B2CC1" w:rsidRPr="008F31F1" w:rsidRDefault="00D05711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8F31F1">
        <w:rPr>
          <w:rFonts w:ascii="Arial Black" w:hAnsi="Arial Black"/>
          <w:caps/>
          <w:sz w:val="15"/>
          <w:szCs w:val="15"/>
          <w:lang w:val="es-419"/>
        </w:rPr>
        <w:t>SCCR/</w:t>
      </w:r>
      <w:r w:rsidR="004269C9" w:rsidRPr="008F31F1">
        <w:rPr>
          <w:rFonts w:ascii="Arial Black" w:hAnsi="Arial Black"/>
          <w:caps/>
          <w:sz w:val="15"/>
          <w:szCs w:val="15"/>
          <w:lang w:val="es-419"/>
        </w:rPr>
        <w:t>47</w:t>
      </w:r>
      <w:r w:rsidR="00E2115C" w:rsidRPr="008F31F1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bookmarkEnd w:id="0"/>
      <w:r w:rsidR="00D1587B" w:rsidRPr="008F31F1">
        <w:rPr>
          <w:rFonts w:ascii="Arial Black" w:hAnsi="Arial Black"/>
          <w:caps/>
          <w:sz w:val="15"/>
          <w:szCs w:val="15"/>
          <w:lang w:val="es-419"/>
        </w:rPr>
        <w:t>inf/2 Rev.</w:t>
      </w:r>
      <w:r w:rsidR="004F4731" w:rsidRPr="008F31F1">
        <w:rPr>
          <w:rFonts w:ascii="Arial Black" w:hAnsi="Arial Black"/>
          <w:caps/>
          <w:sz w:val="15"/>
          <w:szCs w:val="15"/>
          <w:lang w:val="es-419"/>
        </w:rPr>
        <w:t xml:space="preserve"> 2</w:t>
      </w:r>
    </w:p>
    <w:p w14:paraId="538E6AC6" w14:textId="34551097" w:rsidR="008B2CC1" w:rsidRPr="008F31F1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8F31F1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D1587B" w:rsidRPr="008F31F1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19A31748" w14:textId="53CADC12" w:rsidR="008B2CC1" w:rsidRPr="008F31F1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8F31F1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4F4731" w:rsidRPr="008F31F1">
        <w:rPr>
          <w:rFonts w:ascii="Arial Black" w:hAnsi="Arial Black"/>
          <w:caps/>
          <w:sz w:val="15"/>
          <w:lang w:val="es-419"/>
        </w:rPr>
        <w:t>2 DE DICIEMBRE</w:t>
      </w:r>
      <w:r w:rsidR="00D1587B" w:rsidRPr="008F31F1">
        <w:rPr>
          <w:rFonts w:ascii="Arial Black" w:hAnsi="Arial Black"/>
          <w:caps/>
          <w:sz w:val="15"/>
          <w:lang w:val="es-419"/>
        </w:rPr>
        <w:t xml:space="preserve"> de 2025</w:t>
      </w:r>
    </w:p>
    <w:bookmarkEnd w:id="2"/>
    <w:p w14:paraId="20C0E778" w14:textId="77777777" w:rsidR="001C4DD3" w:rsidRPr="008F31F1" w:rsidRDefault="00E2115C" w:rsidP="00BC4EBB">
      <w:pPr>
        <w:spacing w:after="480"/>
        <w:rPr>
          <w:b/>
          <w:sz w:val="28"/>
          <w:szCs w:val="28"/>
          <w:lang w:val="es-419"/>
        </w:rPr>
      </w:pPr>
      <w:r w:rsidRPr="008F31F1">
        <w:rPr>
          <w:b/>
          <w:sz w:val="28"/>
          <w:szCs w:val="28"/>
          <w:lang w:val="es-419"/>
        </w:rPr>
        <w:t>Comité Permanente de Derecho de Autor y Derechos Conexos</w:t>
      </w:r>
    </w:p>
    <w:p w14:paraId="237CB6EB" w14:textId="77777777" w:rsidR="00E2115C" w:rsidRPr="008F31F1" w:rsidRDefault="00D05711" w:rsidP="00E2115C">
      <w:pPr>
        <w:rPr>
          <w:b/>
          <w:sz w:val="24"/>
          <w:szCs w:val="24"/>
          <w:lang w:val="es-419"/>
        </w:rPr>
      </w:pPr>
      <w:r w:rsidRPr="008F31F1">
        <w:rPr>
          <w:b/>
          <w:sz w:val="24"/>
          <w:szCs w:val="24"/>
          <w:lang w:val="es-419"/>
        </w:rPr>
        <w:t xml:space="preserve">Cuadragésima </w:t>
      </w:r>
      <w:r w:rsidR="00BC4EBB" w:rsidRPr="008F31F1">
        <w:rPr>
          <w:b/>
          <w:sz w:val="24"/>
          <w:szCs w:val="24"/>
          <w:lang w:val="es-419"/>
        </w:rPr>
        <w:t>séptima</w:t>
      </w:r>
      <w:r w:rsidR="009E4D3B" w:rsidRPr="008F31F1">
        <w:rPr>
          <w:b/>
          <w:sz w:val="24"/>
          <w:szCs w:val="24"/>
          <w:lang w:val="es-419"/>
        </w:rPr>
        <w:t xml:space="preserve"> </w:t>
      </w:r>
      <w:r w:rsidR="00E2115C" w:rsidRPr="008F31F1">
        <w:rPr>
          <w:b/>
          <w:sz w:val="24"/>
          <w:szCs w:val="24"/>
          <w:lang w:val="es-419"/>
        </w:rPr>
        <w:t>sesión</w:t>
      </w:r>
    </w:p>
    <w:p w14:paraId="0282246D" w14:textId="77777777" w:rsidR="008B2CC1" w:rsidRPr="008F31F1" w:rsidRDefault="00E2115C" w:rsidP="008B14EA">
      <w:pPr>
        <w:spacing w:after="720"/>
        <w:rPr>
          <w:b/>
          <w:sz w:val="24"/>
          <w:szCs w:val="24"/>
          <w:lang w:val="es-419"/>
        </w:rPr>
      </w:pPr>
      <w:r w:rsidRPr="008F31F1">
        <w:rPr>
          <w:b/>
          <w:sz w:val="24"/>
          <w:szCs w:val="24"/>
          <w:lang w:val="es-419"/>
        </w:rPr>
        <w:t xml:space="preserve">Ginebra, </w:t>
      </w:r>
      <w:r w:rsidR="004269C9" w:rsidRPr="008F31F1">
        <w:rPr>
          <w:b/>
          <w:sz w:val="24"/>
          <w:szCs w:val="24"/>
          <w:lang w:val="es-419"/>
        </w:rPr>
        <w:t>1</w:t>
      </w:r>
      <w:r w:rsidR="009E4D3B" w:rsidRPr="008F31F1">
        <w:rPr>
          <w:b/>
          <w:sz w:val="24"/>
          <w:szCs w:val="24"/>
          <w:lang w:val="es-419"/>
        </w:rPr>
        <w:t xml:space="preserve"> a </w:t>
      </w:r>
      <w:r w:rsidR="004269C9" w:rsidRPr="008F31F1">
        <w:rPr>
          <w:b/>
          <w:sz w:val="24"/>
          <w:szCs w:val="24"/>
          <w:lang w:val="es-419"/>
        </w:rPr>
        <w:t>5</w:t>
      </w:r>
      <w:r w:rsidR="009E4D3B" w:rsidRPr="008F31F1">
        <w:rPr>
          <w:b/>
          <w:sz w:val="24"/>
          <w:szCs w:val="24"/>
          <w:lang w:val="es-419"/>
        </w:rPr>
        <w:t xml:space="preserve"> de </w:t>
      </w:r>
      <w:r w:rsidR="004269C9" w:rsidRPr="008F31F1">
        <w:rPr>
          <w:b/>
          <w:sz w:val="24"/>
          <w:szCs w:val="24"/>
          <w:lang w:val="es-419"/>
        </w:rPr>
        <w:t>diciembre</w:t>
      </w:r>
      <w:r w:rsidR="006A60BE" w:rsidRPr="008F31F1">
        <w:rPr>
          <w:b/>
          <w:sz w:val="24"/>
          <w:szCs w:val="24"/>
          <w:lang w:val="es-419"/>
        </w:rPr>
        <w:t xml:space="preserve"> </w:t>
      </w:r>
      <w:r w:rsidR="009E4D3B" w:rsidRPr="008F31F1">
        <w:rPr>
          <w:b/>
          <w:sz w:val="24"/>
          <w:szCs w:val="24"/>
          <w:lang w:val="es-419"/>
        </w:rPr>
        <w:t>de 202</w:t>
      </w:r>
      <w:r w:rsidR="00470516" w:rsidRPr="008F31F1">
        <w:rPr>
          <w:b/>
          <w:sz w:val="24"/>
          <w:szCs w:val="24"/>
          <w:lang w:val="es-419"/>
        </w:rPr>
        <w:t>5</w:t>
      </w:r>
    </w:p>
    <w:p w14:paraId="3CAA40CF" w14:textId="77777777" w:rsidR="004F4731" w:rsidRPr="008F31F1" w:rsidRDefault="004F4731" w:rsidP="004F4731">
      <w:pPr>
        <w:spacing w:after="120"/>
        <w:rPr>
          <w:rFonts w:asciiTheme="minorBidi" w:hAnsiTheme="minorBidi"/>
          <w:caps/>
          <w:sz w:val="24"/>
          <w:szCs w:val="24"/>
          <w:lang w:val="es-419"/>
        </w:rPr>
      </w:pPr>
      <w:bookmarkStart w:id="3" w:name="TitleOfDoc"/>
      <w:r w:rsidRPr="008F31F1">
        <w:rPr>
          <w:rFonts w:asciiTheme="minorBidi" w:hAnsiTheme="minorBidi"/>
          <w:caps/>
          <w:sz w:val="24"/>
          <w:szCs w:val="24"/>
          <w:lang w:val="es-419"/>
        </w:rPr>
        <w:t>SESIÓN DE INFORMACIÓN SOBRE DERECHOS DE AUTOR E INTELIGENCIA ARTIFICIAL GENERATIVA</w:t>
      </w:r>
    </w:p>
    <w:p w14:paraId="55BC0EE9" w14:textId="02299768" w:rsidR="008B2CC1" w:rsidRPr="008F31F1" w:rsidRDefault="00D1587B" w:rsidP="008B14EA">
      <w:pPr>
        <w:spacing w:after="360"/>
        <w:rPr>
          <w:caps/>
          <w:sz w:val="24"/>
          <w:szCs w:val="24"/>
          <w:lang w:val="es-419"/>
        </w:rPr>
      </w:pPr>
      <w:r w:rsidRPr="008F31F1">
        <w:rPr>
          <w:caps/>
          <w:sz w:val="24"/>
          <w:szCs w:val="24"/>
          <w:lang w:val="es-419"/>
        </w:rPr>
        <w:t>PROGRAMA</w:t>
      </w:r>
    </w:p>
    <w:p w14:paraId="4A99B7F4" w14:textId="77777777" w:rsidR="00205935" w:rsidRPr="008F31F1" w:rsidRDefault="00D1587B" w:rsidP="00C24113">
      <w:pPr>
        <w:spacing w:after="960"/>
        <w:rPr>
          <w:i/>
          <w:lang w:val="es-419"/>
        </w:rPr>
      </w:pPr>
      <w:bookmarkStart w:id="4" w:name="Prepared"/>
      <w:bookmarkEnd w:id="3"/>
      <w:r w:rsidRPr="008F31F1">
        <w:rPr>
          <w:i/>
          <w:lang w:val="es-419"/>
        </w:rPr>
        <w:t>preparado por la Secretaría</w:t>
      </w:r>
      <w:bookmarkEnd w:id="4"/>
    </w:p>
    <w:p w14:paraId="2705D570" w14:textId="71905F02" w:rsidR="00D1587B" w:rsidRPr="008F31F1" w:rsidRDefault="00D1587B" w:rsidP="00C24113">
      <w:pPr>
        <w:spacing w:after="960"/>
        <w:rPr>
          <w:i/>
          <w:lang w:val="es-419"/>
        </w:rPr>
      </w:pPr>
      <w:r w:rsidRPr="008F31F1">
        <w:rPr>
          <w:i/>
          <w:lang w:val="es-419"/>
        </w:rPr>
        <w:br w:type="page"/>
      </w:r>
    </w:p>
    <w:p w14:paraId="286E430E" w14:textId="77777777" w:rsidR="004F4731" w:rsidRPr="008F31F1" w:rsidRDefault="004F4731" w:rsidP="004F4731">
      <w:pPr>
        <w:pStyle w:val="Heading2"/>
        <w:keepNext w:val="0"/>
        <w:tabs>
          <w:tab w:val="left" w:pos="1701"/>
          <w:tab w:val="left" w:pos="3402"/>
          <w:tab w:val="left" w:pos="5103"/>
        </w:tabs>
        <w:spacing w:before="0" w:after="253"/>
        <w:rPr>
          <w:rFonts w:asciiTheme="minorBidi" w:hAnsiTheme="minorBidi" w:cstheme="minorBidi"/>
          <w:caps w:val="0"/>
          <w:u w:val="single"/>
          <w:lang w:val="es-419"/>
        </w:rPr>
      </w:pPr>
      <w:r w:rsidRPr="008F31F1">
        <w:rPr>
          <w:rFonts w:asciiTheme="minorBidi" w:hAnsiTheme="minorBidi"/>
          <w:caps w:val="0"/>
          <w:u w:val="single"/>
          <w:lang w:val="es-419"/>
        </w:rPr>
        <w:lastRenderedPageBreak/>
        <w:t>Jueves, 4 de diciembre de 2025</w:t>
      </w:r>
    </w:p>
    <w:p w14:paraId="290F2EBA" w14:textId="77777777" w:rsidR="004F4731" w:rsidRPr="008F31F1" w:rsidRDefault="004F4731" w:rsidP="004F4731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506" w:after="253"/>
        <w:rPr>
          <w:rFonts w:asciiTheme="minorBidi" w:hAnsiTheme="minorBidi" w:cstheme="minorBidi"/>
          <w:u w:val="none"/>
          <w:lang w:val="es-419"/>
        </w:rPr>
      </w:pPr>
      <w:r w:rsidRPr="008F31F1">
        <w:rPr>
          <w:rFonts w:asciiTheme="minorBidi" w:hAnsiTheme="minorBidi"/>
          <w:u w:val="none"/>
          <w:lang w:val="es-419"/>
        </w:rPr>
        <w:t>14.30 - 14.45</w:t>
      </w:r>
      <w:r w:rsidRPr="008F31F1">
        <w:rPr>
          <w:u w:val="none"/>
          <w:lang w:val="es-419"/>
        </w:rPr>
        <w:tab/>
      </w:r>
      <w:r w:rsidRPr="008F31F1">
        <w:rPr>
          <w:rFonts w:asciiTheme="minorBidi" w:hAnsiTheme="minorBidi"/>
          <w:u w:val="none"/>
          <w:lang w:val="es-419"/>
        </w:rPr>
        <w:t>Apertura</w:t>
      </w:r>
    </w:p>
    <w:p w14:paraId="468069B7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253"/>
        <w:ind w:left="1701"/>
        <w:rPr>
          <w:rFonts w:asciiTheme="minorBidi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Discurso de bienvenida a cargo de:</w:t>
      </w:r>
    </w:p>
    <w:p w14:paraId="47646AA5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480"/>
        <w:ind w:left="1699"/>
        <w:rPr>
          <w:lang w:val="es-419"/>
        </w:rPr>
      </w:pPr>
      <w:r w:rsidRPr="008F31F1">
        <w:rPr>
          <w:rFonts w:asciiTheme="minorBidi" w:hAnsiTheme="minorBidi"/>
          <w:lang w:val="es-419"/>
        </w:rPr>
        <w:t>Sra. Sylvie Forbin, directora general adjunta del Sector de Derecho de Autor e Industrias Creativas de la Organización Mundial de la Propiedad Intelectual (OMPI), Ginebra</w:t>
      </w:r>
    </w:p>
    <w:p w14:paraId="725C1B9F" w14:textId="3FA845D2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before="480" w:after="240"/>
        <w:rPr>
          <w:rFonts w:asciiTheme="minorBidi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14.45 – 16.30</w:t>
      </w:r>
      <w:r w:rsidRPr="008F31F1">
        <w:rPr>
          <w:lang w:val="es-419"/>
        </w:rPr>
        <w:tab/>
      </w:r>
      <w:r w:rsidRPr="008F31F1">
        <w:rPr>
          <w:rFonts w:asciiTheme="minorBidi" w:hAnsiTheme="minorBidi"/>
          <w:b/>
          <w:lang w:val="es-419"/>
        </w:rPr>
        <w:t>Panel 1</w:t>
      </w:r>
      <w:r w:rsidR="00FA660F" w:rsidRPr="008F31F1">
        <w:rPr>
          <w:rFonts w:asciiTheme="minorBidi" w:hAnsiTheme="minorBidi"/>
          <w:b/>
          <w:lang w:val="es-419"/>
        </w:rPr>
        <w:t xml:space="preserve">: </w:t>
      </w:r>
      <w:r w:rsidRPr="008F31F1">
        <w:rPr>
          <w:rFonts w:asciiTheme="minorBidi" w:hAnsiTheme="minorBidi"/>
          <w:b/>
          <w:lang w:val="es-419"/>
        </w:rPr>
        <w:t>Visibilidad y transparencia</w:t>
      </w:r>
    </w:p>
    <w:p w14:paraId="529CA13D" w14:textId="16F32BF1" w:rsidR="004F4731" w:rsidRPr="008F31F1" w:rsidRDefault="004F4731" w:rsidP="004F4731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before="240" w:after="360"/>
        <w:ind w:left="1701"/>
        <w:contextualSpacing w:val="0"/>
        <w:rPr>
          <w:rFonts w:asciiTheme="minorBidi" w:hAnsiTheme="minorBidi" w:cstheme="minorBidi"/>
          <w:i/>
          <w:iCs/>
          <w:lang w:val="es-419"/>
        </w:rPr>
      </w:pPr>
      <w:r w:rsidRPr="008F31F1">
        <w:rPr>
          <w:rFonts w:asciiTheme="minorBidi" w:hAnsiTheme="minorBidi"/>
          <w:i/>
          <w:lang w:val="es-419"/>
        </w:rPr>
        <w:t>Este tema examina cómo las herramientas de transparencia, como la procedencia, el etiquetado y la trazabilidad de los conjuntos de datos, pueden hacer visible el uso de obras creativas en los sistemas de IA</w:t>
      </w:r>
      <w:r w:rsidR="00FA660F" w:rsidRPr="008F31F1">
        <w:rPr>
          <w:rFonts w:asciiTheme="minorBidi" w:hAnsiTheme="minorBidi"/>
          <w:i/>
          <w:lang w:val="es-419"/>
        </w:rPr>
        <w:t xml:space="preserve">. </w:t>
      </w:r>
      <w:r w:rsidRPr="008F31F1">
        <w:rPr>
          <w:rFonts w:asciiTheme="minorBidi" w:hAnsiTheme="minorBidi"/>
          <w:i/>
          <w:lang w:val="es-419"/>
        </w:rPr>
        <w:t>Se centra en cómo la visibilidad es un requisito previo para la rendición de cuentas y la protección, y una base para la participación de los creadores en la cadena de valor de la IA.</w:t>
      </w:r>
    </w:p>
    <w:p w14:paraId="5DE29260" w14:textId="3F2A5D60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253"/>
        <w:ind w:left="1701"/>
        <w:rPr>
          <w:rFonts w:asciiTheme="minorBidi" w:eastAsia="Arial" w:hAnsiTheme="minorBidi" w:cstheme="minorBidi"/>
          <w:lang w:val="es-419"/>
        </w:rPr>
      </w:pPr>
      <w:r w:rsidRPr="008F31F1">
        <w:rPr>
          <w:rFonts w:asciiTheme="minorBidi" w:hAnsiTheme="minorBidi"/>
          <w:i/>
          <w:lang w:val="es-419"/>
        </w:rPr>
        <w:t>Contexto</w:t>
      </w:r>
      <w:r w:rsidR="00FA660F" w:rsidRPr="008F31F1">
        <w:rPr>
          <w:rFonts w:asciiTheme="minorBidi" w:hAnsiTheme="minorBidi"/>
          <w:i/>
          <w:lang w:val="es-419"/>
        </w:rPr>
        <w:t xml:space="preserve">: </w:t>
      </w:r>
      <w:r w:rsidRPr="008F31F1">
        <w:rPr>
          <w:rFonts w:asciiTheme="minorBidi" w:hAnsiTheme="minorBidi"/>
          <w:i/>
          <w:lang w:val="es-419"/>
        </w:rPr>
        <w:t xml:space="preserve">Cuestiones clave relativas a la visibilidad y la transparencia </w:t>
      </w:r>
    </w:p>
    <w:p w14:paraId="58165852" w14:textId="77777777" w:rsidR="004F4731" w:rsidRPr="008F31F1" w:rsidRDefault="004F4731" w:rsidP="004F4731">
      <w:pPr>
        <w:keepNext/>
        <w:tabs>
          <w:tab w:val="left" w:pos="1701"/>
          <w:tab w:val="left" w:pos="3402"/>
          <w:tab w:val="left" w:pos="5103"/>
        </w:tabs>
        <w:spacing w:after="360"/>
        <w:ind w:left="3402" w:hanging="1701"/>
        <w:rPr>
          <w:rFonts w:asciiTheme="minorBidi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 xml:space="preserve">Orador: </w:t>
      </w:r>
      <w:r w:rsidRPr="008F31F1">
        <w:rPr>
          <w:lang w:val="es-419"/>
        </w:rPr>
        <w:tab/>
        <w:t xml:space="preserve">Sr. Daniel Gervais, </w:t>
      </w:r>
      <w:bookmarkStart w:id="5" w:name="_Hlk215209431"/>
      <w:r w:rsidRPr="008F31F1">
        <w:rPr>
          <w:lang w:val="es-419"/>
        </w:rPr>
        <w:t>cátedra de Derecho Milton R. Underwood, Universidad Vanderbilt</w:t>
      </w:r>
      <w:bookmarkEnd w:id="5"/>
      <w:r w:rsidRPr="008F31F1">
        <w:rPr>
          <w:lang w:val="es-419"/>
        </w:rPr>
        <w:t>, Nashville, Tennessee (Estados Unidos de América)</w:t>
      </w:r>
    </w:p>
    <w:p w14:paraId="6C472DC2" w14:textId="77777777" w:rsidR="004F4731" w:rsidRPr="008F31F1" w:rsidRDefault="004F4731" w:rsidP="004F4731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  <w:lang w:val="es-419"/>
        </w:rPr>
      </w:pPr>
      <w:r w:rsidRPr="008F31F1">
        <w:rPr>
          <w:rFonts w:asciiTheme="minorBidi" w:hAnsiTheme="minorBidi"/>
          <w:i/>
          <w:lang w:val="es-419"/>
        </w:rPr>
        <w:t>Mesa redonda e interacción con la sala</w:t>
      </w:r>
    </w:p>
    <w:p w14:paraId="01B361DE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before="120" w:after="253"/>
        <w:ind w:left="3402" w:hanging="1701"/>
        <w:rPr>
          <w:rFonts w:asciiTheme="minorBidi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 xml:space="preserve">Moderador: </w:t>
      </w:r>
      <w:r w:rsidRPr="008F31F1">
        <w:rPr>
          <w:lang w:val="es-419"/>
        </w:rPr>
        <w:tab/>
      </w:r>
      <w:r w:rsidRPr="008F31F1">
        <w:rPr>
          <w:rFonts w:asciiTheme="minorBidi" w:hAnsiTheme="minorBidi"/>
          <w:lang w:val="es-419"/>
        </w:rPr>
        <w:t>Sr. Tobias Bednarz, consejero jurídico de la División de Derecho de Autor del Sector de Derecho de Autor e Industrias Creativas de la OMPI</w:t>
      </w:r>
    </w:p>
    <w:p w14:paraId="59BE34D3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before="120" w:after="253"/>
        <w:ind w:left="3402" w:hanging="1701"/>
        <w:rPr>
          <w:rFonts w:asciiTheme="minorBidi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Oradores:</w:t>
      </w:r>
      <w:r w:rsidRPr="008F31F1">
        <w:rPr>
          <w:rFonts w:asciiTheme="minorBidi" w:hAnsiTheme="minorBidi" w:cstheme="minorBidi"/>
          <w:vertAlign w:val="superscript"/>
          <w:lang w:val="es-419"/>
        </w:rPr>
        <w:footnoteReference w:id="2"/>
      </w:r>
      <w:r w:rsidRPr="008F31F1">
        <w:rPr>
          <w:rFonts w:asciiTheme="minorBidi" w:hAnsiTheme="minorBidi"/>
          <w:lang w:val="es-419"/>
        </w:rPr>
        <w:tab/>
        <w:t>Sra. Anna Vuopala, asesora ministerial superior del Ministerio de Educación y Cultura de Finlandia</w:t>
      </w:r>
    </w:p>
    <w:p w14:paraId="70FD5ED0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Sra. Diao Yunyun, vicepresidenta de Asuntos Jurídicos, Tencent Group</w:t>
      </w:r>
    </w:p>
    <w:p w14:paraId="432B5270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Sra. Jewel Greene, presidenta de la Asociación de Escritores de Trinidad y Tabago</w:t>
      </w:r>
    </w:p>
    <w:p w14:paraId="70067CB5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Sra. Xenia Manning, directora de Política Musical Global de Spotify</w:t>
      </w:r>
    </w:p>
    <w:p w14:paraId="43EB2CC8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Senator Briggs, rapero de Primeras Naciones, Australia</w:t>
      </w:r>
    </w:p>
    <w:p w14:paraId="3021C668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Sr. Geoff Taylor, vicepresidente ejecutivo de inteligencia artificial de Sony Music Entertainment</w:t>
      </w:r>
    </w:p>
    <w:p w14:paraId="1AC53DC7" w14:textId="77777777" w:rsidR="004F4731" w:rsidRPr="008F31F1" w:rsidRDefault="004F4731" w:rsidP="004F4731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506" w:after="253"/>
        <w:rPr>
          <w:rFonts w:asciiTheme="minorBidi" w:hAnsiTheme="minorBidi" w:cstheme="minorBidi"/>
          <w:lang w:val="es-419"/>
        </w:rPr>
      </w:pPr>
      <w:r w:rsidRPr="008F31F1">
        <w:rPr>
          <w:rFonts w:asciiTheme="minorBidi" w:hAnsiTheme="minorBidi"/>
          <w:u w:val="none"/>
          <w:lang w:val="es-419"/>
        </w:rPr>
        <w:lastRenderedPageBreak/>
        <w:t>16.30 – 17.00</w:t>
      </w:r>
      <w:r w:rsidRPr="008F31F1">
        <w:rPr>
          <w:rFonts w:asciiTheme="minorBidi" w:hAnsiTheme="minorBidi"/>
          <w:u w:val="none"/>
          <w:lang w:val="es-419"/>
        </w:rPr>
        <w:tab/>
        <w:t>Pausa</w:t>
      </w:r>
    </w:p>
    <w:p w14:paraId="1BDFC566" w14:textId="42485EFD" w:rsidR="004F4731" w:rsidRPr="008F31F1" w:rsidRDefault="004F4731" w:rsidP="004F4731">
      <w:pPr>
        <w:pStyle w:val="Heading3"/>
        <w:tabs>
          <w:tab w:val="left" w:pos="1701"/>
          <w:tab w:val="left" w:pos="3402"/>
          <w:tab w:val="left" w:pos="5103"/>
        </w:tabs>
        <w:spacing w:before="0" w:after="253"/>
        <w:ind w:left="3396" w:hanging="3396"/>
        <w:rPr>
          <w:rFonts w:asciiTheme="minorBidi" w:hAnsiTheme="minorBidi" w:cstheme="minorBidi"/>
          <w:b/>
          <w:u w:val="none"/>
          <w:lang w:val="es-419"/>
        </w:rPr>
      </w:pPr>
      <w:r w:rsidRPr="008F31F1">
        <w:rPr>
          <w:rFonts w:asciiTheme="minorBidi" w:hAnsiTheme="minorBidi"/>
          <w:u w:val="none"/>
          <w:lang w:val="es-419"/>
        </w:rPr>
        <w:t>17.00 – 18.50</w:t>
      </w:r>
      <w:r w:rsidRPr="008F31F1">
        <w:rPr>
          <w:u w:val="none"/>
          <w:lang w:val="es-419"/>
        </w:rPr>
        <w:tab/>
      </w:r>
      <w:r w:rsidRPr="008F31F1">
        <w:rPr>
          <w:rFonts w:asciiTheme="minorBidi" w:hAnsiTheme="minorBidi"/>
          <w:b/>
          <w:u w:val="none"/>
          <w:lang w:val="es-419"/>
        </w:rPr>
        <w:t>Panel 2</w:t>
      </w:r>
      <w:r w:rsidR="00FA660F" w:rsidRPr="008F31F1">
        <w:rPr>
          <w:rFonts w:asciiTheme="minorBidi" w:hAnsiTheme="minorBidi"/>
          <w:b/>
          <w:u w:val="none"/>
          <w:lang w:val="es-419"/>
        </w:rPr>
        <w:t xml:space="preserve">: </w:t>
      </w:r>
      <w:bookmarkStart w:id="6" w:name="_Hlk212019510"/>
      <w:r w:rsidRPr="008F31F1">
        <w:rPr>
          <w:rFonts w:asciiTheme="minorBidi" w:hAnsiTheme="minorBidi"/>
          <w:b/>
          <w:u w:val="none"/>
          <w:lang w:val="es-419"/>
        </w:rPr>
        <w:t>Licencias y remuneración</w:t>
      </w:r>
      <w:bookmarkEnd w:id="6"/>
    </w:p>
    <w:p w14:paraId="72A4A62E" w14:textId="5E418E45" w:rsidR="004F4731" w:rsidRPr="008F31F1" w:rsidRDefault="004F4731" w:rsidP="004F4731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360"/>
        <w:ind w:left="1701"/>
        <w:contextualSpacing w:val="0"/>
        <w:rPr>
          <w:rFonts w:asciiTheme="minorBidi" w:hAnsiTheme="minorBidi" w:cstheme="minorBidi"/>
          <w:i/>
          <w:iCs/>
          <w:lang w:val="es-419"/>
        </w:rPr>
      </w:pPr>
      <w:r w:rsidRPr="008F31F1">
        <w:rPr>
          <w:rFonts w:asciiTheme="minorBidi" w:hAnsiTheme="minorBidi"/>
          <w:i/>
          <w:lang w:val="es-419"/>
        </w:rPr>
        <w:t>Este panel explora cómo las prácticas de concesión de licencias, los mecanismos de remuneración, la propiedad de los datos y las medidas técnicas podrían garantizar que las partes interesadas y los creadores pudieran beneficiarse del valor económico generado por la IA</w:t>
      </w:r>
      <w:r w:rsidR="00FA660F" w:rsidRPr="008F31F1">
        <w:rPr>
          <w:rFonts w:asciiTheme="minorBidi" w:hAnsiTheme="minorBidi"/>
          <w:i/>
          <w:lang w:val="es-419"/>
        </w:rPr>
        <w:t xml:space="preserve">. </w:t>
      </w:r>
    </w:p>
    <w:p w14:paraId="31882188" w14:textId="604710CA" w:rsidR="004F4731" w:rsidRPr="008F31F1" w:rsidRDefault="004F4731" w:rsidP="004F4731">
      <w:pPr>
        <w:keepNext/>
        <w:tabs>
          <w:tab w:val="left" w:pos="1701"/>
          <w:tab w:val="left" w:pos="3402"/>
          <w:tab w:val="left" w:pos="5103"/>
        </w:tabs>
        <w:spacing w:after="253"/>
        <w:ind w:left="1701"/>
        <w:rPr>
          <w:rFonts w:asciiTheme="minorBidi" w:hAnsiTheme="minorBidi" w:cstheme="minorBidi"/>
          <w:i/>
          <w:iCs/>
          <w:lang w:val="es-419"/>
        </w:rPr>
      </w:pPr>
      <w:r w:rsidRPr="008F31F1">
        <w:rPr>
          <w:rFonts w:asciiTheme="minorBidi" w:hAnsiTheme="minorBidi"/>
          <w:i/>
          <w:lang w:val="es-419"/>
        </w:rPr>
        <w:t>Contexto</w:t>
      </w:r>
      <w:r w:rsidR="00FA660F" w:rsidRPr="008F31F1">
        <w:rPr>
          <w:rFonts w:asciiTheme="minorBidi" w:hAnsiTheme="minorBidi"/>
          <w:i/>
          <w:lang w:val="es-419"/>
        </w:rPr>
        <w:t xml:space="preserve">: </w:t>
      </w:r>
      <w:r w:rsidRPr="008F31F1">
        <w:rPr>
          <w:rFonts w:asciiTheme="minorBidi" w:hAnsiTheme="minorBidi"/>
          <w:i/>
          <w:lang w:val="es-419"/>
        </w:rPr>
        <w:t>Cuestiones clave relativas a las licencias y la remuneración</w:t>
      </w:r>
    </w:p>
    <w:p w14:paraId="4E7B2AC2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before="120" w:after="253"/>
        <w:ind w:left="3402" w:hanging="1701"/>
        <w:rPr>
          <w:rFonts w:asciiTheme="minorBidi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Orador:</w:t>
      </w:r>
      <w:r w:rsidRPr="008F31F1">
        <w:rPr>
          <w:lang w:val="es-419"/>
        </w:rPr>
        <w:tab/>
        <w:t xml:space="preserve">Profesor </w:t>
      </w:r>
      <w:r w:rsidRPr="008F31F1">
        <w:rPr>
          <w:rFonts w:asciiTheme="minorBidi" w:hAnsiTheme="minorBidi"/>
          <w:lang w:val="es-419"/>
        </w:rPr>
        <w:t>Daniel Gervais</w:t>
      </w:r>
    </w:p>
    <w:p w14:paraId="662431D6" w14:textId="77777777" w:rsidR="004F4731" w:rsidRPr="008F31F1" w:rsidRDefault="004F4731" w:rsidP="004F4731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  <w:lang w:val="es-419"/>
        </w:rPr>
      </w:pPr>
      <w:r w:rsidRPr="008F31F1">
        <w:rPr>
          <w:rFonts w:asciiTheme="minorBidi" w:hAnsiTheme="minorBidi"/>
          <w:i/>
          <w:lang w:val="es-419"/>
        </w:rPr>
        <w:t>Mesa redonda e interacción con la sala</w:t>
      </w:r>
    </w:p>
    <w:p w14:paraId="1598C506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  <w:lang w:val="es-419"/>
        </w:rPr>
      </w:pPr>
      <w:r w:rsidRPr="008F31F1">
        <w:rPr>
          <w:rFonts w:asciiTheme="minorBidi" w:hAnsiTheme="minorBidi"/>
          <w:lang w:val="es-419"/>
        </w:rPr>
        <w:t xml:space="preserve">Moderador: </w:t>
      </w:r>
      <w:r w:rsidRPr="008F31F1">
        <w:rPr>
          <w:lang w:val="es-419"/>
        </w:rPr>
        <w:tab/>
      </w:r>
      <w:r w:rsidRPr="008F31F1">
        <w:rPr>
          <w:rFonts w:asciiTheme="minorBidi" w:hAnsiTheme="minorBidi"/>
          <w:lang w:val="es-419"/>
        </w:rPr>
        <w:t>Sr. Rafael Ferraz Vázquez, jurista de la División de Derecho de Autor del Sector de Derecho de Autor e Industrias Creativas de la OMPI</w:t>
      </w:r>
    </w:p>
    <w:p w14:paraId="20CB2856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Oradores:</w:t>
      </w:r>
      <w:r w:rsidRPr="008F31F1">
        <w:rPr>
          <w:rFonts w:asciiTheme="minorBidi" w:hAnsiTheme="minorBidi"/>
          <w:lang w:val="es-419"/>
        </w:rPr>
        <w:tab/>
        <w:t>Sra. Do-young Kim, directora de la División de Comercio y Cooperación Cultural del Ministerio de Cultura, Deportes y Turismo de la República de Corea</w:t>
      </w:r>
    </w:p>
    <w:p w14:paraId="2CD724B7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253"/>
        <w:ind w:left="3402" w:firstLine="18"/>
        <w:rPr>
          <w:rFonts w:asciiTheme="minorBidi" w:eastAsia="Arial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Sr. Caue Oliveira Fanha, director de Regulación de Derecho de Autor, Secretaría de Derecho de Autor y Derechos de Propiedad Intelectual, Ministerio de Cultura del Brasil</w:t>
      </w:r>
    </w:p>
    <w:p w14:paraId="54A8402B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253"/>
        <w:ind w:left="3402" w:firstLine="18"/>
        <w:rPr>
          <w:rFonts w:asciiTheme="minorBidi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Sra. Carmen Páez, subsecretaria de Cultura, Ministerio de Cultura de España</w:t>
      </w:r>
    </w:p>
    <w:p w14:paraId="55B29A98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Sra. Birgitta Sander Hjortsø, asesora jurídica principal, Asuntos Jurídicos y Derecho de Autor, Ministerio de Cultura de Dinamarca</w:t>
      </w:r>
    </w:p>
    <w:p w14:paraId="3FE1A56A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Sr. Robbert Baruch, vicepresidente principal, Asuntos Públicos – Europa y Relaciones Multilaterales, Universal Music Group</w:t>
      </w:r>
    </w:p>
    <w:p w14:paraId="4E93B870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Sr. Dan Neely, director ejecutivo, Vermillio, Chicago, Illinois, Estados Unidos de América (a distancia)</w:t>
      </w:r>
    </w:p>
    <w:p w14:paraId="14176DDE" w14:textId="77777777" w:rsidR="004F4731" w:rsidRPr="008F31F1" w:rsidRDefault="004F4731" w:rsidP="004F4731">
      <w:pPr>
        <w:tabs>
          <w:tab w:val="left" w:pos="1701"/>
          <w:tab w:val="left" w:pos="3402"/>
          <w:tab w:val="left" w:pos="5103"/>
        </w:tabs>
        <w:spacing w:after="480"/>
        <w:ind w:left="3402"/>
        <w:rPr>
          <w:rFonts w:asciiTheme="minorBidi" w:hAnsiTheme="minorBidi" w:cstheme="minorBidi"/>
          <w:lang w:val="es-419"/>
        </w:rPr>
      </w:pPr>
      <w:r w:rsidRPr="008F31F1">
        <w:rPr>
          <w:rFonts w:asciiTheme="minorBidi" w:hAnsiTheme="minorBidi"/>
          <w:lang w:val="es-419"/>
        </w:rPr>
        <w:t>Sra. Isabella Splendore, jefa de Asuntos Jurídicos e Internacionales de la Federación Italiana de Editores de Periódicos</w:t>
      </w:r>
    </w:p>
    <w:p w14:paraId="61DE9492" w14:textId="77777777" w:rsidR="004F4731" w:rsidRPr="008F31F1" w:rsidRDefault="004F4731" w:rsidP="004F4731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0" w:after="1012"/>
        <w:ind w:left="3402" w:hanging="3402"/>
        <w:rPr>
          <w:rFonts w:asciiTheme="minorBidi" w:hAnsiTheme="minorBidi" w:cstheme="minorBidi"/>
          <w:b/>
          <w:u w:val="none"/>
          <w:lang w:val="es-419"/>
        </w:rPr>
      </w:pPr>
      <w:r w:rsidRPr="008F31F1">
        <w:rPr>
          <w:u w:val="none"/>
          <w:lang w:val="es-419"/>
        </w:rPr>
        <w:t>18.50 - 19.00</w:t>
      </w:r>
      <w:r w:rsidRPr="008F31F1">
        <w:rPr>
          <w:u w:val="none"/>
          <w:lang w:val="es-419"/>
        </w:rPr>
        <w:tab/>
      </w:r>
      <w:r w:rsidRPr="008F31F1">
        <w:rPr>
          <w:rFonts w:asciiTheme="minorBidi" w:hAnsiTheme="minorBidi"/>
          <w:b/>
          <w:u w:val="none"/>
          <w:lang w:val="es-419"/>
        </w:rPr>
        <w:t>Clausura</w:t>
      </w:r>
    </w:p>
    <w:p w14:paraId="3C6C70EA" w14:textId="7EE0EF93" w:rsidR="00152CEA" w:rsidRPr="008F31F1" w:rsidRDefault="004F4731" w:rsidP="008F31F1">
      <w:pPr>
        <w:pStyle w:val="Endofdocument-Annex"/>
        <w:tabs>
          <w:tab w:val="left" w:pos="3402"/>
        </w:tabs>
        <w:spacing w:before="720"/>
        <w:ind w:left="5103"/>
        <w:rPr>
          <w:lang w:val="es-419"/>
        </w:rPr>
      </w:pPr>
      <w:r w:rsidRPr="008F31F1">
        <w:rPr>
          <w:rFonts w:asciiTheme="minorBidi" w:hAnsiTheme="minorBidi"/>
          <w:lang w:val="es-419"/>
        </w:rPr>
        <w:t>[Fin del documento]</w:t>
      </w:r>
    </w:p>
    <w:sectPr w:rsidR="00152CEA" w:rsidRPr="008F31F1" w:rsidSect="00D1587B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A1D2" w14:textId="77777777" w:rsidR="00991401" w:rsidRDefault="00991401">
      <w:r>
        <w:separator/>
      </w:r>
    </w:p>
  </w:endnote>
  <w:endnote w:type="continuationSeparator" w:id="0">
    <w:p w14:paraId="150816CB" w14:textId="77777777" w:rsidR="00991401" w:rsidRPr="009D30E6" w:rsidRDefault="0099140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25F20E4" w14:textId="77777777" w:rsidR="00991401" w:rsidRPr="007E663E" w:rsidRDefault="0099140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6116D858" w14:textId="77777777" w:rsidR="00991401" w:rsidRPr="007E663E" w:rsidRDefault="0099140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97F8" w14:textId="77777777" w:rsidR="00991401" w:rsidRDefault="00991401">
      <w:r>
        <w:separator/>
      </w:r>
    </w:p>
  </w:footnote>
  <w:footnote w:type="continuationSeparator" w:id="0">
    <w:p w14:paraId="1C65D14B" w14:textId="77777777" w:rsidR="00991401" w:rsidRPr="009D30E6" w:rsidRDefault="0099140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91AE91D" w14:textId="77777777" w:rsidR="00991401" w:rsidRPr="007E663E" w:rsidRDefault="0099140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5741782" w14:textId="77777777" w:rsidR="00991401" w:rsidRPr="007E663E" w:rsidRDefault="0099140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364025F8" w14:textId="77777777" w:rsidR="004F4731" w:rsidRPr="00D9127A" w:rsidRDefault="004F4731" w:rsidP="004F47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En el siguiente orden: Estados miembros y otros oradores (cada categoría ordenada alfabéticamente por apellidos).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2B8B" w14:textId="048CF6C5" w:rsidR="00F84474" w:rsidRDefault="00D1587B" w:rsidP="00477D6B">
    <w:pPr>
      <w:jc w:val="right"/>
    </w:pPr>
    <w:bookmarkStart w:id="7" w:name="Code2"/>
    <w:bookmarkEnd w:id="7"/>
    <w:r>
      <w:t>SCCR/47/</w:t>
    </w:r>
    <w:r w:rsidR="00C24113">
      <w:t>INF</w:t>
    </w:r>
    <w:r>
      <w:t>/2 Rev.</w:t>
    </w:r>
    <w:r w:rsidR="004F4731">
      <w:t xml:space="preserve"> 2</w:t>
    </w:r>
  </w:p>
  <w:p w14:paraId="35956F21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40D51397" w14:textId="77777777" w:rsidR="00F84474" w:rsidRDefault="00F84474" w:rsidP="00477D6B">
    <w:pPr>
      <w:jc w:val="right"/>
    </w:pPr>
  </w:p>
  <w:p w14:paraId="495D5016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2"/>
  </w:num>
  <w:num w:numId="2" w16cid:durableId="803157564">
    <w:abstractNumId w:val="4"/>
  </w:num>
  <w:num w:numId="3" w16cid:durableId="1677994612">
    <w:abstractNumId w:val="0"/>
  </w:num>
  <w:num w:numId="4" w16cid:durableId="1032074281">
    <w:abstractNumId w:val="5"/>
  </w:num>
  <w:num w:numId="5" w16cid:durableId="1045062155">
    <w:abstractNumId w:val="1"/>
  </w:num>
  <w:num w:numId="6" w16cid:durableId="162191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7B"/>
    <w:rsid w:val="00040261"/>
    <w:rsid w:val="000636A5"/>
    <w:rsid w:val="00082FA0"/>
    <w:rsid w:val="000E3BB3"/>
    <w:rsid w:val="000F3D96"/>
    <w:rsid w:val="000F5E56"/>
    <w:rsid w:val="001362EE"/>
    <w:rsid w:val="00152CEA"/>
    <w:rsid w:val="0016262D"/>
    <w:rsid w:val="001832A6"/>
    <w:rsid w:val="001C4DD3"/>
    <w:rsid w:val="00205935"/>
    <w:rsid w:val="002634C4"/>
    <w:rsid w:val="002F4E68"/>
    <w:rsid w:val="00307787"/>
    <w:rsid w:val="00354647"/>
    <w:rsid w:val="00377273"/>
    <w:rsid w:val="003845C1"/>
    <w:rsid w:val="00387287"/>
    <w:rsid w:val="003D41D4"/>
    <w:rsid w:val="004004D8"/>
    <w:rsid w:val="00423E3E"/>
    <w:rsid w:val="004269C9"/>
    <w:rsid w:val="00427AF4"/>
    <w:rsid w:val="0045231F"/>
    <w:rsid w:val="004647DA"/>
    <w:rsid w:val="00470516"/>
    <w:rsid w:val="00477D6B"/>
    <w:rsid w:val="004A6C37"/>
    <w:rsid w:val="004F4731"/>
    <w:rsid w:val="004F7418"/>
    <w:rsid w:val="005456B1"/>
    <w:rsid w:val="0055013B"/>
    <w:rsid w:val="0056224D"/>
    <w:rsid w:val="00571B99"/>
    <w:rsid w:val="005D64EC"/>
    <w:rsid w:val="005F53FF"/>
    <w:rsid w:val="00605827"/>
    <w:rsid w:val="00612EC8"/>
    <w:rsid w:val="00675021"/>
    <w:rsid w:val="006A06C6"/>
    <w:rsid w:val="006A60BE"/>
    <w:rsid w:val="007657D8"/>
    <w:rsid w:val="007E63AC"/>
    <w:rsid w:val="007E663E"/>
    <w:rsid w:val="00815082"/>
    <w:rsid w:val="00815D77"/>
    <w:rsid w:val="00843582"/>
    <w:rsid w:val="008A23A3"/>
    <w:rsid w:val="008B14EA"/>
    <w:rsid w:val="008B2CC1"/>
    <w:rsid w:val="008C43FD"/>
    <w:rsid w:val="008F31F1"/>
    <w:rsid w:val="0090731E"/>
    <w:rsid w:val="00941C2E"/>
    <w:rsid w:val="00966A22"/>
    <w:rsid w:val="00972F03"/>
    <w:rsid w:val="0098687C"/>
    <w:rsid w:val="009906F8"/>
    <w:rsid w:val="00991401"/>
    <w:rsid w:val="009940DE"/>
    <w:rsid w:val="00996375"/>
    <w:rsid w:val="009A0C8B"/>
    <w:rsid w:val="009B3738"/>
    <w:rsid w:val="009B6241"/>
    <w:rsid w:val="009E4D3B"/>
    <w:rsid w:val="00A16FC0"/>
    <w:rsid w:val="00A32C9E"/>
    <w:rsid w:val="00A7453D"/>
    <w:rsid w:val="00AB613D"/>
    <w:rsid w:val="00B65A0A"/>
    <w:rsid w:val="00B70A97"/>
    <w:rsid w:val="00B72D36"/>
    <w:rsid w:val="00BA063E"/>
    <w:rsid w:val="00BC4164"/>
    <w:rsid w:val="00BC4EBB"/>
    <w:rsid w:val="00BD2DCC"/>
    <w:rsid w:val="00BE1A8C"/>
    <w:rsid w:val="00C06472"/>
    <w:rsid w:val="00C24113"/>
    <w:rsid w:val="00C42181"/>
    <w:rsid w:val="00C863F2"/>
    <w:rsid w:val="00C90559"/>
    <w:rsid w:val="00CC1D7C"/>
    <w:rsid w:val="00D05711"/>
    <w:rsid w:val="00D1587B"/>
    <w:rsid w:val="00D21870"/>
    <w:rsid w:val="00D36B79"/>
    <w:rsid w:val="00D40CF0"/>
    <w:rsid w:val="00D56C7C"/>
    <w:rsid w:val="00D71B4D"/>
    <w:rsid w:val="00D90289"/>
    <w:rsid w:val="00D93D55"/>
    <w:rsid w:val="00DC3D7B"/>
    <w:rsid w:val="00E2115C"/>
    <w:rsid w:val="00E45C84"/>
    <w:rsid w:val="00E504E5"/>
    <w:rsid w:val="00E73ABF"/>
    <w:rsid w:val="00E945FD"/>
    <w:rsid w:val="00EB7A3E"/>
    <w:rsid w:val="00EC401A"/>
    <w:rsid w:val="00EF530A"/>
    <w:rsid w:val="00EF6622"/>
    <w:rsid w:val="00F55408"/>
    <w:rsid w:val="00F66152"/>
    <w:rsid w:val="00F80845"/>
    <w:rsid w:val="00F84474"/>
    <w:rsid w:val="00FA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9FB4E"/>
  <w15:docId w15:val="{5CF207E6-C824-4347-8D6E-15035C22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D1587B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D158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SCCR_47 (S)</Template>
  <TotalTime>2</TotalTime>
  <Pages>3</Pages>
  <Words>519</Words>
  <Characters>2943</Characters>
  <Application>Microsoft Office Word</Application>
  <DocSecurity>0</DocSecurity>
  <Lines>75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SCCR/47/INF/2 Rev. 2</vt:lpstr>
    </vt:vector>
  </TitlesOfParts>
  <Company>WIPO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SCCR/47/INF/2 Rev. 2</dc:title>
  <dc:creator>MIGLIORE Liliana</dc:creator>
  <cp:keywords>FOR OFFICIAL USE ONLY</cp:keywords>
  <cp:lastModifiedBy>HAIZEL Francesca</cp:lastModifiedBy>
  <cp:revision>2</cp:revision>
  <dcterms:created xsi:type="dcterms:W3CDTF">2025-12-03T15:13:00Z</dcterms:created>
  <dcterms:modified xsi:type="dcterms:W3CDTF">2025-12-03T15:13:00Z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