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049" w:rsidRPr="00A16296" w:rsidRDefault="008B14EA" w:rsidP="008B14EA">
      <w:pPr>
        <w:spacing w:after="120"/>
        <w:jc w:val="right"/>
        <w:rPr>
          <w:lang w:val="es-419"/>
        </w:rPr>
      </w:pPr>
      <w:bookmarkStart w:id="0" w:name="_GoBack"/>
      <w:bookmarkEnd w:id="0"/>
      <w:r w:rsidRPr="00A16296">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16296">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56891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3F1049" w:rsidRPr="00A16296" w:rsidRDefault="00E2115C" w:rsidP="008B14EA">
      <w:pPr>
        <w:jc w:val="right"/>
        <w:rPr>
          <w:rFonts w:ascii="Arial Black" w:hAnsi="Arial Black"/>
          <w:caps/>
          <w:sz w:val="15"/>
          <w:lang w:val="es-419"/>
        </w:rPr>
      </w:pPr>
      <w:r w:rsidRPr="00A16296">
        <w:rPr>
          <w:rFonts w:ascii="Arial Black" w:hAnsi="Arial Black"/>
          <w:caps/>
          <w:sz w:val="15"/>
          <w:szCs w:val="15"/>
          <w:lang w:val="es-419"/>
        </w:rPr>
        <w:t>SCCR/42/</w:t>
      </w:r>
      <w:bookmarkStart w:id="1" w:name="Code"/>
      <w:r w:rsidR="00BD63F9" w:rsidRPr="00A16296">
        <w:rPr>
          <w:rFonts w:ascii="Arial Black" w:hAnsi="Arial Black"/>
          <w:caps/>
          <w:sz w:val="15"/>
          <w:lang w:val="es-419"/>
        </w:rPr>
        <w:t>4</w:t>
      </w:r>
    </w:p>
    <w:bookmarkEnd w:id="1"/>
    <w:p w:rsidR="003F1049" w:rsidRPr="00A16296" w:rsidRDefault="008B14EA" w:rsidP="008B14EA">
      <w:pPr>
        <w:jc w:val="right"/>
        <w:rPr>
          <w:rFonts w:ascii="Arial Black" w:hAnsi="Arial Black"/>
          <w:caps/>
          <w:sz w:val="15"/>
          <w:lang w:val="es-419"/>
        </w:rPr>
      </w:pPr>
      <w:r w:rsidRPr="00A16296">
        <w:rPr>
          <w:rFonts w:ascii="Arial Black" w:hAnsi="Arial Black"/>
          <w:caps/>
          <w:sz w:val="15"/>
          <w:lang w:val="es-419"/>
        </w:rPr>
        <w:t xml:space="preserve">ORIGINAL: </w:t>
      </w:r>
      <w:bookmarkStart w:id="2" w:name="Original"/>
      <w:r w:rsidR="00BD63F9" w:rsidRPr="00A16296">
        <w:rPr>
          <w:rFonts w:ascii="Arial Black" w:hAnsi="Arial Black"/>
          <w:caps/>
          <w:sz w:val="15"/>
          <w:lang w:val="es-419"/>
        </w:rPr>
        <w:t>Inglés</w:t>
      </w:r>
    </w:p>
    <w:bookmarkEnd w:id="2"/>
    <w:p w:rsidR="003F1049" w:rsidRPr="00A16296" w:rsidRDefault="008B14EA" w:rsidP="008B14EA">
      <w:pPr>
        <w:spacing w:after="1200"/>
        <w:jc w:val="right"/>
        <w:rPr>
          <w:rFonts w:ascii="Arial Black" w:hAnsi="Arial Black"/>
          <w:caps/>
          <w:sz w:val="15"/>
          <w:lang w:val="es-419"/>
        </w:rPr>
      </w:pPr>
      <w:r w:rsidRPr="00A16296">
        <w:rPr>
          <w:rFonts w:ascii="Arial Black" w:hAnsi="Arial Black"/>
          <w:caps/>
          <w:sz w:val="15"/>
          <w:lang w:val="es-419"/>
        </w:rPr>
        <w:t xml:space="preserve">FECHA: </w:t>
      </w:r>
      <w:bookmarkStart w:id="3" w:name="Date"/>
      <w:r w:rsidR="00BD63F9" w:rsidRPr="00A16296">
        <w:rPr>
          <w:rFonts w:ascii="Arial Black" w:hAnsi="Arial Black"/>
          <w:caps/>
          <w:sz w:val="15"/>
          <w:lang w:val="es-419"/>
        </w:rPr>
        <w:t>8 de marzo de 2022</w:t>
      </w:r>
    </w:p>
    <w:bookmarkEnd w:id="3"/>
    <w:p w:rsidR="003F1049" w:rsidRPr="00A16296" w:rsidRDefault="00E2115C" w:rsidP="008B14EA">
      <w:pPr>
        <w:spacing w:after="720"/>
        <w:rPr>
          <w:b/>
          <w:sz w:val="28"/>
          <w:szCs w:val="28"/>
          <w:lang w:val="es-419"/>
        </w:rPr>
      </w:pPr>
      <w:r w:rsidRPr="00A16296">
        <w:rPr>
          <w:b/>
          <w:sz w:val="28"/>
          <w:szCs w:val="28"/>
          <w:lang w:val="es-419"/>
        </w:rPr>
        <w:t>Comité Permanente de Derecho de Autor y Derechos Conexos</w:t>
      </w:r>
    </w:p>
    <w:p w:rsidR="003F1049" w:rsidRPr="00A16296" w:rsidRDefault="00E2115C" w:rsidP="00E2115C">
      <w:pPr>
        <w:rPr>
          <w:b/>
          <w:sz w:val="24"/>
          <w:szCs w:val="24"/>
          <w:lang w:val="es-419"/>
        </w:rPr>
      </w:pPr>
      <w:r w:rsidRPr="00A16296">
        <w:rPr>
          <w:b/>
          <w:sz w:val="24"/>
          <w:szCs w:val="24"/>
          <w:lang w:val="es-419"/>
        </w:rPr>
        <w:t>Cuadragésima segunda sesión</w:t>
      </w:r>
    </w:p>
    <w:p w:rsidR="003F1049" w:rsidRPr="00A16296" w:rsidRDefault="00E2115C" w:rsidP="008B14EA">
      <w:pPr>
        <w:spacing w:after="720"/>
        <w:rPr>
          <w:b/>
          <w:sz w:val="24"/>
          <w:szCs w:val="24"/>
          <w:lang w:val="es-419"/>
        </w:rPr>
      </w:pPr>
      <w:r w:rsidRPr="00A16296">
        <w:rPr>
          <w:b/>
          <w:sz w:val="24"/>
          <w:szCs w:val="24"/>
          <w:lang w:val="es-419"/>
        </w:rPr>
        <w:t>Ginebra, 9 a 13 de mayo de 2022</w:t>
      </w:r>
    </w:p>
    <w:p w:rsidR="003F1049" w:rsidRPr="00A16296" w:rsidRDefault="00BD63F9" w:rsidP="008B14EA">
      <w:pPr>
        <w:spacing w:after="360"/>
        <w:rPr>
          <w:caps/>
          <w:sz w:val="24"/>
          <w:lang w:val="es-419"/>
        </w:rPr>
      </w:pPr>
      <w:bookmarkStart w:id="4" w:name="TitleOfDoc"/>
      <w:r w:rsidRPr="00A16296">
        <w:rPr>
          <w:caps/>
          <w:sz w:val="24"/>
          <w:lang w:val="es-419"/>
        </w:rPr>
        <w:t xml:space="preserve">Propuesta del Grupo Africano </w:t>
      </w:r>
      <w:r w:rsidR="008622CE" w:rsidRPr="00A16296">
        <w:rPr>
          <w:caps/>
          <w:sz w:val="24"/>
          <w:lang w:val="es-419"/>
        </w:rPr>
        <w:t>relativa a</w:t>
      </w:r>
      <w:r w:rsidRPr="00A16296">
        <w:rPr>
          <w:caps/>
          <w:sz w:val="24"/>
          <w:lang w:val="es-419"/>
        </w:rPr>
        <w:t xml:space="preserve"> un proyecto de programa de trabajo sobre excepciones y limitaciones</w:t>
      </w:r>
    </w:p>
    <w:p w:rsidR="003F1049" w:rsidRPr="00A16296" w:rsidRDefault="00BD63F9" w:rsidP="008B14EA">
      <w:pPr>
        <w:spacing w:after="960"/>
        <w:rPr>
          <w:i/>
          <w:lang w:val="es-419"/>
        </w:rPr>
      </w:pPr>
      <w:bookmarkStart w:id="5" w:name="Prepared"/>
      <w:bookmarkEnd w:id="4"/>
      <w:r w:rsidRPr="00A16296">
        <w:rPr>
          <w:i/>
          <w:lang w:val="es-419"/>
        </w:rPr>
        <w:t>preparada por el Grupo Africano</w:t>
      </w:r>
    </w:p>
    <w:bookmarkEnd w:id="5"/>
    <w:p w:rsidR="003F1049" w:rsidRPr="00A16296" w:rsidRDefault="008622CE">
      <w:pPr>
        <w:rPr>
          <w:lang w:val="es-419"/>
        </w:rPr>
      </w:pPr>
      <w:r w:rsidRPr="00A16296">
        <w:rPr>
          <w:lang w:val="es-419"/>
        </w:rPr>
        <w:br w:type="page"/>
      </w:r>
    </w:p>
    <w:p w:rsidR="003F1049" w:rsidRPr="00A16296" w:rsidRDefault="00727A32" w:rsidP="008622CE">
      <w:pPr>
        <w:pStyle w:val="Heading1"/>
        <w:widowControl w:val="0"/>
        <w:ind w:left="7"/>
        <w:rPr>
          <w:szCs w:val="22"/>
          <w:lang w:val="es-419"/>
        </w:rPr>
      </w:pPr>
      <w:r w:rsidRPr="00A16296">
        <w:rPr>
          <w:szCs w:val="22"/>
          <w:lang w:val="es-419"/>
        </w:rPr>
        <w:lastRenderedPageBreak/>
        <w:t>INTRODUCCIÓN</w:t>
      </w:r>
    </w:p>
    <w:p w:rsidR="003F1049" w:rsidRPr="00A16296" w:rsidRDefault="003F1049" w:rsidP="008622CE">
      <w:pPr>
        <w:rPr>
          <w:szCs w:val="22"/>
          <w:lang w:val="es-419"/>
        </w:rPr>
      </w:pPr>
    </w:p>
    <w:p w:rsidR="003F1049" w:rsidRPr="00A16296" w:rsidRDefault="00BC7EB5" w:rsidP="00BC7EB5">
      <w:pPr>
        <w:rPr>
          <w:szCs w:val="22"/>
          <w:lang w:val="es-419"/>
        </w:rPr>
      </w:pPr>
      <w:r w:rsidRPr="00A16296">
        <w:rPr>
          <w:szCs w:val="22"/>
          <w:lang w:val="es-419"/>
        </w:rPr>
        <w:t>En la vigésima sesión del Comité Permanente de Derecho de Autor y Derechos Conexos (SCCR), el Grupo Africano propuso un proyecto de tratado de la OMPI sobre excepciones y limitaciones para las personas con discapacidad, las instituciones docentes y de investigación, l</w:t>
      </w:r>
      <w:r w:rsidR="00727A32" w:rsidRPr="00A16296">
        <w:rPr>
          <w:szCs w:val="22"/>
          <w:lang w:val="es-419"/>
        </w:rPr>
        <w:t xml:space="preserve">as bibliotecas y los archivos. </w:t>
      </w:r>
      <w:r w:rsidRPr="00A16296">
        <w:rPr>
          <w:szCs w:val="22"/>
          <w:lang w:val="es-419"/>
        </w:rPr>
        <w:t>El Grupo Africano considera que el SCCR debe continuar su labor en pos de un sistema de derecho de autor justo y equilibrado que apoye la creatividad y promueva el interés público, entre otras cosas, fomentando el acceso digital a la educación y la investigación, así como al patrimonio cultural. El Grupo Africano presenta este proyecto de programa de trabajo como contribución a la labor del SCCR en el ámbito de las excepciones y limitaciones</w:t>
      </w:r>
    </w:p>
    <w:p w:rsidR="003F1049" w:rsidRPr="00A16296" w:rsidRDefault="00727A32" w:rsidP="008622CE">
      <w:pPr>
        <w:pStyle w:val="Heading1"/>
        <w:widowControl w:val="0"/>
        <w:ind w:left="7"/>
        <w:rPr>
          <w:szCs w:val="22"/>
          <w:lang w:val="es-419"/>
        </w:rPr>
      </w:pPr>
      <w:bookmarkStart w:id="6" w:name="_g9yz534tcsmb" w:colFirst="0" w:colLast="0"/>
      <w:bookmarkEnd w:id="6"/>
      <w:r w:rsidRPr="00A16296">
        <w:rPr>
          <w:szCs w:val="22"/>
          <w:lang w:val="es-419"/>
        </w:rPr>
        <w:t>CONTEXTO</w:t>
      </w:r>
    </w:p>
    <w:p w:rsidR="003F1049" w:rsidRPr="00A16296" w:rsidRDefault="003F1049" w:rsidP="008622CE">
      <w:pPr>
        <w:rPr>
          <w:szCs w:val="22"/>
          <w:lang w:val="es-419"/>
        </w:rPr>
      </w:pPr>
    </w:p>
    <w:p w:rsidR="003F1049" w:rsidRPr="00A16296" w:rsidRDefault="00BC7EB5" w:rsidP="008622CE">
      <w:pPr>
        <w:widowControl w:val="0"/>
        <w:pBdr>
          <w:top w:val="nil"/>
          <w:left w:val="nil"/>
          <w:bottom w:val="nil"/>
          <w:right w:val="nil"/>
          <w:between w:val="nil"/>
        </w:pBdr>
        <w:ind w:firstLine="540"/>
        <w:rPr>
          <w:szCs w:val="22"/>
          <w:lang w:val="es-419"/>
        </w:rPr>
      </w:pPr>
      <w:r w:rsidRPr="00A16296">
        <w:rPr>
          <w:szCs w:val="22"/>
          <w:lang w:val="es-419"/>
        </w:rPr>
        <w:t>El</w:t>
      </w:r>
      <w:r w:rsidR="008622CE" w:rsidRPr="00A16296">
        <w:rPr>
          <w:szCs w:val="22"/>
          <w:lang w:val="es-419"/>
        </w:rPr>
        <w:t xml:space="preserve"> SCCR </w:t>
      </w:r>
      <w:r w:rsidRPr="00A16296">
        <w:rPr>
          <w:szCs w:val="22"/>
          <w:lang w:val="es-419"/>
        </w:rPr>
        <w:t xml:space="preserve">ha venido examinando activamente la cuestión de las limitaciones y las </w:t>
      </w:r>
      <w:r w:rsidR="00727A32" w:rsidRPr="00A16296">
        <w:rPr>
          <w:szCs w:val="22"/>
          <w:lang w:val="es-419"/>
        </w:rPr>
        <w:t>excepciones</w:t>
      </w:r>
      <w:r w:rsidR="008622CE" w:rsidRPr="00A16296">
        <w:rPr>
          <w:szCs w:val="22"/>
          <w:lang w:val="es-419"/>
        </w:rPr>
        <w:t xml:space="preserve"> </w:t>
      </w:r>
      <w:r w:rsidRPr="00A16296">
        <w:rPr>
          <w:szCs w:val="22"/>
          <w:lang w:val="es-419"/>
        </w:rPr>
        <w:t>desde</w:t>
      </w:r>
      <w:r w:rsidR="008622CE" w:rsidRPr="00A16296">
        <w:rPr>
          <w:szCs w:val="22"/>
          <w:lang w:val="es-419"/>
        </w:rPr>
        <w:t xml:space="preserve"> 2004 (</w:t>
      </w:r>
      <w:r w:rsidRPr="00A16296">
        <w:rPr>
          <w:szCs w:val="22"/>
          <w:lang w:val="es-419"/>
        </w:rPr>
        <w:t>véase el documento</w:t>
      </w:r>
      <w:r w:rsidR="008622CE" w:rsidRPr="00A16296">
        <w:rPr>
          <w:szCs w:val="22"/>
          <w:lang w:val="es-419"/>
        </w:rPr>
        <w:t xml:space="preserve"> SCCR/13/5). </w:t>
      </w:r>
      <w:r w:rsidRPr="00A16296">
        <w:rPr>
          <w:szCs w:val="22"/>
          <w:lang w:val="es-419"/>
        </w:rPr>
        <w:t xml:space="preserve">En la Asamblea </w:t>
      </w:r>
      <w:r w:rsidR="008622CE" w:rsidRPr="00A16296">
        <w:rPr>
          <w:szCs w:val="22"/>
          <w:lang w:val="es-419"/>
        </w:rPr>
        <w:t xml:space="preserve">General </w:t>
      </w:r>
      <w:r w:rsidRPr="00A16296">
        <w:rPr>
          <w:szCs w:val="22"/>
          <w:lang w:val="es-419"/>
        </w:rPr>
        <w:t xml:space="preserve">de 2012 se reconoció el trabajo realizado y se indicó que el </w:t>
      </w:r>
      <w:r w:rsidR="00727A32" w:rsidRPr="00A16296">
        <w:rPr>
          <w:szCs w:val="22"/>
          <w:lang w:val="es-419"/>
        </w:rPr>
        <w:t>Comité</w:t>
      </w:r>
      <w:r w:rsidR="008622CE" w:rsidRPr="00A16296">
        <w:rPr>
          <w:szCs w:val="22"/>
          <w:lang w:val="es-419"/>
        </w:rPr>
        <w:t xml:space="preserve"> “</w:t>
      </w:r>
      <w:r w:rsidRPr="00A16296">
        <w:rPr>
          <w:szCs w:val="22"/>
          <w:lang w:val="es-419"/>
        </w:rPr>
        <w:t>siguiera debatiendo a fin de establecer uno o varios instrumentos jurídicos internacionales adecuados (ya sea en forma de ley tipo, recomendación conjunta, tratado u otra forma</w:t>
      </w:r>
      <w:r w:rsidR="008622CE" w:rsidRPr="00A16296">
        <w:rPr>
          <w:szCs w:val="22"/>
          <w:lang w:val="es-419"/>
        </w:rPr>
        <w:t>).” (WO/GA/41/14).</w:t>
      </w:r>
    </w:p>
    <w:p w:rsidR="003F1049" w:rsidRPr="00A16296" w:rsidRDefault="003F1049" w:rsidP="000457F9">
      <w:pPr>
        <w:widowControl w:val="0"/>
        <w:pBdr>
          <w:top w:val="nil"/>
          <w:left w:val="nil"/>
          <w:bottom w:val="nil"/>
          <w:right w:val="nil"/>
          <w:between w:val="nil"/>
        </w:pBdr>
        <w:rPr>
          <w:szCs w:val="22"/>
          <w:lang w:val="es-419"/>
        </w:rPr>
      </w:pPr>
    </w:p>
    <w:p w:rsidR="003F1049" w:rsidRPr="00A16296" w:rsidRDefault="000457F9" w:rsidP="008622CE">
      <w:pPr>
        <w:widowControl w:val="0"/>
        <w:pBdr>
          <w:top w:val="nil"/>
          <w:left w:val="nil"/>
          <w:bottom w:val="nil"/>
          <w:right w:val="nil"/>
          <w:between w:val="nil"/>
        </w:pBdr>
        <w:ind w:firstLine="540"/>
        <w:rPr>
          <w:szCs w:val="22"/>
          <w:lang w:val="es-419"/>
        </w:rPr>
      </w:pPr>
      <w:r w:rsidRPr="00A16296">
        <w:rPr>
          <w:szCs w:val="22"/>
          <w:lang w:val="es-419"/>
        </w:rPr>
        <w:t>En el Informe sobre los seminarios regionales y la conferencia internacional sobre limitaciones y excepciones, de la Secretaría</w:t>
      </w:r>
      <w:r w:rsidR="008622CE" w:rsidRPr="00A16296">
        <w:rPr>
          <w:szCs w:val="22"/>
          <w:lang w:val="es-419"/>
        </w:rPr>
        <w:t xml:space="preserve"> (SCCR/40/2)</w:t>
      </w:r>
      <w:r w:rsidRPr="00A16296">
        <w:rPr>
          <w:szCs w:val="22"/>
          <w:lang w:val="es-419"/>
        </w:rPr>
        <w:t>, se resume un año de estudio y actividades de establecimiento de prioridades respecto de este punto del orden del día</w:t>
      </w:r>
      <w:r w:rsidR="008622CE" w:rsidRPr="00A16296">
        <w:rPr>
          <w:szCs w:val="22"/>
          <w:lang w:val="es-419"/>
        </w:rPr>
        <w:t xml:space="preserve">. </w:t>
      </w:r>
      <w:r w:rsidRPr="00A16296">
        <w:rPr>
          <w:szCs w:val="22"/>
          <w:lang w:val="es-419"/>
        </w:rPr>
        <w:t xml:space="preserve">En </w:t>
      </w:r>
      <w:r w:rsidR="0071124A" w:rsidRPr="00A16296">
        <w:rPr>
          <w:szCs w:val="22"/>
          <w:lang w:val="es-419"/>
        </w:rPr>
        <w:t xml:space="preserve">el </w:t>
      </w:r>
      <w:r w:rsidRPr="00A16296">
        <w:rPr>
          <w:szCs w:val="22"/>
          <w:lang w:val="es-419"/>
        </w:rPr>
        <w:t>informe se observa un grado considerable de acuerdo entre los Estados miembros respecto de las esferas de trabajo prioritarias, entre ellas, las siguientes:</w:t>
      </w:r>
    </w:p>
    <w:p w:rsidR="003F1049" w:rsidRPr="00A16296" w:rsidRDefault="003F1049" w:rsidP="008622CE">
      <w:pPr>
        <w:widowControl w:val="0"/>
        <w:pBdr>
          <w:top w:val="nil"/>
          <w:left w:val="nil"/>
          <w:bottom w:val="nil"/>
          <w:right w:val="nil"/>
          <w:between w:val="nil"/>
        </w:pBdr>
        <w:ind w:firstLine="900"/>
        <w:rPr>
          <w:szCs w:val="22"/>
          <w:lang w:val="es-419"/>
        </w:rPr>
      </w:pPr>
    </w:p>
    <w:p w:rsidR="003F1049" w:rsidRPr="00A16296" w:rsidRDefault="000457F9" w:rsidP="008622CE">
      <w:pPr>
        <w:widowControl w:val="0"/>
        <w:numPr>
          <w:ilvl w:val="0"/>
          <w:numId w:val="7"/>
        </w:numPr>
        <w:spacing w:line="228" w:lineRule="auto"/>
        <w:ind w:left="1440" w:right="388"/>
        <w:rPr>
          <w:szCs w:val="22"/>
          <w:lang w:val="es-419"/>
        </w:rPr>
      </w:pPr>
      <w:r w:rsidRPr="00A16296">
        <w:rPr>
          <w:szCs w:val="22"/>
          <w:lang w:val="es-419"/>
        </w:rPr>
        <w:t>velar por que</w:t>
      </w:r>
      <w:r w:rsidRPr="00A16296">
        <w:rPr>
          <w:lang w:val="es-419"/>
        </w:rPr>
        <w:t xml:space="preserve"> las reproducciones y otros usos de las obras con fines de conservación se permitan en virtud de excepciones en las legislaciones nacionales sobre derecho de autor</w:t>
      </w:r>
      <w:r w:rsidR="008622CE" w:rsidRPr="00A16296">
        <w:rPr>
          <w:szCs w:val="22"/>
          <w:lang w:val="es-419"/>
        </w:rPr>
        <w:t xml:space="preserve">; </w:t>
      </w:r>
      <w:r w:rsidRPr="00A16296">
        <w:rPr>
          <w:szCs w:val="22"/>
          <w:lang w:val="es-419"/>
        </w:rPr>
        <w:t>y</w:t>
      </w:r>
    </w:p>
    <w:p w:rsidR="003F1049" w:rsidRPr="00A16296" w:rsidRDefault="003F1049" w:rsidP="0071124A">
      <w:pPr>
        <w:widowControl w:val="0"/>
        <w:pBdr>
          <w:top w:val="nil"/>
          <w:left w:val="nil"/>
          <w:bottom w:val="nil"/>
          <w:right w:val="nil"/>
          <w:between w:val="nil"/>
        </w:pBdr>
        <w:spacing w:line="228" w:lineRule="auto"/>
        <w:ind w:right="389"/>
        <w:rPr>
          <w:szCs w:val="22"/>
          <w:lang w:val="es-419"/>
        </w:rPr>
      </w:pPr>
    </w:p>
    <w:p w:rsidR="003F1049" w:rsidRPr="00A16296" w:rsidRDefault="000457F9" w:rsidP="008622CE">
      <w:pPr>
        <w:widowControl w:val="0"/>
        <w:numPr>
          <w:ilvl w:val="0"/>
          <w:numId w:val="7"/>
        </w:numPr>
        <w:spacing w:line="228" w:lineRule="auto"/>
        <w:ind w:left="1440" w:right="388"/>
        <w:rPr>
          <w:szCs w:val="22"/>
          <w:lang w:val="es-419"/>
        </w:rPr>
      </w:pPr>
      <w:r w:rsidRPr="00A16296">
        <w:rPr>
          <w:szCs w:val="22"/>
          <w:lang w:val="es-419"/>
        </w:rPr>
        <w:t xml:space="preserve">fomentar la </w:t>
      </w:r>
      <w:r w:rsidR="00727A32" w:rsidRPr="00A16296">
        <w:rPr>
          <w:szCs w:val="22"/>
          <w:lang w:val="es-419"/>
        </w:rPr>
        <w:t>adaptación</w:t>
      </w:r>
      <w:r w:rsidR="008622CE" w:rsidRPr="00A16296">
        <w:rPr>
          <w:szCs w:val="22"/>
          <w:lang w:val="es-419"/>
        </w:rPr>
        <w:t xml:space="preserve"> </w:t>
      </w:r>
      <w:r w:rsidRPr="00A16296">
        <w:rPr>
          <w:szCs w:val="22"/>
          <w:lang w:val="es-419"/>
        </w:rPr>
        <w:t xml:space="preserve">de las excepciones para que permitan la </w:t>
      </w:r>
      <w:r w:rsidR="00727A32" w:rsidRPr="00A16296">
        <w:rPr>
          <w:szCs w:val="22"/>
          <w:lang w:val="es-419"/>
        </w:rPr>
        <w:t>enseñanza</w:t>
      </w:r>
      <w:r w:rsidR="0071124A" w:rsidRPr="00A16296">
        <w:rPr>
          <w:szCs w:val="22"/>
          <w:lang w:val="es-419"/>
        </w:rPr>
        <w:t>,</w:t>
      </w:r>
      <w:r w:rsidRPr="00A16296">
        <w:rPr>
          <w:szCs w:val="22"/>
          <w:lang w:val="es-419"/>
        </w:rPr>
        <w:t xml:space="preserve"> el aprendizaje y la investigación mediante herramientas digitales y en Internet, incluso con carácter transfronterizo</w:t>
      </w:r>
      <w:r w:rsidR="008622CE" w:rsidRPr="00A16296">
        <w:rPr>
          <w:szCs w:val="22"/>
          <w:lang w:val="es-419"/>
        </w:rPr>
        <w:t>.</w:t>
      </w:r>
    </w:p>
    <w:p w:rsidR="003F1049" w:rsidRPr="00A16296" w:rsidRDefault="003F1049" w:rsidP="0071124A">
      <w:pPr>
        <w:widowControl w:val="0"/>
        <w:pBdr>
          <w:top w:val="nil"/>
          <w:left w:val="nil"/>
          <w:bottom w:val="nil"/>
          <w:right w:val="nil"/>
          <w:between w:val="nil"/>
        </w:pBdr>
        <w:spacing w:line="228" w:lineRule="auto"/>
        <w:ind w:right="388"/>
        <w:rPr>
          <w:szCs w:val="22"/>
          <w:lang w:val="es-419"/>
        </w:rPr>
      </w:pPr>
    </w:p>
    <w:p w:rsidR="003F1049" w:rsidRPr="00A16296" w:rsidRDefault="006A51A0" w:rsidP="008622CE">
      <w:pPr>
        <w:widowControl w:val="0"/>
        <w:pBdr>
          <w:top w:val="nil"/>
          <w:left w:val="nil"/>
          <w:bottom w:val="nil"/>
          <w:right w:val="nil"/>
          <w:between w:val="nil"/>
        </w:pBdr>
        <w:ind w:firstLine="540"/>
        <w:rPr>
          <w:szCs w:val="22"/>
          <w:lang w:val="es-419"/>
        </w:rPr>
      </w:pPr>
      <w:r w:rsidRPr="00A16296">
        <w:rPr>
          <w:szCs w:val="22"/>
          <w:lang w:val="es-419"/>
        </w:rPr>
        <w:t xml:space="preserve">En el Informe se señalan las opiniones generalizadas acerca de que las limitaciones y excepciones deberían estar sujetas a otros </w:t>
      </w:r>
      <w:r w:rsidRPr="00A16296">
        <w:rPr>
          <w:lang w:val="es-419"/>
        </w:rPr>
        <w:t>aspectos, por ejemplo, la posibilidad de invalidar las limitaciones y excepciones por medio de cláusulas contractuales, la protección mediante cláusulas de exención de responsabilidad para las instituciones docentes y de investigación (y sus agentes) y las disposiciones relativas a las excepciones y a las medidas tecnológicas de protección y la información sobre la gestión de derechos</w:t>
      </w:r>
      <w:r w:rsidR="008622CE" w:rsidRPr="00A16296">
        <w:rPr>
          <w:szCs w:val="22"/>
          <w:lang w:val="es-419"/>
        </w:rPr>
        <w:t>.</w:t>
      </w:r>
    </w:p>
    <w:p w:rsidR="003F1049" w:rsidRPr="00A16296" w:rsidRDefault="003F1049" w:rsidP="008622CE">
      <w:pPr>
        <w:widowControl w:val="0"/>
        <w:pBdr>
          <w:top w:val="nil"/>
          <w:left w:val="nil"/>
          <w:bottom w:val="nil"/>
          <w:right w:val="nil"/>
          <w:between w:val="nil"/>
        </w:pBdr>
        <w:rPr>
          <w:szCs w:val="22"/>
          <w:lang w:val="es-419"/>
        </w:rPr>
      </w:pPr>
    </w:p>
    <w:p w:rsidR="003F1049" w:rsidRPr="00A16296" w:rsidRDefault="006A51A0" w:rsidP="006A51A0">
      <w:pPr>
        <w:rPr>
          <w:szCs w:val="22"/>
          <w:lang w:val="es-419"/>
        </w:rPr>
      </w:pPr>
      <w:r w:rsidRPr="00A16296">
        <w:rPr>
          <w:szCs w:val="22"/>
          <w:lang w:val="es-419"/>
        </w:rPr>
        <w:t xml:space="preserve">Sobre esa base, el programa de trabajo que se propone a continuación expone las medidas concretas y prácticas que el Comité puede adoptar para orientar y apoyar a los Estados miembros a corto plazo </w:t>
      </w:r>
      <w:r w:rsidR="0071124A" w:rsidRPr="00A16296">
        <w:rPr>
          <w:szCs w:val="22"/>
          <w:lang w:val="es-419"/>
        </w:rPr>
        <w:t xml:space="preserve">y que le permiten, </w:t>
      </w:r>
      <w:r w:rsidRPr="00A16296">
        <w:rPr>
          <w:szCs w:val="22"/>
          <w:lang w:val="es-419"/>
        </w:rPr>
        <w:t>al mismo tiempo</w:t>
      </w:r>
      <w:r w:rsidR="0071124A" w:rsidRPr="00A16296">
        <w:rPr>
          <w:szCs w:val="22"/>
          <w:lang w:val="es-419"/>
        </w:rPr>
        <w:t>,</w:t>
      </w:r>
      <w:r w:rsidRPr="00A16296">
        <w:rPr>
          <w:szCs w:val="22"/>
          <w:lang w:val="es-419"/>
        </w:rPr>
        <w:t xml:space="preserve"> trabajar con miras a la adopción de uno o varios instrumentos jurídicos internacionales </w:t>
      </w:r>
      <w:r w:rsidR="0071124A" w:rsidRPr="00A16296">
        <w:rPr>
          <w:szCs w:val="22"/>
          <w:lang w:val="es-419"/>
        </w:rPr>
        <w:t>apropiados</w:t>
      </w:r>
      <w:r w:rsidRPr="00A16296">
        <w:rPr>
          <w:szCs w:val="22"/>
          <w:lang w:val="es-419"/>
        </w:rPr>
        <w:t xml:space="preserve"> sobre excepciones y limitaciones</w:t>
      </w:r>
      <w:r w:rsidR="008622CE" w:rsidRPr="00A16296">
        <w:rPr>
          <w:szCs w:val="22"/>
          <w:lang w:val="es-419"/>
        </w:rPr>
        <w:t>.</w:t>
      </w:r>
    </w:p>
    <w:p w:rsidR="003F1049" w:rsidRPr="00A16296" w:rsidRDefault="00727A32" w:rsidP="008622CE">
      <w:pPr>
        <w:pStyle w:val="Heading1"/>
        <w:widowControl w:val="0"/>
        <w:ind w:left="7"/>
        <w:rPr>
          <w:szCs w:val="22"/>
          <w:lang w:val="es-419"/>
        </w:rPr>
      </w:pPr>
      <w:r w:rsidRPr="00A16296">
        <w:rPr>
          <w:szCs w:val="22"/>
          <w:lang w:val="es-419"/>
        </w:rPr>
        <w:t>PROGRAMA</w:t>
      </w:r>
      <w:r w:rsidR="006A51A0" w:rsidRPr="00A16296">
        <w:rPr>
          <w:szCs w:val="22"/>
          <w:lang w:val="es-419"/>
        </w:rPr>
        <w:t xml:space="preserve"> DE TRABAJO</w:t>
      </w:r>
    </w:p>
    <w:p w:rsidR="003F1049" w:rsidRPr="00A16296" w:rsidRDefault="003F1049" w:rsidP="008622CE">
      <w:pPr>
        <w:widowControl w:val="0"/>
        <w:rPr>
          <w:b/>
          <w:szCs w:val="22"/>
          <w:lang w:val="es-419"/>
        </w:rPr>
      </w:pPr>
    </w:p>
    <w:p w:rsidR="003F1049" w:rsidRPr="00A16296" w:rsidRDefault="006A51A0" w:rsidP="00B255C2">
      <w:pPr>
        <w:pStyle w:val="ListParagraph"/>
        <w:numPr>
          <w:ilvl w:val="0"/>
          <w:numId w:val="9"/>
        </w:numPr>
        <w:ind w:left="0" w:firstLine="360"/>
        <w:rPr>
          <w:szCs w:val="22"/>
          <w:lang w:val="es-419"/>
        </w:rPr>
      </w:pPr>
      <w:r w:rsidRPr="00A16296">
        <w:rPr>
          <w:szCs w:val="22"/>
          <w:lang w:val="es-419"/>
        </w:rPr>
        <w:t>El</w:t>
      </w:r>
      <w:r w:rsidR="008622CE" w:rsidRPr="00A16296">
        <w:rPr>
          <w:szCs w:val="22"/>
          <w:lang w:val="es-419"/>
        </w:rPr>
        <w:t xml:space="preserve"> </w:t>
      </w:r>
      <w:r w:rsidR="00727A32" w:rsidRPr="00A16296">
        <w:rPr>
          <w:szCs w:val="22"/>
          <w:lang w:val="es-419"/>
        </w:rPr>
        <w:t>Comité</w:t>
      </w:r>
      <w:r w:rsidR="008622CE" w:rsidRPr="00A16296">
        <w:rPr>
          <w:szCs w:val="22"/>
          <w:lang w:val="es-419"/>
        </w:rPr>
        <w:t xml:space="preserve"> </w:t>
      </w:r>
      <w:r w:rsidRPr="00A16296">
        <w:rPr>
          <w:szCs w:val="22"/>
          <w:lang w:val="es-419"/>
        </w:rPr>
        <w:t>seguirá trabajando</w:t>
      </w:r>
      <w:r w:rsidR="008622CE" w:rsidRPr="00A16296">
        <w:rPr>
          <w:szCs w:val="22"/>
          <w:lang w:val="es-419"/>
        </w:rPr>
        <w:t xml:space="preserve"> </w:t>
      </w:r>
      <w:r w:rsidRPr="00A16296">
        <w:rPr>
          <w:szCs w:val="22"/>
          <w:lang w:val="es-419"/>
        </w:rPr>
        <w:t xml:space="preserve">en pos de uno o varios instrumentos jurídicos internacionales apropiados (ya sea una ley tipo, recomendaciones conjuntas, un tratado o un instrumento de otra índole) sobre limitaciones y </w:t>
      </w:r>
      <w:r w:rsidR="00727A32" w:rsidRPr="00A16296">
        <w:rPr>
          <w:szCs w:val="22"/>
          <w:lang w:val="es-419"/>
        </w:rPr>
        <w:t>excepciones en</w:t>
      </w:r>
      <w:r w:rsidR="00B255C2" w:rsidRPr="00A16296">
        <w:rPr>
          <w:szCs w:val="22"/>
          <w:lang w:val="es-419"/>
        </w:rPr>
        <w:t xml:space="preserve"> favor de bibliotecas, archivos, museos, institucio</w:t>
      </w:r>
      <w:r w:rsidR="0071124A" w:rsidRPr="00A16296">
        <w:rPr>
          <w:szCs w:val="22"/>
          <w:lang w:val="es-419"/>
        </w:rPr>
        <w:t>nes docentes y de investigación</w:t>
      </w:r>
      <w:r w:rsidR="00B255C2" w:rsidRPr="00A16296">
        <w:rPr>
          <w:szCs w:val="22"/>
          <w:lang w:val="es-419"/>
        </w:rPr>
        <w:t xml:space="preserve"> y personas con otras discapacidad</w:t>
      </w:r>
      <w:r w:rsidR="00131D86" w:rsidRPr="00A16296">
        <w:rPr>
          <w:szCs w:val="22"/>
          <w:lang w:val="es-419"/>
        </w:rPr>
        <w:t>es</w:t>
      </w:r>
      <w:r w:rsidR="00B255C2" w:rsidRPr="00A16296">
        <w:rPr>
          <w:szCs w:val="22"/>
          <w:lang w:val="es-419"/>
        </w:rPr>
        <w:t>.</w:t>
      </w:r>
    </w:p>
    <w:p w:rsidR="003F1049" w:rsidRPr="00A16296" w:rsidRDefault="003F1049" w:rsidP="008622CE">
      <w:pPr>
        <w:rPr>
          <w:szCs w:val="22"/>
          <w:lang w:val="es-419"/>
        </w:rPr>
      </w:pPr>
    </w:p>
    <w:p w:rsidR="003F1049" w:rsidRPr="00A16296" w:rsidRDefault="00131D86" w:rsidP="008622CE">
      <w:pPr>
        <w:pStyle w:val="ListParagraph"/>
        <w:numPr>
          <w:ilvl w:val="0"/>
          <w:numId w:val="9"/>
        </w:numPr>
        <w:tabs>
          <w:tab w:val="left" w:pos="540"/>
        </w:tabs>
        <w:ind w:left="0" w:firstLine="0"/>
        <w:rPr>
          <w:szCs w:val="22"/>
          <w:lang w:val="es-419"/>
        </w:rPr>
      </w:pPr>
      <w:r w:rsidRPr="00A16296">
        <w:rPr>
          <w:szCs w:val="22"/>
          <w:lang w:val="es-419"/>
        </w:rPr>
        <w:lastRenderedPageBreak/>
        <w:t>La labor indicada en el punto</w:t>
      </w:r>
      <w:r w:rsidR="008622CE" w:rsidRPr="00A16296">
        <w:rPr>
          <w:szCs w:val="22"/>
          <w:lang w:val="es-419"/>
        </w:rPr>
        <w:t xml:space="preserve"> 1 </w:t>
      </w:r>
      <w:r w:rsidRPr="00A16296">
        <w:rPr>
          <w:szCs w:val="22"/>
          <w:lang w:val="es-419"/>
        </w:rPr>
        <w:t>debería comenzar con el examen por los Estados miembros de las disposiciones propuestas</w:t>
      </w:r>
      <w:r w:rsidR="008622CE" w:rsidRPr="00A16296">
        <w:rPr>
          <w:szCs w:val="22"/>
          <w:lang w:val="es-419"/>
        </w:rPr>
        <w:t>, inclu</w:t>
      </w:r>
      <w:r w:rsidRPr="00A16296">
        <w:rPr>
          <w:szCs w:val="22"/>
          <w:lang w:val="es-419"/>
        </w:rPr>
        <w:t>idas las que se examinaron en sesiones anteriores y en los cuadros del presidente</w:t>
      </w:r>
      <w:r w:rsidR="008622CE" w:rsidRPr="00A16296">
        <w:rPr>
          <w:szCs w:val="22"/>
          <w:lang w:val="es-419"/>
        </w:rPr>
        <w:t xml:space="preserve">, </w:t>
      </w:r>
      <w:r w:rsidRPr="00A16296">
        <w:rPr>
          <w:szCs w:val="22"/>
          <w:lang w:val="es-419"/>
        </w:rPr>
        <w:t>acerca de las cuestiones prioritarias indicadas en el Informe sobre los seminarios regionales y la conferencia internacional sobre limitaciones y excepciones, de la Secretaría, (SCCR/40/2)</w:t>
      </w:r>
      <w:r w:rsidR="008622CE" w:rsidRPr="00A16296">
        <w:rPr>
          <w:szCs w:val="22"/>
          <w:lang w:val="es-419"/>
        </w:rPr>
        <w:t>, inclu</w:t>
      </w:r>
      <w:r w:rsidRPr="00A16296">
        <w:rPr>
          <w:szCs w:val="22"/>
          <w:lang w:val="es-419"/>
        </w:rPr>
        <w:t>i</w:t>
      </w:r>
      <w:r w:rsidR="008622CE" w:rsidRPr="00A16296">
        <w:rPr>
          <w:szCs w:val="22"/>
          <w:lang w:val="es-419"/>
        </w:rPr>
        <w:t>d</w:t>
      </w:r>
      <w:r w:rsidRPr="00A16296">
        <w:rPr>
          <w:szCs w:val="22"/>
          <w:lang w:val="es-419"/>
        </w:rPr>
        <w:t>as las siguientes:</w:t>
      </w:r>
    </w:p>
    <w:p w:rsidR="003F1049" w:rsidRPr="00A16296" w:rsidRDefault="003F1049" w:rsidP="008622CE">
      <w:pPr>
        <w:pStyle w:val="ListParagraph"/>
        <w:ind w:left="0"/>
        <w:rPr>
          <w:szCs w:val="22"/>
          <w:lang w:val="es-419"/>
        </w:rPr>
      </w:pPr>
    </w:p>
    <w:p w:rsidR="003F1049" w:rsidRPr="00A16296" w:rsidRDefault="003F1049" w:rsidP="00A16296">
      <w:pPr>
        <w:widowControl w:val="0"/>
        <w:numPr>
          <w:ilvl w:val="0"/>
          <w:numId w:val="8"/>
        </w:numPr>
        <w:spacing w:line="228" w:lineRule="auto"/>
        <w:ind w:left="1701" w:right="389" w:hanging="567"/>
        <w:rPr>
          <w:szCs w:val="22"/>
          <w:lang w:val="es-419"/>
        </w:rPr>
      </w:pPr>
      <w:r w:rsidRPr="00A16296">
        <w:rPr>
          <w:szCs w:val="22"/>
          <w:lang w:val="es-419"/>
        </w:rPr>
        <w:t>velar por que todas las legislaciones permitan las actividades d</w:t>
      </w:r>
      <w:r w:rsidR="008622CE" w:rsidRPr="00A16296">
        <w:rPr>
          <w:szCs w:val="22"/>
          <w:lang w:val="es-419"/>
        </w:rPr>
        <w:t xml:space="preserve">e </w:t>
      </w:r>
      <w:r w:rsidRPr="00A16296">
        <w:rPr>
          <w:szCs w:val="22"/>
          <w:lang w:val="es-419"/>
        </w:rPr>
        <w:t>conservación</w:t>
      </w:r>
      <w:r w:rsidR="008622CE" w:rsidRPr="00A16296">
        <w:rPr>
          <w:szCs w:val="22"/>
          <w:lang w:val="es-419"/>
        </w:rPr>
        <w:t xml:space="preserve"> </w:t>
      </w:r>
      <w:r w:rsidRPr="00A16296">
        <w:rPr>
          <w:szCs w:val="22"/>
          <w:lang w:val="es-419"/>
        </w:rPr>
        <w:t>de las bibliotecas, los archivos y los museos</w:t>
      </w:r>
      <w:r w:rsidR="008622CE" w:rsidRPr="00A16296">
        <w:rPr>
          <w:szCs w:val="22"/>
          <w:lang w:val="es-419"/>
        </w:rPr>
        <w:t xml:space="preserve">, </w:t>
      </w:r>
      <w:r w:rsidR="0071124A" w:rsidRPr="00A16296">
        <w:rPr>
          <w:szCs w:val="22"/>
          <w:lang w:val="es-419"/>
        </w:rPr>
        <w:t>sin dejar de lado</w:t>
      </w:r>
      <w:r w:rsidRPr="00A16296">
        <w:rPr>
          <w:szCs w:val="22"/>
          <w:lang w:val="es-419"/>
        </w:rPr>
        <w:t xml:space="preserve"> el uso transfronterizo del material conservado</w:t>
      </w:r>
      <w:r w:rsidR="008622CE" w:rsidRPr="00A16296">
        <w:rPr>
          <w:szCs w:val="22"/>
          <w:lang w:val="es-419"/>
        </w:rPr>
        <w:t xml:space="preserve">; </w:t>
      </w:r>
      <w:r w:rsidRPr="00A16296">
        <w:rPr>
          <w:szCs w:val="22"/>
          <w:lang w:val="es-419"/>
        </w:rPr>
        <w:t>y</w:t>
      </w:r>
    </w:p>
    <w:p w:rsidR="003F1049" w:rsidRPr="00A16296" w:rsidRDefault="003F1049" w:rsidP="0071124A">
      <w:pPr>
        <w:widowControl w:val="0"/>
        <w:spacing w:line="228" w:lineRule="auto"/>
        <w:ind w:right="389"/>
        <w:rPr>
          <w:szCs w:val="22"/>
          <w:lang w:val="es-419"/>
        </w:rPr>
      </w:pPr>
    </w:p>
    <w:p w:rsidR="003F1049" w:rsidRPr="00A16296" w:rsidRDefault="003F1049" w:rsidP="00A16296">
      <w:pPr>
        <w:widowControl w:val="0"/>
        <w:numPr>
          <w:ilvl w:val="0"/>
          <w:numId w:val="8"/>
        </w:numPr>
        <w:spacing w:line="228" w:lineRule="auto"/>
        <w:ind w:left="1701" w:right="388" w:hanging="567"/>
        <w:rPr>
          <w:szCs w:val="22"/>
          <w:lang w:val="es-419"/>
        </w:rPr>
      </w:pPr>
      <w:r w:rsidRPr="00A16296">
        <w:rPr>
          <w:szCs w:val="22"/>
          <w:lang w:val="es-419"/>
        </w:rPr>
        <w:t>promover la adaptación</w:t>
      </w:r>
      <w:r w:rsidR="008622CE" w:rsidRPr="00A16296">
        <w:rPr>
          <w:szCs w:val="22"/>
          <w:lang w:val="es-419"/>
        </w:rPr>
        <w:t xml:space="preserve"> </w:t>
      </w:r>
      <w:r w:rsidRPr="00A16296">
        <w:rPr>
          <w:szCs w:val="22"/>
          <w:lang w:val="es-419"/>
        </w:rPr>
        <w:t>de</w:t>
      </w:r>
      <w:r w:rsidR="008622CE" w:rsidRPr="00A16296">
        <w:rPr>
          <w:szCs w:val="22"/>
          <w:lang w:val="es-419"/>
        </w:rPr>
        <w:t xml:space="preserve"> </w:t>
      </w:r>
      <w:r w:rsidR="0032090C" w:rsidRPr="00A16296">
        <w:rPr>
          <w:szCs w:val="22"/>
          <w:lang w:val="es-419"/>
        </w:rPr>
        <w:t xml:space="preserve">las </w:t>
      </w:r>
      <w:r w:rsidRPr="00A16296">
        <w:rPr>
          <w:szCs w:val="22"/>
          <w:lang w:val="es-419"/>
        </w:rPr>
        <w:t>excepciones</w:t>
      </w:r>
      <w:r w:rsidR="008622CE" w:rsidRPr="00A16296">
        <w:rPr>
          <w:szCs w:val="22"/>
          <w:lang w:val="es-419"/>
        </w:rPr>
        <w:t xml:space="preserve"> </w:t>
      </w:r>
      <w:r w:rsidRPr="00A16296">
        <w:rPr>
          <w:szCs w:val="22"/>
          <w:lang w:val="es-419"/>
        </w:rPr>
        <w:t>al entorno en línea y transfronterizo</w:t>
      </w:r>
      <w:r w:rsidR="008622CE" w:rsidRPr="00A16296">
        <w:rPr>
          <w:szCs w:val="22"/>
          <w:lang w:val="es-419"/>
        </w:rPr>
        <w:t xml:space="preserve">, </w:t>
      </w:r>
      <w:r w:rsidR="001D4A49" w:rsidRPr="00A16296">
        <w:rPr>
          <w:szCs w:val="22"/>
          <w:lang w:val="es-419"/>
        </w:rPr>
        <w:t xml:space="preserve">por ejemplo, al permitir la </w:t>
      </w:r>
      <w:r w:rsidR="0032090C" w:rsidRPr="00A16296">
        <w:rPr>
          <w:szCs w:val="22"/>
          <w:lang w:val="es-419"/>
        </w:rPr>
        <w:t>enseñanza, el aprendizaje y la investigación mediante herramientas digitales y en línea</w:t>
      </w:r>
      <w:r w:rsidR="008622CE" w:rsidRPr="00A16296">
        <w:rPr>
          <w:szCs w:val="22"/>
          <w:lang w:val="es-419"/>
        </w:rPr>
        <w:t>.</w:t>
      </w:r>
    </w:p>
    <w:p w:rsidR="0032090C" w:rsidRPr="00A16296" w:rsidRDefault="0032090C" w:rsidP="0032090C">
      <w:pPr>
        <w:widowControl w:val="0"/>
        <w:spacing w:line="228" w:lineRule="auto"/>
        <w:ind w:right="388"/>
        <w:rPr>
          <w:szCs w:val="22"/>
          <w:lang w:val="es-419"/>
        </w:rPr>
      </w:pPr>
    </w:p>
    <w:p w:rsidR="003F1049" w:rsidRPr="00A16296" w:rsidRDefault="0032090C" w:rsidP="00F27251">
      <w:pPr>
        <w:pStyle w:val="ListParagraph"/>
        <w:numPr>
          <w:ilvl w:val="0"/>
          <w:numId w:val="9"/>
        </w:numPr>
        <w:tabs>
          <w:tab w:val="left" w:pos="540"/>
        </w:tabs>
        <w:ind w:left="0" w:firstLine="0"/>
        <w:rPr>
          <w:szCs w:val="22"/>
          <w:lang w:val="es-419"/>
        </w:rPr>
      </w:pPr>
      <w:r w:rsidRPr="00A16296">
        <w:rPr>
          <w:szCs w:val="22"/>
          <w:lang w:val="es-419"/>
        </w:rPr>
        <w:t xml:space="preserve">En la próxima sesión del SCCR, la Secretaría debería invitar a expertos a que presenten ponencias sobre los problemas de elección de la ley aplicable para los usos transfronterizos de las obras protegidas por derecho de autor, </w:t>
      </w:r>
      <w:r w:rsidR="00F27251" w:rsidRPr="00A16296">
        <w:rPr>
          <w:szCs w:val="22"/>
          <w:lang w:val="es-419"/>
        </w:rPr>
        <w:t>por ejempl</w:t>
      </w:r>
      <w:r w:rsidRPr="00A16296">
        <w:rPr>
          <w:szCs w:val="22"/>
          <w:lang w:val="es-419"/>
        </w:rPr>
        <w:t>o</w:t>
      </w:r>
      <w:r w:rsidR="00F27251" w:rsidRPr="00A16296">
        <w:rPr>
          <w:szCs w:val="22"/>
          <w:lang w:val="es-419"/>
        </w:rPr>
        <w:t>,</w:t>
      </w:r>
      <w:r w:rsidRPr="00A16296">
        <w:rPr>
          <w:szCs w:val="22"/>
          <w:lang w:val="es-419"/>
        </w:rPr>
        <w:t xml:space="preserve"> en el caso de una clase en línea con estudiantes de varios países, o cuando los investigadores que colaboran</w:t>
      </w:r>
      <w:r w:rsidR="00F27251" w:rsidRPr="00A16296">
        <w:rPr>
          <w:szCs w:val="22"/>
          <w:lang w:val="es-419"/>
        </w:rPr>
        <w:t>,</w:t>
      </w:r>
      <w:r w:rsidRPr="00A16296">
        <w:rPr>
          <w:szCs w:val="22"/>
          <w:lang w:val="es-419"/>
        </w:rPr>
        <w:t xml:space="preserve"> o los sujetos de su investigación</w:t>
      </w:r>
      <w:r w:rsidR="00F27251" w:rsidRPr="00A16296">
        <w:rPr>
          <w:szCs w:val="22"/>
          <w:lang w:val="es-419"/>
        </w:rPr>
        <w:t>,</w:t>
      </w:r>
      <w:r w:rsidRPr="00A16296">
        <w:rPr>
          <w:szCs w:val="22"/>
          <w:lang w:val="es-419"/>
        </w:rPr>
        <w:t xml:space="preserve"> se encuentran en diferentes países. En la sesión deberían examinarse los modelos internacionales existentes para hacer frente a este problema, por ejemplo, la disposición sobre uso transfronterizo propuesta por la </w:t>
      </w:r>
      <w:r w:rsidR="008F1296" w:rsidRPr="00A16296">
        <w:rPr>
          <w:szCs w:val="22"/>
          <w:lang w:val="es-419"/>
        </w:rPr>
        <w:t xml:space="preserve">Argentina (SCCR/33/4); el modelo de ficción jurídica adoptado en el Artículo </w:t>
      </w:r>
      <w:r w:rsidR="008622CE" w:rsidRPr="00A16296">
        <w:rPr>
          <w:szCs w:val="22"/>
          <w:lang w:val="es-419"/>
        </w:rPr>
        <w:t xml:space="preserve">5 </w:t>
      </w:r>
      <w:r w:rsidR="008F1296" w:rsidRPr="00A16296">
        <w:rPr>
          <w:szCs w:val="22"/>
          <w:lang w:val="es-419"/>
        </w:rPr>
        <w:t>de la</w:t>
      </w:r>
      <w:r w:rsidR="008622CE" w:rsidRPr="00A16296">
        <w:rPr>
          <w:szCs w:val="22"/>
          <w:lang w:val="es-419"/>
        </w:rPr>
        <w:t xml:space="preserve"> Directiv</w:t>
      </w:r>
      <w:r w:rsidR="008F1296" w:rsidRPr="00A16296">
        <w:rPr>
          <w:szCs w:val="22"/>
          <w:lang w:val="es-419"/>
        </w:rPr>
        <w:t>a</w:t>
      </w:r>
      <w:r w:rsidR="008622CE" w:rsidRPr="00A16296">
        <w:rPr>
          <w:szCs w:val="22"/>
          <w:lang w:val="es-419"/>
        </w:rPr>
        <w:t xml:space="preserve"> (U</w:t>
      </w:r>
      <w:r w:rsidR="008F1296" w:rsidRPr="00A16296">
        <w:rPr>
          <w:szCs w:val="22"/>
          <w:lang w:val="es-419"/>
        </w:rPr>
        <w:t>E</w:t>
      </w:r>
      <w:r w:rsidR="008622CE" w:rsidRPr="00A16296">
        <w:rPr>
          <w:szCs w:val="22"/>
          <w:lang w:val="es-419"/>
        </w:rPr>
        <w:t xml:space="preserve">) 2019/790 </w:t>
      </w:r>
      <w:r w:rsidR="008F1296" w:rsidRPr="00A16296">
        <w:rPr>
          <w:szCs w:val="22"/>
          <w:lang w:val="es-419"/>
        </w:rPr>
        <w:t xml:space="preserve">del Parlamento Europeo y del </w:t>
      </w:r>
      <w:r w:rsidR="00461D17" w:rsidRPr="00A16296">
        <w:rPr>
          <w:szCs w:val="22"/>
          <w:lang w:val="es-419"/>
        </w:rPr>
        <w:t>Consejo</w:t>
      </w:r>
      <w:r w:rsidR="008F1296" w:rsidRPr="00A16296">
        <w:rPr>
          <w:szCs w:val="22"/>
          <w:lang w:val="es-419"/>
        </w:rPr>
        <w:t xml:space="preserve"> de </w:t>
      </w:r>
      <w:r w:rsidR="008622CE" w:rsidRPr="00A16296">
        <w:rPr>
          <w:szCs w:val="22"/>
          <w:lang w:val="es-419"/>
        </w:rPr>
        <w:t xml:space="preserve">17 </w:t>
      </w:r>
      <w:r w:rsidR="008F1296" w:rsidRPr="00A16296">
        <w:rPr>
          <w:szCs w:val="22"/>
          <w:lang w:val="es-419"/>
        </w:rPr>
        <w:t>de abril de</w:t>
      </w:r>
      <w:r w:rsidR="008622CE" w:rsidRPr="00A16296">
        <w:rPr>
          <w:szCs w:val="22"/>
          <w:lang w:val="es-419"/>
        </w:rPr>
        <w:t xml:space="preserve"> 2019 </w:t>
      </w:r>
      <w:r w:rsidR="008F1296" w:rsidRPr="00A16296">
        <w:rPr>
          <w:szCs w:val="22"/>
          <w:lang w:val="es-419"/>
        </w:rPr>
        <w:t xml:space="preserve">sobre </w:t>
      </w:r>
      <w:r w:rsidR="00461D17" w:rsidRPr="00A16296">
        <w:rPr>
          <w:szCs w:val="22"/>
          <w:lang w:val="es-419"/>
        </w:rPr>
        <w:t>los derechos de autor y derechos afines en el mercado único digital</w:t>
      </w:r>
      <w:r w:rsidR="008622CE" w:rsidRPr="00A16296">
        <w:rPr>
          <w:szCs w:val="22"/>
          <w:lang w:val="es-419"/>
        </w:rPr>
        <w:t xml:space="preserve">, </w:t>
      </w:r>
      <w:r w:rsidR="00461D17" w:rsidRPr="00A16296">
        <w:rPr>
          <w:szCs w:val="22"/>
          <w:lang w:val="es-419"/>
        </w:rPr>
        <w:t>y los demás modelos propuestos</w:t>
      </w:r>
      <w:r w:rsidR="00F27251" w:rsidRPr="00A16296">
        <w:rPr>
          <w:szCs w:val="22"/>
          <w:lang w:val="es-419"/>
        </w:rPr>
        <w:t xml:space="preserve"> que se han</w:t>
      </w:r>
      <w:r w:rsidR="00461D17" w:rsidRPr="00A16296">
        <w:rPr>
          <w:szCs w:val="22"/>
          <w:lang w:val="es-419"/>
        </w:rPr>
        <w:t xml:space="preserve"> </w:t>
      </w:r>
      <w:r w:rsidR="00F27251" w:rsidRPr="00A16296">
        <w:rPr>
          <w:szCs w:val="22"/>
          <w:lang w:val="es-419"/>
        </w:rPr>
        <w:t>sometido</w:t>
      </w:r>
      <w:r w:rsidR="00461D17" w:rsidRPr="00A16296">
        <w:rPr>
          <w:szCs w:val="22"/>
          <w:lang w:val="es-419"/>
        </w:rPr>
        <w:t xml:space="preserve"> al examen de los Estados miembros</w:t>
      </w:r>
      <w:r w:rsidR="008622CE" w:rsidRPr="00A16296">
        <w:rPr>
          <w:szCs w:val="22"/>
          <w:lang w:val="es-419"/>
        </w:rPr>
        <w:t>.</w:t>
      </w:r>
    </w:p>
    <w:p w:rsidR="003F1049" w:rsidRPr="00A16296" w:rsidRDefault="003F1049" w:rsidP="008622CE">
      <w:pPr>
        <w:pStyle w:val="ListParagraph"/>
        <w:ind w:left="0"/>
        <w:rPr>
          <w:szCs w:val="22"/>
          <w:lang w:val="es-419"/>
        </w:rPr>
      </w:pPr>
    </w:p>
    <w:p w:rsidR="003F1049" w:rsidRPr="00A16296" w:rsidRDefault="00461D17" w:rsidP="008622CE">
      <w:pPr>
        <w:pStyle w:val="ListParagraph"/>
        <w:numPr>
          <w:ilvl w:val="0"/>
          <w:numId w:val="9"/>
        </w:numPr>
        <w:tabs>
          <w:tab w:val="left" w:pos="540"/>
        </w:tabs>
        <w:ind w:left="0" w:firstLine="0"/>
        <w:rPr>
          <w:szCs w:val="22"/>
          <w:lang w:val="es-419"/>
        </w:rPr>
      </w:pPr>
      <w:r w:rsidRPr="00A16296">
        <w:rPr>
          <w:szCs w:val="22"/>
          <w:lang w:val="es-419"/>
        </w:rPr>
        <w:t xml:space="preserve">El </w:t>
      </w:r>
      <w:r w:rsidR="00727A32" w:rsidRPr="00A16296">
        <w:rPr>
          <w:szCs w:val="22"/>
          <w:lang w:val="es-419"/>
        </w:rPr>
        <w:t>presidente</w:t>
      </w:r>
      <w:r w:rsidRPr="00A16296">
        <w:rPr>
          <w:szCs w:val="22"/>
          <w:lang w:val="es-419"/>
        </w:rPr>
        <w:t xml:space="preserve"> debería promover el intercambio de </w:t>
      </w:r>
      <w:r w:rsidR="00727A32" w:rsidRPr="00A16296">
        <w:rPr>
          <w:szCs w:val="22"/>
          <w:lang w:val="es-419"/>
        </w:rPr>
        <w:t>información</w:t>
      </w:r>
      <w:r w:rsidRPr="00A16296">
        <w:rPr>
          <w:szCs w:val="22"/>
          <w:lang w:val="es-419"/>
        </w:rPr>
        <w:t xml:space="preserve"> y fomentar el consenso respecto de los puntos </w:t>
      </w:r>
      <w:r w:rsidR="008622CE" w:rsidRPr="00A16296">
        <w:rPr>
          <w:szCs w:val="22"/>
          <w:lang w:val="es-419"/>
        </w:rPr>
        <w:t>1</w:t>
      </w:r>
      <w:r w:rsidRPr="00A16296">
        <w:rPr>
          <w:szCs w:val="22"/>
          <w:lang w:val="es-419"/>
        </w:rPr>
        <w:t xml:space="preserve"> a </w:t>
      </w:r>
      <w:r w:rsidR="008622CE" w:rsidRPr="00A16296">
        <w:rPr>
          <w:szCs w:val="22"/>
          <w:lang w:val="es-419"/>
        </w:rPr>
        <w:t xml:space="preserve">3 </w:t>
      </w:r>
      <w:r w:rsidRPr="00A16296">
        <w:rPr>
          <w:szCs w:val="22"/>
          <w:lang w:val="es-419"/>
        </w:rPr>
        <w:t>entre las sesiones del SCCR, mediante procesos que sean</w:t>
      </w:r>
      <w:r w:rsidR="008622CE" w:rsidRPr="00A16296">
        <w:rPr>
          <w:szCs w:val="22"/>
          <w:lang w:val="es-419"/>
        </w:rPr>
        <w:t xml:space="preserve"> transparent</w:t>
      </w:r>
      <w:r w:rsidR="00727A32" w:rsidRPr="00A16296">
        <w:rPr>
          <w:szCs w:val="22"/>
          <w:lang w:val="es-419"/>
        </w:rPr>
        <w:t>es</w:t>
      </w:r>
      <w:r w:rsidR="008622CE" w:rsidRPr="00A16296">
        <w:rPr>
          <w:szCs w:val="22"/>
          <w:lang w:val="es-419"/>
        </w:rPr>
        <w:t xml:space="preserve"> </w:t>
      </w:r>
      <w:r w:rsidRPr="00A16296">
        <w:rPr>
          <w:szCs w:val="22"/>
          <w:lang w:val="es-419"/>
        </w:rPr>
        <w:t>e inclusivos, de conformidad con la recomendación N.º</w:t>
      </w:r>
      <w:r w:rsidR="00F27251" w:rsidRPr="00A16296">
        <w:rPr>
          <w:szCs w:val="22"/>
          <w:lang w:val="es-419"/>
        </w:rPr>
        <w:t> 44 de la Agenda de la </w:t>
      </w:r>
      <w:r w:rsidRPr="00A16296">
        <w:rPr>
          <w:szCs w:val="22"/>
          <w:lang w:val="es-419"/>
        </w:rPr>
        <w:t>OMPI para el Desarrollo</w:t>
      </w:r>
      <w:r w:rsidR="008622CE" w:rsidRPr="00A16296">
        <w:rPr>
          <w:szCs w:val="22"/>
          <w:lang w:val="es-419"/>
        </w:rPr>
        <w:t xml:space="preserve">, </w:t>
      </w:r>
      <w:r w:rsidRPr="00A16296">
        <w:rPr>
          <w:szCs w:val="22"/>
          <w:lang w:val="es-419"/>
        </w:rPr>
        <w:t xml:space="preserve">por ejemplo, mediante comisiones de especialistas que preparen objetivos y principios y disposiciones tipo para someter al examen del </w:t>
      </w:r>
      <w:r w:rsidR="00727A32" w:rsidRPr="00A16296">
        <w:rPr>
          <w:szCs w:val="22"/>
          <w:lang w:val="es-419"/>
        </w:rPr>
        <w:t>Comité</w:t>
      </w:r>
      <w:r w:rsidRPr="00A16296">
        <w:rPr>
          <w:szCs w:val="22"/>
          <w:lang w:val="es-419"/>
        </w:rPr>
        <w:t>.</w:t>
      </w:r>
    </w:p>
    <w:p w:rsidR="003F1049" w:rsidRPr="00A16296" w:rsidRDefault="003F1049" w:rsidP="00A16296">
      <w:pPr>
        <w:pStyle w:val="ListParagraph"/>
        <w:ind w:left="0"/>
        <w:rPr>
          <w:szCs w:val="22"/>
          <w:lang w:val="es-419"/>
        </w:rPr>
      </w:pPr>
    </w:p>
    <w:p w:rsidR="003F1049" w:rsidRPr="00A16296" w:rsidRDefault="00E742EC" w:rsidP="00A16296">
      <w:pPr>
        <w:pStyle w:val="ListParagraph"/>
        <w:numPr>
          <w:ilvl w:val="0"/>
          <w:numId w:val="9"/>
        </w:numPr>
        <w:ind w:left="0" w:firstLine="0"/>
        <w:rPr>
          <w:szCs w:val="22"/>
          <w:lang w:val="es-419"/>
        </w:rPr>
      </w:pPr>
      <w:r w:rsidRPr="00A16296">
        <w:rPr>
          <w:szCs w:val="22"/>
          <w:lang w:val="es-419"/>
        </w:rPr>
        <w:t>La Secretaría debería convocar sesiones de información y de intercambio con los Estados miembros, los expertos, las oficinas de Derecho de autor y otros organismos, así como con las organizaciones beneficiarias, basándose en estudios de investigación nuevos o existentes, cuando proceda, sobre las cuestiones pertinentes a los puntos 1 a 3 y sobre otras cuestiones, entre ellas:</w:t>
      </w:r>
    </w:p>
    <w:p w:rsidR="003F1049" w:rsidRPr="00A16296" w:rsidRDefault="003F1049" w:rsidP="008622CE">
      <w:pPr>
        <w:pStyle w:val="ListParagraph"/>
        <w:ind w:left="0"/>
        <w:rPr>
          <w:szCs w:val="22"/>
          <w:lang w:val="es-419"/>
        </w:rPr>
      </w:pPr>
    </w:p>
    <w:p w:rsidR="003F1049" w:rsidRPr="00A16296" w:rsidRDefault="008622CE" w:rsidP="00A16296">
      <w:pPr>
        <w:widowControl w:val="0"/>
        <w:numPr>
          <w:ilvl w:val="0"/>
          <w:numId w:val="7"/>
        </w:numPr>
        <w:spacing w:line="228" w:lineRule="auto"/>
        <w:ind w:left="1134" w:right="388" w:hanging="567"/>
        <w:rPr>
          <w:szCs w:val="22"/>
          <w:lang w:val="es-419"/>
        </w:rPr>
      </w:pPr>
      <w:r w:rsidRPr="00A16296">
        <w:rPr>
          <w:szCs w:val="22"/>
          <w:lang w:val="es-419"/>
        </w:rPr>
        <w:t>limita</w:t>
      </w:r>
      <w:r w:rsidR="00461D17" w:rsidRPr="00A16296">
        <w:rPr>
          <w:szCs w:val="22"/>
          <w:lang w:val="es-419"/>
        </w:rPr>
        <w:t xml:space="preserve">ciones </w:t>
      </w:r>
      <w:r w:rsidR="00E742EC" w:rsidRPr="00A16296">
        <w:rPr>
          <w:szCs w:val="22"/>
          <w:lang w:val="es-419"/>
        </w:rPr>
        <w:t>y</w:t>
      </w:r>
      <w:r w:rsidRPr="00A16296">
        <w:rPr>
          <w:szCs w:val="22"/>
          <w:lang w:val="es-419"/>
        </w:rPr>
        <w:t xml:space="preserve"> </w:t>
      </w:r>
      <w:r w:rsidR="00727A32" w:rsidRPr="00A16296">
        <w:rPr>
          <w:szCs w:val="22"/>
          <w:lang w:val="es-419"/>
        </w:rPr>
        <w:t>excepciones</w:t>
      </w:r>
      <w:r w:rsidRPr="00A16296">
        <w:rPr>
          <w:szCs w:val="22"/>
          <w:lang w:val="es-419"/>
        </w:rPr>
        <w:t xml:space="preserve"> </w:t>
      </w:r>
      <w:r w:rsidR="00461D17" w:rsidRPr="00A16296">
        <w:rPr>
          <w:szCs w:val="22"/>
          <w:lang w:val="es-419"/>
        </w:rPr>
        <w:t>relativas a</w:t>
      </w:r>
      <w:r w:rsidR="00F7765A" w:rsidRPr="00A16296">
        <w:rPr>
          <w:szCs w:val="22"/>
          <w:lang w:val="es-419"/>
        </w:rPr>
        <w:t xml:space="preserve"> la investigación en materia de </w:t>
      </w:r>
      <w:r w:rsidR="00461D17" w:rsidRPr="00A16296">
        <w:rPr>
          <w:szCs w:val="22"/>
          <w:lang w:val="es-419"/>
        </w:rPr>
        <w:t xml:space="preserve">minería de </w:t>
      </w:r>
      <w:r w:rsidR="00F7765A" w:rsidRPr="00A16296">
        <w:rPr>
          <w:szCs w:val="22"/>
          <w:lang w:val="es-419"/>
        </w:rPr>
        <w:t xml:space="preserve">textos </w:t>
      </w:r>
      <w:r w:rsidR="00F27251" w:rsidRPr="00A16296">
        <w:rPr>
          <w:szCs w:val="22"/>
          <w:lang w:val="es-419"/>
        </w:rPr>
        <w:t xml:space="preserve">y </w:t>
      </w:r>
      <w:r w:rsidR="00461D17" w:rsidRPr="00A16296">
        <w:rPr>
          <w:szCs w:val="22"/>
          <w:lang w:val="es-419"/>
        </w:rPr>
        <w:t>datos</w:t>
      </w:r>
      <w:r w:rsidRPr="00A16296">
        <w:rPr>
          <w:szCs w:val="22"/>
          <w:lang w:val="es-419"/>
        </w:rPr>
        <w:t>, t</w:t>
      </w:r>
      <w:r w:rsidR="00F7765A" w:rsidRPr="00A16296">
        <w:rPr>
          <w:szCs w:val="22"/>
          <w:lang w:val="es-419"/>
        </w:rPr>
        <w:t>eniendo en cuanta las novedades que se producen en ese ámbito;</w:t>
      </w:r>
    </w:p>
    <w:p w:rsidR="003F1049" w:rsidRPr="00A16296" w:rsidRDefault="003F1049" w:rsidP="00A16296">
      <w:pPr>
        <w:widowControl w:val="0"/>
        <w:spacing w:line="228" w:lineRule="auto"/>
        <w:ind w:left="1134" w:right="388" w:hanging="567"/>
        <w:rPr>
          <w:szCs w:val="22"/>
          <w:lang w:val="es-419"/>
        </w:rPr>
      </w:pPr>
    </w:p>
    <w:p w:rsidR="003F1049" w:rsidRPr="00A16296" w:rsidRDefault="00F7765A" w:rsidP="00A16296">
      <w:pPr>
        <w:widowControl w:val="0"/>
        <w:numPr>
          <w:ilvl w:val="0"/>
          <w:numId w:val="7"/>
        </w:numPr>
        <w:spacing w:line="228" w:lineRule="auto"/>
        <w:ind w:left="1134" w:right="388" w:hanging="567"/>
        <w:rPr>
          <w:szCs w:val="22"/>
          <w:lang w:val="es-419"/>
        </w:rPr>
      </w:pPr>
      <w:r w:rsidRPr="00A16296">
        <w:rPr>
          <w:szCs w:val="22"/>
          <w:lang w:val="es-419"/>
        </w:rPr>
        <w:t xml:space="preserve">la Recomendación de la </w:t>
      </w:r>
      <w:r w:rsidR="008622CE" w:rsidRPr="00A16296">
        <w:rPr>
          <w:szCs w:val="22"/>
          <w:lang w:val="es-419"/>
        </w:rPr>
        <w:t xml:space="preserve">UNESCO </w:t>
      </w:r>
      <w:r w:rsidR="00366065" w:rsidRPr="00A16296">
        <w:rPr>
          <w:szCs w:val="22"/>
          <w:lang w:val="es-419"/>
        </w:rPr>
        <w:t>sobre la Ciencia Abierta</w:t>
      </w:r>
      <w:r w:rsidR="008622CE" w:rsidRPr="00A16296">
        <w:rPr>
          <w:szCs w:val="22"/>
          <w:lang w:val="es-419"/>
        </w:rPr>
        <w:t xml:space="preserve"> (2021) </w:t>
      </w:r>
      <w:r w:rsidR="00366065" w:rsidRPr="00A16296">
        <w:rPr>
          <w:szCs w:val="22"/>
          <w:lang w:val="es-419"/>
        </w:rPr>
        <w:t>y sus consecuencias para las normas y políticas internacionales sobre derecho de autor; y</w:t>
      </w:r>
    </w:p>
    <w:p w:rsidR="003F1049" w:rsidRPr="00A16296" w:rsidRDefault="003F1049" w:rsidP="00A16296">
      <w:pPr>
        <w:ind w:left="1134" w:hanging="567"/>
        <w:rPr>
          <w:szCs w:val="22"/>
          <w:lang w:val="es-419"/>
        </w:rPr>
      </w:pPr>
    </w:p>
    <w:p w:rsidR="003F1049" w:rsidRPr="00A16296" w:rsidRDefault="00366065" w:rsidP="00A16296">
      <w:pPr>
        <w:widowControl w:val="0"/>
        <w:numPr>
          <w:ilvl w:val="0"/>
          <w:numId w:val="7"/>
        </w:numPr>
        <w:spacing w:line="228" w:lineRule="auto"/>
        <w:ind w:left="1134" w:right="388" w:hanging="567"/>
        <w:rPr>
          <w:szCs w:val="22"/>
          <w:lang w:val="es-419"/>
        </w:rPr>
      </w:pPr>
      <w:r w:rsidRPr="00A16296">
        <w:rPr>
          <w:szCs w:val="22"/>
          <w:lang w:val="es-419"/>
        </w:rPr>
        <w:t xml:space="preserve">los </w:t>
      </w:r>
      <w:r w:rsidR="00727A32" w:rsidRPr="00A16296">
        <w:rPr>
          <w:szCs w:val="22"/>
          <w:lang w:val="es-419"/>
        </w:rPr>
        <w:t>modelos</w:t>
      </w:r>
      <w:r w:rsidR="008622CE" w:rsidRPr="00A16296">
        <w:rPr>
          <w:szCs w:val="22"/>
          <w:lang w:val="es-419"/>
        </w:rPr>
        <w:t xml:space="preserve"> </w:t>
      </w:r>
      <w:r w:rsidRPr="00A16296">
        <w:rPr>
          <w:szCs w:val="22"/>
          <w:lang w:val="es-419"/>
        </w:rPr>
        <w:t xml:space="preserve">para la </w:t>
      </w:r>
      <w:r w:rsidR="00727A32" w:rsidRPr="00A16296">
        <w:rPr>
          <w:szCs w:val="22"/>
          <w:lang w:val="es-419"/>
        </w:rPr>
        <w:t>protección</w:t>
      </w:r>
      <w:r w:rsidR="008622CE" w:rsidRPr="00A16296">
        <w:rPr>
          <w:szCs w:val="22"/>
          <w:lang w:val="es-419"/>
        </w:rPr>
        <w:t xml:space="preserve"> </w:t>
      </w:r>
      <w:r w:rsidRPr="00A16296">
        <w:rPr>
          <w:szCs w:val="22"/>
          <w:lang w:val="es-419"/>
        </w:rPr>
        <w:t>de las</w:t>
      </w:r>
      <w:r w:rsidR="008622CE" w:rsidRPr="00A16296">
        <w:rPr>
          <w:szCs w:val="22"/>
          <w:lang w:val="es-419"/>
        </w:rPr>
        <w:t xml:space="preserve"> </w:t>
      </w:r>
      <w:r w:rsidR="00727A32" w:rsidRPr="00A16296">
        <w:rPr>
          <w:szCs w:val="22"/>
          <w:lang w:val="es-419"/>
        </w:rPr>
        <w:t>limitaciones</w:t>
      </w:r>
      <w:r w:rsidR="008622CE" w:rsidRPr="00A16296">
        <w:rPr>
          <w:szCs w:val="22"/>
          <w:lang w:val="es-419"/>
        </w:rPr>
        <w:t xml:space="preserve"> </w:t>
      </w:r>
      <w:r w:rsidRPr="00A16296">
        <w:rPr>
          <w:szCs w:val="22"/>
          <w:lang w:val="es-419"/>
        </w:rPr>
        <w:t>y</w:t>
      </w:r>
      <w:r w:rsidR="008622CE" w:rsidRPr="00A16296">
        <w:rPr>
          <w:szCs w:val="22"/>
          <w:lang w:val="es-419"/>
        </w:rPr>
        <w:t xml:space="preserve"> </w:t>
      </w:r>
      <w:r w:rsidR="00727A32" w:rsidRPr="00A16296">
        <w:rPr>
          <w:szCs w:val="22"/>
          <w:lang w:val="es-419"/>
        </w:rPr>
        <w:t>excepciones</w:t>
      </w:r>
      <w:r w:rsidRPr="00A16296">
        <w:rPr>
          <w:szCs w:val="22"/>
          <w:lang w:val="es-419"/>
        </w:rPr>
        <w:t xml:space="preserve">, con el fin de evitar que queden invalidadas por cláusulas </w:t>
      </w:r>
      <w:r w:rsidR="00F27251" w:rsidRPr="00A16296">
        <w:rPr>
          <w:szCs w:val="22"/>
          <w:lang w:val="es-419"/>
        </w:rPr>
        <w:t>contractuales; las</w:t>
      </w:r>
      <w:r w:rsidR="008622CE" w:rsidRPr="00A16296">
        <w:rPr>
          <w:szCs w:val="22"/>
          <w:lang w:val="es-419"/>
        </w:rPr>
        <w:t xml:space="preserve"> </w:t>
      </w:r>
      <w:r w:rsidRPr="00A16296">
        <w:rPr>
          <w:lang w:val="es-419"/>
        </w:rPr>
        <w:t>cláusulas de exención de responsabilidad para las instituciones docentes</w:t>
      </w:r>
      <w:r w:rsidR="00F27251" w:rsidRPr="00A16296">
        <w:rPr>
          <w:lang w:val="es-419"/>
        </w:rPr>
        <w:t xml:space="preserve"> y</w:t>
      </w:r>
      <w:r w:rsidRPr="00A16296">
        <w:rPr>
          <w:lang w:val="es-419"/>
        </w:rPr>
        <w:t xml:space="preserve"> de investigación</w:t>
      </w:r>
      <w:r w:rsidR="00F27251" w:rsidRPr="00A16296">
        <w:rPr>
          <w:lang w:val="es-419"/>
        </w:rPr>
        <w:t>, así como las que se encargan del</w:t>
      </w:r>
      <w:r w:rsidR="00727A32" w:rsidRPr="00A16296">
        <w:rPr>
          <w:szCs w:val="22"/>
          <w:lang w:val="es-419"/>
        </w:rPr>
        <w:t xml:space="preserve"> patrimonio cultural</w:t>
      </w:r>
      <w:r w:rsidR="008622CE" w:rsidRPr="00A16296">
        <w:rPr>
          <w:szCs w:val="22"/>
          <w:lang w:val="es-419"/>
        </w:rPr>
        <w:t xml:space="preserve"> (</w:t>
      </w:r>
      <w:r w:rsidR="00727A32" w:rsidRPr="00A16296">
        <w:rPr>
          <w:szCs w:val="22"/>
          <w:lang w:val="es-419"/>
        </w:rPr>
        <w:t>y sus agentes) y las</w:t>
      </w:r>
      <w:r w:rsidR="008622CE" w:rsidRPr="00A16296">
        <w:rPr>
          <w:szCs w:val="22"/>
          <w:lang w:val="es-419"/>
        </w:rPr>
        <w:t xml:space="preserve"> </w:t>
      </w:r>
      <w:r w:rsidR="00727A32" w:rsidRPr="00A16296">
        <w:rPr>
          <w:szCs w:val="22"/>
          <w:lang w:val="es-419"/>
        </w:rPr>
        <w:t>excepciones</w:t>
      </w:r>
      <w:r w:rsidR="008622CE" w:rsidRPr="00A16296">
        <w:rPr>
          <w:szCs w:val="22"/>
          <w:lang w:val="es-419"/>
        </w:rPr>
        <w:t xml:space="preserve"> </w:t>
      </w:r>
      <w:r w:rsidR="00727A32" w:rsidRPr="00A16296">
        <w:rPr>
          <w:szCs w:val="22"/>
          <w:lang w:val="es-419"/>
        </w:rPr>
        <w:t xml:space="preserve">a las medidas </w:t>
      </w:r>
      <w:r w:rsidR="00F27251" w:rsidRPr="00A16296">
        <w:rPr>
          <w:szCs w:val="22"/>
          <w:lang w:val="es-419"/>
        </w:rPr>
        <w:t xml:space="preserve">tecnológicas </w:t>
      </w:r>
      <w:r w:rsidR="00727A32" w:rsidRPr="00A16296">
        <w:rPr>
          <w:szCs w:val="22"/>
          <w:lang w:val="es-419"/>
        </w:rPr>
        <w:t>de protección</w:t>
      </w:r>
      <w:r w:rsidR="008622CE" w:rsidRPr="00A16296">
        <w:rPr>
          <w:szCs w:val="22"/>
          <w:lang w:val="es-419"/>
        </w:rPr>
        <w:t xml:space="preserve"> </w:t>
      </w:r>
      <w:r w:rsidR="00727A32" w:rsidRPr="00A16296">
        <w:rPr>
          <w:szCs w:val="22"/>
          <w:lang w:val="es-419"/>
        </w:rPr>
        <w:t>y la información sobre gestión de derechos para proteger los usos permitidos por las limitaciones</w:t>
      </w:r>
      <w:r w:rsidR="00E742EC" w:rsidRPr="00A16296">
        <w:rPr>
          <w:szCs w:val="22"/>
          <w:lang w:val="es-419"/>
        </w:rPr>
        <w:t xml:space="preserve"> </w:t>
      </w:r>
      <w:r w:rsidR="00727A32" w:rsidRPr="00A16296">
        <w:rPr>
          <w:szCs w:val="22"/>
          <w:lang w:val="es-419"/>
        </w:rPr>
        <w:t>y</w:t>
      </w:r>
      <w:r w:rsidR="00E742EC" w:rsidRPr="00A16296">
        <w:rPr>
          <w:szCs w:val="22"/>
          <w:lang w:val="es-419"/>
        </w:rPr>
        <w:t xml:space="preserve"> </w:t>
      </w:r>
      <w:r w:rsidR="00727A32" w:rsidRPr="00A16296">
        <w:rPr>
          <w:szCs w:val="22"/>
          <w:lang w:val="es-419"/>
        </w:rPr>
        <w:t>excepciones</w:t>
      </w:r>
      <w:r w:rsidR="00E742EC" w:rsidRPr="00A16296">
        <w:rPr>
          <w:szCs w:val="22"/>
          <w:lang w:val="es-419"/>
        </w:rPr>
        <w:t>.</w:t>
      </w:r>
    </w:p>
    <w:p w:rsidR="003F1049" w:rsidRPr="00A16296" w:rsidRDefault="003F1049" w:rsidP="00F27251">
      <w:pPr>
        <w:rPr>
          <w:szCs w:val="22"/>
          <w:lang w:val="es-419"/>
        </w:rPr>
      </w:pPr>
    </w:p>
    <w:p w:rsidR="003F1049" w:rsidRPr="00A16296" w:rsidRDefault="00F55C3A" w:rsidP="00A16296">
      <w:pPr>
        <w:pStyle w:val="ListParagraph"/>
        <w:keepNext/>
        <w:keepLines/>
        <w:numPr>
          <w:ilvl w:val="0"/>
          <w:numId w:val="9"/>
        </w:numPr>
        <w:ind w:left="0" w:firstLine="0"/>
        <w:rPr>
          <w:szCs w:val="22"/>
          <w:lang w:val="es-419"/>
        </w:rPr>
      </w:pPr>
      <w:r w:rsidRPr="00A16296">
        <w:rPr>
          <w:szCs w:val="22"/>
          <w:lang w:val="es-419"/>
        </w:rPr>
        <w:t>A partir del trabajo realizado hasta la fecha, y sin perjuicio del resultado que arrojen los puntos 1 a 5, la Secretaría debería elaborar herramientas que sirvan de guía para los programas específicos de asistencia técnica que ayuden a los Estados miembros a redactar leyes y políticas que apoyen la educación, la investigación y la participación cultural, elaboradas en consulta con expertos y sectores interesados de las comunidades beneficiarias y mediante procesos de consulta transparentes.</w:t>
      </w:r>
    </w:p>
    <w:p w:rsidR="00A16296" w:rsidRPr="00A16296" w:rsidRDefault="00A16296" w:rsidP="008622CE">
      <w:pPr>
        <w:rPr>
          <w:szCs w:val="22"/>
          <w:lang w:val="es-419"/>
        </w:rPr>
      </w:pPr>
    </w:p>
    <w:p w:rsidR="00A16296" w:rsidRPr="00A16296" w:rsidRDefault="00A16296">
      <w:pPr>
        <w:rPr>
          <w:b/>
          <w:szCs w:val="22"/>
          <w:lang w:val="es-419"/>
        </w:rPr>
      </w:pPr>
      <w:r w:rsidRPr="00A16296">
        <w:rPr>
          <w:b/>
          <w:szCs w:val="22"/>
          <w:lang w:val="es-419"/>
        </w:rPr>
        <w:br w:type="page"/>
      </w:r>
    </w:p>
    <w:p w:rsidR="003F1049" w:rsidRPr="00A16296" w:rsidRDefault="008622CE" w:rsidP="00221F78">
      <w:pPr>
        <w:autoSpaceDE w:val="0"/>
        <w:autoSpaceDN w:val="0"/>
        <w:adjustRightInd w:val="0"/>
        <w:rPr>
          <w:rFonts w:eastAsia="MS Mincho"/>
          <w:b/>
          <w:bCs/>
          <w:szCs w:val="22"/>
          <w:lang w:val="es-419" w:eastAsia="en-US"/>
        </w:rPr>
      </w:pPr>
      <w:r w:rsidRPr="00A16296">
        <w:rPr>
          <w:b/>
          <w:szCs w:val="22"/>
          <w:lang w:val="es-419"/>
        </w:rPr>
        <w:t>ANEX</w:t>
      </w:r>
      <w:r w:rsidR="00221F78" w:rsidRPr="00A16296">
        <w:rPr>
          <w:b/>
          <w:szCs w:val="22"/>
          <w:lang w:val="es-419"/>
        </w:rPr>
        <w:t>O</w:t>
      </w:r>
      <w:r w:rsidRPr="00A16296">
        <w:rPr>
          <w:b/>
          <w:szCs w:val="22"/>
          <w:lang w:val="es-419"/>
        </w:rPr>
        <w:t xml:space="preserve">: </w:t>
      </w:r>
      <w:r w:rsidR="00221F78" w:rsidRPr="00A16296">
        <w:rPr>
          <w:rFonts w:eastAsia="MS Mincho"/>
          <w:b/>
          <w:bCs/>
          <w:szCs w:val="22"/>
          <w:lang w:val="es-419" w:eastAsia="en-US"/>
        </w:rPr>
        <w:t>ENLACES PARA LAS RECOMENDACIONES DE LA AGENDA PARA EL DESARROLLO (AD)</w:t>
      </w:r>
    </w:p>
    <w:p w:rsidR="003F1049" w:rsidRPr="00A16296" w:rsidRDefault="003F1049" w:rsidP="008622CE">
      <w:pPr>
        <w:widowControl w:val="0"/>
        <w:tabs>
          <w:tab w:val="right" w:pos="9355"/>
        </w:tabs>
        <w:ind w:left="15"/>
        <w:rPr>
          <w:szCs w:val="22"/>
          <w:lang w:val="es-419"/>
        </w:rPr>
      </w:pPr>
    </w:p>
    <w:p w:rsidR="003F1049" w:rsidRPr="00A16296" w:rsidRDefault="00221F78" w:rsidP="008622CE">
      <w:pPr>
        <w:widowControl w:val="0"/>
        <w:spacing w:line="230" w:lineRule="auto"/>
        <w:ind w:right="994"/>
        <w:rPr>
          <w:szCs w:val="22"/>
          <w:lang w:val="es-419"/>
        </w:rPr>
      </w:pPr>
      <w:r w:rsidRPr="00A16296">
        <w:rPr>
          <w:rFonts w:eastAsia="MS Mincho"/>
          <w:szCs w:val="22"/>
          <w:lang w:val="es-419" w:eastAsia="en-US"/>
        </w:rPr>
        <w:t>El programa de trabajo propuesto guarda relación con las recomendaciones</w:t>
      </w:r>
      <w:r w:rsidRPr="00A16296">
        <w:rPr>
          <w:szCs w:val="22"/>
          <w:lang w:val="es-419"/>
        </w:rPr>
        <w:t xml:space="preserve"> </w:t>
      </w:r>
      <w:r w:rsidR="008622CE" w:rsidRPr="00A16296">
        <w:rPr>
          <w:szCs w:val="22"/>
          <w:lang w:val="es-419"/>
        </w:rPr>
        <w:t xml:space="preserve">1, 7, 9, 14, 32 </w:t>
      </w:r>
      <w:r w:rsidRPr="00A16296">
        <w:rPr>
          <w:szCs w:val="22"/>
          <w:lang w:val="es-419"/>
        </w:rPr>
        <w:t>y</w:t>
      </w:r>
      <w:r w:rsidR="008622CE" w:rsidRPr="00A16296">
        <w:rPr>
          <w:szCs w:val="22"/>
          <w:lang w:val="es-419"/>
        </w:rPr>
        <w:t xml:space="preserve"> 40:</w:t>
      </w:r>
    </w:p>
    <w:p w:rsidR="003F1049" w:rsidRPr="00A16296" w:rsidRDefault="003F1049" w:rsidP="008622CE">
      <w:pPr>
        <w:widowControl w:val="0"/>
        <w:spacing w:line="230" w:lineRule="auto"/>
        <w:ind w:right="994"/>
        <w:rPr>
          <w:szCs w:val="22"/>
          <w:lang w:val="es-419"/>
        </w:rPr>
      </w:pPr>
    </w:p>
    <w:p w:rsidR="003F1049" w:rsidRPr="00A16296" w:rsidRDefault="008622CE" w:rsidP="008622CE">
      <w:pPr>
        <w:widowControl w:val="0"/>
        <w:ind w:left="586" w:right="440"/>
        <w:rPr>
          <w:szCs w:val="22"/>
          <w:lang w:val="es-419"/>
        </w:rPr>
      </w:pPr>
      <w:r w:rsidRPr="00A16296">
        <w:rPr>
          <w:szCs w:val="22"/>
          <w:lang w:val="es-419"/>
        </w:rPr>
        <w:t>1.</w:t>
      </w:r>
      <w:r w:rsidRPr="00A16296">
        <w:rPr>
          <w:szCs w:val="22"/>
          <w:lang w:val="es-419"/>
        </w:rPr>
        <w:tab/>
      </w:r>
      <w:r w:rsidR="00221F78" w:rsidRPr="00A16296">
        <w:rPr>
          <w:szCs w:val="22"/>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00221F78" w:rsidRPr="00A16296">
        <w:rPr>
          <w:rFonts w:eastAsia="MS Mincho"/>
          <w:szCs w:val="22"/>
          <w:lang w:val="es-419" w:eastAsia="en-US"/>
        </w:rPr>
        <w:t>.</w:t>
      </w:r>
    </w:p>
    <w:p w:rsidR="003F1049" w:rsidRPr="00A16296" w:rsidRDefault="003F1049" w:rsidP="008622CE">
      <w:pPr>
        <w:widowControl w:val="0"/>
        <w:ind w:left="586" w:right="440"/>
        <w:rPr>
          <w:szCs w:val="22"/>
          <w:lang w:val="es-419"/>
        </w:rPr>
      </w:pPr>
    </w:p>
    <w:p w:rsidR="003F1049" w:rsidRPr="00A16296" w:rsidRDefault="008622CE" w:rsidP="008622CE">
      <w:pPr>
        <w:widowControl w:val="0"/>
        <w:ind w:left="572" w:right="575"/>
        <w:rPr>
          <w:szCs w:val="22"/>
          <w:lang w:val="es-419"/>
        </w:rPr>
      </w:pPr>
      <w:r w:rsidRPr="00A16296">
        <w:rPr>
          <w:szCs w:val="22"/>
          <w:lang w:val="es-419"/>
        </w:rPr>
        <w:t>7.</w:t>
      </w:r>
      <w:r w:rsidRPr="00A16296">
        <w:rPr>
          <w:szCs w:val="22"/>
          <w:lang w:val="es-419"/>
        </w:rPr>
        <w:tab/>
      </w:r>
      <w:r w:rsidR="00221F78" w:rsidRPr="00A16296">
        <w:rPr>
          <w:lang w:val="es-419"/>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r w:rsidR="00221F78" w:rsidRPr="00A16296">
        <w:rPr>
          <w:rFonts w:eastAsia="MS Mincho"/>
          <w:szCs w:val="22"/>
          <w:lang w:val="es-419" w:eastAsia="en-US"/>
        </w:rPr>
        <w:t>.</w:t>
      </w:r>
    </w:p>
    <w:p w:rsidR="003F1049" w:rsidRPr="00A16296" w:rsidRDefault="003F1049" w:rsidP="008622CE">
      <w:pPr>
        <w:widowControl w:val="0"/>
        <w:ind w:left="572" w:right="575"/>
        <w:rPr>
          <w:szCs w:val="22"/>
          <w:lang w:val="es-419"/>
        </w:rPr>
      </w:pPr>
    </w:p>
    <w:p w:rsidR="003F1049" w:rsidRPr="00A16296" w:rsidRDefault="008622CE" w:rsidP="008622CE">
      <w:pPr>
        <w:widowControl w:val="0"/>
        <w:ind w:left="573" w:right="783"/>
        <w:rPr>
          <w:szCs w:val="22"/>
          <w:lang w:val="es-419"/>
        </w:rPr>
      </w:pPr>
      <w:r w:rsidRPr="00A16296">
        <w:rPr>
          <w:szCs w:val="22"/>
          <w:lang w:val="es-419"/>
        </w:rPr>
        <w:t>9.</w:t>
      </w:r>
      <w:r w:rsidRPr="00A16296">
        <w:rPr>
          <w:szCs w:val="22"/>
          <w:lang w:val="es-419"/>
        </w:rPr>
        <w:tab/>
      </w:r>
      <w:r w:rsidR="00221F78" w:rsidRPr="00A16296">
        <w:rPr>
          <w:lang w:val="es-419"/>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rsidR="003F1049" w:rsidRPr="00A16296" w:rsidRDefault="003F1049" w:rsidP="008622CE">
      <w:pPr>
        <w:widowControl w:val="0"/>
        <w:ind w:left="573" w:right="783"/>
        <w:rPr>
          <w:szCs w:val="22"/>
          <w:lang w:val="es-419"/>
        </w:rPr>
      </w:pPr>
    </w:p>
    <w:p w:rsidR="003F1049" w:rsidRPr="00A16296" w:rsidRDefault="008622CE" w:rsidP="008622CE">
      <w:pPr>
        <w:widowControl w:val="0"/>
        <w:ind w:left="586" w:right="403"/>
        <w:rPr>
          <w:szCs w:val="22"/>
          <w:lang w:val="es-419"/>
        </w:rPr>
      </w:pPr>
      <w:r w:rsidRPr="00A16296">
        <w:rPr>
          <w:szCs w:val="22"/>
          <w:lang w:val="es-419"/>
        </w:rPr>
        <w:t>14.</w:t>
      </w:r>
      <w:r w:rsidRPr="00A16296">
        <w:rPr>
          <w:szCs w:val="22"/>
          <w:lang w:val="es-419"/>
        </w:rPr>
        <w:tab/>
      </w:r>
      <w:r w:rsidR="00221F78" w:rsidRPr="00A16296">
        <w:rPr>
          <w:lang w:val="es-419"/>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rsidR="003F1049" w:rsidRPr="00A16296" w:rsidRDefault="003F1049" w:rsidP="008622CE">
      <w:pPr>
        <w:widowControl w:val="0"/>
        <w:ind w:left="586" w:right="403"/>
        <w:rPr>
          <w:szCs w:val="22"/>
          <w:lang w:val="es-419"/>
        </w:rPr>
      </w:pPr>
    </w:p>
    <w:p w:rsidR="003F1049" w:rsidRPr="00A16296" w:rsidRDefault="008622CE" w:rsidP="008622CE">
      <w:pPr>
        <w:widowControl w:val="0"/>
        <w:spacing w:line="230" w:lineRule="auto"/>
        <w:ind w:left="572" w:right="467"/>
        <w:rPr>
          <w:szCs w:val="22"/>
          <w:lang w:val="es-419"/>
        </w:rPr>
      </w:pPr>
      <w:r w:rsidRPr="00A16296">
        <w:rPr>
          <w:szCs w:val="22"/>
          <w:lang w:val="es-419"/>
        </w:rPr>
        <w:t>32.</w:t>
      </w:r>
      <w:r w:rsidRPr="00A16296">
        <w:rPr>
          <w:szCs w:val="22"/>
          <w:lang w:val="es-419"/>
        </w:rPr>
        <w:tab/>
      </w:r>
      <w:r w:rsidR="00221F78" w:rsidRPr="00A16296">
        <w:rPr>
          <w:lang w:val="es-419"/>
        </w:rPr>
        <w:t>Contar con la posibilidad de intercambiar, en el seno de la OMPI, las experiencias e información, en los ámbitos nacional y regional, sobre la relación existente entre los derechos de PI y las políticas de competencia</w:t>
      </w:r>
      <w:r w:rsidR="00221F78" w:rsidRPr="00A16296">
        <w:rPr>
          <w:rFonts w:eastAsia="MS Mincho"/>
          <w:szCs w:val="22"/>
          <w:lang w:val="es-419" w:eastAsia="en-US"/>
        </w:rPr>
        <w:t>.</w:t>
      </w:r>
    </w:p>
    <w:p w:rsidR="003F1049" w:rsidRPr="00A16296" w:rsidRDefault="003F1049" w:rsidP="008622CE">
      <w:pPr>
        <w:widowControl w:val="0"/>
        <w:spacing w:line="230" w:lineRule="auto"/>
        <w:ind w:left="572" w:right="467"/>
        <w:rPr>
          <w:szCs w:val="22"/>
          <w:lang w:val="es-419"/>
        </w:rPr>
      </w:pPr>
    </w:p>
    <w:p w:rsidR="003F1049" w:rsidRPr="00A16296" w:rsidRDefault="008622CE" w:rsidP="008622CE">
      <w:pPr>
        <w:widowControl w:val="0"/>
        <w:spacing w:line="229" w:lineRule="auto"/>
        <w:ind w:left="570" w:right="855"/>
        <w:rPr>
          <w:szCs w:val="22"/>
          <w:lang w:val="es-419"/>
        </w:rPr>
      </w:pPr>
      <w:r w:rsidRPr="00A16296">
        <w:rPr>
          <w:szCs w:val="22"/>
          <w:lang w:val="es-419"/>
        </w:rPr>
        <w:t>40.</w:t>
      </w:r>
      <w:r w:rsidRPr="00A16296">
        <w:rPr>
          <w:szCs w:val="22"/>
          <w:lang w:val="es-419"/>
        </w:rPr>
        <w:tab/>
      </w:r>
      <w:r w:rsidR="00221F78" w:rsidRPr="00A16296">
        <w:rPr>
          <w:lang w:val="es-419"/>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3F1049" w:rsidRPr="00A16296" w:rsidRDefault="003F1049" w:rsidP="008622CE">
      <w:pPr>
        <w:widowControl w:val="0"/>
        <w:spacing w:line="229" w:lineRule="auto"/>
        <w:ind w:left="570" w:right="855"/>
        <w:rPr>
          <w:szCs w:val="22"/>
          <w:lang w:val="es-419"/>
        </w:rPr>
      </w:pPr>
    </w:p>
    <w:p w:rsidR="003F1049" w:rsidRPr="00A16296" w:rsidRDefault="008622CE" w:rsidP="008622CE">
      <w:pPr>
        <w:widowControl w:val="0"/>
        <w:spacing w:line="228" w:lineRule="auto"/>
        <w:ind w:left="570" w:right="850"/>
        <w:rPr>
          <w:szCs w:val="22"/>
          <w:lang w:val="es-419"/>
        </w:rPr>
      </w:pPr>
      <w:r w:rsidRPr="00A16296">
        <w:rPr>
          <w:szCs w:val="22"/>
          <w:lang w:val="es-419"/>
        </w:rPr>
        <w:t>44.</w:t>
      </w:r>
      <w:r w:rsidRPr="00A16296">
        <w:rPr>
          <w:szCs w:val="22"/>
          <w:lang w:val="es-419"/>
        </w:rPr>
        <w:tab/>
      </w:r>
      <w:r w:rsidR="00F935F9" w:rsidRPr="00A16296">
        <w:rPr>
          <w:szCs w:val="22"/>
          <w:lang w:val="es-419"/>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r w:rsidRPr="00A16296">
        <w:rPr>
          <w:szCs w:val="22"/>
          <w:lang w:val="es-419"/>
        </w:rPr>
        <w:t>.</w:t>
      </w:r>
    </w:p>
    <w:p w:rsidR="003F1049" w:rsidRPr="00A16296" w:rsidRDefault="003F1049" w:rsidP="008622CE">
      <w:pPr>
        <w:widowControl w:val="0"/>
        <w:spacing w:line="228" w:lineRule="auto"/>
        <w:ind w:left="570" w:right="850"/>
        <w:rPr>
          <w:szCs w:val="22"/>
          <w:lang w:val="es-419"/>
        </w:rPr>
      </w:pPr>
    </w:p>
    <w:p w:rsidR="003F1049" w:rsidRPr="00A16296" w:rsidRDefault="008622CE" w:rsidP="008622CE">
      <w:pPr>
        <w:widowControl w:val="0"/>
        <w:spacing w:line="228" w:lineRule="auto"/>
        <w:ind w:right="850" w:firstLine="540"/>
        <w:rPr>
          <w:szCs w:val="22"/>
          <w:lang w:val="es-419"/>
        </w:rPr>
      </w:pPr>
      <w:r w:rsidRPr="00A16296">
        <w:rPr>
          <w:szCs w:val="22"/>
          <w:lang w:val="es-419"/>
        </w:rPr>
        <w:t>Com</w:t>
      </w:r>
      <w:r w:rsidR="00F935F9" w:rsidRPr="00A16296">
        <w:rPr>
          <w:szCs w:val="22"/>
          <w:lang w:val="es-419"/>
        </w:rPr>
        <w:t>o complemento de la Agenda para el Desarrollo, el plan de trabajo propuesto también formará parte de las iniciativas más generales de la OMPI destinadas a contribuir a la consecución de los Objetivos de Desarrollo Sostenible</w:t>
      </w:r>
      <w:r w:rsidRPr="00A16296">
        <w:rPr>
          <w:szCs w:val="22"/>
          <w:lang w:val="es-419"/>
        </w:rPr>
        <w:t xml:space="preserve">. </w:t>
      </w:r>
      <w:r w:rsidR="00F935F9" w:rsidRPr="00A16296">
        <w:rPr>
          <w:szCs w:val="22"/>
          <w:lang w:val="es-419"/>
        </w:rPr>
        <w:t>Se trata de una prioridad</w:t>
      </w:r>
      <w:r w:rsidRPr="00A16296">
        <w:rPr>
          <w:szCs w:val="22"/>
          <w:lang w:val="es-419"/>
        </w:rPr>
        <w:t xml:space="preserve"> particular</w:t>
      </w:r>
      <w:r w:rsidR="00F935F9" w:rsidRPr="00A16296">
        <w:rPr>
          <w:szCs w:val="22"/>
          <w:lang w:val="es-419"/>
        </w:rPr>
        <w:t>, a la luz de que en las Asambleas de </w:t>
      </w:r>
      <w:r w:rsidRPr="00A16296">
        <w:rPr>
          <w:szCs w:val="22"/>
          <w:lang w:val="es-419"/>
        </w:rPr>
        <w:t xml:space="preserve">2021 </w:t>
      </w:r>
      <w:r w:rsidR="00F935F9" w:rsidRPr="00A16296">
        <w:rPr>
          <w:szCs w:val="22"/>
          <w:lang w:val="es-419"/>
        </w:rPr>
        <w:t>se convino en que la OMPI se afiliaría al Grupo de las Naciones Unidas para el Desarrollo Sostenible (GNUDS)</w:t>
      </w:r>
      <w:r w:rsidR="004225D6" w:rsidRPr="00A16296">
        <w:rPr>
          <w:szCs w:val="22"/>
          <w:lang w:val="es-419"/>
        </w:rPr>
        <w:t xml:space="preserve"> y de la</w:t>
      </w:r>
      <w:r w:rsidRPr="00A16296">
        <w:rPr>
          <w:szCs w:val="22"/>
          <w:lang w:val="es-419"/>
        </w:rPr>
        <w:t xml:space="preserve"> </w:t>
      </w:r>
      <w:r w:rsidR="00727A32" w:rsidRPr="00A16296">
        <w:rPr>
          <w:szCs w:val="22"/>
          <w:lang w:val="es-419"/>
        </w:rPr>
        <w:t>intención</w:t>
      </w:r>
      <w:r w:rsidRPr="00A16296">
        <w:rPr>
          <w:szCs w:val="22"/>
          <w:lang w:val="es-419"/>
        </w:rPr>
        <w:t xml:space="preserve"> </w:t>
      </w:r>
      <w:r w:rsidR="004225D6" w:rsidRPr="00A16296">
        <w:rPr>
          <w:szCs w:val="22"/>
          <w:lang w:val="es-419"/>
        </w:rPr>
        <w:t>de que el Plan Estratégico a Mediano Plazo desempeñe un papel más activ</w:t>
      </w:r>
      <w:r w:rsidRPr="00A16296">
        <w:rPr>
          <w:szCs w:val="22"/>
          <w:lang w:val="es-419"/>
        </w:rPr>
        <w:t>o</w:t>
      </w:r>
      <w:r w:rsidR="004225D6" w:rsidRPr="00A16296">
        <w:rPr>
          <w:szCs w:val="22"/>
          <w:lang w:val="es-419"/>
        </w:rPr>
        <w:t xml:space="preserve"> en el seno de la familia de organismos de la ONU para hacer frente a los desafíos mundiales que los ODS engloban</w:t>
      </w:r>
      <w:r w:rsidRPr="00A16296">
        <w:rPr>
          <w:szCs w:val="22"/>
          <w:lang w:val="es-419"/>
        </w:rPr>
        <w:t>.</w:t>
      </w:r>
    </w:p>
    <w:p w:rsidR="003F1049" w:rsidRPr="00A16296" w:rsidRDefault="003F1049" w:rsidP="00F55C3A">
      <w:pPr>
        <w:widowControl w:val="0"/>
        <w:spacing w:line="228" w:lineRule="auto"/>
        <w:ind w:right="850"/>
        <w:rPr>
          <w:szCs w:val="22"/>
          <w:lang w:val="es-419"/>
        </w:rPr>
      </w:pPr>
    </w:p>
    <w:p w:rsidR="003F1049" w:rsidRPr="00A16296" w:rsidRDefault="004631F3" w:rsidP="008622CE">
      <w:pPr>
        <w:widowControl w:val="0"/>
        <w:spacing w:line="229" w:lineRule="auto"/>
        <w:ind w:right="855" w:firstLine="540"/>
        <w:rPr>
          <w:szCs w:val="22"/>
          <w:lang w:val="es-419"/>
        </w:rPr>
      </w:pPr>
      <w:r w:rsidRPr="00A16296">
        <w:rPr>
          <w:szCs w:val="22"/>
          <w:lang w:val="es-419"/>
        </w:rPr>
        <w:t>E</w:t>
      </w:r>
      <w:r w:rsidR="008622CE" w:rsidRPr="00A16296">
        <w:rPr>
          <w:szCs w:val="22"/>
          <w:lang w:val="es-419"/>
        </w:rPr>
        <w:t xml:space="preserve">n particular, </w:t>
      </w:r>
      <w:r w:rsidRPr="00A16296">
        <w:rPr>
          <w:szCs w:val="22"/>
          <w:lang w:val="es-419"/>
        </w:rPr>
        <w:t>el</w:t>
      </w:r>
      <w:r w:rsidR="008622CE" w:rsidRPr="00A16296">
        <w:rPr>
          <w:szCs w:val="22"/>
          <w:lang w:val="es-419"/>
        </w:rPr>
        <w:t xml:space="preserve"> plan </w:t>
      </w:r>
      <w:r w:rsidRPr="00A16296">
        <w:rPr>
          <w:szCs w:val="22"/>
          <w:lang w:val="es-419"/>
        </w:rPr>
        <w:t xml:space="preserve">ayudará a garantizar que la OMPI respalda el trabajo en pos de la consecución de los objetivos relativos a la </w:t>
      </w:r>
      <w:r w:rsidR="00727A32" w:rsidRPr="00A16296">
        <w:rPr>
          <w:szCs w:val="22"/>
          <w:lang w:val="es-419"/>
        </w:rPr>
        <w:t>educación</w:t>
      </w:r>
      <w:r w:rsidR="008622CE" w:rsidRPr="00A16296">
        <w:rPr>
          <w:szCs w:val="22"/>
          <w:lang w:val="es-419"/>
        </w:rPr>
        <w:t xml:space="preserve"> (</w:t>
      </w:r>
      <w:r w:rsidRPr="00A16296">
        <w:rPr>
          <w:szCs w:val="22"/>
          <w:lang w:val="es-419"/>
        </w:rPr>
        <w:t xml:space="preserve">ODS </w:t>
      </w:r>
      <w:r w:rsidR="008622CE" w:rsidRPr="00A16296">
        <w:rPr>
          <w:szCs w:val="22"/>
          <w:lang w:val="es-419"/>
        </w:rPr>
        <w:t xml:space="preserve">4), </w:t>
      </w:r>
      <w:r w:rsidRPr="00A16296">
        <w:rPr>
          <w:szCs w:val="22"/>
          <w:lang w:val="es-419"/>
        </w:rPr>
        <w:t xml:space="preserve">la </w:t>
      </w:r>
      <w:r w:rsidR="00727A32" w:rsidRPr="00A16296">
        <w:rPr>
          <w:szCs w:val="22"/>
          <w:lang w:val="es-419"/>
        </w:rPr>
        <w:t>innovación</w:t>
      </w:r>
      <w:r w:rsidR="008622CE" w:rsidRPr="00A16296">
        <w:rPr>
          <w:szCs w:val="22"/>
          <w:lang w:val="es-419"/>
        </w:rPr>
        <w:t xml:space="preserve"> (</w:t>
      </w:r>
      <w:r w:rsidRPr="00A16296">
        <w:rPr>
          <w:szCs w:val="22"/>
          <w:lang w:val="es-419"/>
        </w:rPr>
        <w:t xml:space="preserve">ODS </w:t>
      </w:r>
      <w:r w:rsidR="008622CE" w:rsidRPr="00A16296">
        <w:rPr>
          <w:szCs w:val="22"/>
          <w:lang w:val="es-419"/>
        </w:rPr>
        <w:t xml:space="preserve">9), </w:t>
      </w:r>
      <w:r w:rsidR="005D6BF9" w:rsidRPr="00A16296">
        <w:rPr>
          <w:szCs w:val="22"/>
          <w:lang w:val="es-419"/>
        </w:rPr>
        <w:t>la salvaguardia del patrimonio cultural</w:t>
      </w:r>
      <w:r w:rsidR="008622CE" w:rsidRPr="00A16296">
        <w:rPr>
          <w:szCs w:val="22"/>
          <w:lang w:val="es-419"/>
        </w:rPr>
        <w:t xml:space="preserve"> (</w:t>
      </w:r>
      <w:r w:rsidRPr="00A16296">
        <w:rPr>
          <w:szCs w:val="22"/>
          <w:lang w:val="es-419"/>
        </w:rPr>
        <w:t xml:space="preserve">ODS </w:t>
      </w:r>
      <w:r w:rsidR="008622CE" w:rsidRPr="00A16296">
        <w:rPr>
          <w:szCs w:val="22"/>
          <w:lang w:val="es-419"/>
        </w:rPr>
        <w:t xml:space="preserve">11), </w:t>
      </w:r>
      <w:r w:rsidR="005D6BF9" w:rsidRPr="00A16296">
        <w:rPr>
          <w:szCs w:val="22"/>
          <w:lang w:val="es-419"/>
        </w:rPr>
        <w:t>la lucha contra la pobreza y el fomento de la inclusión</w:t>
      </w:r>
      <w:r w:rsidR="008622CE" w:rsidRPr="00A16296">
        <w:rPr>
          <w:szCs w:val="22"/>
          <w:lang w:val="es-419"/>
        </w:rPr>
        <w:t xml:space="preserve"> (</w:t>
      </w:r>
      <w:r w:rsidRPr="00A16296">
        <w:rPr>
          <w:szCs w:val="22"/>
          <w:lang w:val="es-419"/>
        </w:rPr>
        <w:t>ODS</w:t>
      </w:r>
      <w:r w:rsidR="008622CE" w:rsidRPr="00A16296">
        <w:rPr>
          <w:szCs w:val="22"/>
          <w:lang w:val="es-419"/>
        </w:rPr>
        <w:t xml:space="preserve"> 1, 5 </w:t>
      </w:r>
      <w:r w:rsidR="005D6BF9" w:rsidRPr="00A16296">
        <w:rPr>
          <w:szCs w:val="22"/>
          <w:lang w:val="es-419"/>
        </w:rPr>
        <w:t>y</w:t>
      </w:r>
      <w:r w:rsidR="008622CE" w:rsidRPr="00A16296">
        <w:rPr>
          <w:szCs w:val="22"/>
          <w:lang w:val="es-419"/>
        </w:rPr>
        <w:t xml:space="preserve"> 10), </w:t>
      </w:r>
      <w:r w:rsidR="005D6BF9" w:rsidRPr="00A16296">
        <w:rPr>
          <w:szCs w:val="22"/>
          <w:lang w:val="es-419"/>
        </w:rPr>
        <w:t xml:space="preserve">el acceso a la </w:t>
      </w:r>
      <w:r w:rsidR="00727A32" w:rsidRPr="00A16296">
        <w:rPr>
          <w:szCs w:val="22"/>
          <w:lang w:val="es-419"/>
        </w:rPr>
        <w:t>información</w:t>
      </w:r>
      <w:r w:rsidR="008622CE" w:rsidRPr="00A16296">
        <w:rPr>
          <w:szCs w:val="22"/>
          <w:lang w:val="es-419"/>
        </w:rPr>
        <w:t xml:space="preserve"> (</w:t>
      </w:r>
      <w:r w:rsidRPr="00A16296">
        <w:rPr>
          <w:szCs w:val="22"/>
          <w:lang w:val="es-419"/>
        </w:rPr>
        <w:t xml:space="preserve">ODS </w:t>
      </w:r>
      <w:r w:rsidR="008622CE" w:rsidRPr="00A16296">
        <w:rPr>
          <w:szCs w:val="22"/>
          <w:lang w:val="es-419"/>
        </w:rPr>
        <w:t xml:space="preserve">16) </w:t>
      </w:r>
      <w:r w:rsidR="005D6BF9" w:rsidRPr="00A16296">
        <w:rPr>
          <w:szCs w:val="22"/>
          <w:lang w:val="es-419"/>
        </w:rPr>
        <w:t xml:space="preserve">y </w:t>
      </w:r>
      <w:r w:rsidR="00F55C3A" w:rsidRPr="00A16296">
        <w:rPr>
          <w:szCs w:val="22"/>
          <w:lang w:val="es-419"/>
        </w:rPr>
        <w:t xml:space="preserve">los medios de implementación </w:t>
      </w:r>
      <w:r w:rsidR="008622CE" w:rsidRPr="00A16296">
        <w:rPr>
          <w:szCs w:val="22"/>
          <w:lang w:val="es-419"/>
        </w:rPr>
        <w:t>(</w:t>
      </w:r>
      <w:r w:rsidRPr="00A16296">
        <w:rPr>
          <w:szCs w:val="22"/>
          <w:lang w:val="es-419"/>
        </w:rPr>
        <w:t xml:space="preserve">ODS </w:t>
      </w:r>
      <w:r w:rsidR="008622CE" w:rsidRPr="00A16296">
        <w:rPr>
          <w:szCs w:val="22"/>
          <w:lang w:val="es-419"/>
        </w:rPr>
        <w:t xml:space="preserve">17). </w:t>
      </w:r>
      <w:r w:rsidR="00F55C3A" w:rsidRPr="00A16296">
        <w:rPr>
          <w:szCs w:val="22"/>
          <w:lang w:val="es-419"/>
        </w:rPr>
        <w:t>Como elemento vital</w:t>
      </w:r>
      <w:r w:rsidR="008622CE" w:rsidRPr="00A16296">
        <w:rPr>
          <w:szCs w:val="22"/>
          <w:lang w:val="es-419"/>
        </w:rPr>
        <w:t xml:space="preserve">, </w:t>
      </w:r>
      <w:r w:rsidR="00F55C3A" w:rsidRPr="00A16296">
        <w:rPr>
          <w:szCs w:val="22"/>
          <w:lang w:val="es-419"/>
        </w:rPr>
        <w:t>respetará el principio de que nadie quede atrás</w:t>
      </w:r>
      <w:r w:rsidR="008622CE" w:rsidRPr="00A16296">
        <w:rPr>
          <w:szCs w:val="22"/>
          <w:lang w:val="es-419"/>
        </w:rPr>
        <w:t xml:space="preserve">, </w:t>
      </w:r>
      <w:r w:rsidR="00F55C3A" w:rsidRPr="00A16296">
        <w:rPr>
          <w:szCs w:val="22"/>
          <w:lang w:val="es-419"/>
        </w:rPr>
        <w:t>trabajando para lograr marcos de derecho de autor por los cuales a nadie se niegue, por falta de recursos, el derecho a la</w:t>
      </w:r>
      <w:r w:rsidR="008622CE" w:rsidRPr="00A16296">
        <w:rPr>
          <w:szCs w:val="22"/>
          <w:lang w:val="es-419"/>
        </w:rPr>
        <w:t xml:space="preserve"> </w:t>
      </w:r>
      <w:r w:rsidR="00727A32" w:rsidRPr="00A16296">
        <w:rPr>
          <w:szCs w:val="22"/>
          <w:lang w:val="es-419"/>
        </w:rPr>
        <w:t>información</w:t>
      </w:r>
      <w:r w:rsidR="008622CE" w:rsidRPr="00A16296">
        <w:rPr>
          <w:szCs w:val="22"/>
          <w:lang w:val="es-419"/>
        </w:rPr>
        <w:t xml:space="preserve">, </w:t>
      </w:r>
      <w:r w:rsidR="00F55C3A" w:rsidRPr="00A16296">
        <w:rPr>
          <w:szCs w:val="22"/>
          <w:lang w:val="es-419"/>
        </w:rPr>
        <w:t xml:space="preserve">la </w:t>
      </w:r>
      <w:r w:rsidR="00727A32" w:rsidRPr="00A16296">
        <w:rPr>
          <w:szCs w:val="22"/>
          <w:lang w:val="es-419"/>
        </w:rPr>
        <w:t>educación</w:t>
      </w:r>
      <w:r w:rsidR="008622CE" w:rsidRPr="00A16296">
        <w:rPr>
          <w:szCs w:val="22"/>
          <w:lang w:val="es-419"/>
        </w:rPr>
        <w:t xml:space="preserve">, </w:t>
      </w:r>
      <w:r w:rsidR="00F55C3A" w:rsidRPr="00A16296">
        <w:rPr>
          <w:szCs w:val="22"/>
          <w:lang w:val="es-419"/>
        </w:rPr>
        <w:t xml:space="preserve">la </w:t>
      </w:r>
      <w:r w:rsidR="00727A32" w:rsidRPr="00A16296">
        <w:rPr>
          <w:szCs w:val="22"/>
          <w:lang w:val="es-419"/>
        </w:rPr>
        <w:t>ciencia</w:t>
      </w:r>
      <w:r w:rsidR="00F55C3A" w:rsidRPr="00A16296">
        <w:rPr>
          <w:szCs w:val="22"/>
          <w:lang w:val="es-419"/>
        </w:rPr>
        <w:t xml:space="preserve"> o la participación en la cultura</w:t>
      </w:r>
      <w:r w:rsidR="008622CE" w:rsidRPr="00A16296">
        <w:rPr>
          <w:szCs w:val="22"/>
          <w:lang w:val="es-419"/>
        </w:rPr>
        <w:t>.</w:t>
      </w:r>
    </w:p>
    <w:p w:rsidR="003F1049" w:rsidRPr="00A16296" w:rsidRDefault="003F1049" w:rsidP="008622CE">
      <w:pPr>
        <w:widowControl w:val="0"/>
        <w:spacing w:line="229" w:lineRule="auto"/>
        <w:ind w:right="855"/>
        <w:rPr>
          <w:szCs w:val="22"/>
          <w:lang w:val="es-419"/>
        </w:rPr>
      </w:pPr>
    </w:p>
    <w:p w:rsidR="003F1049" w:rsidRPr="00A16296" w:rsidRDefault="003F1049" w:rsidP="008622CE">
      <w:pPr>
        <w:widowControl w:val="0"/>
        <w:spacing w:line="229" w:lineRule="auto"/>
        <w:ind w:right="855"/>
        <w:rPr>
          <w:szCs w:val="22"/>
          <w:lang w:val="es-419"/>
        </w:rPr>
      </w:pPr>
    </w:p>
    <w:p w:rsidR="003F1049" w:rsidRPr="00A16296" w:rsidRDefault="003F1049" w:rsidP="008622CE">
      <w:pPr>
        <w:widowControl w:val="0"/>
        <w:spacing w:line="229" w:lineRule="auto"/>
        <w:ind w:right="855"/>
        <w:rPr>
          <w:szCs w:val="22"/>
          <w:lang w:val="es-419"/>
        </w:rPr>
      </w:pPr>
    </w:p>
    <w:p w:rsidR="00152CEA" w:rsidRPr="00A16296" w:rsidRDefault="008622CE" w:rsidP="001C2145">
      <w:pPr>
        <w:widowControl w:val="0"/>
        <w:spacing w:line="229" w:lineRule="auto"/>
        <w:ind w:left="5670" w:right="855" w:firstLine="567"/>
        <w:rPr>
          <w:lang w:val="es-419"/>
        </w:rPr>
      </w:pPr>
      <w:r w:rsidRPr="00A16296">
        <w:rPr>
          <w:lang w:val="es-419"/>
        </w:rPr>
        <w:t>[Fin del documento]</w:t>
      </w:r>
    </w:p>
    <w:sectPr w:rsidR="00152CEA" w:rsidRPr="00A16296" w:rsidSect="00BD63F9">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3F9" w:rsidRDefault="00BD63F9">
      <w:r>
        <w:separator/>
      </w:r>
    </w:p>
  </w:endnote>
  <w:endnote w:type="continuationSeparator" w:id="0">
    <w:p w:rsidR="00BD63F9" w:rsidRPr="009D30E6" w:rsidRDefault="00BD63F9" w:rsidP="007E663E">
      <w:pPr>
        <w:rPr>
          <w:sz w:val="17"/>
          <w:szCs w:val="17"/>
        </w:rPr>
      </w:pPr>
      <w:r w:rsidRPr="009D30E6">
        <w:rPr>
          <w:sz w:val="17"/>
          <w:szCs w:val="17"/>
        </w:rPr>
        <w:separator/>
      </w:r>
    </w:p>
    <w:p w:rsidR="00BD63F9" w:rsidRPr="007E663E" w:rsidRDefault="00BD63F9" w:rsidP="007E663E">
      <w:pPr>
        <w:spacing w:after="60"/>
        <w:rPr>
          <w:sz w:val="17"/>
          <w:szCs w:val="17"/>
        </w:rPr>
      </w:pPr>
      <w:r>
        <w:rPr>
          <w:sz w:val="17"/>
        </w:rPr>
        <w:t>[Continuación de la nota de la página anterior]</w:t>
      </w:r>
    </w:p>
  </w:endnote>
  <w:endnote w:type="continuationNotice" w:id="1">
    <w:p w:rsidR="00BD63F9" w:rsidRPr="007E663E" w:rsidRDefault="00BD63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AD" w:rsidRDefault="0033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AD" w:rsidRDefault="00334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AD" w:rsidRDefault="0033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3F9" w:rsidRDefault="00BD63F9">
      <w:r>
        <w:separator/>
      </w:r>
    </w:p>
  </w:footnote>
  <w:footnote w:type="continuationSeparator" w:id="0">
    <w:p w:rsidR="00BD63F9" w:rsidRPr="009D30E6" w:rsidRDefault="00BD63F9" w:rsidP="007E663E">
      <w:pPr>
        <w:rPr>
          <w:sz w:val="17"/>
          <w:szCs w:val="17"/>
        </w:rPr>
      </w:pPr>
      <w:r w:rsidRPr="009D30E6">
        <w:rPr>
          <w:sz w:val="17"/>
          <w:szCs w:val="17"/>
        </w:rPr>
        <w:separator/>
      </w:r>
    </w:p>
    <w:p w:rsidR="00BD63F9" w:rsidRPr="007E663E" w:rsidRDefault="00BD63F9" w:rsidP="007E663E">
      <w:pPr>
        <w:spacing w:after="60"/>
        <w:rPr>
          <w:sz w:val="17"/>
          <w:szCs w:val="17"/>
        </w:rPr>
      </w:pPr>
      <w:r>
        <w:rPr>
          <w:sz w:val="17"/>
        </w:rPr>
        <w:t>[Continuación de la nota de la página anterior]</w:t>
      </w:r>
    </w:p>
  </w:footnote>
  <w:footnote w:type="continuationNotice" w:id="1">
    <w:p w:rsidR="00BD63F9" w:rsidRPr="007E663E" w:rsidRDefault="00BD63F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AD" w:rsidRDefault="0033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BD63F9" w:rsidP="00477D6B">
    <w:pPr>
      <w:jc w:val="right"/>
    </w:pPr>
    <w:bookmarkStart w:id="7" w:name="Code2"/>
    <w:bookmarkEnd w:id="7"/>
    <w:r>
      <w:t>SCCR/42/4</w:t>
    </w:r>
  </w:p>
  <w:p w:rsidR="00F84474" w:rsidRDefault="00F84474" w:rsidP="00477D6B">
    <w:pPr>
      <w:jc w:val="right"/>
    </w:pPr>
    <w:r>
      <w:t xml:space="preserve">página </w:t>
    </w:r>
    <w:r>
      <w:fldChar w:fldCharType="begin"/>
    </w:r>
    <w:r>
      <w:instrText xml:space="preserve"> PAGE  \* MERGEFORMAT </w:instrText>
    </w:r>
    <w:r>
      <w:fldChar w:fldCharType="separate"/>
    </w:r>
    <w:r w:rsidR="003345AD">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AD" w:rsidRDefault="0033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135A9"/>
    <w:multiLevelType w:val="multilevel"/>
    <w:tmpl w:val="BF465A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érminos útiles|Fechas|Sesiones|WIPOLDTERM|xUPOV 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 Template|TextBase TMs\WorkspaceSTS\UPOV\U Instruments"/>
    <w:docVar w:name="TextBaseURL" w:val="empty"/>
    <w:docVar w:name="UILng" w:val="en"/>
  </w:docVars>
  <w:rsids>
    <w:rsidRoot w:val="00BD63F9"/>
    <w:rsid w:val="000457F9"/>
    <w:rsid w:val="000E3BB3"/>
    <w:rsid w:val="000F5E56"/>
    <w:rsid w:val="00131D86"/>
    <w:rsid w:val="001362EE"/>
    <w:rsid w:val="00152CEA"/>
    <w:rsid w:val="001832A6"/>
    <w:rsid w:val="001C2145"/>
    <w:rsid w:val="001C4DD3"/>
    <w:rsid w:val="001D4A49"/>
    <w:rsid w:val="00221F78"/>
    <w:rsid w:val="002634C4"/>
    <w:rsid w:val="002F4E68"/>
    <w:rsid w:val="00307787"/>
    <w:rsid w:val="0032090C"/>
    <w:rsid w:val="003345AD"/>
    <w:rsid w:val="00354647"/>
    <w:rsid w:val="00366065"/>
    <w:rsid w:val="00377273"/>
    <w:rsid w:val="003845C1"/>
    <w:rsid w:val="00387287"/>
    <w:rsid w:val="003D41D4"/>
    <w:rsid w:val="003F1049"/>
    <w:rsid w:val="004225D6"/>
    <w:rsid w:val="00423E3E"/>
    <w:rsid w:val="00427AF4"/>
    <w:rsid w:val="00445C97"/>
    <w:rsid w:val="0045231F"/>
    <w:rsid w:val="00461D17"/>
    <w:rsid w:val="004631F3"/>
    <w:rsid w:val="004647DA"/>
    <w:rsid w:val="00477D6B"/>
    <w:rsid w:val="004A6C37"/>
    <w:rsid w:val="004F7418"/>
    <w:rsid w:val="0055013B"/>
    <w:rsid w:val="0056224D"/>
    <w:rsid w:val="00571B99"/>
    <w:rsid w:val="005D64EC"/>
    <w:rsid w:val="005D6BF9"/>
    <w:rsid w:val="00605827"/>
    <w:rsid w:val="00675021"/>
    <w:rsid w:val="006A06C6"/>
    <w:rsid w:val="006A51A0"/>
    <w:rsid w:val="0071124A"/>
    <w:rsid w:val="00727A32"/>
    <w:rsid w:val="007E63AC"/>
    <w:rsid w:val="007E663E"/>
    <w:rsid w:val="00815082"/>
    <w:rsid w:val="00843582"/>
    <w:rsid w:val="00846A5F"/>
    <w:rsid w:val="008622CE"/>
    <w:rsid w:val="008B14EA"/>
    <w:rsid w:val="008B2CC1"/>
    <w:rsid w:val="008F1296"/>
    <w:rsid w:val="0090731E"/>
    <w:rsid w:val="00966A22"/>
    <w:rsid w:val="00972F03"/>
    <w:rsid w:val="009A0C8B"/>
    <w:rsid w:val="009B6241"/>
    <w:rsid w:val="009B685F"/>
    <w:rsid w:val="00A16296"/>
    <w:rsid w:val="00A16FC0"/>
    <w:rsid w:val="00A32C9E"/>
    <w:rsid w:val="00A7453D"/>
    <w:rsid w:val="00AB613D"/>
    <w:rsid w:val="00B255C2"/>
    <w:rsid w:val="00B65A0A"/>
    <w:rsid w:val="00B72D36"/>
    <w:rsid w:val="00BA063E"/>
    <w:rsid w:val="00BC4164"/>
    <w:rsid w:val="00BC7EB5"/>
    <w:rsid w:val="00BD2DCC"/>
    <w:rsid w:val="00BD63F9"/>
    <w:rsid w:val="00BE1A8C"/>
    <w:rsid w:val="00C06472"/>
    <w:rsid w:val="00C90559"/>
    <w:rsid w:val="00D36B79"/>
    <w:rsid w:val="00D40CF0"/>
    <w:rsid w:val="00D56C7C"/>
    <w:rsid w:val="00D71B4D"/>
    <w:rsid w:val="00D90289"/>
    <w:rsid w:val="00D93D55"/>
    <w:rsid w:val="00E2115C"/>
    <w:rsid w:val="00E45C84"/>
    <w:rsid w:val="00E504E5"/>
    <w:rsid w:val="00E73ABF"/>
    <w:rsid w:val="00E742EC"/>
    <w:rsid w:val="00EB7A3E"/>
    <w:rsid w:val="00EC401A"/>
    <w:rsid w:val="00EF530A"/>
    <w:rsid w:val="00EF6622"/>
    <w:rsid w:val="00F27251"/>
    <w:rsid w:val="00F55408"/>
    <w:rsid w:val="00F55C3A"/>
    <w:rsid w:val="00F66152"/>
    <w:rsid w:val="00F7765A"/>
    <w:rsid w:val="00F80845"/>
    <w:rsid w:val="00F84474"/>
    <w:rsid w:val="00F935F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48864F-03D7-46F8-BF1D-ACFB9463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8622CE"/>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8622C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SCCR_42 (S)</Template>
  <TotalTime>2</TotalTime>
  <Pages>6</Pages>
  <Words>1861</Words>
  <Characters>9823</Characters>
  <Application>Microsoft Office Word</Application>
  <DocSecurity>4</DocSecurity>
  <Lines>201</Lines>
  <Paragraphs>41</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MIGLIORE Liliana</dc:creator>
  <cp:keywords>FOR OFFICIAL USE ONLY</cp:keywords>
  <cp:lastModifiedBy>HAIZEL Francesca</cp:lastModifiedBy>
  <cp:revision>2</cp:revision>
  <dcterms:created xsi:type="dcterms:W3CDTF">2022-03-11T10:14:00Z</dcterms:created>
  <dcterms:modified xsi:type="dcterms:W3CDTF">2022-03-11T10:14:00Z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