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68" w:rsidRPr="001E6B36" w:rsidRDefault="00B24568" w:rsidP="00D55ED0">
      <w:pPr>
        <w:contextualSpacing/>
        <w:rPr>
          <w:rFonts w:ascii="Arial" w:hAnsi="Arial" w:cs="Arial"/>
          <w:b/>
          <w:sz w:val="22"/>
          <w:szCs w:val="22"/>
          <w:lang w:val="es-ES_tradnl"/>
        </w:rPr>
      </w:pPr>
      <w:bookmarkStart w:id="0" w:name="_GoBack"/>
      <w:bookmarkEnd w:id="0"/>
      <w:r w:rsidRPr="001E6B36">
        <w:rPr>
          <w:rFonts w:ascii="Arial" w:hAnsi="Arial" w:cs="Arial"/>
          <w:b/>
          <w:sz w:val="22"/>
          <w:szCs w:val="22"/>
          <w:lang w:val="es-ES_tradnl"/>
        </w:rPr>
        <w:t>ESTUDIO SOBRE EL MERCADO DE LA MÚSICA DIGITAL EN ÁFRICA OCCIDENTAL</w:t>
      </w:r>
    </w:p>
    <w:p w:rsidR="00B24568" w:rsidRPr="001E6B36" w:rsidRDefault="00B24568" w:rsidP="00D55ED0">
      <w:pPr>
        <w:contextualSpacing/>
        <w:rPr>
          <w:rFonts w:ascii="Arial" w:hAnsi="Arial" w:cs="Arial"/>
          <w:b/>
          <w:sz w:val="22"/>
          <w:szCs w:val="22"/>
          <w:lang w:val="es-ES_tradnl"/>
        </w:rPr>
      </w:pPr>
    </w:p>
    <w:p w:rsidR="006016B5" w:rsidRPr="001E6B36" w:rsidRDefault="006016B5" w:rsidP="006016B5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lang w:val="es-ES_tradnl"/>
        </w:rPr>
        <w:t xml:space="preserve">preparado por </w:t>
      </w:r>
      <w:r w:rsidR="00AF3801">
        <w:rPr>
          <w:rFonts w:ascii="Arial" w:hAnsi="Arial" w:cs="Arial"/>
          <w:sz w:val="22"/>
          <w:szCs w:val="22"/>
          <w:lang w:val="es-ES_tradnl"/>
        </w:rPr>
        <w:t xml:space="preserve">el Sr. </w:t>
      </w:r>
      <w:r w:rsidRPr="001E6B36">
        <w:rPr>
          <w:rFonts w:ascii="Arial" w:hAnsi="Arial" w:cs="Arial"/>
          <w:sz w:val="22"/>
          <w:szCs w:val="22"/>
          <w:lang w:val="es-ES_tradnl"/>
        </w:rPr>
        <w:t>El H. Mansou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>r Jacques Sagna</w:t>
      </w:r>
      <w:r w:rsidR="000C62E1">
        <w:rPr>
          <w:rFonts w:ascii="Arial" w:hAnsi="Arial" w:cs="Arial"/>
          <w:sz w:val="22"/>
          <w:szCs w:val="22"/>
          <w:lang w:val="es-ES_tradnl"/>
        </w:rPr>
        <w:t>, especialista en cultura digital</w:t>
      </w:r>
    </w:p>
    <w:p w:rsidR="006016B5" w:rsidRPr="001E6B36" w:rsidRDefault="006016B5" w:rsidP="00D55ED0">
      <w:pPr>
        <w:contextualSpacing/>
        <w:rPr>
          <w:rFonts w:ascii="Arial" w:hAnsi="Arial" w:cs="Arial"/>
          <w:b/>
          <w:sz w:val="22"/>
          <w:szCs w:val="22"/>
          <w:lang w:val="es-ES_tradnl"/>
        </w:rPr>
      </w:pPr>
    </w:p>
    <w:p w:rsidR="00D55ED0" w:rsidRPr="001E6B36" w:rsidRDefault="00B24568" w:rsidP="00D55ED0">
      <w:pPr>
        <w:contextualSpacing/>
        <w:rPr>
          <w:rFonts w:ascii="Arial" w:hAnsi="Arial" w:cs="Arial"/>
          <w:b/>
          <w:sz w:val="22"/>
          <w:szCs w:val="22"/>
          <w:lang w:val="es-ES_tradnl"/>
        </w:rPr>
      </w:pPr>
      <w:r w:rsidRPr="001E6B36">
        <w:rPr>
          <w:rFonts w:ascii="Arial" w:hAnsi="Arial" w:cs="Arial"/>
          <w:b/>
          <w:sz w:val="22"/>
          <w:szCs w:val="22"/>
          <w:lang w:val="es-ES_tradnl"/>
        </w:rPr>
        <w:t>RESUMEN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lang w:val="es-ES_tradnl"/>
        </w:rPr>
        <w:t>Desde la llegada de Internet móvil, los medios digitales, las redes sociales y la TDT</w:t>
      </w:r>
      <w:r w:rsidR="0032369D" w:rsidRPr="001E6B36">
        <w:rPr>
          <w:rFonts w:ascii="Arial" w:hAnsi="Arial" w:cs="Arial"/>
          <w:sz w:val="22"/>
          <w:szCs w:val="22"/>
          <w:lang w:val="es-ES_tradnl"/>
        </w:rPr>
        <w:t>,</w:t>
      </w:r>
      <w:r w:rsidRPr="001E6B36">
        <w:rPr>
          <w:rStyle w:val="FootnoteReference"/>
          <w:rFonts w:ascii="Arial" w:hAnsi="Arial" w:cs="Arial"/>
          <w:sz w:val="22"/>
          <w:szCs w:val="22"/>
          <w:lang w:val="es-ES_tradnl"/>
        </w:rPr>
        <w:footnoteReference w:id="1"/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 la </w:t>
      </w:r>
      <w:r w:rsidR="00564F8D" w:rsidRPr="001E6B36">
        <w:rPr>
          <w:rFonts w:ascii="Arial" w:hAnsi="Arial" w:cs="Arial"/>
          <w:sz w:val="22"/>
          <w:szCs w:val="22"/>
          <w:lang w:val="es-ES_tradnl"/>
        </w:rPr>
        <w:t xml:space="preserve">actividad musical </w:t>
      </w:r>
      <w:r w:rsidRPr="001E6B36">
        <w:rPr>
          <w:rFonts w:ascii="Arial" w:hAnsi="Arial" w:cs="Arial"/>
          <w:sz w:val="22"/>
          <w:szCs w:val="22"/>
          <w:lang w:val="es-ES_tradnl"/>
        </w:rPr>
        <w:t>en el África francófona despierta mucha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>s pasiones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 y compromiso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>s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 entre los actores de ese sector. Así, en el continente, se 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>ha constatado un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 xml:space="preserve">sentimiento de 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euforia 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 xml:space="preserve">y 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de difusión de contenidos en la red sin un verdadero conocimiento de los elementos del lenguaje y del modelo económico </w:t>
      </w:r>
      <w:r w:rsidR="000A05EB" w:rsidRPr="001E6B36">
        <w:rPr>
          <w:rFonts w:ascii="Arial" w:hAnsi="Arial" w:cs="Arial"/>
          <w:sz w:val="22"/>
          <w:szCs w:val="22"/>
          <w:lang w:val="es-ES_tradnl"/>
        </w:rPr>
        <w:t xml:space="preserve">existentes en el ámbito </w:t>
      </w:r>
      <w:r w:rsidRPr="001E6B36">
        <w:rPr>
          <w:rFonts w:ascii="Arial" w:hAnsi="Arial" w:cs="Arial"/>
          <w:sz w:val="22"/>
          <w:szCs w:val="22"/>
          <w:lang w:val="es-ES_tradnl"/>
        </w:rPr>
        <w:t>digital.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D0" w:rsidRPr="001E6B36" w:rsidRDefault="0032369D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lang w:val="es-ES_tradnl"/>
        </w:rPr>
        <w:t>Con todo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 xml:space="preserve">cabe destacar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>que la explosión de los sellos musicales es una continuación de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>l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>as actividades de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emprendimiento 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 xml:space="preserve">propias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de los artistas y de un mercado teórico marcado por 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 xml:space="preserve">la ausencia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de una cadena de valor 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>perfilada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o de un modelo económico adaptado a su propio entorno de consumo local. </w:t>
      </w:r>
      <w:r w:rsidR="00EA23FA" w:rsidRPr="001E6B36">
        <w:rPr>
          <w:rFonts w:ascii="Arial" w:hAnsi="Arial" w:cs="Arial"/>
          <w:sz w:val="22"/>
          <w:szCs w:val="22"/>
          <w:lang w:val="es-ES_tradnl"/>
        </w:rPr>
        <w:t>De ese modo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, en todo el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continente africano, </w:t>
      </w:r>
      <w:r w:rsidR="00EA23FA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a partir de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la crisis de la venta de soportes analógicos y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el debilitamiento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de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l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modelo socioeconómico centrado en el consumo de música en soportes físicos, la </w:t>
      </w:r>
      <w:r w:rsidR="005E3699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incidencia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de la piratería y la falsificación ha </w:t>
      </w:r>
      <w:r w:rsidR="005E3699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anunciado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</w:t>
      </w:r>
      <w:r w:rsidR="005E3699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la llegada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de un nuevo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período de auge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, impulsado por el acceso a Internet.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es-ES_tradnl"/>
        </w:rPr>
      </w:pPr>
    </w:p>
    <w:p w:rsidR="00D55ED0" w:rsidRPr="001E6B36" w:rsidRDefault="00FA3DBD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es-ES_tradnl"/>
        </w:rPr>
      </w:pP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En cualquier caso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, la búsqueda de un modelo rentable para todos los actores de la economía de la producción musical y su articulación en torno a la tecnología digital ha perdido parte de su impulso desde mediados de 2010. En efecto,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por lo general,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los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especialistas de la economía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de la cultura en el continente se interesan más por las nuevas cuestiones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que se plantean en los distintos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sectores como las ofertas audiovisuales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de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las plataformas de </w:t>
      </w:r>
      <w:r w:rsidR="00D55ED0" w:rsidRPr="001E6B36">
        <w:rPr>
          <w:rFonts w:ascii="Arial" w:hAnsi="Arial" w:cs="Arial"/>
          <w:i/>
          <w:iCs/>
          <w:sz w:val="22"/>
          <w:szCs w:val="22"/>
          <w:shd w:val="clear" w:color="auto" w:fill="FFFFFF"/>
          <w:lang w:val="es-ES_tradnl"/>
        </w:rPr>
        <w:t>streaming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</w:t>
      </w:r>
      <w:r w:rsidR="00D55ED0" w:rsidRPr="001E6B36">
        <w:rPr>
          <w:rFonts w:ascii="Arial" w:hAnsi="Arial" w:cs="Arial"/>
          <w:i/>
          <w:sz w:val="22"/>
          <w:szCs w:val="22"/>
          <w:shd w:val="clear" w:color="auto" w:fill="FFFFFF"/>
          <w:lang w:val="es-ES_tradnl"/>
        </w:rPr>
        <w:t>(servicio de v</w:t>
      </w:r>
      <w:r w:rsidRPr="001E6B36">
        <w:rPr>
          <w:rFonts w:ascii="Arial" w:hAnsi="Arial" w:cs="Arial"/>
          <w:i/>
          <w:sz w:val="22"/>
          <w:szCs w:val="22"/>
          <w:shd w:val="clear" w:color="auto" w:fill="FFFFFF"/>
          <w:lang w:val="es-ES_tradnl"/>
        </w:rPr>
        <w:t>i</w:t>
      </w:r>
      <w:r w:rsidR="00D55ED0" w:rsidRPr="001E6B36">
        <w:rPr>
          <w:rFonts w:ascii="Arial" w:hAnsi="Arial" w:cs="Arial"/>
          <w:i/>
          <w:sz w:val="22"/>
          <w:szCs w:val="22"/>
          <w:shd w:val="clear" w:color="auto" w:fill="FFFFFF"/>
          <w:lang w:val="es-ES_tradnl"/>
        </w:rPr>
        <w:t>deo a la carta</w:t>
      </w:r>
      <w:r w:rsidRPr="001E6B36">
        <w:rPr>
          <w:rFonts w:ascii="Arial" w:hAnsi="Arial" w:cs="Arial"/>
          <w:i/>
          <w:sz w:val="22"/>
          <w:szCs w:val="22"/>
          <w:shd w:val="clear" w:color="auto" w:fill="FFFFFF"/>
          <w:lang w:val="es-ES_tradnl"/>
        </w:rPr>
        <w:t xml:space="preserve"> en Internet</w:t>
      </w:r>
      <w:r w:rsidR="00D55ED0" w:rsidRPr="001E6B36">
        <w:rPr>
          <w:rFonts w:ascii="Arial" w:hAnsi="Arial" w:cs="Arial"/>
          <w:i/>
          <w:sz w:val="22"/>
          <w:szCs w:val="22"/>
          <w:shd w:val="clear" w:color="auto" w:fill="FFFFFF"/>
          <w:lang w:val="es-ES_tradnl"/>
        </w:rPr>
        <w:t>)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la televisión digital terrestre y dejan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paso</w:t>
      </w:r>
      <w:r w:rsidR="00DC64A2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a otro tipo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de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soluciones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en el ámbito de la música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, centradas </w:t>
      </w:r>
      <w:r w:rsidR="00DC64A2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más bien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en la transformación de las prácticas de escucha de música en un contexto de intensa transformación digital </w:t>
      </w:r>
      <w:r w:rsidR="00DC64A2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a escala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local.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es-ES_tradnl"/>
        </w:rPr>
      </w:pPr>
    </w:p>
    <w:p w:rsidR="00D55ED0" w:rsidRPr="001E6B36" w:rsidRDefault="00821712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es-ES_tradnl"/>
        </w:rPr>
      </w:pP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Por lo tanto,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en el proceso de digitalización del continente,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la música africana lleva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camino de convertirse en el elemento esencial de las economías creativas locales. Por el momento,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cabe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señalar que el desinterés por la difusión de contenidos, más allá de la falta de confianza en la tecnología digital, se debe sin duda a los escasos ingresos generados para la industria musical y a la restrictiva cadena de valor impuesta por los operadores de telecomunicaciones. Estos últimos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son imprescindibles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debido al acceso a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la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red y a los medios de pago por móvil;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efectivamente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, dada la baja tasa de bancarización, los servicios de música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mediante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descarga o </w:t>
      </w:r>
      <w:r w:rsidR="00D55ED0" w:rsidRPr="001E6B36">
        <w:rPr>
          <w:rFonts w:ascii="Arial" w:hAnsi="Arial" w:cs="Arial"/>
          <w:i/>
          <w:iCs/>
          <w:sz w:val="22"/>
          <w:szCs w:val="22"/>
          <w:shd w:val="clear" w:color="auto" w:fill="FFFFFF"/>
          <w:lang w:val="es-ES_tradnl"/>
        </w:rPr>
        <w:t>streaming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se adquieren mediante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el crédito </w:t>
      </w:r>
      <w:r w:rsidR="00C6458C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para llamadas de teléfono y planes 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de pospago o </w:t>
      </w:r>
      <w:r w:rsidR="0032369D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por medio d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el dinero móvil. En esta cadena </w:t>
      </w:r>
      <w:r w:rsidR="00F402B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de valor en la que participan las operadora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s,</w:t>
      </w:r>
      <w:r w:rsidR="00C6458C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los costo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s alcanzan más del 63%</w:t>
      </w:r>
      <w:r w:rsidR="00B67CC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,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</w:t>
      </w:r>
      <w:r w:rsidR="00B67CC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aparte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del canon </w:t>
      </w:r>
      <w:r w:rsidR="00B67CC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por d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erechos de autor,</w:t>
      </w:r>
      <w:r w:rsidR="00F402B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y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el resto </w:t>
      </w:r>
      <w:r w:rsidR="00C6458C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va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a las plataformas y a los productores. También hay que tener en cuenta que la cobertura y el acceso a Internet eran relativamente limitados en África Occidental, al menos hasta la llegada de Internet móvil 4G, las redes sociales y el acceso a los </w:t>
      </w:r>
      <w:r w:rsidR="00B67CC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teléfonos inteligentes </w:t>
      </w:r>
      <w:r w:rsidR="00F402B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de bajo coste.  Además, las operadora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s de telecomunicaciones móviles utilizan la música como </w:t>
      </w:r>
      <w:r w:rsidR="00B67CC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mecanismo</w:t>
      </w:r>
      <w:r w:rsidR="00D55ED0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para atraer más usuarios a sus ofertas de datos móviles.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shd w:val="clear" w:color="auto" w:fill="FFFFFF"/>
          <w:lang w:val="es-ES_tradnl"/>
        </w:rPr>
      </w:pP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También podemos considerar como otro factor de este </w:t>
      </w:r>
      <w:r w:rsidR="00B71A87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retraso en la evolución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de la música hacia las TIC, </w:t>
      </w:r>
      <w:r w:rsidR="006059A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el debilitamiento 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>sectorial que caracteriza a la economía creativa africana en general, sobre todo en lo que respecta a los cambios sociales o</w:t>
      </w:r>
      <w:r w:rsidR="006059A5"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a</w:t>
      </w:r>
      <w:r w:rsidRPr="001E6B36">
        <w:rPr>
          <w:rFonts w:ascii="Arial" w:hAnsi="Arial" w:cs="Arial"/>
          <w:sz w:val="22"/>
          <w:szCs w:val="22"/>
          <w:shd w:val="clear" w:color="auto" w:fill="FFFFFF"/>
          <w:lang w:val="es-ES_tradnl"/>
        </w:rPr>
        <w:t xml:space="preserve"> la aparición de nuevos grupos y formas de sociabilidad cultural propias de cada país.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D0" w:rsidRPr="001E6B36" w:rsidRDefault="00D55ED0" w:rsidP="00D55ED0">
      <w:pPr>
        <w:contextualSpacing/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lang w:val="es-ES_tradnl"/>
        </w:rPr>
        <w:t xml:space="preserve">Por lo tanto, el objetivo de este estudio es analizar el mercado de la música digital en determinados países del África subsahariana </w:t>
      </w:r>
      <w:r w:rsidR="006059A5" w:rsidRPr="001E6B36">
        <w:rPr>
          <w:rFonts w:ascii="Arial" w:hAnsi="Arial" w:cs="Arial"/>
          <w:sz w:val="22"/>
          <w:szCs w:val="22"/>
          <w:lang w:val="es-ES_tradnl"/>
        </w:rPr>
        <w:t xml:space="preserve">teniendo en cuenta </w:t>
      </w:r>
      <w:r w:rsidRPr="001E6B36">
        <w:rPr>
          <w:rFonts w:ascii="Arial" w:hAnsi="Arial" w:cs="Arial"/>
          <w:sz w:val="22"/>
          <w:szCs w:val="22"/>
          <w:lang w:val="es-ES_tradnl"/>
        </w:rPr>
        <w:t>sus problemas, oportunidades y perspectivas</w:t>
      </w:r>
      <w:r w:rsidRPr="001E6B36">
        <w:rPr>
          <w:rFonts w:ascii="Arial" w:hAnsi="Arial" w:cs="Arial"/>
          <w:i/>
          <w:sz w:val="22"/>
          <w:szCs w:val="22"/>
          <w:lang w:val="es-ES_tradnl"/>
        </w:rPr>
        <w:t>.</w:t>
      </w:r>
    </w:p>
    <w:p w:rsidR="00D55ED0" w:rsidRPr="001E6B36" w:rsidRDefault="00D55ED0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55ED0" w:rsidRDefault="006059A5" w:rsidP="00D55ED0">
      <w:pPr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E6B36">
        <w:rPr>
          <w:rFonts w:ascii="Arial" w:hAnsi="Arial" w:cs="Arial"/>
          <w:sz w:val="22"/>
          <w:szCs w:val="22"/>
          <w:lang w:val="es-ES_tradnl"/>
        </w:rPr>
        <w:t>Ciertamente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, la </w:t>
      </w:r>
      <w:r w:rsidRPr="001E6B36">
        <w:rPr>
          <w:rFonts w:ascii="Arial" w:hAnsi="Arial" w:cs="Arial"/>
          <w:sz w:val="22"/>
          <w:szCs w:val="22"/>
          <w:lang w:val="es-ES_tradnl"/>
        </w:rPr>
        <w:t>eclosión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de la monetización de la música a través de la</w:t>
      </w:r>
      <w:r w:rsidRPr="001E6B36">
        <w:rPr>
          <w:rFonts w:ascii="Arial" w:hAnsi="Arial" w:cs="Arial"/>
          <w:sz w:val="22"/>
          <w:szCs w:val="22"/>
          <w:lang w:val="es-ES_tradnl"/>
        </w:rPr>
        <w:t>s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descarga</w:t>
      </w:r>
      <w:r w:rsidRPr="001E6B36">
        <w:rPr>
          <w:rFonts w:ascii="Arial" w:hAnsi="Arial" w:cs="Arial"/>
          <w:sz w:val="22"/>
          <w:szCs w:val="22"/>
          <w:lang w:val="es-ES_tradnl"/>
        </w:rPr>
        <w:t>s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, el </w:t>
      </w:r>
      <w:r w:rsidR="00D55ED0" w:rsidRPr="001E6B36">
        <w:rPr>
          <w:rFonts w:ascii="Arial" w:hAnsi="Arial" w:cs="Arial"/>
          <w:i/>
          <w:iCs/>
          <w:sz w:val="22"/>
          <w:szCs w:val="22"/>
          <w:lang w:val="es-ES_tradnl"/>
        </w:rPr>
        <w:t>streaming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o </w:t>
      </w:r>
      <w:r w:rsidRPr="001E6B36">
        <w:rPr>
          <w:rFonts w:ascii="Arial" w:hAnsi="Arial" w:cs="Arial"/>
          <w:sz w:val="22"/>
          <w:szCs w:val="22"/>
          <w:lang w:val="es-ES_tradnl"/>
        </w:rPr>
        <w:t xml:space="preserve">los tonos </w:t>
      </w:r>
      <w:r w:rsidR="009D6F7C" w:rsidRPr="001E6B36">
        <w:rPr>
          <w:rFonts w:ascii="Arial" w:hAnsi="Arial" w:cs="Arial"/>
          <w:sz w:val="22"/>
          <w:szCs w:val="22"/>
          <w:lang w:val="es-ES_tradnl"/>
        </w:rPr>
        <w:t>de espera</w:t>
      </w:r>
      <w:r w:rsidR="00D55ED0" w:rsidRPr="001E6B36">
        <w:rPr>
          <w:rStyle w:val="FootnoteReference"/>
          <w:rFonts w:ascii="Arial" w:hAnsi="Arial" w:cs="Arial"/>
          <w:sz w:val="22"/>
          <w:szCs w:val="22"/>
          <w:lang w:val="es-ES_tradnl"/>
        </w:rPr>
        <w:footnoteReference w:id="2"/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en los países africanos es un factor de crecimiento importante para </w:t>
      </w:r>
      <w:r w:rsidR="00597E88" w:rsidRPr="001E6B36">
        <w:rPr>
          <w:rFonts w:ascii="Arial" w:hAnsi="Arial" w:cs="Arial"/>
          <w:sz w:val="22"/>
          <w:szCs w:val="22"/>
          <w:lang w:val="es-ES_tradnl"/>
        </w:rPr>
        <w:t>l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a economía creativa de los Estados. </w:t>
      </w:r>
      <w:r w:rsidR="00597E88" w:rsidRPr="001E6B36">
        <w:rPr>
          <w:rFonts w:ascii="Arial" w:hAnsi="Arial" w:cs="Arial"/>
          <w:sz w:val="22"/>
          <w:szCs w:val="22"/>
          <w:lang w:val="es-ES_tradnl"/>
        </w:rPr>
        <w:t xml:space="preserve">Asimismo, supone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una </w:t>
      </w:r>
      <w:r w:rsidR="00597E88" w:rsidRPr="001E6B36">
        <w:rPr>
          <w:rFonts w:ascii="Arial" w:hAnsi="Arial" w:cs="Arial"/>
          <w:sz w:val="22"/>
          <w:szCs w:val="22"/>
          <w:lang w:val="es-ES_tradnl"/>
        </w:rPr>
        <w:t xml:space="preserve">enorme 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>oportunidad para reorganizar y formalizar el papel de los actores y la cadena de valor</w:t>
      </w:r>
      <w:r w:rsidR="00597E88" w:rsidRPr="001E6B36">
        <w:rPr>
          <w:rFonts w:ascii="Arial" w:hAnsi="Arial" w:cs="Arial"/>
          <w:sz w:val="22"/>
          <w:szCs w:val="22"/>
          <w:lang w:val="es-ES_tradnl"/>
        </w:rPr>
        <w:t>, y</w:t>
      </w:r>
      <w:r w:rsidR="00D55ED0" w:rsidRPr="001E6B36">
        <w:rPr>
          <w:rFonts w:ascii="Arial" w:hAnsi="Arial" w:cs="Arial"/>
          <w:sz w:val="22"/>
          <w:szCs w:val="22"/>
          <w:lang w:val="es-ES_tradnl"/>
        </w:rPr>
        <w:t xml:space="preserve"> puede potenciar la creación local de contenidos musicales beneficiosos para todos.</w:t>
      </w:r>
    </w:p>
    <w:p w:rsidR="00CC72A3" w:rsidRPr="00CC72A3" w:rsidRDefault="00CC72A3" w:rsidP="00CC72A3">
      <w:pPr>
        <w:pStyle w:val="Endofdocument-Annex"/>
        <w:rPr>
          <w:lang w:val="es-419"/>
        </w:rPr>
      </w:pPr>
      <w:r w:rsidRPr="00CC72A3">
        <w:rPr>
          <w:lang w:val="es-419"/>
        </w:rPr>
        <w:t>[Fin del documento]</w:t>
      </w:r>
    </w:p>
    <w:sectPr w:rsidR="00CC72A3" w:rsidRPr="00CC72A3" w:rsidSect="00681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D0" w:rsidRDefault="00D55ED0" w:rsidP="00D55ED0">
      <w:r>
        <w:separator/>
      </w:r>
    </w:p>
  </w:endnote>
  <w:endnote w:type="continuationSeparator" w:id="0">
    <w:p w:rsidR="00D55ED0" w:rsidRDefault="00D55ED0" w:rsidP="00D5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2F" w:rsidRDefault="00035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PARA USO 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PARA USO OFICIAL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A2F" w:rsidRDefault="00035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D0" w:rsidRDefault="00D55ED0" w:rsidP="00D55ED0">
      <w:r>
        <w:separator/>
      </w:r>
    </w:p>
  </w:footnote>
  <w:footnote w:type="continuationSeparator" w:id="0">
    <w:p w:rsidR="00D55ED0" w:rsidRDefault="00D55ED0" w:rsidP="00D55ED0">
      <w:r>
        <w:continuationSeparator/>
      </w:r>
    </w:p>
  </w:footnote>
  <w:footnote w:id="1">
    <w:p w:rsidR="00D55ED0" w:rsidRDefault="00D55ED0" w:rsidP="00D55ED0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0A05EB">
        <w:rPr>
          <w:lang w:val="es-DO"/>
        </w:rPr>
        <w:t xml:space="preserve"> TDT (Televisión Digital Terrestre)</w:t>
      </w:r>
    </w:p>
    <w:p w:rsidR="0069316F" w:rsidRDefault="0069316F" w:rsidP="00D55ED0">
      <w:pPr>
        <w:pStyle w:val="FootnoteText"/>
        <w:rPr>
          <w:lang w:val="es-DO"/>
        </w:rPr>
      </w:pPr>
    </w:p>
    <w:p w:rsidR="0069316F" w:rsidRPr="00F65C04" w:rsidRDefault="0069316F" w:rsidP="0069316F">
      <w:pPr>
        <w:pStyle w:val="Footer"/>
        <w:rPr>
          <w:color w:val="000000" w:themeColor="text1"/>
          <w:sz w:val="16"/>
          <w:szCs w:val="16"/>
          <w:lang w:val="es-DO"/>
        </w:rPr>
      </w:pPr>
      <w:r w:rsidRPr="0063556D">
        <w:rPr>
          <w:color w:val="000000" w:themeColor="text1"/>
          <w:sz w:val="16"/>
          <w:szCs w:val="16"/>
          <w:lang w:val="es-ES_tradnl"/>
        </w:rPr>
        <w:t xml:space="preserve">La responsabilidad de la información contenida en el presente estudio recae únicamente en </w:t>
      </w:r>
      <w:r>
        <w:rPr>
          <w:color w:val="000000" w:themeColor="text1"/>
          <w:sz w:val="16"/>
          <w:szCs w:val="16"/>
          <w:lang w:val="es-ES_tradnl"/>
        </w:rPr>
        <w:t>e</w:t>
      </w:r>
      <w:r w:rsidRPr="0063556D">
        <w:rPr>
          <w:color w:val="000000" w:themeColor="text1"/>
          <w:sz w:val="16"/>
          <w:szCs w:val="16"/>
          <w:lang w:val="es-ES_tradnl"/>
        </w:rPr>
        <w:t>l</w:t>
      </w:r>
      <w:r>
        <w:rPr>
          <w:color w:val="000000" w:themeColor="text1"/>
          <w:sz w:val="16"/>
          <w:szCs w:val="16"/>
          <w:lang w:val="es-ES_tradnl"/>
        </w:rPr>
        <w:t xml:space="preserve"> autor</w:t>
      </w:r>
      <w:r w:rsidRPr="0063556D">
        <w:rPr>
          <w:color w:val="000000" w:themeColor="text1"/>
          <w:sz w:val="16"/>
          <w:szCs w:val="16"/>
          <w:lang w:val="es-ES_tradnl"/>
        </w:rPr>
        <w:t xml:space="preserve"> del mismo.</w:t>
      </w:r>
      <w:r w:rsidRPr="00F65C04">
        <w:rPr>
          <w:color w:val="000000" w:themeColor="text1"/>
          <w:sz w:val="16"/>
          <w:szCs w:val="16"/>
          <w:lang w:val="es-DO"/>
        </w:rPr>
        <w:t xml:space="preserve"> </w:t>
      </w:r>
      <w:r w:rsidRPr="0063556D">
        <w:rPr>
          <w:color w:val="000000" w:themeColor="text1"/>
          <w:sz w:val="16"/>
          <w:szCs w:val="16"/>
          <w:lang w:val="es-ES_tradnl"/>
        </w:rPr>
        <w:t>El estudio no refleja las opiniones de los Estados miembros de la OMPI ni las de la Secretaría.</w:t>
      </w:r>
    </w:p>
    <w:p w:rsidR="0069316F" w:rsidRPr="0069316F" w:rsidRDefault="0069316F" w:rsidP="00D55ED0">
      <w:pPr>
        <w:pStyle w:val="FootnoteText"/>
        <w:rPr>
          <w:lang w:val="es-ES_tradnl"/>
        </w:rPr>
      </w:pPr>
    </w:p>
  </w:footnote>
  <w:footnote w:id="2">
    <w:p w:rsidR="00D55ED0" w:rsidRPr="000A05EB" w:rsidRDefault="00D55ED0" w:rsidP="00D55ED0">
      <w:pPr>
        <w:pStyle w:val="FootnoteText"/>
        <w:rPr>
          <w:lang w:val="es-DO"/>
        </w:rPr>
      </w:pPr>
      <w:r>
        <w:rPr>
          <w:rStyle w:val="FootnoteReference"/>
        </w:rPr>
        <w:footnoteRef/>
      </w:r>
      <w:r w:rsidRPr="000A05EB">
        <w:rPr>
          <w:lang w:val="es-DO"/>
        </w:rPr>
        <w:t xml:space="preserve"> RBT (Ring Back Tone): música </w:t>
      </w:r>
      <w:r w:rsidR="000520C9">
        <w:rPr>
          <w:lang w:val="es-DO"/>
        </w:rPr>
        <w:t xml:space="preserve">de espera telefónica </w:t>
      </w:r>
      <w:r w:rsidRPr="000A05EB">
        <w:rPr>
          <w:lang w:val="es-DO"/>
        </w:rPr>
        <w:t>en las redes de telecomunicaciones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 w:rsidP="00681E62">
    <w:pPr>
      <w:pStyle w:val="Header"/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PARA USO 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PARA USO OFICIAL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 xml:space="preserve">página </w:t>
    </w:r>
    <w:sdt>
      <w:sdtPr>
        <w:id w:val="-8044673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F0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681E62" w:rsidRDefault="00681E62" w:rsidP="00681E6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568" w:rsidRDefault="00B24568">
    <w:pPr>
      <w:pStyle w:val="Header"/>
      <w:jc w:val="right"/>
    </w:pPr>
    <w:r>
      <w:t xml:space="preserve">página </w:t>
    </w:r>
    <w:sdt>
      <w:sdtPr>
        <w:id w:val="2072378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 xml:space="preserve">2 </w:t>
        </w:r>
        <w:r>
          <w:rPr>
            <w:noProof/>
          </w:rPr>
          <w:fldChar w:fldCharType="end"/>
        </w:r>
      </w:sdtContent>
    </w:sdt>
  </w:p>
  <w:p w:rsidR="00D55ED0" w:rsidRDefault="00D55ED0" w:rsidP="00D55ED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62" w:rsidRDefault="00681E62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1E62" w:rsidRDefault="006016B5" w:rsidP="006016B5">
                          <w:pPr>
                            <w:jc w:val="center"/>
                          </w:pPr>
                          <w:r w:rsidRPr="006016B5">
                            <w:rPr>
                              <w:color w:val="000000"/>
                              <w:sz w:val="17"/>
                            </w:rPr>
                            <w:t>WIPO PARA USO 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1E62" w:rsidRDefault="006016B5" w:rsidP="006016B5">
                    <w:pPr>
                      <w:jc w:val="center"/>
                    </w:pPr>
                    <w:r w:rsidRPr="006016B5">
                      <w:rPr>
                        <w:color w:val="000000"/>
                        <w:sz w:val="17"/>
                      </w:rPr>
                      <w:t>WIPO PARA USO OFICIAL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D0"/>
    <w:rsid w:val="00035A2F"/>
    <w:rsid w:val="00042CA6"/>
    <w:rsid w:val="000520C9"/>
    <w:rsid w:val="00082F0D"/>
    <w:rsid w:val="000A05EB"/>
    <w:rsid w:val="000C62E1"/>
    <w:rsid w:val="000F5E56"/>
    <w:rsid w:val="001E6B36"/>
    <w:rsid w:val="00235B25"/>
    <w:rsid w:val="0032369D"/>
    <w:rsid w:val="00367A32"/>
    <w:rsid w:val="00372236"/>
    <w:rsid w:val="003C7662"/>
    <w:rsid w:val="003E6531"/>
    <w:rsid w:val="00431118"/>
    <w:rsid w:val="004D5452"/>
    <w:rsid w:val="004D75A6"/>
    <w:rsid w:val="00564F8D"/>
    <w:rsid w:val="00597E88"/>
    <w:rsid w:val="005A4F90"/>
    <w:rsid w:val="005E3699"/>
    <w:rsid w:val="006016B5"/>
    <w:rsid w:val="006059A5"/>
    <w:rsid w:val="00664B62"/>
    <w:rsid w:val="00672D3F"/>
    <w:rsid w:val="00681E62"/>
    <w:rsid w:val="0069316F"/>
    <w:rsid w:val="006C629C"/>
    <w:rsid w:val="0071094B"/>
    <w:rsid w:val="007B240C"/>
    <w:rsid w:val="007D53C7"/>
    <w:rsid w:val="00804DB7"/>
    <w:rsid w:val="00821712"/>
    <w:rsid w:val="008B6263"/>
    <w:rsid w:val="009D6F7C"/>
    <w:rsid w:val="00AF3801"/>
    <w:rsid w:val="00B24568"/>
    <w:rsid w:val="00B50665"/>
    <w:rsid w:val="00B667BA"/>
    <w:rsid w:val="00B67CC5"/>
    <w:rsid w:val="00B71A87"/>
    <w:rsid w:val="00C3187D"/>
    <w:rsid w:val="00C554EC"/>
    <w:rsid w:val="00C6458C"/>
    <w:rsid w:val="00CA6CE1"/>
    <w:rsid w:val="00CC72A3"/>
    <w:rsid w:val="00D55ED0"/>
    <w:rsid w:val="00DC64A2"/>
    <w:rsid w:val="00E66BEE"/>
    <w:rsid w:val="00EA23FA"/>
    <w:rsid w:val="00F00580"/>
    <w:rsid w:val="00F402B5"/>
    <w:rsid w:val="00FA3DBD"/>
    <w:rsid w:val="00FB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9C78A78E-71F8-4598-BCDD-A4BE9B98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ED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  <w:lang w:val="en-US" w:eastAsia="en-US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  <w:lang w:val="en-US"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  <w:lang w:val="en-US" w:eastAsia="en-US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  <w:lang w:val="en-US"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ascii="Arial" w:hAnsi="Arial" w:cs="Arial"/>
      <w:sz w:val="22"/>
      <w:szCs w:val="20"/>
      <w:lang w:val="en-US"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ED0"/>
    <w:rPr>
      <w:rFonts w:ascii="Arial" w:hAnsi="Arial" w:cs="Arial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D55E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24568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568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CC72A3"/>
    <w:pPr>
      <w:spacing w:before="720"/>
      <w:ind w:left="5534"/>
    </w:pPr>
    <w:rPr>
      <w:rFonts w:ascii="Arial" w:eastAsia="SimSun" w:hAnsi="Arial" w:cs="Arial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KHONJE Eleanor</dc:creator>
  <cp:keywords>FOR OFFICIAL USE ONLY</cp:keywords>
  <dc:description/>
  <cp:lastModifiedBy>BOU LLORET Amparo</cp:lastModifiedBy>
  <cp:revision>2</cp:revision>
  <dcterms:created xsi:type="dcterms:W3CDTF">2021-06-14T08:28:00Z</dcterms:created>
  <dcterms:modified xsi:type="dcterms:W3CDTF">2021-06-14T08:28:00Z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55300996-73b4-4b56-b923-29ad32f4fac4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