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12CB2" w:rsidTr="00361450">
        <w:tc>
          <w:tcPr>
            <w:tcW w:w="4513" w:type="dxa"/>
            <w:tcBorders>
              <w:bottom w:val="single" w:sz="4" w:space="0" w:color="auto"/>
            </w:tcBorders>
            <w:tcMar>
              <w:bottom w:w="170" w:type="dxa"/>
            </w:tcMar>
          </w:tcPr>
          <w:p w:rsidR="00EC4E49" w:rsidRPr="00812CB2" w:rsidRDefault="00EC4E49" w:rsidP="00916EE2">
            <w:pPr>
              <w:rPr>
                <w:lang w:val="es-ES"/>
              </w:rPr>
            </w:pPr>
            <w:bookmarkStart w:id="0" w:name="_GoBack" w:colFirst="0" w:colLast="0"/>
          </w:p>
        </w:tc>
        <w:tc>
          <w:tcPr>
            <w:tcW w:w="4337" w:type="dxa"/>
            <w:tcBorders>
              <w:bottom w:val="single" w:sz="4" w:space="0" w:color="auto"/>
            </w:tcBorders>
            <w:tcMar>
              <w:left w:w="0" w:type="dxa"/>
              <w:right w:w="0" w:type="dxa"/>
            </w:tcMar>
          </w:tcPr>
          <w:p w:rsidR="00EC4E49" w:rsidRPr="00812CB2" w:rsidRDefault="00C77939" w:rsidP="00916EE2">
            <w:pPr>
              <w:rPr>
                <w:lang w:val="es-ES"/>
              </w:rPr>
            </w:pPr>
            <w:r w:rsidRPr="00812CB2">
              <w:rPr>
                <w:noProof/>
                <w:lang w:val="es-419" w:eastAsia="es-419"/>
              </w:rPr>
              <w:drawing>
                <wp:inline distT="0" distB="0" distL="0" distR="0" wp14:anchorId="27636126" wp14:editId="2A92AA39">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12CB2" w:rsidRDefault="00C77939" w:rsidP="00916EE2">
            <w:pPr>
              <w:jc w:val="right"/>
              <w:rPr>
                <w:lang w:val="es-ES"/>
              </w:rPr>
            </w:pPr>
            <w:r w:rsidRPr="00812CB2">
              <w:rPr>
                <w:b/>
                <w:sz w:val="40"/>
                <w:szCs w:val="40"/>
                <w:lang w:val="es-ES"/>
              </w:rPr>
              <w:t>S</w:t>
            </w:r>
          </w:p>
        </w:tc>
      </w:tr>
      <w:tr w:rsidR="008B2CC1" w:rsidRPr="00812CB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12CB2" w:rsidRDefault="00E354D6" w:rsidP="00B357F4">
            <w:pPr>
              <w:jc w:val="right"/>
              <w:rPr>
                <w:rFonts w:ascii="Arial Black" w:hAnsi="Arial Black"/>
                <w:caps/>
                <w:sz w:val="15"/>
                <w:lang w:val="es-ES"/>
              </w:rPr>
            </w:pPr>
            <w:r w:rsidRPr="00812CB2">
              <w:rPr>
                <w:rFonts w:ascii="Arial Black" w:hAnsi="Arial Black"/>
                <w:caps/>
                <w:sz w:val="15"/>
                <w:lang w:val="es-ES"/>
              </w:rPr>
              <w:t xml:space="preserve"> </w:t>
            </w:r>
          </w:p>
        </w:tc>
      </w:tr>
      <w:tr w:rsidR="008B2CC1" w:rsidRPr="00812CB2" w:rsidTr="00916EE2">
        <w:trPr>
          <w:trHeight w:hRule="exact" w:val="170"/>
        </w:trPr>
        <w:tc>
          <w:tcPr>
            <w:tcW w:w="9356" w:type="dxa"/>
            <w:gridSpan w:val="3"/>
            <w:noWrap/>
            <w:tcMar>
              <w:left w:w="0" w:type="dxa"/>
              <w:right w:w="0" w:type="dxa"/>
            </w:tcMar>
            <w:vAlign w:val="bottom"/>
          </w:tcPr>
          <w:p w:rsidR="008B2CC1" w:rsidRPr="00812CB2" w:rsidRDefault="008B2CC1" w:rsidP="00C77939">
            <w:pPr>
              <w:jc w:val="right"/>
              <w:rPr>
                <w:rFonts w:ascii="Arial Black" w:hAnsi="Arial Black"/>
                <w:caps/>
                <w:sz w:val="15"/>
                <w:lang w:val="es-ES"/>
              </w:rPr>
            </w:pPr>
            <w:r w:rsidRPr="00812CB2">
              <w:rPr>
                <w:rFonts w:ascii="Arial Black" w:hAnsi="Arial Black"/>
                <w:caps/>
                <w:sz w:val="15"/>
                <w:lang w:val="es-ES"/>
              </w:rPr>
              <w:t>ORIGINAL:</w:t>
            </w:r>
            <w:r w:rsidR="00A42DAF" w:rsidRPr="00812CB2">
              <w:rPr>
                <w:rFonts w:ascii="Arial Black" w:hAnsi="Arial Black"/>
                <w:caps/>
                <w:sz w:val="15"/>
                <w:lang w:val="es-ES"/>
              </w:rPr>
              <w:t xml:space="preserve"> </w:t>
            </w:r>
            <w:r w:rsidR="00C77939" w:rsidRPr="00812CB2">
              <w:rPr>
                <w:rFonts w:ascii="Arial Black" w:hAnsi="Arial Black"/>
                <w:caps/>
                <w:sz w:val="15"/>
                <w:lang w:val="es-ES"/>
              </w:rPr>
              <w:t>inglés</w:t>
            </w:r>
          </w:p>
        </w:tc>
      </w:tr>
      <w:tr w:rsidR="008B2CC1" w:rsidRPr="00812CB2" w:rsidTr="00916EE2">
        <w:trPr>
          <w:trHeight w:hRule="exact" w:val="198"/>
        </w:trPr>
        <w:tc>
          <w:tcPr>
            <w:tcW w:w="9356" w:type="dxa"/>
            <w:gridSpan w:val="3"/>
            <w:tcMar>
              <w:left w:w="0" w:type="dxa"/>
              <w:right w:w="0" w:type="dxa"/>
            </w:tcMar>
            <w:vAlign w:val="bottom"/>
          </w:tcPr>
          <w:p w:rsidR="008B2CC1" w:rsidRPr="00812CB2" w:rsidRDefault="00C77939" w:rsidP="00C77939">
            <w:pPr>
              <w:jc w:val="right"/>
              <w:rPr>
                <w:rFonts w:ascii="Arial Black" w:hAnsi="Arial Black"/>
                <w:caps/>
                <w:sz w:val="15"/>
                <w:lang w:val="es-ES"/>
              </w:rPr>
            </w:pPr>
            <w:r w:rsidRPr="00812CB2">
              <w:rPr>
                <w:rFonts w:ascii="Arial Black" w:hAnsi="Arial Black"/>
                <w:caps/>
                <w:sz w:val="15"/>
                <w:lang w:val="es-ES"/>
              </w:rPr>
              <w:t>fecha</w:t>
            </w:r>
            <w:r w:rsidR="008B2CC1" w:rsidRPr="00812CB2">
              <w:rPr>
                <w:rFonts w:ascii="Arial Black" w:hAnsi="Arial Black"/>
                <w:caps/>
                <w:sz w:val="15"/>
                <w:lang w:val="es-ES"/>
              </w:rPr>
              <w:t>:</w:t>
            </w:r>
            <w:r w:rsidR="00A42DAF" w:rsidRPr="00812CB2">
              <w:rPr>
                <w:rFonts w:ascii="Arial Black" w:hAnsi="Arial Black"/>
                <w:caps/>
                <w:sz w:val="15"/>
                <w:lang w:val="es-ES"/>
              </w:rPr>
              <w:t xml:space="preserve"> </w:t>
            </w:r>
            <w:bookmarkStart w:id="1" w:name="Date"/>
            <w:bookmarkEnd w:id="1"/>
            <w:r w:rsidRPr="00812CB2">
              <w:rPr>
                <w:rFonts w:ascii="Arial Black" w:hAnsi="Arial Black"/>
                <w:caps/>
                <w:sz w:val="15"/>
                <w:lang w:val="es-ES"/>
              </w:rPr>
              <w:t>25 de octubre de</w:t>
            </w:r>
            <w:r w:rsidR="00F0000C" w:rsidRPr="00812CB2">
              <w:rPr>
                <w:rFonts w:ascii="Arial Black" w:hAnsi="Arial Black"/>
                <w:caps/>
                <w:sz w:val="15"/>
                <w:lang w:val="es-ES"/>
              </w:rPr>
              <w:t xml:space="preserve"> 2019</w:t>
            </w:r>
          </w:p>
        </w:tc>
      </w:tr>
      <w:bookmarkEnd w:id="0"/>
    </w:tbl>
    <w:p w:rsidR="0022205D" w:rsidRPr="00573588" w:rsidRDefault="0022205D" w:rsidP="008B2CC1">
      <w:pPr>
        <w:rPr>
          <w:sz w:val="24"/>
          <w:szCs w:val="24"/>
          <w:lang w:val="es-ES"/>
        </w:rPr>
      </w:pPr>
    </w:p>
    <w:p w:rsidR="0022205D" w:rsidRPr="00573588" w:rsidRDefault="0022205D" w:rsidP="008B2CC1">
      <w:pPr>
        <w:rPr>
          <w:sz w:val="24"/>
          <w:szCs w:val="24"/>
          <w:lang w:val="es-ES"/>
        </w:rPr>
      </w:pPr>
    </w:p>
    <w:p w:rsidR="0022205D" w:rsidRDefault="0022205D" w:rsidP="008B2CC1">
      <w:pPr>
        <w:rPr>
          <w:sz w:val="24"/>
          <w:szCs w:val="24"/>
          <w:lang w:val="es-ES"/>
        </w:rPr>
      </w:pPr>
    </w:p>
    <w:p w:rsidR="00573588" w:rsidRPr="00573588" w:rsidRDefault="00573588" w:rsidP="008B2CC1">
      <w:pPr>
        <w:rPr>
          <w:sz w:val="24"/>
          <w:szCs w:val="24"/>
          <w:lang w:val="es-ES"/>
        </w:rPr>
      </w:pPr>
    </w:p>
    <w:p w:rsidR="0022205D" w:rsidRPr="00B912D8" w:rsidRDefault="00C77939" w:rsidP="00C77939">
      <w:pPr>
        <w:rPr>
          <w:sz w:val="28"/>
          <w:szCs w:val="28"/>
          <w:lang w:val="es-ES"/>
        </w:rPr>
      </w:pPr>
      <w:r w:rsidRPr="00B912D8">
        <w:rPr>
          <w:b/>
          <w:sz w:val="28"/>
          <w:szCs w:val="28"/>
          <w:lang w:val="es-ES"/>
        </w:rPr>
        <w:t>Comité Permanente de Derecho de Autor y Derechos Conexos</w:t>
      </w:r>
    </w:p>
    <w:p w:rsidR="0022205D" w:rsidRPr="00573588" w:rsidRDefault="0022205D" w:rsidP="003845C1">
      <w:pPr>
        <w:rPr>
          <w:sz w:val="24"/>
          <w:szCs w:val="24"/>
          <w:lang w:val="es-ES"/>
        </w:rPr>
      </w:pPr>
    </w:p>
    <w:p w:rsidR="0022205D" w:rsidRPr="00B912D8" w:rsidRDefault="00C77939" w:rsidP="00C77939">
      <w:pPr>
        <w:rPr>
          <w:b/>
          <w:sz w:val="24"/>
          <w:szCs w:val="24"/>
          <w:lang w:val="es-ES"/>
        </w:rPr>
      </w:pPr>
      <w:r w:rsidRPr="00B912D8">
        <w:rPr>
          <w:b/>
          <w:sz w:val="24"/>
          <w:szCs w:val="24"/>
          <w:lang w:val="es-ES"/>
        </w:rPr>
        <w:t>Trigésima novena sesión</w:t>
      </w:r>
    </w:p>
    <w:p w:rsidR="0022205D" w:rsidRPr="00B912D8" w:rsidRDefault="00C77939" w:rsidP="00C77939">
      <w:pPr>
        <w:rPr>
          <w:sz w:val="24"/>
          <w:szCs w:val="24"/>
          <w:lang w:val="es-ES"/>
        </w:rPr>
      </w:pPr>
      <w:r w:rsidRPr="00B912D8">
        <w:rPr>
          <w:b/>
          <w:sz w:val="24"/>
          <w:szCs w:val="24"/>
          <w:lang w:val="es-ES"/>
        </w:rPr>
        <w:t>Ginebra, 21 a 25 de octubre de 2019</w:t>
      </w:r>
    </w:p>
    <w:p w:rsidR="0022205D" w:rsidRPr="00CF211B" w:rsidRDefault="0022205D" w:rsidP="008B2CC1">
      <w:pPr>
        <w:rPr>
          <w:caps/>
          <w:sz w:val="24"/>
          <w:lang w:val="es-ES"/>
        </w:rPr>
      </w:pPr>
      <w:bookmarkStart w:id="2" w:name="TitleOfDoc"/>
      <w:bookmarkEnd w:id="2"/>
    </w:p>
    <w:p w:rsidR="0022205D" w:rsidRPr="00CF211B" w:rsidRDefault="0022205D" w:rsidP="008B2CC1">
      <w:pPr>
        <w:rPr>
          <w:caps/>
          <w:sz w:val="24"/>
          <w:lang w:val="es-ES"/>
        </w:rPr>
      </w:pPr>
    </w:p>
    <w:p w:rsidR="0022205D" w:rsidRPr="00812CB2" w:rsidRDefault="00C77939" w:rsidP="00C77939">
      <w:pPr>
        <w:rPr>
          <w:b/>
          <w:caps/>
          <w:sz w:val="24"/>
          <w:lang w:val="es-ES"/>
        </w:rPr>
      </w:pPr>
      <w:r w:rsidRPr="00812CB2">
        <w:rPr>
          <w:b/>
          <w:caps/>
          <w:sz w:val="24"/>
          <w:lang w:val="es-ES"/>
        </w:rPr>
        <w:t>resumen de la presidencia</w:t>
      </w:r>
      <w:r w:rsidR="006A1CD5" w:rsidRPr="00812CB2">
        <w:rPr>
          <w:b/>
          <w:caps/>
          <w:sz w:val="24"/>
          <w:lang w:val="es-ES"/>
        </w:rPr>
        <w:t xml:space="preserve"> </w:t>
      </w:r>
    </w:p>
    <w:p w:rsidR="0022205D" w:rsidRPr="00CF211B" w:rsidRDefault="0022205D" w:rsidP="008B2CC1">
      <w:pPr>
        <w:rPr>
          <w:caps/>
          <w:sz w:val="24"/>
          <w:lang w:val="es-ES"/>
        </w:rPr>
      </w:pPr>
    </w:p>
    <w:p w:rsidR="0022205D" w:rsidRPr="00CF211B" w:rsidRDefault="0022205D" w:rsidP="008B2CC1">
      <w:pPr>
        <w:rPr>
          <w:caps/>
          <w:sz w:val="24"/>
          <w:lang w:val="es-ES"/>
        </w:rPr>
      </w:pPr>
    </w:p>
    <w:p w:rsidR="0022205D" w:rsidRPr="00B3012B" w:rsidRDefault="0022205D" w:rsidP="008B2CC1">
      <w:pPr>
        <w:rPr>
          <w:sz w:val="24"/>
          <w:szCs w:val="24"/>
          <w:lang w:val="es-ES"/>
        </w:rPr>
      </w:pPr>
    </w:p>
    <w:p w:rsidR="0022205D" w:rsidRPr="00812CB2" w:rsidRDefault="002535B0">
      <w:pPr>
        <w:rPr>
          <w:b/>
          <w:szCs w:val="22"/>
          <w:lang w:val="es-ES"/>
        </w:rPr>
      </w:pPr>
      <w:bookmarkStart w:id="3" w:name="Prepared"/>
      <w:bookmarkEnd w:id="3"/>
      <w:r w:rsidRPr="00812CB2">
        <w:rPr>
          <w:b/>
          <w:szCs w:val="22"/>
          <w:lang w:val="es-ES"/>
        </w:rPr>
        <w:br w:type="page"/>
      </w:r>
    </w:p>
    <w:p w:rsidR="0022205D" w:rsidRPr="00812CB2" w:rsidRDefault="00C77939" w:rsidP="00B912D8">
      <w:pPr>
        <w:pStyle w:val="Heading1"/>
        <w:rPr>
          <w:lang w:val="es-ES"/>
        </w:rPr>
      </w:pPr>
      <w:r w:rsidRPr="00812CB2">
        <w:rPr>
          <w:lang w:val="es-ES"/>
        </w:rPr>
        <w:lastRenderedPageBreak/>
        <w:t>PUNTO 1 DEL ORDEN DEL DÍA: APERTURA DE LA SESIÓN</w:t>
      </w:r>
    </w:p>
    <w:p w:rsidR="0022205D" w:rsidRPr="00812CB2" w:rsidRDefault="0022205D" w:rsidP="006A1CD5">
      <w:pPr>
        <w:rPr>
          <w:szCs w:val="22"/>
          <w:lang w:val="es-ES"/>
        </w:rPr>
      </w:pPr>
    </w:p>
    <w:p w:rsidR="0022205D" w:rsidRPr="00812CB2" w:rsidRDefault="003613DD" w:rsidP="00F61971">
      <w:pPr>
        <w:pStyle w:val="ListParagraph"/>
        <w:numPr>
          <w:ilvl w:val="0"/>
          <w:numId w:val="16"/>
        </w:numPr>
        <w:rPr>
          <w:rFonts w:eastAsia="Times New Roman"/>
          <w:szCs w:val="22"/>
          <w:lang w:val="es-ES" w:eastAsia="en-US"/>
        </w:rPr>
      </w:pPr>
      <w:r w:rsidRPr="00812CB2">
        <w:rPr>
          <w:rFonts w:eastAsia="Times New Roman"/>
          <w:szCs w:val="22"/>
          <w:lang w:val="es-ES" w:eastAsia="en-US"/>
        </w:rPr>
        <w:t>La trigésima novena sesión del Comité Permanente de Derecho de Autor y Derechos Conexos (SCCR o Comité) fue abierta por la Sra. Sylvie Forbin, directora general adjunta.</w:t>
      </w:r>
      <w:r w:rsidR="00F61971" w:rsidRPr="00812CB2">
        <w:rPr>
          <w:rFonts w:eastAsia="Times New Roman"/>
          <w:szCs w:val="22"/>
          <w:lang w:val="es-ES" w:eastAsia="en-US"/>
        </w:rPr>
        <w:t xml:space="preserve"> El Sr. Daren Tang Heng Shim ejerció de presidente y los Sres. Abdoul Aziz Dieng y Peter Labod, de vicepresidentes. La Sra. Michele Woods (OMPI) ejerció de secretaria del Comité.</w:t>
      </w:r>
    </w:p>
    <w:p w:rsidR="0022205D" w:rsidRPr="00812CB2" w:rsidRDefault="0022205D">
      <w:pPr>
        <w:rPr>
          <w:rFonts w:eastAsia="Times New Roman"/>
          <w:szCs w:val="22"/>
          <w:lang w:val="es-ES" w:eastAsia="en-US"/>
        </w:rPr>
      </w:pPr>
    </w:p>
    <w:p w:rsidR="0022205D" w:rsidRPr="00812CB2" w:rsidRDefault="0022205D">
      <w:pPr>
        <w:rPr>
          <w:rFonts w:eastAsia="Times New Roman"/>
          <w:szCs w:val="22"/>
          <w:lang w:val="es-ES" w:eastAsia="en-US"/>
        </w:rPr>
      </w:pPr>
    </w:p>
    <w:p w:rsidR="0022205D" w:rsidRPr="00812CB2" w:rsidRDefault="00F61971" w:rsidP="00B912D8">
      <w:pPr>
        <w:pStyle w:val="Heading1"/>
        <w:rPr>
          <w:lang w:val="es-ES"/>
        </w:rPr>
      </w:pPr>
      <w:r w:rsidRPr="00812CB2">
        <w:rPr>
          <w:lang w:val="es-ES"/>
        </w:rPr>
        <w:t>Punto 2 del orden del día: aprobación del orden del día de la trigésima novena sesión</w:t>
      </w:r>
    </w:p>
    <w:p w:rsidR="0022205D" w:rsidRPr="00B912D8" w:rsidRDefault="0022205D" w:rsidP="006A1CD5">
      <w:pPr>
        <w:rPr>
          <w:szCs w:val="22"/>
          <w:lang w:val="es-ES"/>
        </w:rPr>
      </w:pPr>
    </w:p>
    <w:p w:rsidR="0022205D" w:rsidRPr="00A663DC" w:rsidRDefault="00F61971" w:rsidP="007C6AA8">
      <w:pPr>
        <w:pStyle w:val="ListParagraph"/>
        <w:numPr>
          <w:ilvl w:val="0"/>
          <w:numId w:val="16"/>
        </w:numPr>
        <w:rPr>
          <w:szCs w:val="22"/>
          <w:lang w:val="es-ES"/>
        </w:rPr>
      </w:pPr>
      <w:r w:rsidRPr="00A663DC">
        <w:rPr>
          <w:szCs w:val="22"/>
          <w:lang w:val="es-ES"/>
        </w:rPr>
        <w:t xml:space="preserve">El Comité aprobó el proyecto de orden del día (documento SCCR/39/1 </w:t>
      </w:r>
      <w:r w:rsidR="00985A7A" w:rsidRPr="00A663DC">
        <w:rPr>
          <w:szCs w:val="22"/>
          <w:lang w:val="es-ES"/>
        </w:rPr>
        <w:t>PROV</w:t>
      </w:r>
      <w:r w:rsidRPr="00A663DC">
        <w:rPr>
          <w:szCs w:val="22"/>
          <w:lang w:val="es-ES"/>
        </w:rPr>
        <w:t xml:space="preserve">.). </w:t>
      </w:r>
    </w:p>
    <w:p w:rsidR="0022205D" w:rsidRPr="00812CB2" w:rsidRDefault="0022205D" w:rsidP="00FB6497">
      <w:pPr>
        <w:rPr>
          <w:szCs w:val="22"/>
          <w:lang w:val="es-ES"/>
        </w:rPr>
      </w:pPr>
    </w:p>
    <w:p w:rsidR="0022205D" w:rsidRPr="00812CB2" w:rsidRDefault="00E919A8" w:rsidP="00B912D8">
      <w:pPr>
        <w:pStyle w:val="Heading1"/>
        <w:rPr>
          <w:lang w:val="es-ES"/>
        </w:rPr>
      </w:pPr>
      <w:r w:rsidRPr="00812CB2">
        <w:rPr>
          <w:lang w:val="es-ES"/>
        </w:rPr>
        <w:t>PUNTO 3 DEL ORDEN DEL DÍA: ACREDITACIÓN DE NUEVAS ORGANIZACIONES NO GUBERNAMENTALES</w:t>
      </w:r>
    </w:p>
    <w:p w:rsidR="0022205D" w:rsidRPr="00B912D8" w:rsidRDefault="0022205D" w:rsidP="001D0A74">
      <w:pPr>
        <w:rPr>
          <w:caps/>
          <w:szCs w:val="22"/>
          <w:lang w:val="es-ES"/>
        </w:rPr>
      </w:pPr>
    </w:p>
    <w:p w:rsidR="0022205D" w:rsidRPr="00812CB2" w:rsidRDefault="00E354D6" w:rsidP="00E354D6">
      <w:pPr>
        <w:pStyle w:val="ListParagraph"/>
        <w:numPr>
          <w:ilvl w:val="0"/>
          <w:numId w:val="16"/>
        </w:numPr>
        <w:rPr>
          <w:szCs w:val="22"/>
          <w:lang w:val="es-ES"/>
        </w:rPr>
      </w:pPr>
      <w:r w:rsidRPr="00812CB2">
        <w:rPr>
          <w:szCs w:val="22"/>
          <w:lang w:val="es-ES"/>
        </w:rPr>
        <w:t>El Comité aprobó la acreditación, en calidad de observador</w:t>
      </w:r>
      <w:r w:rsidR="0084206D">
        <w:rPr>
          <w:szCs w:val="22"/>
          <w:lang w:val="es-ES"/>
        </w:rPr>
        <w:t>e</w:t>
      </w:r>
      <w:r w:rsidRPr="00812CB2">
        <w:rPr>
          <w:szCs w:val="22"/>
          <w:lang w:val="es-ES"/>
        </w:rPr>
        <w:t>s del SCCR, de las organizaciones no gubernamentales mencionadas en el Anexo del documento SCCR/39/2, a saber, la Federación Internacional de Asociaciones de Derecho de Informática (IFCLA) y la Federación Italiana para la Protección de los Contenidos Audiovisuales y Multimedia (FAPAV).</w:t>
      </w:r>
    </w:p>
    <w:p w:rsidR="0022205D" w:rsidRDefault="0022205D" w:rsidP="00211ABD">
      <w:pPr>
        <w:tabs>
          <w:tab w:val="left" w:pos="1800"/>
        </w:tabs>
        <w:rPr>
          <w:caps/>
          <w:szCs w:val="22"/>
          <w:lang w:val="es-ES"/>
        </w:rPr>
      </w:pPr>
    </w:p>
    <w:p w:rsidR="004007E2" w:rsidRPr="004007E2" w:rsidRDefault="004007E2" w:rsidP="004007E2">
      <w:pPr>
        <w:tabs>
          <w:tab w:val="left" w:pos="1800"/>
        </w:tabs>
        <w:rPr>
          <w:caps/>
          <w:szCs w:val="22"/>
          <w:lang w:val="es-ES"/>
        </w:rPr>
      </w:pPr>
    </w:p>
    <w:p w:rsidR="0022205D" w:rsidRPr="00812CB2" w:rsidRDefault="00E919A8" w:rsidP="00B912D8">
      <w:pPr>
        <w:pStyle w:val="Heading1"/>
        <w:rPr>
          <w:lang w:val="es-ES"/>
        </w:rPr>
      </w:pPr>
      <w:r w:rsidRPr="00812CB2">
        <w:rPr>
          <w:lang w:val="es-ES"/>
        </w:rPr>
        <w:t>Punto 4 del orden del día: Aprobación del informe de la trigésima octava sesión del Comité Permanente de Derecho de Autor y Derechos Conexos</w:t>
      </w:r>
      <w:r w:rsidR="006A1CD5" w:rsidRPr="00812CB2">
        <w:rPr>
          <w:lang w:val="es-ES"/>
        </w:rPr>
        <w:t xml:space="preserve"> </w:t>
      </w:r>
    </w:p>
    <w:p w:rsidR="0022205D" w:rsidRPr="00B912D8" w:rsidRDefault="0022205D" w:rsidP="006A1CD5">
      <w:pPr>
        <w:rPr>
          <w:caps/>
          <w:szCs w:val="22"/>
          <w:lang w:val="es-ES"/>
        </w:rPr>
      </w:pPr>
    </w:p>
    <w:p w:rsidR="0022205D" w:rsidRPr="00812CB2" w:rsidRDefault="00A2277B" w:rsidP="00A2277B">
      <w:pPr>
        <w:pStyle w:val="ListParagraph"/>
        <w:numPr>
          <w:ilvl w:val="0"/>
          <w:numId w:val="16"/>
        </w:numPr>
        <w:rPr>
          <w:szCs w:val="22"/>
          <w:lang w:val="es-ES"/>
        </w:rPr>
      </w:pPr>
      <w:r w:rsidRPr="00812CB2">
        <w:rPr>
          <w:szCs w:val="22"/>
          <w:lang w:val="es-ES"/>
        </w:rPr>
        <w:t>El Comité aprobó el proyecto de informe de su trigésima octava sesión (documento SCCR/38/11).</w:t>
      </w:r>
      <w:r w:rsidR="00F61971" w:rsidRPr="00812CB2">
        <w:rPr>
          <w:szCs w:val="22"/>
          <w:lang w:val="es-ES"/>
        </w:rPr>
        <w:t xml:space="preserve"> </w:t>
      </w:r>
      <w:r w:rsidRPr="00812CB2">
        <w:rPr>
          <w:szCs w:val="22"/>
          <w:lang w:val="es-ES"/>
        </w:rPr>
        <w:t xml:space="preserve">Se invitó a las delegaciones y a los observadores a enviar a la Secretaría, a la dirección </w:t>
      </w:r>
      <w:r w:rsidRPr="00812CB2">
        <w:rPr>
          <w:szCs w:val="22"/>
          <w:u w:val="single"/>
          <w:lang w:val="es-ES"/>
        </w:rPr>
        <w:t>copyright.mail@wipo.int</w:t>
      </w:r>
      <w:r w:rsidRPr="00812CB2">
        <w:rPr>
          <w:szCs w:val="22"/>
          <w:lang w:val="es-ES"/>
        </w:rPr>
        <w:t>, las observaciones que tengan sobre sus propias declaraciones, a más tardar el 15 de noviembre de 2019.</w:t>
      </w:r>
    </w:p>
    <w:p w:rsidR="0022205D" w:rsidRPr="00812CB2" w:rsidRDefault="0022205D" w:rsidP="006A1CD5">
      <w:pPr>
        <w:rPr>
          <w:szCs w:val="22"/>
          <w:lang w:val="es-ES"/>
        </w:rPr>
      </w:pPr>
    </w:p>
    <w:p w:rsidR="0022205D" w:rsidRPr="00812CB2" w:rsidRDefault="0022205D" w:rsidP="006A1CD5">
      <w:pPr>
        <w:rPr>
          <w:szCs w:val="22"/>
          <w:lang w:val="es-ES"/>
        </w:rPr>
      </w:pPr>
    </w:p>
    <w:p w:rsidR="0022205D" w:rsidRPr="00812CB2" w:rsidRDefault="00E919A8" w:rsidP="00B912D8">
      <w:pPr>
        <w:pStyle w:val="Heading1"/>
        <w:rPr>
          <w:lang w:val="es-ES"/>
        </w:rPr>
      </w:pPr>
      <w:r w:rsidRPr="00812CB2">
        <w:rPr>
          <w:lang w:val="es-ES"/>
        </w:rPr>
        <w:t>PUNTO 5 DEL ORDEN DEL DÍA: LimitaCIONES Y EXCEPCIONES PARA BIBLIOTECAS Y ARCHIVOS</w:t>
      </w:r>
    </w:p>
    <w:p w:rsidR="0022205D" w:rsidRPr="00812CB2" w:rsidRDefault="0022205D" w:rsidP="003F1189">
      <w:pPr>
        <w:pStyle w:val="Default"/>
        <w:rPr>
          <w:color w:val="auto"/>
          <w:sz w:val="22"/>
          <w:szCs w:val="22"/>
          <w:lang w:val="es-ES"/>
        </w:rPr>
      </w:pPr>
    </w:p>
    <w:p w:rsidR="0022205D" w:rsidRPr="00812CB2" w:rsidRDefault="00BA13E9" w:rsidP="00BA13E9">
      <w:pPr>
        <w:pStyle w:val="ListParagraph"/>
        <w:numPr>
          <w:ilvl w:val="0"/>
          <w:numId w:val="16"/>
        </w:numPr>
        <w:rPr>
          <w:szCs w:val="22"/>
          <w:lang w:val="es-ES"/>
        </w:rPr>
      </w:pPr>
      <w:r w:rsidRPr="00812CB2">
        <w:rPr>
          <w:szCs w:val="22"/>
          <w:lang w:val="es-ES"/>
        </w:rPr>
        <w:t>Los documentos relacionados con este punto del orden del día son: SCCR/26/3, SCCR/26/8, SCCR/29/4, SCCR/30/2, SCCR/30/3, SCCR/33/4, SCCR/34/5, SCCR/35/6, SCCR/35/9, SCCR/36/3, SCCR/36/7, SCCR/37/6, SCCR/38/4, SCCR/38/5, SCCR/38/6, SCCR/38/7 y SCCR/39/5.</w:t>
      </w:r>
      <w:r w:rsidR="00F61971" w:rsidRPr="00812CB2">
        <w:rPr>
          <w:szCs w:val="22"/>
          <w:lang w:val="es-ES"/>
        </w:rPr>
        <w:t xml:space="preserve"> </w:t>
      </w:r>
    </w:p>
    <w:p w:rsidR="0022205D" w:rsidRPr="00812CB2" w:rsidRDefault="0022205D" w:rsidP="003F1189">
      <w:pPr>
        <w:pStyle w:val="Default"/>
        <w:rPr>
          <w:sz w:val="22"/>
          <w:szCs w:val="22"/>
          <w:lang w:val="es-ES"/>
        </w:rPr>
      </w:pPr>
    </w:p>
    <w:p w:rsidR="0022205D" w:rsidRPr="00812CB2" w:rsidRDefault="00D93192" w:rsidP="00D93192">
      <w:pPr>
        <w:pStyle w:val="ListParagraph"/>
        <w:numPr>
          <w:ilvl w:val="0"/>
          <w:numId w:val="16"/>
        </w:numPr>
        <w:rPr>
          <w:szCs w:val="22"/>
          <w:lang w:val="es-ES"/>
        </w:rPr>
      </w:pPr>
      <w:r w:rsidRPr="00812CB2">
        <w:rPr>
          <w:szCs w:val="22"/>
          <w:lang w:val="es-ES"/>
        </w:rPr>
        <w:t xml:space="preserve">El Comité acogió con agrado la ponencia sobre </w:t>
      </w:r>
      <w:r w:rsidRPr="00812CB2">
        <w:rPr>
          <w:i/>
          <w:szCs w:val="22"/>
          <w:lang w:val="es-ES"/>
        </w:rPr>
        <w:t xml:space="preserve">Excepciones al derecho de autor en favor de los archivos: análisis tipológico </w:t>
      </w:r>
      <w:r w:rsidRPr="00812CB2">
        <w:rPr>
          <w:szCs w:val="22"/>
          <w:lang w:val="es-ES"/>
        </w:rPr>
        <w:t xml:space="preserve">(documento SCCR/39/5) (parte del punto 1 del </w:t>
      </w:r>
      <w:r w:rsidRPr="00812CB2">
        <w:rPr>
          <w:i/>
          <w:szCs w:val="22"/>
          <w:lang w:val="es-ES"/>
        </w:rPr>
        <w:t>Plan de acción para bibliotecas, archivos y museos</w:t>
      </w:r>
      <w:r w:rsidR="0084206D">
        <w:rPr>
          <w:szCs w:val="22"/>
          <w:lang w:val="es-ES"/>
        </w:rPr>
        <w:t>,</w:t>
      </w:r>
      <w:r w:rsidRPr="00812CB2">
        <w:rPr>
          <w:szCs w:val="22"/>
          <w:lang w:val="es-ES"/>
        </w:rPr>
        <w:t xml:space="preserve"> que figura en el documento SCCR/36/7) ofrecida por el Dr. Kenneth Crews, y participó en una </w:t>
      </w:r>
      <w:r w:rsidR="001B4552" w:rsidRPr="00812CB2">
        <w:rPr>
          <w:szCs w:val="22"/>
          <w:lang w:val="es-ES"/>
        </w:rPr>
        <w:t>ronda</w:t>
      </w:r>
      <w:r w:rsidRPr="00812CB2">
        <w:rPr>
          <w:szCs w:val="22"/>
          <w:lang w:val="es-ES"/>
        </w:rPr>
        <w:t xml:space="preserve"> de preguntas y respuestas con el Dr. Crews.</w:t>
      </w:r>
    </w:p>
    <w:p w:rsidR="0022205D" w:rsidRPr="00812CB2" w:rsidRDefault="0022205D" w:rsidP="004D028D">
      <w:pPr>
        <w:rPr>
          <w:szCs w:val="22"/>
          <w:lang w:val="es-ES"/>
        </w:rPr>
      </w:pPr>
    </w:p>
    <w:p w:rsidR="0022205D" w:rsidRPr="00812CB2" w:rsidRDefault="00CA39CD" w:rsidP="00D72910">
      <w:pPr>
        <w:pStyle w:val="ListParagraph"/>
        <w:numPr>
          <w:ilvl w:val="0"/>
          <w:numId w:val="16"/>
        </w:numPr>
        <w:rPr>
          <w:szCs w:val="22"/>
          <w:lang w:val="es-ES"/>
        </w:rPr>
      </w:pPr>
      <w:r w:rsidRPr="00812CB2">
        <w:rPr>
          <w:szCs w:val="22"/>
          <w:lang w:val="es-ES"/>
        </w:rPr>
        <w:t xml:space="preserve">La Secretaría informó acerca de los tres seminarios regionales celebrados en Singapur, Nairobi y Santo Domingo con arreglo al </w:t>
      </w:r>
      <w:r w:rsidRPr="00812CB2">
        <w:rPr>
          <w:i/>
          <w:szCs w:val="22"/>
          <w:lang w:val="es-ES"/>
        </w:rPr>
        <w:t>Plan de acción para bibliotecas, archivos y museos</w:t>
      </w:r>
      <w:r w:rsidRPr="00812CB2">
        <w:rPr>
          <w:szCs w:val="22"/>
          <w:lang w:val="es-ES"/>
        </w:rPr>
        <w:t xml:space="preserve"> (punto 5) y el </w:t>
      </w:r>
      <w:r w:rsidRPr="00812CB2">
        <w:rPr>
          <w:i/>
          <w:szCs w:val="22"/>
          <w:lang w:val="es-ES"/>
        </w:rPr>
        <w:t xml:space="preserve">Plan de acción para instituciones docentes y de investigación y personas con otras discapacidades </w:t>
      </w:r>
      <w:r w:rsidRPr="00812CB2">
        <w:rPr>
          <w:szCs w:val="22"/>
          <w:lang w:val="es-ES"/>
        </w:rPr>
        <w:t>(punto 3) (documento SCCR/36/7):</w:t>
      </w:r>
      <w:r w:rsidR="00F61971" w:rsidRPr="00812CB2">
        <w:rPr>
          <w:szCs w:val="22"/>
          <w:lang w:val="es-ES"/>
        </w:rPr>
        <w:t xml:space="preserve"> </w:t>
      </w:r>
      <w:r w:rsidR="00DE756B" w:rsidRPr="00812CB2">
        <w:rPr>
          <w:i/>
          <w:szCs w:val="22"/>
          <w:lang w:val="es-ES"/>
        </w:rPr>
        <w:t>Seminario regional para el Grupo de Asia y el Pacífico sobre bibliotecas, archivos, museos e instituciones docentes y de investigación en el ámbito del derecho de autor</w:t>
      </w:r>
      <w:r w:rsidR="00DE756B" w:rsidRPr="00812CB2">
        <w:rPr>
          <w:szCs w:val="22"/>
          <w:lang w:val="es-ES"/>
        </w:rPr>
        <w:t xml:space="preserve"> (29 y 30 de abril);</w:t>
      </w:r>
      <w:r w:rsidR="00CC4D8B" w:rsidRPr="00812CB2">
        <w:rPr>
          <w:i/>
          <w:szCs w:val="22"/>
          <w:lang w:val="es-ES"/>
        </w:rPr>
        <w:t xml:space="preserve"> </w:t>
      </w:r>
      <w:r w:rsidR="00DE756B" w:rsidRPr="00812CB2">
        <w:rPr>
          <w:i/>
          <w:szCs w:val="22"/>
          <w:lang w:val="es-ES"/>
        </w:rPr>
        <w:t>Seminario regional para el Grupo Africano sobre bibliotecas, archivos, museos e instituciones docentes y de investigación en el ámbito del derecho de autor</w:t>
      </w:r>
      <w:r w:rsidR="00DE756B" w:rsidRPr="00812CB2">
        <w:rPr>
          <w:szCs w:val="22"/>
          <w:lang w:val="es-ES"/>
        </w:rPr>
        <w:t xml:space="preserve"> (12 y 13 de junio);</w:t>
      </w:r>
      <w:r w:rsidR="00CC4D8B" w:rsidRPr="00812CB2">
        <w:rPr>
          <w:i/>
          <w:szCs w:val="22"/>
          <w:lang w:val="es-ES"/>
        </w:rPr>
        <w:t xml:space="preserve"> </w:t>
      </w:r>
      <w:r w:rsidR="00DE756B" w:rsidRPr="00812CB2">
        <w:rPr>
          <w:i/>
          <w:szCs w:val="22"/>
          <w:lang w:val="es-ES"/>
        </w:rPr>
        <w:t xml:space="preserve">Seminario regional para </w:t>
      </w:r>
      <w:r w:rsidR="00DE756B" w:rsidRPr="00812CB2">
        <w:rPr>
          <w:i/>
          <w:szCs w:val="22"/>
          <w:lang w:val="es-ES"/>
        </w:rPr>
        <w:lastRenderedPageBreak/>
        <w:t>el Grupo de América Latina y el Caribe sobre bibliotecas, archivos, museos e instituciones docentes y de investigación en el ámbito del derecho de autor</w:t>
      </w:r>
      <w:r w:rsidR="00DE756B" w:rsidRPr="00812CB2">
        <w:rPr>
          <w:szCs w:val="22"/>
          <w:lang w:val="es-ES"/>
        </w:rPr>
        <w:t xml:space="preserve"> (4 y 5 de julio).</w:t>
      </w:r>
      <w:r w:rsidR="00F61971" w:rsidRPr="00812CB2">
        <w:rPr>
          <w:szCs w:val="22"/>
          <w:lang w:val="es-ES"/>
        </w:rPr>
        <w:t xml:space="preserve"> </w:t>
      </w:r>
      <w:r w:rsidR="00DE756B" w:rsidRPr="00812CB2">
        <w:rPr>
          <w:szCs w:val="22"/>
          <w:lang w:val="es-ES"/>
        </w:rPr>
        <w:t xml:space="preserve">Los presidentes y relatores de los grupos de trabajo de los seminarios regionales informaron sobre los debates mantenidos en sus grupos, y los representantes de los países anfitriones también expusieron </w:t>
      </w:r>
      <w:r w:rsidR="00A663DC">
        <w:rPr>
          <w:szCs w:val="22"/>
          <w:lang w:val="es-ES"/>
        </w:rPr>
        <w:t>sus opiniones sobre</w:t>
      </w:r>
      <w:r w:rsidR="00DE756B" w:rsidRPr="00812CB2">
        <w:rPr>
          <w:szCs w:val="22"/>
          <w:lang w:val="es-ES"/>
        </w:rPr>
        <w:t xml:space="preserve"> los seminarios.</w:t>
      </w:r>
    </w:p>
    <w:p w:rsidR="0022205D" w:rsidRPr="00812CB2" w:rsidRDefault="0022205D" w:rsidP="00DE756B">
      <w:pPr>
        <w:rPr>
          <w:szCs w:val="22"/>
          <w:lang w:val="es-ES"/>
        </w:rPr>
      </w:pPr>
    </w:p>
    <w:p w:rsidR="0022205D" w:rsidRPr="00812CB2" w:rsidRDefault="001B569F" w:rsidP="001B569F">
      <w:pPr>
        <w:pStyle w:val="ListParagraph"/>
        <w:numPr>
          <w:ilvl w:val="0"/>
          <w:numId w:val="16"/>
        </w:numPr>
        <w:rPr>
          <w:szCs w:val="22"/>
          <w:lang w:val="es-ES"/>
        </w:rPr>
      </w:pPr>
      <w:r w:rsidRPr="00812CB2">
        <w:rPr>
          <w:szCs w:val="22"/>
          <w:lang w:val="es-ES"/>
        </w:rPr>
        <w:t xml:space="preserve">La Secretaría describió la </w:t>
      </w:r>
      <w:r w:rsidRPr="00812CB2">
        <w:rPr>
          <w:i/>
          <w:szCs w:val="22"/>
          <w:lang w:val="es-ES"/>
        </w:rPr>
        <w:t>Conferencia Internacional sobre Limitaciones y Excepciones de Derecho de Autor para Bibliotecas, Archivos, Museos e Instituciones Docentes y de Investigación</w:t>
      </w:r>
      <w:r w:rsidRPr="00812CB2">
        <w:rPr>
          <w:szCs w:val="22"/>
          <w:lang w:val="es-ES"/>
        </w:rPr>
        <w:t xml:space="preserve">, celebrada los días 18 y 19 de octubre en Ginebra, de conformidad con el </w:t>
      </w:r>
      <w:r w:rsidRPr="00812CB2">
        <w:rPr>
          <w:i/>
          <w:szCs w:val="22"/>
          <w:lang w:val="es-ES"/>
        </w:rPr>
        <w:t xml:space="preserve">Plan de acción para bibliotecas, archivos y museos </w:t>
      </w:r>
      <w:r w:rsidRPr="00812CB2">
        <w:rPr>
          <w:szCs w:val="22"/>
          <w:lang w:val="es-ES"/>
        </w:rPr>
        <w:t xml:space="preserve">(punto 6) y el </w:t>
      </w:r>
      <w:r w:rsidRPr="00812CB2">
        <w:rPr>
          <w:i/>
          <w:szCs w:val="22"/>
          <w:lang w:val="es-ES"/>
        </w:rPr>
        <w:t xml:space="preserve">Plan de acción para instituciones docentes y de investigación y personas con otras discapacidades </w:t>
      </w:r>
      <w:r w:rsidRPr="00812CB2">
        <w:rPr>
          <w:szCs w:val="22"/>
          <w:lang w:val="es-ES"/>
        </w:rPr>
        <w:t xml:space="preserve">(punto 4) (documento SCCR/36/7), e informó sobre los debates mantenidos en </w:t>
      </w:r>
      <w:r w:rsidR="00A663DC">
        <w:rPr>
          <w:szCs w:val="22"/>
          <w:lang w:val="es-ES"/>
        </w:rPr>
        <w:t xml:space="preserve">el último debate en grupo de </w:t>
      </w:r>
      <w:r w:rsidRPr="00812CB2">
        <w:rPr>
          <w:szCs w:val="22"/>
          <w:lang w:val="es-ES"/>
        </w:rPr>
        <w:t>la Conferencia Internacional.</w:t>
      </w:r>
    </w:p>
    <w:p w:rsidR="0022205D" w:rsidRPr="00812CB2" w:rsidRDefault="0022205D" w:rsidP="002E07DC">
      <w:pPr>
        <w:rPr>
          <w:szCs w:val="22"/>
          <w:lang w:val="es-ES"/>
        </w:rPr>
      </w:pPr>
    </w:p>
    <w:p w:rsidR="0022205D" w:rsidRPr="00812CB2" w:rsidRDefault="00F52B03" w:rsidP="00DE6A44">
      <w:pPr>
        <w:pStyle w:val="ListParagraph"/>
        <w:numPr>
          <w:ilvl w:val="0"/>
          <w:numId w:val="16"/>
        </w:numPr>
        <w:rPr>
          <w:szCs w:val="22"/>
          <w:lang w:val="es-ES"/>
        </w:rPr>
      </w:pPr>
      <w:r>
        <w:rPr>
          <w:rFonts w:eastAsia="Times New Roman"/>
          <w:szCs w:val="22"/>
          <w:lang w:val="es-ES" w:eastAsia="fr-FR"/>
        </w:rPr>
        <w:t>La</w:t>
      </w:r>
      <w:r w:rsidR="0084206D" w:rsidRPr="00812CB2">
        <w:rPr>
          <w:rFonts w:eastAsia="Times New Roman"/>
          <w:szCs w:val="22"/>
          <w:lang w:val="es-ES" w:eastAsia="fr-FR"/>
        </w:rPr>
        <w:t xml:space="preserve">s </w:t>
      </w:r>
      <w:r>
        <w:rPr>
          <w:rFonts w:eastAsia="Times New Roman"/>
          <w:szCs w:val="22"/>
          <w:lang w:val="es-ES" w:eastAsia="fr-FR"/>
        </w:rPr>
        <w:t>próxima</w:t>
      </w:r>
      <w:r w:rsidR="00DE6A44" w:rsidRPr="00812CB2">
        <w:rPr>
          <w:rFonts w:eastAsia="Times New Roman"/>
          <w:szCs w:val="22"/>
          <w:lang w:val="es-ES" w:eastAsia="fr-FR"/>
        </w:rPr>
        <w:t xml:space="preserve">s </w:t>
      </w:r>
      <w:r>
        <w:rPr>
          <w:rFonts w:eastAsia="Times New Roman"/>
          <w:szCs w:val="22"/>
          <w:lang w:val="es-ES" w:eastAsia="fr-FR"/>
        </w:rPr>
        <w:t xml:space="preserve">etapas </w:t>
      </w:r>
      <w:r w:rsidR="00DE6A44" w:rsidRPr="00812CB2">
        <w:rPr>
          <w:rFonts w:eastAsia="Times New Roman"/>
          <w:szCs w:val="22"/>
          <w:lang w:val="es-ES" w:eastAsia="fr-FR"/>
        </w:rPr>
        <w:t>en relación con los puntos 5 y 6 del orden del día</w:t>
      </w:r>
      <w:r w:rsidR="0084206D" w:rsidRPr="0084206D">
        <w:rPr>
          <w:rFonts w:eastAsia="Times New Roman"/>
          <w:szCs w:val="22"/>
          <w:lang w:val="es-ES" w:eastAsia="fr-FR"/>
        </w:rPr>
        <w:t xml:space="preserve"> </w:t>
      </w:r>
      <w:r w:rsidR="0084206D" w:rsidRPr="00812CB2">
        <w:rPr>
          <w:rFonts w:eastAsia="Times New Roman"/>
          <w:szCs w:val="22"/>
          <w:lang w:val="es-ES" w:eastAsia="fr-FR"/>
        </w:rPr>
        <w:t>se debatieron</w:t>
      </w:r>
      <w:r w:rsidR="0084206D" w:rsidRPr="0084206D">
        <w:rPr>
          <w:rFonts w:eastAsia="Times New Roman"/>
          <w:szCs w:val="22"/>
          <w:lang w:val="es-ES" w:eastAsia="fr-FR"/>
        </w:rPr>
        <w:t xml:space="preserve"> </w:t>
      </w:r>
      <w:r w:rsidR="0084206D" w:rsidRPr="00812CB2">
        <w:rPr>
          <w:rFonts w:eastAsia="Times New Roman"/>
          <w:szCs w:val="22"/>
          <w:lang w:val="es-ES" w:eastAsia="fr-FR"/>
        </w:rPr>
        <w:t>en sesiones oficiosas del Comité</w:t>
      </w:r>
      <w:r w:rsidR="00DE6A44" w:rsidRPr="00812CB2">
        <w:rPr>
          <w:rFonts w:eastAsia="Times New Roman"/>
          <w:szCs w:val="22"/>
          <w:lang w:val="es-ES" w:eastAsia="fr-FR"/>
        </w:rPr>
        <w:t>.</w:t>
      </w:r>
    </w:p>
    <w:p w:rsidR="0022205D" w:rsidRPr="00812CB2" w:rsidRDefault="0022205D" w:rsidP="004D028D">
      <w:pPr>
        <w:rPr>
          <w:szCs w:val="22"/>
          <w:lang w:val="es-ES"/>
        </w:rPr>
      </w:pPr>
    </w:p>
    <w:p w:rsidR="0022205D" w:rsidRPr="00812CB2" w:rsidRDefault="00E62905" w:rsidP="00985A7A">
      <w:pPr>
        <w:pStyle w:val="ListParagraph"/>
        <w:numPr>
          <w:ilvl w:val="0"/>
          <w:numId w:val="16"/>
        </w:numPr>
        <w:rPr>
          <w:szCs w:val="22"/>
          <w:lang w:val="es-ES"/>
        </w:rPr>
      </w:pPr>
      <w:r>
        <w:rPr>
          <w:lang w:val="es-ES"/>
        </w:rPr>
        <w:t>L</w:t>
      </w:r>
      <w:r w:rsidR="001B4552" w:rsidRPr="00812CB2">
        <w:rPr>
          <w:lang w:val="es-ES"/>
        </w:rPr>
        <w:t xml:space="preserve">a Secretaría </w:t>
      </w:r>
      <w:r>
        <w:rPr>
          <w:lang w:val="es-ES"/>
        </w:rPr>
        <w:t>preparará</w:t>
      </w:r>
      <w:r w:rsidR="001B4552" w:rsidRPr="00812CB2">
        <w:rPr>
          <w:lang w:val="es-ES"/>
        </w:rPr>
        <w:t xml:space="preserve"> un informe </w:t>
      </w:r>
      <w:r w:rsidR="00062FE0">
        <w:rPr>
          <w:lang w:val="es-ES"/>
        </w:rPr>
        <w:t>fáctico</w:t>
      </w:r>
      <w:r w:rsidR="001B4552" w:rsidRPr="00812CB2">
        <w:rPr>
          <w:lang w:val="es-ES"/>
        </w:rPr>
        <w:t xml:space="preserve"> con los resultados de los tres seminarios regionales y la Conferencia Internacional</w:t>
      </w:r>
      <w:r w:rsidR="00062FE0">
        <w:rPr>
          <w:lang w:val="es-ES"/>
        </w:rPr>
        <w:t xml:space="preserve"> a fin de someterlo a examen del Comité</w:t>
      </w:r>
      <w:r w:rsidR="001B4552" w:rsidRPr="00812CB2">
        <w:rPr>
          <w:lang w:val="es-ES"/>
        </w:rPr>
        <w:t>.</w:t>
      </w:r>
      <w:r w:rsidR="00985A7A" w:rsidRPr="00812CB2">
        <w:rPr>
          <w:lang w:val="es-ES"/>
        </w:rPr>
        <w:t xml:space="preserve"> </w:t>
      </w:r>
      <w:r w:rsidR="005767CD" w:rsidRPr="00812CB2">
        <w:rPr>
          <w:lang w:val="es-ES"/>
        </w:rPr>
        <w:t>El informe abarcará las cuatro esferas principales que se han tratado (bibliotecas, archivos, museos e instituciones docentes y de investigación) y reflejará el análisis y las propuestas en esos cuatro ámbitos presentados por los profesionales</w:t>
      </w:r>
      <w:r w:rsidR="00CB67F0">
        <w:rPr>
          <w:lang w:val="es-ES"/>
        </w:rPr>
        <w:t xml:space="preserve"> y</w:t>
      </w:r>
      <w:r w:rsidR="005767CD" w:rsidRPr="00812CB2">
        <w:rPr>
          <w:lang w:val="es-ES"/>
        </w:rPr>
        <w:t xml:space="preserve"> expertos de todo el mundo</w:t>
      </w:r>
      <w:r w:rsidR="00CB67F0">
        <w:rPr>
          <w:lang w:val="es-ES"/>
        </w:rPr>
        <w:t xml:space="preserve">, así como por los </w:t>
      </w:r>
      <w:r w:rsidR="00CB67F0" w:rsidRPr="00812CB2">
        <w:rPr>
          <w:lang w:val="es-ES"/>
        </w:rPr>
        <w:t>Estados miembros</w:t>
      </w:r>
      <w:r w:rsidR="00CB67F0">
        <w:rPr>
          <w:lang w:val="es-ES"/>
        </w:rPr>
        <w:t>,</w:t>
      </w:r>
      <w:r w:rsidR="005767CD" w:rsidRPr="00812CB2">
        <w:rPr>
          <w:lang w:val="es-ES"/>
        </w:rPr>
        <w:t xml:space="preserve"> que se han reunido durante el proceso.</w:t>
      </w:r>
      <w:r w:rsidR="00985A7A" w:rsidRPr="00812CB2">
        <w:rPr>
          <w:lang w:val="es-ES"/>
        </w:rPr>
        <w:t xml:space="preserve"> </w:t>
      </w:r>
      <w:r w:rsidR="005767CD" w:rsidRPr="00812CB2">
        <w:rPr>
          <w:lang w:val="es-ES"/>
        </w:rPr>
        <w:t xml:space="preserve">En el informe también se incluirán los puntos destacados </w:t>
      </w:r>
      <w:r w:rsidR="00062FE0">
        <w:rPr>
          <w:lang w:val="es-ES"/>
        </w:rPr>
        <w:t xml:space="preserve">y los comentarios formulados </w:t>
      </w:r>
      <w:r w:rsidR="005767CD" w:rsidRPr="00812CB2">
        <w:rPr>
          <w:lang w:val="es-ES"/>
        </w:rPr>
        <w:t>al final de la Conferencia sobre el camino a seguir.</w:t>
      </w:r>
      <w:r w:rsidR="00985A7A" w:rsidRPr="00812CB2">
        <w:rPr>
          <w:lang w:val="es-ES"/>
        </w:rPr>
        <w:t xml:space="preserve"> El informe se publicará </w:t>
      </w:r>
      <w:r w:rsidR="00062FE0">
        <w:rPr>
          <w:lang w:val="es-ES"/>
        </w:rPr>
        <w:t xml:space="preserve">en todos los idiomas lo antes posible, pero al menos </w:t>
      </w:r>
      <w:r w:rsidR="00985A7A" w:rsidRPr="00812CB2">
        <w:rPr>
          <w:lang w:val="es-ES"/>
        </w:rPr>
        <w:t xml:space="preserve">dos meses antes de la </w:t>
      </w:r>
      <w:r w:rsidR="00BB2912" w:rsidRPr="00812CB2">
        <w:rPr>
          <w:lang w:val="es-ES"/>
        </w:rPr>
        <w:t xml:space="preserve">40.ª </w:t>
      </w:r>
      <w:r w:rsidR="00985A7A" w:rsidRPr="00812CB2">
        <w:rPr>
          <w:lang w:val="es-ES"/>
        </w:rPr>
        <w:t>sesión del SCCR.</w:t>
      </w:r>
      <w:r w:rsidR="00062FE0">
        <w:rPr>
          <w:lang w:val="es-ES"/>
        </w:rPr>
        <w:t xml:space="preserve"> El Comité proseguirá los debates sobre el programa de trabajo futuro del SCCR en este punto del orden del día teniendo en cuenta la labor anterior del Comité y los documentos SCCR existentes, incluido el informe de los resultados de los tres seminarios regionales y la Conferencia Internacional, que concluyen la labor realizada en el marco de los planes de acción.</w:t>
      </w:r>
    </w:p>
    <w:p w:rsidR="0022205D" w:rsidRPr="00812CB2" w:rsidRDefault="0022205D" w:rsidP="003F1189">
      <w:pPr>
        <w:pStyle w:val="Default"/>
        <w:rPr>
          <w:color w:val="auto"/>
          <w:sz w:val="22"/>
          <w:szCs w:val="22"/>
          <w:lang w:val="es-ES"/>
        </w:rPr>
      </w:pPr>
    </w:p>
    <w:p w:rsidR="0022205D" w:rsidRPr="00812CB2" w:rsidRDefault="00253316" w:rsidP="00253316">
      <w:pPr>
        <w:pStyle w:val="ListParagraph"/>
        <w:numPr>
          <w:ilvl w:val="0"/>
          <w:numId w:val="16"/>
        </w:numPr>
        <w:rPr>
          <w:szCs w:val="22"/>
          <w:lang w:val="es-ES"/>
        </w:rPr>
      </w:pPr>
      <w:r w:rsidRPr="00812CB2">
        <w:rPr>
          <w:szCs w:val="22"/>
          <w:lang w:val="es-ES"/>
        </w:rPr>
        <w:t>Este punto se mantendrá en el orden del día de la cuadragésima sesión del SCCR.</w:t>
      </w:r>
    </w:p>
    <w:p w:rsidR="0022205D" w:rsidRPr="00812CB2" w:rsidRDefault="0022205D" w:rsidP="003F1189">
      <w:pPr>
        <w:rPr>
          <w:szCs w:val="22"/>
          <w:lang w:val="es-ES"/>
        </w:rPr>
      </w:pPr>
    </w:p>
    <w:p w:rsidR="0022205D" w:rsidRPr="00B912D8" w:rsidRDefault="0022205D" w:rsidP="003F1189">
      <w:pPr>
        <w:rPr>
          <w:caps/>
          <w:szCs w:val="22"/>
          <w:lang w:val="es-ES"/>
        </w:rPr>
      </w:pPr>
    </w:p>
    <w:p w:rsidR="0022205D" w:rsidRPr="00812CB2" w:rsidRDefault="00E919A8" w:rsidP="00B912D8">
      <w:pPr>
        <w:pStyle w:val="Heading1"/>
        <w:rPr>
          <w:lang w:val="es-ES"/>
        </w:rPr>
      </w:pPr>
      <w:r w:rsidRPr="00812CB2">
        <w:rPr>
          <w:lang w:val="es-ES"/>
        </w:rPr>
        <w:t>PUNTO 6 DEL ORDEN DEL DÍA: LIMITACIONES y excepciones para instituciones docentes y de investigación y para personas con otras discapacidades</w:t>
      </w:r>
    </w:p>
    <w:p w:rsidR="0022205D" w:rsidRPr="00812CB2" w:rsidRDefault="0022205D" w:rsidP="003F1189">
      <w:pPr>
        <w:rPr>
          <w:szCs w:val="22"/>
          <w:lang w:val="es-ES"/>
        </w:rPr>
      </w:pPr>
    </w:p>
    <w:p w:rsidR="0022205D" w:rsidRPr="00812CB2" w:rsidRDefault="00253316" w:rsidP="00253316">
      <w:pPr>
        <w:pStyle w:val="ListParagraph"/>
        <w:numPr>
          <w:ilvl w:val="0"/>
          <w:numId w:val="16"/>
        </w:numPr>
        <w:rPr>
          <w:szCs w:val="22"/>
          <w:lang w:val="es-ES"/>
        </w:rPr>
      </w:pPr>
      <w:r w:rsidRPr="00812CB2">
        <w:rPr>
          <w:szCs w:val="22"/>
          <w:lang w:val="es-ES"/>
        </w:rPr>
        <w:t>Los documentos relacionados con este punto del orden del día son: SCCR/26/4 PROV., SCCR/27/8, SCCR/32/4, SCCR/33/4, SCCR/33/6, SCCR/34/6, SCCR/35/3, SCCR/35/5 REV., SCCR/35/9, SCCR/36/3, SCCR/36/7, SCCR/38/3, SCCR/38/8, SCCR/38/9 y SCCR/39/6.</w:t>
      </w:r>
    </w:p>
    <w:p w:rsidR="0022205D" w:rsidRPr="00812CB2" w:rsidRDefault="0022205D" w:rsidP="003F1189">
      <w:pPr>
        <w:pStyle w:val="Default"/>
        <w:rPr>
          <w:sz w:val="22"/>
          <w:szCs w:val="22"/>
          <w:highlight w:val="lightGray"/>
          <w:lang w:val="es-ES"/>
        </w:rPr>
      </w:pPr>
    </w:p>
    <w:p w:rsidR="0022205D" w:rsidRPr="00812CB2" w:rsidRDefault="00AD06D3" w:rsidP="00AD06D3">
      <w:pPr>
        <w:pStyle w:val="ListParagraph"/>
        <w:numPr>
          <w:ilvl w:val="0"/>
          <w:numId w:val="16"/>
        </w:numPr>
        <w:rPr>
          <w:szCs w:val="22"/>
          <w:lang w:val="es-ES"/>
        </w:rPr>
      </w:pPr>
      <w:r w:rsidRPr="00812CB2">
        <w:rPr>
          <w:szCs w:val="22"/>
          <w:lang w:val="es-ES"/>
        </w:rPr>
        <w:t>El Comité acogió con agrado el informe del documento SCCR/39/6, titulado “</w:t>
      </w:r>
      <w:r w:rsidRPr="00CB67F0">
        <w:rPr>
          <w:i/>
          <w:szCs w:val="22"/>
          <w:lang w:val="es-ES"/>
        </w:rPr>
        <w:t>Informe sobre prácticas y retos en relación con actividades de educación a distancia y de investigación en línea</w:t>
      </w:r>
      <w:r w:rsidRPr="00812CB2">
        <w:rPr>
          <w:szCs w:val="22"/>
          <w:lang w:val="es-ES"/>
        </w:rPr>
        <w:t xml:space="preserve">” (punto 2.a) del </w:t>
      </w:r>
      <w:r w:rsidRPr="00CB67F0">
        <w:rPr>
          <w:i/>
          <w:szCs w:val="22"/>
          <w:lang w:val="es-ES"/>
        </w:rPr>
        <w:t>Plan de acción para instituciones docentes y de investigación y personas con otras discapacidades</w:t>
      </w:r>
      <w:r w:rsidRPr="00812CB2">
        <w:rPr>
          <w:szCs w:val="22"/>
          <w:lang w:val="es-ES"/>
        </w:rPr>
        <w:t>, que figura en el documento SCCR/36/7) y presentado por la profesora Raquel Xalabarder y la Sra. Mónica Torres, y participó en una ronda de preguntas y respuestas con la profesora Xalabarder y la Sra. Torres.</w:t>
      </w:r>
    </w:p>
    <w:p w:rsidR="0022205D" w:rsidRPr="00812CB2" w:rsidRDefault="0022205D" w:rsidP="00AD06D3">
      <w:pPr>
        <w:rPr>
          <w:szCs w:val="22"/>
          <w:lang w:val="es-ES"/>
        </w:rPr>
      </w:pPr>
    </w:p>
    <w:p w:rsidR="0022205D" w:rsidRPr="00812CB2" w:rsidRDefault="00260D08" w:rsidP="00235CFF">
      <w:pPr>
        <w:pStyle w:val="ListParagraph"/>
        <w:numPr>
          <w:ilvl w:val="0"/>
          <w:numId w:val="16"/>
        </w:numPr>
        <w:rPr>
          <w:szCs w:val="22"/>
          <w:lang w:val="es-ES"/>
        </w:rPr>
      </w:pPr>
      <w:r w:rsidRPr="00812CB2">
        <w:rPr>
          <w:szCs w:val="22"/>
          <w:lang w:val="es-ES"/>
        </w:rPr>
        <w:t xml:space="preserve">La Secretaría informó acerca de los tres seminarios regionales celebrados en Singapur, Nairobi y Santo Domingo con arreglo al </w:t>
      </w:r>
      <w:r w:rsidRPr="00812CB2">
        <w:rPr>
          <w:i/>
          <w:szCs w:val="22"/>
          <w:lang w:val="es-ES"/>
        </w:rPr>
        <w:t>Plan de acción para bibliotecas, archivos y museos</w:t>
      </w:r>
      <w:r w:rsidRPr="00812CB2">
        <w:rPr>
          <w:szCs w:val="22"/>
          <w:lang w:val="es-ES"/>
        </w:rPr>
        <w:t xml:space="preserve"> (punto 5) y el </w:t>
      </w:r>
      <w:r w:rsidRPr="00812CB2">
        <w:rPr>
          <w:i/>
          <w:szCs w:val="22"/>
          <w:lang w:val="es-ES"/>
        </w:rPr>
        <w:t xml:space="preserve">Plan de acción para instituciones docentes y de investigación y personas con otras discapacidades </w:t>
      </w:r>
      <w:r w:rsidRPr="00812CB2">
        <w:rPr>
          <w:szCs w:val="22"/>
          <w:lang w:val="es-ES"/>
        </w:rPr>
        <w:t>(punto 3) (documento SCCR/36/7):</w:t>
      </w:r>
      <w:r w:rsidR="00F61971" w:rsidRPr="00812CB2">
        <w:rPr>
          <w:szCs w:val="22"/>
          <w:lang w:val="es-ES"/>
        </w:rPr>
        <w:t xml:space="preserve"> </w:t>
      </w:r>
      <w:r w:rsidRPr="00812CB2">
        <w:rPr>
          <w:i/>
          <w:szCs w:val="22"/>
          <w:lang w:val="es-ES"/>
        </w:rPr>
        <w:t>Seminario regional para el Grupo de Asia y el Pacífico sobre bibliotecas, archivos, museos e instituciones docentes y de investigación en el ámbito del derecho de autor</w:t>
      </w:r>
      <w:r w:rsidRPr="00812CB2">
        <w:rPr>
          <w:szCs w:val="22"/>
          <w:lang w:val="es-ES"/>
        </w:rPr>
        <w:t xml:space="preserve"> (29 y 30 de abril);</w:t>
      </w:r>
      <w:r w:rsidR="00634B4C" w:rsidRPr="00812CB2">
        <w:rPr>
          <w:i/>
          <w:szCs w:val="22"/>
          <w:lang w:val="es-ES"/>
        </w:rPr>
        <w:t xml:space="preserve"> </w:t>
      </w:r>
      <w:r w:rsidRPr="00812CB2">
        <w:rPr>
          <w:i/>
          <w:szCs w:val="22"/>
          <w:lang w:val="es-ES"/>
        </w:rPr>
        <w:t xml:space="preserve">Seminario regional para </w:t>
      </w:r>
      <w:r w:rsidRPr="00812CB2">
        <w:rPr>
          <w:i/>
          <w:szCs w:val="22"/>
          <w:lang w:val="es-ES"/>
        </w:rPr>
        <w:lastRenderedPageBreak/>
        <w:t>el Grupo Africano sobre bibliotecas, archivos, museos e instituciones docentes y de investigación en el ámbito del derecho de autor</w:t>
      </w:r>
      <w:r w:rsidRPr="00812CB2">
        <w:rPr>
          <w:szCs w:val="22"/>
          <w:lang w:val="es-ES"/>
        </w:rPr>
        <w:t xml:space="preserve"> (12 y 13 de junio);</w:t>
      </w:r>
      <w:r w:rsidR="00634B4C" w:rsidRPr="00812CB2">
        <w:rPr>
          <w:i/>
          <w:szCs w:val="22"/>
          <w:lang w:val="es-ES"/>
        </w:rPr>
        <w:t xml:space="preserve"> </w:t>
      </w:r>
      <w:r w:rsidRPr="00812CB2">
        <w:rPr>
          <w:i/>
          <w:szCs w:val="22"/>
          <w:lang w:val="es-ES"/>
        </w:rPr>
        <w:t>Seminario regional para el Grupo de América Latina y el Caribe sobre bibliotecas, archivos, museos e instituciones docentes y de investigación en el ámbito del derecho de autor</w:t>
      </w:r>
      <w:r w:rsidRPr="00812CB2">
        <w:rPr>
          <w:szCs w:val="22"/>
          <w:lang w:val="es-ES"/>
        </w:rPr>
        <w:t xml:space="preserve"> (4 y 5 de julio).</w:t>
      </w:r>
      <w:r w:rsidR="00F61971" w:rsidRPr="00812CB2">
        <w:rPr>
          <w:szCs w:val="22"/>
          <w:lang w:val="es-ES"/>
        </w:rPr>
        <w:t xml:space="preserve"> </w:t>
      </w:r>
      <w:r w:rsidRPr="00812CB2">
        <w:rPr>
          <w:szCs w:val="22"/>
          <w:lang w:val="es-ES"/>
        </w:rPr>
        <w:t xml:space="preserve">Los presidentes y relatores de los grupos de trabajo de los seminarios regionales informaron sobre los debates mantenidos en sus grupos, y los representantes de los países anfitriones también expusieron </w:t>
      </w:r>
      <w:r w:rsidR="00260D8F">
        <w:rPr>
          <w:szCs w:val="22"/>
          <w:lang w:val="es-ES"/>
        </w:rPr>
        <w:t>sus opiniones sobre</w:t>
      </w:r>
      <w:r w:rsidRPr="00812CB2">
        <w:rPr>
          <w:szCs w:val="22"/>
          <w:lang w:val="es-ES"/>
        </w:rPr>
        <w:t xml:space="preserve"> los seminarios.</w:t>
      </w:r>
      <w:r w:rsidR="00634B4C" w:rsidRPr="00812CB2">
        <w:rPr>
          <w:szCs w:val="22"/>
          <w:lang w:val="es-ES"/>
        </w:rPr>
        <w:t xml:space="preserve"> </w:t>
      </w:r>
    </w:p>
    <w:p w:rsidR="0022205D" w:rsidRPr="00211ABD" w:rsidRDefault="0022205D" w:rsidP="00211ABD">
      <w:pPr>
        <w:rPr>
          <w:szCs w:val="22"/>
          <w:lang w:val="es-ES"/>
        </w:rPr>
      </w:pPr>
    </w:p>
    <w:p w:rsidR="0022205D" w:rsidRPr="00812CB2" w:rsidRDefault="00260D08" w:rsidP="00260D08">
      <w:pPr>
        <w:pStyle w:val="ListParagraph"/>
        <w:numPr>
          <w:ilvl w:val="0"/>
          <w:numId w:val="16"/>
        </w:numPr>
        <w:rPr>
          <w:szCs w:val="22"/>
          <w:lang w:val="es-ES"/>
        </w:rPr>
      </w:pPr>
      <w:r w:rsidRPr="00812CB2">
        <w:rPr>
          <w:szCs w:val="22"/>
          <w:lang w:val="es-ES"/>
        </w:rPr>
        <w:t xml:space="preserve">La Secretaría describió la </w:t>
      </w:r>
      <w:r w:rsidRPr="00812CB2">
        <w:rPr>
          <w:i/>
          <w:szCs w:val="22"/>
          <w:lang w:val="es-ES"/>
        </w:rPr>
        <w:t>Conferencia Internacional sobre Limitaciones y Excepciones de Derecho de Autor para Bibliotecas, Archivos, Museos e Instituciones Docentes y de Investigación</w:t>
      </w:r>
      <w:r w:rsidRPr="00812CB2">
        <w:rPr>
          <w:szCs w:val="22"/>
          <w:lang w:val="es-ES"/>
        </w:rPr>
        <w:t xml:space="preserve">, celebrada los días 18 y 19 de octubre en Ginebra, de conformidad con el </w:t>
      </w:r>
      <w:r w:rsidRPr="00812CB2">
        <w:rPr>
          <w:i/>
          <w:szCs w:val="22"/>
          <w:lang w:val="es-ES"/>
        </w:rPr>
        <w:t>Plan de acción para bibliotecas, archivos y museos</w:t>
      </w:r>
      <w:r w:rsidRPr="00812CB2">
        <w:rPr>
          <w:szCs w:val="22"/>
          <w:lang w:val="es-ES"/>
        </w:rPr>
        <w:t xml:space="preserve"> (punto 6) y el </w:t>
      </w:r>
      <w:r w:rsidRPr="00812CB2">
        <w:rPr>
          <w:i/>
          <w:szCs w:val="22"/>
          <w:lang w:val="es-ES"/>
        </w:rPr>
        <w:t>Plan de acción para instituciones docentes y de investigación y personas con otras discapacidades</w:t>
      </w:r>
      <w:r w:rsidRPr="00812CB2">
        <w:rPr>
          <w:szCs w:val="22"/>
          <w:lang w:val="es-ES"/>
        </w:rPr>
        <w:t xml:space="preserve"> (punto 4) (documento SCCR/36/7), e </w:t>
      </w:r>
      <w:r w:rsidR="00260D8F" w:rsidRPr="00812CB2">
        <w:rPr>
          <w:szCs w:val="22"/>
          <w:lang w:val="es-ES"/>
        </w:rPr>
        <w:t xml:space="preserve">informó sobre los debates mantenidos en </w:t>
      </w:r>
      <w:r w:rsidR="00260D8F">
        <w:rPr>
          <w:szCs w:val="22"/>
          <w:lang w:val="es-ES"/>
        </w:rPr>
        <w:t>el último debate en grupo de la Conferencia Internacional</w:t>
      </w:r>
      <w:r w:rsidRPr="00812CB2">
        <w:rPr>
          <w:szCs w:val="22"/>
          <w:lang w:val="es-ES"/>
        </w:rPr>
        <w:t>.</w:t>
      </w:r>
    </w:p>
    <w:p w:rsidR="0022205D" w:rsidRPr="00812CB2" w:rsidRDefault="0022205D" w:rsidP="003C2624">
      <w:pPr>
        <w:rPr>
          <w:szCs w:val="22"/>
          <w:lang w:val="es-ES"/>
        </w:rPr>
      </w:pPr>
    </w:p>
    <w:p w:rsidR="00CB67F0" w:rsidRPr="00812CB2" w:rsidRDefault="00F52B03" w:rsidP="00CB67F0">
      <w:pPr>
        <w:pStyle w:val="ListParagraph"/>
        <w:numPr>
          <w:ilvl w:val="0"/>
          <w:numId w:val="16"/>
        </w:numPr>
        <w:rPr>
          <w:szCs w:val="22"/>
          <w:lang w:val="es-ES"/>
        </w:rPr>
      </w:pPr>
      <w:r>
        <w:rPr>
          <w:rFonts w:eastAsia="Times New Roman"/>
          <w:szCs w:val="22"/>
          <w:lang w:val="es-ES" w:eastAsia="fr-FR"/>
        </w:rPr>
        <w:t>Las próxima</w:t>
      </w:r>
      <w:r w:rsidR="00CB67F0" w:rsidRPr="00812CB2">
        <w:rPr>
          <w:rFonts w:eastAsia="Times New Roman"/>
          <w:szCs w:val="22"/>
          <w:lang w:val="es-ES" w:eastAsia="fr-FR"/>
        </w:rPr>
        <w:t xml:space="preserve">s </w:t>
      </w:r>
      <w:r>
        <w:rPr>
          <w:rFonts w:eastAsia="Times New Roman"/>
          <w:szCs w:val="22"/>
          <w:lang w:val="es-ES" w:eastAsia="fr-FR"/>
        </w:rPr>
        <w:t>etapas</w:t>
      </w:r>
      <w:r w:rsidR="00CB67F0" w:rsidRPr="00812CB2">
        <w:rPr>
          <w:rFonts w:eastAsia="Times New Roman"/>
          <w:szCs w:val="22"/>
          <w:lang w:val="es-ES" w:eastAsia="fr-FR"/>
        </w:rPr>
        <w:t xml:space="preserve"> en relación con los puntos 5 y 6 del orden del día</w:t>
      </w:r>
      <w:r w:rsidR="00CB67F0" w:rsidRPr="0084206D">
        <w:rPr>
          <w:rFonts w:eastAsia="Times New Roman"/>
          <w:szCs w:val="22"/>
          <w:lang w:val="es-ES" w:eastAsia="fr-FR"/>
        </w:rPr>
        <w:t xml:space="preserve"> </w:t>
      </w:r>
      <w:r w:rsidR="00CB67F0" w:rsidRPr="00812CB2">
        <w:rPr>
          <w:rFonts w:eastAsia="Times New Roman"/>
          <w:szCs w:val="22"/>
          <w:lang w:val="es-ES" w:eastAsia="fr-FR"/>
        </w:rPr>
        <w:t>se debatieron</w:t>
      </w:r>
      <w:r w:rsidR="00CB67F0" w:rsidRPr="0084206D">
        <w:rPr>
          <w:rFonts w:eastAsia="Times New Roman"/>
          <w:szCs w:val="22"/>
          <w:lang w:val="es-ES" w:eastAsia="fr-FR"/>
        </w:rPr>
        <w:t xml:space="preserve"> </w:t>
      </w:r>
      <w:r w:rsidR="00CB67F0" w:rsidRPr="00812CB2">
        <w:rPr>
          <w:rFonts w:eastAsia="Times New Roman"/>
          <w:szCs w:val="22"/>
          <w:lang w:val="es-ES" w:eastAsia="fr-FR"/>
        </w:rPr>
        <w:t>en sesiones oficiosas del Comité.</w:t>
      </w:r>
    </w:p>
    <w:p w:rsidR="0022205D" w:rsidRPr="00812CB2" w:rsidRDefault="0022205D" w:rsidP="003C2624">
      <w:pPr>
        <w:rPr>
          <w:szCs w:val="22"/>
          <w:lang w:val="es-ES"/>
        </w:rPr>
      </w:pPr>
    </w:p>
    <w:p w:rsidR="0022205D" w:rsidRPr="00812CB2" w:rsidRDefault="00CA69F6" w:rsidP="00312CFA">
      <w:pPr>
        <w:pStyle w:val="ListParagraph"/>
        <w:numPr>
          <w:ilvl w:val="0"/>
          <w:numId w:val="16"/>
        </w:numPr>
        <w:rPr>
          <w:szCs w:val="22"/>
          <w:lang w:val="es-ES"/>
        </w:rPr>
      </w:pPr>
      <w:r>
        <w:rPr>
          <w:lang w:val="es-ES"/>
        </w:rPr>
        <w:t>L</w:t>
      </w:r>
      <w:r w:rsidRPr="00812CB2">
        <w:rPr>
          <w:lang w:val="es-ES"/>
        </w:rPr>
        <w:t xml:space="preserve">a Secretaría </w:t>
      </w:r>
      <w:r>
        <w:rPr>
          <w:lang w:val="es-ES"/>
        </w:rPr>
        <w:t>preparará</w:t>
      </w:r>
      <w:r w:rsidRPr="00812CB2">
        <w:rPr>
          <w:lang w:val="es-ES"/>
        </w:rPr>
        <w:t xml:space="preserve"> un informe </w:t>
      </w:r>
      <w:r>
        <w:rPr>
          <w:lang w:val="es-ES"/>
        </w:rPr>
        <w:t>fáctico</w:t>
      </w:r>
      <w:r w:rsidRPr="00812CB2">
        <w:rPr>
          <w:lang w:val="es-ES"/>
        </w:rPr>
        <w:t xml:space="preserve"> con los resultados de los tres seminarios regionales y la Conferencia Internacional</w:t>
      </w:r>
      <w:r>
        <w:rPr>
          <w:lang w:val="es-ES"/>
        </w:rPr>
        <w:t xml:space="preserve"> a fin de someterlo a examen del Comité</w:t>
      </w:r>
      <w:r w:rsidRPr="00812CB2">
        <w:rPr>
          <w:lang w:val="es-ES"/>
        </w:rPr>
        <w:t>.</w:t>
      </w:r>
      <w:r w:rsidR="00E16378">
        <w:rPr>
          <w:lang w:val="es-ES"/>
        </w:rPr>
        <w:t xml:space="preserve"> </w:t>
      </w:r>
      <w:r w:rsidR="00312CFA" w:rsidRPr="00812CB2">
        <w:rPr>
          <w:lang w:val="es-ES"/>
        </w:rPr>
        <w:t xml:space="preserve">El informe abarcará las cuatro esferas principales que se han tratado (bibliotecas, archivos, museos e instituciones docentes y de investigación) y reflejará el análisis y las propuestas en esos cuatro ámbitos </w:t>
      </w:r>
      <w:r w:rsidR="00CB67F0" w:rsidRPr="00812CB2">
        <w:rPr>
          <w:lang w:val="es-ES"/>
        </w:rPr>
        <w:t>presentados por los profesionales</w:t>
      </w:r>
      <w:r w:rsidR="00CB67F0">
        <w:rPr>
          <w:lang w:val="es-ES"/>
        </w:rPr>
        <w:t xml:space="preserve"> y</w:t>
      </w:r>
      <w:r w:rsidR="00CB67F0" w:rsidRPr="00812CB2">
        <w:rPr>
          <w:lang w:val="es-ES"/>
        </w:rPr>
        <w:t xml:space="preserve"> expertos de todo el mundo</w:t>
      </w:r>
      <w:r w:rsidR="00CB67F0">
        <w:rPr>
          <w:lang w:val="es-ES"/>
        </w:rPr>
        <w:t xml:space="preserve">, así como por los </w:t>
      </w:r>
      <w:r w:rsidR="00CB67F0" w:rsidRPr="00812CB2">
        <w:rPr>
          <w:lang w:val="es-ES"/>
        </w:rPr>
        <w:t>Estados miembros</w:t>
      </w:r>
      <w:r w:rsidR="00CB67F0">
        <w:rPr>
          <w:lang w:val="es-ES"/>
        </w:rPr>
        <w:t>,</w:t>
      </w:r>
      <w:r w:rsidR="00CB67F0" w:rsidRPr="00812CB2">
        <w:rPr>
          <w:lang w:val="es-ES"/>
        </w:rPr>
        <w:t xml:space="preserve"> que se han reunido durante el proceso</w:t>
      </w:r>
      <w:r w:rsidR="00312CFA" w:rsidRPr="00812CB2">
        <w:rPr>
          <w:lang w:val="es-ES"/>
        </w:rPr>
        <w:t>.</w:t>
      </w:r>
      <w:r w:rsidR="00985A7A" w:rsidRPr="00812CB2">
        <w:rPr>
          <w:lang w:val="es-ES"/>
        </w:rPr>
        <w:t xml:space="preserve"> </w:t>
      </w:r>
      <w:r w:rsidR="00312CFA" w:rsidRPr="00812CB2">
        <w:rPr>
          <w:lang w:val="es-ES"/>
        </w:rPr>
        <w:t xml:space="preserve">En el informe también se incluirán los puntos destacados </w:t>
      </w:r>
      <w:r>
        <w:rPr>
          <w:lang w:val="es-ES"/>
        </w:rPr>
        <w:t xml:space="preserve">y los comentarios formulados </w:t>
      </w:r>
      <w:r w:rsidR="00312CFA" w:rsidRPr="00812CB2">
        <w:rPr>
          <w:lang w:val="es-ES"/>
        </w:rPr>
        <w:t>al final de la Conferencia sobre el camino a seguir.</w:t>
      </w:r>
      <w:r w:rsidR="00985A7A" w:rsidRPr="00812CB2">
        <w:rPr>
          <w:lang w:val="es-ES"/>
        </w:rPr>
        <w:t xml:space="preserve"> </w:t>
      </w:r>
      <w:r w:rsidRPr="00812CB2">
        <w:rPr>
          <w:lang w:val="es-ES"/>
        </w:rPr>
        <w:t xml:space="preserve">El informe se publicará </w:t>
      </w:r>
      <w:r>
        <w:rPr>
          <w:lang w:val="es-ES"/>
        </w:rPr>
        <w:t xml:space="preserve">en todos los idiomas lo antes posible, pero al menos </w:t>
      </w:r>
      <w:r w:rsidRPr="00812CB2">
        <w:rPr>
          <w:lang w:val="es-ES"/>
        </w:rPr>
        <w:t>dos meses antes de la 40.ª sesión del SCCR.</w:t>
      </w:r>
      <w:r>
        <w:rPr>
          <w:lang w:val="es-ES"/>
        </w:rPr>
        <w:t xml:space="preserve"> El Comité proseguirá los debates sobre el programa de trabajo futuro del SCCR en este punto del orden del día teniendo en cuenta la labor anterior del Comité y los documentos SCCR existentes, incluido el informe de los resultados de los tres seminarios regionales y la Conferencia Internacional, que concluyen la labor realizada en el marco de los planes de acción.</w:t>
      </w:r>
    </w:p>
    <w:p w:rsidR="0022205D" w:rsidRPr="00812CB2" w:rsidRDefault="0022205D" w:rsidP="003F1189">
      <w:pPr>
        <w:pStyle w:val="Default"/>
        <w:rPr>
          <w:sz w:val="22"/>
          <w:szCs w:val="22"/>
          <w:highlight w:val="lightGray"/>
          <w:lang w:val="es-ES"/>
        </w:rPr>
      </w:pPr>
    </w:p>
    <w:p w:rsidR="0022205D" w:rsidRPr="00812CB2" w:rsidRDefault="00A54A77" w:rsidP="00A54A77">
      <w:pPr>
        <w:pStyle w:val="ListParagraph"/>
        <w:numPr>
          <w:ilvl w:val="0"/>
          <w:numId w:val="16"/>
        </w:numPr>
        <w:rPr>
          <w:szCs w:val="22"/>
          <w:lang w:val="es-ES"/>
        </w:rPr>
      </w:pPr>
      <w:r w:rsidRPr="00812CB2">
        <w:rPr>
          <w:szCs w:val="22"/>
          <w:lang w:val="es-ES"/>
        </w:rPr>
        <w:t>Este punto se mantendrá en el orden del día de la cuadragésima sesión del SCCR.</w:t>
      </w:r>
    </w:p>
    <w:p w:rsidR="0022205D" w:rsidRPr="00B912D8" w:rsidRDefault="0022205D" w:rsidP="006A1CD5">
      <w:pPr>
        <w:rPr>
          <w:caps/>
          <w:szCs w:val="22"/>
          <w:lang w:val="es-ES"/>
        </w:rPr>
      </w:pPr>
    </w:p>
    <w:p w:rsidR="0022205D" w:rsidRPr="00B912D8" w:rsidRDefault="0022205D" w:rsidP="006A1CD5">
      <w:pPr>
        <w:rPr>
          <w:caps/>
          <w:szCs w:val="22"/>
          <w:lang w:val="es-ES"/>
        </w:rPr>
      </w:pPr>
    </w:p>
    <w:p w:rsidR="0022205D" w:rsidRPr="00812CB2" w:rsidRDefault="00E919A8" w:rsidP="00B912D8">
      <w:pPr>
        <w:pStyle w:val="Heading1"/>
        <w:rPr>
          <w:lang w:val="es-ES"/>
        </w:rPr>
      </w:pPr>
      <w:r w:rsidRPr="00812CB2">
        <w:rPr>
          <w:lang w:val="es-ES"/>
        </w:rPr>
        <w:t>PUNTO 7 DEL ORDEN DEL DÍA: PROTECCIÓN DE LOS ORGANISMOS DE RADIODIFUSIÓN</w:t>
      </w:r>
    </w:p>
    <w:p w:rsidR="0022205D" w:rsidRPr="00B912D8" w:rsidRDefault="0022205D" w:rsidP="00DA1C96">
      <w:pPr>
        <w:pStyle w:val="Default"/>
        <w:rPr>
          <w:rFonts w:eastAsia="SimSun"/>
          <w:caps/>
          <w:color w:val="auto"/>
          <w:sz w:val="22"/>
          <w:szCs w:val="22"/>
          <w:lang w:val="es-ES" w:eastAsia="zh-CN"/>
        </w:rPr>
      </w:pPr>
    </w:p>
    <w:p w:rsidR="0022205D" w:rsidRPr="00812CB2" w:rsidRDefault="00A54A77" w:rsidP="00A54A77">
      <w:pPr>
        <w:pStyle w:val="ListParagraph"/>
        <w:numPr>
          <w:ilvl w:val="0"/>
          <w:numId w:val="16"/>
        </w:numPr>
        <w:rPr>
          <w:szCs w:val="22"/>
          <w:lang w:val="es-ES"/>
        </w:rPr>
      </w:pPr>
      <w:r w:rsidRPr="00812CB2">
        <w:rPr>
          <w:szCs w:val="22"/>
          <w:lang w:val="es-ES"/>
        </w:rPr>
        <w:t>Los documentos relacionados con este punto del orden del día son: SCCR/27/2 REV., SCCR/27/6, SCCR/30/5, SCCR/31/3, SCCR/32/3, SCCR/33/3, SCCR/33/5, SCCR/34/3, SCCR/34/4, SCCR/35/10, SCCR/35/12, SCCR/36/5, SCCR/36/6, SCCR/37/2, SCCR/37/7, SCCR/37/8, SCCR/38/10, SCCR/39/4 y SCCR/39/7, así como gráficos y documentos oficiosos preparados en reuniones anteriores.</w:t>
      </w:r>
    </w:p>
    <w:p w:rsidR="0022205D" w:rsidRPr="00812CB2" w:rsidRDefault="0022205D" w:rsidP="00F2764D">
      <w:pPr>
        <w:pStyle w:val="Default"/>
        <w:rPr>
          <w:color w:val="auto"/>
          <w:sz w:val="22"/>
          <w:szCs w:val="22"/>
          <w:lang w:val="es-ES"/>
        </w:rPr>
      </w:pPr>
    </w:p>
    <w:p w:rsidR="0022205D" w:rsidRPr="00812CB2" w:rsidRDefault="00A54A77" w:rsidP="009469B2">
      <w:pPr>
        <w:pStyle w:val="ListParagraph"/>
        <w:numPr>
          <w:ilvl w:val="0"/>
          <w:numId w:val="16"/>
        </w:numPr>
        <w:rPr>
          <w:rFonts w:eastAsia="Times New Roman"/>
          <w:szCs w:val="22"/>
          <w:lang w:val="es-ES" w:eastAsia="fr-FR"/>
        </w:rPr>
      </w:pPr>
      <w:r w:rsidRPr="00812CB2">
        <w:rPr>
          <w:rFonts w:eastAsia="Times New Roman"/>
          <w:szCs w:val="22"/>
          <w:lang w:val="es-ES" w:eastAsia="fr-FR"/>
        </w:rPr>
        <w:t xml:space="preserve">El Comité </w:t>
      </w:r>
      <w:r w:rsidR="00BA7C4E">
        <w:rPr>
          <w:rFonts w:eastAsia="Times New Roman"/>
          <w:szCs w:val="22"/>
          <w:lang w:val="es-ES" w:eastAsia="fr-FR"/>
        </w:rPr>
        <w:t>examinó</w:t>
      </w:r>
      <w:r w:rsidRPr="00812CB2">
        <w:rPr>
          <w:rFonts w:eastAsia="Times New Roman"/>
          <w:szCs w:val="22"/>
          <w:lang w:val="es-ES" w:eastAsia="fr-FR"/>
        </w:rPr>
        <w:t xml:space="preserve"> el documento SCCR/39/4, preparado por el presidente y titulado “</w:t>
      </w:r>
      <w:r w:rsidRPr="00812CB2">
        <w:rPr>
          <w:rFonts w:eastAsia="Times New Roman"/>
          <w:i/>
          <w:szCs w:val="22"/>
          <w:lang w:val="es-ES" w:eastAsia="fr-FR"/>
        </w:rPr>
        <w:t>Texto consolidado y revisado sobre las definiciones, el objeto de la protección, los derechos que han de concederse y otras cuestiones</w:t>
      </w:r>
      <w:r w:rsidRPr="00812CB2">
        <w:rPr>
          <w:rFonts w:eastAsia="Times New Roman"/>
          <w:szCs w:val="22"/>
          <w:lang w:val="es-ES" w:eastAsia="fr-FR"/>
        </w:rPr>
        <w:t>”.</w:t>
      </w:r>
      <w:r w:rsidR="00F61971" w:rsidRPr="00812CB2">
        <w:rPr>
          <w:rFonts w:eastAsia="Times New Roman"/>
          <w:szCs w:val="22"/>
          <w:lang w:val="es-ES" w:eastAsia="fr-FR"/>
        </w:rPr>
        <w:t xml:space="preserve"> </w:t>
      </w:r>
      <w:r w:rsidR="009469B2" w:rsidRPr="00812CB2">
        <w:rPr>
          <w:rFonts w:eastAsia="Times New Roman"/>
          <w:szCs w:val="22"/>
          <w:lang w:val="es-ES" w:eastAsia="fr-FR"/>
        </w:rPr>
        <w:t xml:space="preserve">Además, el Comité tomó nota </w:t>
      </w:r>
      <w:r w:rsidR="00BA7C4E">
        <w:rPr>
          <w:rFonts w:eastAsia="Times New Roman"/>
          <w:szCs w:val="22"/>
          <w:lang w:val="es-ES" w:eastAsia="fr-FR"/>
        </w:rPr>
        <w:t xml:space="preserve">de los documentos, anteriormente examinados, </w:t>
      </w:r>
      <w:r w:rsidR="009469B2" w:rsidRPr="00812CB2">
        <w:rPr>
          <w:rFonts w:eastAsia="Times New Roman"/>
          <w:szCs w:val="22"/>
          <w:lang w:val="es-ES" w:eastAsia="fr-FR"/>
        </w:rPr>
        <w:t>SCCR/37/2, titulado “</w:t>
      </w:r>
      <w:r w:rsidR="009469B2" w:rsidRPr="00812CB2">
        <w:rPr>
          <w:rFonts w:eastAsia="Times New Roman"/>
          <w:i/>
          <w:szCs w:val="22"/>
          <w:lang w:val="es-ES" w:eastAsia="fr-FR"/>
        </w:rPr>
        <w:t>Propuesta de la delegación de la Argentina</w:t>
      </w:r>
      <w:r w:rsidR="009469B2" w:rsidRPr="00812CB2">
        <w:rPr>
          <w:rFonts w:eastAsia="Times New Roman"/>
          <w:szCs w:val="22"/>
          <w:lang w:val="es-ES" w:eastAsia="fr-FR"/>
        </w:rPr>
        <w:t>” y presentado por la delegación de la Argentina, y SCCR/37/7, titulado “</w:t>
      </w:r>
      <w:r w:rsidR="009469B2" w:rsidRPr="00812CB2">
        <w:rPr>
          <w:rFonts w:eastAsia="Times New Roman"/>
          <w:i/>
          <w:szCs w:val="22"/>
          <w:lang w:val="es-ES" w:eastAsia="fr-FR"/>
        </w:rPr>
        <w:t>Propuesta de los Estados Unidos de América sobre el alcance y el ejercicio de los derechos: proyecto de tratado de la OMPI sobre la protección de los organismos de radiodifusión</w:t>
      </w:r>
      <w:r w:rsidR="009469B2" w:rsidRPr="00812CB2">
        <w:rPr>
          <w:rFonts w:eastAsia="Times New Roman"/>
          <w:szCs w:val="22"/>
          <w:lang w:val="es-ES" w:eastAsia="fr-FR"/>
        </w:rPr>
        <w:t>” y presentado por la delegación de los Estados Unidos de América, así como de propuestas de textos presentadas por varias delegaciones durante los debates.</w:t>
      </w:r>
    </w:p>
    <w:p w:rsidR="0022205D" w:rsidRPr="00812CB2" w:rsidRDefault="0022205D" w:rsidP="006C4DEE">
      <w:pPr>
        <w:pStyle w:val="Default"/>
        <w:rPr>
          <w:rFonts w:eastAsia="Times New Roman"/>
          <w:sz w:val="22"/>
          <w:szCs w:val="22"/>
          <w:lang w:val="es-ES"/>
        </w:rPr>
      </w:pPr>
    </w:p>
    <w:p w:rsidR="0022205D" w:rsidRPr="00812CB2" w:rsidRDefault="009469B2" w:rsidP="009469B2">
      <w:pPr>
        <w:pStyle w:val="ListParagraph"/>
        <w:numPr>
          <w:ilvl w:val="0"/>
          <w:numId w:val="16"/>
        </w:numPr>
        <w:rPr>
          <w:rFonts w:eastAsia="Times New Roman"/>
          <w:szCs w:val="22"/>
          <w:lang w:val="es-ES" w:eastAsia="fr-FR"/>
        </w:rPr>
      </w:pPr>
      <w:r w:rsidRPr="00812CB2">
        <w:rPr>
          <w:rFonts w:eastAsia="Times New Roman"/>
          <w:szCs w:val="22"/>
          <w:lang w:val="es-ES" w:eastAsia="fr-FR"/>
        </w:rPr>
        <w:lastRenderedPageBreak/>
        <w:t>Los debates se celebraron en sesiones oficiosas del Comité.</w:t>
      </w:r>
      <w:r w:rsidR="00F61971" w:rsidRPr="00812CB2">
        <w:rPr>
          <w:rFonts w:eastAsia="Times New Roman"/>
          <w:szCs w:val="22"/>
          <w:lang w:val="es-ES" w:eastAsia="fr-FR"/>
        </w:rPr>
        <w:t xml:space="preserve"> </w:t>
      </w:r>
      <w:r w:rsidRPr="00812CB2">
        <w:rPr>
          <w:rFonts w:eastAsia="Times New Roman"/>
          <w:szCs w:val="22"/>
          <w:lang w:val="es-ES" w:eastAsia="fr-FR"/>
        </w:rPr>
        <w:t>El Comité prosiguió los debates sobre las definiciones, el objeto de la protección, los derechos que han de concederse y otras cuestiones, con miras a aclarar las diversas cuestiones técnicas y las posiciones de las delegaciones.</w:t>
      </w:r>
      <w:r w:rsidR="00F61971" w:rsidRPr="00812CB2">
        <w:rPr>
          <w:szCs w:val="22"/>
          <w:lang w:val="es-ES"/>
        </w:rPr>
        <w:t xml:space="preserve"> </w:t>
      </w:r>
      <w:r w:rsidRPr="00812CB2">
        <w:rPr>
          <w:szCs w:val="22"/>
          <w:lang w:val="es-ES"/>
        </w:rPr>
        <w:t>Tras esos debates, el presidente preparó una versión revisada del documento SCCR/39/4 para reflejar su comprensión del estado de los debates (documento SCCR/39/7).</w:t>
      </w:r>
    </w:p>
    <w:p w:rsidR="0022205D" w:rsidRPr="00812CB2" w:rsidRDefault="0022205D" w:rsidP="00265FBB">
      <w:pPr>
        <w:pStyle w:val="Default"/>
        <w:rPr>
          <w:rFonts w:eastAsia="Times New Roman"/>
          <w:sz w:val="22"/>
          <w:szCs w:val="22"/>
          <w:lang w:val="es-ES" w:eastAsia="fr-FR"/>
        </w:rPr>
      </w:pPr>
    </w:p>
    <w:p w:rsidR="0022205D" w:rsidRPr="00812CB2" w:rsidRDefault="009469B2" w:rsidP="009469B2">
      <w:pPr>
        <w:pStyle w:val="ListParagraph"/>
        <w:numPr>
          <w:ilvl w:val="0"/>
          <w:numId w:val="16"/>
        </w:numPr>
        <w:rPr>
          <w:szCs w:val="22"/>
          <w:lang w:val="es-ES"/>
        </w:rPr>
      </w:pPr>
      <w:r w:rsidRPr="00812CB2">
        <w:rPr>
          <w:szCs w:val="22"/>
          <w:lang w:val="es-ES"/>
        </w:rPr>
        <w:t>Este punto se mantendrá en el orden del día de la cuadragésima sesión del SCCR.</w:t>
      </w:r>
    </w:p>
    <w:p w:rsidR="008553E7" w:rsidRPr="00B912D8" w:rsidRDefault="008553E7">
      <w:pPr>
        <w:rPr>
          <w:caps/>
          <w:szCs w:val="22"/>
          <w:lang w:val="es-ES"/>
        </w:rPr>
      </w:pPr>
    </w:p>
    <w:p w:rsidR="0022205D" w:rsidRPr="00812CB2" w:rsidRDefault="00E919A8" w:rsidP="00B912D8">
      <w:pPr>
        <w:pStyle w:val="Heading1"/>
        <w:rPr>
          <w:lang w:val="es-ES"/>
        </w:rPr>
      </w:pPr>
      <w:r w:rsidRPr="00812CB2">
        <w:rPr>
          <w:lang w:val="es-ES"/>
        </w:rPr>
        <w:t>PUNTO 8 DEL ORDEN DEL DÍA: OtROS ASUNTOS</w:t>
      </w:r>
    </w:p>
    <w:p w:rsidR="0022205D" w:rsidRPr="00812CB2" w:rsidRDefault="0022205D" w:rsidP="000A3D10">
      <w:pPr>
        <w:rPr>
          <w:rFonts w:eastAsiaTheme="minorHAnsi"/>
          <w:szCs w:val="22"/>
          <w:lang w:val="es-ES" w:eastAsia="en-US"/>
        </w:rPr>
      </w:pPr>
    </w:p>
    <w:p w:rsidR="0022205D" w:rsidRPr="00812CB2" w:rsidRDefault="006A7466" w:rsidP="006A7466">
      <w:pPr>
        <w:pStyle w:val="ListParagraph"/>
        <w:numPr>
          <w:ilvl w:val="0"/>
          <w:numId w:val="16"/>
        </w:numPr>
        <w:rPr>
          <w:rFonts w:eastAsiaTheme="minorHAnsi"/>
          <w:szCs w:val="22"/>
          <w:lang w:val="es-ES" w:eastAsia="en-US"/>
        </w:rPr>
      </w:pPr>
      <w:r w:rsidRPr="00812CB2">
        <w:rPr>
          <w:rFonts w:eastAsiaTheme="minorHAnsi"/>
          <w:szCs w:val="22"/>
          <w:lang w:val="es-ES" w:eastAsia="en-US"/>
        </w:rPr>
        <w:t>Los documentos relacionados con este punto del orden del día son: SCCR/31/4, SCCR/31/5, SCCR/35/4, SCCR/35/7, SCCR/35/8, SCCR/35/Summary Presentation Rev., SCCR/36/4, SCCR/37/3, SCCR/37/4, SCCR/37/5, SCCR/38/INF y SCCR/39/3.</w:t>
      </w:r>
    </w:p>
    <w:p w:rsidR="0022205D" w:rsidRPr="00812CB2" w:rsidRDefault="0022205D" w:rsidP="00017CEE">
      <w:pPr>
        <w:rPr>
          <w:rFonts w:eastAsiaTheme="minorHAnsi"/>
          <w:szCs w:val="22"/>
          <w:lang w:val="es-ES" w:eastAsia="en-US"/>
        </w:rPr>
      </w:pPr>
    </w:p>
    <w:p w:rsidR="0022205D" w:rsidRPr="00812CB2" w:rsidRDefault="00AC60C6" w:rsidP="00AC60C6">
      <w:pPr>
        <w:pStyle w:val="ListParagraph"/>
        <w:numPr>
          <w:ilvl w:val="0"/>
          <w:numId w:val="16"/>
        </w:numPr>
        <w:rPr>
          <w:szCs w:val="22"/>
          <w:lang w:val="es-ES"/>
        </w:rPr>
      </w:pPr>
      <w:r w:rsidRPr="00812CB2">
        <w:rPr>
          <w:szCs w:val="22"/>
          <w:lang w:val="es-ES"/>
        </w:rPr>
        <w:t xml:space="preserve">En cuanto al tema del derecho de autor en el entorno </w:t>
      </w:r>
      <w:r w:rsidR="00763805" w:rsidRPr="00812CB2">
        <w:rPr>
          <w:szCs w:val="22"/>
          <w:lang w:val="es-ES"/>
        </w:rPr>
        <w:t>d</w:t>
      </w:r>
      <w:r w:rsidRPr="00812CB2">
        <w:rPr>
          <w:szCs w:val="22"/>
          <w:lang w:val="es-ES"/>
        </w:rPr>
        <w:t>igital, el Comité acogió con satisfacción la ponencia titulada “</w:t>
      </w:r>
      <w:r w:rsidRPr="00C727AA">
        <w:rPr>
          <w:i/>
          <w:szCs w:val="22"/>
          <w:lang w:val="es-ES"/>
        </w:rPr>
        <w:t>Introducción al mercado mundial de la música digital</w:t>
      </w:r>
      <w:r w:rsidRPr="00812CB2">
        <w:rPr>
          <w:szCs w:val="22"/>
          <w:lang w:val="es-ES"/>
        </w:rPr>
        <w:t>” (documento SCCR/39/3) y presentada por la Sra. Susan Butler, y participó en una ronda de preguntas y respuestas con la Sra. Butler.</w:t>
      </w:r>
      <w:r w:rsidR="00F61971" w:rsidRPr="00812CB2">
        <w:rPr>
          <w:szCs w:val="22"/>
          <w:lang w:val="es-ES"/>
        </w:rPr>
        <w:t xml:space="preserve"> </w:t>
      </w:r>
      <w:r w:rsidRPr="00812CB2">
        <w:rPr>
          <w:szCs w:val="22"/>
          <w:lang w:val="es-ES"/>
        </w:rPr>
        <w:t>La siguiente fase del estudio exploratorio sobre la música se presentará en la 40.ª sesión del SCCR.</w:t>
      </w:r>
    </w:p>
    <w:p w:rsidR="0022205D" w:rsidRPr="00812CB2" w:rsidRDefault="0022205D" w:rsidP="00017CEE">
      <w:pPr>
        <w:rPr>
          <w:szCs w:val="22"/>
          <w:lang w:val="es-ES"/>
        </w:rPr>
      </w:pPr>
    </w:p>
    <w:p w:rsidR="0022205D" w:rsidRPr="00812CB2" w:rsidRDefault="0022205D" w:rsidP="0022205D">
      <w:pPr>
        <w:pStyle w:val="ListParagraph"/>
        <w:numPr>
          <w:ilvl w:val="0"/>
          <w:numId w:val="16"/>
        </w:numPr>
        <w:rPr>
          <w:rFonts w:eastAsiaTheme="minorHAnsi"/>
          <w:szCs w:val="22"/>
          <w:lang w:val="es-ES" w:eastAsia="en-US"/>
        </w:rPr>
      </w:pPr>
      <w:r w:rsidRPr="00812CB2">
        <w:rPr>
          <w:szCs w:val="22"/>
          <w:lang w:val="es-ES"/>
        </w:rPr>
        <w:t>En relación con el tema del derecho de participación en las reventas, la Secretaría presentó información actualizada sobre la labor en curso del Grupo Especial de Trabajo sobre el Derecho d</w:t>
      </w:r>
      <w:r w:rsidR="00C944B1">
        <w:rPr>
          <w:szCs w:val="22"/>
          <w:lang w:val="es-ES"/>
        </w:rPr>
        <w:t>e Participación en las Reventas.</w:t>
      </w:r>
      <w:r w:rsidR="00F61971" w:rsidRPr="00812CB2">
        <w:rPr>
          <w:szCs w:val="22"/>
          <w:lang w:val="es-ES"/>
        </w:rPr>
        <w:t xml:space="preserve"> </w:t>
      </w:r>
      <w:r w:rsidR="00C944B1">
        <w:rPr>
          <w:szCs w:val="22"/>
          <w:lang w:val="es-ES"/>
        </w:rPr>
        <w:t xml:space="preserve">El Grupo Especial de Trabajo proseguirá su labor y en </w:t>
      </w:r>
      <w:r w:rsidRPr="00812CB2">
        <w:rPr>
          <w:szCs w:val="22"/>
          <w:lang w:val="es-ES"/>
        </w:rPr>
        <w:t>la 40.ª sesión del SCCR se presentará más información actualizada.</w:t>
      </w:r>
    </w:p>
    <w:p w:rsidR="0022205D" w:rsidRPr="00812CB2" w:rsidRDefault="0022205D" w:rsidP="00017CEE">
      <w:pPr>
        <w:rPr>
          <w:i/>
          <w:szCs w:val="22"/>
          <w:lang w:val="es-ES"/>
        </w:rPr>
      </w:pPr>
    </w:p>
    <w:p w:rsidR="0022205D" w:rsidRPr="00812CB2" w:rsidRDefault="0022205D" w:rsidP="0022205D">
      <w:pPr>
        <w:pStyle w:val="ListParagraph"/>
        <w:numPr>
          <w:ilvl w:val="0"/>
          <w:numId w:val="16"/>
        </w:numPr>
        <w:rPr>
          <w:szCs w:val="22"/>
          <w:lang w:val="es-ES"/>
        </w:rPr>
      </w:pPr>
      <w:r w:rsidRPr="00812CB2">
        <w:rPr>
          <w:rFonts w:eastAsiaTheme="minorHAnsi"/>
          <w:szCs w:val="22"/>
          <w:lang w:val="es-ES" w:eastAsia="en-US"/>
        </w:rPr>
        <w:t>En cuanto al tema del fortalecimiento de la protección de los derechos de los directores de teatro, el Comité acogió con satisfacción el informe provisional acerca del estudio sobre la protección de los derechos de los directores de teatro, presentado por videoconferencia por los autores del estudio, Anton Sergo y Ysolde Gendreau, y representantes de la Academia Estatal Rusa de Propiedad Intelectual: su rector, Ivan Bliznets, y la jefa adjunta del Departamento de Derecho de Autor, Viktor</w:t>
      </w:r>
      <w:r w:rsidR="000E4907">
        <w:rPr>
          <w:rFonts w:eastAsiaTheme="minorHAnsi"/>
          <w:szCs w:val="22"/>
          <w:lang w:val="es-ES" w:eastAsia="en-US"/>
        </w:rPr>
        <w:t>i</w:t>
      </w:r>
      <w:r w:rsidRPr="00812CB2">
        <w:rPr>
          <w:rFonts w:eastAsiaTheme="minorHAnsi"/>
          <w:szCs w:val="22"/>
          <w:lang w:val="es-ES" w:eastAsia="en-US"/>
        </w:rPr>
        <w:t>a Savina.</w:t>
      </w:r>
      <w:r w:rsidR="00F61971" w:rsidRPr="00812CB2">
        <w:rPr>
          <w:rFonts w:eastAsiaTheme="minorHAnsi"/>
          <w:szCs w:val="22"/>
          <w:lang w:val="es-ES" w:eastAsia="en-US"/>
        </w:rPr>
        <w:t xml:space="preserve"> </w:t>
      </w:r>
      <w:r w:rsidRPr="00812CB2">
        <w:rPr>
          <w:rFonts w:eastAsiaTheme="minorHAnsi"/>
          <w:szCs w:val="22"/>
          <w:lang w:val="es-ES" w:eastAsia="en-US"/>
        </w:rPr>
        <w:t>La ponencia estuvo seguida de una ronda de preguntas y respuestas.</w:t>
      </w:r>
      <w:r w:rsidR="00396323">
        <w:rPr>
          <w:rFonts w:eastAsiaTheme="minorHAnsi"/>
          <w:szCs w:val="22"/>
          <w:lang w:val="es-ES" w:eastAsia="en-US"/>
        </w:rPr>
        <w:t xml:space="preserve"> El informe se presentará en la 40.ª sesión del SCCR.</w:t>
      </w:r>
    </w:p>
    <w:p w:rsidR="0022205D" w:rsidRPr="00812CB2" w:rsidRDefault="0022205D" w:rsidP="0056568C">
      <w:pPr>
        <w:rPr>
          <w:rFonts w:eastAsiaTheme="minorHAnsi"/>
          <w:szCs w:val="22"/>
          <w:lang w:val="es-ES" w:eastAsia="en-US"/>
        </w:rPr>
      </w:pPr>
    </w:p>
    <w:p w:rsidR="0022205D" w:rsidRDefault="0022205D" w:rsidP="0022205D">
      <w:pPr>
        <w:pStyle w:val="ListParagraph"/>
        <w:numPr>
          <w:ilvl w:val="0"/>
          <w:numId w:val="16"/>
        </w:numPr>
        <w:rPr>
          <w:rFonts w:eastAsiaTheme="minorHAnsi"/>
          <w:szCs w:val="22"/>
          <w:lang w:val="es-ES" w:eastAsia="en-US"/>
        </w:rPr>
      </w:pPr>
      <w:r w:rsidRPr="00812CB2">
        <w:rPr>
          <w:rFonts w:eastAsiaTheme="minorHAnsi"/>
          <w:szCs w:val="22"/>
          <w:lang w:val="es-ES" w:eastAsia="en-US"/>
        </w:rPr>
        <w:t>Esos tres temas se mantendrán en este punto del orden del día de la cuadragésima sesión del SCCR.</w:t>
      </w:r>
    </w:p>
    <w:p w:rsidR="006013DD" w:rsidRPr="006013DD" w:rsidRDefault="006013DD" w:rsidP="006013DD">
      <w:pPr>
        <w:rPr>
          <w:rFonts w:eastAsiaTheme="minorHAnsi"/>
          <w:szCs w:val="22"/>
          <w:lang w:val="es-ES" w:eastAsia="en-US"/>
        </w:rPr>
      </w:pPr>
    </w:p>
    <w:p w:rsidR="00366EBE" w:rsidRPr="008553E7" w:rsidRDefault="006013DD" w:rsidP="0056568C">
      <w:pPr>
        <w:pStyle w:val="ListParagraph"/>
        <w:numPr>
          <w:ilvl w:val="0"/>
          <w:numId w:val="16"/>
        </w:numPr>
        <w:rPr>
          <w:rFonts w:eastAsiaTheme="minorHAnsi"/>
          <w:szCs w:val="22"/>
          <w:lang w:val="es-ES" w:eastAsia="en-US"/>
        </w:rPr>
      </w:pPr>
      <w:r>
        <w:rPr>
          <w:rFonts w:eastAsiaTheme="minorHAnsi"/>
          <w:szCs w:val="22"/>
          <w:lang w:val="es-ES" w:eastAsia="en-US"/>
        </w:rPr>
        <w:t>El tema del derecho de préstamo público se planteó como posible punto del orden del día. El Comité acogerá con agrado una propuesta oficial sobre ese tema en una futura reunión del Comité.</w:t>
      </w:r>
    </w:p>
    <w:p w:rsidR="008553E7" w:rsidRPr="00812CB2" w:rsidRDefault="008553E7" w:rsidP="0056568C">
      <w:pPr>
        <w:rPr>
          <w:rFonts w:eastAsiaTheme="minorHAnsi"/>
          <w:szCs w:val="22"/>
          <w:lang w:val="es-ES" w:eastAsia="en-US"/>
        </w:rPr>
      </w:pPr>
    </w:p>
    <w:p w:rsidR="0022205D" w:rsidRPr="00812CB2" w:rsidRDefault="0022205D" w:rsidP="00B912D8">
      <w:pPr>
        <w:pStyle w:val="Heading1"/>
        <w:rPr>
          <w:lang w:val="es-ES"/>
        </w:rPr>
      </w:pPr>
      <w:r w:rsidRPr="00812CB2">
        <w:rPr>
          <w:lang w:val="es-ES"/>
        </w:rPr>
        <w:t>RESUMEN DE LA PRESIDENCIA</w:t>
      </w:r>
    </w:p>
    <w:p w:rsidR="0022205D" w:rsidRPr="00B912D8" w:rsidRDefault="0022205D" w:rsidP="006A1CD5">
      <w:pPr>
        <w:rPr>
          <w:caps/>
          <w:szCs w:val="22"/>
          <w:lang w:val="es-ES"/>
        </w:rPr>
      </w:pPr>
    </w:p>
    <w:p w:rsidR="0022205D" w:rsidRPr="00812CB2" w:rsidRDefault="00812CB2" w:rsidP="00812CB2">
      <w:pPr>
        <w:pStyle w:val="ListParagraph"/>
        <w:numPr>
          <w:ilvl w:val="0"/>
          <w:numId w:val="16"/>
        </w:numPr>
        <w:rPr>
          <w:szCs w:val="22"/>
          <w:lang w:val="es-ES"/>
        </w:rPr>
      </w:pPr>
      <w:r w:rsidRPr="00812CB2">
        <w:rPr>
          <w:szCs w:val="22"/>
          <w:lang w:val="es-ES"/>
        </w:rPr>
        <w:t>El Comité tomó nota del contenido del presente resumen de la presidencia.</w:t>
      </w:r>
      <w:r w:rsidR="00F61971" w:rsidRPr="00812CB2">
        <w:rPr>
          <w:szCs w:val="22"/>
          <w:lang w:val="es-ES"/>
        </w:rPr>
        <w:t xml:space="preserve"> </w:t>
      </w:r>
      <w:r w:rsidRPr="00812CB2">
        <w:rPr>
          <w:szCs w:val="22"/>
          <w:lang w:val="es-ES"/>
        </w:rPr>
        <w:t>El presidente aclaró que el presente resumen refleja el punto de vista del presidente sobre los resultados de la trigésima novena sesión del SCCR y que, por consiguiente, no se somete a la aprobación del Comité.</w:t>
      </w:r>
    </w:p>
    <w:p w:rsidR="0022205D" w:rsidRPr="00812CB2" w:rsidRDefault="0022205D">
      <w:pPr>
        <w:rPr>
          <w:rFonts w:eastAsiaTheme="minorHAnsi"/>
          <w:color w:val="000000"/>
          <w:szCs w:val="22"/>
          <w:lang w:val="es-ES" w:eastAsia="en-US"/>
        </w:rPr>
      </w:pPr>
    </w:p>
    <w:p w:rsidR="0022205D" w:rsidRPr="00812CB2" w:rsidRDefault="00E919A8" w:rsidP="00B912D8">
      <w:pPr>
        <w:pStyle w:val="Heading1"/>
        <w:rPr>
          <w:lang w:val="es-ES"/>
        </w:rPr>
      </w:pPr>
      <w:r w:rsidRPr="00812CB2">
        <w:rPr>
          <w:lang w:val="es-ES"/>
        </w:rPr>
        <w:t>Punto 9 del orden del día: Clausura de la sesión</w:t>
      </w:r>
    </w:p>
    <w:p w:rsidR="0022205D" w:rsidRPr="00B912D8" w:rsidRDefault="0022205D" w:rsidP="006A1CD5">
      <w:pPr>
        <w:rPr>
          <w:caps/>
          <w:szCs w:val="22"/>
          <w:lang w:val="es-ES"/>
        </w:rPr>
      </w:pPr>
    </w:p>
    <w:p w:rsidR="0022205D" w:rsidRPr="00812CB2" w:rsidRDefault="00812CB2" w:rsidP="00812CB2">
      <w:pPr>
        <w:pStyle w:val="ListParagraph"/>
        <w:numPr>
          <w:ilvl w:val="0"/>
          <w:numId w:val="16"/>
        </w:numPr>
        <w:rPr>
          <w:szCs w:val="22"/>
          <w:lang w:val="es-ES"/>
        </w:rPr>
      </w:pPr>
      <w:r w:rsidRPr="00812CB2">
        <w:rPr>
          <w:szCs w:val="22"/>
          <w:lang w:val="es-ES"/>
        </w:rPr>
        <w:t>La próxima sesión del Comité tendrá lugar durante el primer semestre de 2020.</w:t>
      </w:r>
    </w:p>
    <w:p w:rsidR="0060179E" w:rsidRDefault="0060179E" w:rsidP="00F56F78">
      <w:pPr>
        <w:pStyle w:val="Default"/>
        <w:rPr>
          <w:sz w:val="22"/>
          <w:szCs w:val="22"/>
          <w:lang w:val="es-ES"/>
        </w:rPr>
      </w:pPr>
    </w:p>
    <w:p w:rsidR="00A960ED" w:rsidRDefault="00A960ED" w:rsidP="00F56F78">
      <w:pPr>
        <w:pStyle w:val="Default"/>
        <w:rPr>
          <w:sz w:val="22"/>
          <w:szCs w:val="22"/>
          <w:lang w:val="es-ES"/>
        </w:rPr>
      </w:pPr>
    </w:p>
    <w:p w:rsidR="008B5C03" w:rsidRPr="00812CB2" w:rsidRDefault="008B5C03" w:rsidP="00F56F78">
      <w:pPr>
        <w:pStyle w:val="Default"/>
        <w:rPr>
          <w:sz w:val="22"/>
          <w:szCs w:val="22"/>
          <w:lang w:val="es-ES"/>
        </w:rPr>
      </w:pPr>
    </w:p>
    <w:p w:rsidR="0022205D" w:rsidRPr="00812CB2" w:rsidRDefault="00812CB2" w:rsidP="00812CB2">
      <w:pPr>
        <w:pStyle w:val="Endofdocument"/>
        <w:rPr>
          <w:rFonts w:cs="Arial"/>
          <w:sz w:val="22"/>
          <w:szCs w:val="22"/>
          <w:lang w:val="es-ES"/>
        </w:rPr>
      </w:pPr>
      <w:r w:rsidRPr="00812CB2">
        <w:rPr>
          <w:rFonts w:cs="Arial"/>
          <w:sz w:val="22"/>
          <w:szCs w:val="22"/>
          <w:lang w:val="es-ES"/>
        </w:rPr>
        <w:t>[Fin del documento]</w:t>
      </w:r>
    </w:p>
    <w:sectPr w:rsidR="0022205D" w:rsidRPr="00812CB2" w:rsidSect="00F01A07">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EA" w:rsidRDefault="00876BEA">
      <w:r>
        <w:separator/>
      </w:r>
    </w:p>
  </w:endnote>
  <w:endnote w:type="continuationSeparator" w:id="0">
    <w:p w:rsidR="00876BEA" w:rsidRDefault="00876BEA" w:rsidP="003B38C1">
      <w:r>
        <w:separator/>
      </w:r>
    </w:p>
    <w:p w:rsidR="00876BEA" w:rsidRPr="003B38C1" w:rsidRDefault="00876BEA" w:rsidP="003B38C1">
      <w:pPr>
        <w:spacing w:after="60"/>
        <w:rPr>
          <w:sz w:val="17"/>
        </w:rPr>
      </w:pPr>
      <w:r>
        <w:rPr>
          <w:sz w:val="17"/>
        </w:rPr>
        <w:t>[Endnote continued from previous page]</w:t>
      </w:r>
    </w:p>
  </w:endnote>
  <w:endnote w:type="continuationNotice" w:id="1">
    <w:p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rsidP="00F01A07">
    <w:pPr>
      <w:pStyle w:val="Footer"/>
    </w:pPr>
    <w:r>
      <w:rPr>
        <w:noProof/>
        <w:lang w:val="es-419" w:eastAsia="es-419"/>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1A07" w:rsidRDefault="00453593" w:rsidP="00453593">
                          <w:pPr>
                            <w:jc w:val="center"/>
                          </w:pPr>
                          <w:r w:rsidRPr="0045359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rsidR="00F01A07" w:rsidRDefault="00453593" w:rsidP="00453593">
                    <w:pPr>
                      <w:jc w:val="center"/>
                    </w:pPr>
                    <w:r w:rsidRPr="00453593">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EA" w:rsidRDefault="00876BEA">
      <w:r>
        <w:separator/>
      </w:r>
    </w:p>
  </w:footnote>
  <w:footnote w:type="continuationSeparator" w:id="0">
    <w:p w:rsidR="00876BEA" w:rsidRDefault="00876BEA" w:rsidP="008B60B2">
      <w:r>
        <w:separator/>
      </w:r>
    </w:p>
    <w:p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rsidP="00B912D8">
    <w:pPr>
      <w:jc w:val="right"/>
    </w:pPr>
    <w:r>
      <w:t>p</w:t>
    </w:r>
    <w:r w:rsidR="00D624CB">
      <w:t>ágina</w:t>
    </w:r>
    <w:r>
      <w:t xml:space="preserve"> </w:t>
    </w:r>
    <w:r>
      <w:fldChar w:fldCharType="begin"/>
    </w:r>
    <w:r>
      <w:instrText xml:space="preserve"> PAGE  \* MERGEFORMAT </w:instrText>
    </w:r>
    <w:r>
      <w:fldChar w:fldCharType="separate"/>
    </w:r>
    <w:r w:rsidR="00B20F20">
      <w:rPr>
        <w:noProof/>
      </w:rPr>
      <w:t>4</w:t>
    </w:r>
    <w:r>
      <w:fldChar w:fldCharType="end"/>
    </w:r>
  </w:p>
  <w:p w:rsidR="00F01A07" w:rsidRDefault="00F01A07" w:rsidP="00F01A07">
    <w:pPr>
      <w:jc w:val="right"/>
    </w:pPr>
  </w:p>
  <w:p w:rsidR="00B912D8" w:rsidRDefault="00B912D8" w:rsidP="00F01A0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Default="00F01A07" w:rsidP="00B20F20">
    <w:pPr>
      <w:jc w:val="right"/>
    </w:pPr>
    <w:r>
      <w:rPr>
        <w:noProof/>
        <w:lang w:val="es-419" w:eastAsia="es-419"/>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1A07" w:rsidRDefault="00453593" w:rsidP="00453593">
                          <w:pPr>
                            <w:jc w:val="center"/>
                          </w:pPr>
                          <w:r w:rsidRPr="0045359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rsidR="00F01A07" w:rsidRDefault="00453593" w:rsidP="00453593">
                    <w:pPr>
                      <w:jc w:val="center"/>
                    </w:pPr>
                    <w:r w:rsidRPr="00453593">
                      <w:rPr>
                        <w:color w:val="000000"/>
                        <w:sz w:val="17"/>
                      </w:rPr>
                      <w:t>WIPO FOR OFFICIAL USE ONLY</w:t>
                    </w:r>
                  </w:p>
                </w:txbxContent>
              </v:textbox>
              <w10:wrap anchorx="margin" anchory="margin"/>
            </v:shape>
          </w:pict>
        </mc:Fallback>
      </mc:AlternateContent>
    </w:r>
    <w:proofErr w:type="spellStart"/>
    <w:proofErr w:type="gramStart"/>
    <w:r w:rsidR="00FE1269">
      <w:t>p</w:t>
    </w:r>
    <w:r w:rsidR="00C77939">
      <w:t>ágina</w:t>
    </w:r>
    <w:proofErr w:type="spellEnd"/>
    <w:proofErr w:type="gramEnd"/>
    <w:r w:rsidR="00FE1269">
      <w:t xml:space="preserve"> </w:t>
    </w:r>
    <w:r w:rsidR="00FE1269">
      <w:fldChar w:fldCharType="begin"/>
    </w:r>
    <w:r w:rsidR="00FE1269">
      <w:instrText xml:space="preserve"> PAGE  \* MERGEFORMAT </w:instrText>
    </w:r>
    <w:r w:rsidR="00FE1269">
      <w:fldChar w:fldCharType="separate"/>
    </w:r>
    <w:r w:rsidR="00B20F20">
      <w:rPr>
        <w:noProof/>
      </w:rPr>
      <w:t>5</w:t>
    </w:r>
    <w:r w:rsidR="00FE1269">
      <w:fldChar w:fldCharType="end"/>
    </w:r>
  </w:p>
  <w:p w:rsidR="00FE1269" w:rsidRDefault="00FE1269" w:rsidP="00477D6B">
    <w:pPr>
      <w:jc w:val="right"/>
    </w:pPr>
  </w:p>
  <w:p w:rsidR="00B20F20" w:rsidRDefault="00B20F2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pPr>
      <w:pStyle w:val="Header"/>
    </w:pPr>
    <w:r>
      <w:rPr>
        <w:noProof/>
        <w:lang w:val="es-419" w:eastAsia="es-419"/>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1A07" w:rsidRDefault="00453593" w:rsidP="00453593">
                          <w:pPr>
                            <w:jc w:val="center"/>
                          </w:pPr>
                          <w:r w:rsidRPr="0045359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F01A07" w:rsidRDefault="00453593" w:rsidP="00453593">
                    <w:pPr>
                      <w:jc w:val="center"/>
                    </w:pPr>
                    <w:r w:rsidRPr="00453593">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F714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1"/>
  </w:num>
  <w:num w:numId="3">
    <w:abstractNumId w:val="0"/>
  </w:num>
  <w:num w:numId="4">
    <w:abstractNumId w:val="14"/>
  </w:num>
  <w:num w:numId="5">
    <w:abstractNumId w:val="3"/>
  </w:num>
  <w:num w:numId="6">
    <w:abstractNumId w:val="5"/>
  </w:num>
  <w:num w:numId="7">
    <w:abstractNumId w:val="1"/>
  </w:num>
  <w:num w:numId="8">
    <w:abstractNumId w:val="13"/>
  </w:num>
  <w:num w:numId="9">
    <w:abstractNumId w:val="12"/>
  </w:num>
  <w:num w:numId="10">
    <w:abstractNumId w:val="2"/>
  </w:num>
  <w:num w:numId="11">
    <w:abstractNumId w:val="15"/>
  </w:num>
  <w:num w:numId="12">
    <w:abstractNumId w:val="10"/>
  </w:num>
  <w:num w:numId="13">
    <w:abstractNumId w:val="9"/>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Copyright\C Instruments|TextBase TMs\WorkspaceSTS\Copyright\Copyright"/>
    <w:docVar w:name="TextBaseURL" w:val="empty"/>
    <w:docVar w:name="UILng" w:val="en"/>
  </w:docVars>
  <w:rsids>
    <w:rsidRoot w:val="006A1CD5"/>
    <w:rsid w:val="00006045"/>
    <w:rsid w:val="00007030"/>
    <w:rsid w:val="00015C70"/>
    <w:rsid w:val="00016F48"/>
    <w:rsid w:val="00017CEE"/>
    <w:rsid w:val="00020D98"/>
    <w:rsid w:val="00024DCF"/>
    <w:rsid w:val="000261D7"/>
    <w:rsid w:val="00031EFA"/>
    <w:rsid w:val="00034F52"/>
    <w:rsid w:val="0003582B"/>
    <w:rsid w:val="000367AF"/>
    <w:rsid w:val="000372BE"/>
    <w:rsid w:val="00043CAA"/>
    <w:rsid w:val="0005513B"/>
    <w:rsid w:val="00062CB8"/>
    <w:rsid w:val="00062FE0"/>
    <w:rsid w:val="00065397"/>
    <w:rsid w:val="00065B1C"/>
    <w:rsid w:val="00066D9E"/>
    <w:rsid w:val="0007273E"/>
    <w:rsid w:val="00074CD5"/>
    <w:rsid w:val="00074D88"/>
    <w:rsid w:val="00075288"/>
    <w:rsid w:val="00075432"/>
    <w:rsid w:val="0007636A"/>
    <w:rsid w:val="00091713"/>
    <w:rsid w:val="000968ED"/>
    <w:rsid w:val="000A2BAB"/>
    <w:rsid w:val="000A3D10"/>
    <w:rsid w:val="000B5BE8"/>
    <w:rsid w:val="000C0ACC"/>
    <w:rsid w:val="000C32F7"/>
    <w:rsid w:val="000C495E"/>
    <w:rsid w:val="000D7110"/>
    <w:rsid w:val="000D783F"/>
    <w:rsid w:val="000E44EB"/>
    <w:rsid w:val="000E4907"/>
    <w:rsid w:val="000F5E56"/>
    <w:rsid w:val="000F6A79"/>
    <w:rsid w:val="000F7C19"/>
    <w:rsid w:val="00100F28"/>
    <w:rsid w:val="00101961"/>
    <w:rsid w:val="00102494"/>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663CC"/>
    <w:rsid w:val="001724EB"/>
    <w:rsid w:val="00176555"/>
    <w:rsid w:val="00176C28"/>
    <w:rsid w:val="00183282"/>
    <w:rsid w:val="001832A6"/>
    <w:rsid w:val="0019004B"/>
    <w:rsid w:val="001918F4"/>
    <w:rsid w:val="001B2018"/>
    <w:rsid w:val="001B4552"/>
    <w:rsid w:val="001B52C7"/>
    <w:rsid w:val="001B569F"/>
    <w:rsid w:val="001B6A7B"/>
    <w:rsid w:val="001C1CCF"/>
    <w:rsid w:val="001D0A74"/>
    <w:rsid w:val="001D5FC9"/>
    <w:rsid w:val="001E2FF7"/>
    <w:rsid w:val="001E37E8"/>
    <w:rsid w:val="001E51A8"/>
    <w:rsid w:val="001F73A6"/>
    <w:rsid w:val="001F76BB"/>
    <w:rsid w:val="00201BB8"/>
    <w:rsid w:val="00203F55"/>
    <w:rsid w:val="00204638"/>
    <w:rsid w:val="002058E7"/>
    <w:rsid w:val="00211ABD"/>
    <w:rsid w:val="00213871"/>
    <w:rsid w:val="002219C9"/>
    <w:rsid w:val="0022205D"/>
    <w:rsid w:val="00222800"/>
    <w:rsid w:val="0022363A"/>
    <w:rsid w:val="0022519D"/>
    <w:rsid w:val="00225290"/>
    <w:rsid w:val="00225E7E"/>
    <w:rsid w:val="00226521"/>
    <w:rsid w:val="002402F7"/>
    <w:rsid w:val="002408C3"/>
    <w:rsid w:val="002424A1"/>
    <w:rsid w:val="0024339A"/>
    <w:rsid w:val="002461DF"/>
    <w:rsid w:val="0025256D"/>
    <w:rsid w:val="00253316"/>
    <w:rsid w:val="002535B0"/>
    <w:rsid w:val="00253977"/>
    <w:rsid w:val="00260D08"/>
    <w:rsid w:val="00260D8F"/>
    <w:rsid w:val="00261426"/>
    <w:rsid w:val="00261F94"/>
    <w:rsid w:val="002634C4"/>
    <w:rsid w:val="00264899"/>
    <w:rsid w:val="00265FBB"/>
    <w:rsid w:val="00270772"/>
    <w:rsid w:val="00273C37"/>
    <w:rsid w:val="002754C8"/>
    <w:rsid w:val="00277EEF"/>
    <w:rsid w:val="00281AC6"/>
    <w:rsid w:val="00283FEB"/>
    <w:rsid w:val="0029035E"/>
    <w:rsid w:val="00290790"/>
    <w:rsid w:val="002928D3"/>
    <w:rsid w:val="00296061"/>
    <w:rsid w:val="00297288"/>
    <w:rsid w:val="002A078A"/>
    <w:rsid w:val="002B0B42"/>
    <w:rsid w:val="002B747B"/>
    <w:rsid w:val="002C1E3E"/>
    <w:rsid w:val="002C41CF"/>
    <w:rsid w:val="002E07DC"/>
    <w:rsid w:val="002E1FE3"/>
    <w:rsid w:val="002E2F50"/>
    <w:rsid w:val="002E7A8B"/>
    <w:rsid w:val="002E7C64"/>
    <w:rsid w:val="002E7D9C"/>
    <w:rsid w:val="002F13F6"/>
    <w:rsid w:val="002F1FE6"/>
    <w:rsid w:val="002F3F17"/>
    <w:rsid w:val="002F4E68"/>
    <w:rsid w:val="00301A68"/>
    <w:rsid w:val="003036E9"/>
    <w:rsid w:val="003076DB"/>
    <w:rsid w:val="003101C0"/>
    <w:rsid w:val="00312CFA"/>
    <w:rsid w:val="00312F7F"/>
    <w:rsid w:val="00320B10"/>
    <w:rsid w:val="003264C2"/>
    <w:rsid w:val="00330AC3"/>
    <w:rsid w:val="00331BE8"/>
    <w:rsid w:val="00332EE1"/>
    <w:rsid w:val="0034074B"/>
    <w:rsid w:val="003538ED"/>
    <w:rsid w:val="003608DD"/>
    <w:rsid w:val="003613DD"/>
    <w:rsid w:val="00361450"/>
    <w:rsid w:val="0036432E"/>
    <w:rsid w:val="00366633"/>
    <w:rsid w:val="00366EBE"/>
    <w:rsid w:val="003673CF"/>
    <w:rsid w:val="00371D7B"/>
    <w:rsid w:val="00374856"/>
    <w:rsid w:val="003845C1"/>
    <w:rsid w:val="003867BE"/>
    <w:rsid w:val="00390E4E"/>
    <w:rsid w:val="00391C21"/>
    <w:rsid w:val="00393389"/>
    <w:rsid w:val="00396323"/>
    <w:rsid w:val="003A6F89"/>
    <w:rsid w:val="003A7CA9"/>
    <w:rsid w:val="003B02D9"/>
    <w:rsid w:val="003B2BEE"/>
    <w:rsid w:val="003B38C1"/>
    <w:rsid w:val="003B3FF8"/>
    <w:rsid w:val="003B5566"/>
    <w:rsid w:val="003C2624"/>
    <w:rsid w:val="003C364D"/>
    <w:rsid w:val="003C472A"/>
    <w:rsid w:val="003C4C25"/>
    <w:rsid w:val="003C5EAF"/>
    <w:rsid w:val="003D1CE3"/>
    <w:rsid w:val="003D24AC"/>
    <w:rsid w:val="003E0DC9"/>
    <w:rsid w:val="003E17AD"/>
    <w:rsid w:val="003E2DC9"/>
    <w:rsid w:val="003E78FB"/>
    <w:rsid w:val="003F1189"/>
    <w:rsid w:val="003F6CDF"/>
    <w:rsid w:val="004007E2"/>
    <w:rsid w:val="00402F5A"/>
    <w:rsid w:val="00404865"/>
    <w:rsid w:val="00407222"/>
    <w:rsid w:val="00411301"/>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60834"/>
    <w:rsid w:val="004647DA"/>
    <w:rsid w:val="00466E89"/>
    <w:rsid w:val="00467676"/>
    <w:rsid w:val="00467FA2"/>
    <w:rsid w:val="004713A0"/>
    <w:rsid w:val="00474062"/>
    <w:rsid w:val="00475E9B"/>
    <w:rsid w:val="004766BC"/>
    <w:rsid w:val="00477D6B"/>
    <w:rsid w:val="00496F74"/>
    <w:rsid w:val="00497334"/>
    <w:rsid w:val="004B2CA8"/>
    <w:rsid w:val="004B37D9"/>
    <w:rsid w:val="004B393F"/>
    <w:rsid w:val="004B4899"/>
    <w:rsid w:val="004B7E29"/>
    <w:rsid w:val="004C03BB"/>
    <w:rsid w:val="004C0F8E"/>
    <w:rsid w:val="004C1649"/>
    <w:rsid w:val="004C1C27"/>
    <w:rsid w:val="004C3EC6"/>
    <w:rsid w:val="004C603A"/>
    <w:rsid w:val="004D028D"/>
    <w:rsid w:val="004D3905"/>
    <w:rsid w:val="004D4F82"/>
    <w:rsid w:val="004E682B"/>
    <w:rsid w:val="004F0F02"/>
    <w:rsid w:val="004F20C6"/>
    <w:rsid w:val="005019FF"/>
    <w:rsid w:val="00502A34"/>
    <w:rsid w:val="0050377C"/>
    <w:rsid w:val="00510C2D"/>
    <w:rsid w:val="005229D5"/>
    <w:rsid w:val="00522D55"/>
    <w:rsid w:val="00526AF3"/>
    <w:rsid w:val="0053057A"/>
    <w:rsid w:val="00530838"/>
    <w:rsid w:val="00534780"/>
    <w:rsid w:val="00541088"/>
    <w:rsid w:val="0054205B"/>
    <w:rsid w:val="005522AF"/>
    <w:rsid w:val="00554733"/>
    <w:rsid w:val="00556CF3"/>
    <w:rsid w:val="00557181"/>
    <w:rsid w:val="0056031F"/>
    <w:rsid w:val="00560A29"/>
    <w:rsid w:val="0056568C"/>
    <w:rsid w:val="00565A13"/>
    <w:rsid w:val="00566361"/>
    <w:rsid w:val="00573588"/>
    <w:rsid w:val="005735E8"/>
    <w:rsid w:val="005767CD"/>
    <w:rsid w:val="00580E35"/>
    <w:rsid w:val="0059148E"/>
    <w:rsid w:val="00592585"/>
    <w:rsid w:val="0059283C"/>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13DD"/>
    <w:rsid w:val="0060179E"/>
    <w:rsid w:val="00605827"/>
    <w:rsid w:val="006070D6"/>
    <w:rsid w:val="00611FBE"/>
    <w:rsid w:val="00615E94"/>
    <w:rsid w:val="0062003A"/>
    <w:rsid w:val="00620F2D"/>
    <w:rsid w:val="00626407"/>
    <w:rsid w:val="00631439"/>
    <w:rsid w:val="00632145"/>
    <w:rsid w:val="00632772"/>
    <w:rsid w:val="00634B4C"/>
    <w:rsid w:val="00637787"/>
    <w:rsid w:val="0064368A"/>
    <w:rsid w:val="00643A10"/>
    <w:rsid w:val="00644075"/>
    <w:rsid w:val="00646050"/>
    <w:rsid w:val="00650EF5"/>
    <w:rsid w:val="00653D5B"/>
    <w:rsid w:val="006563BB"/>
    <w:rsid w:val="006575D1"/>
    <w:rsid w:val="006654C2"/>
    <w:rsid w:val="00666FAD"/>
    <w:rsid w:val="00670615"/>
    <w:rsid w:val="006713CA"/>
    <w:rsid w:val="006752EF"/>
    <w:rsid w:val="00676C5C"/>
    <w:rsid w:val="0067704F"/>
    <w:rsid w:val="006870D8"/>
    <w:rsid w:val="00693437"/>
    <w:rsid w:val="0069705C"/>
    <w:rsid w:val="006A01AE"/>
    <w:rsid w:val="006A0606"/>
    <w:rsid w:val="006A0885"/>
    <w:rsid w:val="006A1CD5"/>
    <w:rsid w:val="006A4D29"/>
    <w:rsid w:val="006A6CD1"/>
    <w:rsid w:val="006A7466"/>
    <w:rsid w:val="006B198C"/>
    <w:rsid w:val="006B52B1"/>
    <w:rsid w:val="006B5EF7"/>
    <w:rsid w:val="006C1671"/>
    <w:rsid w:val="006C4DEE"/>
    <w:rsid w:val="006C4FC1"/>
    <w:rsid w:val="006D201B"/>
    <w:rsid w:val="006D2CE8"/>
    <w:rsid w:val="006D461B"/>
    <w:rsid w:val="006D48DF"/>
    <w:rsid w:val="006E4475"/>
    <w:rsid w:val="006E4BD5"/>
    <w:rsid w:val="006E55A2"/>
    <w:rsid w:val="006E6222"/>
    <w:rsid w:val="006E6A92"/>
    <w:rsid w:val="006F549A"/>
    <w:rsid w:val="006F5556"/>
    <w:rsid w:val="006F611F"/>
    <w:rsid w:val="0070220A"/>
    <w:rsid w:val="0070683C"/>
    <w:rsid w:val="00712D6C"/>
    <w:rsid w:val="00712F5E"/>
    <w:rsid w:val="00715E27"/>
    <w:rsid w:val="007248EF"/>
    <w:rsid w:val="00724E84"/>
    <w:rsid w:val="007311DA"/>
    <w:rsid w:val="0073489F"/>
    <w:rsid w:val="0074296A"/>
    <w:rsid w:val="00744DBE"/>
    <w:rsid w:val="00750710"/>
    <w:rsid w:val="007508FF"/>
    <w:rsid w:val="00755C59"/>
    <w:rsid w:val="007574A6"/>
    <w:rsid w:val="0076141D"/>
    <w:rsid w:val="00763805"/>
    <w:rsid w:val="00766E05"/>
    <w:rsid w:val="0077243D"/>
    <w:rsid w:val="0077292E"/>
    <w:rsid w:val="00776CE5"/>
    <w:rsid w:val="00780E29"/>
    <w:rsid w:val="007819BD"/>
    <w:rsid w:val="00783D16"/>
    <w:rsid w:val="007870B9"/>
    <w:rsid w:val="007975B3"/>
    <w:rsid w:val="007A0290"/>
    <w:rsid w:val="007A3831"/>
    <w:rsid w:val="007B06A4"/>
    <w:rsid w:val="007B2478"/>
    <w:rsid w:val="007B631C"/>
    <w:rsid w:val="007C108B"/>
    <w:rsid w:val="007C6920"/>
    <w:rsid w:val="007D0AF9"/>
    <w:rsid w:val="007D1613"/>
    <w:rsid w:val="007D198A"/>
    <w:rsid w:val="00803666"/>
    <w:rsid w:val="00803BDD"/>
    <w:rsid w:val="008052DE"/>
    <w:rsid w:val="008122B8"/>
    <w:rsid w:val="00812CB2"/>
    <w:rsid w:val="00821086"/>
    <w:rsid w:val="00826595"/>
    <w:rsid w:val="00832E64"/>
    <w:rsid w:val="0084098E"/>
    <w:rsid w:val="0084206D"/>
    <w:rsid w:val="0084228E"/>
    <w:rsid w:val="00844517"/>
    <w:rsid w:val="00845C05"/>
    <w:rsid w:val="00845C3C"/>
    <w:rsid w:val="00846CA0"/>
    <w:rsid w:val="008536B9"/>
    <w:rsid w:val="008544E5"/>
    <w:rsid w:val="008553E7"/>
    <w:rsid w:val="00855A6C"/>
    <w:rsid w:val="00864457"/>
    <w:rsid w:val="008707A0"/>
    <w:rsid w:val="00872C3C"/>
    <w:rsid w:val="00875285"/>
    <w:rsid w:val="00876BEA"/>
    <w:rsid w:val="0087741A"/>
    <w:rsid w:val="0088285E"/>
    <w:rsid w:val="008828EE"/>
    <w:rsid w:val="00883AD6"/>
    <w:rsid w:val="0089123B"/>
    <w:rsid w:val="00892E4B"/>
    <w:rsid w:val="008930B6"/>
    <w:rsid w:val="00893641"/>
    <w:rsid w:val="00894391"/>
    <w:rsid w:val="008A1C09"/>
    <w:rsid w:val="008A68C3"/>
    <w:rsid w:val="008B00A8"/>
    <w:rsid w:val="008B2CC1"/>
    <w:rsid w:val="008B36D5"/>
    <w:rsid w:val="008B5C03"/>
    <w:rsid w:val="008B60B2"/>
    <w:rsid w:val="008C109C"/>
    <w:rsid w:val="008C7C7B"/>
    <w:rsid w:val="008C7E6A"/>
    <w:rsid w:val="008D2105"/>
    <w:rsid w:val="008D4266"/>
    <w:rsid w:val="008D6084"/>
    <w:rsid w:val="008E03AC"/>
    <w:rsid w:val="008E49BF"/>
    <w:rsid w:val="008E4E11"/>
    <w:rsid w:val="008F219A"/>
    <w:rsid w:val="008F4DEC"/>
    <w:rsid w:val="008F5AA4"/>
    <w:rsid w:val="009013DF"/>
    <w:rsid w:val="00905239"/>
    <w:rsid w:val="0090731E"/>
    <w:rsid w:val="0091237B"/>
    <w:rsid w:val="009125F6"/>
    <w:rsid w:val="00916EE2"/>
    <w:rsid w:val="00923F52"/>
    <w:rsid w:val="00925855"/>
    <w:rsid w:val="00927291"/>
    <w:rsid w:val="00932F56"/>
    <w:rsid w:val="00933D6A"/>
    <w:rsid w:val="009423D6"/>
    <w:rsid w:val="00944284"/>
    <w:rsid w:val="0094567A"/>
    <w:rsid w:val="009469B2"/>
    <w:rsid w:val="00947C47"/>
    <w:rsid w:val="009544D5"/>
    <w:rsid w:val="009574DB"/>
    <w:rsid w:val="0096183A"/>
    <w:rsid w:val="00965D18"/>
    <w:rsid w:val="00966A22"/>
    <w:rsid w:val="0096706E"/>
    <w:rsid w:val="0096722F"/>
    <w:rsid w:val="00974CBB"/>
    <w:rsid w:val="00977F6D"/>
    <w:rsid w:val="00980843"/>
    <w:rsid w:val="00985A7A"/>
    <w:rsid w:val="00986805"/>
    <w:rsid w:val="0099143F"/>
    <w:rsid w:val="00994F42"/>
    <w:rsid w:val="009A090D"/>
    <w:rsid w:val="009A31B6"/>
    <w:rsid w:val="009A3BE0"/>
    <w:rsid w:val="009B0425"/>
    <w:rsid w:val="009B1A56"/>
    <w:rsid w:val="009C242D"/>
    <w:rsid w:val="009C28C2"/>
    <w:rsid w:val="009C665F"/>
    <w:rsid w:val="009D213A"/>
    <w:rsid w:val="009D5068"/>
    <w:rsid w:val="009D55F0"/>
    <w:rsid w:val="009E2791"/>
    <w:rsid w:val="009E3F6F"/>
    <w:rsid w:val="009E61BF"/>
    <w:rsid w:val="009F4806"/>
    <w:rsid w:val="009F499F"/>
    <w:rsid w:val="00A069CD"/>
    <w:rsid w:val="00A07D6A"/>
    <w:rsid w:val="00A10B77"/>
    <w:rsid w:val="00A1614F"/>
    <w:rsid w:val="00A22302"/>
    <w:rsid w:val="00A2277B"/>
    <w:rsid w:val="00A23708"/>
    <w:rsid w:val="00A2485E"/>
    <w:rsid w:val="00A24D05"/>
    <w:rsid w:val="00A25385"/>
    <w:rsid w:val="00A307A2"/>
    <w:rsid w:val="00A32FF3"/>
    <w:rsid w:val="00A334C3"/>
    <w:rsid w:val="00A36A8E"/>
    <w:rsid w:val="00A377FA"/>
    <w:rsid w:val="00A42DAF"/>
    <w:rsid w:val="00A44876"/>
    <w:rsid w:val="00A45BD8"/>
    <w:rsid w:val="00A54A77"/>
    <w:rsid w:val="00A663DC"/>
    <w:rsid w:val="00A76658"/>
    <w:rsid w:val="00A81A5C"/>
    <w:rsid w:val="00A86067"/>
    <w:rsid w:val="00A862F4"/>
    <w:rsid w:val="00A8673A"/>
    <w:rsid w:val="00A869B7"/>
    <w:rsid w:val="00A90E4C"/>
    <w:rsid w:val="00A960ED"/>
    <w:rsid w:val="00AA6D0A"/>
    <w:rsid w:val="00AB28C6"/>
    <w:rsid w:val="00AB5F4E"/>
    <w:rsid w:val="00AB71CF"/>
    <w:rsid w:val="00AC0F70"/>
    <w:rsid w:val="00AC10A8"/>
    <w:rsid w:val="00AC205C"/>
    <w:rsid w:val="00AC2D6D"/>
    <w:rsid w:val="00AC4968"/>
    <w:rsid w:val="00AC60C6"/>
    <w:rsid w:val="00AC67E0"/>
    <w:rsid w:val="00AD06D3"/>
    <w:rsid w:val="00AD5428"/>
    <w:rsid w:val="00AE1DAE"/>
    <w:rsid w:val="00AF0A6B"/>
    <w:rsid w:val="00AF4D93"/>
    <w:rsid w:val="00B05A69"/>
    <w:rsid w:val="00B14174"/>
    <w:rsid w:val="00B20F20"/>
    <w:rsid w:val="00B26842"/>
    <w:rsid w:val="00B27627"/>
    <w:rsid w:val="00B3012B"/>
    <w:rsid w:val="00B3458E"/>
    <w:rsid w:val="00B34D8C"/>
    <w:rsid w:val="00B357F4"/>
    <w:rsid w:val="00B358FE"/>
    <w:rsid w:val="00B4358F"/>
    <w:rsid w:val="00B44445"/>
    <w:rsid w:val="00B5053F"/>
    <w:rsid w:val="00B5254F"/>
    <w:rsid w:val="00B531F5"/>
    <w:rsid w:val="00B5532A"/>
    <w:rsid w:val="00B62F38"/>
    <w:rsid w:val="00B7283D"/>
    <w:rsid w:val="00B841C6"/>
    <w:rsid w:val="00B912D8"/>
    <w:rsid w:val="00B93997"/>
    <w:rsid w:val="00B9734B"/>
    <w:rsid w:val="00B978CE"/>
    <w:rsid w:val="00BA13E9"/>
    <w:rsid w:val="00BA3761"/>
    <w:rsid w:val="00BA4C21"/>
    <w:rsid w:val="00BA7C4E"/>
    <w:rsid w:val="00BB14F8"/>
    <w:rsid w:val="00BB2912"/>
    <w:rsid w:val="00BB42C1"/>
    <w:rsid w:val="00BB5228"/>
    <w:rsid w:val="00BC5892"/>
    <w:rsid w:val="00BD1B10"/>
    <w:rsid w:val="00BD7D00"/>
    <w:rsid w:val="00BE0C80"/>
    <w:rsid w:val="00BE253D"/>
    <w:rsid w:val="00BE7F69"/>
    <w:rsid w:val="00BF3338"/>
    <w:rsid w:val="00BF59EA"/>
    <w:rsid w:val="00C10D34"/>
    <w:rsid w:val="00C11BFE"/>
    <w:rsid w:val="00C132D4"/>
    <w:rsid w:val="00C133F4"/>
    <w:rsid w:val="00C14CE6"/>
    <w:rsid w:val="00C1752E"/>
    <w:rsid w:val="00C17D98"/>
    <w:rsid w:val="00C17FDB"/>
    <w:rsid w:val="00C23C93"/>
    <w:rsid w:val="00C30BDD"/>
    <w:rsid w:val="00C4402C"/>
    <w:rsid w:val="00C44E1E"/>
    <w:rsid w:val="00C50FD7"/>
    <w:rsid w:val="00C57566"/>
    <w:rsid w:val="00C642A3"/>
    <w:rsid w:val="00C6650F"/>
    <w:rsid w:val="00C727AA"/>
    <w:rsid w:val="00C75819"/>
    <w:rsid w:val="00C7603F"/>
    <w:rsid w:val="00C77939"/>
    <w:rsid w:val="00C8199E"/>
    <w:rsid w:val="00C81BA2"/>
    <w:rsid w:val="00C83565"/>
    <w:rsid w:val="00C944B1"/>
    <w:rsid w:val="00C96381"/>
    <w:rsid w:val="00CA1CDB"/>
    <w:rsid w:val="00CA39CD"/>
    <w:rsid w:val="00CA44D9"/>
    <w:rsid w:val="00CA69F6"/>
    <w:rsid w:val="00CB017D"/>
    <w:rsid w:val="00CB3B00"/>
    <w:rsid w:val="00CB43AF"/>
    <w:rsid w:val="00CB67F0"/>
    <w:rsid w:val="00CC3AC4"/>
    <w:rsid w:val="00CC4D8B"/>
    <w:rsid w:val="00CC4E61"/>
    <w:rsid w:val="00CC7C46"/>
    <w:rsid w:val="00CD3F57"/>
    <w:rsid w:val="00CD6FF3"/>
    <w:rsid w:val="00CD71A2"/>
    <w:rsid w:val="00CF211B"/>
    <w:rsid w:val="00CF2B07"/>
    <w:rsid w:val="00CF398C"/>
    <w:rsid w:val="00CF498E"/>
    <w:rsid w:val="00CF5A63"/>
    <w:rsid w:val="00D06BCF"/>
    <w:rsid w:val="00D122F4"/>
    <w:rsid w:val="00D27C29"/>
    <w:rsid w:val="00D31598"/>
    <w:rsid w:val="00D3445D"/>
    <w:rsid w:val="00D36FAD"/>
    <w:rsid w:val="00D40D67"/>
    <w:rsid w:val="00D45252"/>
    <w:rsid w:val="00D45A14"/>
    <w:rsid w:val="00D5156B"/>
    <w:rsid w:val="00D558EF"/>
    <w:rsid w:val="00D5740A"/>
    <w:rsid w:val="00D60C37"/>
    <w:rsid w:val="00D624CB"/>
    <w:rsid w:val="00D6386F"/>
    <w:rsid w:val="00D660DF"/>
    <w:rsid w:val="00D71511"/>
    <w:rsid w:val="00D71B4D"/>
    <w:rsid w:val="00D762A2"/>
    <w:rsid w:val="00D81348"/>
    <w:rsid w:val="00D8175E"/>
    <w:rsid w:val="00D911B7"/>
    <w:rsid w:val="00D92E2B"/>
    <w:rsid w:val="00D93192"/>
    <w:rsid w:val="00D93D55"/>
    <w:rsid w:val="00DA19B7"/>
    <w:rsid w:val="00DA1C96"/>
    <w:rsid w:val="00DA7405"/>
    <w:rsid w:val="00DB06E5"/>
    <w:rsid w:val="00DC3678"/>
    <w:rsid w:val="00DD08B1"/>
    <w:rsid w:val="00DD2E1F"/>
    <w:rsid w:val="00DD4BED"/>
    <w:rsid w:val="00DD7986"/>
    <w:rsid w:val="00DE0F27"/>
    <w:rsid w:val="00DE6A44"/>
    <w:rsid w:val="00DE756B"/>
    <w:rsid w:val="00DF10BF"/>
    <w:rsid w:val="00DF12E4"/>
    <w:rsid w:val="00DF1BEF"/>
    <w:rsid w:val="00DF3889"/>
    <w:rsid w:val="00DF5EA4"/>
    <w:rsid w:val="00DF650D"/>
    <w:rsid w:val="00E01D7D"/>
    <w:rsid w:val="00E02E9C"/>
    <w:rsid w:val="00E12B97"/>
    <w:rsid w:val="00E15E88"/>
    <w:rsid w:val="00E15F7B"/>
    <w:rsid w:val="00E16378"/>
    <w:rsid w:val="00E2375F"/>
    <w:rsid w:val="00E25C6F"/>
    <w:rsid w:val="00E266C0"/>
    <w:rsid w:val="00E335FE"/>
    <w:rsid w:val="00E354D6"/>
    <w:rsid w:val="00E46225"/>
    <w:rsid w:val="00E47ABF"/>
    <w:rsid w:val="00E501D9"/>
    <w:rsid w:val="00E54521"/>
    <w:rsid w:val="00E62905"/>
    <w:rsid w:val="00E63F91"/>
    <w:rsid w:val="00E66BBE"/>
    <w:rsid w:val="00E706D1"/>
    <w:rsid w:val="00E7369B"/>
    <w:rsid w:val="00E8089C"/>
    <w:rsid w:val="00E86245"/>
    <w:rsid w:val="00E908A2"/>
    <w:rsid w:val="00E919A8"/>
    <w:rsid w:val="00E91B06"/>
    <w:rsid w:val="00E92420"/>
    <w:rsid w:val="00E93D9D"/>
    <w:rsid w:val="00EA2408"/>
    <w:rsid w:val="00EA2AA3"/>
    <w:rsid w:val="00EA6DA6"/>
    <w:rsid w:val="00EB4668"/>
    <w:rsid w:val="00EC2779"/>
    <w:rsid w:val="00EC4E49"/>
    <w:rsid w:val="00EC7341"/>
    <w:rsid w:val="00ED2531"/>
    <w:rsid w:val="00ED7142"/>
    <w:rsid w:val="00ED77FB"/>
    <w:rsid w:val="00ED7CF6"/>
    <w:rsid w:val="00EE321D"/>
    <w:rsid w:val="00EE45FA"/>
    <w:rsid w:val="00EF669A"/>
    <w:rsid w:val="00EF7008"/>
    <w:rsid w:val="00F0000C"/>
    <w:rsid w:val="00F01A07"/>
    <w:rsid w:val="00F11029"/>
    <w:rsid w:val="00F136B1"/>
    <w:rsid w:val="00F2764D"/>
    <w:rsid w:val="00F32250"/>
    <w:rsid w:val="00F32C2F"/>
    <w:rsid w:val="00F332EC"/>
    <w:rsid w:val="00F455E3"/>
    <w:rsid w:val="00F50AD2"/>
    <w:rsid w:val="00F52B03"/>
    <w:rsid w:val="00F53784"/>
    <w:rsid w:val="00F542C6"/>
    <w:rsid w:val="00F56F78"/>
    <w:rsid w:val="00F607EE"/>
    <w:rsid w:val="00F61971"/>
    <w:rsid w:val="00F638FF"/>
    <w:rsid w:val="00F66152"/>
    <w:rsid w:val="00F67C68"/>
    <w:rsid w:val="00F71016"/>
    <w:rsid w:val="00F71FD8"/>
    <w:rsid w:val="00F757AA"/>
    <w:rsid w:val="00F774B3"/>
    <w:rsid w:val="00F7768A"/>
    <w:rsid w:val="00F80B06"/>
    <w:rsid w:val="00F86A4D"/>
    <w:rsid w:val="00F870E7"/>
    <w:rsid w:val="00F90A9A"/>
    <w:rsid w:val="00F91EA7"/>
    <w:rsid w:val="00F94037"/>
    <w:rsid w:val="00FA0460"/>
    <w:rsid w:val="00FA07DF"/>
    <w:rsid w:val="00FA3CAE"/>
    <w:rsid w:val="00FA5315"/>
    <w:rsid w:val="00FB0BB8"/>
    <w:rsid w:val="00FB1D2A"/>
    <w:rsid w:val="00FB6497"/>
    <w:rsid w:val="00FC0D00"/>
    <w:rsid w:val="00FC2075"/>
    <w:rsid w:val="00FC29F6"/>
    <w:rsid w:val="00FC39D0"/>
    <w:rsid w:val="00FC4F7C"/>
    <w:rsid w:val="00FE08BA"/>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951C6C4"/>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B912D8"/>
    <w:pPr>
      <w:keepNext/>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EC8C-2B3B-4829-A1F0-B096AEBD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5</Pages>
  <Words>2133</Words>
  <Characters>11315</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keywords>FOR OFFICIAL USE ONLY</cp:keywords>
  <cp:lastModifiedBy>SANDOVAL Barbara</cp:lastModifiedBy>
  <cp:revision>69</cp:revision>
  <cp:lastPrinted>2018-12-04T08:31:00Z</cp:lastPrinted>
  <dcterms:created xsi:type="dcterms:W3CDTF">2019-10-23T08:44:00Z</dcterms:created>
  <dcterms:modified xsi:type="dcterms:W3CDTF">2019-10-28T09:20:00Z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101baeb6-b1c0-48d4-9349-386b170f12f9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