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13"/>
        <w:gridCol w:w="4337"/>
        <w:gridCol w:w="506"/>
      </w:tblGrid>
      <w:tr w:rsidR="00EC4E49" w:rsidRPr="00525040" w:rsidTr="00A23CB1">
        <w:tc>
          <w:tcPr>
            <w:tcW w:w="4513" w:type="dxa"/>
            <w:tcBorders>
              <w:bottom w:val="single" w:sz="4" w:space="0" w:color="auto"/>
            </w:tcBorders>
            <w:tcMar>
              <w:bottom w:w="170" w:type="dxa"/>
            </w:tcMar>
          </w:tcPr>
          <w:p w:rsidR="00EC4E49" w:rsidRPr="00525040"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525040" w:rsidRDefault="008C1EB9" w:rsidP="00916EE2">
            <w:pPr>
              <w:rPr>
                <w:lang w:val="es-ES"/>
              </w:rPr>
            </w:pPr>
            <w:r w:rsidRPr="00525040">
              <w:rPr>
                <w:noProof/>
                <w:lang w:eastAsia="en-US"/>
              </w:rPr>
              <w:drawing>
                <wp:inline distT="0" distB="0" distL="0" distR="0" wp14:anchorId="47FBF6CE" wp14:editId="283825D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525040" w:rsidRDefault="004B4BD9" w:rsidP="004B4BD9">
            <w:pPr>
              <w:jc w:val="right"/>
              <w:rPr>
                <w:sz w:val="40"/>
                <w:szCs w:val="40"/>
                <w:lang w:val="es-ES"/>
              </w:rPr>
            </w:pPr>
            <w:r w:rsidRPr="00525040">
              <w:rPr>
                <w:b/>
                <w:sz w:val="40"/>
                <w:szCs w:val="40"/>
                <w:lang w:val="es-ES"/>
              </w:rPr>
              <w:t>S</w:t>
            </w:r>
          </w:p>
        </w:tc>
      </w:tr>
      <w:tr w:rsidR="008B2CC1" w:rsidRPr="00525040" w:rsidTr="00EC5EC2">
        <w:trPr>
          <w:trHeight w:val="92"/>
        </w:trPr>
        <w:tc>
          <w:tcPr>
            <w:tcW w:w="9356" w:type="dxa"/>
            <w:gridSpan w:val="3"/>
            <w:tcBorders>
              <w:top w:val="single" w:sz="4" w:space="0" w:color="auto"/>
            </w:tcBorders>
            <w:tcMar>
              <w:top w:w="170" w:type="dxa"/>
              <w:left w:w="0" w:type="dxa"/>
              <w:right w:w="0" w:type="dxa"/>
            </w:tcMar>
            <w:vAlign w:val="bottom"/>
          </w:tcPr>
          <w:p w:rsidR="008B2CC1" w:rsidRPr="00525040" w:rsidRDefault="004B4BD9" w:rsidP="00E258D2">
            <w:pPr>
              <w:jc w:val="right"/>
              <w:rPr>
                <w:rFonts w:ascii="Arial Black" w:hAnsi="Arial Black"/>
                <w:caps/>
                <w:sz w:val="15"/>
                <w:lang w:val="es-ES"/>
              </w:rPr>
            </w:pPr>
            <w:bookmarkStart w:id="1" w:name="Code"/>
            <w:bookmarkEnd w:id="1"/>
            <w:r w:rsidRPr="00525040">
              <w:rPr>
                <w:rFonts w:ascii="Arial Black" w:hAnsi="Arial Black"/>
                <w:caps/>
                <w:sz w:val="15"/>
                <w:lang w:val="es-ES"/>
              </w:rPr>
              <w:t>SCCR/38/</w:t>
            </w:r>
            <w:r w:rsidR="00E258D2" w:rsidRPr="00525040">
              <w:rPr>
                <w:rFonts w:ascii="Arial Black" w:hAnsi="Arial Black"/>
                <w:caps/>
                <w:sz w:val="15"/>
                <w:lang w:val="es-ES"/>
              </w:rPr>
              <w:t>3</w:t>
            </w:r>
            <w:r w:rsidR="00CA2648" w:rsidRPr="00525040">
              <w:rPr>
                <w:rFonts w:ascii="Arial Black" w:hAnsi="Arial Black"/>
                <w:caps/>
                <w:sz w:val="15"/>
                <w:lang w:val="es-ES"/>
              </w:rPr>
              <w:t xml:space="preserve"> </w:t>
            </w:r>
          </w:p>
        </w:tc>
      </w:tr>
      <w:tr w:rsidR="008B2CC1" w:rsidRPr="00525040" w:rsidTr="00EC5EC2">
        <w:trPr>
          <w:trHeight w:val="76"/>
        </w:trPr>
        <w:tc>
          <w:tcPr>
            <w:tcW w:w="9356" w:type="dxa"/>
            <w:gridSpan w:val="3"/>
            <w:noWrap/>
            <w:tcMar>
              <w:left w:w="0" w:type="dxa"/>
              <w:right w:w="0" w:type="dxa"/>
            </w:tcMar>
            <w:vAlign w:val="bottom"/>
          </w:tcPr>
          <w:p w:rsidR="008B2CC1" w:rsidRPr="00525040" w:rsidRDefault="004B4BD9" w:rsidP="004B4BD9">
            <w:pPr>
              <w:jc w:val="right"/>
              <w:rPr>
                <w:rFonts w:ascii="Arial Black" w:hAnsi="Arial Black"/>
                <w:caps/>
                <w:sz w:val="15"/>
                <w:lang w:val="es-ES"/>
              </w:rPr>
            </w:pPr>
            <w:r w:rsidRPr="00525040">
              <w:rPr>
                <w:rFonts w:ascii="Arial Black" w:hAnsi="Arial Black"/>
                <w:caps/>
                <w:sz w:val="15"/>
                <w:lang w:val="es-ES"/>
              </w:rPr>
              <w:t>ORIGINAL: Inglés</w:t>
            </w:r>
          </w:p>
        </w:tc>
      </w:tr>
      <w:tr w:rsidR="008B2CC1" w:rsidRPr="00525040" w:rsidTr="00A23CB1">
        <w:trPr>
          <w:trHeight w:hRule="exact" w:val="198"/>
        </w:trPr>
        <w:tc>
          <w:tcPr>
            <w:tcW w:w="9356" w:type="dxa"/>
            <w:gridSpan w:val="3"/>
            <w:tcMar>
              <w:left w:w="0" w:type="dxa"/>
              <w:right w:w="0" w:type="dxa"/>
            </w:tcMar>
            <w:vAlign w:val="bottom"/>
          </w:tcPr>
          <w:p w:rsidR="008B2CC1" w:rsidRPr="00525040" w:rsidRDefault="004B4BD9" w:rsidP="004B4BD9">
            <w:pPr>
              <w:jc w:val="right"/>
              <w:rPr>
                <w:rFonts w:ascii="Arial Black" w:hAnsi="Arial Black"/>
                <w:caps/>
                <w:sz w:val="15"/>
                <w:lang w:val="es-ES"/>
              </w:rPr>
            </w:pPr>
            <w:r w:rsidRPr="00525040">
              <w:rPr>
                <w:rFonts w:ascii="Arial Black" w:hAnsi="Arial Black"/>
                <w:caps/>
                <w:sz w:val="15"/>
                <w:lang w:val="es-ES"/>
              </w:rPr>
              <w:t>fecha:</w:t>
            </w:r>
            <w:r w:rsidR="00CA2648" w:rsidRPr="00525040">
              <w:rPr>
                <w:rFonts w:ascii="Arial Black" w:hAnsi="Arial Black"/>
                <w:caps/>
                <w:sz w:val="15"/>
                <w:lang w:val="es-ES"/>
              </w:rPr>
              <w:t xml:space="preserve"> </w:t>
            </w:r>
            <w:r w:rsidR="00E258D2" w:rsidRPr="00525040">
              <w:rPr>
                <w:rFonts w:ascii="Arial Black" w:hAnsi="Arial Black"/>
                <w:caps/>
                <w:sz w:val="15"/>
                <w:lang w:val="es-ES"/>
              </w:rPr>
              <w:t>18</w:t>
            </w:r>
            <w:r w:rsidRPr="00525040">
              <w:rPr>
                <w:rFonts w:ascii="Arial Black" w:hAnsi="Arial Black"/>
                <w:caps/>
                <w:sz w:val="15"/>
                <w:lang w:val="es-ES"/>
              </w:rPr>
              <w:t xml:space="preserve"> DE MARZO DE 2019</w:t>
            </w:r>
          </w:p>
        </w:tc>
      </w:tr>
    </w:tbl>
    <w:p w:rsidR="004B4BD9" w:rsidRPr="00525040" w:rsidRDefault="004B4BD9" w:rsidP="00A23CB1">
      <w:pPr>
        <w:rPr>
          <w:lang w:val="es-ES"/>
        </w:rPr>
      </w:pPr>
    </w:p>
    <w:p w:rsidR="004B4BD9" w:rsidRPr="00525040" w:rsidRDefault="004B4BD9" w:rsidP="00A23CB1">
      <w:pPr>
        <w:rPr>
          <w:lang w:val="es-ES"/>
        </w:rPr>
      </w:pPr>
    </w:p>
    <w:p w:rsidR="004B4BD9" w:rsidRPr="00525040" w:rsidRDefault="004B4BD9" w:rsidP="00A23CB1">
      <w:pPr>
        <w:rPr>
          <w:lang w:val="es-ES"/>
        </w:rPr>
      </w:pPr>
    </w:p>
    <w:p w:rsidR="004B4BD9" w:rsidRPr="00525040" w:rsidRDefault="004B4BD9" w:rsidP="00A23CB1">
      <w:pPr>
        <w:rPr>
          <w:lang w:val="es-ES"/>
        </w:rPr>
      </w:pPr>
    </w:p>
    <w:p w:rsidR="004B4BD9" w:rsidRPr="00525040" w:rsidRDefault="004B4BD9" w:rsidP="00A23CB1">
      <w:pPr>
        <w:rPr>
          <w:lang w:val="es-ES"/>
        </w:rPr>
      </w:pPr>
    </w:p>
    <w:p w:rsidR="004B4BD9" w:rsidRPr="00525040" w:rsidRDefault="004B4BD9" w:rsidP="004B4BD9">
      <w:pPr>
        <w:rPr>
          <w:b/>
          <w:sz w:val="28"/>
          <w:szCs w:val="28"/>
          <w:lang w:val="es-ES"/>
        </w:rPr>
      </w:pPr>
      <w:r w:rsidRPr="00525040">
        <w:rPr>
          <w:b/>
          <w:sz w:val="28"/>
          <w:szCs w:val="28"/>
          <w:lang w:val="es-ES"/>
        </w:rPr>
        <w:t>Comité Permanente de Derecho de Autor y Derechos Conexos</w:t>
      </w:r>
    </w:p>
    <w:p w:rsidR="004B4BD9" w:rsidRPr="00525040" w:rsidRDefault="004B4BD9" w:rsidP="00A23CB1">
      <w:pPr>
        <w:rPr>
          <w:lang w:val="es-ES"/>
        </w:rPr>
      </w:pPr>
    </w:p>
    <w:p w:rsidR="004B4BD9" w:rsidRPr="00525040" w:rsidRDefault="004B4BD9" w:rsidP="004B4BD9">
      <w:pPr>
        <w:rPr>
          <w:b/>
          <w:sz w:val="24"/>
          <w:szCs w:val="24"/>
          <w:lang w:val="es-ES"/>
        </w:rPr>
      </w:pPr>
      <w:r w:rsidRPr="00525040">
        <w:rPr>
          <w:b/>
          <w:sz w:val="24"/>
          <w:szCs w:val="24"/>
          <w:lang w:val="es-ES"/>
        </w:rPr>
        <w:t>Trigésima octava sesión</w:t>
      </w:r>
    </w:p>
    <w:p w:rsidR="004B4BD9" w:rsidRPr="00525040" w:rsidRDefault="004B4BD9" w:rsidP="004B4BD9">
      <w:pPr>
        <w:rPr>
          <w:sz w:val="24"/>
          <w:szCs w:val="24"/>
          <w:lang w:val="es-ES"/>
        </w:rPr>
      </w:pPr>
      <w:r w:rsidRPr="00525040">
        <w:rPr>
          <w:b/>
          <w:sz w:val="24"/>
          <w:szCs w:val="24"/>
          <w:lang w:val="es-ES"/>
        </w:rPr>
        <w:t>Ginebra, 1 a 5 de abril de 2019</w:t>
      </w:r>
    </w:p>
    <w:p w:rsidR="004B4BD9" w:rsidRPr="00525040" w:rsidRDefault="004B4BD9" w:rsidP="00A23CB1">
      <w:pPr>
        <w:rPr>
          <w:lang w:val="es-ES"/>
        </w:rPr>
      </w:pPr>
    </w:p>
    <w:p w:rsidR="00EA710E" w:rsidRPr="00525040" w:rsidRDefault="00EA710E" w:rsidP="00A23CB1">
      <w:pPr>
        <w:rPr>
          <w:lang w:val="es-ES"/>
        </w:rPr>
      </w:pPr>
    </w:p>
    <w:p w:rsidR="004B4BD9" w:rsidRPr="00525040" w:rsidRDefault="004B4BD9" w:rsidP="00A23CB1">
      <w:pPr>
        <w:rPr>
          <w:lang w:val="es-ES"/>
        </w:rPr>
      </w:pPr>
    </w:p>
    <w:p w:rsidR="00E258D2" w:rsidRPr="00525040" w:rsidRDefault="00415635" w:rsidP="00E258D2">
      <w:pPr>
        <w:widowControl w:val="0"/>
        <w:rPr>
          <w:lang w:val="es-ES"/>
        </w:rPr>
      </w:pPr>
      <w:bookmarkStart w:id="2" w:name="TitleOfDoc"/>
      <w:bookmarkEnd w:id="2"/>
      <w:r w:rsidRPr="00525040">
        <w:rPr>
          <w:lang w:val="es-ES"/>
        </w:rPr>
        <w:t>RESUMEN</w:t>
      </w:r>
      <w:r w:rsidR="00E258D2" w:rsidRPr="00525040">
        <w:rPr>
          <w:lang w:val="es-ES"/>
        </w:rPr>
        <w:t xml:space="preserve"> – </w:t>
      </w:r>
      <w:r w:rsidRPr="00525040">
        <w:rPr>
          <w:lang w:val="es-ES"/>
        </w:rPr>
        <w:t>ESTUDIO EXPLORATORIO SOBRE EL ACCESO A OBRAS PROTEGIDAS POR DERECHO DE AUTOR PARA LAS PERSONAS CON DISCAPACIDAD</w:t>
      </w:r>
    </w:p>
    <w:p w:rsidR="00E258D2" w:rsidRPr="00525040" w:rsidRDefault="00E258D2" w:rsidP="00E258D2">
      <w:pPr>
        <w:widowControl w:val="0"/>
        <w:rPr>
          <w:lang w:val="es-ES"/>
        </w:rPr>
      </w:pPr>
    </w:p>
    <w:p w:rsidR="00E258D2" w:rsidRPr="00525040" w:rsidRDefault="00415635" w:rsidP="00E258D2">
      <w:pPr>
        <w:widowControl w:val="0"/>
        <w:rPr>
          <w:i/>
          <w:lang w:val="es-ES"/>
        </w:rPr>
      </w:pPr>
      <w:r w:rsidRPr="00525040">
        <w:rPr>
          <w:i/>
          <w:lang w:val="es-ES"/>
        </w:rPr>
        <w:t>preparado por el</w:t>
      </w:r>
      <w:r w:rsidR="00E258D2" w:rsidRPr="00525040">
        <w:rPr>
          <w:i/>
          <w:lang w:val="es-ES"/>
        </w:rPr>
        <w:t xml:space="preserve"> </w:t>
      </w:r>
      <w:r w:rsidRPr="00525040">
        <w:rPr>
          <w:i/>
          <w:lang w:val="es-ES"/>
        </w:rPr>
        <w:t>S</w:t>
      </w:r>
      <w:r w:rsidR="00E258D2" w:rsidRPr="00525040">
        <w:rPr>
          <w:i/>
          <w:lang w:val="es-ES"/>
        </w:rPr>
        <w:t>r. Blake Reid</w:t>
      </w:r>
      <w:r w:rsidRPr="00525040">
        <w:rPr>
          <w:i/>
          <w:lang w:val="es-ES"/>
        </w:rPr>
        <w:t xml:space="preserve"> y la Sra</w:t>
      </w:r>
      <w:r w:rsidR="00E258D2" w:rsidRPr="00525040">
        <w:rPr>
          <w:i/>
          <w:lang w:val="es-ES"/>
        </w:rPr>
        <w:t xml:space="preserve">. Caroline Ncube </w:t>
      </w:r>
    </w:p>
    <w:p w:rsidR="00E258D2" w:rsidRPr="00525040" w:rsidRDefault="00E258D2" w:rsidP="00E258D2">
      <w:pPr>
        <w:widowControl w:val="0"/>
        <w:rPr>
          <w:lang w:val="es-ES"/>
        </w:rPr>
      </w:pPr>
    </w:p>
    <w:p w:rsidR="00E258D2" w:rsidRPr="00525040" w:rsidRDefault="00E258D2" w:rsidP="00E258D2">
      <w:pPr>
        <w:keepNext/>
        <w:keepLines/>
        <w:widowControl w:val="0"/>
        <w:spacing w:before="160" w:after="80" w:line="300" w:lineRule="auto"/>
        <w:rPr>
          <w:lang w:val="es-ES"/>
        </w:rPr>
        <w:sectPr w:rsidR="00E258D2" w:rsidRPr="00525040" w:rsidSect="00640002">
          <w:headerReference w:type="default" r:id="rId9"/>
          <w:pgSz w:w="11909" w:h="16834"/>
          <w:pgMar w:top="816" w:right="1440" w:bottom="1440" w:left="1440" w:header="510" w:footer="1020" w:gutter="0"/>
          <w:pgNumType w:start="1"/>
          <w:cols w:space="720"/>
          <w:titlePg/>
          <w:docGrid w:linePitch="299"/>
        </w:sectPr>
      </w:pPr>
    </w:p>
    <w:p w:rsidR="00E258D2" w:rsidRPr="00525040" w:rsidRDefault="00CB04EC" w:rsidP="00E258D2">
      <w:pPr>
        <w:keepNext/>
        <w:spacing w:before="240" w:after="60"/>
        <w:outlineLvl w:val="0"/>
        <w:rPr>
          <w:rFonts w:eastAsia="Arial"/>
          <w:b/>
          <w:bCs/>
          <w:caps/>
          <w:kern w:val="32"/>
          <w:szCs w:val="32"/>
          <w:lang w:val="es-ES" w:eastAsia="en-ZA"/>
        </w:rPr>
      </w:pPr>
      <w:bookmarkStart w:id="3" w:name="_j81i0iqrfm4d" w:colFirst="0" w:colLast="0"/>
      <w:bookmarkStart w:id="4" w:name="_Toc3361669"/>
      <w:bookmarkStart w:id="5" w:name="_Toc2872884"/>
      <w:bookmarkStart w:id="6" w:name="_Toc2872236"/>
      <w:bookmarkEnd w:id="3"/>
      <w:r w:rsidRPr="00525040">
        <w:rPr>
          <w:rFonts w:eastAsia="Arial"/>
          <w:b/>
          <w:bCs/>
          <w:caps/>
          <w:kern w:val="32"/>
          <w:szCs w:val="22"/>
          <w:lang w:val="es-ES"/>
        </w:rPr>
        <w:lastRenderedPageBreak/>
        <w:t>RESUMEN</w:t>
      </w:r>
    </w:p>
    <w:p w:rsidR="002E390A" w:rsidRPr="00525040" w:rsidRDefault="002E390A" w:rsidP="002E390A">
      <w:pPr>
        <w:pStyle w:val="WIPOBodyStyle"/>
        <w:rPr>
          <w:sz w:val="22"/>
          <w:lang w:val="es-ES"/>
        </w:rPr>
      </w:pPr>
      <w:r w:rsidRPr="00525040">
        <w:rPr>
          <w:sz w:val="22"/>
          <w:lang w:val="es-ES"/>
        </w:rPr>
        <w:t xml:space="preserve">Muchas obras protegidas por derecho de autor existen en formatos inaccesibles para las personas con discapacidad. Esta inaccesibilidad es problemática, ya que muchos países han promulgado leyes que respaldan la participación en la </w:t>
      </w:r>
      <w:r w:rsidR="00CB51C4" w:rsidRPr="00525040">
        <w:rPr>
          <w:sz w:val="22"/>
          <w:lang w:val="es-ES"/>
        </w:rPr>
        <w:t>sociedad</w:t>
      </w:r>
      <w:r w:rsidR="00670009">
        <w:rPr>
          <w:sz w:val="22"/>
          <w:lang w:val="es-ES"/>
        </w:rPr>
        <w:t>,</w:t>
      </w:r>
      <w:r w:rsidRPr="00525040">
        <w:rPr>
          <w:sz w:val="22"/>
          <w:lang w:val="es-ES"/>
        </w:rPr>
        <w:t xml:space="preserve"> </w:t>
      </w:r>
      <w:r w:rsidR="00670009" w:rsidRPr="00525040">
        <w:rPr>
          <w:sz w:val="22"/>
          <w:lang w:val="es-ES"/>
        </w:rPr>
        <w:t>en condiciones de igualdad</w:t>
      </w:r>
      <w:r w:rsidR="00670009">
        <w:rPr>
          <w:sz w:val="22"/>
          <w:lang w:val="es-ES"/>
        </w:rPr>
        <w:t>,</w:t>
      </w:r>
      <w:r w:rsidR="00670009" w:rsidRPr="00525040">
        <w:rPr>
          <w:sz w:val="22"/>
          <w:lang w:val="es-ES"/>
        </w:rPr>
        <w:t xml:space="preserve"> </w:t>
      </w:r>
      <w:r w:rsidRPr="00525040">
        <w:rPr>
          <w:sz w:val="22"/>
          <w:lang w:val="es-ES"/>
        </w:rPr>
        <w:t xml:space="preserve">de las personas con discapacidad. El acceso al contenido protegido por derecho de autor para las personas con discapacidad requiere en general algún tipo de tecnología de asistencia que transforme </w:t>
      </w:r>
      <w:r w:rsidR="00670009" w:rsidRPr="00525040">
        <w:rPr>
          <w:sz w:val="22"/>
          <w:lang w:val="es-ES"/>
        </w:rPr>
        <w:t xml:space="preserve">de un medio a otro </w:t>
      </w:r>
      <w:r w:rsidRPr="00525040">
        <w:rPr>
          <w:sz w:val="22"/>
          <w:lang w:val="es-ES"/>
        </w:rPr>
        <w:t xml:space="preserve">parte </w:t>
      </w:r>
      <w:r w:rsidR="00670009">
        <w:rPr>
          <w:sz w:val="22"/>
          <w:lang w:val="es-ES"/>
        </w:rPr>
        <w:t>d</w:t>
      </w:r>
      <w:r w:rsidRPr="00525040">
        <w:rPr>
          <w:sz w:val="22"/>
          <w:lang w:val="es-ES"/>
        </w:rPr>
        <w:t>el contenido de la obra</w:t>
      </w:r>
      <w:r w:rsidR="00670009">
        <w:rPr>
          <w:sz w:val="22"/>
          <w:lang w:val="es-ES"/>
        </w:rPr>
        <w:t xml:space="preserve"> o todo el contenido</w:t>
      </w:r>
      <w:r w:rsidRPr="00525040">
        <w:rPr>
          <w:sz w:val="22"/>
          <w:lang w:val="es-ES"/>
        </w:rPr>
        <w:t>. Sin embargo, esas transformaciones pueden afectar a los derechos exclusivos concedidos a los titulares de derechos de autor y derechos conexos.</w:t>
      </w:r>
    </w:p>
    <w:p w:rsidR="002E390A" w:rsidRPr="00525040" w:rsidRDefault="002E390A" w:rsidP="002E390A">
      <w:pPr>
        <w:pStyle w:val="WIPOBodyStyle"/>
        <w:rPr>
          <w:sz w:val="22"/>
          <w:lang w:val="es-ES"/>
        </w:rPr>
      </w:pPr>
      <w:r w:rsidRPr="00525040">
        <w:rPr>
          <w:sz w:val="22"/>
          <w:lang w:val="es-ES"/>
        </w:rPr>
        <w:t>El estudio fue realizado por investigadores de la Universidad de Ciudad del Cabo en Sudáfrica y del Centro de Asesoramiento sobre Derecho y Política Tecnológica Samuelson-Glushko de la Facultad de Derecho de la Universidad de Colorado. Los investigadores ampliaron el anterior estudio exploratorio, que abarcaba los cuestionarios enviados a los Estados miembros y presentados por ellos, con investigaciones independientes en las que se examinaban y analizaban los regímenes de derecho de autor de los Estados miembros y las disposiciones relativas a la</w:t>
      </w:r>
      <w:r w:rsidR="00FA288E" w:rsidRPr="00525040">
        <w:rPr>
          <w:sz w:val="22"/>
          <w:lang w:val="es-ES"/>
        </w:rPr>
        <w:t>s</w:t>
      </w:r>
      <w:r w:rsidRPr="00525040">
        <w:rPr>
          <w:sz w:val="22"/>
          <w:lang w:val="es-ES"/>
        </w:rPr>
        <w:t xml:space="preserve"> discapacidad</w:t>
      </w:r>
      <w:r w:rsidR="00FA288E" w:rsidRPr="00525040">
        <w:rPr>
          <w:sz w:val="22"/>
          <w:lang w:val="es-ES"/>
        </w:rPr>
        <w:t>es</w:t>
      </w:r>
      <w:r w:rsidRPr="00525040">
        <w:rPr>
          <w:sz w:val="22"/>
          <w:lang w:val="es-ES"/>
        </w:rPr>
        <w:t xml:space="preserve"> contempladas en esos regímenes.</w:t>
      </w:r>
    </w:p>
    <w:p w:rsidR="002E390A" w:rsidRPr="00525040" w:rsidRDefault="002E390A" w:rsidP="002E390A">
      <w:pPr>
        <w:pStyle w:val="WIPOBodyStyle"/>
        <w:rPr>
          <w:sz w:val="22"/>
          <w:lang w:val="es-ES"/>
        </w:rPr>
      </w:pPr>
      <w:r w:rsidRPr="00525040">
        <w:rPr>
          <w:sz w:val="22"/>
          <w:lang w:val="es-ES"/>
        </w:rPr>
        <w:t xml:space="preserve">Entre otras constataciones, en el estudio se descubrió que más de la mitad de los Estados miembros disponen de algún tipo de excepción para las discapacidades </w:t>
      </w:r>
      <w:r w:rsidR="00670009">
        <w:rPr>
          <w:sz w:val="22"/>
          <w:lang w:val="es-ES"/>
        </w:rPr>
        <w:t>estipulada</w:t>
      </w:r>
      <w:r w:rsidRPr="00525040">
        <w:rPr>
          <w:sz w:val="22"/>
          <w:lang w:val="es-ES"/>
        </w:rPr>
        <w:t xml:space="preserve"> en su legislación de derecho de autor y que un tercio de esos miembros prevé excepciones para todas las discapacidades.</w:t>
      </w:r>
    </w:p>
    <w:p w:rsidR="009664E2" w:rsidRPr="00525040" w:rsidRDefault="009664E2" w:rsidP="009664E2">
      <w:pPr>
        <w:keepNext/>
        <w:spacing w:before="240" w:after="60"/>
        <w:outlineLvl w:val="0"/>
        <w:rPr>
          <w:rFonts w:eastAsia="Arial"/>
          <w:b/>
          <w:bCs/>
          <w:caps/>
          <w:kern w:val="32"/>
          <w:szCs w:val="22"/>
          <w:lang w:val="es-ES"/>
        </w:rPr>
      </w:pPr>
      <w:r w:rsidRPr="00525040">
        <w:rPr>
          <w:rFonts w:eastAsia="Arial"/>
          <w:b/>
          <w:bCs/>
          <w:caps/>
          <w:kern w:val="32"/>
          <w:szCs w:val="22"/>
          <w:lang w:val="es-ES"/>
        </w:rPr>
        <w:t>INTRODUCCIÓN</w:t>
      </w:r>
    </w:p>
    <w:p w:rsidR="00FA288E" w:rsidRPr="00525040" w:rsidRDefault="00FA288E" w:rsidP="00E258D2">
      <w:pPr>
        <w:spacing w:after="80" w:line="280" w:lineRule="exact"/>
        <w:rPr>
          <w:rFonts w:eastAsia="Arial"/>
          <w:szCs w:val="22"/>
          <w:lang w:val="es-ES" w:eastAsia="en-ZA"/>
        </w:rPr>
      </w:pPr>
      <w:r w:rsidRPr="00525040">
        <w:rPr>
          <w:rFonts w:eastAsia="Arial"/>
          <w:szCs w:val="22"/>
          <w:lang w:val="es-ES" w:eastAsia="en-ZA"/>
        </w:rPr>
        <w:t xml:space="preserve">Casi todos los Estados miembros de la OMPI han establecido algún tipo de régimen de derecho de autor que otorga derechos exclusivos a los autores de obras creativas. Esta protección, aunque arraigada y aceptada en la teoría jurídica de todo el mundo, también </w:t>
      </w:r>
      <w:r w:rsidR="009F4EDF" w:rsidRPr="00525040">
        <w:rPr>
          <w:rFonts w:eastAsia="Arial"/>
          <w:szCs w:val="22"/>
          <w:lang w:val="es-ES" w:eastAsia="en-ZA"/>
        </w:rPr>
        <w:t xml:space="preserve">afecta a </w:t>
      </w:r>
      <w:r w:rsidRPr="00525040">
        <w:rPr>
          <w:rFonts w:eastAsia="Arial"/>
          <w:szCs w:val="22"/>
          <w:lang w:val="es-ES" w:eastAsia="en-ZA"/>
        </w:rPr>
        <w:t xml:space="preserve">la </w:t>
      </w:r>
      <w:r w:rsidR="00AE2862" w:rsidRPr="00525040">
        <w:rPr>
          <w:rFonts w:eastAsia="Arial"/>
          <w:szCs w:val="22"/>
          <w:lang w:val="es-ES" w:eastAsia="en-ZA"/>
        </w:rPr>
        <w:t>p</w:t>
      </w:r>
      <w:r w:rsidR="009F4EDF" w:rsidRPr="00525040">
        <w:rPr>
          <w:rFonts w:eastAsia="Arial"/>
          <w:szCs w:val="22"/>
          <w:lang w:val="es-ES" w:eastAsia="en-ZA"/>
        </w:rPr>
        <w:t>osibilidad</w:t>
      </w:r>
      <w:r w:rsidRPr="00525040">
        <w:rPr>
          <w:rFonts w:eastAsia="Arial"/>
          <w:szCs w:val="22"/>
          <w:lang w:val="es-ES" w:eastAsia="en-ZA"/>
        </w:rPr>
        <w:t xml:space="preserve"> de </w:t>
      </w:r>
      <w:r w:rsidR="00AE2862" w:rsidRPr="00525040">
        <w:rPr>
          <w:rFonts w:eastAsia="Arial"/>
          <w:szCs w:val="22"/>
          <w:lang w:val="es-ES" w:eastAsia="en-ZA"/>
        </w:rPr>
        <w:t xml:space="preserve">que </w:t>
      </w:r>
      <w:r w:rsidRPr="00525040">
        <w:rPr>
          <w:rFonts w:eastAsia="Arial"/>
          <w:szCs w:val="22"/>
          <w:lang w:val="es-ES" w:eastAsia="en-ZA"/>
        </w:rPr>
        <w:t xml:space="preserve">las personas con discapacidad </w:t>
      </w:r>
      <w:r w:rsidR="00AE2862" w:rsidRPr="00525040">
        <w:rPr>
          <w:rFonts w:eastAsia="Arial"/>
          <w:szCs w:val="22"/>
          <w:lang w:val="es-ES" w:eastAsia="en-ZA"/>
        </w:rPr>
        <w:t>accedan</w:t>
      </w:r>
      <w:r w:rsidRPr="00525040">
        <w:rPr>
          <w:rFonts w:eastAsia="Arial"/>
          <w:szCs w:val="22"/>
          <w:lang w:val="es-ES" w:eastAsia="en-ZA"/>
        </w:rPr>
        <w:t xml:space="preserve"> a determinadas obras protegidas por derecho de autor de modo que se pueden plantear dificultades </w:t>
      </w:r>
      <w:r w:rsidR="00AE2862" w:rsidRPr="00525040">
        <w:rPr>
          <w:rFonts w:eastAsia="Arial"/>
          <w:szCs w:val="22"/>
          <w:lang w:val="es-ES" w:eastAsia="en-ZA"/>
        </w:rPr>
        <w:t xml:space="preserve">a la hora de </w:t>
      </w:r>
      <w:r w:rsidRPr="00525040">
        <w:rPr>
          <w:rFonts w:eastAsia="Arial"/>
          <w:szCs w:val="22"/>
          <w:lang w:val="es-ES" w:eastAsia="en-ZA"/>
        </w:rPr>
        <w:t>acceder a esas obras. La creación</w:t>
      </w:r>
      <w:r w:rsidR="00AA002C" w:rsidRPr="00525040">
        <w:rPr>
          <w:rFonts w:eastAsia="Arial"/>
          <w:szCs w:val="22"/>
          <w:lang w:val="es-ES" w:eastAsia="en-ZA"/>
        </w:rPr>
        <w:t xml:space="preserve"> </w:t>
      </w:r>
      <w:r w:rsidRPr="00525040">
        <w:rPr>
          <w:rFonts w:eastAsia="Arial"/>
          <w:szCs w:val="22"/>
          <w:lang w:val="es-ES" w:eastAsia="en-ZA"/>
        </w:rPr>
        <w:t>y difusión de formas accesibles de obras protegidas por derecho de autor, por ejemplo, un programa televisivo subtitulado o un audiolibro, puede plantear dificultades porque quizá afecte a los derechos exclusivos protegidos por los regímenes de derecho de autor en los Estados miembros de la OMPI, como los derechos de reproducción y distribución.</w:t>
      </w:r>
      <w:r w:rsidRPr="00525040">
        <w:rPr>
          <w:rFonts w:eastAsia="Arial"/>
          <w:szCs w:val="22"/>
          <w:vertAlign w:val="superscript"/>
          <w:lang w:val="es-ES" w:eastAsia="en-ZA"/>
        </w:rPr>
        <w:footnoteReference w:id="2"/>
      </w:r>
      <w:r w:rsidRPr="00525040">
        <w:rPr>
          <w:rFonts w:eastAsia="Arial"/>
          <w:szCs w:val="22"/>
          <w:lang w:val="es-ES" w:eastAsia="en-ZA"/>
        </w:rPr>
        <w:t xml:space="preserve"> La creación de versiones accesibles de obras protegidas es necesaria para garantizar que las personas con discapacidad puedan participar plenamente en sus sociedades y contribuir a ellas.</w:t>
      </w:r>
    </w:p>
    <w:p w:rsidR="00B65A07" w:rsidRPr="00525040" w:rsidRDefault="00B65A07" w:rsidP="00B65A07">
      <w:pPr>
        <w:spacing w:after="80" w:line="280" w:lineRule="exact"/>
        <w:rPr>
          <w:rFonts w:eastAsia="Arial"/>
          <w:szCs w:val="22"/>
          <w:lang w:val="es-ES" w:eastAsia="en-ZA"/>
        </w:rPr>
      </w:pPr>
      <w:r w:rsidRPr="00525040">
        <w:rPr>
          <w:rFonts w:eastAsia="Arial"/>
          <w:szCs w:val="22"/>
          <w:lang w:val="es-ES" w:eastAsia="en-ZA"/>
        </w:rPr>
        <w:t>A medida que comienzan a materializarse las nuevas tecnologías, como el</w:t>
      </w:r>
      <w:r w:rsidR="009A44AE" w:rsidRPr="00525040">
        <w:rPr>
          <w:rFonts w:eastAsia="Arial"/>
          <w:szCs w:val="22"/>
          <w:lang w:val="es-ES" w:eastAsia="en-ZA"/>
        </w:rPr>
        <w:t xml:space="preserve"> reconocimiento automático del habla</w:t>
      </w:r>
      <w:r w:rsidRPr="00525040">
        <w:rPr>
          <w:rFonts w:eastAsia="Arial"/>
          <w:szCs w:val="22"/>
          <w:lang w:val="es-ES" w:eastAsia="en-ZA"/>
        </w:rPr>
        <w:t xml:space="preserve">, existe un gran potencial para </w:t>
      </w:r>
      <w:r w:rsidR="009A44AE" w:rsidRPr="00525040">
        <w:rPr>
          <w:rFonts w:eastAsia="Arial"/>
          <w:szCs w:val="22"/>
          <w:lang w:val="es-ES" w:eastAsia="en-ZA"/>
        </w:rPr>
        <w:t>fomentar</w:t>
      </w:r>
      <w:r w:rsidRPr="00525040">
        <w:rPr>
          <w:rFonts w:eastAsia="Arial"/>
          <w:szCs w:val="22"/>
          <w:lang w:val="es-ES" w:eastAsia="en-ZA"/>
        </w:rPr>
        <w:t xml:space="preserve"> el acceso a los materiales protegidos por derecho de autor y a los protegidos por derechos conexos (“obras protegidas”) facilitando la accesibilidad de las obras </w:t>
      </w:r>
      <w:r w:rsidR="009A44AE" w:rsidRPr="00525040">
        <w:rPr>
          <w:rFonts w:eastAsia="Arial"/>
          <w:szCs w:val="22"/>
          <w:lang w:val="es-ES" w:eastAsia="en-ZA"/>
        </w:rPr>
        <w:t xml:space="preserve">a </w:t>
      </w:r>
      <w:r w:rsidRPr="00525040">
        <w:rPr>
          <w:rFonts w:eastAsia="Arial"/>
          <w:szCs w:val="22"/>
          <w:lang w:val="es-ES" w:eastAsia="en-ZA"/>
        </w:rPr>
        <w:t xml:space="preserve">escala. Sin embargo, es necesario reflexionar </w:t>
      </w:r>
      <w:r w:rsidR="009A44AE" w:rsidRPr="00525040">
        <w:rPr>
          <w:rFonts w:eastAsia="Arial"/>
          <w:szCs w:val="22"/>
          <w:lang w:val="es-ES" w:eastAsia="en-ZA"/>
        </w:rPr>
        <w:t xml:space="preserve">con visión de futuro </w:t>
      </w:r>
      <w:r w:rsidRPr="00525040">
        <w:rPr>
          <w:rFonts w:eastAsia="Arial"/>
          <w:szCs w:val="22"/>
          <w:lang w:val="es-ES" w:eastAsia="en-ZA"/>
        </w:rPr>
        <w:t xml:space="preserve">sobre la forma en que </w:t>
      </w:r>
      <w:r w:rsidR="009A44AE" w:rsidRPr="00525040">
        <w:rPr>
          <w:rFonts w:eastAsia="Arial"/>
          <w:szCs w:val="22"/>
          <w:lang w:val="es-ES" w:eastAsia="en-ZA"/>
        </w:rPr>
        <w:t xml:space="preserve">la legislación de </w:t>
      </w:r>
      <w:r w:rsidRPr="00525040">
        <w:rPr>
          <w:rFonts w:eastAsia="Arial"/>
          <w:szCs w:val="22"/>
          <w:lang w:val="es-ES" w:eastAsia="en-ZA"/>
        </w:rPr>
        <w:t xml:space="preserve">derecho de autor y </w:t>
      </w:r>
      <w:r w:rsidR="009A44AE" w:rsidRPr="00525040">
        <w:rPr>
          <w:rFonts w:eastAsia="Arial"/>
          <w:szCs w:val="22"/>
          <w:lang w:val="es-ES" w:eastAsia="en-ZA"/>
        </w:rPr>
        <w:t>derechos conexos puede facilitar el acceso con flexibilidad</w:t>
      </w:r>
      <w:r w:rsidRPr="00525040">
        <w:rPr>
          <w:rFonts w:eastAsia="Arial"/>
          <w:szCs w:val="22"/>
          <w:lang w:val="es-ES" w:eastAsia="en-ZA"/>
        </w:rPr>
        <w:t xml:space="preserve"> </w:t>
      </w:r>
      <w:r w:rsidR="009A44AE" w:rsidRPr="00525040">
        <w:rPr>
          <w:rFonts w:eastAsia="Arial"/>
          <w:szCs w:val="22"/>
          <w:lang w:val="es-ES" w:eastAsia="en-ZA"/>
        </w:rPr>
        <w:t xml:space="preserve">a </w:t>
      </w:r>
      <w:r w:rsidR="00790360">
        <w:rPr>
          <w:rFonts w:eastAsia="Arial"/>
          <w:szCs w:val="22"/>
          <w:lang w:val="es-ES" w:eastAsia="en-ZA"/>
        </w:rPr>
        <w:t>las personas discapacitadas</w:t>
      </w:r>
      <w:r w:rsidRPr="00525040">
        <w:rPr>
          <w:rFonts w:eastAsia="Arial"/>
          <w:szCs w:val="22"/>
          <w:lang w:val="es-ES" w:eastAsia="en-ZA"/>
        </w:rPr>
        <w:t>.</w:t>
      </w:r>
    </w:p>
    <w:p w:rsidR="00E258D2" w:rsidRPr="00525040" w:rsidRDefault="009A44AE" w:rsidP="00E258D2">
      <w:pPr>
        <w:spacing w:after="80" w:line="280" w:lineRule="exact"/>
        <w:rPr>
          <w:rFonts w:eastAsia="Arial"/>
          <w:szCs w:val="22"/>
          <w:lang w:val="es-ES" w:eastAsia="en-ZA"/>
        </w:rPr>
      </w:pPr>
      <w:bookmarkStart w:id="7" w:name="_3znysh7"/>
      <w:bookmarkEnd w:id="7"/>
      <w:r w:rsidRPr="00525040">
        <w:rPr>
          <w:rFonts w:eastAsia="Arial"/>
          <w:szCs w:val="22"/>
          <w:lang w:val="es-ES" w:eastAsia="en-ZA"/>
        </w:rPr>
        <w:lastRenderedPageBreak/>
        <w:t xml:space="preserve">En sesiones anteriores </w:t>
      </w:r>
      <w:r w:rsidRPr="00525040">
        <w:rPr>
          <w:lang w:val="es-ES"/>
        </w:rPr>
        <w:t>del Comité Permanente de Derecho de Autor y Derechos Conexos (SCCR), los Estados miembros del SCCR pidieron a la Secretaría de la OMPI que encargara un estudio exploratorio sobre las limitaciones y excepciones en favor de</w:t>
      </w:r>
      <w:r w:rsidR="00790360">
        <w:rPr>
          <w:lang w:val="es-ES"/>
        </w:rPr>
        <w:t xml:space="preserve"> las personas con discapacidad</w:t>
      </w:r>
      <w:r w:rsidRPr="00525040">
        <w:rPr>
          <w:lang w:val="es-ES"/>
        </w:rPr>
        <w:t xml:space="preserve"> no amparadas por el Tratado de Marrakech para facilitar el acceso a las obras publicadas a las personas ciegas, con discapacidad visual o con otras dificultades para acceder al texto impreso.</w:t>
      </w:r>
      <w:r w:rsidR="00E258D2" w:rsidRPr="00525040">
        <w:rPr>
          <w:rFonts w:eastAsia="Arial"/>
          <w:sz w:val="24"/>
          <w:szCs w:val="22"/>
          <w:vertAlign w:val="superscript"/>
          <w:lang w:val="es-ES" w:eastAsia="en-ZA"/>
        </w:rPr>
        <w:footnoteReference w:id="3"/>
      </w:r>
    </w:p>
    <w:p w:rsidR="00E258D2" w:rsidRPr="00525040" w:rsidRDefault="009A44AE" w:rsidP="00E258D2">
      <w:pPr>
        <w:spacing w:after="80" w:line="280" w:lineRule="exact"/>
        <w:rPr>
          <w:rFonts w:eastAsia="Arial"/>
          <w:szCs w:val="22"/>
          <w:lang w:val="es-ES" w:eastAsia="en-ZA"/>
        </w:rPr>
      </w:pPr>
      <w:r w:rsidRPr="00525040">
        <w:rPr>
          <w:lang w:val="es-ES"/>
        </w:rPr>
        <w:t>Este estudio se basa en el estudio encargado anteriormente, presentado por primera vez en noviembre de 2017.</w:t>
      </w:r>
      <w:r w:rsidRPr="00525040">
        <w:rPr>
          <w:rStyle w:val="FootnoteReference"/>
          <w:lang w:val="es-ES"/>
        </w:rPr>
        <w:footnoteReference w:id="4"/>
      </w:r>
      <w:r w:rsidRPr="00525040">
        <w:rPr>
          <w:lang w:val="es-ES"/>
        </w:rPr>
        <w:t xml:space="preserve"> Sin embargo, su metodología es muy diferente. En lugar de recopilar datos directamente de los Estados miembros de la OMPI por medio de un cuestionario específico, los autores del estudio han examinado de manera independiente la legislación de derecho de autor de cada Estado miembro de la OMPI. En el estudio se </w:t>
      </w:r>
      <w:r w:rsidR="00E70F37" w:rsidRPr="00525040">
        <w:rPr>
          <w:lang w:val="es-ES"/>
        </w:rPr>
        <w:t xml:space="preserve">ofrece un análisis más detallado de </w:t>
      </w:r>
      <w:r w:rsidRPr="00525040">
        <w:rPr>
          <w:lang w:val="es-ES"/>
        </w:rPr>
        <w:t xml:space="preserve">la situación actual </w:t>
      </w:r>
      <w:r w:rsidR="00E70F37" w:rsidRPr="00525040">
        <w:rPr>
          <w:lang w:val="es-ES"/>
        </w:rPr>
        <w:t xml:space="preserve">en el sentido </w:t>
      </w:r>
      <w:r w:rsidRPr="00525040">
        <w:rPr>
          <w:lang w:val="es-ES"/>
        </w:rPr>
        <w:t xml:space="preserve">de si los Estados miembros han adoptado o aplicado las medidas </w:t>
      </w:r>
      <w:r w:rsidR="00E70F37" w:rsidRPr="00525040">
        <w:rPr>
          <w:lang w:val="es-ES"/>
        </w:rPr>
        <w:t>necesarias en concordancia con el</w:t>
      </w:r>
      <w:r w:rsidRPr="00525040">
        <w:rPr>
          <w:lang w:val="es-ES"/>
        </w:rPr>
        <w:t xml:space="preserve"> Tratado de Marrakech y </w:t>
      </w:r>
      <w:r w:rsidR="00E70F37" w:rsidRPr="00525040">
        <w:rPr>
          <w:lang w:val="es-ES"/>
        </w:rPr>
        <w:t xml:space="preserve">hasta qué punto lo </w:t>
      </w:r>
      <w:r w:rsidRPr="00525040">
        <w:rPr>
          <w:lang w:val="es-ES"/>
        </w:rPr>
        <w:t>han hecho.</w:t>
      </w:r>
    </w:p>
    <w:p w:rsidR="009664E2" w:rsidRPr="00525040" w:rsidRDefault="009664E2" w:rsidP="009664E2">
      <w:pPr>
        <w:keepNext/>
        <w:spacing w:before="240" w:after="60"/>
        <w:outlineLvl w:val="0"/>
        <w:rPr>
          <w:rFonts w:eastAsia="Arial"/>
          <w:b/>
          <w:bCs/>
          <w:caps/>
          <w:kern w:val="32"/>
          <w:szCs w:val="22"/>
          <w:lang w:val="es-ES"/>
        </w:rPr>
      </w:pPr>
      <w:bookmarkStart w:id="8" w:name="_3r1peabwkk67"/>
      <w:bookmarkEnd w:id="4"/>
      <w:bookmarkEnd w:id="5"/>
      <w:bookmarkEnd w:id="6"/>
      <w:bookmarkEnd w:id="8"/>
      <w:r w:rsidRPr="00525040">
        <w:rPr>
          <w:rFonts w:eastAsia="Arial"/>
          <w:b/>
          <w:bCs/>
          <w:caps/>
          <w:kern w:val="32"/>
          <w:szCs w:val="22"/>
          <w:lang w:val="es-ES"/>
        </w:rPr>
        <w:t>Antecedentes</w:t>
      </w:r>
    </w:p>
    <w:p w:rsidR="00E258D2" w:rsidRPr="00525040" w:rsidRDefault="00636492" w:rsidP="00E0178B">
      <w:pPr>
        <w:spacing w:after="80" w:line="276" w:lineRule="auto"/>
        <w:rPr>
          <w:rFonts w:eastAsia="Arial"/>
          <w:szCs w:val="22"/>
          <w:lang w:val="es-ES" w:eastAsia="en-ZA"/>
        </w:rPr>
      </w:pPr>
      <w:r w:rsidRPr="00525040">
        <w:rPr>
          <w:rFonts w:eastAsia="Arial"/>
          <w:szCs w:val="22"/>
          <w:lang w:val="es-ES" w:eastAsia="en-ZA"/>
        </w:rPr>
        <w:t xml:space="preserve">La Organización Mundial de la Salud (OMS) calcula que aproximadamente el 15% de las personas </w:t>
      </w:r>
      <w:r w:rsidR="007751C1">
        <w:rPr>
          <w:rFonts w:eastAsia="Arial"/>
          <w:szCs w:val="22"/>
          <w:lang w:val="es-ES" w:eastAsia="en-ZA"/>
        </w:rPr>
        <w:t>sufren de</w:t>
      </w:r>
      <w:r w:rsidRPr="00525040">
        <w:rPr>
          <w:rFonts w:eastAsia="Arial"/>
          <w:szCs w:val="22"/>
          <w:lang w:val="es-ES" w:eastAsia="en-ZA"/>
        </w:rPr>
        <w:t xml:space="preserve"> discapacidad.</w:t>
      </w:r>
      <w:r w:rsidR="00E258D2" w:rsidRPr="00525040">
        <w:rPr>
          <w:rFonts w:eastAsia="Arial"/>
          <w:szCs w:val="22"/>
          <w:vertAlign w:val="superscript"/>
          <w:lang w:val="es-ES" w:eastAsia="en-ZA"/>
        </w:rPr>
        <w:footnoteReference w:id="5"/>
      </w:r>
      <w:r w:rsidR="00E258D2" w:rsidRPr="00525040">
        <w:rPr>
          <w:rFonts w:eastAsia="Arial"/>
          <w:szCs w:val="22"/>
          <w:lang w:val="es-ES" w:eastAsia="en-ZA"/>
        </w:rPr>
        <w:t xml:space="preserve"> </w:t>
      </w:r>
      <w:r w:rsidRPr="00525040">
        <w:rPr>
          <w:rFonts w:eastAsia="Arial"/>
          <w:szCs w:val="22"/>
          <w:lang w:val="es-ES" w:eastAsia="en-ZA"/>
        </w:rPr>
        <w:t>Las discapacidades afectan de manera desproporcionada a las personas de los países en desarrollo</w:t>
      </w:r>
      <w:r w:rsidR="00E258D2" w:rsidRPr="00525040">
        <w:rPr>
          <w:rFonts w:eastAsia="Arial"/>
          <w:szCs w:val="22"/>
          <w:lang w:val="es-ES" w:eastAsia="en-ZA"/>
        </w:rPr>
        <w:t>.</w:t>
      </w:r>
      <w:r w:rsidR="00E258D2" w:rsidRPr="00525040">
        <w:rPr>
          <w:rFonts w:eastAsia="Arial"/>
          <w:szCs w:val="22"/>
          <w:vertAlign w:val="superscript"/>
          <w:lang w:val="es-ES" w:eastAsia="en-ZA"/>
        </w:rPr>
        <w:footnoteReference w:id="6"/>
      </w:r>
      <w:r w:rsidR="00E258D2" w:rsidRPr="00525040">
        <w:rPr>
          <w:rFonts w:eastAsia="Arial"/>
          <w:szCs w:val="22"/>
          <w:lang w:val="es-ES" w:eastAsia="en-ZA"/>
        </w:rPr>
        <w:t xml:space="preserve"> </w:t>
      </w:r>
      <w:r w:rsidRPr="00525040">
        <w:rPr>
          <w:rFonts w:eastAsia="Arial"/>
          <w:szCs w:val="22"/>
          <w:lang w:val="es-ES" w:eastAsia="en-ZA"/>
        </w:rPr>
        <w:t>Además, la OMS afirma que la tasa de discapacidad va en aumento.</w:t>
      </w:r>
      <w:r w:rsidR="00E258D2" w:rsidRPr="00525040">
        <w:rPr>
          <w:rFonts w:eastAsia="Arial"/>
          <w:szCs w:val="22"/>
          <w:vertAlign w:val="superscript"/>
          <w:lang w:val="es-ES" w:eastAsia="en-ZA"/>
        </w:rPr>
        <w:footnoteReference w:id="7"/>
      </w:r>
      <w:r w:rsidR="009902B7" w:rsidRPr="00525040">
        <w:rPr>
          <w:rFonts w:eastAsia="Arial"/>
          <w:szCs w:val="22"/>
          <w:lang w:val="es-ES" w:eastAsia="en-ZA"/>
        </w:rPr>
        <w:t xml:space="preserve"> En el preámbulo de la </w:t>
      </w:r>
      <w:r w:rsidRPr="00525040">
        <w:rPr>
          <w:rFonts w:eastAsia="Arial"/>
          <w:szCs w:val="22"/>
          <w:lang w:val="es-ES" w:eastAsia="en-ZA"/>
        </w:rPr>
        <w:t xml:space="preserve">Convención </w:t>
      </w:r>
      <w:r w:rsidRPr="00790360">
        <w:rPr>
          <w:rFonts w:eastAsia="Arial"/>
          <w:szCs w:val="22"/>
          <w:lang w:val="es-ES" w:eastAsia="en-ZA"/>
        </w:rPr>
        <w:t>sobre los Derechos de las Personas con Discapacidad</w:t>
      </w:r>
      <w:r w:rsidRPr="00525040">
        <w:rPr>
          <w:rFonts w:eastAsia="Arial"/>
          <w:szCs w:val="22"/>
          <w:lang w:val="es-ES" w:eastAsia="en-ZA"/>
        </w:rPr>
        <w:t xml:space="preserve"> </w:t>
      </w:r>
      <w:r w:rsidR="009902B7" w:rsidRPr="00525040">
        <w:rPr>
          <w:rFonts w:eastAsia="Arial"/>
          <w:szCs w:val="22"/>
          <w:lang w:val="es-ES" w:eastAsia="en-ZA"/>
        </w:rPr>
        <w:t xml:space="preserve">se </w:t>
      </w:r>
      <w:r w:rsidR="007751C1">
        <w:rPr>
          <w:rFonts w:eastAsia="Arial"/>
          <w:szCs w:val="22"/>
          <w:lang w:val="es-ES" w:eastAsia="en-ZA"/>
        </w:rPr>
        <w:t>determina</w:t>
      </w:r>
      <w:r w:rsidR="009902B7" w:rsidRPr="00525040">
        <w:rPr>
          <w:rFonts w:eastAsia="Arial"/>
          <w:szCs w:val="22"/>
          <w:lang w:val="es-ES" w:eastAsia="en-ZA"/>
        </w:rPr>
        <w:t xml:space="preserve"> la discapacidad en sentido amplio:</w:t>
      </w:r>
    </w:p>
    <w:p w:rsidR="009902B7" w:rsidRPr="00525040" w:rsidRDefault="00CE1AD3" w:rsidP="009902B7">
      <w:pPr>
        <w:spacing w:after="80" w:line="280" w:lineRule="exact"/>
        <w:ind w:left="720" w:right="720"/>
        <w:rPr>
          <w:lang w:val="es-ES"/>
        </w:rPr>
      </w:pPr>
      <w:r w:rsidRPr="00525040">
        <w:rPr>
          <w:lang w:val="es-ES"/>
        </w:rPr>
        <w:t>…</w:t>
      </w:r>
      <w:r w:rsidR="009902B7" w:rsidRPr="00525040">
        <w:rPr>
          <w:lang w:val="es-ES"/>
        </w:rPr>
        <w:t>la discapacidad […] resulta de la interacción entre las personas con deficiencias y las barreras debidas a la actitud y al entorno que evitan su participación plena y efectiva en la sociedad, en igualdad de condiciones con las demás…</w:t>
      </w:r>
      <w:r w:rsidR="009902B7" w:rsidRPr="00525040">
        <w:rPr>
          <w:rFonts w:eastAsia="Arial"/>
          <w:szCs w:val="22"/>
          <w:vertAlign w:val="superscript"/>
          <w:lang w:val="es-ES" w:eastAsia="en-ZA"/>
        </w:rPr>
        <w:footnoteReference w:id="8"/>
      </w:r>
    </w:p>
    <w:p w:rsidR="00A46487" w:rsidRPr="00525040" w:rsidRDefault="00A46487" w:rsidP="00E258D2">
      <w:pPr>
        <w:spacing w:after="80" w:line="280" w:lineRule="exact"/>
        <w:rPr>
          <w:rFonts w:eastAsia="Arial"/>
          <w:szCs w:val="22"/>
          <w:lang w:val="es-ES" w:eastAsia="en-ZA"/>
        </w:rPr>
      </w:pPr>
      <w:r w:rsidRPr="00525040">
        <w:rPr>
          <w:rFonts w:eastAsia="Arial"/>
          <w:szCs w:val="22"/>
          <w:lang w:val="es-ES" w:eastAsia="en-ZA"/>
        </w:rPr>
        <w:t>Esta concepción de la discapacidad basada en los derechos humanos es un cambio con respecto a los modelos médicos que se consideran una limitación de los derechos de las personas con discapacidad y que impiden su plena participación en la sociedad.</w:t>
      </w:r>
      <w:r w:rsidRPr="00525040">
        <w:rPr>
          <w:rFonts w:eastAsia="Arial"/>
          <w:szCs w:val="22"/>
          <w:vertAlign w:val="superscript"/>
          <w:lang w:val="es-ES" w:eastAsia="en-ZA"/>
        </w:rPr>
        <w:footnoteReference w:id="9"/>
      </w:r>
      <w:r w:rsidRPr="00525040">
        <w:rPr>
          <w:rFonts w:eastAsia="Arial"/>
          <w:szCs w:val="22"/>
          <w:lang w:val="es-ES" w:eastAsia="en-ZA"/>
        </w:rPr>
        <w:t xml:space="preserve"> Como se mencionó en el estudio anterior, si bien cada persona con discapacidad se enfrenta a problemas singulares, es útil definir varias categorías distintas y amplias de discapacidad a fin de reconocer las necesidades comunes de esas poblaciones.</w:t>
      </w:r>
      <w:r w:rsidRPr="00525040">
        <w:rPr>
          <w:rFonts w:eastAsia="Arial"/>
          <w:szCs w:val="22"/>
          <w:vertAlign w:val="superscript"/>
          <w:lang w:val="es-ES" w:eastAsia="en-ZA"/>
        </w:rPr>
        <w:t xml:space="preserve"> </w:t>
      </w:r>
      <w:r w:rsidRPr="00525040">
        <w:rPr>
          <w:rFonts w:eastAsia="Arial"/>
          <w:szCs w:val="22"/>
          <w:vertAlign w:val="superscript"/>
          <w:lang w:val="es-ES" w:eastAsia="en-ZA"/>
        </w:rPr>
        <w:footnoteReference w:id="10"/>
      </w:r>
      <w:r w:rsidRPr="00525040">
        <w:rPr>
          <w:rFonts w:eastAsia="Arial"/>
          <w:szCs w:val="22"/>
          <w:lang w:val="es-ES" w:eastAsia="en-ZA"/>
        </w:rPr>
        <w:t xml:space="preserve"> En el presente estudio se han determinado varias categorías de discapacidades, que se suman y se superponen a las dificultades para acceder al texto impreso que abarca el Tratado de Marrakech, que se ven afectadas por el acceso al material protegido por derecho de autor. </w:t>
      </w:r>
    </w:p>
    <w:p w:rsidR="00E258D2" w:rsidRPr="00525040" w:rsidRDefault="00A46487" w:rsidP="00E258D2">
      <w:pPr>
        <w:widowControl w:val="0"/>
        <w:numPr>
          <w:ilvl w:val="0"/>
          <w:numId w:val="12"/>
        </w:numPr>
        <w:spacing w:after="80" w:line="300" w:lineRule="auto"/>
        <w:rPr>
          <w:rFonts w:ascii="Cambria" w:eastAsia="Cambria" w:hAnsi="Cambria" w:cs="Cambria"/>
          <w:lang w:val="es-ES"/>
        </w:rPr>
      </w:pPr>
      <w:bookmarkStart w:id="9" w:name="_Hlk2068821"/>
      <w:r w:rsidRPr="00525040">
        <w:rPr>
          <w:i/>
          <w:lang w:val="es-ES"/>
        </w:rPr>
        <w:t>Auditiva</w:t>
      </w:r>
      <w:r w:rsidR="00F15EED" w:rsidRPr="00525040">
        <w:rPr>
          <w:i/>
          <w:lang w:val="es-ES"/>
        </w:rPr>
        <w:t>s</w:t>
      </w:r>
      <w:r w:rsidR="00E258D2" w:rsidRPr="00525040">
        <w:rPr>
          <w:i/>
          <w:lang w:val="es-ES"/>
        </w:rPr>
        <w:t>:</w:t>
      </w:r>
      <w:r w:rsidR="00E258D2" w:rsidRPr="00525040">
        <w:rPr>
          <w:lang w:val="es-ES"/>
        </w:rPr>
        <w:t xml:space="preserve"> </w:t>
      </w:r>
      <w:r w:rsidR="00C1262D" w:rsidRPr="00525040">
        <w:rPr>
          <w:lang w:val="es-ES"/>
        </w:rPr>
        <w:t>las personas sordas o con problemas auditivos encuentran barreras</w:t>
      </w:r>
      <w:r w:rsidR="00E258D2" w:rsidRPr="00525040">
        <w:rPr>
          <w:lang w:val="es-ES"/>
        </w:rPr>
        <w:t xml:space="preserve"> </w:t>
      </w:r>
      <w:r w:rsidR="00C1262D" w:rsidRPr="00525040">
        <w:rPr>
          <w:lang w:val="es-ES"/>
        </w:rPr>
        <w:t xml:space="preserve">para </w:t>
      </w:r>
      <w:r w:rsidR="00C1262D" w:rsidRPr="00525040">
        <w:rPr>
          <w:lang w:val="es-ES"/>
        </w:rPr>
        <w:lastRenderedPageBreak/>
        <w:t xml:space="preserve">acceder al material de audio o </w:t>
      </w:r>
      <w:r w:rsidR="00E258D2" w:rsidRPr="00525040">
        <w:rPr>
          <w:lang w:val="es-ES"/>
        </w:rPr>
        <w:t xml:space="preserve">audiovisual. </w:t>
      </w:r>
    </w:p>
    <w:p w:rsidR="00694AC9" w:rsidRPr="00525040" w:rsidRDefault="00E258D2" w:rsidP="00694AC9">
      <w:pPr>
        <w:widowControl w:val="0"/>
        <w:numPr>
          <w:ilvl w:val="0"/>
          <w:numId w:val="12"/>
        </w:numPr>
        <w:spacing w:after="80" w:line="300" w:lineRule="auto"/>
        <w:rPr>
          <w:rFonts w:ascii="Cambria" w:eastAsia="Cambria" w:hAnsi="Cambria" w:cs="Cambria"/>
          <w:lang w:val="es-ES"/>
        </w:rPr>
      </w:pPr>
      <w:r w:rsidRPr="00525040">
        <w:rPr>
          <w:i/>
          <w:lang w:val="es-ES"/>
        </w:rPr>
        <w:t>Visual</w:t>
      </w:r>
      <w:r w:rsidR="00F15EED" w:rsidRPr="00525040">
        <w:rPr>
          <w:i/>
          <w:lang w:val="es-ES"/>
        </w:rPr>
        <w:t>es</w:t>
      </w:r>
      <w:r w:rsidR="00694AC9" w:rsidRPr="00525040">
        <w:rPr>
          <w:i/>
          <w:lang w:val="es-ES"/>
        </w:rPr>
        <w:t>:</w:t>
      </w:r>
      <w:r w:rsidR="00694AC9" w:rsidRPr="00525040">
        <w:rPr>
          <w:lang w:val="es-ES"/>
        </w:rPr>
        <w:t xml:space="preserve"> las personas sordociegas o con otro tipo de ceguera y con problemas auditivos o las personas sordas y con discapacidad visual tienen problemas para acceder a las obras de audio, visuales y audiovisuales.</w:t>
      </w:r>
    </w:p>
    <w:p w:rsidR="00E258D2" w:rsidRPr="00525040" w:rsidRDefault="00A46487" w:rsidP="00E258D2">
      <w:pPr>
        <w:widowControl w:val="0"/>
        <w:numPr>
          <w:ilvl w:val="0"/>
          <w:numId w:val="12"/>
        </w:numPr>
        <w:spacing w:after="80" w:line="300" w:lineRule="auto"/>
        <w:rPr>
          <w:rFonts w:ascii="Cambria" w:eastAsia="Cambria" w:hAnsi="Cambria" w:cs="Cambria"/>
          <w:lang w:val="es-ES"/>
        </w:rPr>
      </w:pPr>
      <w:r w:rsidRPr="00525040">
        <w:rPr>
          <w:i/>
          <w:lang w:val="es-ES"/>
        </w:rPr>
        <w:t>Cognitiva</w:t>
      </w:r>
      <w:r w:rsidR="00F15EED" w:rsidRPr="00525040">
        <w:rPr>
          <w:i/>
          <w:lang w:val="es-ES"/>
        </w:rPr>
        <w:t>s</w:t>
      </w:r>
      <w:r w:rsidR="00E258D2" w:rsidRPr="00525040">
        <w:rPr>
          <w:i/>
          <w:lang w:val="es-ES"/>
        </w:rPr>
        <w:t>:</w:t>
      </w:r>
      <w:r w:rsidR="00E258D2" w:rsidRPr="00525040">
        <w:rPr>
          <w:lang w:val="es-ES"/>
        </w:rPr>
        <w:t xml:space="preserve"> </w:t>
      </w:r>
      <w:r w:rsidR="00694AC9" w:rsidRPr="00525040">
        <w:rPr>
          <w:lang w:val="es-ES"/>
        </w:rPr>
        <w:t xml:space="preserve">las personas con discapacidad cognitiva e intelectual </w:t>
      </w:r>
      <w:r w:rsidR="00D0667B">
        <w:rPr>
          <w:lang w:val="es-ES"/>
        </w:rPr>
        <w:t xml:space="preserve">afrontan </w:t>
      </w:r>
      <w:r w:rsidR="00694AC9" w:rsidRPr="00525040">
        <w:rPr>
          <w:lang w:val="es-ES"/>
        </w:rPr>
        <w:t>una serie de problemas para acceder a una gama de medios protegidos, entre otros, las obras visuales, de audio y audiovisuales.</w:t>
      </w:r>
    </w:p>
    <w:p w:rsidR="00E258D2" w:rsidRPr="00525040" w:rsidRDefault="00A46487" w:rsidP="00E258D2">
      <w:pPr>
        <w:widowControl w:val="0"/>
        <w:numPr>
          <w:ilvl w:val="0"/>
          <w:numId w:val="12"/>
        </w:numPr>
        <w:spacing w:after="80" w:line="300" w:lineRule="auto"/>
        <w:rPr>
          <w:rFonts w:ascii="Cambria" w:eastAsia="Cambria" w:hAnsi="Cambria" w:cs="Cambria"/>
          <w:lang w:val="es-ES"/>
        </w:rPr>
      </w:pPr>
      <w:r w:rsidRPr="00525040">
        <w:rPr>
          <w:i/>
          <w:lang w:val="es-ES"/>
        </w:rPr>
        <w:t>Física</w:t>
      </w:r>
      <w:r w:rsidR="00F15EED" w:rsidRPr="00525040">
        <w:rPr>
          <w:i/>
          <w:lang w:val="es-ES"/>
        </w:rPr>
        <w:t>s</w:t>
      </w:r>
      <w:r w:rsidR="00E258D2" w:rsidRPr="00525040">
        <w:rPr>
          <w:i/>
          <w:lang w:val="es-ES"/>
        </w:rPr>
        <w:t>:</w:t>
      </w:r>
      <w:r w:rsidR="00E258D2" w:rsidRPr="00525040">
        <w:rPr>
          <w:lang w:val="es-ES"/>
        </w:rPr>
        <w:t xml:space="preserve"> </w:t>
      </w:r>
      <w:r w:rsidR="00694AC9" w:rsidRPr="00525040">
        <w:rPr>
          <w:lang w:val="es-ES"/>
        </w:rPr>
        <w:t>las personas con discapacidad física o motora no pueden interactuar físicamente con el material protegido por derecho de autor, lo que les impide acceder a su contenido, incluidas las obras visuales, de audio y audiovisuales.</w:t>
      </w:r>
    </w:p>
    <w:p w:rsidR="00E258D2" w:rsidRPr="00525040" w:rsidRDefault="00A46487" w:rsidP="00E258D2">
      <w:pPr>
        <w:widowControl w:val="0"/>
        <w:numPr>
          <w:ilvl w:val="0"/>
          <w:numId w:val="12"/>
        </w:numPr>
        <w:spacing w:after="80" w:line="300" w:lineRule="auto"/>
        <w:rPr>
          <w:rFonts w:ascii="Cambria" w:eastAsia="Cambria" w:hAnsi="Cambria" w:cs="Cambria"/>
          <w:lang w:val="es-ES"/>
        </w:rPr>
      </w:pPr>
      <w:r w:rsidRPr="00525040">
        <w:rPr>
          <w:i/>
          <w:lang w:val="es-ES"/>
        </w:rPr>
        <w:t>Mú</w:t>
      </w:r>
      <w:r w:rsidR="00E258D2" w:rsidRPr="00525040">
        <w:rPr>
          <w:i/>
          <w:lang w:val="es-ES"/>
        </w:rPr>
        <w:t>ltiple</w:t>
      </w:r>
      <w:r w:rsidR="00F15EED" w:rsidRPr="00525040">
        <w:rPr>
          <w:i/>
          <w:lang w:val="es-ES"/>
        </w:rPr>
        <w:t>s</w:t>
      </w:r>
      <w:r w:rsidR="00E258D2" w:rsidRPr="00525040">
        <w:rPr>
          <w:i/>
          <w:lang w:val="es-ES"/>
        </w:rPr>
        <w:t>:</w:t>
      </w:r>
      <w:r w:rsidR="00E258D2" w:rsidRPr="00525040">
        <w:rPr>
          <w:lang w:val="es-ES"/>
        </w:rPr>
        <w:t xml:space="preserve"> </w:t>
      </w:r>
      <w:bookmarkEnd w:id="9"/>
      <w:r w:rsidR="00694AC9" w:rsidRPr="00525040">
        <w:rPr>
          <w:lang w:val="es-ES"/>
        </w:rPr>
        <w:t xml:space="preserve">las personas con múltiples discapacidades </w:t>
      </w:r>
      <w:r w:rsidR="00D0667B">
        <w:rPr>
          <w:lang w:val="es-ES"/>
        </w:rPr>
        <w:t>afrontan</w:t>
      </w:r>
      <w:r w:rsidR="00694AC9" w:rsidRPr="00525040">
        <w:rPr>
          <w:lang w:val="es-ES"/>
        </w:rPr>
        <w:t xml:space="preserve"> problemas singulares ya que para acceder al contenido</w:t>
      </w:r>
      <w:r w:rsidR="00D0667B" w:rsidRPr="00D0667B">
        <w:rPr>
          <w:lang w:val="es-ES"/>
        </w:rPr>
        <w:t xml:space="preserve"> </w:t>
      </w:r>
      <w:r w:rsidR="00D0667B" w:rsidRPr="00525040">
        <w:rPr>
          <w:lang w:val="es-ES"/>
        </w:rPr>
        <w:t>son necesarias diferentes o múltiples transformaciones</w:t>
      </w:r>
      <w:r w:rsidR="00694AC9" w:rsidRPr="00525040">
        <w:rPr>
          <w:lang w:val="es-ES"/>
        </w:rPr>
        <w:t>.</w:t>
      </w:r>
    </w:p>
    <w:p w:rsidR="00E258D2" w:rsidRPr="00525040" w:rsidRDefault="00031BA4" w:rsidP="00031BA4">
      <w:pPr>
        <w:spacing w:after="80" w:line="280" w:lineRule="exact"/>
        <w:rPr>
          <w:rFonts w:eastAsia="Arial"/>
          <w:szCs w:val="22"/>
          <w:lang w:val="es-ES" w:eastAsia="en-ZA"/>
        </w:rPr>
      </w:pPr>
      <w:r w:rsidRPr="00525040">
        <w:rPr>
          <w:rFonts w:eastAsia="Arial"/>
          <w:szCs w:val="22"/>
          <w:lang w:val="es-ES" w:eastAsia="en-ZA"/>
        </w:rPr>
        <w:t xml:space="preserve">Las personas con dificultad para acceder al texto impreso </w:t>
      </w:r>
      <w:r w:rsidR="002D50B7" w:rsidRPr="00525040">
        <w:rPr>
          <w:rFonts w:eastAsia="Arial"/>
          <w:szCs w:val="22"/>
          <w:lang w:val="es-ES" w:eastAsia="en-ZA"/>
        </w:rPr>
        <w:t>comprendidas en la definición d</w:t>
      </w:r>
      <w:r w:rsidRPr="00525040">
        <w:rPr>
          <w:rFonts w:eastAsia="Arial"/>
          <w:szCs w:val="22"/>
          <w:lang w:val="es-ES" w:eastAsia="en-ZA"/>
        </w:rPr>
        <w:t xml:space="preserve">el Tratado de Marrakech se examinan en el marco de este estudio </w:t>
      </w:r>
      <w:r w:rsidR="002D50B7" w:rsidRPr="00525040">
        <w:rPr>
          <w:rFonts w:eastAsia="Arial"/>
          <w:szCs w:val="22"/>
          <w:lang w:val="es-ES" w:eastAsia="en-ZA"/>
        </w:rPr>
        <w:t>en relación con</w:t>
      </w:r>
      <w:r w:rsidRPr="00525040">
        <w:rPr>
          <w:rFonts w:eastAsia="Arial"/>
          <w:szCs w:val="22"/>
          <w:lang w:val="es-ES" w:eastAsia="en-ZA"/>
        </w:rPr>
        <w:t xml:space="preserve"> las obras no </w:t>
      </w:r>
      <w:r w:rsidR="00C63837" w:rsidRPr="00525040">
        <w:rPr>
          <w:rFonts w:eastAsia="Arial"/>
          <w:szCs w:val="22"/>
          <w:lang w:val="es-ES" w:eastAsia="en-ZA"/>
        </w:rPr>
        <w:t>contempladas</w:t>
      </w:r>
      <w:r w:rsidRPr="00525040">
        <w:rPr>
          <w:rFonts w:eastAsia="Arial"/>
          <w:szCs w:val="22"/>
          <w:lang w:val="es-ES" w:eastAsia="en-ZA"/>
        </w:rPr>
        <w:t xml:space="preserve"> en el </w:t>
      </w:r>
      <w:r w:rsidR="00C63837" w:rsidRPr="00525040">
        <w:rPr>
          <w:rFonts w:eastAsia="Arial"/>
          <w:szCs w:val="22"/>
          <w:lang w:val="es-ES" w:eastAsia="en-ZA"/>
        </w:rPr>
        <w:t>T</w:t>
      </w:r>
      <w:r w:rsidRPr="00525040">
        <w:rPr>
          <w:rFonts w:eastAsia="Arial"/>
          <w:szCs w:val="22"/>
          <w:lang w:val="es-ES" w:eastAsia="en-ZA"/>
        </w:rPr>
        <w:t xml:space="preserve">ratado. </w:t>
      </w:r>
      <w:r w:rsidR="00C63837" w:rsidRPr="00525040">
        <w:rPr>
          <w:rFonts w:eastAsia="Arial"/>
          <w:szCs w:val="22"/>
          <w:lang w:val="es-ES" w:eastAsia="en-ZA"/>
        </w:rPr>
        <w:t>Quienes</w:t>
      </w:r>
      <w:r w:rsidRPr="00525040">
        <w:rPr>
          <w:rFonts w:eastAsia="Arial"/>
          <w:szCs w:val="22"/>
          <w:lang w:val="es-ES" w:eastAsia="en-ZA"/>
        </w:rPr>
        <w:t xml:space="preserve"> están protegidos por la definición del Tratado de Marrakech pueden bene</w:t>
      </w:r>
      <w:r w:rsidR="002D50B7" w:rsidRPr="00525040">
        <w:rPr>
          <w:rFonts w:eastAsia="Arial"/>
          <w:szCs w:val="22"/>
          <w:lang w:val="es-ES" w:eastAsia="en-ZA"/>
        </w:rPr>
        <w:t>ficiarse del acceso a material protegido</w:t>
      </w:r>
      <w:r w:rsidRPr="00525040">
        <w:rPr>
          <w:rFonts w:eastAsia="Arial"/>
          <w:szCs w:val="22"/>
          <w:lang w:val="es-ES" w:eastAsia="en-ZA"/>
        </w:rPr>
        <w:t xml:space="preserve"> </w:t>
      </w:r>
      <w:r w:rsidR="00C63837" w:rsidRPr="00525040">
        <w:rPr>
          <w:rFonts w:eastAsia="Arial"/>
          <w:szCs w:val="22"/>
          <w:lang w:val="es-ES" w:eastAsia="en-ZA"/>
        </w:rPr>
        <w:t>d</w:t>
      </w:r>
      <w:r w:rsidR="002D50B7" w:rsidRPr="00525040">
        <w:rPr>
          <w:rFonts w:eastAsia="Arial"/>
          <w:szCs w:val="22"/>
          <w:lang w:val="es-ES" w:eastAsia="en-ZA"/>
        </w:rPr>
        <w:t>istinto del</w:t>
      </w:r>
      <w:r w:rsidR="00C63837" w:rsidRPr="00525040">
        <w:rPr>
          <w:rFonts w:eastAsia="Arial"/>
          <w:szCs w:val="22"/>
          <w:lang w:val="es-ES" w:eastAsia="en-ZA"/>
        </w:rPr>
        <w:t xml:space="preserve"> </w:t>
      </w:r>
      <w:r w:rsidR="002D50B7" w:rsidRPr="00525040">
        <w:rPr>
          <w:rFonts w:eastAsia="Arial"/>
          <w:szCs w:val="22"/>
          <w:lang w:val="es-ES" w:eastAsia="en-ZA"/>
        </w:rPr>
        <w:t>material impreso</w:t>
      </w:r>
      <w:r w:rsidRPr="00525040">
        <w:rPr>
          <w:rFonts w:eastAsia="Arial"/>
          <w:szCs w:val="22"/>
          <w:lang w:val="es-ES" w:eastAsia="en-ZA"/>
        </w:rPr>
        <w:t xml:space="preserve">. </w:t>
      </w:r>
      <w:r w:rsidR="002D50B7" w:rsidRPr="00525040">
        <w:rPr>
          <w:rFonts w:eastAsia="Arial"/>
          <w:szCs w:val="22"/>
          <w:lang w:val="es-ES" w:eastAsia="en-ZA"/>
        </w:rPr>
        <w:t xml:space="preserve">El </w:t>
      </w:r>
      <w:r w:rsidRPr="00525040">
        <w:rPr>
          <w:rFonts w:eastAsia="Arial"/>
          <w:szCs w:val="22"/>
          <w:lang w:val="es-ES" w:eastAsia="en-ZA"/>
        </w:rPr>
        <w:t xml:space="preserve">texto impreso es solo una parte del material cultural </w:t>
      </w:r>
      <w:r w:rsidR="002D50B7" w:rsidRPr="00525040">
        <w:rPr>
          <w:rFonts w:eastAsia="Arial"/>
          <w:szCs w:val="22"/>
          <w:lang w:val="es-ES" w:eastAsia="en-ZA"/>
        </w:rPr>
        <w:t xml:space="preserve">al </w:t>
      </w:r>
      <w:r w:rsidRPr="00525040">
        <w:rPr>
          <w:rFonts w:eastAsia="Arial"/>
          <w:szCs w:val="22"/>
          <w:lang w:val="es-ES" w:eastAsia="en-ZA"/>
        </w:rPr>
        <w:t xml:space="preserve">que </w:t>
      </w:r>
      <w:r w:rsidR="002D50B7" w:rsidRPr="00525040">
        <w:rPr>
          <w:rFonts w:eastAsia="Arial"/>
          <w:szCs w:val="22"/>
          <w:lang w:val="es-ES" w:eastAsia="en-ZA"/>
        </w:rPr>
        <w:t xml:space="preserve">acceden </w:t>
      </w:r>
      <w:r w:rsidRPr="00525040">
        <w:rPr>
          <w:rFonts w:eastAsia="Arial"/>
          <w:szCs w:val="22"/>
          <w:lang w:val="es-ES" w:eastAsia="en-ZA"/>
        </w:rPr>
        <w:t xml:space="preserve">las personas con discapacidad </w:t>
      </w:r>
      <w:r w:rsidR="002D50B7" w:rsidRPr="00525040">
        <w:rPr>
          <w:rFonts w:eastAsia="Arial"/>
          <w:szCs w:val="22"/>
          <w:lang w:val="es-ES" w:eastAsia="en-ZA"/>
        </w:rPr>
        <w:t>para</w:t>
      </w:r>
      <w:r w:rsidRPr="00525040">
        <w:rPr>
          <w:rFonts w:eastAsia="Arial"/>
          <w:szCs w:val="22"/>
          <w:lang w:val="es-ES" w:eastAsia="en-ZA"/>
        </w:rPr>
        <w:t xml:space="preserve"> participar en pie de igualdad en sus comunidades. </w:t>
      </w:r>
      <w:r w:rsidR="002D50B7" w:rsidRPr="00525040">
        <w:rPr>
          <w:rFonts w:eastAsia="Arial"/>
          <w:szCs w:val="22"/>
          <w:lang w:val="es-ES" w:eastAsia="en-ZA"/>
        </w:rPr>
        <w:t>Es posible que l</w:t>
      </w:r>
      <w:r w:rsidRPr="00525040">
        <w:rPr>
          <w:rFonts w:eastAsia="Arial"/>
          <w:szCs w:val="22"/>
          <w:lang w:val="es-ES" w:eastAsia="en-ZA"/>
        </w:rPr>
        <w:t xml:space="preserve">as personas que reúnen las condiciones </w:t>
      </w:r>
      <w:r w:rsidR="002D50B7" w:rsidRPr="00525040">
        <w:rPr>
          <w:rFonts w:eastAsia="Arial"/>
          <w:szCs w:val="22"/>
          <w:lang w:val="es-ES" w:eastAsia="en-ZA"/>
        </w:rPr>
        <w:t xml:space="preserve">necesarias </w:t>
      </w:r>
      <w:r w:rsidRPr="00525040">
        <w:rPr>
          <w:rFonts w:eastAsia="Arial"/>
          <w:szCs w:val="22"/>
          <w:lang w:val="es-ES" w:eastAsia="en-ZA"/>
        </w:rPr>
        <w:t xml:space="preserve">para ser beneficiarias del Tratado de Marrakech </w:t>
      </w:r>
      <w:r w:rsidR="002D50B7" w:rsidRPr="00525040">
        <w:rPr>
          <w:rFonts w:eastAsia="Arial"/>
          <w:szCs w:val="22"/>
          <w:lang w:val="es-ES" w:eastAsia="en-ZA"/>
        </w:rPr>
        <w:t xml:space="preserve">se vean impedidas de acceder a otro material protegido en razón de </w:t>
      </w:r>
      <w:r w:rsidRPr="00525040">
        <w:rPr>
          <w:rFonts w:eastAsia="Arial"/>
          <w:szCs w:val="22"/>
          <w:lang w:val="es-ES" w:eastAsia="en-ZA"/>
        </w:rPr>
        <w:t>su</w:t>
      </w:r>
      <w:r w:rsidR="002D50B7" w:rsidRPr="00525040">
        <w:rPr>
          <w:rFonts w:eastAsia="Arial"/>
          <w:szCs w:val="22"/>
          <w:lang w:val="es-ES" w:eastAsia="en-ZA"/>
        </w:rPr>
        <w:t xml:space="preserve"> discapacidad</w:t>
      </w:r>
      <w:r w:rsidRPr="00525040">
        <w:rPr>
          <w:rFonts w:eastAsia="Arial"/>
          <w:szCs w:val="22"/>
          <w:lang w:val="es-ES" w:eastAsia="en-ZA"/>
        </w:rPr>
        <w:t xml:space="preserve">. Al mismo tiempo, </w:t>
      </w:r>
      <w:r w:rsidR="002D50B7" w:rsidRPr="00525040">
        <w:rPr>
          <w:rFonts w:eastAsia="Arial"/>
          <w:szCs w:val="22"/>
          <w:lang w:val="es-ES" w:eastAsia="en-ZA"/>
        </w:rPr>
        <w:t xml:space="preserve">también se consideran </w:t>
      </w:r>
      <w:r w:rsidRPr="00525040">
        <w:rPr>
          <w:rFonts w:eastAsia="Arial"/>
          <w:szCs w:val="22"/>
          <w:lang w:val="es-ES" w:eastAsia="en-ZA"/>
        </w:rPr>
        <w:t xml:space="preserve">las obras en forma de texto </w:t>
      </w:r>
      <w:r w:rsidR="002D50B7" w:rsidRPr="00525040">
        <w:rPr>
          <w:rFonts w:eastAsia="Arial"/>
          <w:szCs w:val="22"/>
          <w:lang w:val="es-ES" w:eastAsia="en-ZA"/>
        </w:rPr>
        <w:t xml:space="preserve">respecto de </w:t>
      </w:r>
      <w:r w:rsidRPr="00525040">
        <w:rPr>
          <w:rFonts w:eastAsia="Arial"/>
          <w:szCs w:val="22"/>
          <w:lang w:val="es-ES" w:eastAsia="en-ZA"/>
        </w:rPr>
        <w:t>las personas con discapacidad que no están comprendidas en la definición del Tratado de Marrakech.</w:t>
      </w:r>
    </w:p>
    <w:p w:rsidR="00031BA4" w:rsidRPr="00525040" w:rsidRDefault="00031BA4" w:rsidP="00031BA4">
      <w:pPr>
        <w:pStyle w:val="Heading3"/>
        <w:rPr>
          <w:rFonts w:eastAsia="Arial"/>
          <w:szCs w:val="22"/>
          <w:lang w:val="es-ES"/>
        </w:rPr>
      </w:pPr>
      <w:bookmarkStart w:id="10" w:name="_3dy6vkm"/>
      <w:bookmarkStart w:id="11" w:name="_1t3h5sf"/>
      <w:bookmarkEnd w:id="10"/>
      <w:bookmarkEnd w:id="11"/>
      <w:r w:rsidRPr="00525040">
        <w:rPr>
          <w:rFonts w:eastAsia="Arial"/>
          <w:szCs w:val="22"/>
          <w:lang w:val="es-ES"/>
        </w:rPr>
        <w:t>Categorías de obras protegidas y discapacidades</w:t>
      </w:r>
    </w:p>
    <w:p w:rsidR="00852B76" w:rsidRPr="00525040" w:rsidRDefault="00852B76" w:rsidP="00E258D2">
      <w:pPr>
        <w:spacing w:after="80" w:line="280" w:lineRule="exact"/>
        <w:rPr>
          <w:rFonts w:eastAsia="Arial"/>
          <w:szCs w:val="22"/>
          <w:lang w:val="es-ES" w:eastAsia="en-ZA"/>
        </w:rPr>
      </w:pPr>
      <w:r w:rsidRPr="00525040">
        <w:rPr>
          <w:rFonts w:eastAsia="Arial"/>
          <w:szCs w:val="22"/>
          <w:lang w:val="es-ES" w:eastAsia="en-ZA"/>
        </w:rPr>
        <w:t>La protección del derecho de autor y los derechos conexos en la jurisdicción de cada Estado miembro se establece generalmente en la legislación nacional. Sin embargo, la legislación nacional se basa en el compromiso que adquiere un país de ofrecer los niveles mínimos de protección acordados en los tratados internacionales por los que está obligado.</w:t>
      </w:r>
      <w:r w:rsidR="00E258D2" w:rsidRPr="00525040">
        <w:rPr>
          <w:rFonts w:eastAsia="Arial"/>
          <w:szCs w:val="22"/>
          <w:vertAlign w:val="superscript"/>
          <w:lang w:val="es-ES" w:eastAsia="en-ZA"/>
        </w:rPr>
        <w:footnoteReference w:id="11"/>
      </w:r>
      <w:r w:rsidR="00E258D2" w:rsidRPr="00525040">
        <w:rPr>
          <w:rFonts w:eastAsia="Arial"/>
          <w:szCs w:val="22"/>
          <w:lang w:val="es-ES" w:eastAsia="en-ZA"/>
        </w:rPr>
        <w:t xml:space="preserve"> </w:t>
      </w:r>
      <w:r w:rsidRPr="00525040">
        <w:rPr>
          <w:rFonts w:eastAsia="Arial"/>
          <w:szCs w:val="22"/>
          <w:lang w:val="es-ES" w:eastAsia="en-ZA"/>
        </w:rPr>
        <w:t>La legislación nacional de derecho de autor protege categorías específicas de ob</w:t>
      </w:r>
      <w:r w:rsidR="00D0667B">
        <w:rPr>
          <w:rFonts w:eastAsia="Arial"/>
          <w:szCs w:val="22"/>
          <w:lang w:val="es-ES" w:eastAsia="en-ZA"/>
        </w:rPr>
        <w:t>ras originales que se reducen a un</w:t>
      </w:r>
      <w:r w:rsidRPr="00525040">
        <w:rPr>
          <w:rFonts w:eastAsia="Arial"/>
          <w:szCs w:val="22"/>
          <w:lang w:val="es-ES" w:eastAsia="en-ZA"/>
        </w:rPr>
        <w:t xml:space="preserve"> formato material:</w:t>
      </w:r>
    </w:p>
    <w:p w:rsidR="000328D6" w:rsidRPr="00525040" w:rsidRDefault="00D0667B" w:rsidP="000328D6">
      <w:pPr>
        <w:widowControl w:val="0"/>
        <w:numPr>
          <w:ilvl w:val="0"/>
          <w:numId w:val="13"/>
        </w:numPr>
        <w:spacing w:line="300" w:lineRule="auto"/>
        <w:rPr>
          <w:rFonts w:ascii="Cambria" w:eastAsia="Cambria" w:hAnsi="Cambria" w:cs="Cambria"/>
          <w:lang w:val="es-ES"/>
        </w:rPr>
      </w:pPr>
      <w:r>
        <w:rPr>
          <w:lang w:val="es-ES"/>
        </w:rPr>
        <w:t>l</w:t>
      </w:r>
      <w:r w:rsidR="000328D6" w:rsidRPr="00525040">
        <w:rPr>
          <w:lang w:val="es-ES"/>
        </w:rPr>
        <w:t>as obras literarias</w:t>
      </w:r>
      <w:r w:rsidR="00F93D9A" w:rsidRPr="00525040">
        <w:rPr>
          <w:lang w:val="es-ES"/>
        </w:rPr>
        <w:t>;</w:t>
      </w:r>
    </w:p>
    <w:p w:rsidR="000328D6" w:rsidRPr="00525040" w:rsidRDefault="000328D6" w:rsidP="000328D6">
      <w:pPr>
        <w:widowControl w:val="0"/>
        <w:numPr>
          <w:ilvl w:val="0"/>
          <w:numId w:val="13"/>
        </w:numPr>
        <w:spacing w:line="300" w:lineRule="auto"/>
        <w:rPr>
          <w:lang w:val="es-ES"/>
        </w:rPr>
      </w:pPr>
      <w:r w:rsidRPr="00525040">
        <w:rPr>
          <w:lang w:val="es-ES"/>
        </w:rPr>
        <w:t xml:space="preserve">las </w:t>
      </w:r>
      <w:r w:rsidR="00807C87" w:rsidRPr="00525040">
        <w:rPr>
          <w:lang w:val="es-ES"/>
        </w:rPr>
        <w:t>o</w:t>
      </w:r>
      <w:r w:rsidRPr="00525040">
        <w:rPr>
          <w:lang w:val="es-ES"/>
        </w:rPr>
        <w:t>bras musicales</w:t>
      </w:r>
      <w:r w:rsidR="00F93D9A" w:rsidRPr="00525040">
        <w:rPr>
          <w:lang w:val="es-ES"/>
        </w:rPr>
        <w:t>;</w:t>
      </w:r>
      <w:r w:rsidRPr="00525040">
        <w:rPr>
          <w:lang w:val="es-ES"/>
        </w:rPr>
        <w:t xml:space="preserve"> </w:t>
      </w:r>
    </w:p>
    <w:p w:rsidR="000328D6" w:rsidRPr="00525040" w:rsidRDefault="000328D6" w:rsidP="000328D6">
      <w:pPr>
        <w:widowControl w:val="0"/>
        <w:numPr>
          <w:ilvl w:val="0"/>
          <w:numId w:val="13"/>
        </w:numPr>
        <w:spacing w:line="300" w:lineRule="auto"/>
        <w:rPr>
          <w:lang w:val="es-ES"/>
        </w:rPr>
      </w:pPr>
      <w:r w:rsidRPr="00525040">
        <w:rPr>
          <w:lang w:val="es-ES"/>
        </w:rPr>
        <w:t>las obras artísticas</w:t>
      </w:r>
      <w:r w:rsidR="00F93D9A" w:rsidRPr="00525040">
        <w:rPr>
          <w:lang w:val="es-ES"/>
        </w:rPr>
        <w:t>;</w:t>
      </w:r>
    </w:p>
    <w:p w:rsidR="000328D6" w:rsidRPr="00525040" w:rsidRDefault="000328D6" w:rsidP="000328D6">
      <w:pPr>
        <w:widowControl w:val="0"/>
        <w:numPr>
          <w:ilvl w:val="0"/>
          <w:numId w:val="13"/>
        </w:numPr>
        <w:spacing w:line="300" w:lineRule="auto"/>
        <w:rPr>
          <w:lang w:val="es-ES"/>
        </w:rPr>
      </w:pPr>
      <w:r w:rsidRPr="00525040">
        <w:rPr>
          <w:lang w:val="es-ES"/>
        </w:rPr>
        <w:t>l</w:t>
      </w:r>
      <w:r w:rsidR="00F93D9A" w:rsidRPr="00525040">
        <w:rPr>
          <w:lang w:val="es-ES"/>
        </w:rPr>
        <w:t>as obras dramáticas;</w:t>
      </w:r>
    </w:p>
    <w:p w:rsidR="000328D6" w:rsidRPr="00525040" w:rsidRDefault="000328D6" w:rsidP="000328D6">
      <w:pPr>
        <w:widowControl w:val="0"/>
        <w:numPr>
          <w:ilvl w:val="0"/>
          <w:numId w:val="13"/>
        </w:numPr>
        <w:spacing w:line="300" w:lineRule="auto"/>
        <w:rPr>
          <w:lang w:val="es-ES"/>
        </w:rPr>
      </w:pPr>
      <w:r w:rsidRPr="00525040">
        <w:rPr>
          <w:lang w:val="es-ES"/>
        </w:rPr>
        <w:t>las obras cinematográficas</w:t>
      </w:r>
      <w:r w:rsidR="00F93D9A" w:rsidRPr="00525040">
        <w:rPr>
          <w:lang w:val="es-ES"/>
        </w:rPr>
        <w:t>;</w:t>
      </w:r>
      <w:r w:rsidRPr="00525040">
        <w:rPr>
          <w:lang w:val="es-ES"/>
        </w:rPr>
        <w:t xml:space="preserve"> </w:t>
      </w:r>
    </w:p>
    <w:p w:rsidR="000328D6" w:rsidRPr="00525040" w:rsidRDefault="00F93D9A" w:rsidP="000328D6">
      <w:pPr>
        <w:widowControl w:val="0"/>
        <w:numPr>
          <w:ilvl w:val="0"/>
          <w:numId w:val="13"/>
        </w:numPr>
        <w:spacing w:line="300" w:lineRule="auto"/>
        <w:rPr>
          <w:lang w:val="es-ES"/>
        </w:rPr>
      </w:pPr>
      <w:r w:rsidRPr="00525040">
        <w:rPr>
          <w:lang w:val="es-ES"/>
        </w:rPr>
        <w:t>las grabaciones sonoras,</w:t>
      </w:r>
      <w:r w:rsidR="000328D6" w:rsidRPr="00525040">
        <w:rPr>
          <w:lang w:val="es-ES"/>
        </w:rPr>
        <w:t xml:space="preserve"> y</w:t>
      </w:r>
    </w:p>
    <w:p w:rsidR="000328D6" w:rsidRPr="00525040" w:rsidRDefault="000328D6" w:rsidP="000328D6">
      <w:pPr>
        <w:widowControl w:val="0"/>
        <w:numPr>
          <w:ilvl w:val="0"/>
          <w:numId w:val="13"/>
        </w:numPr>
        <w:spacing w:line="300" w:lineRule="auto"/>
        <w:rPr>
          <w:lang w:val="es-ES"/>
        </w:rPr>
      </w:pPr>
      <w:r w:rsidRPr="00525040">
        <w:rPr>
          <w:lang w:val="es-ES"/>
        </w:rPr>
        <w:t>las emisiones (que suelen estar protegidas por derechos conexos).</w:t>
      </w:r>
    </w:p>
    <w:p w:rsidR="00E258D2" w:rsidRPr="00525040" w:rsidRDefault="000328D6" w:rsidP="00E258D2">
      <w:pPr>
        <w:spacing w:after="80" w:line="300" w:lineRule="auto"/>
        <w:rPr>
          <w:rFonts w:eastAsia="Arial"/>
          <w:lang w:val="es-ES"/>
        </w:rPr>
      </w:pPr>
      <w:r w:rsidRPr="00525040">
        <w:rPr>
          <w:lang w:val="es-ES"/>
        </w:rPr>
        <w:t>Entre los derechos exclusivos que tienen los titulares de derechos en relación con esas obras figuran los siguientes</w:t>
      </w:r>
      <w:r w:rsidR="00E258D2" w:rsidRPr="00525040">
        <w:rPr>
          <w:lang w:val="es-ES"/>
        </w:rPr>
        <w:t>:</w:t>
      </w:r>
    </w:p>
    <w:p w:rsidR="00E258D2" w:rsidRPr="00525040" w:rsidRDefault="00D0667B" w:rsidP="00E258D2">
      <w:pPr>
        <w:numPr>
          <w:ilvl w:val="0"/>
          <w:numId w:val="14"/>
        </w:numPr>
        <w:spacing w:after="80" w:line="280" w:lineRule="exact"/>
        <w:rPr>
          <w:rFonts w:ascii="Cambria" w:eastAsia="Cambria" w:hAnsi="Cambria" w:cs="Cambria"/>
          <w:szCs w:val="22"/>
          <w:lang w:val="es-ES" w:eastAsia="en-ZA"/>
        </w:rPr>
      </w:pPr>
      <w:r>
        <w:rPr>
          <w:rFonts w:eastAsia="Arial"/>
          <w:szCs w:val="22"/>
          <w:lang w:val="es-ES" w:eastAsia="en-ZA"/>
        </w:rPr>
        <w:lastRenderedPageBreak/>
        <w:t>l</w:t>
      </w:r>
      <w:r w:rsidR="0022743E" w:rsidRPr="00525040">
        <w:rPr>
          <w:rFonts w:eastAsia="Arial"/>
          <w:szCs w:val="22"/>
          <w:lang w:val="es-ES" w:eastAsia="en-ZA"/>
        </w:rPr>
        <w:t>a r</w:t>
      </w:r>
      <w:r w:rsidR="000328D6" w:rsidRPr="00525040">
        <w:rPr>
          <w:rFonts w:eastAsia="Arial"/>
          <w:szCs w:val="22"/>
          <w:lang w:val="es-ES" w:eastAsia="en-ZA"/>
        </w:rPr>
        <w:t>eproducción</w:t>
      </w:r>
      <w:r w:rsidR="00E258D2" w:rsidRPr="00525040">
        <w:rPr>
          <w:rFonts w:eastAsia="Arial"/>
          <w:szCs w:val="22"/>
          <w:lang w:val="es-ES" w:eastAsia="en-ZA"/>
        </w:rPr>
        <w:t>;</w:t>
      </w:r>
    </w:p>
    <w:p w:rsidR="00E258D2" w:rsidRPr="00525040" w:rsidRDefault="00046EAA" w:rsidP="00E258D2">
      <w:pPr>
        <w:numPr>
          <w:ilvl w:val="0"/>
          <w:numId w:val="14"/>
        </w:numPr>
        <w:spacing w:after="80" w:line="280" w:lineRule="exact"/>
        <w:rPr>
          <w:rFonts w:ascii="Cambria" w:eastAsia="Cambria" w:hAnsi="Cambria" w:cs="Cambria"/>
          <w:szCs w:val="22"/>
          <w:lang w:val="es-ES" w:eastAsia="en-ZA"/>
        </w:rPr>
      </w:pPr>
      <w:r w:rsidRPr="00525040">
        <w:rPr>
          <w:rFonts w:eastAsia="Arial"/>
          <w:szCs w:val="22"/>
          <w:lang w:val="es-ES" w:eastAsia="en-ZA"/>
        </w:rPr>
        <w:t>l</w:t>
      </w:r>
      <w:r w:rsidR="0022743E" w:rsidRPr="00525040">
        <w:rPr>
          <w:rFonts w:eastAsia="Arial"/>
          <w:szCs w:val="22"/>
          <w:lang w:val="es-ES" w:eastAsia="en-ZA"/>
        </w:rPr>
        <w:t>a a</w:t>
      </w:r>
      <w:r w:rsidR="000328D6" w:rsidRPr="00525040">
        <w:rPr>
          <w:rFonts w:eastAsia="Arial"/>
          <w:szCs w:val="22"/>
          <w:lang w:val="es-ES" w:eastAsia="en-ZA"/>
        </w:rPr>
        <w:t>daptación</w:t>
      </w:r>
      <w:r w:rsidR="0022743E" w:rsidRPr="00525040">
        <w:rPr>
          <w:rFonts w:eastAsia="Arial"/>
          <w:szCs w:val="22"/>
          <w:lang w:val="es-ES" w:eastAsia="en-ZA"/>
        </w:rPr>
        <w:t>;</w:t>
      </w:r>
    </w:p>
    <w:p w:rsidR="000328D6" w:rsidRPr="00525040" w:rsidRDefault="0022743E" w:rsidP="000328D6">
      <w:pPr>
        <w:numPr>
          <w:ilvl w:val="0"/>
          <w:numId w:val="14"/>
        </w:numPr>
        <w:spacing w:after="80" w:line="280" w:lineRule="exact"/>
        <w:rPr>
          <w:rFonts w:eastAsia="Arial"/>
          <w:szCs w:val="22"/>
          <w:lang w:val="es-ES" w:eastAsia="en-ZA"/>
        </w:rPr>
      </w:pPr>
      <w:r w:rsidRPr="00525040">
        <w:rPr>
          <w:rFonts w:eastAsia="Arial"/>
          <w:szCs w:val="22"/>
          <w:lang w:val="es-ES" w:eastAsia="en-ZA"/>
        </w:rPr>
        <w:t>la d</w:t>
      </w:r>
      <w:r w:rsidR="000328D6" w:rsidRPr="00525040">
        <w:rPr>
          <w:rFonts w:eastAsia="Arial"/>
          <w:szCs w:val="22"/>
          <w:lang w:val="es-ES" w:eastAsia="en-ZA"/>
        </w:rPr>
        <w:t>istribución (incluidos el alquiler y el préstamo)</w:t>
      </w:r>
      <w:r w:rsidRPr="00525040">
        <w:rPr>
          <w:rFonts w:eastAsia="Arial"/>
          <w:szCs w:val="22"/>
          <w:lang w:val="es-ES" w:eastAsia="en-ZA"/>
        </w:rPr>
        <w:t>;</w:t>
      </w:r>
    </w:p>
    <w:p w:rsidR="000328D6" w:rsidRPr="00525040" w:rsidRDefault="0022743E" w:rsidP="000328D6">
      <w:pPr>
        <w:numPr>
          <w:ilvl w:val="0"/>
          <w:numId w:val="14"/>
        </w:numPr>
        <w:spacing w:after="80" w:line="280" w:lineRule="exact"/>
        <w:rPr>
          <w:rFonts w:eastAsia="Arial"/>
          <w:szCs w:val="22"/>
          <w:lang w:val="es-ES" w:eastAsia="en-ZA"/>
        </w:rPr>
      </w:pPr>
      <w:r w:rsidRPr="00525040">
        <w:rPr>
          <w:rFonts w:eastAsia="Arial"/>
          <w:szCs w:val="22"/>
          <w:lang w:val="es-ES" w:eastAsia="en-ZA"/>
        </w:rPr>
        <w:t>la r</w:t>
      </w:r>
      <w:r w:rsidR="000328D6" w:rsidRPr="00525040">
        <w:rPr>
          <w:rFonts w:eastAsia="Arial"/>
          <w:szCs w:val="22"/>
          <w:lang w:val="es-ES" w:eastAsia="en-ZA"/>
        </w:rPr>
        <w:t>adiodifusión por medios inalámbricos</w:t>
      </w:r>
      <w:r w:rsidRPr="00525040">
        <w:rPr>
          <w:rFonts w:eastAsia="Arial"/>
          <w:szCs w:val="22"/>
          <w:lang w:val="es-ES" w:eastAsia="en-ZA"/>
        </w:rPr>
        <w:t>;</w:t>
      </w:r>
    </w:p>
    <w:p w:rsidR="000328D6" w:rsidRPr="00525040" w:rsidRDefault="0022743E" w:rsidP="00640002">
      <w:pPr>
        <w:numPr>
          <w:ilvl w:val="0"/>
          <w:numId w:val="14"/>
        </w:numPr>
        <w:spacing w:after="80" w:line="280" w:lineRule="exact"/>
        <w:rPr>
          <w:rFonts w:eastAsia="Arial"/>
          <w:szCs w:val="22"/>
          <w:lang w:val="es-ES" w:eastAsia="en-ZA"/>
        </w:rPr>
      </w:pPr>
      <w:r w:rsidRPr="00525040">
        <w:rPr>
          <w:rFonts w:eastAsia="Arial"/>
          <w:szCs w:val="22"/>
          <w:lang w:val="es-ES" w:eastAsia="en-ZA"/>
        </w:rPr>
        <w:t>o</w:t>
      </w:r>
      <w:r w:rsidR="000328D6" w:rsidRPr="00525040">
        <w:rPr>
          <w:rFonts w:eastAsia="Arial"/>
          <w:szCs w:val="22"/>
          <w:lang w:val="es-ES" w:eastAsia="en-ZA"/>
        </w:rPr>
        <w:t xml:space="preserve">tras comunicaciones al público mediante transmisión electrónica </w:t>
      </w:r>
      <w:r w:rsidR="00D0667B">
        <w:rPr>
          <w:rFonts w:eastAsia="Arial"/>
          <w:szCs w:val="22"/>
          <w:lang w:val="es-ES" w:eastAsia="en-ZA"/>
        </w:rPr>
        <w:t xml:space="preserve">e interpretación o </w:t>
      </w:r>
      <w:r w:rsidR="000328D6" w:rsidRPr="00525040">
        <w:rPr>
          <w:rFonts w:eastAsia="Arial"/>
          <w:szCs w:val="22"/>
          <w:lang w:val="es-ES" w:eastAsia="en-ZA"/>
        </w:rPr>
        <w:t xml:space="preserve">ejecución pública;   </w:t>
      </w:r>
    </w:p>
    <w:p w:rsidR="000328D6" w:rsidRPr="00525040" w:rsidRDefault="0022743E" w:rsidP="000328D6">
      <w:pPr>
        <w:pStyle w:val="WIPOBodyStyle"/>
        <w:numPr>
          <w:ilvl w:val="0"/>
          <w:numId w:val="14"/>
        </w:numPr>
        <w:rPr>
          <w:rFonts w:ascii="Cambria" w:eastAsia="Cambria" w:hAnsi="Cambria" w:cs="Cambria"/>
          <w:sz w:val="22"/>
          <w:lang w:val="es-ES"/>
        </w:rPr>
      </w:pPr>
      <w:r w:rsidRPr="00525040">
        <w:rPr>
          <w:sz w:val="22"/>
          <w:lang w:val="es-ES"/>
        </w:rPr>
        <w:t>l</w:t>
      </w:r>
      <w:r w:rsidR="000328D6" w:rsidRPr="00525040">
        <w:rPr>
          <w:sz w:val="22"/>
          <w:lang w:val="es-ES"/>
        </w:rPr>
        <w:t xml:space="preserve">a capacidad de imponer restricciones a la importación/exportación; y </w:t>
      </w:r>
    </w:p>
    <w:p w:rsidR="00E258D2" w:rsidRPr="00525040" w:rsidRDefault="0022743E" w:rsidP="00D376C3">
      <w:pPr>
        <w:numPr>
          <w:ilvl w:val="0"/>
          <w:numId w:val="15"/>
        </w:numPr>
        <w:spacing w:after="80" w:line="280" w:lineRule="exact"/>
        <w:rPr>
          <w:rFonts w:eastAsia="Arial"/>
          <w:szCs w:val="22"/>
          <w:lang w:val="es-ES" w:eastAsia="en-ZA"/>
        </w:rPr>
      </w:pPr>
      <w:r w:rsidRPr="00525040">
        <w:rPr>
          <w:lang w:val="es-ES"/>
        </w:rPr>
        <w:t>la e</w:t>
      </w:r>
      <w:r w:rsidR="000328D6" w:rsidRPr="00525040">
        <w:rPr>
          <w:lang w:val="es-ES"/>
        </w:rPr>
        <w:t xml:space="preserve">jecución de las </w:t>
      </w:r>
      <w:r w:rsidR="00E94575" w:rsidRPr="00525040">
        <w:rPr>
          <w:lang w:val="es-ES"/>
        </w:rPr>
        <w:t>disposiciones</w:t>
      </w:r>
      <w:r w:rsidR="00D376C3" w:rsidRPr="00525040">
        <w:rPr>
          <w:lang w:val="es-ES"/>
        </w:rPr>
        <w:t xml:space="preserve"> contra la elusión.</w:t>
      </w:r>
      <w:r w:rsidR="00E258D2" w:rsidRPr="00525040">
        <w:rPr>
          <w:rFonts w:eastAsia="Arial"/>
          <w:szCs w:val="22"/>
          <w:vertAlign w:val="superscript"/>
          <w:lang w:val="es-ES" w:eastAsia="en-ZA"/>
        </w:rPr>
        <w:footnoteReference w:id="12"/>
      </w:r>
    </w:p>
    <w:p w:rsidR="00E258D2" w:rsidRPr="00525040" w:rsidRDefault="00640002" w:rsidP="00640002">
      <w:pPr>
        <w:keepNext/>
        <w:spacing w:before="240" w:after="60"/>
        <w:outlineLvl w:val="1"/>
        <w:rPr>
          <w:rFonts w:eastAsia="Arial"/>
          <w:bCs/>
          <w:iCs/>
          <w:caps/>
          <w:szCs w:val="28"/>
          <w:lang w:val="es-ES"/>
        </w:rPr>
      </w:pPr>
      <w:r w:rsidRPr="00525040">
        <w:rPr>
          <w:rFonts w:eastAsia="Arial"/>
          <w:bCs/>
          <w:iCs/>
          <w:caps/>
          <w:szCs w:val="28"/>
          <w:lang w:val="es-ES"/>
        </w:rPr>
        <w:t>LAS TECNOLOGÍAS DE ACCESIBILIDAD Y LA INTELIGENCIA ARTIFICIAL;</w:t>
      </w:r>
    </w:p>
    <w:p w:rsidR="00251861" w:rsidRPr="00525040" w:rsidRDefault="00640002" w:rsidP="00E258D2">
      <w:pPr>
        <w:spacing w:after="80" w:line="280" w:lineRule="exact"/>
        <w:rPr>
          <w:rFonts w:eastAsia="Arial"/>
          <w:szCs w:val="22"/>
          <w:lang w:val="es-ES" w:eastAsia="en-ZA"/>
        </w:rPr>
      </w:pPr>
      <w:r w:rsidRPr="00525040">
        <w:rPr>
          <w:rFonts w:eastAsia="Arial"/>
          <w:szCs w:val="22"/>
          <w:lang w:val="es-ES" w:eastAsia="en-ZA"/>
        </w:rPr>
        <w:t>El subtitulado</w:t>
      </w:r>
      <w:r w:rsidR="00251861" w:rsidRPr="00525040">
        <w:rPr>
          <w:rFonts w:eastAsia="Arial"/>
          <w:szCs w:val="22"/>
          <w:lang w:val="es-ES" w:eastAsia="en-ZA"/>
        </w:rPr>
        <w:t xml:space="preserve"> y la</w:t>
      </w:r>
      <w:r w:rsidRPr="00525040">
        <w:rPr>
          <w:rFonts w:eastAsia="Arial"/>
          <w:szCs w:val="22"/>
          <w:lang w:val="es-ES" w:eastAsia="en-ZA"/>
        </w:rPr>
        <w:t xml:space="preserve"> </w:t>
      </w:r>
      <w:r w:rsidR="00251861" w:rsidRPr="00525040">
        <w:rPr>
          <w:rFonts w:eastAsia="Arial"/>
          <w:szCs w:val="22"/>
          <w:lang w:val="es-ES" w:eastAsia="en-ZA"/>
        </w:rPr>
        <w:t>audio</w:t>
      </w:r>
      <w:r w:rsidRPr="00525040">
        <w:rPr>
          <w:rFonts w:eastAsia="Arial"/>
          <w:szCs w:val="22"/>
          <w:lang w:val="es-ES" w:eastAsia="en-ZA"/>
        </w:rPr>
        <w:t>descripción</w:t>
      </w:r>
      <w:r w:rsidR="00251861" w:rsidRPr="00525040">
        <w:rPr>
          <w:rFonts w:eastAsia="Arial"/>
          <w:szCs w:val="22"/>
          <w:lang w:val="es-ES" w:eastAsia="en-ZA"/>
        </w:rPr>
        <w:t xml:space="preserve"> son ejemplos de tecnologías que permiten a las personas con discapacidad acceder a obras protegidas por derecho de autor con fines educativos, de entretenimiento y de cualquier</w:t>
      </w:r>
      <w:r w:rsidRPr="00525040">
        <w:rPr>
          <w:rFonts w:eastAsia="Arial"/>
          <w:szCs w:val="22"/>
          <w:lang w:val="es-ES" w:eastAsia="en-ZA"/>
        </w:rPr>
        <w:t xml:space="preserve"> otro tipo. Ese tipo de </w:t>
      </w:r>
      <w:r w:rsidR="00251861" w:rsidRPr="00525040">
        <w:rPr>
          <w:rFonts w:eastAsia="Arial"/>
          <w:szCs w:val="22"/>
          <w:lang w:val="es-ES" w:eastAsia="en-ZA"/>
        </w:rPr>
        <w:t xml:space="preserve">tecnologías de accesibilidad </w:t>
      </w:r>
      <w:r w:rsidRPr="00525040">
        <w:rPr>
          <w:rFonts w:eastAsia="Arial"/>
          <w:szCs w:val="22"/>
          <w:lang w:val="es-ES" w:eastAsia="en-ZA"/>
        </w:rPr>
        <w:t xml:space="preserve">forman parte integral de </w:t>
      </w:r>
      <w:r w:rsidR="00251861" w:rsidRPr="00525040">
        <w:rPr>
          <w:rFonts w:eastAsia="Arial"/>
          <w:szCs w:val="22"/>
          <w:lang w:val="es-ES" w:eastAsia="en-ZA"/>
        </w:rPr>
        <w:t xml:space="preserve">la creación de obras accesibles para las personas con discapacidad, pero los aspectos económicos relacionados con los esfuerzos por hacer accesibles las obras protegidas por derecho de autor </w:t>
      </w:r>
      <w:r w:rsidRPr="00525040">
        <w:rPr>
          <w:rFonts w:eastAsia="Arial"/>
          <w:szCs w:val="22"/>
          <w:lang w:val="es-ES" w:eastAsia="en-ZA"/>
        </w:rPr>
        <w:t xml:space="preserve">resultan </w:t>
      </w:r>
      <w:r w:rsidR="00251861" w:rsidRPr="00525040">
        <w:rPr>
          <w:rFonts w:eastAsia="Arial"/>
          <w:szCs w:val="22"/>
          <w:lang w:val="es-ES" w:eastAsia="en-ZA"/>
        </w:rPr>
        <w:t xml:space="preserve">complejos. La </w:t>
      </w:r>
      <w:r w:rsidR="00C626A1" w:rsidRPr="00525040">
        <w:rPr>
          <w:rFonts w:eastAsia="Arial"/>
          <w:szCs w:val="22"/>
          <w:lang w:val="es-ES" w:eastAsia="en-ZA"/>
        </w:rPr>
        <w:t>transformación</w:t>
      </w:r>
      <w:r w:rsidR="00251861" w:rsidRPr="00525040">
        <w:rPr>
          <w:rFonts w:eastAsia="Arial"/>
          <w:szCs w:val="22"/>
          <w:lang w:val="es-ES" w:eastAsia="en-ZA"/>
        </w:rPr>
        <w:t xml:space="preserve"> </w:t>
      </w:r>
      <w:r w:rsidR="00C626A1" w:rsidRPr="00525040">
        <w:rPr>
          <w:rFonts w:eastAsia="Arial"/>
          <w:szCs w:val="22"/>
          <w:lang w:val="es-ES" w:eastAsia="en-ZA"/>
        </w:rPr>
        <w:t xml:space="preserve">en formatos accesibles </w:t>
      </w:r>
      <w:r w:rsidR="00E57E7B" w:rsidRPr="00525040">
        <w:rPr>
          <w:rFonts w:eastAsia="Arial"/>
          <w:szCs w:val="22"/>
          <w:lang w:val="es-ES" w:eastAsia="en-ZA"/>
        </w:rPr>
        <w:t xml:space="preserve">de </w:t>
      </w:r>
      <w:r w:rsidR="00C626A1" w:rsidRPr="00525040">
        <w:rPr>
          <w:rFonts w:eastAsia="Arial"/>
          <w:szCs w:val="22"/>
          <w:lang w:val="es-ES" w:eastAsia="en-ZA"/>
        </w:rPr>
        <w:t>algunos</w:t>
      </w:r>
      <w:r w:rsidR="00251861" w:rsidRPr="00525040">
        <w:rPr>
          <w:rFonts w:eastAsia="Arial"/>
          <w:szCs w:val="22"/>
          <w:lang w:val="es-ES" w:eastAsia="en-ZA"/>
        </w:rPr>
        <w:t xml:space="preserve"> tipos de obras protegidas por derecho de autor suele requerir mucha mano de obra, y las actuales técnicas de </w:t>
      </w:r>
      <w:r w:rsidR="00C626A1" w:rsidRPr="00525040">
        <w:rPr>
          <w:rFonts w:eastAsia="Arial"/>
          <w:szCs w:val="22"/>
          <w:lang w:val="es-ES" w:eastAsia="en-ZA"/>
        </w:rPr>
        <w:t xml:space="preserve">transformación </w:t>
      </w:r>
      <w:r w:rsidR="00251861" w:rsidRPr="00525040">
        <w:rPr>
          <w:rFonts w:eastAsia="Arial"/>
          <w:szCs w:val="22"/>
          <w:lang w:val="es-ES" w:eastAsia="en-ZA"/>
        </w:rPr>
        <w:t>para las obras protegidas por derecho de autor</w:t>
      </w:r>
      <w:r w:rsidR="00C626A1" w:rsidRPr="00525040">
        <w:rPr>
          <w:rFonts w:eastAsia="Arial"/>
          <w:szCs w:val="22"/>
          <w:lang w:val="es-ES" w:eastAsia="en-ZA"/>
        </w:rPr>
        <w:t xml:space="preserve"> pueden </w:t>
      </w:r>
      <w:r w:rsidR="00B56E90">
        <w:rPr>
          <w:rFonts w:eastAsia="Arial"/>
          <w:szCs w:val="22"/>
          <w:lang w:val="es-ES" w:eastAsia="en-ZA"/>
        </w:rPr>
        <w:t>resultar</w:t>
      </w:r>
      <w:r w:rsidR="00C626A1" w:rsidRPr="00525040">
        <w:rPr>
          <w:rFonts w:eastAsia="Arial"/>
          <w:szCs w:val="22"/>
          <w:lang w:val="es-ES" w:eastAsia="en-ZA"/>
        </w:rPr>
        <w:t xml:space="preserve"> asimismo costosas</w:t>
      </w:r>
      <w:r w:rsidR="00D340F0">
        <w:rPr>
          <w:rFonts w:eastAsia="Arial"/>
          <w:szCs w:val="22"/>
          <w:lang w:val="es-ES" w:eastAsia="en-ZA"/>
        </w:rPr>
        <w:t>. Las diferencias entre el vi</w:t>
      </w:r>
      <w:r w:rsidR="00251861" w:rsidRPr="00525040">
        <w:rPr>
          <w:rFonts w:eastAsia="Arial"/>
          <w:szCs w:val="22"/>
          <w:lang w:val="es-ES" w:eastAsia="en-ZA"/>
        </w:rPr>
        <w:t xml:space="preserve">deo y el texto y las diferencias entre las discapacidades auditiva, visual y cognitiva significan que la </w:t>
      </w:r>
      <w:r w:rsidR="004A13F3" w:rsidRPr="00525040">
        <w:rPr>
          <w:rFonts w:eastAsia="Arial"/>
          <w:szCs w:val="22"/>
          <w:lang w:val="es-ES" w:eastAsia="en-ZA"/>
        </w:rPr>
        <w:t>transformación</w:t>
      </w:r>
      <w:r w:rsidR="00251861" w:rsidRPr="00525040">
        <w:rPr>
          <w:rFonts w:eastAsia="Arial"/>
          <w:szCs w:val="22"/>
          <w:lang w:val="es-ES" w:eastAsia="en-ZA"/>
        </w:rPr>
        <w:t xml:space="preserve"> a pequeña escala </w:t>
      </w:r>
      <w:r w:rsidR="00E57E7B" w:rsidRPr="00525040">
        <w:rPr>
          <w:rFonts w:eastAsia="Arial"/>
          <w:szCs w:val="22"/>
          <w:lang w:val="es-ES" w:eastAsia="en-ZA"/>
        </w:rPr>
        <w:t>quizá no sea</w:t>
      </w:r>
      <w:r w:rsidR="00251861" w:rsidRPr="00525040">
        <w:rPr>
          <w:rFonts w:eastAsia="Arial"/>
          <w:szCs w:val="22"/>
          <w:lang w:val="es-ES" w:eastAsia="en-ZA"/>
        </w:rPr>
        <w:t xml:space="preserve"> una forma sostenible de lograr el objetivo de </w:t>
      </w:r>
      <w:r w:rsidR="00E57E7B" w:rsidRPr="00525040">
        <w:rPr>
          <w:rFonts w:eastAsia="Arial"/>
          <w:szCs w:val="22"/>
          <w:lang w:val="es-ES" w:eastAsia="en-ZA"/>
        </w:rPr>
        <w:t xml:space="preserve">obtener </w:t>
      </w:r>
      <w:r w:rsidR="00251861" w:rsidRPr="00525040">
        <w:rPr>
          <w:rFonts w:eastAsia="Arial"/>
          <w:szCs w:val="22"/>
          <w:lang w:val="es-ES" w:eastAsia="en-ZA"/>
        </w:rPr>
        <w:t>amplio acceso a las obras protegidas por derecho de autor.</w:t>
      </w:r>
    </w:p>
    <w:p w:rsidR="00E258D2" w:rsidRPr="00525040" w:rsidRDefault="004A13F3" w:rsidP="00241008">
      <w:pPr>
        <w:spacing w:after="80" w:line="280" w:lineRule="exact"/>
        <w:rPr>
          <w:rFonts w:eastAsia="Arial"/>
          <w:szCs w:val="22"/>
          <w:lang w:val="es-ES" w:eastAsia="en-ZA"/>
        </w:rPr>
      </w:pPr>
      <w:r w:rsidRPr="00525040">
        <w:rPr>
          <w:rFonts w:eastAsia="Arial"/>
          <w:szCs w:val="22"/>
          <w:lang w:val="es-ES" w:eastAsia="en-ZA"/>
        </w:rPr>
        <w:t>Como tal, un factor cada vez más importante en la tecnología de accesibilidad es el auge de la inteligencia artificial (IA) y el aprendizaje automático. Por ejemplo, el aprendizaje automático tiene el potencial de promover tecnologías que faciliten la comprensión del texto para las personas con discapacidad cognitiva mediante la producción automática de versiones más comprensibles del texto, sin la intervención de editores humanos. Los investigadores de IBM están trabajando en un programa informático de procesa</w:t>
      </w:r>
      <w:r w:rsidR="00D0667B">
        <w:rPr>
          <w:rFonts w:eastAsia="Arial"/>
          <w:szCs w:val="22"/>
          <w:lang w:val="es-ES" w:eastAsia="en-ZA"/>
        </w:rPr>
        <w:t>miento de idiomas que sustituya</w:t>
      </w:r>
      <w:r w:rsidR="0019512C">
        <w:rPr>
          <w:rFonts w:eastAsia="Arial"/>
          <w:szCs w:val="22"/>
          <w:lang w:val="es-ES" w:eastAsia="en-ZA"/>
        </w:rPr>
        <w:t xml:space="preserve"> </w:t>
      </w:r>
      <w:r w:rsidRPr="00525040">
        <w:rPr>
          <w:rFonts w:eastAsia="Arial"/>
          <w:szCs w:val="22"/>
          <w:lang w:val="es-ES" w:eastAsia="en-ZA"/>
        </w:rPr>
        <w:t>figuras del discurso como “lloviendo a cántaros” por términos más sencillos como “lloviendo mucho”</w:t>
      </w:r>
      <w:r w:rsidR="00D0667B">
        <w:rPr>
          <w:rFonts w:eastAsia="Arial"/>
          <w:szCs w:val="22"/>
          <w:lang w:val="es-ES" w:eastAsia="en-ZA"/>
        </w:rPr>
        <w:t>, y acorte</w:t>
      </w:r>
      <w:r w:rsidRPr="00525040">
        <w:rPr>
          <w:rFonts w:eastAsia="Arial"/>
          <w:szCs w:val="22"/>
          <w:lang w:val="es-ES" w:eastAsia="en-ZA"/>
        </w:rPr>
        <w:t xml:space="preserve"> las frases largas con múltiples oraciones y lenguaje indirecto.</w:t>
      </w:r>
      <w:r w:rsidR="00E258D2" w:rsidRPr="00525040">
        <w:rPr>
          <w:rFonts w:eastAsia="Arial"/>
          <w:szCs w:val="22"/>
          <w:vertAlign w:val="superscript"/>
          <w:lang w:val="es-ES" w:eastAsia="en-ZA"/>
        </w:rPr>
        <w:footnoteReference w:id="13"/>
      </w:r>
      <w:r w:rsidR="00E258D2" w:rsidRPr="00525040">
        <w:rPr>
          <w:rFonts w:eastAsia="Arial"/>
          <w:szCs w:val="22"/>
          <w:lang w:val="es-ES" w:eastAsia="en-ZA"/>
        </w:rPr>
        <w:t xml:space="preserve"> </w:t>
      </w:r>
      <w:r w:rsidRPr="00525040">
        <w:rPr>
          <w:rFonts w:eastAsia="Arial"/>
          <w:szCs w:val="22"/>
          <w:lang w:val="es-ES" w:eastAsia="en-ZA"/>
        </w:rPr>
        <w:t xml:space="preserve">Google también ha utilizado el aprendizaje automático para desarrollar </w:t>
      </w:r>
      <w:r w:rsidR="00241008" w:rsidRPr="00525040">
        <w:rPr>
          <w:rFonts w:eastAsia="Arial"/>
          <w:szCs w:val="22"/>
          <w:lang w:val="es-ES" w:eastAsia="en-ZA"/>
        </w:rPr>
        <w:t>la aplicación Cloud Vision</w:t>
      </w:r>
      <w:r w:rsidRPr="00525040">
        <w:rPr>
          <w:rFonts w:eastAsia="Arial"/>
          <w:szCs w:val="22"/>
          <w:lang w:val="es-ES" w:eastAsia="en-ZA"/>
        </w:rPr>
        <w:t>, que utiliza redes neuronales para clasificar las imágenes y extraer información textual para las personas con discapacidad visual.</w:t>
      </w:r>
      <w:r w:rsidR="00E258D2" w:rsidRPr="00525040">
        <w:rPr>
          <w:rFonts w:eastAsia="Arial"/>
          <w:szCs w:val="22"/>
          <w:vertAlign w:val="superscript"/>
          <w:lang w:val="es-ES" w:eastAsia="en-ZA"/>
        </w:rPr>
        <w:footnoteReference w:id="14"/>
      </w:r>
    </w:p>
    <w:p w:rsidR="00E258D2" w:rsidRPr="00525040" w:rsidRDefault="004635A6" w:rsidP="00E258D2">
      <w:pPr>
        <w:spacing w:after="80" w:line="280" w:lineRule="exact"/>
        <w:rPr>
          <w:rFonts w:eastAsia="Calibri"/>
          <w:szCs w:val="22"/>
          <w:lang w:val="es-ES" w:eastAsia="en-ZA"/>
        </w:rPr>
      </w:pPr>
      <w:r>
        <w:rPr>
          <w:lang w:val="es-ES"/>
        </w:rPr>
        <w:t>T</w:t>
      </w:r>
      <w:r w:rsidRPr="00525040">
        <w:rPr>
          <w:lang w:val="es-ES"/>
        </w:rPr>
        <w:t xml:space="preserve">ambién podría ampliarse </w:t>
      </w:r>
      <w:r>
        <w:rPr>
          <w:lang w:val="es-ES"/>
        </w:rPr>
        <w:t>e</w:t>
      </w:r>
      <w:r w:rsidR="004A13F3" w:rsidRPr="00525040">
        <w:rPr>
          <w:lang w:val="es-ES"/>
        </w:rPr>
        <w:t>l aprendizaje automático ya en uso, como Amazon Alexa o Google Home, para ayudar a las personas con discapacidades de habla y de lenguaje.</w:t>
      </w:r>
      <w:r w:rsidR="00E258D2" w:rsidRPr="00525040">
        <w:rPr>
          <w:rFonts w:eastAsia="Arial"/>
          <w:szCs w:val="22"/>
          <w:vertAlign w:val="superscript"/>
          <w:lang w:val="es-ES" w:eastAsia="en-ZA"/>
        </w:rPr>
        <w:footnoteReference w:id="15"/>
      </w:r>
      <w:r w:rsidR="00E258D2" w:rsidRPr="00525040">
        <w:rPr>
          <w:rFonts w:eastAsia="Arial"/>
          <w:szCs w:val="22"/>
          <w:lang w:val="es-ES" w:eastAsia="en-ZA"/>
        </w:rPr>
        <w:t xml:space="preserve"> </w:t>
      </w:r>
      <w:r w:rsidR="00241008" w:rsidRPr="00525040">
        <w:rPr>
          <w:lang w:val="es-ES"/>
        </w:rPr>
        <w:t>Es</w:t>
      </w:r>
      <w:r w:rsidR="00C42480" w:rsidRPr="00525040">
        <w:rPr>
          <w:lang w:val="es-ES"/>
        </w:rPr>
        <w:t xml:space="preserve">as tecnologías, denominadas </w:t>
      </w:r>
      <w:r w:rsidR="00241008" w:rsidRPr="00525040">
        <w:rPr>
          <w:lang w:val="es-ES"/>
        </w:rPr>
        <w:t>asistentes cognitivo</w:t>
      </w:r>
      <w:r w:rsidR="00C42480" w:rsidRPr="00525040">
        <w:rPr>
          <w:lang w:val="es-ES"/>
        </w:rPr>
        <w:t xml:space="preserve">s artificiales, podrían utilizarse un día </w:t>
      </w:r>
      <w:r w:rsidR="00C42480" w:rsidRPr="00525040">
        <w:rPr>
          <w:lang w:val="es-ES"/>
        </w:rPr>
        <w:lastRenderedPageBreak/>
        <w:t xml:space="preserve">como parte de un servicio de </w:t>
      </w:r>
      <w:r w:rsidR="00241008" w:rsidRPr="00525040">
        <w:rPr>
          <w:lang w:val="es-ES"/>
        </w:rPr>
        <w:t>asistencia</w:t>
      </w:r>
      <w:r>
        <w:rPr>
          <w:lang w:val="es-ES"/>
        </w:rPr>
        <w:t xml:space="preserve"> a distancia que alerte</w:t>
      </w:r>
      <w:r w:rsidR="00C42480" w:rsidRPr="00525040">
        <w:rPr>
          <w:lang w:val="es-ES"/>
        </w:rPr>
        <w:t xml:space="preserve"> a los hospitales y </w:t>
      </w:r>
      <w:r w:rsidR="00241008" w:rsidRPr="00525040">
        <w:rPr>
          <w:lang w:val="es-ES"/>
        </w:rPr>
        <w:t>a</w:t>
      </w:r>
      <w:r w:rsidR="00C42480" w:rsidRPr="00525040">
        <w:rPr>
          <w:lang w:val="es-ES"/>
        </w:rPr>
        <w:t>l</w:t>
      </w:r>
      <w:r w:rsidR="00241008" w:rsidRPr="00525040">
        <w:rPr>
          <w:lang w:val="es-ES"/>
        </w:rPr>
        <w:t xml:space="preserve"> personal de enfermería </w:t>
      </w:r>
      <w:r w:rsidR="00C42480" w:rsidRPr="00525040">
        <w:rPr>
          <w:lang w:val="es-ES"/>
        </w:rPr>
        <w:t xml:space="preserve">cuando </w:t>
      </w:r>
      <w:r>
        <w:rPr>
          <w:lang w:val="es-ES"/>
        </w:rPr>
        <w:t>alguien da señales de</w:t>
      </w:r>
      <w:r w:rsidR="00241008" w:rsidRPr="00525040">
        <w:rPr>
          <w:lang w:val="es-ES"/>
        </w:rPr>
        <w:t xml:space="preserve"> </w:t>
      </w:r>
      <w:r w:rsidR="00C42480" w:rsidRPr="00525040">
        <w:rPr>
          <w:lang w:val="es-ES"/>
        </w:rPr>
        <w:t>peligro o</w:t>
      </w:r>
      <w:r w:rsidR="00241008" w:rsidRPr="00525040">
        <w:rPr>
          <w:lang w:val="es-ES"/>
        </w:rPr>
        <w:t xml:space="preserve"> </w:t>
      </w:r>
      <w:r>
        <w:rPr>
          <w:lang w:val="es-ES"/>
        </w:rPr>
        <w:t xml:space="preserve">de que </w:t>
      </w:r>
      <w:r w:rsidR="00241008" w:rsidRPr="00525040">
        <w:rPr>
          <w:lang w:val="es-ES"/>
        </w:rPr>
        <w:t>tiene dificultades</w:t>
      </w:r>
      <w:r w:rsidR="00C42480" w:rsidRPr="00525040">
        <w:rPr>
          <w:lang w:val="es-ES"/>
        </w:rPr>
        <w:t>.</w:t>
      </w:r>
      <w:r w:rsidR="00E258D2" w:rsidRPr="00525040">
        <w:rPr>
          <w:rFonts w:eastAsia="Arial"/>
          <w:szCs w:val="22"/>
          <w:vertAlign w:val="superscript"/>
          <w:lang w:val="es-ES" w:eastAsia="en-ZA"/>
        </w:rPr>
        <w:footnoteReference w:id="16"/>
      </w:r>
    </w:p>
    <w:p w:rsidR="009664E2" w:rsidRPr="007A2AF5" w:rsidRDefault="004863F2" w:rsidP="00E258D2">
      <w:pPr>
        <w:spacing w:after="80" w:line="280" w:lineRule="exact"/>
        <w:rPr>
          <w:rFonts w:eastAsia="Arial"/>
          <w:szCs w:val="22"/>
          <w:lang w:val="es-ES" w:eastAsia="en-ZA"/>
        </w:rPr>
      </w:pPr>
      <w:r w:rsidRPr="00525040">
        <w:rPr>
          <w:rFonts w:eastAsia="Arial"/>
          <w:szCs w:val="22"/>
          <w:lang w:val="es-ES" w:eastAsia="en-ZA"/>
        </w:rPr>
        <w:t>Gracias a l</w:t>
      </w:r>
      <w:r w:rsidR="00A92AFD" w:rsidRPr="00525040">
        <w:rPr>
          <w:rFonts w:eastAsia="Arial"/>
          <w:szCs w:val="22"/>
          <w:lang w:val="es-ES" w:eastAsia="en-ZA"/>
        </w:rPr>
        <w:t xml:space="preserve">as tecnologías de accesibilidad propiciadas por el aprendizaje automático </w:t>
      </w:r>
      <w:r w:rsidRPr="00525040">
        <w:rPr>
          <w:rFonts w:eastAsia="Arial"/>
          <w:szCs w:val="22"/>
          <w:lang w:val="es-ES" w:eastAsia="en-ZA"/>
        </w:rPr>
        <w:t>se puede</w:t>
      </w:r>
      <w:r w:rsidR="00A92AFD" w:rsidRPr="00525040">
        <w:rPr>
          <w:rFonts w:eastAsia="Arial"/>
          <w:szCs w:val="22"/>
          <w:lang w:val="es-ES" w:eastAsia="en-ZA"/>
        </w:rPr>
        <w:t xml:space="preserve"> superar la ineficiencia de que adolece la transformación individual mediante la automatización de las actividades de accesibilidad </w:t>
      </w:r>
      <w:r w:rsidR="005E2A09">
        <w:rPr>
          <w:rFonts w:eastAsia="Arial"/>
          <w:szCs w:val="22"/>
          <w:lang w:val="es-ES" w:eastAsia="en-ZA"/>
        </w:rPr>
        <w:t xml:space="preserve">que resulten </w:t>
      </w:r>
      <w:r w:rsidR="00A92AFD" w:rsidRPr="00525040">
        <w:rPr>
          <w:rFonts w:eastAsia="Arial"/>
          <w:szCs w:val="22"/>
          <w:lang w:val="es-ES" w:eastAsia="en-ZA"/>
        </w:rPr>
        <w:t>costosas y la capacidad de hacer accesibles las obras a escala. Por lo tanto, el uso del aprendizaje automático es un instrumento importante para alcanzar el objetivo de lograr un acceso más amplio al material para las personas con discapacidad.</w:t>
      </w:r>
    </w:p>
    <w:p w:rsidR="009664E2" w:rsidRPr="00525040" w:rsidRDefault="009664E2" w:rsidP="007A2AF5">
      <w:pPr>
        <w:pStyle w:val="Heading1"/>
        <w:rPr>
          <w:lang w:val="es-ES"/>
        </w:rPr>
      </w:pPr>
      <w:r w:rsidRPr="00525040">
        <w:rPr>
          <w:lang w:val="es-ES"/>
        </w:rPr>
        <w:t xml:space="preserve">METODOLOGÍA </w:t>
      </w:r>
    </w:p>
    <w:p w:rsidR="004863F2" w:rsidRPr="00525040" w:rsidRDefault="004863F2" w:rsidP="00E258D2">
      <w:pPr>
        <w:spacing w:after="80" w:line="280" w:lineRule="exact"/>
        <w:rPr>
          <w:rFonts w:eastAsia="Arial"/>
          <w:szCs w:val="22"/>
          <w:lang w:val="es-ES" w:eastAsia="en-ZA"/>
        </w:rPr>
      </w:pPr>
      <w:r w:rsidRPr="00525040">
        <w:rPr>
          <w:rFonts w:eastAsia="Arial"/>
          <w:szCs w:val="22"/>
          <w:lang w:val="es-ES" w:eastAsia="en-ZA"/>
        </w:rPr>
        <w:t>El estudio que realizó la OMPI en 2017 comprendía cuestionarios enviados a los Estados miembros y cumplimentados por ellos mismos, mientras que los autores del presente estudio han llevado a cabo una investigación independiente de los regímenes de derecho de autor de los Estados miembros de la OMPI, ampliando el estudio anterior mediante investigaciones adaptadas a las preguntas específicas planteadas sobre las disposiciones relativas a la discapacidad en el marco de los regímenes de derecho de autor.</w:t>
      </w:r>
    </w:p>
    <w:p w:rsidR="004863F2" w:rsidRPr="00525040" w:rsidRDefault="004863F2" w:rsidP="00E258D2">
      <w:pPr>
        <w:spacing w:after="80" w:line="280" w:lineRule="exact"/>
        <w:rPr>
          <w:rFonts w:eastAsia="Arial"/>
          <w:szCs w:val="22"/>
          <w:lang w:val="es-ES" w:eastAsia="en-ZA"/>
        </w:rPr>
      </w:pPr>
      <w:r w:rsidRPr="00525040">
        <w:rPr>
          <w:rFonts w:eastAsia="Arial"/>
          <w:szCs w:val="22"/>
          <w:lang w:val="es-ES" w:eastAsia="en-ZA"/>
        </w:rPr>
        <w:t xml:space="preserve">En el estudio se incorporan datos del cuestionario de 2017 e investigaciones independientes realizadas por los estudiantes de posgrado de la Universidad de Ciudad del Cabo y los abogados estudiantes del </w:t>
      </w:r>
      <w:r w:rsidRPr="00525040">
        <w:rPr>
          <w:lang w:val="es-ES"/>
        </w:rPr>
        <w:t>Centro de Asesoramiento sobre Derecho y Política Tecnológica Samuelson-Glushko de la Facultad de Derecho de la Universidad de Colorado</w:t>
      </w:r>
      <w:r w:rsidRPr="00525040">
        <w:rPr>
          <w:rFonts w:eastAsia="Arial"/>
          <w:szCs w:val="22"/>
          <w:lang w:val="es-ES" w:eastAsia="en-ZA"/>
        </w:rPr>
        <w:t>. En conjunto, los auto</w:t>
      </w:r>
      <w:r w:rsidR="001516DD">
        <w:rPr>
          <w:rFonts w:eastAsia="Arial"/>
          <w:szCs w:val="22"/>
          <w:lang w:val="es-ES" w:eastAsia="en-ZA"/>
        </w:rPr>
        <w:t>res han investigado la diversa</w:t>
      </w:r>
      <w:r w:rsidRPr="00525040">
        <w:rPr>
          <w:rFonts w:eastAsia="Arial"/>
          <w:szCs w:val="22"/>
          <w:lang w:val="es-ES" w:eastAsia="en-ZA"/>
        </w:rPr>
        <w:t xml:space="preserve"> </w:t>
      </w:r>
      <w:r w:rsidR="001516DD">
        <w:rPr>
          <w:rFonts w:eastAsia="Arial"/>
          <w:szCs w:val="22"/>
          <w:lang w:val="es-ES" w:eastAsia="en-ZA"/>
        </w:rPr>
        <w:t>legislación</w:t>
      </w:r>
      <w:r w:rsidRPr="00525040">
        <w:rPr>
          <w:rFonts w:eastAsia="Arial"/>
          <w:szCs w:val="22"/>
          <w:lang w:val="es-ES" w:eastAsia="en-ZA"/>
        </w:rPr>
        <w:t xml:space="preserve"> de derecho de autor de todos los Estados miembros de la OMPI y todas las disposiciones previstas </w:t>
      </w:r>
      <w:r w:rsidR="001516DD">
        <w:rPr>
          <w:rFonts w:eastAsia="Arial"/>
          <w:szCs w:val="22"/>
          <w:lang w:val="es-ES" w:eastAsia="en-ZA"/>
        </w:rPr>
        <w:t xml:space="preserve">en ella </w:t>
      </w:r>
      <w:r w:rsidRPr="00525040">
        <w:rPr>
          <w:rFonts w:eastAsia="Arial"/>
          <w:szCs w:val="22"/>
          <w:lang w:val="es-ES" w:eastAsia="en-ZA"/>
        </w:rPr>
        <w:t>que contemplan el uso accesible de obras protegidas por derecho de autor para las personas con discapacidad.</w:t>
      </w:r>
    </w:p>
    <w:p w:rsidR="00E258D2" w:rsidRPr="00525040" w:rsidRDefault="009664E2" w:rsidP="00E258D2">
      <w:pPr>
        <w:keepNext/>
        <w:spacing w:before="240" w:after="60"/>
        <w:outlineLvl w:val="0"/>
        <w:rPr>
          <w:rFonts w:eastAsia="Arial"/>
          <w:b/>
          <w:bCs/>
          <w:caps/>
          <w:kern w:val="32"/>
          <w:szCs w:val="22"/>
          <w:lang w:val="es-ES"/>
        </w:rPr>
      </w:pPr>
      <w:bookmarkStart w:id="14" w:name="_sg8c27ed2ot5"/>
      <w:bookmarkEnd w:id="14"/>
      <w:r w:rsidRPr="00525040">
        <w:rPr>
          <w:rFonts w:eastAsia="Arial"/>
          <w:b/>
          <w:bCs/>
          <w:caps/>
          <w:kern w:val="32"/>
          <w:szCs w:val="22"/>
          <w:lang w:val="es-ES"/>
        </w:rPr>
        <w:t>ANáLiSIS</w:t>
      </w:r>
      <w:r w:rsidRPr="00525040">
        <w:rPr>
          <w:rFonts w:eastAsia="Arial"/>
          <w:b/>
          <w:bCs/>
          <w:caps/>
          <w:kern w:val="32"/>
          <w:szCs w:val="22"/>
          <w:lang w:val="es-ES"/>
        </w:rPr>
        <w:tab/>
      </w:r>
      <w:r w:rsidRPr="00525040">
        <w:rPr>
          <w:rFonts w:eastAsia="Arial"/>
          <w:b/>
          <w:bCs/>
          <w:caps/>
          <w:kern w:val="32"/>
          <w:szCs w:val="22"/>
          <w:lang w:val="es-ES"/>
        </w:rPr>
        <w:tab/>
      </w:r>
    </w:p>
    <w:p w:rsidR="00DA04CF" w:rsidRPr="00525040" w:rsidRDefault="00DA04CF" w:rsidP="00DA04CF">
      <w:pPr>
        <w:pStyle w:val="WIPOBodyStyle"/>
        <w:rPr>
          <w:sz w:val="22"/>
          <w:lang w:val="es-ES"/>
        </w:rPr>
      </w:pPr>
      <w:r w:rsidRPr="00525040">
        <w:rPr>
          <w:sz w:val="22"/>
          <w:lang w:val="es-ES"/>
        </w:rPr>
        <w:t>Este estudio va más allá del Tratado de Marrakech, al considerar otras discapacidades más allá del texto impreso y otras obras además de las obras literarias y artísticas en forma de texto e ilustraciones conexas. Sin embargo, es importante señalar desde el principio que la definición del Tratado de Marrakech sobre “las personas con dificultad para acceder al texto impreso” comprende las discapacidades visuales, pero también se superpone en cierta medida con las discapacidades cognitivas/intelectuales y físicas/motoras.</w:t>
      </w:r>
    </w:p>
    <w:p w:rsidR="00E258D2" w:rsidRPr="00525040" w:rsidRDefault="004863F2" w:rsidP="00E258D2">
      <w:pPr>
        <w:keepNext/>
        <w:spacing w:before="240" w:after="60"/>
        <w:outlineLvl w:val="1"/>
        <w:rPr>
          <w:rFonts w:eastAsia="Arial"/>
          <w:bCs/>
          <w:iCs/>
          <w:caps/>
          <w:szCs w:val="22"/>
          <w:lang w:val="es-ES"/>
        </w:rPr>
      </w:pPr>
      <w:bookmarkStart w:id="15" w:name="_3sgt2jfyu1sj"/>
      <w:bookmarkEnd w:id="15"/>
      <w:r w:rsidRPr="00525040">
        <w:rPr>
          <w:rFonts w:eastAsia="Arial"/>
          <w:bCs/>
          <w:iCs/>
          <w:caps/>
          <w:szCs w:val="22"/>
          <w:lang w:val="es-ES"/>
        </w:rPr>
        <w:t>CONSTATACIONES</w:t>
      </w:r>
    </w:p>
    <w:p w:rsidR="006D0EF2" w:rsidRPr="00525040" w:rsidRDefault="006D0EF2" w:rsidP="006D0EF2">
      <w:pPr>
        <w:spacing w:after="80" w:line="280" w:lineRule="exact"/>
        <w:rPr>
          <w:rFonts w:eastAsia="Arial"/>
          <w:szCs w:val="22"/>
          <w:lang w:val="es-ES" w:eastAsia="en-ZA"/>
        </w:rPr>
      </w:pPr>
      <w:r w:rsidRPr="00525040">
        <w:rPr>
          <w:rFonts w:eastAsia="Arial"/>
          <w:szCs w:val="22"/>
          <w:lang w:val="es-ES" w:eastAsia="en-ZA"/>
        </w:rPr>
        <w:t xml:space="preserve">En el estudio se determinó que existen dos categorías principales de excepciones y limitaciones aplicables: a saber, las disposiciones específicas y las generales. Estas disposiciones se utilizan en un enfoque único o mixto/híbrido. En </w:t>
      </w:r>
      <w:r w:rsidR="001516DD">
        <w:rPr>
          <w:rFonts w:eastAsia="Arial"/>
          <w:szCs w:val="22"/>
          <w:lang w:val="es-ES" w:eastAsia="en-ZA"/>
        </w:rPr>
        <w:t>el</w:t>
      </w:r>
      <w:r w:rsidRPr="00525040">
        <w:rPr>
          <w:rFonts w:eastAsia="Arial"/>
          <w:szCs w:val="22"/>
          <w:lang w:val="es-ES" w:eastAsia="en-ZA"/>
        </w:rPr>
        <w:t xml:space="preserve"> enfoque único se utilizan únicamente disposiciones generales o específicas. En </w:t>
      </w:r>
      <w:r w:rsidR="00B56E90">
        <w:rPr>
          <w:rFonts w:eastAsia="Arial"/>
          <w:szCs w:val="22"/>
          <w:lang w:val="es-ES" w:eastAsia="en-ZA"/>
        </w:rPr>
        <w:t>el</w:t>
      </w:r>
      <w:r w:rsidR="001516DD">
        <w:rPr>
          <w:rFonts w:eastAsia="Arial"/>
          <w:szCs w:val="22"/>
          <w:lang w:val="es-ES" w:eastAsia="en-ZA"/>
        </w:rPr>
        <w:t xml:space="preserve"> </w:t>
      </w:r>
      <w:r w:rsidRPr="00525040">
        <w:rPr>
          <w:rFonts w:eastAsia="Arial"/>
          <w:szCs w:val="22"/>
          <w:lang w:val="es-ES" w:eastAsia="en-ZA"/>
        </w:rPr>
        <w:t>enfoque mixto/híbrido, la legislación de derecho de autor contiene tanto disposiciones específicas como generales.</w:t>
      </w:r>
    </w:p>
    <w:p w:rsidR="006D0EF2" w:rsidRPr="00525040" w:rsidRDefault="006D0EF2" w:rsidP="00E258D2">
      <w:pPr>
        <w:spacing w:after="80" w:line="280" w:lineRule="exact"/>
        <w:rPr>
          <w:rFonts w:eastAsia="Arial"/>
          <w:szCs w:val="22"/>
          <w:lang w:val="es-ES" w:eastAsia="en-ZA"/>
        </w:rPr>
      </w:pPr>
      <w:r w:rsidRPr="00525040">
        <w:rPr>
          <w:rFonts w:eastAsia="Arial"/>
          <w:szCs w:val="22"/>
          <w:lang w:val="es-ES" w:eastAsia="en-ZA"/>
        </w:rPr>
        <w:t xml:space="preserve">La legislación de los Estados miembros que cuenta con disposiciones específicas establece las discapacidades pertinentes (auditivas, visuales, cognitivas o físicas). A continuación, se establece quién puede hacer los ejemplares en formato accesible, qué tipos de obras y derechos están sujetos a la excepción y qué condiciones deben cumplirse. Algunos países también cuentan con disposiciones sobre importación/exportación y disposiciones contra la elusión, que también permiten alegar que la elusión se ha llevado a cabo para facilitar la realización de ejemplares en formato accesible autorizados por las excepciones pertinentes previstas en la legislación de derecho de autor (“excepciones relativas a la discapacidad”). </w:t>
      </w:r>
      <w:r w:rsidRPr="00525040">
        <w:rPr>
          <w:rFonts w:eastAsia="Arial"/>
          <w:szCs w:val="22"/>
          <w:lang w:val="es-ES" w:eastAsia="en-ZA"/>
        </w:rPr>
        <w:lastRenderedPageBreak/>
        <w:t xml:space="preserve">En los casos en que no existan esas disposiciones en la legislación, las disposiciones contra la elusión dificultarán la realización de ejemplares en formato accesible. Las disposiciones generales no mencionan expresamente la discapacidad, pero están redactadas </w:t>
      </w:r>
      <w:r w:rsidR="001516DD">
        <w:rPr>
          <w:rFonts w:eastAsia="Arial"/>
          <w:szCs w:val="22"/>
          <w:lang w:val="es-ES" w:eastAsia="en-ZA"/>
        </w:rPr>
        <w:t>de manera tan general</w:t>
      </w:r>
      <w:r w:rsidRPr="00525040">
        <w:rPr>
          <w:rFonts w:eastAsia="Arial"/>
          <w:szCs w:val="22"/>
          <w:lang w:val="es-ES" w:eastAsia="en-ZA"/>
        </w:rPr>
        <w:t xml:space="preserve"> </w:t>
      </w:r>
      <w:r w:rsidR="001516DD">
        <w:rPr>
          <w:rFonts w:eastAsia="Arial"/>
          <w:szCs w:val="22"/>
          <w:lang w:val="es-ES" w:eastAsia="en-ZA"/>
        </w:rPr>
        <w:t>que incluyen</w:t>
      </w:r>
      <w:r w:rsidRPr="00525040">
        <w:rPr>
          <w:rFonts w:eastAsia="Arial"/>
          <w:szCs w:val="22"/>
          <w:lang w:val="es-ES" w:eastAsia="en-ZA"/>
        </w:rPr>
        <w:t xml:space="preserve"> la elaboración y difusión de ejemplares en formato accesible en beneficio de las personas con discapacidad.</w:t>
      </w:r>
    </w:p>
    <w:p w:rsidR="00E258D2" w:rsidRPr="00525040" w:rsidRDefault="006D0EF2" w:rsidP="00E258D2">
      <w:pPr>
        <w:keepNext/>
        <w:spacing w:before="240" w:after="60"/>
        <w:outlineLvl w:val="2"/>
        <w:rPr>
          <w:rFonts w:eastAsia="Arial"/>
          <w:bCs/>
          <w:szCs w:val="22"/>
          <w:u w:val="single"/>
          <w:lang w:val="es-ES"/>
        </w:rPr>
      </w:pPr>
      <w:bookmarkStart w:id="16" w:name="_Toc3361683"/>
      <w:bookmarkStart w:id="17" w:name="_Toc2872898"/>
      <w:bookmarkStart w:id="18" w:name="_Toc2872250"/>
      <w:r w:rsidRPr="00525040">
        <w:rPr>
          <w:rFonts w:eastAsia="Arial"/>
          <w:bCs/>
          <w:szCs w:val="22"/>
          <w:u w:val="single"/>
          <w:lang w:val="es-ES"/>
        </w:rPr>
        <w:t>Enfoque único o mixto/híbrido</w:t>
      </w:r>
      <w:r w:rsidR="00E258D2" w:rsidRPr="00525040">
        <w:rPr>
          <w:rFonts w:eastAsia="Arial"/>
          <w:bCs/>
          <w:szCs w:val="22"/>
          <w:u w:val="single"/>
          <w:lang w:val="es-ES"/>
        </w:rPr>
        <w:t xml:space="preserve"> </w:t>
      </w:r>
      <w:bookmarkEnd w:id="16"/>
      <w:bookmarkEnd w:id="17"/>
      <w:bookmarkEnd w:id="18"/>
    </w:p>
    <w:p w:rsidR="00C50D48" w:rsidRPr="00525040" w:rsidRDefault="00C50D48" w:rsidP="00E258D2">
      <w:pPr>
        <w:spacing w:after="80" w:line="280" w:lineRule="exact"/>
        <w:rPr>
          <w:rFonts w:eastAsia="Arial"/>
          <w:szCs w:val="22"/>
          <w:lang w:val="es-ES" w:eastAsia="en-ZA"/>
        </w:rPr>
      </w:pPr>
      <w:r w:rsidRPr="00525040">
        <w:rPr>
          <w:rFonts w:eastAsia="Arial"/>
          <w:szCs w:val="22"/>
          <w:lang w:val="es-ES" w:eastAsia="en-ZA"/>
        </w:rPr>
        <w:t xml:space="preserve">Algunos Estados miembros de la OMPI han adoptado </w:t>
      </w:r>
      <w:r w:rsidR="001516DD">
        <w:rPr>
          <w:rFonts w:eastAsia="Arial"/>
          <w:szCs w:val="22"/>
          <w:lang w:val="es-ES" w:eastAsia="en-ZA"/>
        </w:rPr>
        <w:t>tan solo uno de es</w:t>
      </w:r>
      <w:r w:rsidRPr="00525040">
        <w:rPr>
          <w:rFonts w:eastAsia="Arial"/>
          <w:szCs w:val="22"/>
          <w:lang w:val="es-ES" w:eastAsia="en-ZA"/>
        </w:rPr>
        <w:t xml:space="preserve">os enfoques y solo </w:t>
      </w:r>
      <w:r w:rsidR="001516DD">
        <w:rPr>
          <w:rFonts w:eastAsia="Arial"/>
          <w:szCs w:val="22"/>
          <w:lang w:val="es-ES" w:eastAsia="en-ZA"/>
        </w:rPr>
        <w:t>contemplan</w:t>
      </w:r>
      <w:r w:rsidRPr="00525040">
        <w:rPr>
          <w:rFonts w:eastAsia="Arial"/>
          <w:szCs w:val="22"/>
          <w:lang w:val="es-ES" w:eastAsia="en-ZA"/>
        </w:rPr>
        <w:t xml:space="preserve"> una disposición específica o general en su legislación de derecho de autor. Entre los ejemplos de Estados que han adoptado este enfoque singular figuran Australia y Armenia. En el artículo 113E de la Ley de Derecho de Autor de Australia</w:t>
      </w:r>
      <w:r w:rsidRPr="00525040">
        <w:rPr>
          <w:rFonts w:eastAsia="Arial"/>
          <w:szCs w:val="22"/>
          <w:vertAlign w:val="superscript"/>
          <w:lang w:val="es-ES" w:eastAsia="en-ZA"/>
        </w:rPr>
        <w:footnoteReference w:id="17"/>
      </w:r>
      <w:r w:rsidRPr="00525040">
        <w:rPr>
          <w:rFonts w:eastAsia="Arial"/>
          <w:szCs w:val="22"/>
          <w:lang w:val="es-ES" w:eastAsia="en-ZA"/>
        </w:rPr>
        <w:t xml:space="preserve"> se establece</w:t>
      </w:r>
      <w:r w:rsidR="00D8130B" w:rsidRPr="00525040">
        <w:rPr>
          <w:rFonts w:eastAsia="Arial"/>
          <w:szCs w:val="22"/>
          <w:lang w:val="es-ES" w:eastAsia="en-ZA"/>
        </w:rPr>
        <w:t xml:space="preserve">n prácticas leales </w:t>
      </w:r>
      <w:r w:rsidRPr="00525040">
        <w:rPr>
          <w:rFonts w:eastAsia="Arial"/>
          <w:szCs w:val="22"/>
          <w:lang w:val="es-ES" w:eastAsia="en-ZA"/>
        </w:rPr>
        <w:t>a los fines del acceso de las personas con discapacidad y en el artículo 22 de la Ley de Armenia de Derecho de Autor y Derechos Conexos</w:t>
      </w:r>
      <w:r w:rsidRPr="00525040">
        <w:rPr>
          <w:rFonts w:eastAsia="Arial"/>
          <w:szCs w:val="22"/>
          <w:vertAlign w:val="superscript"/>
          <w:lang w:val="es-ES" w:eastAsia="en-ZA"/>
        </w:rPr>
        <w:footnoteReference w:id="18"/>
      </w:r>
      <w:r w:rsidRPr="00525040">
        <w:rPr>
          <w:rFonts w:eastAsia="Arial"/>
          <w:szCs w:val="22"/>
          <w:lang w:val="es-ES" w:eastAsia="en-ZA"/>
        </w:rPr>
        <w:t xml:space="preserve"> se prevé la reproducción no comercial de las obras “en braille u otras formas especiales… para los ciegos.”</w:t>
      </w:r>
    </w:p>
    <w:p w:rsidR="00C50D48" w:rsidRPr="00525040" w:rsidRDefault="00C50D48" w:rsidP="00C50D48">
      <w:pPr>
        <w:pStyle w:val="WIPOBodyStyle"/>
        <w:rPr>
          <w:sz w:val="22"/>
          <w:lang w:val="es-ES"/>
        </w:rPr>
      </w:pPr>
      <w:r w:rsidRPr="00525040">
        <w:rPr>
          <w:sz w:val="22"/>
          <w:lang w:val="es-ES"/>
        </w:rPr>
        <w:t>Otros Estados miembros de la OMPI han adoptado un enfoque mixto y tienen cláusulas específicas y generales. Los EE. UU. son un eje</w:t>
      </w:r>
      <w:r w:rsidR="00307581" w:rsidRPr="00525040">
        <w:rPr>
          <w:sz w:val="22"/>
          <w:lang w:val="es-ES"/>
        </w:rPr>
        <w:t>mplo excelente de esta doctrina:</w:t>
      </w:r>
      <w:r w:rsidRPr="00525040">
        <w:rPr>
          <w:sz w:val="22"/>
          <w:lang w:val="es-ES"/>
        </w:rPr>
        <w:t xml:space="preserve"> la doctrina del uso leal de la Ley de Derecho de Autor,</w:t>
      </w:r>
      <w:r w:rsidRPr="00525040">
        <w:rPr>
          <w:vertAlign w:val="superscript"/>
          <w:lang w:val="es-ES"/>
        </w:rPr>
        <w:footnoteReference w:id="19"/>
      </w:r>
      <w:r w:rsidRPr="00525040">
        <w:rPr>
          <w:lang w:val="es-ES"/>
        </w:rPr>
        <w:t xml:space="preserve"> </w:t>
      </w:r>
      <w:r w:rsidRPr="00525040">
        <w:rPr>
          <w:sz w:val="22"/>
          <w:lang w:val="es-ES"/>
        </w:rPr>
        <w:t xml:space="preserve">que </w:t>
      </w:r>
      <w:r w:rsidR="00307581" w:rsidRPr="00525040">
        <w:rPr>
          <w:sz w:val="22"/>
          <w:lang w:val="es-ES"/>
        </w:rPr>
        <w:t>nace</w:t>
      </w:r>
      <w:r w:rsidRPr="00525040">
        <w:rPr>
          <w:sz w:val="22"/>
          <w:lang w:val="es-ES"/>
        </w:rPr>
        <w:t xml:space="preserve"> de la Primera Enmienda de la Constitución de los Estados Unidos de América,</w:t>
      </w:r>
      <w:r w:rsidRPr="00525040">
        <w:rPr>
          <w:vertAlign w:val="superscript"/>
          <w:lang w:val="es-ES"/>
        </w:rPr>
        <w:footnoteReference w:id="20"/>
      </w:r>
      <w:r w:rsidRPr="00525040">
        <w:rPr>
          <w:sz w:val="22"/>
          <w:lang w:val="es-ES"/>
        </w:rPr>
        <w:t xml:space="preserve"> </w:t>
      </w:r>
      <w:r w:rsidR="00307581" w:rsidRPr="00525040">
        <w:rPr>
          <w:sz w:val="22"/>
          <w:lang w:val="es-ES"/>
        </w:rPr>
        <w:t>es suficientemente amplia</w:t>
      </w:r>
      <w:r w:rsidRPr="00525040">
        <w:rPr>
          <w:sz w:val="22"/>
          <w:lang w:val="es-ES"/>
        </w:rPr>
        <w:t xml:space="preserve"> como para permitir la realización de ejemplares en formato accesible,</w:t>
      </w:r>
      <w:r w:rsidR="00307581" w:rsidRPr="00525040">
        <w:rPr>
          <w:vertAlign w:val="superscript"/>
          <w:lang w:val="es-ES"/>
        </w:rPr>
        <w:footnoteReference w:id="21"/>
      </w:r>
      <w:r w:rsidRPr="00525040">
        <w:rPr>
          <w:sz w:val="22"/>
          <w:lang w:val="es-ES"/>
        </w:rPr>
        <w:t xml:space="preserve"> </w:t>
      </w:r>
      <w:r w:rsidR="00307581" w:rsidRPr="00525040">
        <w:rPr>
          <w:sz w:val="22"/>
          <w:lang w:val="es-ES"/>
        </w:rPr>
        <w:t>y</w:t>
      </w:r>
      <w:r w:rsidRPr="00525040">
        <w:rPr>
          <w:sz w:val="22"/>
          <w:lang w:val="es-ES"/>
        </w:rPr>
        <w:t xml:space="preserve"> </w:t>
      </w:r>
      <w:r w:rsidR="00307581" w:rsidRPr="00525040">
        <w:rPr>
          <w:sz w:val="22"/>
          <w:lang w:val="es-ES"/>
        </w:rPr>
        <w:t xml:space="preserve">en </w:t>
      </w:r>
      <w:r w:rsidRPr="00525040">
        <w:rPr>
          <w:sz w:val="22"/>
          <w:lang w:val="es-ES"/>
        </w:rPr>
        <w:t>los artículos 121 y 121</w:t>
      </w:r>
      <w:r w:rsidR="00307581" w:rsidRPr="00525040">
        <w:rPr>
          <w:sz w:val="22"/>
          <w:lang w:val="es-ES"/>
        </w:rPr>
        <w:t>A de la Ley de Derecho de Autor</w:t>
      </w:r>
      <w:r w:rsidR="00307581" w:rsidRPr="00525040">
        <w:rPr>
          <w:lang w:val="es-ES"/>
        </w:rPr>
        <w:t>,</w:t>
      </w:r>
      <w:r w:rsidR="00307581" w:rsidRPr="00525040">
        <w:rPr>
          <w:vertAlign w:val="superscript"/>
          <w:lang w:val="es-ES"/>
        </w:rPr>
        <w:footnoteReference w:id="22"/>
      </w:r>
      <w:r w:rsidRPr="00525040">
        <w:rPr>
          <w:sz w:val="22"/>
          <w:lang w:val="es-ES"/>
        </w:rPr>
        <w:t xml:space="preserve"> </w:t>
      </w:r>
      <w:r w:rsidR="00307581" w:rsidRPr="00525040">
        <w:rPr>
          <w:sz w:val="22"/>
          <w:lang w:val="es-ES"/>
        </w:rPr>
        <w:t xml:space="preserve">introducidos por </w:t>
      </w:r>
      <w:r w:rsidR="006107B3">
        <w:rPr>
          <w:sz w:val="22"/>
          <w:lang w:val="es-ES"/>
        </w:rPr>
        <w:t xml:space="preserve">la Enmienda </w:t>
      </w:r>
      <w:r w:rsidRPr="00525040">
        <w:rPr>
          <w:sz w:val="22"/>
          <w:lang w:val="es-ES"/>
        </w:rPr>
        <w:t>Chafee</w:t>
      </w:r>
      <w:r w:rsidR="00307581" w:rsidRPr="00525040">
        <w:rPr>
          <w:vertAlign w:val="superscript"/>
          <w:lang w:val="es-ES"/>
        </w:rPr>
        <w:footnoteReference w:id="23"/>
      </w:r>
      <w:r w:rsidR="00307581" w:rsidRPr="00525040">
        <w:rPr>
          <w:sz w:val="22"/>
          <w:lang w:val="es-ES"/>
        </w:rPr>
        <w:t xml:space="preserve"> y actualizados</w:t>
      </w:r>
      <w:r w:rsidRPr="00525040">
        <w:rPr>
          <w:sz w:val="22"/>
          <w:lang w:val="es-ES"/>
        </w:rPr>
        <w:t xml:space="preserve"> tras la aplicación del Tratado de Marrakech,</w:t>
      </w:r>
      <w:r w:rsidR="00307581" w:rsidRPr="00525040">
        <w:rPr>
          <w:vertAlign w:val="superscript"/>
          <w:lang w:val="es-ES"/>
        </w:rPr>
        <w:footnoteReference w:id="24"/>
      </w:r>
      <w:r w:rsidR="00307581" w:rsidRPr="00525040">
        <w:rPr>
          <w:lang w:val="es-ES"/>
        </w:rPr>
        <w:t xml:space="preserve"> </w:t>
      </w:r>
      <w:r w:rsidR="00307581" w:rsidRPr="00525040">
        <w:rPr>
          <w:sz w:val="22"/>
          <w:lang w:val="es-ES"/>
        </w:rPr>
        <w:t xml:space="preserve">se contempla </w:t>
      </w:r>
      <w:r w:rsidRPr="00525040">
        <w:rPr>
          <w:sz w:val="22"/>
          <w:lang w:val="es-ES"/>
        </w:rPr>
        <w:t xml:space="preserve">una excepción a los derechos de reproducción en beneficio de los ciegos </w:t>
      </w:r>
      <w:r w:rsidR="00307581" w:rsidRPr="00525040">
        <w:rPr>
          <w:sz w:val="22"/>
          <w:lang w:val="es-ES"/>
        </w:rPr>
        <w:t>u</w:t>
      </w:r>
      <w:r w:rsidRPr="00525040">
        <w:rPr>
          <w:sz w:val="22"/>
          <w:lang w:val="es-ES"/>
        </w:rPr>
        <w:t xml:space="preserve"> otras personas con discapacidad.</w:t>
      </w:r>
      <w:r w:rsidR="00307581" w:rsidRPr="00525040">
        <w:rPr>
          <w:sz w:val="22"/>
          <w:lang w:val="es-ES"/>
        </w:rPr>
        <w:t xml:space="preserve"> </w:t>
      </w:r>
      <w:r w:rsidRPr="00525040">
        <w:rPr>
          <w:sz w:val="22"/>
          <w:lang w:val="es-ES"/>
        </w:rPr>
        <w:t>Otro ejemplo de país con un enfoque mixt</w:t>
      </w:r>
      <w:r w:rsidR="00307581" w:rsidRPr="00525040">
        <w:rPr>
          <w:sz w:val="22"/>
          <w:lang w:val="es-ES"/>
        </w:rPr>
        <w:t>o o un modelo híbrido es Israel</w:t>
      </w:r>
      <w:r w:rsidR="00307581" w:rsidRPr="00525040">
        <w:rPr>
          <w:lang w:val="es-ES"/>
        </w:rPr>
        <w:t>.</w:t>
      </w:r>
      <w:r w:rsidR="00307581" w:rsidRPr="00525040">
        <w:rPr>
          <w:vertAlign w:val="superscript"/>
          <w:lang w:val="es-ES"/>
        </w:rPr>
        <w:footnoteReference w:id="25"/>
      </w:r>
      <w:r w:rsidR="00307581" w:rsidRPr="00525040">
        <w:rPr>
          <w:lang w:val="es-ES"/>
        </w:rPr>
        <w:t xml:space="preserve"> </w:t>
      </w:r>
      <w:r w:rsidRPr="00525040">
        <w:rPr>
          <w:sz w:val="22"/>
          <w:lang w:val="es-ES"/>
        </w:rPr>
        <w:t xml:space="preserve">El artículo 19 de la Ley de </w:t>
      </w:r>
      <w:r w:rsidR="00307581" w:rsidRPr="00525040">
        <w:rPr>
          <w:sz w:val="22"/>
          <w:lang w:val="es-ES"/>
        </w:rPr>
        <w:t>D</w:t>
      </w:r>
      <w:r w:rsidRPr="00525040">
        <w:rPr>
          <w:sz w:val="22"/>
          <w:lang w:val="es-ES"/>
        </w:rPr>
        <w:t xml:space="preserve">erecho de </w:t>
      </w:r>
      <w:r w:rsidR="00307581" w:rsidRPr="00525040">
        <w:rPr>
          <w:sz w:val="22"/>
          <w:lang w:val="es-ES"/>
        </w:rPr>
        <w:t>A</w:t>
      </w:r>
      <w:r w:rsidRPr="00525040">
        <w:rPr>
          <w:sz w:val="22"/>
          <w:lang w:val="es-ES"/>
        </w:rPr>
        <w:t>utor contiene una cláusula de uso leal y l</w:t>
      </w:r>
      <w:r w:rsidR="00E0178B" w:rsidRPr="00525040">
        <w:rPr>
          <w:sz w:val="22"/>
          <w:lang w:val="es-ES"/>
        </w:rPr>
        <w:t xml:space="preserve">os artículos </w:t>
      </w:r>
      <w:r w:rsidRPr="00525040">
        <w:rPr>
          <w:sz w:val="22"/>
          <w:lang w:val="es-ES"/>
        </w:rPr>
        <w:t xml:space="preserve">28A y 28 E contienen disposiciones específicas, que se examinan en la sección siguiente. </w:t>
      </w:r>
    </w:p>
    <w:p w:rsidR="00E258D2" w:rsidRPr="00525040" w:rsidRDefault="00C50D48" w:rsidP="00E258D2">
      <w:pPr>
        <w:keepNext/>
        <w:spacing w:before="240" w:after="60"/>
        <w:outlineLvl w:val="2"/>
        <w:rPr>
          <w:rFonts w:eastAsia="Arial"/>
          <w:bCs/>
          <w:szCs w:val="22"/>
          <w:u w:val="single"/>
          <w:lang w:val="es-ES"/>
        </w:rPr>
      </w:pPr>
      <w:bookmarkStart w:id="19" w:name="_Toc3361684"/>
      <w:bookmarkStart w:id="20" w:name="_Toc2872899"/>
      <w:bookmarkStart w:id="21" w:name="_Toc2872251"/>
      <w:r w:rsidRPr="00525040">
        <w:rPr>
          <w:rFonts w:eastAsia="Arial"/>
          <w:bCs/>
          <w:szCs w:val="22"/>
          <w:u w:val="single"/>
          <w:lang w:val="es-ES"/>
        </w:rPr>
        <w:t>Disposiciones especí</w:t>
      </w:r>
      <w:r w:rsidR="00E258D2" w:rsidRPr="00525040">
        <w:rPr>
          <w:rFonts w:eastAsia="Arial"/>
          <w:bCs/>
          <w:szCs w:val="22"/>
          <w:u w:val="single"/>
          <w:lang w:val="es-ES"/>
        </w:rPr>
        <w:t>fic</w:t>
      </w:r>
      <w:r w:rsidRPr="00525040">
        <w:rPr>
          <w:rFonts w:eastAsia="Arial"/>
          <w:bCs/>
          <w:szCs w:val="22"/>
          <w:u w:val="single"/>
          <w:lang w:val="es-ES"/>
        </w:rPr>
        <w:t>a</w:t>
      </w:r>
      <w:bookmarkEnd w:id="19"/>
      <w:bookmarkEnd w:id="20"/>
      <w:bookmarkEnd w:id="21"/>
      <w:r w:rsidRPr="00525040">
        <w:rPr>
          <w:rFonts w:eastAsia="Arial"/>
          <w:bCs/>
          <w:szCs w:val="22"/>
          <w:u w:val="single"/>
          <w:lang w:val="es-ES"/>
        </w:rPr>
        <w:t xml:space="preserve">s </w:t>
      </w:r>
    </w:p>
    <w:p w:rsidR="00E258D2" w:rsidRPr="00525040" w:rsidRDefault="00CB51C4" w:rsidP="00E258D2">
      <w:pPr>
        <w:spacing w:after="80" w:line="280" w:lineRule="exact"/>
        <w:rPr>
          <w:rFonts w:eastAsia="Arial"/>
          <w:szCs w:val="22"/>
          <w:lang w:val="es-ES" w:eastAsia="en-ZA"/>
        </w:rPr>
      </w:pPr>
      <w:r w:rsidRPr="00525040">
        <w:rPr>
          <w:lang w:val="es-ES"/>
        </w:rPr>
        <w:t>Las disposiciones específicas adoptan dos formas. El primer tipo de cláusula específica prevé una excepción para la puesta a disposición de ejemplares en formato accesible para las personas con discapacidad. Los artículos 121 y 121A de la Ley de los Estados Unidos</w:t>
      </w:r>
      <w:r w:rsidR="00C8468C" w:rsidRPr="00525040">
        <w:rPr>
          <w:lang w:val="es-ES"/>
        </w:rPr>
        <w:t>, mencionados anteriormente</w:t>
      </w:r>
      <w:r w:rsidRPr="00525040">
        <w:rPr>
          <w:lang w:val="es-ES"/>
        </w:rPr>
        <w:t xml:space="preserve"> son ejemplos de esas cláusulas. Otros ejemp</w:t>
      </w:r>
      <w:r w:rsidR="00C8468C" w:rsidRPr="00525040">
        <w:rPr>
          <w:lang w:val="es-ES"/>
        </w:rPr>
        <w:t xml:space="preserve">los son las </w:t>
      </w:r>
      <w:r w:rsidR="00C8468C" w:rsidRPr="00525040">
        <w:rPr>
          <w:lang w:val="es-ES"/>
        </w:rPr>
        <w:lastRenderedPageBreak/>
        <w:t xml:space="preserve">disposiciones de la legislación </w:t>
      </w:r>
      <w:r w:rsidRPr="00525040">
        <w:rPr>
          <w:lang w:val="es-ES"/>
        </w:rPr>
        <w:t xml:space="preserve">de derecho de autor de la </w:t>
      </w:r>
      <w:r w:rsidR="00E258D2" w:rsidRPr="00525040">
        <w:rPr>
          <w:rFonts w:eastAsia="Arial"/>
          <w:szCs w:val="22"/>
          <w:lang w:val="es-ES" w:eastAsia="en-ZA"/>
        </w:rPr>
        <w:t>Argentina,</w:t>
      </w:r>
      <w:r w:rsidR="00E258D2" w:rsidRPr="00525040">
        <w:rPr>
          <w:rFonts w:eastAsia="Arial"/>
          <w:szCs w:val="22"/>
          <w:vertAlign w:val="superscript"/>
          <w:lang w:val="es-ES" w:eastAsia="en-ZA"/>
        </w:rPr>
        <w:footnoteReference w:id="26"/>
      </w:r>
      <w:r w:rsidR="00E258D2" w:rsidRPr="00525040">
        <w:rPr>
          <w:rFonts w:eastAsia="Arial"/>
          <w:szCs w:val="22"/>
          <w:lang w:val="es-ES" w:eastAsia="en-ZA"/>
        </w:rPr>
        <w:t xml:space="preserve"> Armenia,</w:t>
      </w:r>
      <w:r w:rsidR="00E258D2" w:rsidRPr="00525040">
        <w:rPr>
          <w:rFonts w:eastAsia="Arial"/>
          <w:szCs w:val="22"/>
          <w:vertAlign w:val="superscript"/>
          <w:lang w:val="es-ES" w:eastAsia="en-ZA"/>
        </w:rPr>
        <w:t xml:space="preserve"> </w:t>
      </w:r>
      <w:r w:rsidR="00E258D2" w:rsidRPr="00525040">
        <w:rPr>
          <w:rFonts w:eastAsia="Arial"/>
          <w:szCs w:val="22"/>
          <w:vertAlign w:val="superscript"/>
          <w:lang w:val="es-ES" w:eastAsia="en-ZA"/>
        </w:rPr>
        <w:footnoteReference w:id="27"/>
      </w:r>
      <w:r w:rsidR="00E258D2" w:rsidRPr="00525040">
        <w:rPr>
          <w:rFonts w:eastAsia="Arial"/>
          <w:szCs w:val="22"/>
          <w:lang w:val="es-ES" w:eastAsia="en-ZA"/>
        </w:rPr>
        <w:t xml:space="preserve"> </w:t>
      </w:r>
      <w:r w:rsidR="00C8468C" w:rsidRPr="00525040">
        <w:rPr>
          <w:rFonts w:eastAsia="Arial"/>
          <w:szCs w:val="22"/>
          <w:lang w:val="es-ES" w:eastAsia="en-ZA"/>
        </w:rPr>
        <w:t xml:space="preserve">la </w:t>
      </w:r>
      <w:r w:rsidR="00E258D2" w:rsidRPr="00525040">
        <w:rPr>
          <w:rFonts w:eastAsia="Arial"/>
          <w:szCs w:val="22"/>
          <w:lang w:val="es-ES" w:eastAsia="en-ZA"/>
        </w:rPr>
        <w:t>India</w:t>
      </w:r>
      <w:r w:rsidR="00E258D2" w:rsidRPr="00525040">
        <w:rPr>
          <w:rFonts w:eastAsia="Arial"/>
          <w:szCs w:val="22"/>
          <w:vertAlign w:val="superscript"/>
          <w:lang w:val="es-ES" w:eastAsia="en-ZA"/>
        </w:rPr>
        <w:footnoteReference w:id="28"/>
      </w:r>
      <w:r w:rsidR="00E258D2" w:rsidRPr="00525040">
        <w:rPr>
          <w:rFonts w:eastAsia="Arial"/>
          <w:szCs w:val="22"/>
          <w:lang w:val="es-ES" w:eastAsia="en-ZA"/>
        </w:rPr>
        <w:t xml:space="preserve"> </w:t>
      </w:r>
      <w:r w:rsidR="00C8468C" w:rsidRPr="00525040">
        <w:rPr>
          <w:rFonts w:eastAsia="Arial"/>
          <w:szCs w:val="22"/>
          <w:lang w:val="es-ES" w:eastAsia="en-ZA"/>
        </w:rPr>
        <w:t>e</w:t>
      </w:r>
      <w:r w:rsidR="00E258D2" w:rsidRPr="00525040">
        <w:rPr>
          <w:rFonts w:eastAsia="Arial"/>
          <w:szCs w:val="22"/>
          <w:lang w:val="es-ES" w:eastAsia="en-ZA"/>
        </w:rPr>
        <w:t xml:space="preserve"> Israel.</w:t>
      </w:r>
      <w:r w:rsidR="00E258D2" w:rsidRPr="00525040">
        <w:rPr>
          <w:rFonts w:eastAsia="Arial"/>
          <w:szCs w:val="22"/>
          <w:vertAlign w:val="superscript"/>
          <w:lang w:val="es-ES" w:eastAsia="en-ZA"/>
        </w:rPr>
        <w:footnoteReference w:id="29"/>
      </w:r>
    </w:p>
    <w:p w:rsidR="007D08B0" w:rsidRPr="00525040" w:rsidRDefault="007D08B0" w:rsidP="007D08B0">
      <w:pPr>
        <w:pStyle w:val="WIPOBodyStyle"/>
        <w:rPr>
          <w:sz w:val="22"/>
          <w:lang w:val="es-ES"/>
        </w:rPr>
      </w:pPr>
      <w:r w:rsidRPr="00525040">
        <w:rPr>
          <w:sz w:val="22"/>
          <w:lang w:val="es-ES"/>
        </w:rPr>
        <w:t xml:space="preserve">El segundo tipo de disposición específica es una cláusula de </w:t>
      </w:r>
      <w:r w:rsidR="00D8130B" w:rsidRPr="00525040">
        <w:rPr>
          <w:sz w:val="22"/>
          <w:lang w:val="es-ES"/>
        </w:rPr>
        <w:t>prácticas leales</w:t>
      </w:r>
      <w:r w:rsidRPr="00525040">
        <w:rPr>
          <w:sz w:val="22"/>
          <w:lang w:val="es-ES"/>
        </w:rPr>
        <w:t xml:space="preserve"> que enumera la puesta a disposición de ejemplares en formato accesible para las personas con discapacidad como uno de los usos permitidos. La Ley de Derecho de Autor de Australia de 1968 (consolidada el 1 de enero de 2019) es un ejemplo de ello.</w:t>
      </w:r>
    </w:p>
    <w:p w:rsidR="007D08B0" w:rsidRPr="00525040" w:rsidRDefault="007D08B0" w:rsidP="005704B1">
      <w:pPr>
        <w:spacing w:line="276" w:lineRule="auto"/>
        <w:rPr>
          <w:lang w:val="es-ES"/>
        </w:rPr>
      </w:pPr>
      <w:r w:rsidRPr="00525040">
        <w:rPr>
          <w:lang w:val="es-ES"/>
        </w:rPr>
        <w:t xml:space="preserve">Existe una diferencia importante entre las disposiciones específicas relativas </w:t>
      </w:r>
      <w:r w:rsidR="00D8130B" w:rsidRPr="00525040">
        <w:rPr>
          <w:lang w:val="es-ES"/>
        </w:rPr>
        <w:t>a las prácticas leales</w:t>
      </w:r>
      <w:r w:rsidRPr="00525040">
        <w:rPr>
          <w:lang w:val="es-ES"/>
        </w:rPr>
        <w:t xml:space="preserve"> a los fines del acceso de las personas con discapacidad y las disposiciones generales relativas al uso leal. </w:t>
      </w:r>
      <w:r w:rsidR="005704B1">
        <w:rPr>
          <w:lang w:val="es-ES"/>
        </w:rPr>
        <w:t>Ambas p</w:t>
      </w:r>
      <w:r w:rsidRPr="00525040">
        <w:rPr>
          <w:lang w:val="es-ES"/>
        </w:rPr>
        <w:t xml:space="preserve">ueden calificarse de </w:t>
      </w:r>
      <w:r w:rsidR="00CB51C4" w:rsidRPr="00525040">
        <w:rPr>
          <w:lang w:val="es-ES"/>
        </w:rPr>
        <w:t>“</w:t>
      </w:r>
      <w:r w:rsidRPr="00525040">
        <w:rPr>
          <w:lang w:val="es-ES"/>
        </w:rPr>
        <w:t>generales</w:t>
      </w:r>
      <w:r w:rsidR="00CB51C4" w:rsidRPr="00525040">
        <w:rPr>
          <w:lang w:val="es-ES"/>
        </w:rPr>
        <w:t>”</w:t>
      </w:r>
      <w:r w:rsidRPr="00525040">
        <w:rPr>
          <w:lang w:val="es-ES"/>
        </w:rPr>
        <w:t xml:space="preserve"> porque se aplican a múltiples categorías de </w:t>
      </w:r>
      <w:r w:rsidR="001A4CE1">
        <w:rPr>
          <w:lang w:val="es-ES"/>
        </w:rPr>
        <w:t>fines</w:t>
      </w:r>
      <w:r w:rsidRPr="00525040">
        <w:rPr>
          <w:lang w:val="es-ES"/>
        </w:rPr>
        <w:t>, como</w:t>
      </w:r>
      <w:r w:rsidR="00D340F0">
        <w:rPr>
          <w:lang w:val="es-ES"/>
        </w:rPr>
        <w:t xml:space="preserve"> la investigación y la crítica</w:t>
      </w:r>
      <w:r w:rsidRPr="00525040">
        <w:rPr>
          <w:lang w:val="es-ES"/>
        </w:rPr>
        <w:t xml:space="preserve"> </w:t>
      </w:r>
      <w:r w:rsidR="00D340F0">
        <w:rPr>
          <w:lang w:val="es-ES"/>
        </w:rPr>
        <w:t xml:space="preserve">sobre la base de </w:t>
      </w:r>
      <w:r w:rsidRPr="00525040">
        <w:rPr>
          <w:lang w:val="es-ES"/>
        </w:rPr>
        <w:t xml:space="preserve">la aplicación </w:t>
      </w:r>
      <w:r w:rsidR="00E47B58">
        <w:rPr>
          <w:lang w:val="es-ES"/>
        </w:rPr>
        <w:t xml:space="preserve">equilibrada </w:t>
      </w:r>
      <w:r w:rsidRPr="00525040">
        <w:rPr>
          <w:lang w:val="es-ES"/>
        </w:rPr>
        <w:t>de</w:t>
      </w:r>
      <w:r w:rsidR="00E47B58">
        <w:rPr>
          <w:lang w:val="es-ES"/>
        </w:rPr>
        <w:t xml:space="preserve"> varios factores comunes</w:t>
      </w:r>
      <w:r w:rsidRPr="00525040">
        <w:rPr>
          <w:lang w:val="es-ES"/>
        </w:rPr>
        <w:t>. Sin embargo, difieren en cuanto a su alcance.</w:t>
      </w:r>
    </w:p>
    <w:p w:rsidR="007D08B0" w:rsidRPr="00525040" w:rsidRDefault="007D08B0" w:rsidP="005704B1">
      <w:pPr>
        <w:spacing w:line="276" w:lineRule="auto"/>
        <w:rPr>
          <w:lang w:val="es-ES"/>
        </w:rPr>
      </w:pPr>
      <w:r w:rsidRPr="00525040">
        <w:rPr>
          <w:lang w:val="es-ES"/>
        </w:rPr>
        <w:t xml:space="preserve">El uso leal se basa en una lista no exhaustiva de fines </w:t>
      </w:r>
      <w:r w:rsidR="00C8468C" w:rsidRPr="00525040">
        <w:rPr>
          <w:lang w:val="es-ES"/>
        </w:rPr>
        <w:t xml:space="preserve">autorizados </w:t>
      </w:r>
      <w:r w:rsidRPr="00525040">
        <w:rPr>
          <w:lang w:val="es-ES"/>
        </w:rPr>
        <w:t xml:space="preserve">que cumplen el criterio de equidad tal como se indica en los factores que han de considerarse. En cambio, las disposiciones específicas que se ocupan </w:t>
      </w:r>
      <w:r w:rsidR="00D8130B" w:rsidRPr="00525040">
        <w:rPr>
          <w:lang w:val="es-ES"/>
        </w:rPr>
        <w:t>de las prácticas leales</w:t>
      </w:r>
      <w:r w:rsidRPr="00525040">
        <w:rPr>
          <w:lang w:val="es-ES"/>
        </w:rPr>
        <w:t xml:space="preserve"> son mecanismos </w:t>
      </w:r>
      <w:r w:rsidR="00C8468C" w:rsidRPr="00525040">
        <w:rPr>
          <w:lang w:val="es-ES"/>
        </w:rPr>
        <w:t xml:space="preserve">legislativos </w:t>
      </w:r>
      <w:r w:rsidRPr="00525040">
        <w:rPr>
          <w:lang w:val="es-ES"/>
        </w:rPr>
        <w:t>utilizados para facilitar el uso no remunerado y no autorizado de obras protegidas por el derecho de autor en casos concretos. En ellas se establece una lista exhaustiva de fines permitidos y no se enumeran los factores que han de tenerse en cuenta para determinar el uso</w:t>
      </w:r>
      <w:r w:rsidR="00C8468C" w:rsidRPr="00525040">
        <w:rPr>
          <w:lang w:val="es-ES"/>
        </w:rPr>
        <w:t xml:space="preserve"> leal</w:t>
      </w:r>
      <w:r w:rsidRPr="00525040">
        <w:rPr>
          <w:lang w:val="es-ES"/>
        </w:rPr>
        <w:t xml:space="preserve">. Se complementan con </w:t>
      </w:r>
      <w:r w:rsidR="005704B1">
        <w:rPr>
          <w:lang w:val="es-ES"/>
        </w:rPr>
        <w:t xml:space="preserve">otra </w:t>
      </w:r>
      <w:r w:rsidRPr="00525040">
        <w:rPr>
          <w:lang w:val="es-ES"/>
        </w:rPr>
        <w:t xml:space="preserve">serie de excepciones que prevén otros usos, como la ilustración </w:t>
      </w:r>
      <w:r w:rsidR="000D50CE" w:rsidRPr="00525040">
        <w:rPr>
          <w:lang w:val="es-ES"/>
        </w:rPr>
        <w:t xml:space="preserve">a los fines </w:t>
      </w:r>
      <w:r w:rsidRPr="00525040">
        <w:rPr>
          <w:lang w:val="es-ES"/>
        </w:rPr>
        <w:t xml:space="preserve">de la enseñanza y la presentación de informes judiciales. Los tribunales de algunas jurisdicciones han confirmado que los usos </w:t>
      </w:r>
      <w:r w:rsidR="000D50CE" w:rsidRPr="00525040">
        <w:rPr>
          <w:lang w:val="es-ES"/>
        </w:rPr>
        <w:t xml:space="preserve">autorizados </w:t>
      </w:r>
      <w:r w:rsidRPr="00525040">
        <w:rPr>
          <w:lang w:val="es-ES"/>
        </w:rPr>
        <w:t xml:space="preserve">en virtud de </w:t>
      </w:r>
      <w:r w:rsidR="000D50CE" w:rsidRPr="00525040">
        <w:rPr>
          <w:lang w:val="es-ES"/>
        </w:rPr>
        <w:t xml:space="preserve">las </w:t>
      </w:r>
      <w:r w:rsidRPr="00525040">
        <w:rPr>
          <w:lang w:val="es-ES"/>
        </w:rPr>
        <w:t xml:space="preserve">cláusulas </w:t>
      </w:r>
      <w:r w:rsidR="00D8130B" w:rsidRPr="00525040">
        <w:rPr>
          <w:lang w:val="es-ES"/>
        </w:rPr>
        <w:t>relativas a las prácticas leales</w:t>
      </w:r>
      <w:r w:rsidRPr="00525040">
        <w:rPr>
          <w:lang w:val="es-ES"/>
        </w:rPr>
        <w:t xml:space="preserve"> son exhaustivos, mientras que otros todavía no tratan directamente la cuestión.</w:t>
      </w:r>
    </w:p>
    <w:p w:rsidR="007D08B0" w:rsidRPr="00525040" w:rsidRDefault="007D08B0" w:rsidP="00E258D2">
      <w:pPr>
        <w:spacing w:after="80" w:line="280" w:lineRule="exact"/>
        <w:rPr>
          <w:rFonts w:eastAsia="Arial"/>
          <w:szCs w:val="22"/>
          <w:lang w:val="es-ES" w:eastAsia="en-ZA"/>
        </w:rPr>
      </w:pPr>
      <w:r w:rsidRPr="00525040">
        <w:rPr>
          <w:rFonts w:eastAsia="Arial"/>
          <w:szCs w:val="22"/>
          <w:lang w:val="es-ES" w:eastAsia="en-ZA"/>
        </w:rPr>
        <w:t>Las disposiciones relativas a</w:t>
      </w:r>
      <w:r w:rsidR="00D8130B" w:rsidRPr="00525040">
        <w:rPr>
          <w:rFonts w:eastAsia="Arial"/>
          <w:szCs w:val="22"/>
          <w:lang w:val="es-ES" w:eastAsia="en-ZA"/>
        </w:rPr>
        <w:t xml:space="preserve"> </w:t>
      </w:r>
      <w:r w:rsidRPr="00525040">
        <w:rPr>
          <w:rFonts w:eastAsia="Arial"/>
          <w:szCs w:val="22"/>
          <w:lang w:val="es-ES" w:eastAsia="en-ZA"/>
        </w:rPr>
        <w:t>l</w:t>
      </w:r>
      <w:r w:rsidR="00D8130B" w:rsidRPr="00525040">
        <w:rPr>
          <w:rFonts w:eastAsia="Arial"/>
          <w:szCs w:val="22"/>
          <w:lang w:val="es-ES" w:eastAsia="en-ZA"/>
        </w:rPr>
        <w:t>as prácticas leales</w:t>
      </w:r>
      <w:r w:rsidRPr="00525040">
        <w:rPr>
          <w:rFonts w:eastAsia="Arial"/>
          <w:szCs w:val="22"/>
          <w:lang w:val="es-ES" w:eastAsia="en-ZA"/>
        </w:rPr>
        <w:t xml:space="preserve"> suelen incluir las condiciones aplicables al uso de la obra, como la atribución y una indicación de la fuente de la obra. </w:t>
      </w:r>
      <w:r w:rsidR="000B2FE3" w:rsidRPr="00525040">
        <w:rPr>
          <w:rFonts w:eastAsia="Arial"/>
          <w:szCs w:val="22"/>
          <w:lang w:val="es-ES" w:eastAsia="en-ZA"/>
        </w:rPr>
        <w:t>En alguna legislación nacional</w:t>
      </w:r>
      <w:r w:rsidRPr="00525040">
        <w:rPr>
          <w:rFonts w:eastAsia="Arial"/>
          <w:szCs w:val="22"/>
          <w:lang w:val="es-ES" w:eastAsia="en-ZA"/>
        </w:rPr>
        <w:t xml:space="preserve">, como </w:t>
      </w:r>
      <w:r w:rsidR="000B2FE3" w:rsidRPr="00525040">
        <w:rPr>
          <w:rFonts w:eastAsia="Arial"/>
          <w:szCs w:val="22"/>
          <w:lang w:val="es-ES" w:eastAsia="en-ZA"/>
        </w:rPr>
        <w:t xml:space="preserve">la legislación de </w:t>
      </w:r>
      <w:r w:rsidRPr="00525040">
        <w:rPr>
          <w:rFonts w:eastAsia="Arial"/>
          <w:szCs w:val="22"/>
          <w:lang w:val="es-ES" w:eastAsia="en-ZA"/>
        </w:rPr>
        <w:t>derecho de autor</w:t>
      </w:r>
      <w:r w:rsidR="000B2FE3" w:rsidRPr="00525040">
        <w:rPr>
          <w:rFonts w:eastAsia="Arial"/>
          <w:szCs w:val="22"/>
          <w:lang w:val="es-ES" w:eastAsia="en-ZA"/>
        </w:rPr>
        <w:t xml:space="preserve"> de Australia y del Canadá</w:t>
      </w:r>
      <w:r w:rsidRPr="00525040">
        <w:rPr>
          <w:rFonts w:eastAsia="Arial"/>
          <w:szCs w:val="22"/>
          <w:lang w:val="es-ES" w:eastAsia="en-ZA"/>
        </w:rPr>
        <w:t xml:space="preserve">, </w:t>
      </w:r>
      <w:r w:rsidR="000B2FE3" w:rsidRPr="00525040">
        <w:rPr>
          <w:rFonts w:eastAsia="Arial"/>
          <w:szCs w:val="22"/>
          <w:lang w:val="es-ES" w:eastAsia="en-ZA"/>
        </w:rPr>
        <w:t>figura</w:t>
      </w:r>
      <w:r w:rsidRPr="00525040">
        <w:rPr>
          <w:rFonts w:eastAsia="Arial"/>
          <w:szCs w:val="22"/>
          <w:lang w:val="es-ES" w:eastAsia="en-ZA"/>
        </w:rPr>
        <w:t xml:space="preserve"> una lista de factores que deben tenerse en cuenta para determinar la equidad del uso. El aspecto más importante de las cláusulas </w:t>
      </w:r>
      <w:r w:rsidR="00D8130B" w:rsidRPr="00525040">
        <w:rPr>
          <w:rFonts w:eastAsia="Arial"/>
          <w:szCs w:val="22"/>
          <w:lang w:val="es-ES" w:eastAsia="en-ZA"/>
        </w:rPr>
        <w:t>relativas a las prácticas leales</w:t>
      </w:r>
      <w:r w:rsidRPr="00525040">
        <w:rPr>
          <w:rFonts w:eastAsia="Arial"/>
          <w:szCs w:val="22"/>
          <w:lang w:val="es-ES" w:eastAsia="en-ZA"/>
        </w:rPr>
        <w:t xml:space="preserve"> es que tienen que enumerar la elaboración de formatos accesibles en la lista exhaustiva de usos permitidos. </w:t>
      </w:r>
      <w:r w:rsidR="000B2FE3" w:rsidRPr="00525040">
        <w:rPr>
          <w:rFonts w:eastAsia="Arial"/>
          <w:szCs w:val="22"/>
          <w:lang w:val="es-ES" w:eastAsia="en-ZA"/>
        </w:rPr>
        <w:t>En caso contrario</w:t>
      </w:r>
      <w:r w:rsidRPr="00525040">
        <w:rPr>
          <w:rFonts w:eastAsia="Arial"/>
          <w:szCs w:val="22"/>
          <w:lang w:val="es-ES" w:eastAsia="en-ZA"/>
        </w:rPr>
        <w:t>, no es posible basarse en la cláusula relativa a</w:t>
      </w:r>
      <w:r w:rsidR="00D8130B" w:rsidRPr="00525040">
        <w:rPr>
          <w:rFonts w:eastAsia="Arial"/>
          <w:szCs w:val="22"/>
          <w:lang w:val="es-ES" w:eastAsia="en-ZA"/>
        </w:rPr>
        <w:t xml:space="preserve"> </w:t>
      </w:r>
      <w:r w:rsidRPr="00525040">
        <w:rPr>
          <w:rFonts w:eastAsia="Arial"/>
          <w:szCs w:val="22"/>
          <w:lang w:val="es-ES" w:eastAsia="en-ZA"/>
        </w:rPr>
        <w:t>l</w:t>
      </w:r>
      <w:r w:rsidR="00D8130B" w:rsidRPr="00525040">
        <w:rPr>
          <w:rFonts w:eastAsia="Arial"/>
          <w:szCs w:val="22"/>
          <w:lang w:val="es-ES" w:eastAsia="en-ZA"/>
        </w:rPr>
        <w:t>as prácticas leales</w:t>
      </w:r>
      <w:r w:rsidRPr="00525040">
        <w:rPr>
          <w:rFonts w:eastAsia="Arial"/>
          <w:szCs w:val="22"/>
          <w:lang w:val="es-ES" w:eastAsia="en-ZA"/>
        </w:rPr>
        <w:t xml:space="preserve"> con ese fin. En cambio, </w:t>
      </w:r>
      <w:r w:rsidR="000B2FE3" w:rsidRPr="00525040">
        <w:rPr>
          <w:rFonts w:eastAsia="Arial"/>
          <w:szCs w:val="22"/>
          <w:lang w:val="es-ES" w:eastAsia="en-ZA"/>
        </w:rPr>
        <w:t xml:space="preserve">en </w:t>
      </w:r>
      <w:r w:rsidRPr="00525040">
        <w:rPr>
          <w:rFonts w:eastAsia="Arial"/>
          <w:szCs w:val="22"/>
          <w:lang w:val="es-ES" w:eastAsia="en-ZA"/>
        </w:rPr>
        <w:t xml:space="preserve">las cláusulas de uso leal no </w:t>
      </w:r>
      <w:r w:rsidR="000B2FE3" w:rsidRPr="00525040">
        <w:rPr>
          <w:rFonts w:eastAsia="Arial"/>
          <w:szCs w:val="22"/>
          <w:lang w:val="es-ES" w:eastAsia="en-ZA"/>
        </w:rPr>
        <w:t xml:space="preserve">se exponen </w:t>
      </w:r>
      <w:r w:rsidRPr="00525040">
        <w:rPr>
          <w:rFonts w:eastAsia="Arial"/>
          <w:szCs w:val="22"/>
          <w:lang w:val="es-ES" w:eastAsia="en-ZA"/>
        </w:rPr>
        <w:t>listas exhaustivas de usos permitidos y</w:t>
      </w:r>
      <w:r w:rsidR="001870CE">
        <w:rPr>
          <w:rFonts w:eastAsia="Arial"/>
          <w:szCs w:val="22"/>
          <w:lang w:val="es-ES" w:eastAsia="en-ZA"/>
        </w:rPr>
        <w:t>a que</w:t>
      </w:r>
      <w:r w:rsidRPr="00525040">
        <w:rPr>
          <w:rFonts w:eastAsia="Arial"/>
          <w:szCs w:val="22"/>
          <w:lang w:val="es-ES" w:eastAsia="en-ZA"/>
        </w:rPr>
        <w:t xml:space="preserve"> </w:t>
      </w:r>
      <w:r w:rsidR="000B2FE3" w:rsidRPr="00525040">
        <w:rPr>
          <w:rFonts w:eastAsia="Arial"/>
          <w:szCs w:val="22"/>
          <w:lang w:val="es-ES" w:eastAsia="en-ZA"/>
        </w:rPr>
        <w:t>contienen</w:t>
      </w:r>
      <w:r w:rsidRPr="00525040">
        <w:rPr>
          <w:rFonts w:eastAsia="Arial"/>
          <w:szCs w:val="22"/>
          <w:lang w:val="es-ES" w:eastAsia="en-ZA"/>
        </w:rPr>
        <w:t xml:space="preserve"> </w:t>
      </w:r>
      <w:r w:rsidR="001870CE">
        <w:rPr>
          <w:rFonts w:eastAsia="Arial"/>
          <w:szCs w:val="22"/>
          <w:lang w:val="es-ES" w:eastAsia="en-ZA"/>
        </w:rPr>
        <w:t xml:space="preserve">simplemente </w:t>
      </w:r>
      <w:r w:rsidRPr="00525040">
        <w:rPr>
          <w:rFonts w:eastAsia="Arial"/>
          <w:szCs w:val="22"/>
          <w:lang w:val="es-ES" w:eastAsia="en-ZA"/>
        </w:rPr>
        <w:t>una lista no e</w:t>
      </w:r>
      <w:r w:rsidR="000B2FE3" w:rsidRPr="00525040">
        <w:rPr>
          <w:rFonts w:eastAsia="Arial"/>
          <w:szCs w:val="22"/>
          <w:lang w:val="es-ES" w:eastAsia="en-ZA"/>
        </w:rPr>
        <w:t xml:space="preserve">xhaustiva o ilustrativa. Es </w:t>
      </w:r>
      <w:r w:rsidR="000B2FE3" w:rsidRPr="00525040">
        <w:rPr>
          <w:rFonts w:eastAsia="Arial"/>
          <w:szCs w:val="22"/>
          <w:lang w:val="es-ES" w:eastAsia="en-ZA"/>
        </w:rPr>
        <w:lastRenderedPageBreak/>
        <w:t>este carácter abierto el</w:t>
      </w:r>
      <w:r w:rsidRPr="00525040">
        <w:rPr>
          <w:rFonts w:eastAsia="Arial"/>
          <w:szCs w:val="22"/>
          <w:lang w:val="es-ES" w:eastAsia="en-ZA"/>
        </w:rPr>
        <w:t xml:space="preserve"> que facilita la puesta a disposición de formatos accesibles para las personas con discapacidad.</w:t>
      </w:r>
    </w:p>
    <w:p w:rsidR="007D08B0" w:rsidRPr="00525040" w:rsidRDefault="007D08B0" w:rsidP="00E258D2">
      <w:pPr>
        <w:spacing w:after="80" w:line="280" w:lineRule="exact"/>
        <w:rPr>
          <w:rFonts w:eastAsia="Arial"/>
          <w:szCs w:val="22"/>
          <w:lang w:val="es-ES" w:eastAsia="en-ZA"/>
        </w:rPr>
      </w:pPr>
      <w:r w:rsidRPr="00525040">
        <w:rPr>
          <w:rFonts w:eastAsia="Arial"/>
          <w:szCs w:val="22"/>
          <w:lang w:val="es-ES" w:eastAsia="en-ZA"/>
        </w:rPr>
        <w:t xml:space="preserve">En algunos casos, las cláusulas relativas </w:t>
      </w:r>
      <w:r w:rsidR="00D8130B" w:rsidRPr="00525040">
        <w:rPr>
          <w:rFonts w:eastAsia="Arial"/>
          <w:szCs w:val="22"/>
          <w:lang w:val="es-ES" w:eastAsia="en-ZA"/>
        </w:rPr>
        <w:t>a las prácticas leales</w:t>
      </w:r>
      <w:r w:rsidRPr="00525040">
        <w:rPr>
          <w:rFonts w:eastAsia="Arial"/>
          <w:szCs w:val="22"/>
          <w:lang w:val="es-ES" w:eastAsia="en-ZA"/>
        </w:rPr>
        <w:t xml:space="preserve"> se </w:t>
      </w:r>
      <w:r w:rsidR="000B2FE3" w:rsidRPr="00525040">
        <w:rPr>
          <w:rFonts w:eastAsia="Arial"/>
          <w:szCs w:val="22"/>
          <w:lang w:val="es-ES" w:eastAsia="en-ZA"/>
        </w:rPr>
        <w:t>redactan</w:t>
      </w:r>
      <w:r w:rsidRPr="00525040">
        <w:rPr>
          <w:rFonts w:eastAsia="Arial"/>
          <w:szCs w:val="22"/>
          <w:lang w:val="es-ES" w:eastAsia="en-ZA"/>
        </w:rPr>
        <w:t xml:space="preserve"> de manera tal que </w:t>
      </w:r>
      <w:r w:rsidR="000B2FE3" w:rsidRPr="00525040">
        <w:rPr>
          <w:rFonts w:eastAsia="Arial"/>
          <w:szCs w:val="22"/>
          <w:lang w:val="es-ES" w:eastAsia="en-ZA"/>
        </w:rPr>
        <w:t xml:space="preserve">se puedan utilizar con </w:t>
      </w:r>
      <w:r w:rsidRPr="00525040">
        <w:rPr>
          <w:rFonts w:eastAsia="Arial"/>
          <w:szCs w:val="22"/>
          <w:lang w:val="es-ES" w:eastAsia="en-ZA"/>
        </w:rPr>
        <w:t xml:space="preserve">cualquier fin. En </w:t>
      </w:r>
      <w:r w:rsidR="000B2FE3" w:rsidRPr="00525040">
        <w:rPr>
          <w:rFonts w:eastAsia="Arial"/>
          <w:szCs w:val="22"/>
          <w:lang w:val="es-ES" w:eastAsia="en-ZA"/>
        </w:rPr>
        <w:t>ese caso</w:t>
      </w:r>
      <w:r w:rsidRPr="00525040">
        <w:rPr>
          <w:rFonts w:eastAsia="Arial"/>
          <w:szCs w:val="22"/>
          <w:lang w:val="es-ES" w:eastAsia="en-ZA"/>
        </w:rPr>
        <w:t xml:space="preserve">, </w:t>
      </w:r>
      <w:r w:rsidR="001870CE">
        <w:rPr>
          <w:rFonts w:eastAsia="Arial"/>
          <w:szCs w:val="22"/>
          <w:lang w:val="es-ES" w:eastAsia="en-ZA"/>
        </w:rPr>
        <w:t>quedan señaladas</w:t>
      </w:r>
      <w:r w:rsidRPr="00525040">
        <w:rPr>
          <w:rFonts w:eastAsia="Arial"/>
          <w:szCs w:val="22"/>
          <w:lang w:val="es-ES" w:eastAsia="en-ZA"/>
        </w:rPr>
        <w:t xml:space="preserve"> en el resumen de las </w:t>
      </w:r>
      <w:r w:rsidR="000B2FE3" w:rsidRPr="00525040">
        <w:rPr>
          <w:rFonts w:eastAsia="Arial"/>
          <w:szCs w:val="22"/>
          <w:lang w:val="es-ES" w:eastAsia="en-ZA"/>
        </w:rPr>
        <w:t>constataciones</w:t>
      </w:r>
      <w:r w:rsidRPr="00525040">
        <w:rPr>
          <w:rFonts w:eastAsia="Arial"/>
          <w:szCs w:val="22"/>
          <w:lang w:val="es-ES" w:eastAsia="en-ZA"/>
        </w:rPr>
        <w:t xml:space="preserve"> y en el cuadro correspondiente del Estado miembro de la OMPI.</w:t>
      </w:r>
    </w:p>
    <w:p w:rsidR="00E258D2" w:rsidRPr="00525040" w:rsidRDefault="007D08B0" w:rsidP="00E258D2">
      <w:pPr>
        <w:keepNext/>
        <w:spacing w:before="240" w:after="60"/>
        <w:outlineLvl w:val="2"/>
        <w:rPr>
          <w:rFonts w:eastAsia="Arial"/>
          <w:bCs/>
          <w:szCs w:val="22"/>
          <w:u w:val="single"/>
          <w:lang w:val="es-ES"/>
        </w:rPr>
      </w:pPr>
      <w:r w:rsidRPr="00525040">
        <w:rPr>
          <w:rFonts w:eastAsia="Arial"/>
          <w:bCs/>
          <w:szCs w:val="22"/>
          <w:u w:val="single"/>
          <w:lang w:val="es-ES"/>
        </w:rPr>
        <w:t>Disposiciones generales</w:t>
      </w:r>
    </w:p>
    <w:p w:rsidR="007D08B0" w:rsidRPr="00525040" w:rsidRDefault="000B2FE3" w:rsidP="000B2FE3">
      <w:pPr>
        <w:spacing w:after="80" w:line="280" w:lineRule="exact"/>
        <w:rPr>
          <w:lang w:val="es-ES"/>
        </w:rPr>
      </w:pPr>
      <w:r w:rsidRPr="00525040">
        <w:rPr>
          <w:lang w:val="es-ES"/>
        </w:rPr>
        <w:t>Las disposiciones generales también son pertinentes en la medida en que facilitan la elaboración de formatos accesibles. Por ejemplo, los tribunales de los EE. UU. han confirmado que la cláusula de uso leal permite la realización de ejemplares en formato accesible para las personas con discapacidad visual.</w:t>
      </w:r>
      <w:r w:rsidR="00E258D2" w:rsidRPr="00525040">
        <w:rPr>
          <w:rFonts w:eastAsia="Arial"/>
          <w:szCs w:val="22"/>
          <w:vertAlign w:val="superscript"/>
          <w:lang w:val="es-ES" w:eastAsia="en-ZA"/>
        </w:rPr>
        <w:footnoteReference w:id="30"/>
      </w:r>
      <w:r w:rsidR="00E258D2" w:rsidRPr="00525040">
        <w:rPr>
          <w:rFonts w:eastAsia="Arial"/>
          <w:szCs w:val="22"/>
          <w:lang w:val="es-ES" w:eastAsia="en-ZA"/>
        </w:rPr>
        <w:t xml:space="preserve"> </w:t>
      </w:r>
      <w:r w:rsidR="007D08B0" w:rsidRPr="00525040">
        <w:rPr>
          <w:lang w:val="es-ES"/>
        </w:rPr>
        <w:t>Nada indica que se excluya a otras discapacidades.</w:t>
      </w:r>
    </w:p>
    <w:p w:rsidR="003E7D71" w:rsidRPr="00525040" w:rsidRDefault="003E7D71" w:rsidP="003E7D71">
      <w:pPr>
        <w:pStyle w:val="WIPOBodyStyle"/>
        <w:rPr>
          <w:sz w:val="22"/>
          <w:lang w:val="es-ES"/>
        </w:rPr>
      </w:pPr>
      <w:r w:rsidRPr="00525040">
        <w:rPr>
          <w:iCs/>
          <w:sz w:val="22"/>
          <w:lang w:val="es-ES"/>
        </w:rPr>
        <w:t>En el asunto</w:t>
      </w:r>
      <w:r w:rsidR="000B2FE3" w:rsidRPr="00525040">
        <w:rPr>
          <w:i/>
          <w:sz w:val="22"/>
          <w:lang w:val="es-ES"/>
        </w:rPr>
        <w:t xml:space="preserve"> Authors Guild c</w:t>
      </w:r>
      <w:r w:rsidRPr="00525040">
        <w:rPr>
          <w:i/>
          <w:sz w:val="22"/>
          <w:lang w:val="es-ES"/>
        </w:rPr>
        <w:t xml:space="preserve">. </w:t>
      </w:r>
      <w:r w:rsidRPr="00525040">
        <w:rPr>
          <w:sz w:val="22"/>
          <w:lang w:val="es-ES"/>
        </w:rPr>
        <w:t>HathiTrust, el tribunal sostuvo que conceder a las personas con dificultad para acceder al texto impreso el acceso a copias digitales de las colecciones de las universidades constituiría un uso permisible con arreglo a la doctrina del uso leal.</w:t>
      </w:r>
      <w:r w:rsidR="000B2FE3" w:rsidRPr="00525040">
        <w:rPr>
          <w:vertAlign w:val="superscript"/>
          <w:lang w:val="es-ES"/>
        </w:rPr>
        <w:footnoteReference w:id="31"/>
      </w:r>
    </w:p>
    <w:p w:rsidR="003E7D71" w:rsidRPr="00525040" w:rsidRDefault="003E7D71" w:rsidP="003E7D71">
      <w:pPr>
        <w:pStyle w:val="WIPOBodyStyle"/>
        <w:rPr>
          <w:sz w:val="22"/>
          <w:lang w:val="es-ES"/>
        </w:rPr>
      </w:pPr>
      <w:r w:rsidRPr="00525040">
        <w:rPr>
          <w:sz w:val="22"/>
          <w:lang w:val="es-ES"/>
        </w:rPr>
        <w:t xml:space="preserve">Otro ejemplo es la disposición sobre el uso leal </w:t>
      </w:r>
      <w:r w:rsidR="000B2FE3" w:rsidRPr="00525040">
        <w:rPr>
          <w:sz w:val="22"/>
          <w:lang w:val="es-ES"/>
        </w:rPr>
        <w:t>contemplada en los artículos 11.1) y</w:t>
      </w:r>
      <w:r w:rsidRPr="00525040">
        <w:rPr>
          <w:sz w:val="22"/>
          <w:lang w:val="es-ES"/>
        </w:rPr>
        <w:t xml:space="preserve"> 2) de la Ley de Propie</w:t>
      </w:r>
      <w:r w:rsidR="000B2FE3" w:rsidRPr="00525040">
        <w:rPr>
          <w:sz w:val="22"/>
          <w:lang w:val="es-ES"/>
        </w:rPr>
        <w:t>dad Intelectual de Sri Lanka, N.º</w:t>
      </w:r>
      <w:r w:rsidRPr="00525040">
        <w:rPr>
          <w:sz w:val="22"/>
          <w:lang w:val="es-ES"/>
        </w:rPr>
        <w:t xml:space="preserve"> 36 de 2003</w:t>
      </w:r>
      <w:r w:rsidR="000B2FE3" w:rsidRPr="00525040">
        <w:rPr>
          <w:sz w:val="22"/>
          <w:lang w:val="es-ES"/>
        </w:rPr>
        <w:t>,</w:t>
      </w:r>
      <w:r w:rsidRPr="00525040">
        <w:rPr>
          <w:sz w:val="22"/>
          <w:lang w:val="es-ES"/>
        </w:rPr>
        <w:t xml:space="preserve"> que permite la realización de ejemplares en formato accesible en beneficio de las personas con discapacidad, ya que está redactada en términos generales y </w:t>
      </w:r>
      <w:r w:rsidR="000B2FE3" w:rsidRPr="00525040">
        <w:rPr>
          <w:sz w:val="22"/>
          <w:lang w:val="es-ES"/>
        </w:rPr>
        <w:t>n</w:t>
      </w:r>
      <w:r w:rsidRPr="00525040">
        <w:rPr>
          <w:sz w:val="22"/>
          <w:lang w:val="es-ES"/>
        </w:rPr>
        <w:t xml:space="preserve">o contiene una lista exhaustiva de usos permitidos. </w:t>
      </w:r>
    </w:p>
    <w:p w:rsidR="003E7D71" w:rsidRPr="00525040" w:rsidRDefault="003E7D71" w:rsidP="003E7D71">
      <w:pPr>
        <w:pStyle w:val="WIPOBodyStyle"/>
        <w:rPr>
          <w:sz w:val="22"/>
          <w:lang w:val="es-ES"/>
        </w:rPr>
      </w:pPr>
      <w:r w:rsidRPr="00525040">
        <w:rPr>
          <w:sz w:val="22"/>
          <w:lang w:val="es-ES"/>
        </w:rPr>
        <w:t>E</w:t>
      </w:r>
      <w:r w:rsidR="000B2FE3" w:rsidRPr="00525040">
        <w:rPr>
          <w:sz w:val="22"/>
          <w:lang w:val="es-ES"/>
        </w:rPr>
        <w:t>n e</w:t>
      </w:r>
      <w:r w:rsidRPr="00525040">
        <w:rPr>
          <w:sz w:val="22"/>
          <w:lang w:val="es-ES"/>
        </w:rPr>
        <w:t xml:space="preserve">l artículo 19 de la Ley de </w:t>
      </w:r>
      <w:r w:rsidR="000B2FE3" w:rsidRPr="00525040">
        <w:rPr>
          <w:sz w:val="22"/>
          <w:lang w:val="es-ES"/>
        </w:rPr>
        <w:t>D</w:t>
      </w:r>
      <w:r w:rsidRPr="00525040">
        <w:rPr>
          <w:sz w:val="22"/>
          <w:lang w:val="es-ES"/>
        </w:rPr>
        <w:t xml:space="preserve">erecho de </w:t>
      </w:r>
      <w:r w:rsidR="000B2FE3" w:rsidRPr="00525040">
        <w:rPr>
          <w:sz w:val="22"/>
          <w:lang w:val="es-ES"/>
        </w:rPr>
        <w:t>A</w:t>
      </w:r>
      <w:r w:rsidRPr="00525040">
        <w:rPr>
          <w:sz w:val="22"/>
          <w:lang w:val="es-ES"/>
        </w:rPr>
        <w:t xml:space="preserve">utor de Israel de 2007 (en su forma </w:t>
      </w:r>
      <w:r w:rsidR="000B2FE3" w:rsidRPr="00525040">
        <w:rPr>
          <w:sz w:val="22"/>
          <w:lang w:val="es-ES"/>
        </w:rPr>
        <w:t>modificada</w:t>
      </w:r>
      <w:r w:rsidRPr="00525040">
        <w:rPr>
          <w:sz w:val="22"/>
          <w:lang w:val="es-ES"/>
        </w:rPr>
        <w:t>)</w:t>
      </w:r>
      <w:r w:rsidR="000B2FE3" w:rsidRPr="00525040">
        <w:rPr>
          <w:vertAlign w:val="superscript"/>
          <w:lang w:val="es-ES"/>
        </w:rPr>
        <w:footnoteReference w:id="32"/>
      </w:r>
      <w:r w:rsidR="000B2FE3" w:rsidRPr="00525040">
        <w:rPr>
          <w:lang w:val="es-ES"/>
        </w:rPr>
        <w:t xml:space="preserve"> </w:t>
      </w:r>
      <w:r w:rsidRPr="00525040">
        <w:rPr>
          <w:sz w:val="22"/>
          <w:lang w:val="es-ES"/>
        </w:rPr>
        <w:t xml:space="preserve">también </w:t>
      </w:r>
      <w:r w:rsidR="001870CE">
        <w:rPr>
          <w:sz w:val="22"/>
          <w:lang w:val="es-ES"/>
        </w:rPr>
        <w:t xml:space="preserve">se </w:t>
      </w:r>
      <w:r w:rsidRPr="00525040">
        <w:rPr>
          <w:sz w:val="22"/>
          <w:lang w:val="es-ES"/>
        </w:rPr>
        <w:t>prevé el uso leal.</w:t>
      </w:r>
    </w:p>
    <w:p w:rsidR="003E7D71" w:rsidRPr="00525040" w:rsidRDefault="003E7D71" w:rsidP="003E7D71">
      <w:pPr>
        <w:pStyle w:val="WIPOBodyStyle"/>
        <w:rPr>
          <w:sz w:val="22"/>
          <w:lang w:val="es-ES"/>
        </w:rPr>
      </w:pPr>
      <w:r w:rsidRPr="00525040">
        <w:rPr>
          <w:sz w:val="22"/>
          <w:lang w:val="es-ES"/>
        </w:rPr>
        <w:t xml:space="preserve">Esta disposición, como ocurre en los </w:t>
      </w:r>
      <w:r w:rsidR="000B2FE3" w:rsidRPr="00525040">
        <w:rPr>
          <w:sz w:val="22"/>
          <w:lang w:val="es-ES"/>
        </w:rPr>
        <w:t>EE. UU.</w:t>
      </w:r>
      <w:r w:rsidRPr="00525040">
        <w:rPr>
          <w:sz w:val="22"/>
          <w:lang w:val="es-ES"/>
        </w:rPr>
        <w:t xml:space="preserve"> y Sri Lanka, permitiría la realización de ejemplares en formato accesible. Además, </w:t>
      </w:r>
      <w:r w:rsidR="000B2FE3" w:rsidRPr="00525040">
        <w:rPr>
          <w:sz w:val="22"/>
          <w:lang w:val="es-ES"/>
        </w:rPr>
        <w:t>los artículos 28A a E de la Ley contienen la</w:t>
      </w:r>
      <w:r w:rsidRPr="00525040">
        <w:rPr>
          <w:sz w:val="22"/>
          <w:lang w:val="es-ES"/>
        </w:rPr>
        <w:t xml:space="preserve"> disposición específica que se ha mencionado </w:t>
      </w:r>
      <w:r w:rsidR="000B2FE3" w:rsidRPr="00525040">
        <w:rPr>
          <w:sz w:val="22"/>
          <w:lang w:val="es-ES"/>
        </w:rPr>
        <w:t>anteriormente</w:t>
      </w:r>
      <w:r w:rsidRPr="00525040">
        <w:rPr>
          <w:sz w:val="22"/>
          <w:lang w:val="es-ES"/>
        </w:rPr>
        <w:t xml:space="preserve">. Por lo tanto, Israel, </w:t>
      </w:r>
      <w:r w:rsidR="000B2FE3" w:rsidRPr="00525040">
        <w:rPr>
          <w:sz w:val="22"/>
          <w:lang w:val="es-ES"/>
        </w:rPr>
        <w:t>al igual que los EE. UU.</w:t>
      </w:r>
      <w:r w:rsidRPr="00525040">
        <w:rPr>
          <w:sz w:val="22"/>
          <w:lang w:val="es-ES"/>
        </w:rPr>
        <w:t xml:space="preserve">, tiene un modelo híbrido que consiste en disposiciones específicas y una disposición sobre uso leal. </w:t>
      </w:r>
    </w:p>
    <w:p w:rsidR="003E7D71" w:rsidRPr="00525040" w:rsidRDefault="003E7D71" w:rsidP="002C71E8">
      <w:pPr>
        <w:pStyle w:val="WIPOBodyStyle"/>
        <w:rPr>
          <w:sz w:val="22"/>
          <w:lang w:val="es-ES"/>
        </w:rPr>
      </w:pPr>
    </w:p>
    <w:p w:rsidR="002C71E8" w:rsidRPr="00525040" w:rsidRDefault="002C71E8" w:rsidP="002C71E8">
      <w:pPr>
        <w:rPr>
          <w:lang w:val="es-ES"/>
        </w:rPr>
      </w:pPr>
      <w:bookmarkStart w:id="28" w:name="_Hlk2077172"/>
    </w:p>
    <w:p w:rsidR="002C71E8" w:rsidRPr="00525040" w:rsidRDefault="002C71E8" w:rsidP="002C71E8">
      <w:pPr>
        <w:rPr>
          <w:lang w:val="es-ES"/>
        </w:rPr>
        <w:sectPr w:rsidR="002C71E8" w:rsidRPr="00525040" w:rsidSect="00640002">
          <w:pgSz w:w="11906" w:h="16838" w:code="9"/>
          <w:pgMar w:top="1440" w:right="1440" w:bottom="1440" w:left="1440" w:header="720" w:footer="720" w:gutter="0"/>
          <w:cols w:space="720"/>
          <w:docGrid w:linePitch="299"/>
        </w:sectPr>
      </w:pPr>
    </w:p>
    <w:bookmarkEnd w:id="28"/>
    <w:p w:rsidR="003E7D71" w:rsidRPr="00525040" w:rsidRDefault="003E7D71" w:rsidP="003E7D71">
      <w:pPr>
        <w:pStyle w:val="Heading3"/>
        <w:rPr>
          <w:rFonts w:eastAsia="Arial"/>
          <w:szCs w:val="22"/>
          <w:lang w:val="es-ES"/>
        </w:rPr>
      </w:pPr>
      <w:r w:rsidRPr="00525040">
        <w:rPr>
          <w:rFonts w:eastAsia="Arial"/>
          <w:szCs w:val="22"/>
          <w:lang w:val="es-ES"/>
        </w:rPr>
        <w:lastRenderedPageBreak/>
        <w:t xml:space="preserve">Resumen de las </w:t>
      </w:r>
      <w:r w:rsidR="000B2FE3" w:rsidRPr="00525040">
        <w:rPr>
          <w:rFonts w:eastAsia="Arial"/>
          <w:szCs w:val="22"/>
          <w:lang w:val="es-ES"/>
        </w:rPr>
        <w:t>constataciones</w:t>
      </w:r>
      <w:r w:rsidRPr="00525040">
        <w:rPr>
          <w:rFonts w:eastAsia="Arial"/>
          <w:szCs w:val="22"/>
          <w:lang w:val="es-ES"/>
        </w:rPr>
        <w:t xml:space="preserve"> sobre las disposiciones específicas y generales</w:t>
      </w:r>
    </w:p>
    <w:p w:rsidR="003E7D71" w:rsidRPr="00525040" w:rsidRDefault="003E7D71" w:rsidP="003E7D71">
      <w:pPr>
        <w:pStyle w:val="WIPOBodyStyle"/>
        <w:rPr>
          <w:b/>
          <w:sz w:val="22"/>
          <w:lang w:val="es-ES"/>
        </w:rPr>
      </w:pPr>
      <w:r w:rsidRPr="00525040">
        <w:rPr>
          <w:sz w:val="22"/>
          <w:lang w:val="es-ES"/>
        </w:rPr>
        <w:t>En el cuadro que figura a continuación se presenta un resumen estadístico de la prevalencia de esas cláusulas en todos los Estados miembros.</w:t>
      </w:r>
      <w:r w:rsidRPr="00525040">
        <w:rPr>
          <w:b/>
          <w:sz w:val="22"/>
          <w:lang w:val="es-ES"/>
        </w:rPr>
        <w:t xml:space="preserve"> </w:t>
      </w:r>
    </w:p>
    <w:p w:rsidR="002C71E8" w:rsidRPr="00525040" w:rsidRDefault="003E7D71" w:rsidP="002C71E8">
      <w:pPr>
        <w:rPr>
          <w:b/>
          <w:bCs/>
          <w:szCs w:val="22"/>
          <w:lang w:val="es-ES"/>
        </w:rPr>
      </w:pPr>
      <w:bookmarkStart w:id="29" w:name="_3fduioxdlns6"/>
      <w:bookmarkEnd w:id="29"/>
      <w:r w:rsidRPr="00525040">
        <w:rPr>
          <w:b/>
          <w:bCs/>
          <w:szCs w:val="22"/>
          <w:lang w:val="es-ES"/>
        </w:rPr>
        <w:t xml:space="preserve">Cuadro </w:t>
      </w:r>
      <w:r w:rsidR="002C71E8" w:rsidRPr="00525040">
        <w:rPr>
          <w:b/>
          <w:bCs/>
          <w:noProof/>
          <w:szCs w:val="22"/>
          <w:lang w:val="es-ES"/>
        </w:rPr>
        <w:fldChar w:fldCharType="begin"/>
      </w:r>
      <w:r w:rsidR="002C71E8" w:rsidRPr="00525040">
        <w:rPr>
          <w:b/>
          <w:bCs/>
          <w:noProof/>
          <w:szCs w:val="22"/>
          <w:lang w:val="es-ES"/>
        </w:rPr>
        <w:instrText xml:space="preserve"> SEQ Table \* ARABIC </w:instrText>
      </w:r>
      <w:r w:rsidR="002C71E8" w:rsidRPr="00525040">
        <w:rPr>
          <w:b/>
          <w:bCs/>
          <w:noProof/>
          <w:szCs w:val="22"/>
          <w:lang w:val="es-ES"/>
        </w:rPr>
        <w:fldChar w:fldCharType="separate"/>
      </w:r>
      <w:r w:rsidR="006107B3">
        <w:rPr>
          <w:b/>
          <w:bCs/>
          <w:noProof/>
          <w:szCs w:val="22"/>
          <w:lang w:val="es-ES"/>
        </w:rPr>
        <w:t>1</w:t>
      </w:r>
      <w:r w:rsidR="002C71E8" w:rsidRPr="00525040">
        <w:rPr>
          <w:b/>
          <w:bCs/>
          <w:noProof/>
          <w:szCs w:val="22"/>
          <w:lang w:val="es-ES"/>
        </w:rPr>
        <w:fldChar w:fldCharType="end"/>
      </w:r>
      <w:r w:rsidR="002C71E8" w:rsidRPr="00525040">
        <w:rPr>
          <w:b/>
          <w:bCs/>
          <w:szCs w:val="22"/>
          <w:lang w:val="es-ES"/>
        </w:rPr>
        <w:t xml:space="preserve">: </w:t>
      </w:r>
      <w:r w:rsidRPr="00525040">
        <w:rPr>
          <w:b/>
          <w:bCs/>
          <w:szCs w:val="22"/>
          <w:lang w:val="es-ES"/>
        </w:rPr>
        <w:t>Resumen de las constataciones</w:t>
      </w:r>
      <w:r w:rsidR="002C71E8" w:rsidRPr="00525040">
        <w:rPr>
          <w:b/>
          <w:bCs/>
          <w:szCs w:val="22"/>
          <w:lang w:val="es-ES"/>
        </w:rPr>
        <w:t xml:space="preserve"> </w:t>
      </w:r>
    </w:p>
    <w:tbl>
      <w:tblPr>
        <w:tblW w:w="9246" w:type="dxa"/>
        <w:tblInd w:w="100" w:type="dxa"/>
        <w:tblBorders>
          <w:insideH w:val="nil"/>
          <w:insideV w:val="nil"/>
        </w:tblBorders>
        <w:tblLayout w:type="fixed"/>
        <w:tblLook w:val="0600" w:firstRow="0" w:lastRow="0" w:firstColumn="0" w:lastColumn="0" w:noHBand="1" w:noVBand="1"/>
      </w:tblPr>
      <w:tblGrid>
        <w:gridCol w:w="1960"/>
        <w:gridCol w:w="1301"/>
        <w:gridCol w:w="5985"/>
      </w:tblGrid>
      <w:tr w:rsidR="002C71E8" w:rsidRPr="00525040" w:rsidTr="001B6C76">
        <w:trPr>
          <w:trHeight w:val="480"/>
        </w:trPr>
        <w:tc>
          <w:tcPr>
            <w:tcW w:w="196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rsidR="002C71E8" w:rsidRPr="00525040" w:rsidRDefault="002C71E8" w:rsidP="003E7D71">
            <w:pPr>
              <w:widowControl w:val="0"/>
              <w:rPr>
                <w:rFonts w:eastAsia="Times New Roman"/>
                <w:b/>
                <w:color w:val="000000"/>
                <w:szCs w:val="22"/>
                <w:lang w:val="es-ES"/>
              </w:rPr>
            </w:pPr>
            <w:r w:rsidRPr="00525040">
              <w:rPr>
                <w:rFonts w:eastAsia="Times New Roman"/>
                <w:b/>
                <w:color w:val="000000"/>
                <w:lang w:val="es-ES"/>
              </w:rPr>
              <w:t>Excep</w:t>
            </w:r>
            <w:r w:rsidR="009357BC" w:rsidRPr="00525040">
              <w:rPr>
                <w:rFonts w:eastAsia="Times New Roman"/>
                <w:b/>
                <w:color w:val="000000"/>
                <w:lang w:val="es-ES"/>
              </w:rPr>
              <w:t>c</w:t>
            </w:r>
            <w:r w:rsidR="003E7D71" w:rsidRPr="00525040">
              <w:rPr>
                <w:rFonts w:eastAsia="Times New Roman"/>
                <w:b/>
                <w:color w:val="000000"/>
                <w:lang w:val="es-ES"/>
              </w:rPr>
              <w:t>iones</w:t>
            </w:r>
          </w:p>
        </w:tc>
        <w:tc>
          <w:tcPr>
            <w:tcW w:w="1301"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2C71E8" w:rsidRPr="00525040" w:rsidRDefault="002C71E8" w:rsidP="003E7D71">
            <w:pPr>
              <w:widowControl w:val="0"/>
              <w:rPr>
                <w:rFonts w:eastAsia="Times New Roman"/>
                <w:b/>
                <w:color w:val="000000"/>
                <w:lang w:val="es-ES"/>
              </w:rPr>
            </w:pPr>
            <w:r w:rsidRPr="00525040">
              <w:rPr>
                <w:rFonts w:eastAsia="Times New Roman"/>
                <w:b/>
                <w:color w:val="000000"/>
                <w:lang w:val="es-ES"/>
              </w:rPr>
              <w:t>N</w:t>
            </w:r>
            <w:r w:rsidR="003E7D71" w:rsidRPr="00525040">
              <w:rPr>
                <w:rFonts w:eastAsia="Times New Roman"/>
                <w:b/>
                <w:color w:val="000000"/>
                <w:lang w:val="es-ES"/>
              </w:rPr>
              <w:t>úmero de países</w:t>
            </w:r>
          </w:p>
        </w:tc>
        <w:tc>
          <w:tcPr>
            <w:tcW w:w="5985"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2C71E8" w:rsidRPr="00525040" w:rsidRDefault="003E7D71" w:rsidP="002C71E8">
            <w:pPr>
              <w:widowControl w:val="0"/>
              <w:rPr>
                <w:rFonts w:eastAsia="Times New Roman"/>
                <w:b/>
                <w:color w:val="000000"/>
                <w:lang w:val="es-ES"/>
              </w:rPr>
            </w:pPr>
            <w:r w:rsidRPr="00525040">
              <w:rPr>
                <w:rFonts w:eastAsia="Times New Roman"/>
                <w:b/>
                <w:color w:val="000000"/>
                <w:lang w:val="es-ES"/>
              </w:rPr>
              <w:t>Países</w:t>
            </w:r>
          </w:p>
        </w:tc>
      </w:tr>
      <w:tr w:rsidR="002C71E8" w:rsidRPr="007A2AF5" w:rsidTr="00494B86">
        <w:trPr>
          <w:trHeight w:val="2689"/>
        </w:trPr>
        <w:tc>
          <w:tcPr>
            <w:tcW w:w="196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2C71E8" w:rsidRPr="00525040" w:rsidRDefault="003E7D71" w:rsidP="002C71E8">
            <w:pPr>
              <w:widowControl w:val="0"/>
              <w:rPr>
                <w:rFonts w:eastAsia="Times New Roman"/>
                <w:color w:val="000000"/>
                <w:lang w:val="es-ES"/>
              </w:rPr>
            </w:pPr>
            <w:r w:rsidRPr="00525040">
              <w:rPr>
                <w:rFonts w:eastAsia="Times New Roman"/>
                <w:color w:val="000000"/>
                <w:lang w:val="es-ES"/>
              </w:rPr>
              <w:t>Ninguna</w:t>
            </w:r>
          </w:p>
          <w:p w:rsidR="002C71E8" w:rsidRPr="00525040" w:rsidRDefault="002C71E8" w:rsidP="002C71E8">
            <w:pPr>
              <w:widowControl w:val="0"/>
              <w:rPr>
                <w:rFonts w:eastAsia="Times New Roman"/>
                <w:color w:val="000000"/>
                <w:lang w:val="es-ES"/>
              </w:rPr>
            </w:pPr>
            <w:r w:rsidRPr="00525040">
              <w:rPr>
                <w:rFonts w:eastAsia="Times New Roman"/>
                <w:color w:val="000000"/>
                <w:lang w:val="es-ES"/>
              </w:rPr>
              <w:t xml:space="preserve"> </w:t>
            </w:r>
          </w:p>
        </w:tc>
        <w:tc>
          <w:tcPr>
            <w:tcW w:w="1301"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2C71E8" w:rsidRPr="00525040" w:rsidRDefault="002C71E8" w:rsidP="002C71E8">
            <w:pPr>
              <w:widowControl w:val="0"/>
              <w:rPr>
                <w:rFonts w:eastAsia="Times New Roman"/>
                <w:color w:val="000000"/>
                <w:lang w:val="es-ES"/>
              </w:rPr>
            </w:pPr>
            <w:r w:rsidRPr="00525040">
              <w:rPr>
                <w:rFonts w:eastAsia="Times New Roman"/>
                <w:color w:val="000000"/>
                <w:lang w:val="es-ES"/>
              </w:rPr>
              <w:t>91</w:t>
            </w:r>
          </w:p>
        </w:tc>
        <w:tc>
          <w:tcPr>
            <w:tcW w:w="5985"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2C71E8" w:rsidRPr="00494B86" w:rsidRDefault="00494B86" w:rsidP="006D4A16">
            <w:pPr>
              <w:widowControl w:val="0"/>
              <w:rPr>
                <w:rFonts w:eastAsia="Times New Roman"/>
                <w:color w:val="000000" w:themeColor="text1"/>
                <w:lang w:val="es-ES"/>
              </w:rPr>
            </w:pPr>
            <w:r w:rsidRPr="00FA3973">
              <w:rPr>
                <w:rFonts w:eastAsia="Times New Roman"/>
                <w:color w:val="000000" w:themeColor="text1"/>
                <w:lang w:val="es-ES"/>
              </w:rPr>
              <w:t>Afganistán</w:t>
            </w:r>
            <w:r>
              <w:rPr>
                <w:rFonts w:eastAsia="Times New Roman"/>
                <w:color w:val="000000" w:themeColor="text1"/>
                <w:lang w:val="es-ES"/>
              </w:rPr>
              <w:t>,</w:t>
            </w:r>
            <w:r w:rsidRPr="00FA3973">
              <w:rPr>
                <w:rFonts w:eastAsia="Times New Roman"/>
                <w:color w:val="000000" w:themeColor="text1"/>
                <w:lang w:val="es-ES"/>
              </w:rPr>
              <w:t xml:space="preserve"> Andorra</w:t>
            </w:r>
            <w:r>
              <w:rPr>
                <w:rFonts w:eastAsia="Times New Roman"/>
                <w:color w:val="000000" w:themeColor="text1"/>
                <w:lang w:val="es-ES"/>
              </w:rPr>
              <w:t>,</w:t>
            </w:r>
            <w:r w:rsidRPr="00FA3973">
              <w:rPr>
                <w:rFonts w:eastAsia="Times New Roman"/>
                <w:color w:val="000000" w:themeColor="text1"/>
                <w:lang w:val="es-ES"/>
              </w:rPr>
              <w:t xml:space="preserve"> Angola</w:t>
            </w:r>
            <w:r>
              <w:rPr>
                <w:rFonts w:eastAsia="Times New Roman"/>
                <w:color w:val="000000" w:themeColor="text1"/>
                <w:lang w:val="es-ES"/>
              </w:rPr>
              <w:t>,</w:t>
            </w:r>
            <w:r w:rsidRPr="00FA3973">
              <w:rPr>
                <w:rFonts w:eastAsia="Times New Roman"/>
                <w:color w:val="000000" w:themeColor="text1"/>
                <w:lang w:val="es-ES"/>
              </w:rPr>
              <w:t xml:space="preserve"> Antigua &amp; Barbuda</w:t>
            </w:r>
            <w:r>
              <w:rPr>
                <w:rFonts w:eastAsia="Times New Roman"/>
                <w:color w:val="000000" w:themeColor="text1"/>
                <w:lang w:val="es-ES"/>
              </w:rPr>
              <w:t>,</w:t>
            </w:r>
            <w:r w:rsidRPr="00FA3973">
              <w:rPr>
                <w:rFonts w:eastAsia="Times New Roman"/>
                <w:color w:val="000000" w:themeColor="text1"/>
                <w:lang w:val="es-ES"/>
              </w:rPr>
              <w:t xml:space="preserve"> Arabia Saudita</w:t>
            </w:r>
            <w:r>
              <w:rPr>
                <w:rFonts w:eastAsia="Times New Roman"/>
                <w:color w:val="000000" w:themeColor="text1"/>
                <w:lang w:val="es-ES"/>
              </w:rPr>
              <w:t>,</w:t>
            </w:r>
            <w:r w:rsidRPr="00FA3973">
              <w:rPr>
                <w:rFonts w:eastAsia="Times New Roman"/>
                <w:color w:val="000000" w:themeColor="text1"/>
                <w:lang w:val="es-ES"/>
              </w:rPr>
              <w:t xml:space="preserve"> Argelia</w:t>
            </w:r>
            <w:r>
              <w:rPr>
                <w:rFonts w:eastAsia="Times New Roman"/>
                <w:color w:val="000000" w:themeColor="text1"/>
                <w:lang w:val="es-ES"/>
              </w:rPr>
              <w:t>,</w:t>
            </w:r>
            <w:r w:rsidRPr="00FA3973">
              <w:rPr>
                <w:rFonts w:eastAsia="Times New Roman"/>
                <w:color w:val="000000" w:themeColor="text1"/>
                <w:lang w:val="es-ES"/>
              </w:rPr>
              <w:t xml:space="preserve"> Bahrein</w:t>
            </w:r>
            <w:r>
              <w:rPr>
                <w:rFonts w:eastAsia="Times New Roman"/>
                <w:color w:val="000000" w:themeColor="text1"/>
                <w:lang w:val="es-ES"/>
              </w:rPr>
              <w:t>,</w:t>
            </w:r>
            <w:r w:rsidRPr="00FA3973">
              <w:rPr>
                <w:rFonts w:eastAsia="Times New Roman"/>
                <w:color w:val="000000" w:themeColor="text1"/>
                <w:lang w:val="es-ES"/>
              </w:rPr>
              <w:t xml:space="preserve"> Bangladesh</w:t>
            </w:r>
            <w:r>
              <w:rPr>
                <w:rFonts w:eastAsia="Times New Roman"/>
                <w:color w:val="000000" w:themeColor="text1"/>
                <w:lang w:val="es-ES"/>
              </w:rPr>
              <w:t>,</w:t>
            </w:r>
            <w:r w:rsidRPr="00FA3973">
              <w:rPr>
                <w:rFonts w:eastAsia="Times New Roman"/>
                <w:color w:val="000000" w:themeColor="text1"/>
                <w:lang w:val="es-ES"/>
              </w:rPr>
              <w:t xml:space="preserve"> Barbados</w:t>
            </w:r>
            <w:r>
              <w:rPr>
                <w:rFonts w:eastAsia="Times New Roman"/>
                <w:color w:val="000000" w:themeColor="text1"/>
                <w:lang w:val="es-ES"/>
              </w:rPr>
              <w:t>,</w:t>
            </w:r>
            <w:r w:rsidRPr="00FA3973">
              <w:rPr>
                <w:rFonts w:eastAsia="Times New Roman"/>
                <w:color w:val="000000" w:themeColor="text1"/>
                <w:lang w:val="es-ES"/>
              </w:rPr>
              <w:t xml:space="preserve"> Benin</w:t>
            </w:r>
            <w:r>
              <w:rPr>
                <w:rFonts w:eastAsia="Times New Roman"/>
                <w:color w:val="000000" w:themeColor="text1"/>
                <w:lang w:val="es-ES"/>
              </w:rPr>
              <w:t>,</w:t>
            </w:r>
            <w:r w:rsidRPr="00FA3973">
              <w:rPr>
                <w:rFonts w:eastAsia="Times New Roman"/>
                <w:color w:val="000000" w:themeColor="text1"/>
                <w:lang w:val="es-ES"/>
              </w:rPr>
              <w:t xml:space="preserve"> Bhután</w:t>
            </w:r>
            <w:r>
              <w:rPr>
                <w:rFonts w:eastAsia="Times New Roman"/>
                <w:color w:val="000000" w:themeColor="text1"/>
                <w:lang w:val="es-ES"/>
              </w:rPr>
              <w:t>,</w:t>
            </w:r>
            <w:r w:rsidRPr="00FA3973">
              <w:rPr>
                <w:rFonts w:eastAsia="Times New Roman"/>
                <w:color w:val="000000" w:themeColor="text1"/>
                <w:lang w:val="es-ES"/>
              </w:rPr>
              <w:t xml:space="preserve"> Bolivia</w:t>
            </w:r>
            <w:r>
              <w:rPr>
                <w:rFonts w:eastAsia="Times New Roman"/>
                <w:color w:val="000000" w:themeColor="text1"/>
                <w:lang w:val="es-ES"/>
              </w:rPr>
              <w:t>,</w:t>
            </w:r>
            <w:r w:rsidRPr="00FA3973">
              <w:rPr>
                <w:rFonts w:eastAsia="Times New Roman"/>
                <w:color w:val="000000" w:themeColor="text1"/>
                <w:lang w:val="es-ES"/>
              </w:rPr>
              <w:t xml:space="preserve"> Botswana</w:t>
            </w:r>
            <w:r>
              <w:rPr>
                <w:rFonts w:eastAsia="Times New Roman"/>
                <w:color w:val="000000" w:themeColor="text1"/>
                <w:lang w:val="es-ES"/>
              </w:rPr>
              <w:t>,</w:t>
            </w:r>
            <w:r w:rsidRPr="00FA3973">
              <w:rPr>
                <w:rFonts w:eastAsia="Times New Roman"/>
                <w:color w:val="000000" w:themeColor="text1"/>
                <w:lang w:val="es-ES"/>
              </w:rPr>
              <w:t xml:space="preserve"> Brunei Darussalam</w:t>
            </w:r>
            <w:r>
              <w:rPr>
                <w:rFonts w:eastAsia="Times New Roman"/>
                <w:color w:val="000000" w:themeColor="text1"/>
                <w:lang w:val="es-ES"/>
              </w:rPr>
              <w:t>,</w:t>
            </w:r>
            <w:r w:rsidRPr="00FA3973">
              <w:rPr>
                <w:rFonts w:eastAsia="Times New Roman"/>
                <w:color w:val="000000" w:themeColor="text1"/>
                <w:lang w:val="es-ES"/>
              </w:rPr>
              <w:t xml:space="preserve"> Burkina Faso</w:t>
            </w:r>
            <w:r>
              <w:rPr>
                <w:rFonts w:eastAsia="Times New Roman"/>
                <w:color w:val="000000" w:themeColor="text1"/>
                <w:lang w:val="es-ES"/>
              </w:rPr>
              <w:t>,</w:t>
            </w:r>
            <w:r w:rsidRPr="00FA3973">
              <w:rPr>
                <w:rFonts w:eastAsia="Times New Roman"/>
                <w:color w:val="000000" w:themeColor="text1"/>
                <w:lang w:val="es-ES"/>
              </w:rPr>
              <w:t xml:space="preserve"> Burundi</w:t>
            </w:r>
            <w:r>
              <w:rPr>
                <w:rFonts w:eastAsia="Times New Roman"/>
                <w:color w:val="000000" w:themeColor="text1"/>
                <w:lang w:val="es-ES"/>
              </w:rPr>
              <w:t>,</w:t>
            </w:r>
            <w:r w:rsidRPr="00FA3973">
              <w:rPr>
                <w:rFonts w:eastAsia="Times New Roman"/>
                <w:color w:val="000000" w:themeColor="text1"/>
                <w:lang w:val="es-ES"/>
              </w:rPr>
              <w:t xml:space="preserve"> Camboya</w:t>
            </w:r>
            <w:r>
              <w:rPr>
                <w:rFonts w:eastAsia="Times New Roman"/>
                <w:color w:val="000000" w:themeColor="text1"/>
                <w:lang w:val="es-ES"/>
              </w:rPr>
              <w:t>,</w:t>
            </w:r>
            <w:r w:rsidRPr="00FA3973">
              <w:rPr>
                <w:rFonts w:eastAsia="Times New Roman"/>
                <w:color w:val="000000" w:themeColor="text1"/>
                <w:lang w:val="es-ES"/>
              </w:rPr>
              <w:t xml:space="preserve"> Chipre</w:t>
            </w:r>
            <w:r>
              <w:rPr>
                <w:rFonts w:eastAsia="Times New Roman"/>
                <w:color w:val="000000" w:themeColor="text1"/>
                <w:lang w:val="es-ES"/>
              </w:rPr>
              <w:t>,</w:t>
            </w:r>
            <w:r w:rsidRPr="00FA3973">
              <w:rPr>
                <w:rFonts w:eastAsia="Times New Roman"/>
                <w:color w:val="000000" w:themeColor="text1"/>
                <w:lang w:val="es-ES"/>
              </w:rPr>
              <w:t xml:space="preserve"> Comoras</w:t>
            </w:r>
            <w:r>
              <w:rPr>
                <w:rFonts w:eastAsia="Times New Roman"/>
                <w:color w:val="000000" w:themeColor="text1"/>
                <w:lang w:val="es-ES"/>
              </w:rPr>
              <w:t>,</w:t>
            </w:r>
            <w:r w:rsidRPr="00FA3973">
              <w:rPr>
                <w:rFonts w:eastAsia="Times New Roman"/>
                <w:color w:val="000000" w:themeColor="text1"/>
                <w:lang w:val="es-ES"/>
              </w:rPr>
              <w:t xml:space="preserve"> Congo</w:t>
            </w:r>
            <w:r>
              <w:rPr>
                <w:rFonts w:eastAsia="Times New Roman"/>
                <w:color w:val="000000" w:themeColor="text1"/>
                <w:lang w:val="es-ES"/>
              </w:rPr>
              <w:t>,</w:t>
            </w:r>
            <w:r w:rsidRPr="00FA3973">
              <w:rPr>
                <w:rFonts w:eastAsia="Times New Roman"/>
                <w:color w:val="000000" w:themeColor="text1"/>
                <w:lang w:val="es-ES"/>
              </w:rPr>
              <w:t xml:space="preserve"> Costa Rica</w:t>
            </w:r>
            <w:r>
              <w:rPr>
                <w:rFonts w:eastAsia="Times New Roman"/>
                <w:color w:val="000000" w:themeColor="text1"/>
                <w:lang w:val="es-ES"/>
              </w:rPr>
              <w:t>,</w:t>
            </w:r>
            <w:r w:rsidRPr="00FA3973">
              <w:rPr>
                <w:rFonts w:eastAsia="Times New Roman"/>
                <w:color w:val="000000" w:themeColor="text1"/>
                <w:lang w:val="es-ES"/>
              </w:rPr>
              <w:t xml:space="preserve"> Cuba</w:t>
            </w:r>
            <w:r>
              <w:rPr>
                <w:rFonts w:eastAsia="Times New Roman"/>
                <w:color w:val="000000" w:themeColor="text1"/>
                <w:lang w:val="es-ES"/>
              </w:rPr>
              <w:t>,</w:t>
            </w:r>
            <w:r w:rsidRPr="00FA3973">
              <w:rPr>
                <w:rFonts w:eastAsia="Times New Roman"/>
                <w:color w:val="000000" w:themeColor="text1"/>
                <w:lang w:val="es-ES"/>
              </w:rPr>
              <w:t xml:space="preserve"> Djibouti</w:t>
            </w:r>
            <w:r>
              <w:rPr>
                <w:rFonts w:eastAsia="Times New Roman"/>
                <w:color w:val="000000" w:themeColor="text1"/>
                <w:lang w:val="es-ES"/>
              </w:rPr>
              <w:t>,</w:t>
            </w:r>
            <w:r w:rsidRPr="00FA3973">
              <w:rPr>
                <w:rFonts w:eastAsia="Times New Roman"/>
                <w:color w:val="000000" w:themeColor="text1"/>
                <w:lang w:val="es-ES"/>
              </w:rPr>
              <w:t xml:space="preserve"> Egipto</w:t>
            </w:r>
            <w:r>
              <w:rPr>
                <w:rFonts w:eastAsia="Times New Roman"/>
                <w:color w:val="000000" w:themeColor="text1"/>
                <w:lang w:val="es-ES"/>
              </w:rPr>
              <w:t>,</w:t>
            </w:r>
            <w:r w:rsidRPr="00FA3973">
              <w:rPr>
                <w:rFonts w:eastAsia="Times New Roman"/>
                <w:color w:val="000000" w:themeColor="text1"/>
                <w:lang w:val="es-ES"/>
              </w:rPr>
              <w:t xml:space="preserve"> Emiratos Árabes Unidos</w:t>
            </w:r>
            <w:r>
              <w:rPr>
                <w:rFonts w:eastAsia="Times New Roman"/>
                <w:color w:val="000000" w:themeColor="text1"/>
                <w:lang w:val="es-ES"/>
              </w:rPr>
              <w:t>,</w:t>
            </w:r>
            <w:r w:rsidRPr="00FA3973">
              <w:rPr>
                <w:rFonts w:eastAsia="Times New Roman"/>
                <w:color w:val="000000" w:themeColor="text1"/>
                <w:lang w:val="es-ES"/>
              </w:rPr>
              <w:t xml:space="preserve"> Eritrea</w:t>
            </w:r>
            <w:r>
              <w:rPr>
                <w:rFonts w:eastAsia="Times New Roman"/>
                <w:color w:val="000000" w:themeColor="text1"/>
                <w:lang w:val="es-ES"/>
              </w:rPr>
              <w:t>,</w:t>
            </w:r>
            <w:r w:rsidRPr="00FA3973">
              <w:rPr>
                <w:rFonts w:eastAsia="Times New Roman"/>
                <w:color w:val="000000" w:themeColor="text1"/>
                <w:lang w:val="es-ES"/>
              </w:rPr>
              <w:t xml:space="preserve"> Eswatini</w:t>
            </w:r>
            <w:r>
              <w:rPr>
                <w:rFonts w:eastAsia="Times New Roman"/>
                <w:color w:val="000000" w:themeColor="text1"/>
                <w:lang w:val="es-ES"/>
              </w:rPr>
              <w:t>,</w:t>
            </w:r>
            <w:r w:rsidRPr="00FA3973">
              <w:rPr>
                <w:rFonts w:eastAsia="Times New Roman"/>
                <w:color w:val="000000" w:themeColor="text1"/>
                <w:lang w:val="es-ES"/>
              </w:rPr>
              <w:t xml:space="preserve"> Etiopía</w:t>
            </w:r>
            <w:r>
              <w:rPr>
                <w:rFonts w:eastAsia="Times New Roman"/>
                <w:color w:val="000000" w:themeColor="text1"/>
                <w:lang w:val="es-ES"/>
              </w:rPr>
              <w:t>,</w:t>
            </w:r>
            <w:r w:rsidRPr="00FA3973">
              <w:rPr>
                <w:rFonts w:eastAsia="Times New Roman"/>
                <w:color w:val="000000" w:themeColor="text1"/>
                <w:lang w:val="es-ES"/>
              </w:rPr>
              <w:t xml:space="preserve"> Gambia</w:t>
            </w:r>
            <w:r>
              <w:rPr>
                <w:rFonts w:eastAsia="Times New Roman"/>
                <w:color w:val="000000" w:themeColor="text1"/>
                <w:lang w:val="es-ES"/>
              </w:rPr>
              <w:t>,</w:t>
            </w:r>
            <w:r w:rsidRPr="00FA3973">
              <w:rPr>
                <w:rFonts w:eastAsia="Times New Roman"/>
                <w:color w:val="000000" w:themeColor="text1"/>
                <w:lang w:val="es-ES"/>
              </w:rPr>
              <w:t xml:space="preserve"> Ghana</w:t>
            </w:r>
            <w:r>
              <w:rPr>
                <w:rFonts w:eastAsia="Times New Roman"/>
                <w:color w:val="000000" w:themeColor="text1"/>
                <w:lang w:val="es-ES"/>
              </w:rPr>
              <w:t>,</w:t>
            </w:r>
            <w:r w:rsidRPr="00FA3973">
              <w:rPr>
                <w:rFonts w:eastAsia="Times New Roman"/>
                <w:color w:val="000000" w:themeColor="text1"/>
                <w:lang w:val="es-ES"/>
              </w:rPr>
              <w:t xml:space="preserve"> Guatemala</w:t>
            </w:r>
            <w:r>
              <w:rPr>
                <w:rFonts w:eastAsia="Times New Roman"/>
                <w:color w:val="000000" w:themeColor="text1"/>
                <w:lang w:val="es-ES"/>
              </w:rPr>
              <w:t>,</w:t>
            </w:r>
            <w:r w:rsidRPr="00FA3973">
              <w:rPr>
                <w:rFonts w:eastAsia="Times New Roman"/>
                <w:color w:val="000000" w:themeColor="text1"/>
                <w:lang w:val="es-ES"/>
              </w:rPr>
              <w:t xml:space="preserve"> Guinea</w:t>
            </w:r>
            <w:r>
              <w:rPr>
                <w:rFonts w:eastAsia="Times New Roman"/>
                <w:color w:val="000000" w:themeColor="text1"/>
                <w:lang w:val="es-ES"/>
              </w:rPr>
              <w:t>,</w:t>
            </w:r>
            <w:r w:rsidRPr="00FA3973">
              <w:rPr>
                <w:rFonts w:eastAsia="Times New Roman"/>
                <w:color w:val="000000" w:themeColor="text1"/>
                <w:lang w:val="es-ES"/>
              </w:rPr>
              <w:t xml:space="preserve"> Guinea Ecuatorial</w:t>
            </w:r>
            <w:r>
              <w:rPr>
                <w:rFonts w:eastAsia="Times New Roman"/>
                <w:color w:val="000000" w:themeColor="text1"/>
                <w:lang w:val="es-ES"/>
              </w:rPr>
              <w:t>,</w:t>
            </w:r>
            <w:r w:rsidRPr="00FA3973">
              <w:rPr>
                <w:rFonts w:eastAsia="Times New Roman"/>
                <w:color w:val="000000" w:themeColor="text1"/>
                <w:lang w:val="es-ES"/>
              </w:rPr>
              <w:t xml:space="preserve"> Guinea-Bissau</w:t>
            </w:r>
            <w:r>
              <w:rPr>
                <w:rFonts w:eastAsia="Times New Roman"/>
                <w:color w:val="000000" w:themeColor="text1"/>
                <w:lang w:val="es-ES"/>
              </w:rPr>
              <w:t>,</w:t>
            </w:r>
            <w:r w:rsidRPr="00FA3973">
              <w:rPr>
                <w:rFonts w:eastAsia="Times New Roman"/>
                <w:color w:val="000000" w:themeColor="text1"/>
                <w:lang w:val="es-ES"/>
              </w:rPr>
              <w:t xml:space="preserve"> Guyana</w:t>
            </w:r>
            <w:r>
              <w:rPr>
                <w:rFonts w:eastAsia="Times New Roman"/>
                <w:color w:val="000000" w:themeColor="text1"/>
                <w:lang w:val="es-ES"/>
              </w:rPr>
              <w:t>,</w:t>
            </w:r>
            <w:r w:rsidRPr="00FA3973">
              <w:rPr>
                <w:rFonts w:eastAsia="Times New Roman"/>
                <w:color w:val="000000" w:themeColor="text1"/>
                <w:lang w:val="es-ES"/>
              </w:rPr>
              <w:t xml:space="preserve"> Haití</w:t>
            </w:r>
            <w:r>
              <w:rPr>
                <w:rFonts w:eastAsia="Times New Roman"/>
                <w:color w:val="000000" w:themeColor="text1"/>
                <w:lang w:val="es-ES"/>
              </w:rPr>
              <w:t>,</w:t>
            </w:r>
            <w:r w:rsidRPr="00FA3973">
              <w:rPr>
                <w:rFonts w:eastAsia="Times New Roman"/>
                <w:color w:val="000000" w:themeColor="text1"/>
                <w:lang w:val="es-ES"/>
              </w:rPr>
              <w:t xml:space="preserve"> Honduras</w:t>
            </w:r>
            <w:r>
              <w:rPr>
                <w:rFonts w:eastAsia="Times New Roman"/>
                <w:color w:val="000000" w:themeColor="text1"/>
                <w:lang w:val="es-ES"/>
              </w:rPr>
              <w:t>,</w:t>
            </w:r>
            <w:r w:rsidRPr="00FA3973">
              <w:rPr>
                <w:rFonts w:eastAsia="Times New Roman"/>
                <w:color w:val="000000" w:themeColor="text1"/>
                <w:lang w:val="es-ES"/>
              </w:rPr>
              <w:t xml:space="preserve"> Irán</w:t>
            </w:r>
            <w:r>
              <w:rPr>
                <w:rFonts w:eastAsia="Times New Roman"/>
                <w:color w:val="000000" w:themeColor="text1"/>
                <w:lang w:val="es-ES"/>
              </w:rPr>
              <w:t>,</w:t>
            </w:r>
            <w:r w:rsidRPr="00FA3973">
              <w:rPr>
                <w:rFonts w:eastAsia="Times New Roman"/>
                <w:color w:val="000000" w:themeColor="text1"/>
                <w:lang w:val="es-ES"/>
              </w:rPr>
              <w:t xml:space="preserve"> Iraq</w:t>
            </w:r>
            <w:r>
              <w:rPr>
                <w:rFonts w:eastAsia="Times New Roman"/>
                <w:color w:val="000000" w:themeColor="text1"/>
                <w:lang w:val="es-ES"/>
              </w:rPr>
              <w:t>,</w:t>
            </w:r>
            <w:r w:rsidRPr="00FA3973">
              <w:rPr>
                <w:rFonts w:eastAsia="Times New Roman"/>
                <w:color w:val="000000" w:themeColor="text1"/>
                <w:lang w:val="es-ES"/>
              </w:rPr>
              <w:t xml:space="preserve"> Islas Marshall</w:t>
            </w:r>
            <w:r>
              <w:rPr>
                <w:rFonts w:eastAsia="Times New Roman"/>
                <w:color w:val="000000" w:themeColor="text1"/>
                <w:lang w:val="es-ES"/>
              </w:rPr>
              <w:t>,</w:t>
            </w:r>
            <w:r w:rsidRPr="00FA3973">
              <w:rPr>
                <w:rFonts w:eastAsia="Times New Roman"/>
                <w:color w:val="000000" w:themeColor="text1"/>
                <w:lang w:val="es-ES"/>
              </w:rPr>
              <w:t xml:space="preserve"> Islas Salomón</w:t>
            </w:r>
            <w:r>
              <w:rPr>
                <w:rFonts w:eastAsia="Times New Roman"/>
                <w:color w:val="000000" w:themeColor="text1"/>
                <w:lang w:val="es-ES"/>
              </w:rPr>
              <w:t>,</w:t>
            </w:r>
            <w:r w:rsidRPr="00FA3973">
              <w:rPr>
                <w:rFonts w:eastAsia="Times New Roman"/>
                <w:color w:val="000000" w:themeColor="text1"/>
                <w:lang w:val="es-ES"/>
              </w:rPr>
              <w:t xml:space="preserve"> Jordania</w:t>
            </w:r>
            <w:r>
              <w:rPr>
                <w:rFonts w:eastAsia="Times New Roman"/>
                <w:color w:val="000000" w:themeColor="text1"/>
                <w:lang w:val="es-ES"/>
              </w:rPr>
              <w:t>,</w:t>
            </w:r>
            <w:r w:rsidRPr="00FA3973">
              <w:rPr>
                <w:rFonts w:eastAsia="Times New Roman"/>
                <w:color w:val="000000" w:themeColor="text1"/>
                <w:lang w:val="es-ES"/>
              </w:rPr>
              <w:t xml:space="preserve"> Kenya</w:t>
            </w:r>
            <w:r>
              <w:rPr>
                <w:rFonts w:eastAsia="Times New Roman"/>
                <w:color w:val="000000" w:themeColor="text1"/>
                <w:lang w:val="es-ES"/>
              </w:rPr>
              <w:t>,</w:t>
            </w:r>
            <w:r w:rsidRPr="00FA3973">
              <w:rPr>
                <w:rFonts w:eastAsia="Times New Roman"/>
                <w:color w:val="000000" w:themeColor="text1"/>
                <w:lang w:val="es-ES"/>
              </w:rPr>
              <w:t xml:space="preserve"> Kiribati</w:t>
            </w:r>
            <w:r>
              <w:rPr>
                <w:rFonts w:eastAsia="Times New Roman"/>
                <w:color w:val="000000" w:themeColor="text1"/>
                <w:lang w:val="es-ES"/>
              </w:rPr>
              <w:t>,</w:t>
            </w:r>
            <w:r w:rsidRPr="00FA3973">
              <w:rPr>
                <w:rFonts w:eastAsia="Times New Roman"/>
                <w:color w:val="000000" w:themeColor="text1"/>
                <w:lang w:val="es-ES"/>
              </w:rPr>
              <w:t xml:space="preserve"> Lesotho</w:t>
            </w:r>
            <w:r>
              <w:rPr>
                <w:rFonts w:eastAsia="Times New Roman"/>
                <w:color w:val="000000" w:themeColor="text1"/>
                <w:lang w:val="es-ES"/>
              </w:rPr>
              <w:t>,</w:t>
            </w:r>
            <w:r w:rsidRPr="00FA3973">
              <w:rPr>
                <w:rFonts w:eastAsia="Times New Roman"/>
                <w:color w:val="000000" w:themeColor="text1"/>
                <w:lang w:val="es-ES"/>
              </w:rPr>
              <w:t xml:space="preserve"> Líbano</w:t>
            </w:r>
            <w:r>
              <w:rPr>
                <w:rFonts w:eastAsia="Times New Roman"/>
                <w:color w:val="000000" w:themeColor="text1"/>
                <w:lang w:val="es-ES"/>
              </w:rPr>
              <w:t>,</w:t>
            </w:r>
            <w:r w:rsidRPr="00FA3973">
              <w:rPr>
                <w:rFonts w:eastAsia="Times New Roman"/>
                <w:color w:val="000000" w:themeColor="text1"/>
                <w:lang w:val="es-ES"/>
              </w:rPr>
              <w:t xml:space="preserve"> Libia</w:t>
            </w:r>
            <w:r>
              <w:rPr>
                <w:rFonts w:eastAsia="Times New Roman"/>
                <w:color w:val="000000" w:themeColor="text1"/>
                <w:lang w:val="es-ES"/>
              </w:rPr>
              <w:t>,</w:t>
            </w:r>
            <w:r w:rsidRPr="00FA3973">
              <w:rPr>
                <w:rFonts w:eastAsia="Times New Roman"/>
                <w:color w:val="000000" w:themeColor="text1"/>
                <w:lang w:val="es-ES"/>
              </w:rPr>
              <w:t xml:space="preserve"> Madagascar</w:t>
            </w:r>
            <w:r>
              <w:rPr>
                <w:rFonts w:eastAsia="Times New Roman"/>
                <w:color w:val="000000" w:themeColor="text1"/>
                <w:lang w:val="es-ES"/>
              </w:rPr>
              <w:t>,</w:t>
            </w:r>
            <w:r w:rsidRPr="00FA3973">
              <w:rPr>
                <w:rFonts w:eastAsia="Times New Roman"/>
                <w:color w:val="000000" w:themeColor="text1"/>
                <w:lang w:val="es-ES"/>
              </w:rPr>
              <w:t xml:space="preserve"> Maldivas</w:t>
            </w:r>
            <w:r>
              <w:rPr>
                <w:rFonts w:eastAsia="Times New Roman"/>
                <w:color w:val="000000" w:themeColor="text1"/>
                <w:lang w:val="es-ES"/>
              </w:rPr>
              <w:t>,</w:t>
            </w:r>
            <w:r w:rsidRPr="00FA3973">
              <w:rPr>
                <w:rFonts w:eastAsia="Times New Roman"/>
                <w:color w:val="000000" w:themeColor="text1"/>
                <w:lang w:val="es-ES"/>
              </w:rPr>
              <w:t xml:space="preserve"> Malí</w:t>
            </w:r>
            <w:r>
              <w:rPr>
                <w:rFonts w:eastAsia="Times New Roman"/>
                <w:color w:val="000000" w:themeColor="text1"/>
                <w:lang w:val="es-ES"/>
              </w:rPr>
              <w:t>,</w:t>
            </w:r>
            <w:r w:rsidRPr="00FA3973">
              <w:rPr>
                <w:rFonts w:eastAsia="Times New Roman"/>
                <w:color w:val="000000" w:themeColor="text1"/>
                <w:lang w:val="es-ES"/>
              </w:rPr>
              <w:t xml:space="preserve"> Marruecos</w:t>
            </w:r>
            <w:r>
              <w:rPr>
                <w:rFonts w:eastAsia="Times New Roman"/>
                <w:color w:val="000000" w:themeColor="text1"/>
                <w:lang w:val="es-ES"/>
              </w:rPr>
              <w:t>,</w:t>
            </w:r>
            <w:r w:rsidRPr="00FA3973">
              <w:rPr>
                <w:rFonts w:eastAsia="Times New Roman"/>
                <w:color w:val="000000" w:themeColor="text1"/>
                <w:lang w:val="es-ES"/>
              </w:rPr>
              <w:t xml:space="preserve"> Mauritania</w:t>
            </w:r>
            <w:r>
              <w:rPr>
                <w:rFonts w:eastAsia="Times New Roman"/>
                <w:color w:val="000000" w:themeColor="text1"/>
                <w:lang w:val="es-ES"/>
              </w:rPr>
              <w:t>,</w:t>
            </w:r>
            <w:r w:rsidRPr="00FA3973">
              <w:rPr>
                <w:rFonts w:eastAsia="Times New Roman"/>
                <w:color w:val="000000" w:themeColor="text1"/>
                <w:lang w:val="es-ES"/>
              </w:rPr>
              <w:t xml:space="preserve"> Mónaco</w:t>
            </w:r>
            <w:r>
              <w:rPr>
                <w:rFonts w:eastAsia="Times New Roman"/>
                <w:color w:val="000000" w:themeColor="text1"/>
                <w:lang w:val="es-ES"/>
              </w:rPr>
              <w:t>,</w:t>
            </w:r>
            <w:r w:rsidRPr="00FA3973">
              <w:rPr>
                <w:rFonts w:eastAsia="Times New Roman"/>
                <w:color w:val="000000" w:themeColor="text1"/>
                <w:lang w:val="es-ES"/>
              </w:rPr>
              <w:t xml:space="preserve"> Mozambique</w:t>
            </w:r>
            <w:r>
              <w:rPr>
                <w:rFonts w:eastAsia="Times New Roman"/>
                <w:color w:val="000000" w:themeColor="text1"/>
                <w:lang w:val="es-ES"/>
              </w:rPr>
              <w:t>,</w:t>
            </w:r>
            <w:r w:rsidRPr="00FA3973">
              <w:rPr>
                <w:rFonts w:eastAsia="Times New Roman"/>
                <w:color w:val="000000" w:themeColor="text1"/>
                <w:lang w:val="es-ES"/>
              </w:rPr>
              <w:t xml:space="preserve"> Myanmar</w:t>
            </w:r>
            <w:r>
              <w:rPr>
                <w:rFonts w:eastAsia="Times New Roman"/>
                <w:color w:val="000000" w:themeColor="text1"/>
                <w:lang w:val="es-ES"/>
              </w:rPr>
              <w:t>,</w:t>
            </w:r>
            <w:r w:rsidRPr="00FA3973">
              <w:rPr>
                <w:rFonts w:eastAsia="Times New Roman"/>
                <w:color w:val="000000" w:themeColor="text1"/>
                <w:lang w:val="es-ES"/>
              </w:rPr>
              <w:t xml:space="preserve"> Namibia</w:t>
            </w:r>
            <w:r>
              <w:rPr>
                <w:rFonts w:eastAsia="Times New Roman"/>
                <w:color w:val="000000" w:themeColor="text1"/>
                <w:lang w:val="es-ES"/>
              </w:rPr>
              <w:t>,</w:t>
            </w:r>
            <w:r w:rsidRPr="00FA3973">
              <w:rPr>
                <w:rFonts w:eastAsia="Times New Roman"/>
                <w:color w:val="000000" w:themeColor="text1"/>
                <w:lang w:val="es-ES"/>
              </w:rPr>
              <w:t xml:space="preserve"> Níger</w:t>
            </w:r>
            <w:r>
              <w:rPr>
                <w:rFonts w:eastAsia="Times New Roman"/>
                <w:color w:val="000000" w:themeColor="text1"/>
                <w:lang w:val="es-ES"/>
              </w:rPr>
              <w:t>,</w:t>
            </w:r>
            <w:r w:rsidRPr="00FA3973">
              <w:rPr>
                <w:rFonts w:eastAsia="Times New Roman"/>
                <w:color w:val="000000" w:themeColor="text1"/>
                <w:lang w:val="es-ES"/>
              </w:rPr>
              <w:t xml:space="preserve"> Omán</w:t>
            </w:r>
            <w:r>
              <w:rPr>
                <w:rFonts w:eastAsia="Times New Roman"/>
                <w:color w:val="000000" w:themeColor="text1"/>
                <w:lang w:val="es-ES"/>
              </w:rPr>
              <w:t>,</w:t>
            </w:r>
            <w:r w:rsidRPr="00FA3973">
              <w:rPr>
                <w:rFonts w:eastAsia="Times New Roman"/>
                <w:color w:val="000000" w:themeColor="text1"/>
                <w:lang w:val="es-ES"/>
              </w:rPr>
              <w:t xml:space="preserve"> Pakistán</w:t>
            </w:r>
            <w:r>
              <w:rPr>
                <w:rFonts w:eastAsia="Times New Roman"/>
                <w:color w:val="000000" w:themeColor="text1"/>
                <w:lang w:val="es-ES"/>
              </w:rPr>
              <w:t>,</w:t>
            </w:r>
            <w:r w:rsidRPr="00FA3973">
              <w:rPr>
                <w:rFonts w:eastAsia="Times New Roman"/>
                <w:color w:val="000000" w:themeColor="text1"/>
                <w:lang w:val="es-ES"/>
              </w:rPr>
              <w:t xml:space="preserve"> Palau</w:t>
            </w:r>
            <w:r>
              <w:rPr>
                <w:rFonts w:eastAsia="Times New Roman"/>
                <w:color w:val="000000" w:themeColor="text1"/>
                <w:lang w:val="es-ES"/>
              </w:rPr>
              <w:t>,</w:t>
            </w:r>
            <w:r w:rsidRPr="00FA3973">
              <w:rPr>
                <w:rFonts w:eastAsia="Times New Roman"/>
                <w:color w:val="000000" w:themeColor="text1"/>
                <w:lang w:val="es-ES"/>
              </w:rPr>
              <w:t xml:space="preserve"> Papua Nueva Guinea</w:t>
            </w:r>
            <w:r>
              <w:rPr>
                <w:rFonts w:eastAsia="Times New Roman"/>
                <w:color w:val="000000" w:themeColor="text1"/>
                <w:lang w:val="es-ES"/>
              </w:rPr>
              <w:t>,</w:t>
            </w:r>
            <w:r w:rsidRPr="00FA3973">
              <w:rPr>
                <w:rFonts w:eastAsia="Times New Roman"/>
                <w:color w:val="000000" w:themeColor="text1"/>
                <w:lang w:val="es-ES"/>
              </w:rPr>
              <w:t xml:space="preserve"> Qatar</w:t>
            </w:r>
            <w:r>
              <w:rPr>
                <w:rFonts w:eastAsia="Times New Roman"/>
                <w:color w:val="000000" w:themeColor="text1"/>
                <w:lang w:val="es-ES"/>
              </w:rPr>
              <w:t>,</w:t>
            </w:r>
            <w:r w:rsidRPr="00FA3973">
              <w:rPr>
                <w:rFonts w:eastAsia="Times New Roman"/>
                <w:color w:val="000000" w:themeColor="text1"/>
                <w:lang w:val="es-ES"/>
              </w:rPr>
              <w:t xml:space="preserve"> República Árabe Siria</w:t>
            </w:r>
            <w:r>
              <w:rPr>
                <w:rFonts w:eastAsia="Times New Roman"/>
                <w:color w:val="000000" w:themeColor="text1"/>
                <w:lang w:val="es-ES"/>
              </w:rPr>
              <w:t>,</w:t>
            </w:r>
            <w:r w:rsidRPr="00FA3973">
              <w:rPr>
                <w:rFonts w:eastAsia="Times New Roman"/>
                <w:color w:val="000000" w:themeColor="text1"/>
                <w:lang w:val="es-ES"/>
              </w:rPr>
              <w:t xml:space="preserve"> República Democrática del Congo</w:t>
            </w:r>
            <w:r>
              <w:rPr>
                <w:rFonts w:eastAsia="Times New Roman"/>
                <w:color w:val="000000" w:themeColor="text1"/>
                <w:lang w:val="es-ES"/>
              </w:rPr>
              <w:t>,</w:t>
            </w:r>
            <w:r w:rsidRPr="00FA3973">
              <w:rPr>
                <w:rFonts w:eastAsia="Times New Roman"/>
                <w:color w:val="000000" w:themeColor="text1"/>
                <w:lang w:val="es-ES"/>
              </w:rPr>
              <w:t xml:space="preserve"> República Unida de Tanzanía</w:t>
            </w:r>
            <w:r>
              <w:rPr>
                <w:rFonts w:eastAsia="Times New Roman"/>
                <w:color w:val="000000" w:themeColor="text1"/>
                <w:lang w:val="es-ES"/>
              </w:rPr>
              <w:t>,</w:t>
            </w:r>
            <w:r w:rsidRPr="00FA3973">
              <w:rPr>
                <w:rFonts w:eastAsia="Times New Roman"/>
                <w:color w:val="000000" w:themeColor="text1"/>
                <w:lang w:val="es-ES"/>
              </w:rPr>
              <w:t xml:space="preserve"> Saint Kitts y Nevis</w:t>
            </w:r>
            <w:r>
              <w:rPr>
                <w:rFonts w:eastAsia="Times New Roman"/>
                <w:color w:val="000000" w:themeColor="text1"/>
                <w:lang w:val="es-ES"/>
              </w:rPr>
              <w:t>,</w:t>
            </w:r>
            <w:r w:rsidRPr="00FA3973">
              <w:rPr>
                <w:rFonts w:eastAsia="Times New Roman"/>
                <w:color w:val="000000" w:themeColor="text1"/>
                <w:lang w:val="es-ES"/>
              </w:rPr>
              <w:t xml:space="preserve"> Samoa</w:t>
            </w:r>
            <w:r>
              <w:rPr>
                <w:rFonts w:eastAsia="Times New Roman"/>
                <w:color w:val="000000" w:themeColor="text1"/>
                <w:lang w:val="es-ES"/>
              </w:rPr>
              <w:t>,</w:t>
            </w:r>
            <w:r w:rsidRPr="00FA3973">
              <w:rPr>
                <w:rFonts w:eastAsia="Times New Roman"/>
                <w:color w:val="000000" w:themeColor="text1"/>
                <w:lang w:val="es-ES"/>
              </w:rPr>
              <w:t xml:space="preserve"> San Marino</w:t>
            </w:r>
            <w:r>
              <w:rPr>
                <w:rFonts w:eastAsia="Times New Roman"/>
                <w:color w:val="000000" w:themeColor="text1"/>
                <w:lang w:val="es-ES"/>
              </w:rPr>
              <w:t>,</w:t>
            </w:r>
            <w:r w:rsidRPr="00FA3973">
              <w:rPr>
                <w:rFonts w:eastAsia="Times New Roman"/>
                <w:color w:val="000000" w:themeColor="text1"/>
                <w:lang w:val="es-ES"/>
              </w:rPr>
              <w:t xml:space="preserve"> Santa Lucía</w:t>
            </w:r>
            <w:r>
              <w:rPr>
                <w:rFonts w:eastAsia="Times New Roman"/>
                <w:color w:val="000000" w:themeColor="text1"/>
                <w:lang w:val="es-ES"/>
              </w:rPr>
              <w:t>,</w:t>
            </w:r>
            <w:r w:rsidRPr="00FA3973">
              <w:rPr>
                <w:rFonts w:eastAsia="Times New Roman"/>
                <w:color w:val="000000" w:themeColor="text1"/>
                <w:lang w:val="es-ES"/>
              </w:rPr>
              <w:t xml:space="preserve"> Senegal</w:t>
            </w:r>
            <w:r>
              <w:rPr>
                <w:rFonts w:eastAsia="Times New Roman"/>
                <w:color w:val="000000" w:themeColor="text1"/>
                <w:lang w:val="es-ES"/>
              </w:rPr>
              <w:t>,</w:t>
            </w:r>
            <w:r w:rsidRPr="00FA3973">
              <w:rPr>
                <w:rFonts w:eastAsia="Times New Roman"/>
                <w:color w:val="000000" w:themeColor="text1"/>
                <w:lang w:val="es-ES"/>
              </w:rPr>
              <w:t xml:space="preserve"> Sierra Leona</w:t>
            </w:r>
            <w:r>
              <w:rPr>
                <w:rFonts w:eastAsia="Times New Roman"/>
                <w:color w:val="000000" w:themeColor="text1"/>
                <w:lang w:val="es-ES"/>
              </w:rPr>
              <w:t>,</w:t>
            </w:r>
            <w:r w:rsidRPr="00FA3973">
              <w:rPr>
                <w:rFonts w:eastAsia="Times New Roman"/>
                <w:color w:val="000000" w:themeColor="text1"/>
                <w:lang w:val="es-ES"/>
              </w:rPr>
              <w:t xml:space="preserve"> Somalia</w:t>
            </w:r>
            <w:r>
              <w:rPr>
                <w:rFonts w:eastAsia="Times New Roman"/>
                <w:color w:val="000000" w:themeColor="text1"/>
                <w:lang w:val="es-ES"/>
              </w:rPr>
              <w:t>,</w:t>
            </w:r>
            <w:r w:rsidRPr="00FA3973">
              <w:rPr>
                <w:rFonts w:eastAsia="Times New Roman"/>
                <w:color w:val="000000" w:themeColor="text1"/>
                <w:lang w:val="es-ES"/>
              </w:rPr>
              <w:t xml:space="preserve"> Sudáfrica</w:t>
            </w:r>
            <w:r>
              <w:rPr>
                <w:rFonts w:eastAsia="Times New Roman"/>
                <w:color w:val="000000" w:themeColor="text1"/>
                <w:lang w:val="es-ES"/>
              </w:rPr>
              <w:t>,</w:t>
            </w:r>
            <w:r w:rsidRPr="00FA3973">
              <w:rPr>
                <w:rFonts w:eastAsia="Times New Roman"/>
                <w:color w:val="000000" w:themeColor="text1"/>
                <w:lang w:val="es-ES"/>
              </w:rPr>
              <w:t xml:space="preserve"> Sudán</w:t>
            </w:r>
            <w:r>
              <w:rPr>
                <w:rFonts w:eastAsia="Times New Roman"/>
                <w:color w:val="000000" w:themeColor="text1"/>
                <w:lang w:val="es-ES"/>
              </w:rPr>
              <w:t>,</w:t>
            </w:r>
            <w:r w:rsidRPr="00FA3973">
              <w:rPr>
                <w:rFonts w:eastAsia="Times New Roman"/>
                <w:color w:val="000000" w:themeColor="text1"/>
                <w:lang w:val="es-ES"/>
              </w:rPr>
              <w:t xml:space="preserve"> Suriname</w:t>
            </w:r>
            <w:r>
              <w:rPr>
                <w:rFonts w:eastAsia="Times New Roman"/>
                <w:color w:val="000000" w:themeColor="text1"/>
                <w:lang w:val="es-ES"/>
              </w:rPr>
              <w:t>,</w:t>
            </w:r>
            <w:r w:rsidRPr="00FA3973">
              <w:rPr>
                <w:rFonts w:eastAsia="Times New Roman"/>
                <w:color w:val="000000" w:themeColor="text1"/>
                <w:lang w:val="es-ES"/>
              </w:rPr>
              <w:t xml:space="preserve"> Tayikistán</w:t>
            </w:r>
            <w:r>
              <w:rPr>
                <w:rFonts w:eastAsia="Times New Roman"/>
                <w:color w:val="000000" w:themeColor="text1"/>
                <w:lang w:val="es-ES"/>
              </w:rPr>
              <w:t>,</w:t>
            </w:r>
            <w:r w:rsidRPr="00FA3973">
              <w:rPr>
                <w:rFonts w:eastAsia="Times New Roman"/>
                <w:color w:val="000000" w:themeColor="text1"/>
                <w:lang w:val="es-ES"/>
              </w:rPr>
              <w:t xml:space="preserve"> Timor-Leste</w:t>
            </w:r>
            <w:r>
              <w:rPr>
                <w:rFonts w:eastAsia="Times New Roman"/>
                <w:color w:val="000000" w:themeColor="text1"/>
                <w:lang w:val="es-ES"/>
              </w:rPr>
              <w:t>,</w:t>
            </w:r>
            <w:r w:rsidRPr="00FA3973">
              <w:rPr>
                <w:rFonts w:eastAsia="Times New Roman"/>
                <w:color w:val="000000" w:themeColor="text1"/>
                <w:lang w:val="es-ES"/>
              </w:rPr>
              <w:t xml:space="preserve"> Togo</w:t>
            </w:r>
            <w:r>
              <w:rPr>
                <w:rFonts w:eastAsia="Times New Roman"/>
                <w:color w:val="000000" w:themeColor="text1"/>
                <w:lang w:val="es-ES"/>
              </w:rPr>
              <w:t>,</w:t>
            </w:r>
            <w:r w:rsidRPr="00FA3973">
              <w:rPr>
                <w:rFonts w:eastAsia="Times New Roman"/>
                <w:color w:val="000000" w:themeColor="text1"/>
                <w:lang w:val="es-ES"/>
              </w:rPr>
              <w:t xml:space="preserve"> Tonga</w:t>
            </w:r>
            <w:r>
              <w:rPr>
                <w:rFonts w:eastAsia="Times New Roman"/>
                <w:color w:val="000000" w:themeColor="text1"/>
                <w:lang w:val="es-ES"/>
              </w:rPr>
              <w:t>,</w:t>
            </w:r>
            <w:r w:rsidRPr="00FA3973">
              <w:rPr>
                <w:rFonts w:eastAsia="Times New Roman"/>
                <w:color w:val="000000" w:themeColor="text1"/>
                <w:lang w:val="es-ES"/>
              </w:rPr>
              <w:t xml:space="preserve"> Trinidad &amp;Tobago</w:t>
            </w:r>
            <w:r>
              <w:rPr>
                <w:rFonts w:eastAsia="Times New Roman"/>
                <w:color w:val="000000" w:themeColor="text1"/>
                <w:lang w:val="es-ES"/>
              </w:rPr>
              <w:t>,</w:t>
            </w:r>
            <w:r w:rsidRPr="00FA3973">
              <w:rPr>
                <w:rFonts w:eastAsia="Times New Roman"/>
                <w:color w:val="000000" w:themeColor="text1"/>
                <w:lang w:val="es-ES"/>
              </w:rPr>
              <w:t xml:space="preserve"> Túnez</w:t>
            </w:r>
            <w:r>
              <w:rPr>
                <w:rFonts w:eastAsia="Times New Roman"/>
                <w:color w:val="000000" w:themeColor="text1"/>
                <w:lang w:val="es-ES"/>
              </w:rPr>
              <w:t>,</w:t>
            </w:r>
            <w:r w:rsidRPr="00FA3973">
              <w:rPr>
                <w:rFonts w:eastAsia="Times New Roman"/>
                <w:color w:val="000000" w:themeColor="text1"/>
                <w:lang w:val="es-ES"/>
              </w:rPr>
              <w:t xml:space="preserve"> Turkmenistán</w:t>
            </w:r>
            <w:r>
              <w:rPr>
                <w:rFonts w:eastAsia="Times New Roman"/>
                <w:color w:val="000000" w:themeColor="text1"/>
                <w:lang w:val="es-ES"/>
              </w:rPr>
              <w:t>,</w:t>
            </w:r>
            <w:r w:rsidRPr="00FA3973">
              <w:rPr>
                <w:rFonts w:eastAsia="Times New Roman"/>
                <w:color w:val="000000" w:themeColor="text1"/>
                <w:lang w:val="es-ES"/>
              </w:rPr>
              <w:t xml:space="preserve"> Tuvalu</w:t>
            </w:r>
            <w:r>
              <w:rPr>
                <w:rFonts w:eastAsia="Times New Roman"/>
                <w:color w:val="000000" w:themeColor="text1"/>
                <w:lang w:val="es-ES"/>
              </w:rPr>
              <w:t>,</w:t>
            </w:r>
            <w:r w:rsidRPr="00FA3973">
              <w:rPr>
                <w:rFonts w:eastAsia="Times New Roman"/>
                <w:color w:val="000000" w:themeColor="text1"/>
                <w:lang w:val="es-ES"/>
              </w:rPr>
              <w:t xml:space="preserve"> Uzbekistán</w:t>
            </w:r>
            <w:r>
              <w:rPr>
                <w:rFonts w:eastAsia="Times New Roman"/>
                <w:color w:val="000000" w:themeColor="text1"/>
                <w:lang w:val="es-ES"/>
              </w:rPr>
              <w:t>,</w:t>
            </w:r>
            <w:r w:rsidRPr="00FA3973">
              <w:rPr>
                <w:rFonts w:eastAsia="Times New Roman"/>
                <w:color w:val="000000" w:themeColor="text1"/>
                <w:lang w:val="es-ES"/>
              </w:rPr>
              <w:t xml:space="preserve"> Vanuatu</w:t>
            </w:r>
            <w:r>
              <w:rPr>
                <w:rFonts w:eastAsia="Times New Roman"/>
                <w:color w:val="000000" w:themeColor="text1"/>
                <w:lang w:val="es-ES"/>
              </w:rPr>
              <w:t>,</w:t>
            </w:r>
            <w:r w:rsidRPr="00FA3973">
              <w:rPr>
                <w:rFonts w:eastAsia="Times New Roman"/>
                <w:color w:val="000000" w:themeColor="text1"/>
                <w:lang w:val="es-ES"/>
              </w:rPr>
              <w:t xml:space="preserve"> Venezuela</w:t>
            </w:r>
            <w:r>
              <w:rPr>
                <w:rFonts w:eastAsia="Times New Roman"/>
                <w:color w:val="000000" w:themeColor="text1"/>
                <w:lang w:val="es-ES"/>
              </w:rPr>
              <w:t>,</w:t>
            </w:r>
            <w:r w:rsidRPr="00FA3973">
              <w:rPr>
                <w:rFonts w:eastAsia="Times New Roman"/>
                <w:color w:val="000000" w:themeColor="text1"/>
                <w:lang w:val="es-ES"/>
              </w:rPr>
              <w:t xml:space="preserve"> Yemen</w:t>
            </w:r>
            <w:r>
              <w:rPr>
                <w:rFonts w:eastAsia="Times New Roman"/>
                <w:color w:val="000000" w:themeColor="text1"/>
                <w:lang w:val="es-ES"/>
              </w:rPr>
              <w:t>,</w:t>
            </w:r>
            <w:r w:rsidRPr="00FA3973">
              <w:rPr>
                <w:rFonts w:eastAsia="Times New Roman"/>
                <w:color w:val="000000" w:themeColor="text1"/>
                <w:lang w:val="es-ES"/>
              </w:rPr>
              <w:t xml:space="preserve"> Zambia</w:t>
            </w:r>
            <w:r>
              <w:rPr>
                <w:rFonts w:eastAsia="Times New Roman"/>
                <w:color w:val="000000" w:themeColor="text1"/>
                <w:lang w:val="es-ES"/>
              </w:rPr>
              <w:t>,</w:t>
            </w:r>
            <w:r w:rsidRPr="00FA3973">
              <w:rPr>
                <w:rFonts w:eastAsia="Times New Roman"/>
                <w:color w:val="000000" w:themeColor="text1"/>
                <w:lang w:val="es-ES"/>
              </w:rPr>
              <w:t xml:space="preserve"> Zimbabwe</w:t>
            </w:r>
          </w:p>
        </w:tc>
      </w:tr>
      <w:tr w:rsidR="002C71E8" w:rsidRPr="007A2AF5" w:rsidTr="00494B86">
        <w:trPr>
          <w:trHeight w:val="2176"/>
        </w:trPr>
        <w:tc>
          <w:tcPr>
            <w:tcW w:w="196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rsidR="001B6C76" w:rsidRPr="00525040" w:rsidRDefault="001B6C76" w:rsidP="001B6C76">
            <w:pPr>
              <w:widowControl w:val="0"/>
              <w:rPr>
                <w:rFonts w:eastAsia="Times New Roman"/>
                <w:color w:val="000000" w:themeColor="text1"/>
                <w:lang w:val="es-ES"/>
              </w:rPr>
            </w:pPr>
            <w:r w:rsidRPr="00525040">
              <w:rPr>
                <w:rFonts w:eastAsia="Times New Roman"/>
                <w:color w:val="000000" w:themeColor="text1"/>
                <w:lang w:val="es-ES"/>
              </w:rPr>
              <w:t xml:space="preserve">Excepción para todas las discapacidades </w:t>
            </w:r>
          </w:p>
          <w:p w:rsidR="001B6C76" w:rsidRPr="00525040" w:rsidRDefault="001B6C76" w:rsidP="001B6C76">
            <w:pPr>
              <w:widowControl w:val="0"/>
              <w:rPr>
                <w:rFonts w:eastAsia="Times New Roman"/>
                <w:color w:val="000000" w:themeColor="text1"/>
                <w:lang w:val="es-ES"/>
              </w:rPr>
            </w:pPr>
            <w:r w:rsidRPr="00525040">
              <w:rPr>
                <w:rFonts w:eastAsia="Times New Roman"/>
                <w:color w:val="000000" w:themeColor="text1"/>
                <w:lang w:val="es-ES"/>
              </w:rPr>
              <w:t>(*no se especifica la discapacidad)</w:t>
            </w:r>
          </w:p>
          <w:p w:rsidR="002C71E8" w:rsidRPr="00525040" w:rsidRDefault="002C71E8" w:rsidP="002C71E8">
            <w:pPr>
              <w:widowControl w:val="0"/>
              <w:rPr>
                <w:rFonts w:eastAsia="Times New Roman"/>
                <w:color w:val="000000"/>
                <w:lang w:val="es-ES"/>
              </w:rPr>
            </w:pPr>
            <w:r w:rsidRPr="00525040">
              <w:rPr>
                <w:rFonts w:eastAsia="Times New Roman"/>
                <w:color w:val="000000"/>
                <w:lang w:val="es-ES"/>
              </w:rPr>
              <w:t xml:space="preserve"> </w:t>
            </w:r>
          </w:p>
        </w:tc>
        <w:tc>
          <w:tcPr>
            <w:tcW w:w="1301"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2C71E8" w:rsidRPr="00525040" w:rsidRDefault="002C71E8" w:rsidP="002C71E8">
            <w:pPr>
              <w:widowControl w:val="0"/>
              <w:rPr>
                <w:rFonts w:eastAsia="Times New Roman"/>
                <w:color w:val="000000"/>
                <w:lang w:val="es-ES"/>
              </w:rPr>
            </w:pPr>
            <w:r w:rsidRPr="00525040">
              <w:rPr>
                <w:rFonts w:eastAsia="Times New Roman"/>
                <w:color w:val="000000"/>
                <w:lang w:val="es-ES"/>
              </w:rPr>
              <w:t>28</w:t>
            </w:r>
          </w:p>
        </w:tc>
        <w:tc>
          <w:tcPr>
            <w:tcW w:w="5985"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rsidR="002C71E8" w:rsidRPr="00525040" w:rsidRDefault="00494B86" w:rsidP="002C71E8">
            <w:pPr>
              <w:widowControl w:val="0"/>
              <w:rPr>
                <w:rFonts w:eastAsia="Times New Roman"/>
                <w:color w:val="000000"/>
                <w:lang w:val="es-ES"/>
              </w:rPr>
            </w:pPr>
            <w:r w:rsidRPr="00494B86">
              <w:rPr>
                <w:rFonts w:eastAsia="Times New Roman"/>
                <w:color w:val="000000"/>
                <w:lang w:val="es-ES"/>
              </w:rPr>
              <w:t>Alemania, Austria, Bélgica, Bosnia y Herzegovina, Croacia, Ecuador, Eslovaquia, Eslovenia, Estonia, Gabón, Hungría, India, Israel, Italia, Liechtenstein, Malta, México, Montenegro, Países Bajos, Polonia, República Checa, República de Macedonia, República de Moldova, Rumania, Santo Tomé y P</w:t>
            </w:r>
            <w:r>
              <w:rPr>
                <w:rFonts w:eastAsia="Times New Roman"/>
                <w:color w:val="000000"/>
                <w:lang w:val="es-ES"/>
              </w:rPr>
              <w:t>ríncipe, Serbia, Suiza, Turquía</w:t>
            </w:r>
          </w:p>
        </w:tc>
      </w:tr>
      <w:tr w:rsidR="002C71E8" w:rsidRPr="007A2AF5" w:rsidTr="001B6C76">
        <w:trPr>
          <w:trHeight w:val="1514"/>
        </w:trPr>
        <w:tc>
          <w:tcPr>
            <w:tcW w:w="196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rsidR="001B6C76" w:rsidRPr="00525040" w:rsidRDefault="001B6C76" w:rsidP="001B6C76">
            <w:pPr>
              <w:widowControl w:val="0"/>
              <w:rPr>
                <w:rFonts w:eastAsia="Times New Roman"/>
                <w:color w:val="000000" w:themeColor="text1"/>
                <w:lang w:val="es-ES"/>
              </w:rPr>
            </w:pPr>
            <w:r w:rsidRPr="00525040">
              <w:rPr>
                <w:rFonts w:eastAsia="Times New Roman"/>
                <w:color w:val="000000" w:themeColor="text1"/>
                <w:lang w:val="es-ES"/>
              </w:rPr>
              <w:t>Excepción en favor de las personas con discapacidad auditiva</w:t>
            </w:r>
          </w:p>
          <w:p w:rsidR="002C71E8" w:rsidRPr="00525040" w:rsidRDefault="002C71E8" w:rsidP="002C71E8">
            <w:pPr>
              <w:widowControl w:val="0"/>
              <w:rPr>
                <w:rFonts w:eastAsia="Times New Roman"/>
                <w:color w:val="000000"/>
                <w:lang w:val="es-ES"/>
              </w:rPr>
            </w:pPr>
            <w:r w:rsidRPr="00525040">
              <w:rPr>
                <w:rFonts w:eastAsia="Times New Roman"/>
                <w:color w:val="000000"/>
                <w:lang w:val="es-ES"/>
              </w:rPr>
              <w:t xml:space="preserve"> </w:t>
            </w:r>
          </w:p>
        </w:tc>
        <w:tc>
          <w:tcPr>
            <w:tcW w:w="1301"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2C71E8" w:rsidRPr="00525040" w:rsidRDefault="002C71E8" w:rsidP="002C71E8">
            <w:pPr>
              <w:widowControl w:val="0"/>
              <w:rPr>
                <w:rFonts w:eastAsia="Times New Roman"/>
                <w:color w:val="000000"/>
                <w:lang w:val="es-ES"/>
              </w:rPr>
            </w:pPr>
            <w:r w:rsidRPr="00525040">
              <w:rPr>
                <w:rFonts w:eastAsia="Times New Roman"/>
                <w:color w:val="000000"/>
                <w:lang w:val="es-ES"/>
              </w:rPr>
              <w:t>25</w:t>
            </w:r>
          </w:p>
        </w:tc>
        <w:tc>
          <w:tcPr>
            <w:tcW w:w="5985"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2C71E8" w:rsidRPr="00525040" w:rsidRDefault="00DC0E78" w:rsidP="00DC0E78">
            <w:pPr>
              <w:widowControl w:val="0"/>
              <w:rPr>
                <w:rFonts w:eastAsia="Times New Roman"/>
                <w:color w:val="000000"/>
                <w:lang w:val="es-ES"/>
              </w:rPr>
            </w:pPr>
            <w:r w:rsidRPr="00525040">
              <w:rPr>
                <w:rFonts w:eastAsia="Times New Roman"/>
                <w:color w:val="000000"/>
                <w:lang w:val="es-ES"/>
              </w:rPr>
              <w:t>Australia, Bahamas, Belice, Cabo Verde, Chile, Cote d'Ivoire, Dinamarca, Estados Unidos de América, Fiji, Grecia, Irlanda, Jam</w:t>
            </w:r>
            <w:r w:rsidR="000703DF">
              <w:rPr>
                <w:rFonts w:eastAsia="Times New Roman"/>
                <w:color w:val="000000"/>
                <w:lang w:val="es-ES"/>
              </w:rPr>
              <w:t xml:space="preserve">aica, Japón, Liberia, Lituania, </w:t>
            </w:r>
            <w:r w:rsidRPr="00525040">
              <w:rPr>
                <w:rFonts w:eastAsia="Times New Roman"/>
                <w:color w:val="000000"/>
                <w:lang w:val="es-ES"/>
              </w:rPr>
              <w:t>Luxemburgo, Malasia, Mongolia, Nueva Zelandia, Niue, Noruega, Reino Unido, San Vicente y las Granadinas, Tailandia, Uganda</w:t>
            </w:r>
          </w:p>
        </w:tc>
      </w:tr>
      <w:tr w:rsidR="002C71E8" w:rsidRPr="007A2AF5" w:rsidTr="001B6C76">
        <w:trPr>
          <w:trHeight w:val="1600"/>
        </w:trPr>
        <w:tc>
          <w:tcPr>
            <w:tcW w:w="196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1B6C76" w:rsidRPr="00525040" w:rsidRDefault="001B6C76" w:rsidP="001B6C76">
            <w:pPr>
              <w:widowControl w:val="0"/>
              <w:rPr>
                <w:rFonts w:eastAsia="Times New Roman"/>
                <w:color w:val="000000" w:themeColor="text1"/>
                <w:lang w:val="es-ES"/>
              </w:rPr>
            </w:pPr>
            <w:r w:rsidRPr="00525040">
              <w:rPr>
                <w:rFonts w:eastAsia="Times New Roman"/>
                <w:color w:val="000000" w:themeColor="text1"/>
                <w:lang w:val="es-ES"/>
              </w:rPr>
              <w:t>Excepción en favor de las personas con discapacidad cognitiva/mental</w:t>
            </w:r>
          </w:p>
          <w:p w:rsidR="002C71E8" w:rsidRPr="00525040" w:rsidRDefault="002C71E8" w:rsidP="002C71E8">
            <w:pPr>
              <w:widowControl w:val="0"/>
              <w:rPr>
                <w:rFonts w:eastAsia="Times New Roman"/>
                <w:color w:val="000000"/>
                <w:lang w:val="es-ES"/>
              </w:rPr>
            </w:pPr>
            <w:r w:rsidRPr="00525040">
              <w:rPr>
                <w:rFonts w:eastAsia="Times New Roman"/>
                <w:color w:val="000000"/>
                <w:lang w:val="es-ES"/>
              </w:rPr>
              <w:t xml:space="preserve"> </w:t>
            </w:r>
          </w:p>
        </w:tc>
        <w:tc>
          <w:tcPr>
            <w:tcW w:w="1301"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2C71E8" w:rsidRPr="00525040" w:rsidRDefault="002C71E8" w:rsidP="002C71E8">
            <w:pPr>
              <w:widowControl w:val="0"/>
              <w:rPr>
                <w:rFonts w:eastAsia="Times New Roman"/>
                <w:color w:val="000000"/>
                <w:lang w:val="es-ES"/>
              </w:rPr>
            </w:pPr>
            <w:r w:rsidRPr="00525040">
              <w:rPr>
                <w:rFonts w:eastAsia="Times New Roman"/>
                <w:color w:val="000000"/>
                <w:lang w:val="es-ES"/>
              </w:rPr>
              <w:t>22</w:t>
            </w:r>
          </w:p>
        </w:tc>
        <w:tc>
          <w:tcPr>
            <w:tcW w:w="5985"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2C71E8" w:rsidRPr="00525040" w:rsidRDefault="00DC0E78" w:rsidP="002B302C">
            <w:pPr>
              <w:widowControl w:val="0"/>
              <w:rPr>
                <w:rFonts w:eastAsia="Times New Roman"/>
                <w:color w:val="000000"/>
                <w:lang w:val="es-ES"/>
              </w:rPr>
            </w:pPr>
            <w:r w:rsidRPr="00525040">
              <w:rPr>
                <w:rFonts w:eastAsia="Times New Roman"/>
                <w:color w:val="000000"/>
                <w:lang w:val="es-ES"/>
              </w:rPr>
              <w:t xml:space="preserve">Albania, Argentina, Australia, Belice, Cabo Verde, Canadá, </w:t>
            </w:r>
            <w:r w:rsidR="002B302C">
              <w:rPr>
                <w:rFonts w:eastAsia="Times New Roman"/>
                <w:color w:val="000000"/>
                <w:lang w:val="es-ES"/>
              </w:rPr>
              <w:t xml:space="preserve">España, </w:t>
            </w:r>
            <w:r w:rsidRPr="00525040">
              <w:rPr>
                <w:rFonts w:eastAsia="Times New Roman"/>
                <w:color w:val="000000"/>
                <w:lang w:val="es-ES"/>
              </w:rPr>
              <w:t xml:space="preserve">Fiji, Filipinas, Francia, Irlanda, Japón, Letonia, Lituania, Malasia, Nueva Zelandia, Niue, </w:t>
            </w:r>
            <w:r w:rsidR="002B302C">
              <w:rPr>
                <w:rFonts w:eastAsia="Times New Roman"/>
                <w:color w:val="000000"/>
                <w:lang w:val="es-ES"/>
              </w:rPr>
              <w:t xml:space="preserve">Reino Unido, </w:t>
            </w:r>
            <w:r w:rsidRPr="00525040">
              <w:rPr>
                <w:rFonts w:eastAsia="Times New Roman"/>
                <w:color w:val="000000"/>
                <w:lang w:val="es-ES"/>
              </w:rPr>
              <w:t>San Vicente y las Granadinas, Singapur, Tailandia, Uruguay</w:t>
            </w:r>
          </w:p>
        </w:tc>
      </w:tr>
      <w:tr w:rsidR="002C71E8" w:rsidRPr="007A2AF5" w:rsidTr="001B6C76">
        <w:trPr>
          <w:trHeight w:val="1355"/>
        </w:trPr>
        <w:tc>
          <w:tcPr>
            <w:tcW w:w="1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9357BC" w:rsidRPr="00525040" w:rsidRDefault="009357BC" w:rsidP="009357BC">
            <w:pPr>
              <w:widowControl w:val="0"/>
              <w:rPr>
                <w:rFonts w:eastAsia="Times New Roman"/>
                <w:color w:val="000000" w:themeColor="text1"/>
                <w:lang w:val="es-ES"/>
              </w:rPr>
            </w:pPr>
            <w:r w:rsidRPr="00525040">
              <w:rPr>
                <w:rFonts w:eastAsia="Times New Roman"/>
                <w:color w:val="000000" w:themeColor="text1"/>
                <w:lang w:val="es-ES"/>
              </w:rPr>
              <w:lastRenderedPageBreak/>
              <w:t>Excepción en favor de las personas con discapacidad física</w:t>
            </w:r>
          </w:p>
          <w:p w:rsidR="002C71E8" w:rsidRPr="00525040" w:rsidRDefault="002C71E8" w:rsidP="002C71E8">
            <w:pPr>
              <w:widowControl w:val="0"/>
              <w:rPr>
                <w:rFonts w:eastAsia="Times New Roman"/>
                <w:color w:val="000000"/>
                <w:lang w:val="es-ES"/>
              </w:rPr>
            </w:pPr>
            <w:r w:rsidRPr="00525040">
              <w:rPr>
                <w:rFonts w:eastAsia="Times New Roman"/>
                <w:color w:val="000000"/>
                <w:lang w:val="es-ES"/>
              </w:rPr>
              <w:t xml:space="preserve"> </w:t>
            </w:r>
          </w:p>
        </w:tc>
        <w:tc>
          <w:tcPr>
            <w:tcW w:w="1301" w:type="dxa"/>
            <w:tcBorders>
              <w:top w:val="nil"/>
              <w:left w:val="nil"/>
              <w:bottom w:val="single" w:sz="8" w:space="0" w:color="000000"/>
              <w:right w:val="single" w:sz="8" w:space="0" w:color="000000"/>
            </w:tcBorders>
            <w:tcMar>
              <w:top w:w="100" w:type="dxa"/>
              <w:left w:w="100" w:type="dxa"/>
              <w:bottom w:w="100" w:type="dxa"/>
              <w:right w:w="100" w:type="dxa"/>
            </w:tcMar>
            <w:hideMark/>
          </w:tcPr>
          <w:p w:rsidR="002C71E8" w:rsidRPr="00525040" w:rsidRDefault="002C71E8" w:rsidP="002C71E8">
            <w:pPr>
              <w:widowControl w:val="0"/>
              <w:rPr>
                <w:rFonts w:eastAsia="Times New Roman"/>
                <w:color w:val="000000"/>
                <w:lang w:val="es-ES"/>
              </w:rPr>
            </w:pPr>
            <w:r w:rsidRPr="00525040">
              <w:rPr>
                <w:rFonts w:eastAsia="Times New Roman"/>
                <w:color w:val="000000"/>
                <w:lang w:val="es-ES"/>
              </w:rPr>
              <w:t>19</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hideMark/>
          </w:tcPr>
          <w:p w:rsidR="002C71E8" w:rsidRPr="00525040" w:rsidRDefault="007424EF" w:rsidP="002054FC">
            <w:pPr>
              <w:widowControl w:val="0"/>
              <w:rPr>
                <w:rFonts w:eastAsia="Times New Roman"/>
                <w:color w:val="000000"/>
                <w:lang w:val="es-ES"/>
              </w:rPr>
            </w:pPr>
            <w:r w:rsidRPr="00525040">
              <w:rPr>
                <w:rFonts w:eastAsia="Times New Roman"/>
                <w:color w:val="000000"/>
                <w:lang w:val="es-ES"/>
              </w:rPr>
              <w:t xml:space="preserve">Argentina, Australia, Belice, Cote d' Ivoire, Dinamarca, España, Fiji, Francia, Irlanda, Letonia, Lituania, Malasia, Nueva Zelandia, Niue, </w:t>
            </w:r>
            <w:r w:rsidR="002054FC">
              <w:rPr>
                <w:rFonts w:eastAsia="Times New Roman"/>
                <w:color w:val="000000"/>
                <w:lang w:val="es-ES"/>
              </w:rPr>
              <w:t xml:space="preserve">Reino Unido, República Dominicana, </w:t>
            </w:r>
            <w:r w:rsidRPr="00525040">
              <w:rPr>
                <w:rFonts w:eastAsia="Times New Roman"/>
                <w:color w:val="000000"/>
                <w:lang w:val="es-ES"/>
              </w:rPr>
              <w:t>San Vicente y las Granadinas, Tailandia, Uruguay</w:t>
            </w:r>
          </w:p>
        </w:tc>
      </w:tr>
      <w:tr w:rsidR="002C71E8" w:rsidRPr="007A2AF5" w:rsidTr="001B6C76">
        <w:trPr>
          <w:trHeight w:val="1997"/>
        </w:trPr>
        <w:tc>
          <w:tcPr>
            <w:tcW w:w="19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1B6C76" w:rsidRPr="00525040" w:rsidRDefault="001B6C76" w:rsidP="001B6C76">
            <w:pPr>
              <w:widowControl w:val="0"/>
              <w:rPr>
                <w:rFonts w:eastAsia="Times New Roman"/>
                <w:color w:val="000000" w:themeColor="text1"/>
                <w:lang w:val="es-ES"/>
              </w:rPr>
            </w:pPr>
            <w:r w:rsidRPr="00525040">
              <w:rPr>
                <w:rFonts w:eastAsia="Times New Roman"/>
                <w:color w:val="000000" w:themeColor="text1"/>
                <w:lang w:val="es-ES"/>
              </w:rPr>
              <w:t xml:space="preserve">Excepción en favor de las personas con discapacidad </w:t>
            </w:r>
            <w:r w:rsidR="009F5EF6">
              <w:rPr>
                <w:rFonts w:eastAsia="Times New Roman"/>
                <w:color w:val="000000" w:themeColor="text1"/>
                <w:lang w:val="es-ES"/>
              </w:rPr>
              <w:t>visual</w:t>
            </w:r>
            <w:r w:rsidR="009357BC" w:rsidRPr="00525040">
              <w:rPr>
                <w:rFonts w:eastAsia="Times New Roman"/>
                <w:color w:val="000000" w:themeColor="text1"/>
                <w:lang w:val="es-ES"/>
              </w:rPr>
              <w:t xml:space="preserve"> limitada únicamente a las obras impresas y de texto</w:t>
            </w:r>
          </w:p>
          <w:p w:rsidR="002C71E8" w:rsidRPr="00525040" w:rsidRDefault="002C71E8" w:rsidP="002C71E8">
            <w:pPr>
              <w:widowControl w:val="0"/>
              <w:rPr>
                <w:rFonts w:eastAsia="Times New Roman"/>
                <w:color w:val="000000"/>
                <w:lang w:val="es-ES"/>
              </w:rPr>
            </w:pPr>
            <w:r w:rsidRPr="00525040">
              <w:rPr>
                <w:rFonts w:eastAsia="Times New Roman"/>
                <w:color w:val="000000"/>
                <w:lang w:val="es-ES"/>
              </w:rPr>
              <w:t xml:space="preserve"> </w:t>
            </w:r>
          </w:p>
        </w:tc>
        <w:tc>
          <w:tcPr>
            <w:tcW w:w="130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2C71E8" w:rsidRPr="00525040" w:rsidRDefault="002C71E8" w:rsidP="002C71E8">
            <w:pPr>
              <w:widowControl w:val="0"/>
              <w:rPr>
                <w:rFonts w:eastAsia="Times New Roman"/>
                <w:color w:val="000000"/>
                <w:lang w:val="es-ES"/>
              </w:rPr>
            </w:pPr>
            <w:r w:rsidRPr="00525040">
              <w:rPr>
                <w:rFonts w:eastAsia="Times New Roman"/>
                <w:color w:val="000000"/>
                <w:lang w:val="es-ES"/>
              </w:rPr>
              <w:t>24</w:t>
            </w:r>
          </w:p>
        </w:tc>
        <w:tc>
          <w:tcPr>
            <w:tcW w:w="598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hideMark/>
          </w:tcPr>
          <w:p w:rsidR="002C71E8" w:rsidRPr="00525040" w:rsidRDefault="007424EF" w:rsidP="002C71E8">
            <w:pPr>
              <w:widowControl w:val="0"/>
              <w:rPr>
                <w:rFonts w:eastAsia="Times New Roman"/>
                <w:color w:val="000000"/>
                <w:lang w:val="es-ES"/>
              </w:rPr>
            </w:pPr>
            <w:r w:rsidRPr="00525040">
              <w:rPr>
                <w:rFonts w:eastAsia="Times New Roman"/>
                <w:color w:val="000000"/>
                <w:lang w:val="es-ES"/>
              </w:rPr>
              <w:t>Alemania, Argentina, Armenia, Azerbaiyán, Belarús, Brasil, Bulgaria, Camerún, China,</w:t>
            </w:r>
            <w:r w:rsidR="003949B5">
              <w:rPr>
                <w:rFonts w:eastAsia="Times New Roman"/>
                <w:color w:val="000000"/>
                <w:lang w:val="es-ES"/>
              </w:rPr>
              <w:t xml:space="preserve"> Filipinas,</w:t>
            </w:r>
            <w:r w:rsidRPr="00525040">
              <w:rPr>
                <w:rFonts w:eastAsia="Times New Roman"/>
                <w:color w:val="000000"/>
                <w:lang w:val="es-ES"/>
              </w:rPr>
              <w:t xml:space="preserve"> Georgia, Granada, Indonesia, Kazajstán, Mauricio, Nicaragua, Panamá, Paraguay, Perú, República Democrática Popular Lao, Rwanda, Ucrania, Uruguay, Viet Nam</w:t>
            </w:r>
          </w:p>
        </w:tc>
      </w:tr>
      <w:tr w:rsidR="002C71E8" w:rsidRPr="007A2AF5" w:rsidTr="001B6C76">
        <w:trPr>
          <w:trHeight w:val="3423"/>
        </w:trPr>
        <w:tc>
          <w:tcPr>
            <w:tcW w:w="1960" w:type="dxa"/>
            <w:tcBorders>
              <w:top w:val="nil"/>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hideMark/>
          </w:tcPr>
          <w:p w:rsidR="001B6C76" w:rsidRPr="00525040" w:rsidRDefault="001B6C76" w:rsidP="001B6C76">
            <w:pPr>
              <w:widowControl w:val="0"/>
              <w:rPr>
                <w:rFonts w:eastAsia="Times New Roman"/>
                <w:color w:val="000000" w:themeColor="text1"/>
                <w:lang w:val="es-ES"/>
              </w:rPr>
            </w:pPr>
            <w:r w:rsidRPr="00525040">
              <w:rPr>
                <w:rFonts w:eastAsia="Times New Roman"/>
                <w:color w:val="000000" w:themeColor="text1"/>
                <w:lang w:val="es-ES"/>
              </w:rPr>
              <w:t>No se especifica la excepción para las personas con discapacidad visual más allá de las obras impresas y de texto</w:t>
            </w:r>
          </w:p>
          <w:p w:rsidR="001B6C76" w:rsidRPr="00525040" w:rsidRDefault="001B6C76" w:rsidP="002C71E8">
            <w:pPr>
              <w:widowControl w:val="0"/>
              <w:rPr>
                <w:rFonts w:eastAsia="Times New Roman"/>
                <w:color w:val="000000"/>
                <w:lang w:val="es-ES"/>
              </w:rPr>
            </w:pPr>
          </w:p>
          <w:p w:rsidR="002C71E8" w:rsidRPr="00525040" w:rsidRDefault="002C71E8" w:rsidP="002C71E8">
            <w:pPr>
              <w:widowControl w:val="0"/>
              <w:rPr>
                <w:rFonts w:eastAsia="Times New Roman"/>
                <w:color w:val="000000"/>
                <w:lang w:val="es-ES"/>
              </w:rPr>
            </w:pPr>
            <w:r w:rsidRPr="00525040">
              <w:rPr>
                <w:rFonts w:eastAsia="Times New Roman"/>
                <w:color w:val="000000"/>
                <w:lang w:val="es-ES"/>
              </w:rPr>
              <w:t xml:space="preserve"> </w:t>
            </w:r>
          </w:p>
        </w:tc>
        <w:tc>
          <w:tcPr>
            <w:tcW w:w="1301" w:type="dxa"/>
            <w:tcBorders>
              <w:top w:val="nil"/>
              <w:left w:val="nil"/>
              <w:bottom w:val="single" w:sz="4" w:space="0" w:color="auto"/>
              <w:right w:val="single" w:sz="8" w:space="0" w:color="000000"/>
            </w:tcBorders>
            <w:shd w:val="clear" w:color="auto" w:fill="FFFFFF"/>
            <w:tcMar>
              <w:top w:w="100" w:type="dxa"/>
              <w:left w:w="100" w:type="dxa"/>
              <w:bottom w:w="100" w:type="dxa"/>
              <w:right w:w="100" w:type="dxa"/>
            </w:tcMar>
            <w:hideMark/>
          </w:tcPr>
          <w:p w:rsidR="002C71E8" w:rsidRPr="00525040" w:rsidRDefault="002C71E8" w:rsidP="002C71E8">
            <w:pPr>
              <w:widowControl w:val="0"/>
              <w:rPr>
                <w:rFonts w:eastAsia="Times New Roman"/>
                <w:color w:val="000000"/>
                <w:lang w:val="es-ES"/>
              </w:rPr>
            </w:pPr>
            <w:r w:rsidRPr="00525040">
              <w:rPr>
                <w:rFonts w:eastAsia="Times New Roman"/>
                <w:color w:val="000000"/>
                <w:lang w:val="es-ES"/>
              </w:rPr>
              <w:t>72</w:t>
            </w:r>
          </w:p>
        </w:tc>
        <w:tc>
          <w:tcPr>
            <w:tcW w:w="5985" w:type="dxa"/>
            <w:tcBorders>
              <w:top w:val="nil"/>
              <w:left w:val="nil"/>
              <w:bottom w:val="single" w:sz="4" w:space="0" w:color="auto"/>
              <w:right w:val="single" w:sz="8" w:space="0" w:color="000000"/>
            </w:tcBorders>
            <w:shd w:val="clear" w:color="auto" w:fill="FFFFFF"/>
            <w:tcMar>
              <w:top w:w="100" w:type="dxa"/>
              <w:left w:w="100" w:type="dxa"/>
              <w:bottom w:w="100" w:type="dxa"/>
              <w:right w:w="100" w:type="dxa"/>
            </w:tcMar>
            <w:hideMark/>
          </w:tcPr>
          <w:p w:rsidR="002C71E8" w:rsidRPr="003949B5" w:rsidRDefault="003949B5" w:rsidP="003949B5">
            <w:pPr>
              <w:rPr>
                <w:lang w:val="es-ES"/>
              </w:rPr>
            </w:pPr>
            <w:r w:rsidRPr="00FA3973">
              <w:rPr>
                <w:lang w:val="es-ES"/>
              </w:rPr>
              <w:t>Albania, Australia, Austria, Bahamas, Belice, Bosnia y Herzegovina, Cabo Verde, Canadá, Chile, Colombia, Cote d’Ivoire, Croacia, Dinamarca, Ecuador, El Salvador, Eslovaquia, España, Estados Unidos de América, Estonia, Fiji, Finlandia, Francia, Gabón, German, Grecia, Hungría, India, Irlanda, Islandia, Islas Cook, Israel, Italia, Jamaica, Japón, Kirguistán, Kuwait, Letonia, Liberia, Liechtenstein, Lituania, Luxemburgo, Malasia, Malawi, Malta, México, Mongolia, Montenegro, Nigeria, Niue, Noruega, Nueva Zelandia, Países Bajos, Polonia, Portugal, Reino Unido, República Checa, República de Corea, República de Macedonia, República de Moldova, Rumania, San Vicente y las Granadinas, Santo Tomé y Príncipe, Serbia, Seychelles, Singapur, Suecia, Suiza, Tailandia, Turquía, Uganda</w:t>
            </w:r>
          </w:p>
        </w:tc>
      </w:tr>
      <w:tr w:rsidR="001B6C76" w:rsidRPr="007A2AF5" w:rsidTr="001B6C76">
        <w:trPr>
          <w:trHeight w:val="2057"/>
        </w:trPr>
        <w:tc>
          <w:tcPr>
            <w:tcW w:w="1960"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rsidR="001B6C76" w:rsidRPr="00525040" w:rsidRDefault="001B6C76" w:rsidP="001B6C76">
            <w:pPr>
              <w:widowControl w:val="0"/>
              <w:rPr>
                <w:rFonts w:eastAsia="Times New Roman"/>
                <w:color w:val="000000" w:themeColor="text1"/>
                <w:lang w:val="es-ES"/>
              </w:rPr>
            </w:pPr>
            <w:r w:rsidRPr="00525040">
              <w:rPr>
                <w:rFonts w:eastAsia="Times New Roman"/>
                <w:color w:val="000000" w:themeColor="text1"/>
                <w:lang w:val="es-ES"/>
              </w:rPr>
              <w:t>Disposiciones generales (uso leal) que permiten la realización de copias en formato accesible</w:t>
            </w:r>
          </w:p>
        </w:tc>
        <w:tc>
          <w:tcPr>
            <w:tcW w:w="1301"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1B6C76" w:rsidRPr="00525040" w:rsidRDefault="001B6C76" w:rsidP="001B6C76">
            <w:pPr>
              <w:widowControl w:val="0"/>
              <w:rPr>
                <w:rFonts w:eastAsia="Times New Roman"/>
                <w:color w:val="000000"/>
                <w:lang w:val="es-ES"/>
              </w:rPr>
            </w:pPr>
            <w:r w:rsidRPr="00525040">
              <w:rPr>
                <w:rFonts w:eastAsia="Times New Roman"/>
                <w:color w:val="000000"/>
                <w:lang w:val="es-ES"/>
              </w:rPr>
              <w:t>6</w:t>
            </w:r>
          </w:p>
        </w:tc>
        <w:tc>
          <w:tcPr>
            <w:tcW w:w="5985"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1B6C76" w:rsidRPr="00525040" w:rsidRDefault="007424EF" w:rsidP="001B6C76">
            <w:pPr>
              <w:widowControl w:val="0"/>
              <w:rPr>
                <w:rFonts w:eastAsia="Times New Roman"/>
                <w:color w:val="000000"/>
                <w:lang w:val="es-ES"/>
              </w:rPr>
            </w:pPr>
            <w:r w:rsidRPr="00525040">
              <w:rPr>
                <w:rFonts w:eastAsia="Times New Roman"/>
                <w:color w:val="000000"/>
                <w:lang w:val="es-ES"/>
              </w:rPr>
              <w:t>Dominica, Estados Unidos de América, Israel, Kirguistán, Micronesia, Sri Lanka</w:t>
            </w:r>
          </w:p>
        </w:tc>
      </w:tr>
      <w:tr w:rsidR="001B6C76" w:rsidRPr="007A2AF5" w:rsidTr="001B6C76">
        <w:trPr>
          <w:trHeight w:val="1176"/>
        </w:trPr>
        <w:tc>
          <w:tcPr>
            <w:tcW w:w="196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1B6C76" w:rsidRPr="00525040" w:rsidRDefault="001B6C76" w:rsidP="001B6C76">
            <w:pPr>
              <w:widowControl w:val="0"/>
              <w:rPr>
                <w:rFonts w:eastAsia="Times New Roman"/>
                <w:color w:val="000000" w:themeColor="text1"/>
                <w:lang w:val="es-ES"/>
              </w:rPr>
            </w:pPr>
            <w:r w:rsidRPr="00525040">
              <w:rPr>
                <w:rFonts w:eastAsia="Times New Roman"/>
                <w:color w:val="000000" w:themeColor="text1"/>
                <w:lang w:val="es-ES"/>
              </w:rPr>
              <w:t>Disposiciones relativas a la importación/exportación</w:t>
            </w:r>
          </w:p>
        </w:tc>
        <w:tc>
          <w:tcPr>
            <w:tcW w:w="1301"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1B6C76" w:rsidRPr="00525040" w:rsidRDefault="001B6C76" w:rsidP="001B6C76">
            <w:pPr>
              <w:widowControl w:val="0"/>
              <w:rPr>
                <w:rFonts w:eastAsia="Times New Roman"/>
                <w:color w:val="000000"/>
                <w:lang w:val="es-ES"/>
              </w:rPr>
            </w:pPr>
            <w:r w:rsidRPr="00525040">
              <w:rPr>
                <w:rFonts w:eastAsia="Times New Roman"/>
                <w:color w:val="000000"/>
                <w:lang w:val="es-ES"/>
              </w:rPr>
              <w:t>13</w:t>
            </w:r>
          </w:p>
        </w:tc>
        <w:tc>
          <w:tcPr>
            <w:tcW w:w="5985"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1B6C76" w:rsidRPr="00525040" w:rsidRDefault="007424EF" w:rsidP="006B39EA">
            <w:pPr>
              <w:widowControl w:val="0"/>
              <w:rPr>
                <w:rFonts w:eastAsia="Times New Roman"/>
                <w:color w:val="000000"/>
                <w:lang w:val="es-ES"/>
              </w:rPr>
            </w:pPr>
            <w:r w:rsidRPr="00525040">
              <w:rPr>
                <w:rFonts w:eastAsia="Times New Roman"/>
                <w:color w:val="000000"/>
                <w:lang w:val="es-ES"/>
              </w:rPr>
              <w:t xml:space="preserve">Canadá (importación y exportación), Eslovaquia (importación y exportación), Estados Unidos de América (importación y exportación), </w:t>
            </w:r>
            <w:r w:rsidR="006B39EA" w:rsidRPr="00525040">
              <w:rPr>
                <w:rFonts w:eastAsia="Times New Roman"/>
                <w:color w:val="000000"/>
                <w:lang w:val="es-ES"/>
              </w:rPr>
              <w:t xml:space="preserve">Indonesia (importación y exportación), </w:t>
            </w:r>
            <w:r w:rsidRPr="00525040">
              <w:rPr>
                <w:rFonts w:eastAsia="Times New Roman"/>
                <w:color w:val="000000"/>
                <w:lang w:val="es-ES"/>
              </w:rPr>
              <w:t>Islas Cook (importación y exportación), Japón (importación y exportación), Liberia (importación), Mauricio (importación y exportación), Noru</w:t>
            </w:r>
            <w:r w:rsidR="009F5EF6">
              <w:rPr>
                <w:rFonts w:eastAsia="Times New Roman"/>
                <w:color w:val="000000"/>
                <w:lang w:val="es-ES"/>
              </w:rPr>
              <w:t>ega (importación y exportación</w:t>
            </w:r>
            <w:r w:rsidRPr="00525040">
              <w:rPr>
                <w:rFonts w:eastAsia="Times New Roman"/>
                <w:color w:val="000000"/>
                <w:lang w:val="es-ES"/>
              </w:rPr>
              <w:t>), Rwanda (importación), Seychelles (importación), Singapur (importación y exportación), Suiza (exportación)</w:t>
            </w:r>
          </w:p>
        </w:tc>
      </w:tr>
      <w:tr w:rsidR="002C71E8" w:rsidRPr="007A2AF5" w:rsidTr="001B6C76">
        <w:trPr>
          <w:trHeight w:val="1740"/>
        </w:trPr>
        <w:tc>
          <w:tcPr>
            <w:tcW w:w="1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1B6C76" w:rsidRPr="00525040" w:rsidRDefault="001B6C76" w:rsidP="002C71E8">
            <w:pPr>
              <w:widowControl w:val="0"/>
              <w:rPr>
                <w:rFonts w:eastAsia="Times New Roman"/>
                <w:color w:val="000000"/>
                <w:lang w:val="es-ES"/>
              </w:rPr>
            </w:pPr>
          </w:p>
          <w:p w:rsidR="002C71E8" w:rsidRPr="00525040" w:rsidRDefault="001B6C76" w:rsidP="002C71E8">
            <w:pPr>
              <w:widowControl w:val="0"/>
              <w:rPr>
                <w:rFonts w:eastAsia="Times New Roman"/>
                <w:color w:val="000000"/>
                <w:lang w:val="es-ES"/>
              </w:rPr>
            </w:pPr>
            <w:r w:rsidRPr="00525040">
              <w:rPr>
                <w:rFonts w:eastAsia="Times New Roman"/>
                <w:color w:val="000000"/>
                <w:lang w:val="es-ES"/>
              </w:rPr>
              <w:t>Disposiciones contra la elusión de las medidas tecnológicas de protección – Exención en favor de las personas con discapacidad</w:t>
            </w:r>
          </w:p>
        </w:tc>
        <w:tc>
          <w:tcPr>
            <w:tcW w:w="1301" w:type="dxa"/>
            <w:tcBorders>
              <w:top w:val="nil"/>
              <w:left w:val="nil"/>
              <w:bottom w:val="single" w:sz="8" w:space="0" w:color="000000"/>
              <w:right w:val="single" w:sz="8" w:space="0" w:color="000000"/>
            </w:tcBorders>
            <w:tcMar>
              <w:top w:w="100" w:type="dxa"/>
              <w:left w:w="100" w:type="dxa"/>
              <w:bottom w:w="100" w:type="dxa"/>
              <w:right w:w="100" w:type="dxa"/>
            </w:tcMar>
            <w:hideMark/>
          </w:tcPr>
          <w:p w:rsidR="002C71E8" w:rsidRPr="00525040" w:rsidRDefault="002C71E8" w:rsidP="002C71E8">
            <w:pPr>
              <w:widowControl w:val="0"/>
              <w:rPr>
                <w:rFonts w:eastAsia="Times New Roman"/>
                <w:color w:val="000000"/>
                <w:lang w:val="es-ES"/>
              </w:rPr>
            </w:pPr>
            <w:r w:rsidRPr="00525040">
              <w:rPr>
                <w:rFonts w:eastAsia="Times New Roman"/>
                <w:color w:val="000000"/>
                <w:lang w:val="es-ES"/>
              </w:rPr>
              <w:t>23</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hideMark/>
          </w:tcPr>
          <w:p w:rsidR="002C71E8" w:rsidRPr="00525040" w:rsidRDefault="007424EF" w:rsidP="003949B5">
            <w:pPr>
              <w:widowControl w:val="0"/>
              <w:rPr>
                <w:rFonts w:eastAsia="Times New Roman"/>
                <w:color w:val="000000"/>
                <w:lang w:val="es-ES"/>
              </w:rPr>
            </w:pPr>
            <w:r w:rsidRPr="00525040">
              <w:rPr>
                <w:rFonts w:eastAsia="Times New Roman"/>
                <w:color w:val="000000"/>
                <w:lang w:val="es-ES"/>
              </w:rPr>
              <w:t xml:space="preserve">Alemania, Argentina, Australia, Belarús, Croacia, Dinamarca, Ecuador, </w:t>
            </w:r>
            <w:r w:rsidR="003949B5">
              <w:rPr>
                <w:rFonts w:eastAsia="Times New Roman"/>
                <w:color w:val="000000"/>
                <w:lang w:val="es-ES"/>
              </w:rPr>
              <w:t xml:space="preserve">Eslovaquia, </w:t>
            </w:r>
            <w:r w:rsidRPr="00525040">
              <w:rPr>
                <w:rFonts w:eastAsia="Times New Roman"/>
                <w:color w:val="000000"/>
                <w:lang w:val="es-ES"/>
              </w:rPr>
              <w:t xml:space="preserve">Estados Unidos de América, Federación de Rusia, </w:t>
            </w:r>
            <w:r w:rsidR="003949B5" w:rsidRPr="00525040">
              <w:rPr>
                <w:rFonts w:eastAsia="Times New Roman"/>
                <w:color w:val="000000"/>
                <w:lang w:val="es-ES"/>
              </w:rPr>
              <w:t xml:space="preserve">Islas Cook, </w:t>
            </w:r>
            <w:r w:rsidRPr="00525040">
              <w:rPr>
                <w:rFonts w:eastAsia="Times New Roman"/>
                <w:color w:val="000000"/>
                <w:lang w:val="es-ES"/>
              </w:rPr>
              <w:t xml:space="preserve">Francia, Grecia, Indonesia, Jamaica, Japón, Liberia, Lituania, Malawi, Países Bajos, Portugal, </w:t>
            </w:r>
            <w:r w:rsidR="003949B5">
              <w:rPr>
                <w:rFonts w:eastAsia="Times New Roman"/>
                <w:color w:val="000000"/>
                <w:lang w:val="es-ES"/>
              </w:rPr>
              <w:t>Singapur, Suecia</w:t>
            </w:r>
          </w:p>
        </w:tc>
      </w:tr>
      <w:tr w:rsidR="001B6C76" w:rsidRPr="00525040" w:rsidTr="001B6C76">
        <w:trPr>
          <w:trHeight w:val="1740"/>
        </w:trPr>
        <w:tc>
          <w:tcPr>
            <w:tcW w:w="1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1B6C76" w:rsidRPr="00525040" w:rsidRDefault="001B6C76" w:rsidP="001B6C76">
            <w:pPr>
              <w:widowControl w:val="0"/>
              <w:rPr>
                <w:rFonts w:eastAsia="Times New Roman"/>
                <w:color w:val="000000" w:themeColor="text1"/>
                <w:lang w:val="es-ES"/>
              </w:rPr>
            </w:pPr>
            <w:r w:rsidRPr="00525040">
              <w:rPr>
                <w:rFonts w:eastAsia="Times New Roman"/>
                <w:color w:val="000000" w:themeColor="text1"/>
                <w:lang w:val="es-ES"/>
              </w:rPr>
              <w:t>No se refiere específicamente a las discapacidades, pero por lo general permite la modificación, traducción, alteración o desarrollo en otra obra</w:t>
            </w:r>
          </w:p>
        </w:tc>
        <w:tc>
          <w:tcPr>
            <w:tcW w:w="1301" w:type="dxa"/>
            <w:tcBorders>
              <w:top w:val="nil"/>
              <w:left w:val="nil"/>
              <w:bottom w:val="single" w:sz="8" w:space="0" w:color="000000"/>
              <w:right w:val="single" w:sz="8" w:space="0" w:color="000000"/>
            </w:tcBorders>
            <w:tcMar>
              <w:top w:w="100" w:type="dxa"/>
              <w:left w:w="100" w:type="dxa"/>
              <w:bottom w:w="100" w:type="dxa"/>
              <w:right w:w="100" w:type="dxa"/>
            </w:tcMar>
            <w:hideMark/>
          </w:tcPr>
          <w:p w:rsidR="001B6C76" w:rsidRPr="00525040" w:rsidRDefault="001B6C76" w:rsidP="001B6C76">
            <w:pPr>
              <w:widowControl w:val="0"/>
              <w:rPr>
                <w:rFonts w:eastAsia="Times New Roman"/>
                <w:color w:val="000000"/>
                <w:lang w:val="es-ES"/>
              </w:rPr>
            </w:pPr>
            <w:r w:rsidRPr="00525040">
              <w:rPr>
                <w:rFonts w:eastAsia="Times New Roman"/>
                <w:color w:val="000000"/>
                <w:lang w:val="es-ES"/>
              </w:rPr>
              <w:t>1</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hideMark/>
          </w:tcPr>
          <w:p w:rsidR="001B6C76" w:rsidRPr="00525040" w:rsidRDefault="001B6C76" w:rsidP="001B6C76">
            <w:pPr>
              <w:widowControl w:val="0"/>
              <w:rPr>
                <w:rFonts w:eastAsia="Times New Roman"/>
                <w:color w:val="000000"/>
                <w:lang w:val="es-ES"/>
              </w:rPr>
            </w:pPr>
            <w:r w:rsidRPr="00525040">
              <w:rPr>
                <w:rFonts w:eastAsia="Times New Roman"/>
                <w:color w:val="000000"/>
                <w:lang w:val="es-ES"/>
              </w:rPr>
              <w:t xml:space="preserve">Kuwait </w:t>
            </w:r>
          </w:p>
        </w:tc>
      </w:tr>
      <w:tr w:rsidR="001B6C76" w:rsidRPr="007A2AF5" w:rsidTr="001B6C76">
        <w:trPr>
          <w:trHeight w:val="1280"/>
        </w:trPr>
        <w:tc>
          <w:tcPr>
            <w:tcW w:w="1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1B6C76" w:rsidRPr="00525040" w:rsidRDefault="001B6C76" w:rsidP="001B6C76">
            <w:pPr>
              <w:widowControl w:val="0"/>
              <w:rPr>
                <w:rFonts w:eastAsia="Times New Roman"/>
                <w:color w:val="000000" w:themeColor="text1"/>
                <w:lang w:val="es-ES"/>
              </w:rPr>
            </w:pPr>
            <w:r w:rsidRPr="00525040">
              <w:rPr>
                <w:rFonts w:eastAsia="Times New Roman"/>
                <w:color w:val="000000" w:themeColor="text1"/>
                <w:lang w:val="es-ES"/>
              </w:rPr>
              <w:t>No puede determinarse a causa de la barrera idiomática</w:t>
            </w:r>
          </w:p>
        </w:tc>
        <w:tc>
          <w:tcPr>
            <w:tcW w:w="1301" w:type="dxa"/>
            <w:tcBorders>
              <w:top w:val="nil"/>
              <w:left w:val="nil"/>
              <w:bottom w:val="single" w:sz="8" w:space="0" w:color="000000"/>
              <w:right w:val="single" w:sz="8" w:space="0" w:color="000000"/>
            </w:tcBorders>
            <w:tcMar>
              <w:top w:w="100" w:type="dxa"/>
              <w:left w:w="100" w:type="dxa"/>
              <w:bottom w:w="100" w:type="dxa"/>
              <w:right w:w="100" w:type="dxa"/>
            </w:tcMar>
            <w:hideMark/>
          </w:tcPr>
          <w:p w:rsidR="001B6C76" w:rsidRPr="00525040" w:rsidRDefault="001B6C76" w:rsidP="001B6C76">
            <w:pPr>
              <w:widowControl w:val="0"/>
              <w:rPr>
                <w:rFonts w:eastAsia="Times New Roman"/>
                <w:color w:val="000000"/>
                <w:lang w:val="es-ES"/>
              </w:rPr>
            </w:pPr>
            <w:r w:rsidRPr="00525040">
              <w:rPr>
                <w:rFonts w:eastAsia="Times New Roman"/>
                <w:color w:val="000000"/>
                <w:lang w:val="es-ES"/>
              </w:rPr>
              <w:t>3</w:t>
            </w:r>
          </w:p>
        </w:tc>
        <w:tc>
          <w:tcPr>
            <w:tcW w:w="5985" w:type="dxa"/>
            <w:tcBorders>
              <w:top w:val="nil"/>
              <w:left w:val="nil"/>
              <w:bottom w:val="single" w:sz="8" w:space="0" w:color="000000"/>
              <w:right w:val="single" w:sz="8" w:space="0" w:color="000000"/>
            </w:tcBorders>
            <w:tcMar>
              <w:top w:w="100" w:type="dxa"/>
              <w:left w:w="100" w:type="dxa"/>
              <w:bottom w:w="100" w:type="dxa"/>
              <w:right w:w="100" w:type="dxa"/>
            </w:tcMar>
            <w:hideMark/>
          </w:tcPr>
          <w:p w:rsidR="001B6C76" w:rsidRPr="00525040" w:rsidRDefault="007424EF" w:rsidP="007424EF">
            <w:pPr>
              <w:widowControl w:val="0"/>
              <w:rPr>
                <w:rFonts w:eastAsia="Times New Roman"/>
                <w:color w:val="000000"/>
                <w:lang w:val="es-ES"/>
              </w:rPr>
            </w:pPr>
            <w:r w:rsidRPr="00525040">
              <w:rPr>
                <w:rFonts w:eastAsia="Times New Roman"/>
                <w:color w:val="000000"/>
                <w:lang w:val="es-ES"/>
              </w:rPr>
              <w:t>Federación de Rusia, República Centroafricana, Santa Sede</w:t>
            </w:r>
            <w:r w:rsidR="001B6C76" w:rsidRPr="00525040">
              <w:rPr>
                <w:rFonts w:eastAsia="Times New Roman"/>
                <w:color w:val="000000"/>
                <w:lang w:val="es-ES"/>
              </w:rPr>
              <w:t xml:space="preserve"> </w:t>
            </w:r>
          </w:p>
        </w:tc>
      </w:tr>
    </w:tbl>
    <w:p w:rsidR="002C71E8" w:rsidRPr="00525040" w:rsidRDefault="002C71E8" w:rsidP="002C71E8">
      <w:pPr>
        <w:rPr>
          <w:rFonts w:eastAsia="Arial"/>
          <w:bCs/>
          <w:i/>
          <w:szCs w:val="22"/>
          <w:lang w:val="es-ES" w:eastAsia="en-US"/>
        </w:rPr>
      </w:pPr>
      <w:bookmarkStart w:id="30" w:name="_Toc536636754"/>
    </w:p>
    <w:p w:rsidR="002C71E8" w:rsidRPr="00525040" w:rsidRDefault="002C71E8" w:rsidP="002C71E8">
      <w:pPr>
        <w:rPr>
          <w:bCs/>
          <w:i/>
          <w:lang w:val="es-ES" w:eastAsia="en-US"/>
        </w:rPr>
      </w:pPr>
    </w:p>
    <w:p w:rsidR="002C71E8" w:rsidRPr="00525040" w:rsidRDefault="002C71E8" w:rsidP="002C71E8">
      <w:pPr>
        <w:rPr>
          <w:bCs/>
          <w:color w:val="4472C4"/>
          <w:lang w:val="es-ES" w:eastAsia="en-US"/>
        </w:rPr>
      </w:pPr>
      <w:r w:rsidRPr="00525040">
        <w:rPr>
          <w:bCs/>
          <w:i/>
          <w:lang w:val="es-ES" w:eastAsia="en-US"/>
        </w:rPr>
        <w:t>N</w:t>
      </w:r>
      <w:r w:rsidR="009664E2" w:rsidRPr="00525040">
        <w:rPr>
          <w:bCs/>
          <w:i/>
          <w:lang w:val="es-ES" w:eastAsia="en-US"/>
        </w:rPr>
        <w:t>ota</w:t>
      </w:r>
      <w:r w:rsidRPr="00525040">
        <w:rPr>
          <w:bCs/>
          <w:i/>
          <w:lang w:val="es-ES" w:eastAsia="en-US"/>
        </w:rPr>
        <w:t xml:space="preserve">:  </w:t>
      </w:r>
      <w:r w:rsidR="009664E2" w:rsidRPr="00525040">
        <w:rPr>
          <w:bCs/>
          <w:i/>
          <w:lang w:val="es-ES" w:eastAsia="en-US"/>
        </w:rPr>
        <w:t>El cuadro con todos los Estados miembros de la OMPI está disponible en la versión en inglés.</w:t>
      </w:r>
    </w:p>
    <w:bookmarkEnd w:id="30"/>
    <w:p w:rsidR="002C71E8" w:rsidRPr="00525040" w:rsidRDefault="002C71E8" w:rsidP="002C71E8">
      <w:pPr>
        <w:widowControl w:val="0"/>
        <w:rPr>
          <w:lang w:val="es-ES"/>
        </w:rPr>
      </w:pPr>
    </w:p>
    <w:p w:rsidR="002C71E8" w:rsidRPr="00525040" w:rsidRDefault="002C71E8" w:rsidP="002C71E8">
      <w:pPr>
        <w:widowControl w:val="0"/>
        <w:rPr>
          <w:lang w:val="es-ES"/>
        </w:rPr>
      </w:pPr>
    </w:p>
    <w:p w:rsidR="002C71E8" w:rsidRPr="00525040" w:rsidRDefault="002C71E8" w:rsidP="002C71E8">
      <w:pPr>
        <w:widowControl w:val="0"/>
        <w:rPr>
          <w:lang w:val="es-ES"/>
        </w:rPr>
      </w:pPr>
    </w:p>
    <w:p w:rsidR="004B4BD9" w:rsidRPr="00525040" w:rsidRDefault="002C71E8" w:rsidP="007A2AF5">
      <w:pPr>
        <w:widowControl w:val="0"/>
        <w:spacing w:line="300" w:lineRule="auto"/>
        <w:ind w:left="5387"/>
        <w:rPr>
          <w:lang w:val="es-ES"/>
        </w:rPr>
      </w:pPr>
      <w:r w:rsidRPr="00525040">
        <w:rPr>
          <w:lang w:val="es-ES"/>
        </w:rPr>
        <w:t>[Fin del documento]</w:t>
      </w:r>
    </w:p>
    <w:sectPr w:rsidR="004B4BD9" w:rsidRPr="00525040" w:rsidSect="002C71E8">
      <w:headerReference w:type="default" r:id="rId10"/>
      <w:headerReference w:type="first" r:id="rId11"/>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0F0" w:rsidRDefault="00D340F0">
      <w:r>
        <w:separator/>
      </w:r>
    </w:p>
  </w:endnote>
  <w:endnote w:type="continuationSeparator" w:id="0">
    <w:p w:rsidR="00D340F0" w:rsidRDefault="00D340F0" w:rsidP="003B38C1">
      <w:r>
        <w:separator/>
      </w:r>
    </w:p>
    <w:p w:rsidR="00D340F0" w:rsidRPr="003B38C1" w:rsidRDefault="00D340F0" w:rsidP="003B38C1">
      <w:pPr>
        <w:spacing w:after="60"/>
        <w:rPr>
          <w:sz w:val="17"/>
        </w:rPr>
      </w:pPr>
      <w:r>
        <w:rPr>
          <w:sz w:val="17"/>
        </w:rPr>
        <w:t>[Endnote continued from previous page]</w:t>
      </w:r>
    </w:p>
  </w:endnote>
  <w:endnote w:type="continuationNotice" w:id="1">
    <w:p w:rsidR="00D340F0" w:rsidRPr="003B38C1" w:rsidRDefault="00D340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00000000" w:usb1="00000000" w:usb2="00000000" w:usb3="00000000" w:csb0="00010001"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0F0" w:rsidRDefault="00D340F0">
      <w:r>
        <w:separator/>
      </w:r>
    </w:p>
  </w:footnote>
  <w:footnote w:type="continuationSeparator" w:id="0">
    <w:p w:rsidR="00D340F0" w:rsidRDefault="00D340F0" w:rsidP="008B60B2">
      <w:r>
        <w:separator/>
      </w:r>
    </w:p>
    <w:p w:rsidR="00D340F0" w:rsidRPr="00ED77FB" w:rsidRDefault="00D340F0" w:rsidP="008B60B2">
      <w:pPr>
        <w:spacing w:after="60"/>
        <w:rPr>
          <w:sz w:val="17"/>
          <w:szCs w:val="17"/>
        </w:rPr>
      </w:pPr>
      <w:r w:rsidRPr="00ED77FB">
        <w:rPr>
          <w:sz w:val="17"/>
          <w:szCs w:val="17"/>
        </w:rPr>
        <w:t>[Footnote continued from previous page]</w:t>
      </w:r>
    </w:p>
  </w:footnote>
  <w:footnote w:type="continuationNotice" w:id="1">
    <w:p w:rsidR="00D340F0" w:rsidRPr="00ED77FB" w:rsidRDefault="00D340F0" w:rsidP="008B60B2">
      <w:pPr>
        <w:spacing w:before="60"/>
        <w:jc w:val="right"/>
        <w:rPr>
          <w:sz w:val="17"/>
          <w:szCs w:val="17"/>
        </w:rPr>
      </w:pPr>
      <w:r w:rsidRPr="00ED77FB">
        <w:rPr>
          <w:sz w:val="17"/>
          <w:szCs w:val="17"/>
        </w:rPr>
        <w:t>[Footnote continued on next page]</w:t>
      </w:r>
    </w:p>
  </w:footnote>
  <w:footnote w:id="2">
    <w:p w:rsidR="00D340F0" w:rsidRPr="00525040" w:rsidRDefault="00D340F0" w:rsidP="00FA288E">
      <w:pPr>
        <w:pStyle w:val="FootnoteText"/>
        <w:rPr>
          <w:sz w:val="20"/>
          <w:lang w:val="es-ES" w:eastAsia="en-ZA"/>
        </w:rPr>
      </w:pPr>
      <w:r w:rsidRPr="00525040">
        <w:rPr>
          <w:rStyle w:val="FootnoteReference"/>
          <w:sz w:val="20"/>
          <w:lang w:val="es-ES"/>
        </w:rPr>
        <w:footnoteRef/>
      </w:r>
      <w:r w:rsidRPr="00525040">
        <w:rPr>
          <w:sz w:val="20"/>
          <w:lang w:val="es-ES"/>
        </w:rPr>
        <w:t xml:space="preserve"> La creación de formatos accesibles puede implicar tanto derechos de reproducción como de distribución. En primer lugar, la modificación del contenido de las obras originales protegidas por derecho de autor para que sean accesibles a menudo contraviene el derecho exclusivo de reproducción. En segundo lugar, las iniciativas de accesibilidad solo son eficaces en la medida en que se ofrecen o distribuyen a las personas con discapacidad. Por lo tanto, dichas iniciativas quizá afecten también a los derechos exclusivos de distribución.</w:t>
      </w:r>
    </w:p>
  </w:footnote>
  <w:footnote w:id="3">
    <w:p w:rsidR="00D340F0" w:rsidRPr="00525040" w:rsidRDefault="00D340F0" w:rsidP="00E258D2">
      <w:pPr>
        <w:pStyle w:val="FootnoteText"/>
        <w:rPr>
          <w:sz w:val="20"/>
          <w:lang w:val="es-ES"/>
        </w:rPr>
      </w:pPr>
      <w:r w:rsidRPr="00525040">
        <w:rPr>
          <w:sz w:val="20"/>
          <w:vertAlign w:val="superscript"/>
          <w:lang w:val="es-ES"/>
        </w:rPr>
        <w:footnoteRef/>
      </w:r>
      <w:r w:rsidRPr="00525040">
        <w:rPr>
          <w:sz w:val="20"/>
          <w:lang w:val="es-ES"/>
        </w:rPr>
        <w:t xml:space="preserve">  Véase, por ejemplo, Comité Permanente de la OMPI sobre Derecho de Autor y Derechos Conexos</w:t>
      </w:r>
      <w:r w:rsidRPr="00525040">
        <w:rPr>
          <w:i/>
          <w:sz w:val="20"/>
          <w:lang w:val="es-ES"/>
        </w:rPr>
        <w:t>,</w:t>
      </w:r>
      <w:r w:rsidRPr="00525040">
        <w:rPr>
          <w:sz w:val="20"/>
          <w:lang w:val="es-ES"/>
        </w:rPr>
        <w:t xml:space="preserve"> Proyecto de informe de la Secretaría,</w:t>
      </w:r>
      <w:r w:rsidRPr="00525040">
        <w:rPr>
          <w:i/>
          <w:sz w:val="20"/>
          <w:lang w:val="es-ES"/>
        </w:rPr>
        <w:t xml:space="preserve"> </w:t>
      </w:r>
      <w:r w:rsidRPr="00525040">
        <w:rPr>
          <w:sz w:val="20"/>
          <w:lang w:val="es-ES"/>
        </w:rPr>
        <w:t>30.ª sesión, 109 (14 de septiembre de 2015).</w:t>
      </w:r>
    </w:p>
  </w:footnote>
  <w:footnote w:id="4">
    <w:p w:rsidR="00D340F0" w:rsidRPr="00525040" w:rsidRDefault="00D340F0" w:rsidP="009A44AE">
      <w:pPr>
        <w:pStyle w:val="FootnoteText"/>
        <w:rPr>
          <w:sz w:val="20"/>
          <w:lang w:val="es-ES"/>
        </w:rPr>
      </w:pPr>
      <w:r w:rsidRPr="00525040">
        <w:rPr>
          <w:rStyle w:val="FootnoteReference"/>
          <w:sz w:val="20"/>
          <w:lang w:val="es-ES"/>
        </w:rPr>
        <w:footnoteRef/>
      </w:r>
      <w:r w:rsidRPr="00525040">
        <w:rPr>
          <w:sz w:val="20"/>
          <w:lang w:val="es-ES"/>
        </w:rPr>
        <w:t xml:space="preserve"> Comité Permanente de la OMPI de Derecho de Autor y Derechos Conexos, Estudio exploratorio sobre el acceso a obras protegidas por derecho de autor para las personas con discapacidad (13 a 17 de noviembre de 2017).</w:t>
      </w:r>
    </w:p>
  </w:footnote>
  <w:footnote w:id="5">
    <w:p w:rsidR="00D340F0" w:rsidRPr="00525040" w:rsidRDefault="00D340F0" w:rsidP="00E258D2">
      <w:pPr>
        <w:rPr>
          <w:sz w:val="20"/>
          <w:lang w:val="es-ES"/>
        </w:rPr>
      </w:pPr>
      <w:r w:rsidRPr="00525040">
        <w:rPr>
          <w:rStyle w:val="FootnoteReference"/>
          <w:sz w:val="20"/>
          <w:lang w:val="es-ES"/>
        </w:rPr>
        <w:footnoteRef/>
      </w:r>
      <w:r w:rsidRPr="00525040">
        <w:rPr>
          <w:sz w:val="20"/>
          <w:lang w:val="es-ES"/>
        </w:rPr>
        <w:t xml:space="preserve"> Organización Mundial de la Salud, Notas descriptivas, Discapacidad y salud (noviembre de 2016), </w:t>
      </w:r>
      <w:hyperlink r:id="rId1" w:history="1">
        <w:r w:rsidRPr="00525040">
          <w:rPr>
            <w:rStyle w:val="Hyperlink"/>
            <w:sz w:val="20"/>
            <w:lang w:val="es-ES"/>
          </w:rPr>
          <w:t>http://www.who.int/mediacentre/factsheets/fs352/es/</w:t>
        </w:r>
      </w:hyperlink>
      <w:r w:rsidRPr="00525040">
        <w:rPr>
          <w:sz w:val="20"/>
          <w:lang w:val="es-ES"/>
        </w:rPr>
        <w:t>.</w:t>
      </w:r>
    </w:p>
  </w:footnote>
  <w:footnote w:id="6">
    <w:p w:rsidR="00D340F0" w:rsidRPr="00525040" w:rsidRDefault="00D340F0" w:rsidP="00E258D2">
      <w:pPr>
        <w:pStyle w:val="FootnoteText"/>
        <w:rPr>
          <w:i/>
          <w:sz w:val="20"/>
          <w:lang w:val="es-ES"/>
        </w:rPr>
      </w:pPr>
      <w:r w:rsidRPr="00525040">
        <w:rPr>
          <w:rStyle w:val="FootnoteReference"/>
          <w:sz w:val="20"/>
          <w:lang w:val="es-ES"/>
        </w:rPr>
        <w:footnoteRef/>
      </w:r>
      <w:r w:rsidRPr="00525040">
        <w:rPr>
          <w:sz w:val="20"/>
          <w:lang w:val="es-ES"/>
        </w:rPr>
        <w:t xml:space="preserve"> </w:t>
      </w:r>
      <w:r w:rsidRPr="00525040">
        <w:rPr>
          <w:i/>
          <w:sz w:val="20"/>
          <w:lang w:val="es-ES"/>
        </w:rPr>
        <w:t>Id.</w:t>
      </w:r>
    </w:p>
  </w:footnote>
  <w:footnote w:id="7">
    <w:p w:rsidR="00D340F0" w:rsidRPr="00525040" w:rsidRDefault="00D340F0" w:rsidP="00E258D2">
      <w:pPr>
        <w:pStyle w:val="FootnoteText"/>
        <w:rPr>
          <w:i/>
          <w:sz w:val="20"/>
          <w:lang w:val="es-ES"/>
        </w:rPr>
      </w:pPr>
      <w:r w:rsidRPr="00525040">
        <w:rPr>
          <w:rStyle w:val="FootnoteReference"/>
          <w:sz w:val="20"/>
          <w:lang w:val="es-ES"/>
        </w:rPr>
        <w:footnoteRef/>
      </w:r>
      <w:r w:rsidRPr="00525040">
        <w:rPr>
          <w:sz w:val="20"/>
          <w:lang w:val="es-ES"/>
        </w:rPr>
        <w:t xml:space="preserve"> </w:t>
      </w:r>
      <w:r w:rsidRPr="00525040">
        <w:rPr>
          <w:i/>
          <w:sz w:val="20"/>
          <w:lang w:val="es-ES"/>
        </w:rPr>
        <w:t>Id.</w:t>
      </w:r>
    </w:p>
  </w:footnote>
  <w:footnote w:id="8">
    <w:p w:rsidR="00D340F0" w:rsidRPr="00525040" w:rsidRDefault="00D340F0" w:rsidP="009902B7">
      <w:pPr>
        <w:rPr>
          <w:sz w:val="20"/>
          <w:lang w:val="es-ES"/>
        </w:rPr>
      </w:pPr>
      <w:r w:rsidRPr="00525040">
        <w:rPr>
          <w:rStyle w:val="FootnoteReference"/>
          <w:sz w:val="20"/>
          <w:lang w:val="es-ES"/>
        </w:rPr>
        <w:footnoteRef/>
      </w:r>
      <w:r w:rsidRPr="00525040">
        <w:rPr>
          <w:sz w:val="20"/>
          <w:lang w:val="es-ES"/>
        </w:rPr>
        <w:t xml:space="preserve"> Convención sobre los Derechos de las Personas con Discapacidad, nota 1, preámbulo.</w:t>
      </w:r>
    </w:p>
  </w:footnote>
  <w:footnote w:id="9">
    <w:p w:rsidR="00D340F0" w:rsidRPr="007A2AF5" w:rsidRDefault="00D340F0" w:rsidP="00A46487">
      <w:pPr>
        <w:rPr>
          <w:sz w:val="20"/>
        </w:rPr>
      </w:pPr>
      <w:r w:rsidRPr="00525040">
        <w:rPr>
          <w:rStyle w:val="FootnoteReference"/>
          <w:sz w:val="20"/>
          <w:lang w:val="es-ES"/>
        </w:rPr>
        <w:footnoteRef/>
      </w:r>
      <w:r w:rsidRPr="007A2AF5">
        <w:rPr>
          <w:sz w:val="20"/>
        </w:rPr>
        <w:t xml:space="preserve"> Véase Marit Rasmussen y Oliver Lewis, </w:t>
      </w:r>
      <w:r w:rsidRPr="007A2AF5">
        <w:rPr>
          <w:i/>
          <w:sz w:val="20"/>
        </w:rPr>
        <w:t>Introductory Note to the United Nations Convention on the Rights of Persons with Disabilities</w:t>
      </w:r>
      <w:r w:rsidRPr="007A2AF5">
        <w:rPr>
          <w:sz w:val="20"/>
        </w:rPr>
        <w:t>, 46 I.L.M. 441 (2007).</w:t>
      </w:r>
    </w:p>
  </w:footnote>
  <w:footnote w:id="10">
    <w:p w:rsidR="00D340F0" w:rsidRPr="007A2AF5" w:rsidRDefault="00D340F0" w:rsidP="00A46487">
      <w:pPr>
        <w:pStyle w:val="FootnoteText"/>
        <w:rPr>
          <w:sz w:val="20"/>
        </w:rPr>
      </w:pPr>
      <w:r w:rsidRPr="00525040">
        <w:rPr>
          <w:rStyle w:val="FootnoteReference"/>
          <w:sz w:val="20"/>
          <w:lang w:val="es-ES"/>
        </w:rPr>
        <w:footnoteRef/>
      </w:r>
      <w:r w:rsidRPr="007A2AF5">
        <w:rPr>
          <w:sz w:val="20"/>
        </w:rPr>
        <w:t xml:space="preserve"> </w:t>
      </w:r>
      <w:hyperlink r:id="rId2" w:history="1">
        <w:r w:rsidRPr="007A2AF5">
          <w:rPr>
            <w:rStyle w:val="Hyperlink"/>
            <w:sz w:val="20"/>
          </w:rPr>
          <w:t>https://www.wipo.int/edocs/mdocs/copyright/es/sccr_35/sccr_35_3_rev.pdf</w:t>
        </w:r>
      </w:hyperlink>
      <w:r w:rsidRPr="007A2AF5">
        <w:rPr>
          <w:sz w:val="20"/>
        </w:rPr>
        <w:t>.</w:t>
      </w:r>
    </w:p>
  </w:footnote>
  <w:footnote w:id="11">
    <w:p w:rsidR="00D340F0" w:rsidRPr="00525040" w:rsidRDefault="00D340F0" w:rsidP="00A46487">
      <w:pPr>
        <w:pStyle w:val="FootnoteText"/>
        <w:rPr>
          <w:sz w:val="20"/>
          <w:lang w:val="es-ES"/>
        </w:rPr>
      </w:pPr>
      <w:r w:rsidRPr="00525040">
        <w:rPr>
          <w:sz w:val="20"/>
          <w:vertAlign w:val="superscript"/>
          <w:lang w:val="es-ES"/>
        </w:rPr>
        <w:footnoteRef/>
      </w:r>
      <w:r w:rsidRPr="00525040">
        <w:rPr>
          <w:sz w:val="20"/>
          <w:lang w:val="es-ES"/>
        </w:rPr>
        <w:t xml:space="preserve"> Algunos países pueden considerar que los tratados son de aplicación automática. Véanse las respuestas de los Estados miembros en el cuadro 6 del Apéndice.</w:t>
      </w:r>
    </w:p>
  </w:footnote>
  <w:footnote w:id="12">
    <w:p w:rsidR="00D340F0" w:rsidRPr="00525040" w:rsidRDefault="00D340F0" w:rsidP="00E258D2">
      <w:pPr>
        <w:pStyle w:val="FootnoteText"/>
        <w:rPr>
          <w:sz w:val="20"/>
          <w:lang w:val="es-ES"/>
        </w:rPr>
      </w:pPr>
      <w:r w:rsidRPr="00525040">
        <w:rPr>
          <w:sz w:val="20"/>
          <w:vertAlign w:val="superscript"/>
          <w:lang w:val="es-ES"/>
        </w:rPr>
        <w:footnoteRef/>
      </w:r>
      <w:r w:rsidRPr="00525040">
        <w:rPr>
          <w:sz w:val="20"/>
          <w:lang w:val="es-ES"/>
        </w:rPr>
        <w:t xml:space="preserve"> Judith Sullivan, </w:t>
      </w:r>
      <w:r w:rsidRPr="00D0667B">
        <w:rPr>
          <w:iCs/>
          <w:sz w:val="20"/>
          <w:lang w:val="es-ES"/>
        </w:rPr>
        <w:t>Estudio sobre las limitaciones y excepciones en materia de derecho de autor en favor de las personas con discapacidades visuales,</w:t>
      </w:r>
      <w:r>
        <w:rPr>
          <w:sz w:val="20"/>
          <w:lang w:val="es-ES"/>
        </w:rPr>
        <w:t xml:space="preserve"> 18</w:t>
      </w:r>
      <w:r w:rsidRPr="00525040">
        <w:rPr>
          <w:sz w:val="20"/>
          <w:lang w:val="es-ES"/>
        </w:rPr>
        <w:t xml:space="preserve"> (2006).</w:t>
      </w:r>
    </w:p>
  </w:footnote>
  <w:footnote w:id="13">
    <w:p w:rsidR="00D340F0" w:rsidRPr="007A2AF5" w:rsidRDefault="00D340F0" w:rsidP="00E258D2">
      <w:pPr>
        <w:pStyle w:val="FootnoteText"/>
        <w:rPr>
          <w:sz w:val="20"/>
        </w:rPr>
      </w:pPr>
      <w:r w:rsidRPr="00525040">
        <w:rPr>
          <w:rStyle w:val="FootnoteReference"/>
          <w:sz w:val="20"/>
          <w:lang w:val="es-ES"/>
        </w:rPr>
        <w:footnoteRef/>
      </w:r>
      <w:r w:rsidRPr="007A2AF5">
        <w:rPr>
          <w:sz w:val="20"/>
        </w:rPr>
        <w:t xml:space="preserve"> Tom Smionite, </w:t>
      </w:r>
      <w:r w:rsidRPr="007A2AF5">
        <w:rPr>
          <w:i/>
          <w:sz w:val="20"/>
        </w:rPr>
        <w:t>Machine Learning opens Up New Ways to Help People with Disabilities</w:t>
      </w:r>
      <w:r w:rsidRPr="007A2AF5">
        <w:rPr>
          <w:sz w:val="20"/>
        </w:rPr>
        <w:t>, MIT Technology Review (Mar. 23, 2017), https://www.technologyreview.com/s/603899/machine-learning-opens-up-new-ways-to-help-disabled-people/</w:t>
      </w:r>
    </w:p>
  </w:footnote>
  <w:footnote w:id="14">
    <w:p w:rsidR="00D340F0" w:rsidRPr="007A2AF5" w:rsidRDefault="00D340F0" w:rsidP="00E258D2">
      <w:pPr>
        <w:pStyle w:val="FootnoteText"/>
        <w:rPr>
          <w:i/>
          <w:sz w:val="20"/>
        </w:rPr>
      </w:pPr>
      <w:r w:rsidRPr="00525040">
        <w:rPr>
          <w:rStyle w:val="FootnoteReference"/>
          <w:sz w:val="20"/>
          <w:lang w:val="es-ES"/>
        </w:rPr>
        <w:footnoteRef/>
      </w:r>
      <w:r w:rsidRPr="007A2AF5">
        <w:rPr>
          <w:sz w:val="20"/>
        </w:rPr>
        <w:t xml:space="preserve"> Joe Chidzik, </w:t>
      </w:r>
      <w:r w:rsidRPr="007A2AF5">
        <w:rPr>
          <w:i/>
          <w:sz w:val="20"/>
        </w:rPr>
        <w:t xml:space="preserve">5 Ways AI Could Transform Digital Accessibility, https://www.abilitynet.org.uk/news-blogs/5-ways-ai-could-transform-digital-accessibility </w:t>
      </w:r>
    </w:p>
  </w:footnote>
  <w:footnote w:id="15">
    <w:p w:rsidR="00D340F0" w:rsidRPr="007A2AF5" w:rsidRDefault="00D340F0" w:rsidP="00E258D2">
      <w:pPr>
        <w:pStyle w:val="FootnoteText"/>
        <w:rPr>
          <w:sz w:val="20"/>
        </w:rPr>
      </w:pPr>
      <w:r w:rsidRPr="00525040">
        <w:rPr>
          <w:rStyle w:val="FootnoteReference"/>
          <w:sz w:val="20"/>
          <w:lang w:val="es-ES"/>
        </w:rPr>
        <w:footnoteRef/>
      </w:r>
      <w:r w:rsidRPr="007A2AF5">
        <w:rPr>
          <w:sz w:val="20"/>
        </w:rPr>
        <w:t xml:space="preserve"> </w:t>
      </w:r>
      <w:bookmarkStart w:id="12" w:name="OLE_LINK24"/>
      <w:bookmarkStart w:id="13" w:name="OLE_LINK23"/>
      <w:r w:rsidRPr="007A2AF5">
        <w:rPr>
          <w:sz w:val="20"/>
        </w:rPr>
        <w:t xml:space="preserve">Clayton Lewis, </w:t>
      </w:r>
      <w:r w:rsidRPr="007A2AF5">
        <w:rPr>
          <w:i/>
          <w:sz w:val="20"/>
          <w:lang w:eastAsia="en-US"/>
        </w:rPr>
        <w:t>Implications of Developments in Machine Learning for People with Cognitive Disabilities</w:t>
      </w:r>
      <w:bookmarkEnd w:id="12"/>
      <w:bookmarkEnd w:id="13"/>
      <w:r w:rsidRPr="007A2AF5">
        <w:rPr>
          <w:sz w:val="20"/>
          <w:lang w:eastAsia="en-US"/>
        </w:rPr>
        <w:t xml:space="preserve">, Coleman Institute for Cognitive Disabilities (2 de noviembre de 2018), </w:t>
      </w:r>
      <w:hyperlink r:id="rId3" w:history="1">
        <w:r w:rsidRPr="007A2AF5">
          <w:rPr>
            <w:rStyle w:val="Hyperlink"/>
            <w:sz w:val="20"/>
            <w:lang w:eastAsia="en-US"/>
          </w:rPr>
          <w:t>https://www.colemaninstitute.org/wp-content/uploads/2018/12/white-paper-coleman-version-1.pdf</w:t>
        </w:r>
      </w:hyperlink>
      <w:r w:rsidRPr="007A2AF5">
        <w:rPr>
          <w:sz w:val="20"/>
          <w:lang w:eastAsia="en-US"/>
        </w:rPr>
        <w:t>.</w:t>
      </w:r>
      <w:r w:rsidRPr="007A2AF5">
        <w:rPr>
          <w:rFonts w:ascii="Times New Roman" w:hAnsi="Times New Roman" w:cs="Times New Roman"/>
          <w:sz w:val="20"/>
          <w:lang w:eastAsia="en-US"/>
        </w:rPr>
        <w:t xml:space="preserve"> </w:t>
      </w:r>
    </w:p>
  </w:footnote>
  <w:footnote w:id="16">
    <w:p w:rsidR="00D340F0" w:rsidRPr="00525040" w:rsidRDefault="00D340F0" w:rsidP="00E258D2">
      <w:pPr>
        <w:pStyle w:val="FootnoteText"/>
        <w:rPr>
          <w:sz w:val="20"/>
          <w:lang w:val="es-ES"/>
        </w:rPr>
      </w:pPr>
      <w:r w:rsidRPr="00525040">
        <w:rPr>
          <w:rStyle w:val="FootnoteReference"/>
          <w:sz w:val="20"/>
          <w:lang w:val="es-ES"/>
        </w:rPr>
        <w:footnoteRef/>
      </w:r>
      <w:r w:rsidRPr="00525040">
        <w:rPr>
          <w:sz w:val="20"/>
          <w:lang w:val="es-ES"/>
        </w:rPr>
        <w:t xml:space="preserve"> Id. </w:t>
      </w:r>
    </w:p>
  </w:footnote>
  <w:footnote w:id="17">
    <w:p w:rsidR="00D340F0" w:rsidRPr="00525040" w:rsidRDefault="00D340F0" w:rsidP="00C50D48">
      <w:pPr>
        <w:pStyle w:val="FootnoteText"/>
        <w:rPr>
          <w:sz w:val="20"/>
          <w:lang w:val="es-ES"/>
        </w:rPr>
      </w:pPr>
      <w:r w:rsidRPr="00525040">
        <w:rPr>
          <w:rStyle w:val="FootnoteReference"/>
          <w:sz w:val="20"/>
          <w:lang w:val="es-ES"/>
        </w:rPr>
        <w:footnoteRef/>
      </w:r>
      <w:r w:rsidRPr="00525040">
        <w:rPr>
          <w:sz w:val="20"/>
          <w:lang w:val="es-ES"/>
        </w:rPr>
        <w:t xml:space="preserve"> Ley de Derecho de Autor de 1968 (consolidada al 1 de enero de 2019) disponible en https://wipolex.wipo.int/es/text/501166</w:t>
      </w:r>
    </w:p>
  </w:footnote>
  <w:footnote w:id="18">
    <w:p w:rsidR="00D340F0" w:rsidRPr="00525040" w:rsidRDefault="00D340F0" w:rsidP="00C50D48">
      <w:pPr>
        <w:pStyle w:val="FootnoteText"/>
        <w:rPr>
          <w:sz w:val="20"/>
          <w:lang w:val="es-ES"/>
        </w:rPr>
      </w:pPr>
      <w:r w:rsidRPr="00525040">
        <w:rPr>
          <w:rStyle w:val="FootnoteReference"/>
          <w:sz w:val="20"/>
          <w:lang w:val="es-ES"/>
        </w:rPr>
        <w:footnoteRef/>
      </w:r>
      <w:r w:rsidRPr="00525040">
        <w:rPr>
          <w:sz w:val="20"/>
          <w:lang w:val="es-ES"/>
        </w:rPr>
        <w:t xml:space="preserve"> Ley de la República de Armenia, de 15 de junio de 2006, de Derecho de Autor y Derechos Conexos (modificada el 30 de septiembre de 2013), disponible en http://www.wipo.int/wipolex/es/text.jsp?file_id=490086</w:t>
      </w:r>
    </w:p>
  </w:footnote>
  <w:footnote w:id="19">
    <w:p w:rsidR="00D340F0" w:rsidRPr="007A2AF5" w:rsidRDefault="00D340F0" w:rsidP="00C50D48">
      <w:pPr>
        <w:pStyle w:val="FootnoteText"/>
        <w:rPr>
          <w:sz w:val="20"/>
        </w:rPr>
      </w:pPr>
      <w:r w:rsidRPr="00525040">
        <w:rPr>
          <w:rStyle w:val="FootnoteReference"/>
          <w:sz w:val="20"/>
          <w:lang w:val="es-ES"/>
        </w:rPr>
        <w:footnoteRef/>
      </w:r>
      <w:r w:rsidRPr="00525040">
        <w:rPr>
          <w:sz w:val="20"/>
          <w:lang w:val="es-ES"/>
        </w:rPr>
        <w:t xml:space="preserve"> Título 17 del Código de los EE. UU. </w:t>
      </w:r>
      <w:r w:rsidRPr="007A2AF5">
        <w:rPr>
          <w:sz w:val="20"/>
        </w:rPr>
        <w:t>(U.S.C.) § 107.</w:t>
      </w:r>
    </w:p>
  </w:footnote>
  <w:footnote w:id="20">
    <w:p w:rsidR="00D340F0" w:rsidRPr="007A2AF5" w:rsidRDefault="00D340F0" w:rsidP="00C50D48">
      <w:pPr>
        <w:pStyle w:val="FootnoteText"/>
        <w:rPr>
          <w:sz w:val="20"/>
        </w:rPr>
      </w:pPr>
      <w:r w:rsidRPr="00525040">
        <w:rPr>
          <w:rStyle w:val="FootnoteReference"/>
          <w:sz w:val="20"/>
          <w:lang w:val="es-ES"/>
        </w:rPr>
        <w:footnoteRef/>
      </w:r>
      <w:r w:rsidRPr="007A2AF5">
        <w:rPr>
          <w:sz w:val="20"/>
        </w:rPr>
        <w:t xml:space="preserve"> </w:t>
      </w:r>
      <w:r w:rsidRPr="007A2AF5">
        <w:rPr>
          <w:i/>
          <w:sz w:val="20"/>
        </w:rPr>
        <w:t>Golan c. Holder</w:t>
      </w:r>
      <w:r w:rsidRPr="007A2AF5">
        <w:rPr>
          <w:sz w:val="20"/>
        </w:rPr>
        <w:t xml:space="preserve">, 565 U.S. 302, 328 (2012) (al citar </w:t>
      </w:r>
      <w:r w:rsidRPr="007A2AF5">
        <w:rPr>
          <w:i/>
          <w:sz w:val="20"/>
        </w:rPr>
        <w:t>Eldred c. Ashcroft</w:t>
      </w:r>
      <w:r w:rsidRPr="007A2AF5">
        <w:rPr>
          <w:sz w:val="20"/>
        </w:rPr>
        <w:t>, 537 U.S. 186, 219 (2003)).</w:t>
      </w:r>
    </w:p>
  </w:footnote>
  <w:footnote w:id="21">
    <w:p w:rsidR="00D340F0" w:rsidRPr="00525040" w:rsidRDefault="00D340F0" w:rsidP="00307581">
      <w:pPr>
        <w:pStyle w:val="FootnoteText"/>
        <w:rPr>
          <w:sz w:val="20"/>
          <w:highlight w:val="yellow"/>
          <w:lang w:val="es-ES"/>
        </w:rPr>
      </w:pPr>
      <w:r w:rsidRPr="00525040">
        <w:rPr>
          <w:rStyle w:val="FootnoteReference"/>
          <w:sz w:val="20"/>
          <w:lang w:val="es-ES"/>
        </w:rPr>
        <w:footnoteRef/>
      </w:r>
      <w:r w:rsidRPr="00525040">
        <w:rPr>
          <w:sz w:val="20"/>
          <w:lang w:val="es-ES"/>
        </w:rPr>
        <w:t xml:space="preserve"> </w:t>
      </w:r>
      <w:r w:rsidRPr="00525040">
        <w:rPr>
          <w:i/>
          <w:sz w:val="20"/>
          <w:lang w:val="es-ES"/>
        </w:rPr>
        <w:t>HathiTrust</w:t>
      </w:r>
      <w:r w:rsidRPr="00525040">
        <w:rPr>
          <w:sz w:val="20"/>
          <w:lang w:val="es-ES"/>
        </w:rPr>
        <w:t>, 755 F.3d, 101-03.</w:t>
      </w:r>
    </w:p>
  </w:footnote>
  <w:footnote w:id="22">
    <w:p w:rsidR="00D340F0" w:rsidRPr="00525040" w:rsidRDefault="00D340F0" w:rsidP="00307581">
      <w:pPr>
        <w:pStyle w:val="FootnoteText"/>
        <w:rPr>
          <w:sz w:val="20"/>
          <w:lang w:val="es-ES"/>
        </w:rPr>
      </w:pPr>
      <w:r w:rsidRPr="00525040">
        <w:rPr>
          <w:rStyle w:val="FootnoteReference"/>
          <w:sz w:val="20"/>
          <w:lang w:val="es-ES"/>
        </w:rPr>
        <w:footnoteRef/>
      </w:r>
      <w:r w:rsidRPr="00525040">
        <w:rPr>
          <w:sz w:val="20"/>
          <w:lang w:val="es-ES"/>
        </w:rPr>
        <w:t xml:space="preserve"> Título 17 del U.S.C. §§ 121, 121A.</w:t>
      </w:r>
    </w:p>
  </w:footnote>
  <w:footnote w:id="23">
    <w:p w:rsidR="00D340F0" w:rsidRPr="00525040" w:rsidRDefault="00D340F0" w:rsidP="00307581">
      <w:pPr>
        <w:pStyle w:val="FootnoteText"/>
        <w:rPr>
          <w:sz w:val="20"/>
          <w:lang w:val="es-ES"/>
        </w:rPr>
      </w:pPr>
      <w:r w:rsidRPr="00525040">
        <w:rPr>
          <w:rStyle w:val="FootnoteReference"/>
          <w:sz w:val="20"/>
          <w:lang w:val="es-ES"/>
        </w:rPr>
        <w:footnoteRef/>
      </w:r>
      <w:r w:rsidRPr="00525040">
        <w:rPr>
          <w:sz w:val="20"/>
          <w:lang w:val="es-ES"/>
        </w:rPr>
        <w:t xml:space="preserve"> </w:t>
      </w:r>
      <w:r>
        <w:rPr>
          <w:sz w:val="20"/>
          <w:lang w:val="es-ES"/>
        </w:rPr>
        <w:t xml:space="preserve">Ley pública N.º </w:t>
      </w:r>
      <w:r w:rsidRPr="00525040">
        <w:rPr>
          <w:sz w:val="20"/>
          <w:lang w:val="es-ES"/>
        </w:rPr>
        <w:t xml:space="preserve">104–197, </w:t>
      </w:r>
      <w:r>
        <w:rPr>
          <w:sz w:val="20"/>
          <w:lang w:val="es-ES"/>
        </w:rPr>
        <w:t xml:space="preserve">Vol. </w:t>
      </w:r>
      <w:r w:rsidRPr="004D096B">
        <w:rPr>
          <w:sz w:val="20"/>
          <w:lang w:val="es-ES"/>
        </w:rPr>
        <w:t>110</w:t>
      </w:r>
      <w:r>
        <w:rPr>
          <w:sz w:val="20"/>
          <w:lang w:val="es-ES"/>
        </w:rPr>
        <w:t>, pág.</w:t>
      </w:r>
      <w:r w:rsidRPr="004D096B">
        <w:rPr>
          <w:sz w:val="20"/>
          <w:lang w:val="es-ES"/>
        </w:rPr>
        <w:t xml:space="preserve"> 2394</w:t>
      </w:r>
      <w:r w:rsidRPr="00525040">
        <w:rPr>
          <w:sz w:val="20"/>
          <w:lang w:val="es-ES"/>
        </w:rPr>
        <w:t xml:space="preserve"> (16 de septiembre de 1996).</w:t>
      </w:r>
    </w:p>
  </w:footnote>
  <w:footnote w:id="24">
    <w:p w:rsidR="00D340F0" w:rsidRPr="00525040" w:rsidRDefault="00D340F0" w:rsidP="00307581">
      <w:pPr>
        <w:pStyle w:val="FootnoteText"/>
        <w:rPr>
          <w:sz w:val="20"/>
          <w:lang w:val="es-ES"/>
        </w:rPr>
      </w:pPr>
      <w:r w:rsidRPr="00525040">
        <w:rPr>
          <w:rStyle w:val="FootnoteReference"/>
          <w:sz w:val="20"/>
          <w:lang w:val="es-ES"/>
        </w:rPr>
        <w:footnoteRef/>
      </w:r>
      <w:r w:rsidRPr="00525040">
        <w:rPr>
          <w:sz w:val="20"/>
          <w:lang w:val="es-ES"/>
        </w:rPr>
        <w:t xml:space="preserve"> </w:t>
      </w:r>
      <w:r w:rsidRPr="00525040">
        <w:rPr>
          <w:i/>
          <w:sz w:val="20"/>
          <w:lang w:val="es-ES"/>
        </w:rPr>
        <w:t>Marrakesh Treaty Implementation Act</w:t>
      </w:r>
      <w:r>
        <w:rPr>
          <w:sz w:val="20"/>
          <w:lang w:val="es-ES"/>
        </w:rPr>
        <w:t>, Ley pública N.º</w:t>
      </w:r>
      <w:r w:rsidRPr="00525040">
        <w:rPr>
          <w:sz w:val="20"/>
          <w:lang w:val="es-ES"/>
        </w:rPr>
        <w:t xml:space="preserve"> 115-261, </w:t>
      </w:r>
      <w:r>
        <w:rPr>
          <w:sz w:val="20"/>
          <w:lang w:val="es-ES"/>
        </w:rPr>
        <w:t xml:space="preserve">Vol. </w:t>
      </w:r>
      <w:r w:rsidRPr="004D096B">
        <w:rPr>
          <w:sz w:val="20"/>
          <w:lang w:val="es-ES"/>
        </w:rPr>
        <w:t>132</w:t>
      </w:r>
      <w:r>
        <w:rPr>
          <w:sz w:val="20"/>
          <w:lang w:val="es-ES"/>
        </w:rPr>
        <w:t>, pág</w:t>
      </w:r>
      <w:r w:rsidRPr="004D096B">
        <w:rPr>
          <w:sz w:val="20"/>
          <w:lang w:val="es-ES"/>
        </w:rPr>
        <w:t>. 3667</w:t>
      </w:r>
      <w:r w:rsidRPr="00525040">
        <w:rPr>
          <w:sz w:val="20"/>
          <w:lang w:val="es-ES"/>
        </w:rPr>
        <w:t xml:space="preserve"> (9 de octubre de 2018).</w:t>
      </w:r>
    </w:p>
  </w:footnote>
  <w:footnote w:id="25">
    <w:p w:rsidR="00D340F0" w:rsidRPr="00525040" w:rsidRDefault="00D340F0" w:rsidP="00307581">
      <w:pPr>
        <w:pStyle w:val="FootnoteText"/>
        <w:rPr>
          <w:sz w:val="20"/>
          <w:lang w:val="es-ES"/>
        </w:rPr>
      </w:pPr>
      <w:r w:rsidRPr="00525040">
        <w:rPr>
          <w:rStyle w:val="FootnoteReference"/>
          <w:sz w:val="20"/>
          <w:lang w:val="es-ES"/>
        </w:rPr>
        <w:footnoteRef/>
      </w:r>
      <w:r w:rsidRPr="00525040">
        <w:rPr>
          <w:sz w:val="20"/>
          <w:lang w:val="es-ES"/>
        </w:rPr>
        <w:t xml:space="preserve"> Ley de Derecho de Autor, 2007 (modificada el 28 de julio de 2011) disponible en https://wipolex.wipo.int/es/text/495410 y modificada por la Ley para facilitar el acceso de las personas con discapacidad a las obras, interpretaciones o ejecuciones y emisiones (modificaciones de la ley), 2014, disponible en http://www.wipo.int/edocs/lexdocs/laws/es/il/il035en.pdf</w:t>
      </w:r>
      <w:r w:rsidRPr="00525040">
        <w:rPr>
          <w:sz w:val="20"/>
          <w:highlight w:val="yellow"/>
          <w:lang w:val="es-ES"/>
        </w:rPr>
        <w:t xml:space="preserve"> </w:t>
      </w:r>
    </w:p>
  </w:footnote>
  <w:footnote w:id="26">
    <w:p w:rsidR="00D340F0" w:rsidRPr="00525040" w:rsidRDefault="00D340F0" w:rsidP="00E258D2">
      <w:pPr>
        <w:pStyle w:val="FootnoteText"/>
        <w:rPr>
          <w:sz w:val="20"/>
          <w:lang w:val="es-ES"/>
        </w:rPr>
      </w:pPr>
      <w:r w:rsidRPr="00525040">
        <w:rPr>
          <w:rStyle w:val="FootnoteReference"/>
          <w:sz w:val="20"/>
          <w:lang w:val="es-ES"/>
        </w:rPr>
        <w:footnoteRef/>
      </w:r>
      <w:r w:rsidRPr="00525040">
        <w:rPr>
          <w:sz w:val="20"/>
          <w:lang w:val="es-ES"/>
        </w:rPr>
        <w:t xml:space="preserve"> Artículo 36 de la Ley de la Argentina N.º 11.723 de 28 de septiembre de 1933, </w:t>
      </w:r>
      <w:r w:rsidRPr="00525040">
        <w:rPr>
          <w:bCs/>
          <w:sz w:val="20"/>
          <w:lang w:val="es-ES"/>
        </w:rPr>
        <w:t>sobre el Régimen Legal de la Propiedad Intelectual (Ley sobre el Derecho de Autor, modificada hasta la Ley N° 26.570 de 25 de noviembre de 2009)</w:t>
      </w:r>
      <w:r w:rsidRPr="00525040">
        <w:rPr>
          <w:sz w:val="20"/>
          <w:lang w:val="es-ES"/>
        </w:rPr>
        <w:t>.</w:t>
      </w:r>
    </w:p>
  </w:footnote>
  <w:footnote w:id="27">
    <w:p w:rsidR="00D340F0" w:rsidRPr="00525040" w:rsidRDefault="00D340F0" w:rsidP="00E258D2">
      <w:pPr>
        <w:pStyle w:val="FootnoteText"/>
        <w:rPr>
          <w:sz w:val="20"/>
          <w:lang w:val="es-ES"/>
        </w:rPr>
      </w:pPr>
      <w:r w:rsidRPr="00525040">
        <w:rPr>
          <w:rStyle w:val="FootnoteReference"/>
          <w:sz w:val="20"/>
          <w:lang w:val="es-ES"/>
        </w:rPr>
        <w:footnoteRef/>
      </w:r>
      <w:r w:rsidRPr="00525040">
        <w:rPr>
          <w:sz w:val="20"/>
          <w:lang w:val="es-ES"/>
        </w:rPr>
        <w:t xml:space="preserve"> Artículo 22 de la Ley de la República de Armenia de 15 de junio de 2006, sobre Derecho de Autor y Derechos Conexos (modificada el 30 de septiembre de 2013), disponible en</w:t>
      </w:r>
      <w:r w:rsidRPr="00525040">
        <w:rPr>
          <w:i/>
          <w:sz w:val="20"/>
          <w:lang w:val="es-ES"/>
        </w:rPr>
        <w:t xml:space="preserve"> </w:t>
      </w:r>
      <w:hyperlink r:id="rId4" w:history="1">
        <w:r w:rsidRPr="00525040">
          <w:rPr>
            <w:rStyle w:val="Hyperlink"/>
            <w:sz w:val="20"/>
            <w:lang w:val="es-ES"/>
          </w:rPr>
          <w:t>http://www.wipo.int/wipolex/es/text.jsp?file_id=490086</w:t>
        </w:r>
      </w:hyperlink>
      <w:r w:rsidRPr="00525040">
        <w:rPr>
          <w:sz w:val="20"/>
          <w:lang w:val="es-ES"/>
        </w:rPr>
        <w:t>. En este artículo se contempla el uso libre de material para las personas ciegas.</w:t>
      </w:r>
    </w:p>
  </w:footnote>
  <w:footnote w:id="28">
    <w:p w:rsidR="00D340F0" w:rsidRPr="00525040" w:rsidRDefault="00D340F0" w:rsidP="00695775">
      <w:pPr>
        <w:pStyle w:val="FootnoteText"/>
        <w:rPr>
          <w:sz w:val="20"/>
          <w:lang w:val="es-ES"/>
        </w:rPr>
      </w:pPr>
      <w:r w:rsidRPr="00525040">
        <w:rPr>
          <w:rStyle w:val="FootnoteReference"/>
          <w:sz w:val="20"/>
          <w:lang w:val="es-ES"/>
        </w:rPr>
        <w:footnoteRef/>
      </w:r>
      <w:r w:rsidRPr="00525040">
        <w:rPr>
          <w:sz w:val="20"/>
          <w:lang w:val="es-ES"/>
        </w:rPr>
        <w:t xml:space="preserve"> Artículo 52.1)zb) (creación de formatos accesibles en beneficio de las personas con discapacidad para uso personal o privado y con fines educativos o de investigación) y</w:t>
      </w:r>
      <w:r>
        <w:rPr>
          <w:sz w:val="20"/>
          <w:lang w:val="es-ES"/>
        </w:rPr>
        <w:t xml:space="preserve"> el artículo </w:t>
      </w:r>
      <w:r w:rsidRPr="00525040">
        <w:rPr>
          <w:sz w:val="20"/>
          <w:lang w:val="es-ES"/>
        </w:rPr>
        <w:t>31B (licencias obligatorias para crear y distribuir obras en formatos accesibles con cualquier otro propósito o con fines comerciales).</w:t>
      </w:r>
    </w:p>
  </w:footnote>
  <w:footnote w:id="29">
    <w:p w:rsidR="00D340F0" w:rsidRPr="00525040" w:rsidRDefault="00D340F0" w:rsidP="00E258D2">
      <w:pPr>
        <w:pStyle w:val="FootnoteText"/>
        <w:rPr>
          <w:sz w:val="20"/>
          <w:lang w:val="es-ES"/>
        </w:rPr>
      </w:pPr>
      <w:r w:rsidRPr="00525040">
        <w:rPr>
          <w:rStyle w:val="FootnoteReference"/>
          <w:sz w:val="20"/>
          <w:lang w:val="es-ES"/>
        </w:rPr>
        <w:footnoteRef/>
      </w:r>
      <w:r w:rsidRPr="00525040">
        <w:rPr>
          <w:sz w:val="20"/>
          <w:lang w:val="es-ES"/>
        </w:rPr>
        <w:t xml:space="preserve"> Artículo 28.A-E Ley de Derecho de Autor de Israel, que se introdujo en las modificaciones de 2014 (Ley para facilitar el acceso de las personas con discapacidad a las obras, interpretaciones o ejecuciones y emisiones (modificaciones de la ley), 2014, el Tratado de Marrakech, la decisión del Tribunal Supremo de Israel en </w:t>
      </w:r>
      <w:r w:rsidRPr="00525040">
        <w:rPr>
          <w:rFonts w:eastAsia="Times New Roman"/>
          <w:sz w:val="20"/>
          <w:lang w:val="es-ES" w:eastAsia="en-US"/>
        </w:rPr>
        <w:t xml:space="preserve">HCJ 8536/11 </w:t>
      </w:r>
      <w:r w:rsidRPr="00525040">
        <w:rPr>
          <w:rFonts w:eastAsia="Times New Roman"/>
          <w:i/>
          <w:sz w:val="20"/>
          <w:lang w:val="es-ES" w:eastAsia="en-US"/>
        </w:rPr>
        <w:t>Bizchut – The Israel Human Rights Centre c. Ministry of Education</w:t>
      </w:r>
      <w:r w:rsidRPr="00525040">
        <w:rPr>
          <w:rFonts w:eastAsia="Times New Roman"/>
          <w:sz w:val="20"/>
          <w:lang w:val="es-ES" w:eastAsia="en-US"/>
        </w:rPr>
        <w:t xml:space="preserve"> (19 de diciembre de 2013) y la Ley de Igualdad de Derechos de las Personas con Discapacidad de 1998.</w:t>
      </w:r>
    </w:p>
  </w:footnote>
  <w:footnote w:id="30">
    <w:p w:rsidR="00D340F0" w:rsidRPr="007A2AF5" w:rsidRDefault="00D340F0" w:rsidP="00E258D2">
      <w:pPr>
        <w:pStyle w:val="FootnoteText"/>
        <w:rPr>
          <w:sz w:val="20"/>
        </w:rPr>
      </w:pPr>
      <w:r w:rsidRPr="00525040">
        <w:rPr>
          <w:sz w:val="20"/>
          <w:vertAlign w:val="superscript"/>
          <w:lang w:val="es-ES"/>
        </w:rPr>
        <w:footnoteRef/>
      </w:r>
      <w:r w:rsidRPr="007A2AF5">
        <w:rPr>
          <w:sz w:val="20"/>
        </w:rPr>
        <w:t xml:space="preserve"> </w:t>
      </w:r>
      <w:r w:rsidRPr="007A2AF5">
        <w:rPr>
          <w:i/>
          <w:sz w:val="20"/>
        </w:rPr>
        <w:t>Sony c. Universal City Studios</w:t>
      </w:r>
      <w:r w:rsidRPr="007A2AF5">
        <w:rPr>
          <w:sz w:val="20"/>
        </w:rPr>
        <w:t xml:space="preserve">, </w:t>
      </w:r>
      <w:bookmarkStart w:id="22" w:name="OLE_LINK8"/>
      <w:bookmarkStart w:id="23" w:name="OLE_LINK7"/>
      <w:r w:rsidRPr="007A2AF5">
        <w:rPr>
          <w:sz w:val="20"/>
        </w:rPr>
        <w:t>464 U.S. 417</w:t>
      </w:r>
      <w:bookmarkEnd w:id="22"/>
      <w:bookmarkEnd w:id="23"/>
      <w:r w:rsidRPr="007A2AF5">
        <w:rPr>
          <w:sz w:val="20"/>
        </w:rPr>
        <w:t xml:space="preserve"> (1984). </w:t>
      </w:r>
    </w:p>
  </w:footnote>
  <w:footnote w:id="31">
    <w:p w:rsidR="00D340F0" w:rsidRPr="00525040" w:rsidRDefault="00D340F0" w:rsidP="000B2FE3">
      <w:pPr>
        <w:pStyle w:val="FootnoteText"/>
        <w:rPr>
          <w:sz w:val="20"/>
          <w:lang w:val="es-ES"/>
        </w:rPr>
      </w:pPr>
      <w:r w:rsidRPr="00525040">
        <w:rPr>
          <w:rStyle w:val="FootnoteReference"/>
          <w:sz w:val="20"/>
          <w:lang w:val="es-ES"/>
        </w:rPr>
        <w:footnoteRef/>
      </w:r>
      <w:r w:rsidRPr="00525040">
        <w:rPr>
          <w:sz w:val="20"/>
          <w:lang w:val="es-ES"/>
        </w:rPr>
        <w:t xml:space="preserve"> </w:t>
      </w:r>
      <w:r w:rsidRPr="00525040">
        <w:rPr>
          <w:i/>
          <w:sz w:val="20"/>
          <w:lang w:val="es-ES"/>
        </w:rPr>
        <w:t>HathiTrust</w:t>
      </w:r>
      <w:r w:rsidRPr="00525040">
        <w:rPr>
          <w:sz w:val="20"/>
          <w:lang w:val="es-ES"/>
        </w:rPr>
        <w:t xml:space="preserve">, </w:t>
      </w:r>
      <w:bookmarkStart w:id="24" w:name="OLE_LINK2"/>
      <w:bookmarkStart w:id="25" w:name="OLE_LINK1"/>
      <w:bookmarkStart w:id="26" w:name="OLE_LINK12"/>
      <w:bookmarkStart w:id="27" w:name="OLE_LINK11"/>
      <w:r w:rsidRPr="00525040">
        <w:rPr>
          <w:sz w:val="20"/>
          <w:lang w:val="es-ES"/>
        </w:rPr>
        <w:t xml:space="preserve">755 F.3d </w:t>
      </w:r>
      <w:bookmarkEnd w:id="24"/>
      <w:bookmarkEnd w:id="25"/>
      <w:r w:rsidRPr="00525040">
        <w:rPr>
          <w:sz w:val="20"/>
          <w:lang w:val="es-ES"/>
        </w:rPr>
        <w:t>en 101-03</w:t>
      </w:r>
      <w:bookmarkEnd w:id="26"/>
      <w:bookmarkEnd w:id="27"/>
      <w:r w:rsidRPr="00525040">
        <w:rPr>
          <w:sz w:val="20"/>
          <w:lang w:val="es-ES"/>
        </w:rPr>
        <w:t>.</w:t>
      </w:r>
    </w:p>
  </w:footnote>
  <w:footnote w:id="32">
    <w:p w:rsidR="00D340F0" w:rsidRPr="00525040" w:rsidRDefault="00D340F0" w:rsidP="000B2FE3">
      <w:pPr>
        <w:pStyle w:val="FootnoteText"/>
        <w:rPr>
          <w:noProof/>
          <w:color w:val="000000"/>
          <w:sz w:val="20"/>
          <w:lang w:val="es-ES"/>
        </w:rPr>
      </w:pPr>
      <w:r w:rsidRPr="00525040">
        <w:rPr>
          <w:rStyle w:val="FootnoteReference"/>
          <w:sz w:val="20"/>
          <w:lang w:val="es-ES"/>
        </w:rPr>
        <w:footnoteRef/>
      </w:r>
      <w:r w:rsidRPr="00525040">
        <w:rPr>
          <w:sz w:val="20"/>
          <w:lang w:val="es-ES"/>
        </w:rPr>
        <w:t xml:space="preserve"> Ley de Derecho de Autor</w:t>
      </w:r>
      <w:r w:rsidRPr="00525040">
        <w:rPr>
          <w:noProof/>
          <w:color w:val="000000"/>
          <w:sz w:val="20"/>
          <w:lang w:val="es-ES"/>
        </w:rPr>
        <w:t xml:space="preserve">, 2007 (modificada el 28 de julio de 2011) disponible en </w:t>
      </w:r>
      <w:hyperlink r:id="rId5" w:history="1">
        <w:r w:rsidRPr="00525040">
          <w:rPr>
            <w:rStyle w:val="Hyperlink"/>
            <w:noProof/>
            <w:sz w:val="20"/>
            <w:lang w:val="es-ES"/>
          </w:rPr>
          <w:t>https://wipolex.wipo.int/es/text/495410</w:t>
        </w:r>
      </w:hyperlink>
      <w:r w:rsidRPr="00525040">
        <w:rPr>
          <w:noProof/>
          <w:color w:val="000000"/>
          <w:sz w:val="20"/>
          <w:lang w:val="es-ES"/>
        </w:rPr>
        <w:t xml:space="preserve"> y modificada por la </w:t>
      </w:r>
      <w:r w:rsidRPr="00525040">
        <w:rPr>
          <w:sz w:val="20"/>
          <w:lang w:val="es-ES"/>
        </w:rPr>
        <w:t xml:space="preserve">Ley para facilitar el acceso de las personas con discapacidad a las obras, interpretaciones o ejecuciones y emisiones (modificaciones de la ley), 2014, disponible en </w:t>
      </w:r>
      <w:hyperlink r:id="rId6" w:history="1">
        <w:r w:rsidRPr="00525040">
          <w:rPr>
            <w:rStyle w:val="Hyperlink"/>
            <w:noProof/>
            <w:sz w:val="20"/>
            <w:lang w:val="es-ES"/>
          </w:rPr>
          <w:t>http://www.wipo.int/edocs/lexdocs/laws/es/il/il035en.pdf</w:t>
        </w:r>
      </w:hyperlink>
      <w:r w:rsidRPr="00525040">
        <w:rPr>
          <w:rStyle w:val="Hyperlink"/>
          <w:noProof/>
          <w:sz w:val="20"/>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0F0" w:rsidRDefault="00D340F0" w:rsidP="00640002">
    <w:pPr>
      <w:pStyle w:val="Header"/>
      <w:jc w:val="right"/>
    </w:pPr>
    <w:r>
      <w:t>SCCR/38/3</w:t>
    </w:r>
  </w:p>
  <w:p w:rsidR="00D340F0" w:rsidRDefault="00D340F0" w:rsidP="00640002">
    <w:pPr>
      <w:pStyle w:val="Header"/>
      <w:jc w:val="right"/>
    </w:pPr>
    <w:r>
      <w:t xml:space="preserve">página </w:t>
    </w:r>
    <w:r>
      <w:fldChar w:fldCharType="begin"/>
    </w:r>
    <w:r>
      <w:instrText xml:space="preserve"> PAGE   \* MERGEFORMAT </w:instrText>
    </w:r>
    <w:r>
      <w:fldChar w:fldCharType="separate"/>
    </w:r>
    <w:r w:rsidR="00C00EEA">
      <w:rPr>
        <w:noProof/>
      </w:rPr>
      <w:t>9</w:t>
    </w:r>
    <w:r>
      <w:rPr>
        <w:noProof/>
      </w:rPr>
      <w:fldChar w:fldCharType="end"/>
    </w:r>
  </w:p>
  <w:p w:rsidR="00D340F0" w:rsidRDefault="00D34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0F0" w:rsidRDefault="00D340F0" w:rsidP="00E44146">
    <w:pPr>
      <w:jc w:val="right"/>
    </w:pPr>
    <w:r>
      <w:rPr>
        <w:lang w:val="es-ES_tradnl"/>
      </w:rPr>
      <w:t>SCCR/38</w:t>
    </w:r>
    <w:r w:rsidRPr="00E44146">
      <w:rPr>
        <w:lang w:val="es-ES_tradnl"/>
      </w:rPr>
      <w:t>/</w:t>
    </w:r>
    <w:r>
      <w:rPr>
        <w:lang w:val="es-ES_tradnl"/>
      </w:rPr>
      <w:t>3</w:t>
    </w:r>
    <w:r>
      <w:t xml:space="preserve"> </w:t>
    </w:r>
  </w:p>
  <w:p w:rsidR="00D340F0" w:rsidRDefault="00D340F0" w:rsidP="00E44146">
    <w:pPr>
      <w:jc w:val="right"/>
    </w:pPr>
    <w:r>
      <w:t xml:space="preserve">página </w:t>
    </w:r>
    <w:r>
      <w:fldChar w:fldCharType="begin"/>
    </w:r>
    <w:r>
      <w:instrText xml:space="preserve"> PAGE   \* MERGEFORMAT </w:instrText>
    </w:r>
    <w:r>
      <w:fldChar w:fldCharType="separate"/>
    </w:r>
    <w:r w:rsidR="00C00EEA">
      <w:rPr>
        <w:noProof/>
      </w:rPr>
      <w:t>12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0F0" w:rsidRDefault="00D340F0" w:rsidP="008D6A4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9E56F4"/>
    <w:multiLevelType w:val="hybridMultilevel"/>
    <w:tmpl w:val="5A1EB4A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15:restartNumberingAfterBreak="0">
    <w:nsid w:val="082177A5"/>
    <w:multiLevelType w:val="hybridMultilevel"/>
    <w:tmpl w:val="FAD44806"/>
    <w:lvl w:ilvl="0" w:tplc="A656C3CE">
      <w:start w:val="1"/>
      <w:numFmt w:val="bullet"/>
      <w:lvlText w:val=""/>
      <w:lvlJc w:val="left"/>
      <w:pPr>
        <w:ind w:left="720" w:hanging="360"/>
      </w:pPr>
      <w:rPr>
        <w:rFonts w:ascii="Symbol" w:hAnsi="Symbol" w:hint="default"/>
        <w:color w:val="auto"/>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613E89"/>
    <w:multiLevelType w:val="hybridMultilevel"/>
    <w:tmpl w:val="5A64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C4CA5"/>
    <w:multiLevelType w:val="hybridMultilevel"/>
    <w:tmpl w:val="90E64BE8"/>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15:restartNumberingAfterBreak="0">
    <w:nsid w:val="306427AB"/>
    <w:multiLevelType w:val="multilevel"/>
    <w:tmpl w:val="911C45E6"/>
    <w:lvl w:ilvl="0">
      <w:start w:val="1"/>
      <w:numFmt w:val="bullet"/>
      <w:lvlText w:val=""/>
      <w:lvlJc w:val="left"/>
      <w:pPr>
        <w:ind w:left="780" w:hanging="360"/>
      </w:pPr>
      <w:rPr>
        <w:rFonts w:ascii="Symbol" w:hAnsi="Symbol" w:hint="default"/>
        <w:color w:val="auto"/>
      </w:rPr>
    </w:lvl>
    <w:lvl w:ilvl="1">
      <w:start w:val="1"/>
      <w:numFmt w:val="bullet"/>
      <w:lvlText w:val="o"/>
      <w:lvlJc w:val="left"/>
      <w:pPr>
        <w:ind w:left="1500" w:hanging="360"/>
      </w:pPr>
      <w:rPr>
        <w:rFonts w:ascii="Arial" w:eastAsia="Arial" w:hAnsi="Arial" w:cs="Arial"/>
      </w:rPr>
    </w:lvl>
    <w:lvl w:ilvl="2">
      <w:start w:val="1"/>
      <w:numFmt w:val="bullet"/>
      <w:lvlText w:val="▪"/>
      <w:lvlJc w:val="left"/>
      <w:pPr>
        <w:ind w:left="2220" w:hanging="360"/>
      </w:pPr>
      <w:rPr>
        <w:rFonts w:ascii="Arial" w:eastAsia="Arial" w:hAnsi="Arial" w:cs="Arial"/>
      </w:rPr>
    </w:lvl>
    <w:lvl w:ilvl="3">
      <w:start w:val="1"/>
      <w:numFmt w:val="bullet"/>
      <w:lvlText w:val="●"/>
      <w:lvlJc w:val="left"/>
      <w:pPr>
        <w:ind w:left="2940" w:hanging="360"/>
      </w:pPr>
      <w:rPr>
        <w:rFonts w:ascii="Arial" w:eastAsia="Arial" w:hAnsi="Arial" w:cs="Arial"/>
      </w:rPr>
    </w:lvl>
    <w:lvl w:ilvl="4">
      <w:start w:val="1"/>
      <w:numFmt w:val="bullet"/>
      <w:lvlText w:val="o"/>
      <w:lvlJc w:val="left"/>
      <w:pPr>
        <w:ind w:left="3660" w:hanging="360"/>
      </w:pPr>
      <w:rPr>
        <w:rFonts w:ascii="Arial" w:eastAsia="Arial" w:hAnsi="Arial" w:cs="Arial"/>
      </w:rPr>
    </w:lvl>
    <w:lvl w:ilvl="5">
      <w:start w:val="1"/>
      <w:numFmt w:val="bullet"/>
      <w:lvlText w:val="▪"/>
      <w:lvlJc w:val="left"/>
      <w:pPr>
        <w:ind w:left="4380" w:hanging="360"/>
      </w:pPr>
      <w:rPr>
        <w:rFonts w:ascii="Arial" w:eastAsia="Arial" w:hAnsi="Arial" w:cs="Arial"/>
      </w:rPr>
    </w:lvl>
    <w:lvl w:ilvl="6">
      <w:start w:val="1"/>
      <w:numFmt w:val="bullet"/>
      <w:lvlText w:val="●"/>
      <w:lvlJc w:val="left"/>
      <w:pPr>
        <w:ind w:left="5100" w:hanging="360"/>
      </w:pPr>
      <w:rPr>
        <w:rFonts w:ascii="Arial" w:eastAsia="Arial" w:hAnsi="Arial" w:cs="Arial"/>
      </w:rPr>
    </w:lvl>
    <w:lvl w:ilvl="7">
      <w:start w:val="1"/>
      <w:numFmt w:val="bullet"/>
      <w:lvlText w:val="o"/>
      <w:lvlJc w:val="left"/>
      <w:pPr>
        <w:ind w:left="5820" w:hanging="360"/>
      </w:pPr>
      <w:rPr>
        <w:rFonts w:ascii="Arial" w:eastAsia="Arial" w:hAnsi="Arial" w:cs="Arial"/>
      </w:rPr>
    </w:lvl>
    <w:lvl w:ilvl="8">
      <w:start w:val="1"/>
      <w:numFmt w:val="bullet"/>
      <w:lvlText w:val="▪"/>
      <w:lvlJc w:val="left"/>
      <w:pPr>
        <w:ind w:left="6540" w:hanging="360"/>
      </w:pPr>
      <w:rPr>
        <w:rFonts w:ascii="Arial" w:eastAsia="Arial" w:hAnsi="Arial" w:cs="Arial"/>
      </w:rPr>
    </w:lvl>
  </w:abstractNum>
  <w:abstractNum w:abstractNumId="9" w15:restartNumberingAfterBreak="0">
    <w:nsid w:val="39E5521F"/>
    <w:multiLevelType w:val="hybridMultilevel"/>
    <w:tmpl w:val="6AD87E0E"/>
    <w:lvl w:ilvl="0" w:tplc="5748E570">
      <w:start w:val="1"/>
      <w:numFmt w:val="bullet"/>
      <w:lvlText w:val=""/>
      <w:lvlJc w:val="left"/>
      <w:pPr>
        <w:ind w:left="720" w:hanging="360"/>
      </w:pPr>
      <w:rPr>
        <w:rFonts w:ascii="Symbol" w:hAnsi="Symbol" w:hint="default"/>
        <w:color w:val="auto"/>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F183F01"/>
    <w:multiLevelType w:val="hybridMultilevel"/>
    <w:tmpl w:val="F29CFB12"/>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100F20"/>
    <w:multiLevelType w:val="multilevel"/>
    <w:tmpl w:val="6C02E24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604722"/>
    <w:multiLevelType w:val="hybridMultilevel"/>
    <w:tmpl w:val="A918A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3"/>
  </w:num>
  <w:num w:numId="5">
    <w:abstractNumId w:val="1"/>
  </w:num>
  <w:num w:numId="6">
    <w:abstractNumId w:val="5"/>
  </w:num>
  <w:num w:numId="7">
    <w:abstractNumId w:val="7"/>
  </w:num>
  <w:num w:numId="8">
    <w:abstractNumId w:val="10"/>
  </w:num>
  <w:num w:numId="9">
    <w:abstractNumId w:val="14"/>
  </w:num>
  <w:num w:numId="10">
    <w:abstractNumId w:val="6"/>
  </w:num>
  <w:num w:numId="11">
    <w:abstractNumId w:val="2"/>
  </w:num>
  <w:num w:numId="12">
    <w:abstractNumId w:val="8"/>
  </w:num>
  <w:num w:numId="13">
    <w:abstractNumId w:val="1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Copyright\C Instruments|TextBase TMs\WorkspaceSTS\Copyright\Copyright|Team Server TMs\Spanish"/>
    <w:docVar w:name="TextBaseURL" w:val="empty"/>
    <w:docVar w:name="UILng" w:val="en"/>
  </w:docVars>
  <w:rsids>
    <w:rsidRoot w:val="00D93A5C"/>
    <w:rsid w:val="000140B6"/>
    <w:rsid w:val="00022F26"/>
    <w:rsid w:val="000236FC"/>
    <w:rsid w:val="00024D26"/>
    <w:rsid w:val="00031BA4"/>
    <w:rsid w:val="000321CD"/>
    <w:rsid w:val="000328D6"/>
    <w:rsid w:val="00037900"/>
    <w:rsid w:val="000421A0"/>
    <w:rsid w:val="00043CAA"/>
    <w:rsid w:val="0004472D"/>
    <w:rsid w:val="00046EAA"/>
    <w:rsid w:val="00047F42"/>
    <w:rsid w:val="000650DF"/>
    <w:rsid w:val="000702D6"/>
    <w:rsid w:val="000703DF"/>
    <w:rsid w:val="00070E9B"/>
    <w:rsid w:val="00075432"/>
    <w:rsid w:val="000877FD"/>
    <w:rsid w:val="00094BED"/>
    <w:rsid w:val="000968ED"/>
    <w:rsid w:val="000A4631"/>
    <w:rsid w:val="000A6087"/>
    <w:rsid w:val="000A75F1"/>
    <w:rsid w:val="000A7968"/>
    <w:rsid w:val="000B2FE3"/>
    <w:rsid w:val="000C525E"/>
    <w:rsid w:val="000C5DAD"/>
    <w:rsid w:val="000D4365"/>
    <w:rsid w:val="000D4FE4"/>
    <w:rsid w:val="000D50CE"/>
    <w:rsid w:val="000F5E56"/>
    <w:rsid w:val="000F6635"/>
    <w:rsid w:val="0010480E"/>
    <w:rsid w:val="00111A17"/>
    <w:rsid w:val="001221AD"/>
    <w:rsid w:val="00130FFD"/>
    <w:rsid w:val="0013534C"/>
    <w:rsid w:val="001362EE"/>
    <w:rsid w:val="001406DE"/>
    <w:rsid w:val="00150CA9"/>
    <w:rsid w:val="001516DD"/>
    <w:rsid w:val="0015709E"/>
    <w:rsid w:val="00162F3E"/>
    <w:rsid w:val="00170EE5"/>
    <w:rsid w:val="00176677"/>
    <w:rsid w:val="00177144"/>
    <w:rsid w:val="001832A6"/>
    <w:rsid w:val="001870CE"/>
    <w:rsid w:val="0019512C"/>
    <w:rsid w:val="001952C4"/>
    <w:rsid w:val="001955F8"/>
    <w:rsid w:val="001A4CE1"/>
    <w:rsid w:val="001A640C"/>
    <w:rsid w:val="001B26CD"/>
    <w:rsid w:val="001B6C76"/>
    <w:rsid w:val="001C402B"/>
    <w:rsid w:val="001D2EB8"/>
    <w:rsid w:val="001E139E"/>
    <w:rsid w:val="00201BD8"/>
    <w:rsid w:val="002054FC"/>
    <w:rsid w:val="00207CF9"/>
    <w:rsid w:val="00210F0B"/>
    <w:rsid w:val="002112F5"/>
    <w:rsid w:val="00211647"/>
    <w:rsid w:val="0022743E"/>
    <w:rsid w:val="00235A9F"/>
    <w:rsid w:val="00241008"/>
    <w:rsid w:val="00251861"/>
    <w:rsid w:val="00253760"/>
    <w:rsid w:val="0026113C"/>
    <w:rsid w:val="002634C4"/>
    <w:rsid w:val="00266FC8"/>
    <w:rsid w:val="00271B56"/>
    <w:rsid w:val="00272436"/>
    <w:rsid w:val="00272839"/>
    <w:rsid w:val="00272CC7"/>
    <w:rsid w:val="00280711"/>
    <w:rsid w:val="0028130A"/>
    <w:rsid w:val="002928D3"/>
    <w:rsid w:val="002A0A8F"/>
    <w:rsid w:val="002A6BB2"/>
    <w:rsid w:val="002B302C"/>
    <w:rsid w:val="002B7943"/>
    <w:rsid w:val="002C71E8"/>
    <w:rsid w:val="002C7D4F"/>
    <w:rsid w:val="002D50B7"/>
    <w:rsid w:val="002E07B0"/>
    <w:rsid w:val="002E390A"/>
    <w:rsid w:val="002F1FE6"/>
    <w:rsid w:val="002F2A8A"/>
    <w:rsid w:val="002F31B8"/>
    <w:rsid w:val="002F3DA5"/>
    <w:rsid w:val="002F4E68"/>
    <w:rsid w:val="00301757"/>
    <w:rsid w:val="00307581"/>
    <w:rsid w:val="00311457"/>
    <w:rsid w:val="00312F7F"/>
    <w:rsid w:val="00324888"/>
    <w:rsid w:val="0033267A"/>
    <w:rsid w:val="00337A39"/>
    <w:rsid w:val="00341AEE"/>
    <w:rsid w:val="00341B85"/>
    <w:rsid w:val="00342447"/>
    <w:rsid w:val="00361450"/>
    <w:rsid w:val="00366A80"/>
    <w:rsid w:val="003673CF"/>
    <w:rsid w:val="0037320D"/>
    <w:rsid w:val="003802AB"/>
    <w:rsid w:val="003845C1"/>
    <w:rsid w:val="00384603"/>
    <w:rsid w:val="003949B5"/>
    <w:rsid w:val="00395F61"/>
    <w:rsid w:val="003A06FE"/>
    <w:rsid w:val="003A6F01"/>
    <w:rsid w:val="003A6F89"/>
    <w:rsid w:val="003B0FC8"/>
    <w:rsid w:val="003B2792"/>
    <w:rsid w:val="003B38C1"/>
    <w:rsid w:val="003C27D3"/>
    <w:rsid w:val="003D16E5"/>
    <w:rsid w:val="003D374A"/>
    <w:rsid w:val="003D413F"/>
    <w:rsid w:val="003E7D71"/>
    <w:rsid w:val="00407786"/>
    <w:rsid w:val="00415635"/>
    <w:rsid w:val="004225B6"/>
    <w:rsid w:val="00423E3E"/>
    <w:rsid w:val="00427AF4"/>
    <w:rsid w:val="00445E22"/>
    <w:rsid w:val="0045010E"/>
    <w:rsid w:val="00462638"/>
    <w:rsid w:val="004635A6"/>
    <w:rsid w:val="004647DA"/>
    <w:rsid w:val="00474062"/>
    <w:rsid w:val="00477D6B"/>
    <w:rsid w:val="004863F2"/>
    <w:rsid w:val="004878FF"/>
    <w:rsid w:val="0049253B"/>
    <w:rsid w:val="00494B86"/>
    <w:rsid w:val="004A13F3"/>
    <w:rsid w:val="004A732A"/>
    <w:rsid w:val="004B4BD9"/>
    <w:rsid w:val="004B5C9C"/>
    <w:rsid w:val="004C62C6"/>
    <w:rsid w:val="004D096B"/>
    <w:rsid w:val="004E107B"/>
    <w:rsid w:val="004E56AF"/>
    <w:rsid w:val="004F3A75"/>
    <w:rsid w:val="005019FF"/>
    <w:rsid w:val="00501D1C"/>
    <w:rsid w:val="0050795A"/>
    <w:rsid w:val="00511247"/>
    <w:rsid w:val="00513881"/>
    <w:rsid w:val="00513EC0"/>
    <w:rsid w:val="0051581F"/>
    <w:rsid w:val="00516B70"/>
    <w:rsid w:val="0052077C"/>
    <w:rsid w:val="00525040"/>
    <w:rsid w:val="0053057A"/>
    <w:rsid w:val="0053315B"/>
    <w:rsid w:val="0053673C"/>
    <w:rsid w:val="00551817"/>
    <w:rsid w:val="00552B8D"/>
    <w:rsid w:val="00560A29"/>
    <w:rsid w:val="00560C0C"/>
    <w:rsid w:val="005704B1"/>
    <w:rsid w:val="0057347A"/>
    <w:rsid w:val="0057712D"/>
    <w:rsid w:val="00592856"/>
    <w:rsid w:val="0059588B"/>
    <w:rsid w:val="00596F0D"/>
    <w:rsid w:val="005972EF"/>
    <w:rsid w:val="005A0353"/>
    <w:rsid w:val="005C0846"/>
    <w:rsid w:val="005C1F11"/>
    <w:rsid w:val="005C6649"/>
    <w:rsid w:val="005C71D0"/>
    <w:rsid w:val="005D700E"/>
    <w:rsid w:val="005E2A09"/>
    <w:rsid w:val="005E6683"/>
    <w:rsid w:val="005F395D"/>
    <w:rsid w:val="005F5486"/>
    <w:rsid w:val="00605827"/>
    <w:rsid w:val="006107B3"/>
    <w:rsid w:val="00625BD0"/>
    <w:rsid w:val="00636492"/>
    <w:rsid w:val="00640002"/>
    <w:rsid w:val="006414FC"/>
    <w:rsid w:val="0064377C"/>
    <w:rsid w:val="0064434C"/>
    <w:rsid w:val="00645F2B"/>
    <w:rsid w:val="00646050"/>
    <w:rsid w:val="00652FC1"/>
    <w:rsid w:val="00654FAA"/>
    <w:rsid w:val="00660DAD"/>
    <w:rsid w:val="00665610"/>
    <w:rsid w:val="00670009"/>
    <w:rsid w:val="006712EB"/>
    <w:rsid w:val="006713CA"/>
    <w:rsid w:val="006753C9"/>
    <w:rsid w:val="00676C5C"/>
    <w:rsid w:val="0068167B"/>
    <w:rsid w:val="00687CB3"/>
    <w:rsid w:val="00694AC9"/>
    <w:rsid w:val="00695775"/>
    <w:rsid w:val="00695970"/>
    <w:rsid w:val="006A454F"/>
    <w:rsid w:val="006A675A"/>
    <w:rsid w:val="006B39EA"/>
    <w:rsid w:val="006D0EF2"/>
    <w:rsid w:val="006D4A16"/>
    <w:rsid w:val="006D5662"/>
    <w:rsid w:val="006D6318"/>
    <w:rsid w:val="006E1121"/>
    <w:rsid w:val="006E297C"/>
    <w:rsid w:val="006E6FA0"/>
    <w:rsid w:val="006F4694"/>
    <w:rsid w:val="00716B2C"/>
    <w:rsid w:val="00727FC2"/>
    <w:rsid w:val="0073027E"/>
    <w:rsid w:val="007424EF"/>
    <w:rsid w:val="00750A31"/>
    <w:rsid w:val="00750D90"/>
    <w:rsid w:val="00752B2E"/>
    <w:rsid w:val="00756807"/>
    <w:rsid w:val="00757F21"/>
    <w:rsid w:val="00766FE9"/>
    <w:rsid w:val="00767180"/>
    <w:rsid w:val="0077374A"/>
    <w:rsid w:val="007751C1"/>
    <w:rsid w:val="00780ACD"/>
    <w:rsid w:val="00784AD8"/>
    <w:rsid w:val="007877DE"/>
    <w:rsid w:val="00790360"/>
    <w:rsid w:val="007A2AF5"/>
    <w:rsid w:val="007A7146"/>
    <w:rsid w:val="007C25A1"/>
    <w:rsid w:val="007D08B0"/>
    <w:rsid w:val="007D1613"/>
    <w:rsid w:val="007D4488"/>
    <w:rsid w:val="007D46F4"/>
    <w:rsid w:val="007E4AFD"/>
    <w:rsid w:val="007F1B39"/>
    <w:rsid w:val="008044BE"/>
    <w:rsid w:val="0080497D"/>
    <w:rsid w:val="00807C87"/>
    <w:rsid w:val="00820CFA"/>
    <w:rsid w:val="0082715B"/>
    <w:rsid w:val="00827E1F"/>
    <w:rsid w:val="00830F48"/>
    <w:rsid w:val="00835DEE"/>
    <w:rsid w:val="00836BCC"/>
    <w:rsid w:val="00852B76"/>
    <w:rsid w:val="00853F21"/>
    <w:rsid w:val="00871A3D"/>
    <w:rsid w:val="00871C85"/>
    <w:rsid w:val="0087747F"/>
    <w:rsid w:val="00881651"/>
    <w:rsid w:val="0089224F"/>
    <w:rsid w:val="00895489"/>
    <w:rsid w:val="008B2CC1"/>
    <w:rsid w:val="008B60B2"/>
    <w:rsid w:val="008C03CF"/>
    <w:rsid w:val="008C1EB9"/>
    <w:rsid w:val="008C5C4A"/>
    <w:rsid w:val="008D6A41"/>
    <w:rsid w:val="008E2E20"/>
    <w:rsid w:val="008E3213"/>
    <w:rsid w:val="008F31F9"/>
    <w:rsid w:val="00905769"/>
    <w:rsid w:val="0090731E"/>
    <w:rsid w:val="00907F0D"/>
    <w:rsid w:val="00916EE2"/>
    <w:rsid w:val="00917192"/>
    <w:rsid w:val="00932211"/>
    <w:rsid w:val="00932F19"/>
    <w:rsid w:val="00933C23"/>
    <w:rsid w:val="00934240"/>
    <w:rsid w:val="009357BC"/>
    <w:rsid w:val="00942719"/>
    <w:rsid w:val="00944D23"/>
    <w:rsid w:val="00950366"/>
    <w:rsid w:val="00962B4A"/>
    <w:rsid w:val="0096511C"/>
    <w:rsid w:val="009664E2"/>
    <w:rsid w:val="00966A22"/>
    <w:rsid w:val="0096722F"/>
    <w:rsid w:val="009707CE"/>
    <w:rsid w:val="00977744"/>
    <w:rsid w:val="00980843"/>
    <w:rsid w:val="009902B7"/>
    <w:rsid w:val="009908D5"/>
    <w:rsid w:val="00991F2E"/>
    <w:rsid w:val="00992D99"/>
    <w:rsid w:val="009A16B2"/>
    <w:rsid w:val="009A2606"/>
    <w:rsid w:val="009A44AE"/>
    <w:rsid w:val="009A6003"/>
    <w:rsid w:val="009B6A22"/>
    <w:rsid w:val="009B77F9"/>
    <w:rsid w:val="009C449A"/>
    <w:rsid w:val="009C665A"/>
    <w:rsid w:val="009C6BDC"/>
    <w:rsid w:val="009D3F41"/>
    <w:rsid w:val="009D506C"/>
    <w:rsid w:val="009E1B5D"/>
    <w:rsid w:val="009E2790"/>
    <w:rsid w:val="009E2791"/>
    <w:rsid w:val="009E3525"/>
    <w:rsid w:val="009E3F6F"/>
    <w:rsid w:val="009E4A93"/>
    <w:rsid w:val="009F457A"/>
    <w:rsid w:val="009F499F"/>
    <w:rsid w:val="009F4EDF"/>
    <w:rsid w:val="009F5EF6"/>
    <w:rsid w:val="009F62E8"/>
    <w:rsid w:val="00A01071"/>
    <w:rsid w:val="00A03216"/>
    <w:rsid w:val="00A06000"/>
    <w:rsid w:val="00A11F94"/>
    <w:rsid w:val="00A23CB1"/>
    <w:rsid w:val="00A248BC"/>
    <w:rsid w:val="00A25B51"/>
    <w:rsid w:val="00A32EEF"/>
    <w:rsid w:val="00A41809"/>
    <w:rsid w:val="00A42DAF"/>
    <w:rsid w:val="00A42E2A"/>
    <w:rsid w:val="00A43A84"/>
    <w:rsid w:val="00A45BD8"/>
    <w:rsid w:val="00A46487"/>
    <w:rsid w:val="00A53E87"/>
    <w:rsid w:val="00A568C1"/>
    <w:rsid w:val="00A57290"/>
    <w:rsid w:val="00A57666"/>
    <w:rsid w:val="00A6151A"/>
    <w:rsid w:val="00A6448C"/>
    <w:rsid w:val="00A73119"/>
    <w:rsid w:val="00A74885"/>
    <w:rsid w:val="00A869B7"/>
    <w:rsid w:val="00A92AFD"/>
    <w:rsid w:val="00A95D0D"/>
    <w:rsid w:val="00A966FF"/>
    <w:rsid w:val="00AA002C"/>
    <w:rsid w:val="00AC14EB"/>
    <w:rsid w:val="00AC205C"/>
    <w:rsid w:val="00AC5E32"/>
    <w:rsid w:val="00AD612C"/>
    <w:rsid w:val="00AD7E9B"/>
    <w:rsid w:val="00AE1BA5"/>
    <w:rsid w:val="00AE2862"/>
    <w:rsid w:val="00AF0A6B"/>
    <w:rsid w:val="00AF5141"/>
    <w:rsid w:val="00B05A69"/>
    <w:rsid w:val="00B072B6"/>
    <w:rsid w:val="00B13A51"/>
    <w:rsid w:val="00B21A66"/>
    <w:rsid w:val="00B234A0"/>
    <w:rsid w:val="00B27F17"/>
    <w:rsid w:val="00B44859"/>
    <w:rsid w:val="00B46CEF"/>
    <w:rsid w:val="00B47BD9"/>
    <w:rsid w:val="00B50E8C"/>
    <w:rsid w:val="00B51E63"/>
    <w:rsid w:val="00B56E90"/>
    <w:rsid w:val="00B64600"/>
    <w:rsid w:val="00B65A07"/>
    <w:rsid w:val="00B7362D"/>
    <w:rsid w:val="00B8088A"/>
    <w:rsid w:val="00B8132F"/>
    <w:rsid w:val="00B81922"/>
    <w:rsid w:val="00B86185"/>
    <w:rsid w:val="00B9734B"/>
    <w:rsid w:val="00BB0120"/>
    <w:rsid w:val="00BC481F"/>
    <w:rsid w:val="00BC4CEB"/>
    <w:rsid w:val="00BC5F44"/>
    <w:rsid w:val="00BC702F"/>
    <w:rsid w:val="00BD0060"/>
    <w:rsid w:val="00BD533B"/>
    <w:rsid w:val="00BD7EB6"/>
    <w:rsid w:val="00BF31E6"/>
    <w:rsid w:val="00BF7F61"/>
    <w:rsid w:val="00C0087F"/>
    <w:rsid w:val="00C00EEA"/>
    <w:rsid w:val="00C034AC"/>
    <w:rsid w:val="00C05BC8"/>
    <w:rsid w:val="00C06F20"/>
    <w:rsid w:val="00C11BFE"/>
    <w:rsid w:val="00C1262D"/>
    <w:rsid w:val="00C24774"/>
    <w:rsid w:val="00C379AC"/>
    <w:rsid w:val="00C42480"/>
    <w:rsid w:val="00C47CD6"/>
    <w:rsid w:val="00C50D48"/>
    <w:rsid w:val="00C579F2"/>
    <w:rsid w:val="00C626A1"/>
    <w:rsid w:val="00C629E8"/>
    <w:rsid w:val="00C63837"/>
    <w:rsid w:val="00C63B5B"/>
    <w:rsid w:val="00C650ED"/>
    <w:rsid w:val="00C76CF4"/>
    <w:rsid w:val="00C8468C"/>
    <w:rsid w:val="00C85558"/>
    <w:rsid w:val="00C8783E"/>
    <w:rsid w:val="00C901BA"/>
    <w:rsid w:val="00C90A7C"/>
    <w:rsid w:val="00C912DC"/>
    <w:rsid w:val="00C9535E"/>
    <w:rsid w:val="00CA2648"/>
    <w:rsid w:val="00CA2EC8"/>
    <w:rsid w:val="00CA6FCD"/>
    <w:rsid w:val="00CB04EC"/>
    <w:rsid w:val="00CB20AF"/>
    <w:rsid w:val="00CB51C4"/>
    <w:rsid w:val="00CB65FB"/>
    <w:rsid w:val="00CC1DC4"/>
    <w:rsid w:val="00CD3956"/>
    <w:rsid w:val="00CE1AD3"/>
    <w:rsid w:val="00CE497B"/>
    <w:rsid w:val="00CE736C"/>
    <w:rsid w:val="00D065DA"/>
    <w:rsid w:val="00D0667B"/>
    <w:rsid w:val="00D07971"/>
    <w:rsid w:val="00D26087"/>
    <w:rsid w:val="00D261B1"/>
    <w:rsid w:val="00D27CC2"/>
    <w:rsid w:val="00D340F0"/>
    <w:rsid w:val="00D3589B"/>
    <w:rsid w:val="00D3726F"/>
    <w:rsid w:val="00D376C3"/>
    <w:rsid w:val="00D40F1B"/>
    <w:rsid w:val="00D45252"/>
    <w:rsid w:val="00D4632B"/>
    <w:rsid w:val="00D718AA"/>
    <w:rsid w:val="00D71B4D"/>
    <w:rsid w:val="00D74833"/>
    <w:rsid w:val="00D8130B"/>
    <w:rsid w:val="00D87A6A"/>
    <w:rsid w:val="00D92B1F"/>
    <w:rsid w:val="00D93A5C"/>
    <w:rsid w:val="00D93D55"/>
    <w:rsid w:val="00D954C1"/>
    <w:rsid w:val="00DA04CF"/>
    <w:rsid w:val="00DA0EBE"/>
    <w:rsid w:val="00DB2DE6"/>
    <w:rsid w:val="00DB63DB"/>
    <w:rsid w:val="00DC0E78"/>
    <w:rsid w:val="00DC4A60"/>
    <w:rsid w:val="00DD2E69"/>
    <w:rsid w:val="00DE1540"/>
    <w:rsid w:val="00DE35C9"/>
    <w:rsid w:val="00DE514F"/>
    <w:rsid w:val="00DF0079"/>
    <w:rsid w:val="00E00782"/>
    <w:rsid w:val="00E0178B"/>
    <w:rsid w:val="00E036FF"/>
    <w:rsid w:val="00E06233"/>
    <w:rsid w:val="00E1057C"/>
    <w:rsid w:val="00E1660F"/>
    <w:rsid w:val="00E17F61"/>
    <w:rsid w:val="00E22195"/>
    <w:rsid w:val="00E258D2"/>
    <w:rsid w:val="00E25C5B"/>
    <w:rsid w:val="00E32DF9"/>
    <w:rsid w:val="00E335FE"/>
    <w:rsid w:val="00E33EFD"/>
    <w:rsid w:val="00E34774"/>
    <w:rsid w:val="00E44146"/>
    <w:rsid w:val="00E47B58"/>
    <w:rsid w:val="00E52E58"/>
    <w:rsid w:val="00E57E7B"/>
    <w:rsid w:val="00E60D63"/>
    <w:rsid w:val="00E644E1"/>
    <w:rsid w:val="00E660BA"/>
    <w:rsid w:val="00E70F37"/>
    <w:rsid w:val="00E7529A"/>
    <w:rsid w:val="00E776C7"/>
    <w:rsid w:val="00E86C06"/>
    <w:rsid w:val="00E94575"/>
    <w:rsid w:val="00E96298"/>
    <w:rsid w:val="00EA0B48"/>
    <w:rsid w:val="00EA710E"/>
    <w:rsid w:val="00EC4E49"/>
    <w:rsid w:val="00EC5EC2"/>
    <w:rsid w:val="00EC6683"/>
    <w:rsid w:val="00ED1547"/>
    <w:rsid w:val="00ED4C1A"/>
    <w:rsid w:val="00ED77FB"/>
    <w:rsid w:val="00EE45FA"/>
    <w:rsid w:val="00F078F7"/>
    <w:rsid w:val="00F15EED"/>
    <w:rsid w:val="00F2099F"/>
    <w:rsid w:val="00F23010"/>
    <w:rsid w:val="00F300FE"/>
    <w:rsid w:val="00F346CE"/>
    <w:rsid w:val="00F4323D"/>
    <w:rsid w:val="00F602AC"/>
    <w:rsid w:val="00F62D5C"/>
    <w:rsid w:val="00F640EE"/>
    <w:rsid w:val="00F66152"/>
    <w:rsid w:val="00F72BB1"/>
    <w:rsid w:val="00F76F67"/>
    <w:rsid w:val="00F8281C"/>
    <w:rsid w:val="00F87D5D"/>
    <w:rsid w:val="00F915C7"/>
    <w:rsid w:val="00F91B1B"/>
    <w:rsid w:val="00F93D9A"/>
    <w:rsid w:val="00FA288E"/>
    <w:rsid w:val="00FA3EE4"/>
    <w:rsid w:val="00FA7817"/>
    <w:rsid w:val="00FB408D"/>
    <w:rsid w:val="00FC6480"/>
    <w:rsid w:val="00FD22A8"/>
    <w:rsid w:val="00FD76A7"/>
    <w:rsid w:val="00FE1212"/>
    <w:rsid w:val="00FE1BE6"/>
    <w:rsid w:val="00FE1E14"/>
    <w:rsid w:val="00FE4C48"/>
    <w:rsid w:val="00FF01EB"/>
    <w:rsid w:val="00FF641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E39B4E60-D73C-4C16-8F03-B8873D07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61"/>
    <w:rPr>
      <w:rFonts w:ascii="Arial" w:eastAsia="SimSun" w:hAnsi="Arial" w:cs="Arial"/>
      <w:sz w:val="22"/>
      <w:lang w:eastAsia="zh-CN"/>
    </w:rPr>
  </w:style>
  <w:style w:type="paragraph" w:styleId="Heading1">
    <w:name w:val="heading 1"/>
    <w:basedOn w:val="Normal"/>
    <w:next w:val="Normal"/>
    <w:qFormat/>
    <w:rsid w:val="00395F61"/>
    <w:pPr>
      <w:keepNext/>
      <w:spacing w:before="240" w:after="60"/>
      <w:outlineLvl w:val="0"/>
    </w:pPr>
    <w:rPr>
      <w:b/>
      <w:bCs/>
      <w:caps/>
      <w:kern w:val="32"/>
      <w:szCs w:val="32"/>
    </w:rPr>
  </w:style>
  <w:style w:type="paragraph" w:styleId="Heading2">
    <w:name w:val="heading 2"/>
    <w:basedOn w:val="Normal"/>
    <w:next w:val="Normal"/>
    <w:link w:val="Heading2Char"/>
    <w:qFormat/>
    <w:rsid w:val="00395F61"/>
    <w:pPr>
      <w:keepNext/>
      <w:spacing w:before="240" w:after="60"/>
      <w:outlineLvl w:val="1"/>
    </w:pPr>
    <w:rPr>
      <w:bCs/>
      <w:iCs/>
      <w:caps/>
      <w:szCs w:val="28"/>
    </w:rPr>
  </w:style>
  <w:style w:type="paragraph" w:styleId="Heading3">
    <w:name w:val="heading 3"/>
    <w:basedOn w:val="Normal"/>
    <w:next w:val="Normal"/>
    <w:qFormat/>
    <w:rsid w:val="00395F61"/>
    <w:pPr>
      <w:keepNext/>
      <w:spacing w:before="240" w:after="60"/>
      <w:outlineLvl w:val="2"/>
    </w:pPr>
    <w:rPr>
      <w:bCs/>
      <w:szCs w:val="26"/>
      <w:u w:val="single"/>
    </w:rPr>
  </w:style>
  <w:style w:type="paragraph" w:styleId="Heading4">
    <w:name w:val="heading 4"/>
    <w:basedOn w:val="Normal"/>
    <w:next w:val="Normal"/>
    <w:qFormat/>
    <w:rsid w:val="00395F6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395F61"/>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D93A5C"/>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3A5C"/>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93A5C"/>
    <w:pPr>
      <w:spacing w:before="120" w:after="480" w:line="260" w:lineRule="atLeast"/>
      <w:ind w:left="1021"/>
      <w:contextualSpacing/>
    </w:pPr>
    <w:rPr>
      <w:rFonts w:eastAsia="Times New Roman" w:cs="Times New Roman"/>
      <w:i/>
      <w:sz w:val="20"/>
      <w:lang w:eastAsia="en-US"/>
    </w:rPr>
  </w:style>
  <w:style w:type="character" w:customStyle="1" w:styleId="Heading2Char">
    <w:name w:val="Heading 2 Char"/>
    <w:link w:val="Heading2"/>
    <w:rsid w:val="00D93A5C"/>
    <w:rPr>
      <w:rFonts w:ascii="Arial" w:eastAsia="SimSun" w:hAnsi="Arial" w:cs="Arial"/>
      <w:bCs/>
      <w:iCs/>
      <w:caps/>
      <w:sz w:val="22"/>
      <w:szCs w:val="28"/>
      <w:lang w:eastAsia="zh-CN"/>
    </w:rPr>
  </w:style>
  <w:style w:type="paragraph" w:styleId="BalloonText">
    <w:name w:val="Balloon Text"/>
    <w:basedOn w:val="Normal"/>
    <w:link w:val="BalloonTextChar"/>
    <w:uiPriority w:val="99"/>
    <w:rsid w:val="0077374A"/>
    <w:rPr>
      <w:rFonts w:ascii="Tahoma" w:hAnsi="Tahoma" w:cs="Tahoma"/>
      <w:sz w:val="16"/>
      <w:szCs w:val="16"/>
    </w:rPr>
  </w:style>
  <w:style w:type="character" w:customStyle="1" w:styleId="BalloonTextChar">
    <w:name w:val="Balloon Text Char"/>
    <w:basedOn w:val="DefaultParagraphFont"/>
    <w:link w:val="BalloonText"/>
    <w:uiPriority w:val="99"/>
    <w:rsid w:val="0077374A"/>
    <w:rPr>
      <w:rFonts w:ascii="Tahoma" w:eastAsia="SimSun" w:hAnsi="Tahoma" w:cs="Tahoma"/>
      <w:sz w:val="16"/>
      <w:szCs w:val="16"/>
      <w:lang w:eastAsia="zh-CN"/>
    </w:rPr>
  </w:style>
  <w:style w:type="character" w:styleId="Hyperlink">
    <w:name w:val="Hyperlink"/>
    <w:basedOn w:val="DefaultParagraphFont"/>
    <w:rsid w:val="008D6A41"/>
    <w:rPr>
      <w:color w:val="0000FF" w:themeColor="hyperlink"/>
      <w:u w:val="single"/>
    </w:rPr>
  </w:style>
  <w:style w:type="paragraph" w:styleId="ListParagraph">
    <w:name w:val="List Paragraph"/>
    <w:basedOn w:val="Normal"/>
    <w:uiPriority w:val="34"/>
    <w:qFormat/>
    <w:rsid w:val="00395F61"/>
    <w:pPr>
      <w:ind w:left="720"/>
    </w:pPr>
  </w:style>
  <w:style w:type="paragraph" w:styleId="NormalWeb">
    <w:name w:val="Normal (Web)"/>
    <w:basedOn w:val="Normal"/>
    <w:uiPriority w:val="99"/>
    <w:unhideWhenUsed/>
    <w:rsid w:val="000A4631"/>
    <w:pPr>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qFormat/>
    <w:rsid w:val="00DE35C9"/>
    <w:rPr>
      <w:i/>
      <w:iCs/>
    </w:rPr>
  </w:style>
  <w:style w:type="character" w:customStyle="1" w:styleId="HeaderChar">
    <w:name w:val="Header Char"/>
    <w:basedOn w:val="DefaultParagraphFont"/>
    <w:link w:val="Header"/>
    <w:uiPriority w:val="99"/>
    <w:rsid w:val="0057712D"/>
    <w:rPr>
      <w:rFonts w:ascii="Arial" w:eastAsia="SimSun" w:hAnsi="Arial" w:cs="Arial"/>
      <w:sz w:val="22"/>
      <w:lang w:eastAsia="zh-CN"/>
    </w:rPr>
  </w:style>
  <w:style w:type="character" w:styleId="FollowedHyperlink">
    <w:name w:val="FollowedHyperlink"/>
    <w:basedOn w:val="DefaultParagraphFont"/>
    <w:rsid w:val="005D700E"/>
    <w:rPr>
      <w:color w:val="800080" w:themeColor="followedHyperlink"/>
      <w:u w:val="single"/>
    </w:rPr>
  </w:style>
  <w:style w:type="character" w:styleId="CommentReference">
    <w:name w:val="annotation reference"/>
    <w:basedOn w:val="DefaultParagraphFont"/>
    <w:rsid w:val="00513EC0"/>
    <w:rPr>
      <w:sz w:val="16"/>
      <w:szCs w:val="16"/>
    </w:rPr>
  </w:style>
  <w:style w:type="paragraph" w:styleId="CommentSubject">
    <w:name w:val="annotation subject"/>
    <w:basedOn w:val="CommentText"/>
    <w:next w:val="CommentText"/>
    <w:link w:val="CommentSubjectChar"/>
    <w:rsid w:val="00513EC0"/>
    <w:rPr>
      <w:b/>
      <w:bCs/>
      <w:sz w:val="20"/>
    </w:rPr>
  </w:style>
  <w:style w:type="character" w:customStyle="1" w:styleId="CommentTextChar">
    <w:name w:val="Comment Text Char"/>
    <w:basedOn w:val="DefaultParagraphFont"/>
    <w:link w:val="CommentText"/>
    <w:semiHidden/>
    <w:rsid w:val="00513EC0"/>
    <w:rPr>
      <w:rFonts w:ascii="Arial" w:eastAsia="SimSun" w:hAnsi="Arial" w:cs="Arial"/>
      <w:sz w:val="18"/>
      <w:lang w:eastAsia="zh-CN"/>
    </w:rPr>
  </w:style>
  <w:style w:type="character" w:customStyle="1" w:styleId="CommentSubjectChar">
    <w:name w:val="Comment Subject Char"/>
    <w:basedOn w:val="CommentTextChar"/>
    <w:link w:val="CommentSubject"/>
    <w:rsid w:val="00513EC0"/>
    <w:rPr>
      <w:rFonts w:ascii="Arial" w:eastAsia="SimSun" w:hAnsi="Arial" w:cs="Arial"/>
      <w:b/>
      <w:bCs/>
      <w:sz w:val="18"/>
      <w:lang w:eastAsia="zh-CN"/>
    </w:rPr>
  </w:style>
  <w:style w:type="character" w:styleId="FootnoteReference">
    <w:name w:val="footnote reference"/>
    <w:basedOn w:val="DefaultParagraphFont"/>
    <w:uiPriority w:val="99"/>
    <w:unhideWhenUsed/>
    <w:rsid w:val="00E258D2"/>
    <w:rPr>
      <w:vertAlign w:val="superscript"/>
    </w:rPr>
  </w:style>
  <w:style w:type="paragraph" w:customStyle="1" w:styleId="WIPOBodyStyle">
    <w:name w:val="WIPO Body Style"/>
    <w:basedOn w:val="Normal"/>
    <w:rsid w:val="002C71E8"/>
    <w:pPr>
      <w:spacing w:after="80" w:line="280" w:lineRule="exact"/>
    </w:pPr>
    <w:rPr>
      <w:rFonts w:eastAsia="Arial"/>
      <w:sz w:val="24"/>
      <w:szCs w:val="22"/>
      <w:lang w:eastAsia="en-ZA"/>
    </w:rPr>
  </w:style>
  <w:style w:type="character" w:customStyle="1" w:styleId="FootnoteTextChar">
    <w:name w:val="Footnote Text Char"/>
    <w:basedOn w:val="DefaultParagraphFont"/>
    <w:link w:val="FootnoteText"/>
    <w:uiPriority w:val="99"/>
    <w:rsid w:val="009A44AE"/>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942353">
      <w:bodyDiv w:val="1"/>
      <w:marLeft w:val="0"/>
      <w:marRight w:val="0"/>
      <w:marTop w:val="0"/>
      <w:marBottom w:val="0"/>
      <w:divBdr>
        <w:top w:val="none" w:sz="0" w:space="0" w:color="auto"/>
        <w:left w:val="none" w:sz="0" w:space="0" w:color="auto"/>
        <w:bottom w:val="none" w:sz="0" w:space="0" w:color="auto"/>
        <w:right w:val="none" w:sz="0" w:space="0" w:color="auto"/>
      </w:divBdr>
    </w:div>
    <w:div w:id="84393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olemaninstitute.org/wp-content/uploads/2018/12/white-paper-coleman-version-1.pdf" TargetMode="External"/><Relationship Id="rId2" Type="http://schemas.openxmlformats.org/officeDocument/2006/relationships/hyperlink" Target="https://www.wipo.int/edocs/mdocs/copyright/es/sccr_35/sccr_35_3_rev.pdf" TargetMode="External"/><Relationship Id="rId1" Type="http://schemas.openxmlformats.org/officeDocument/2006/relationships/hyperlink" Target="http://www.who.int/mediacentre/factsheets/fs352/es/" TargetMode="External"/><Relationship Id="rId6" Type="http://schemas.openxmlformats.org/officeDocument/2006/relationships/hyperlink" Target="http://www.wipo.int/edocs/lexdocs/laws/es/il/il035en.pdf" TargetMode="External"/><Relationship Id="rId5" Type="http://schemas.openxmlformats.org/officeDocument/2006/relationships/hyperlink" Target="https://wipolex.wipo.int/es/text/495410" TargetMode="External"/><Relationship Id="rId4" Type="http://schemas.openxmlformats.org/officeDocument/2006/relationships/hyperlink" Target="http://www.wipo.int/wipolex/es/text.jsp?file_id=490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40F72-02FF-48AD-8B64-FD5D6B55D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4088</Words>
  <Characters>23144</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SCCR/38/2</vt:lpstr>
    </vt:vector>
  </TitlesOfParts>
  <Company>WIPO</Company>
  <LinksUpToDate>false</LinksUpToDate>
  <CharactersWithSpaces>27178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SCCR/38/2</dc:title>
  <dc:creator>Rafael Ferraz Vazquez</dc:creator>
  <cp:lastModifiedBy>HAIZEL Francesca</cp:lastModifiedBy>
  <cp:revision>2</cp:revision>
  <cp:lastPrinted>2019-03-20T07:47:00Z</cp:lastPrinted>
  <dcterms:created xsi:type="dcterms:W3CDTF">2019-03-28T09:20:00Z</dcterms:created>
  <dcterms:modified xsi:type="dcterms:W3CDTF">2019-03-28T09:20:00Z</dcterms:modified>
</cp:coreProperties>
</file>