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002210" w:rsidTr="0072761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002210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02210" w:rsidRDefault="00002210" w:rsidP="00916EE2">
            <w:pPr>
              <w:rPr>
                <w:lang w:val="es-ES"/>
              </w:rPr>
            </w:pPr>
            <w:r w:rsidRPr="00002210">
              <w:rPr>
                <w:noProof/>
                <w:lang w:eastAsia="en-US"/>
              </w:rPr>
              <w:drawing>
                <wp:inline distT="0" distB="0" distL="0" distR="0" wp14:anchorId="396BD070" wp14:editId="78283E11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02210" w:rsidRDefault="00002210" w:rsidP="00002210">
            <w:pPr>
              <w:jc w:val="right"/>
              <w:rPr>
                <w:lang w:val="es-ES"/>
              </w:rPr>
            </w:pPr>
            <w:r w:rsidRPr="00002210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8B2CC1" w:rsidRPr="00002210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002210" w:rsidRDefault="002E77CF" w:rsidP="002E77CF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002210">
              <w:rPr>
                <w:rFonts w:ascii="Arial Black" w:hAnsi="Arial Black"/>
                <w:caps/>
                <w:sz w:val="15"/>
                <w:lang w:val="es-ES"/>
              </w:rPr>
              <w:t>SCCR/37/5</w:t>
            </w:r>
            <w:r w:rsidR="00A42DAF" w:rsidRPr="00002210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002210">
              <w:rPr>
                <w:rFonts w:ascii="Arial Black" w:hAnsi="Arial Black"/>
                <w:caps/>
                <w:sz w:val="15"/>
                <w:lang w:val="es-ES"/>
              </w:rPr>
              <w:t xml:space="preserve">   </w:t>
            </w:r>
          </w:p>
        </w:tc>
      </w:tr>
      <w:tr w:rsidR="008B2CC1" w:rsidRPr="00002210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002210" w:rsidRDefault="002E77CF" w:rsidP="009174AF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002210">
              <w:rPr>
                <w:rFonts w:ascii="Arial Black" w:hAnsi="Arial Black"/>
                <w:caps/>
                <w:sz w:val="15"/>
                <w:lang w:val="es-ES"/>
              </w:rPr>
              <w:t>ORIGINAL: INGLÉS</w:t>
            </w:r>
            <w:r w:rsidR="008B2CC1" w:rsidRPr="00002210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</w:p>
        </w:tc>
      </w:tr>
      <w:tr w:rsidR="008B2CC1" w:rsidRPr="00002210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002210" w:rsidRDefault="009174AF" w:rsidP="002E77CF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>
              <w:rPr>
                <w:rFonts w:ascii="Arial Black" w:hAnsi="Arial Black"/>
                <w:caps/>
                <w:sz w:val="15"/>
                <w:lang w:val="es-ES"/>
              </w:rPr>
              <w:t xml:space="preserve">FECHA: </w:t>
            </w:r>
            <w:r w:rsidR="002E77CF" w:rsidRPr="00002210">
              <w:rPr>
                <w:rFonts w:ascii="Arial Black" w:hAnsi="Arial Black"/>
                <w:caps/>
                <w:sz w:val="15"/>
                <w:lang w:val="es-ES"/>
              </w:rPr>
              <w:t>14 DE NOVIEMBRE DE 2018</w:t>
            </w:r>
            <w:r w:rsidR="008B2CC1" w:rsidRPr="00002210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</w:p>
        </w:tc>
      </w:tr>
    </w:tbl>
    <w:p w:rsidR="002E77CF" w:rsidRPr="00002210" w:rsidRDefault="002E77CF" w:rsidP="008B2CC1">
      <w:pPr>
        <w:rPr>
          <w:lang w:val="es-ES"/>
        </w:rPr>
      </w:pPr>
    </w:p>
    <w:p w:rsidR="002E77CF" w:rsidRPr="00002210" w:rsidRDefault="002E77CF" w:rsidP="008B2CC1">
      <w:pPr>
        <w:rPr>
          <w:lang w:val="es-ES"/>
        </w:rPr>
      </w:pPr>
    </w:p>
    <w:p w:rsidR="002E77CF" w:rsidRPr="00002210" w:rsidRDefault="002E77CF" w:rsidP="008B2CC1">
      <w:pPr>
        <w:rPr>
          <w:lang w:val="es-ES"/>
        </w:rPr>
      </w:pPr>
    </w:p>
    <w:p w:rsidR="002E77CF" w:rsidRPr="00002210" w:rsidRDefault="002E77CF" w:rsidP="008B2CC1">
      <w:pPr>
        <w:rPr>
          <w:lang w:val="es-ES"/>
        </w:rPr>
      </w:pPr>
    </w:p>
    <w:p w:rsidR="002E77CF" w:rsidRPr="00002210" w:rsidRDefault="002E77CF" w:rsidP="008B2CC1">
      <w:pPr>
        <w:rPr>
          <w:lang w:val="es-ES"/>
        </w:rPr>
      </w:pPr>
    </w:p>
    <w:p w:rsidR="002E77CF" w:rsidRPr="00002210" w:rsidRDefault="002E77CF" w:rsidP="002E77CF">
      <w:pPr>
        <w:rPr>
          <w:b/>
          <w:sz w:val="28"/>
          <w:szCs w:val="28"/>
          <w:lang w:val="es-ES"/>
        </w:rPr>
      </w:pPr>
      <w:r w:rsidRPr="00002210">
        <w:rPr>
          <w:b/>
          <w:sz w:val="28"/>
          <w:szCs w:val="28"/>
          <w:lang w:val="es-ES"/>
        </w:rPr>
        <w:t>Comité Permanente de Derecho de Autor y Derechos Conexos</w:t>
      </w:r>
    </w:p>
    <w:p w:rsidR="002E77CF" w:rsidRPr="00002210" w:rsidRDefault="002E77CF" w:rsidP="003845C1">
      <w:pPr>
        <w:rPr>
          <w:lang w:val="es-ES"/>
        </w:rPr>
      </w:pPr>
    </w:p>
    <w:p w:rsidR="002E77CF" w:rsidRPr="00002210" w:rsidRDefault="002E77CF" w:rsidP="003845C1">
      <w:pPr>
        <w:rPr>
          <w:lang w:val="es-ES"/>
        </w:rPr>
      </w:pPr>
    </w:p>
    <w:p w:rsidR="002E77CF" w:rsidRPr="00002210" w:rsidRDefault="002E77CF" w:rsidP="002E77CF">
      <w:pPr>
        <w:rPr>
          <w:b/>
          <w:sz w:val="24"/>
          <w:szCs w:val="24"/>
          <w:lang w:val="es-ES"/>
        </w:rPr>
      </w:pPr>
      <w:r w:rsidRPr="00002210">
        <w:rPr>
          <w:b/>
          <w:sz w:val="24"/>
          <w:szCs w:val="24"/>
          <w:lang w:val="es-ES"/>
        </w:rPr>
        <w:t>Trigésima séptima sesión</w:t>
      </w:r>
    </w:p>
    <w:p w:rsidR="002E77CF" w:rsidRPr="00002210" w:rsidRDefault="002E77CF" w:rsidP="002E77CF">
      <w:pPr>
        <w:rPr>
          <w:b/>
          <w:sz w:val="24"/>
          <w:szCs w:val="24"/>
          <w:lang w:val="es-ES"/>
        </w:rPr>
      </w:pPr>
      <w:r w:rsidRPr="00002210">
        <w:rPr>
          <w:b/>
          <w:sz w:val="24"/>
          <w:szCs w:val="24"/>
          <w:lang w:val="es-ES"/>
        </w:rPr>
        <w:t>Ginebra, 26 a 30 de noviembre de 2018</w:t>
      </w:r>
    </w:p>
    <w:p w:rsidR="002E77CF" w:rsidRPr="00002210" w:rsidRDefault="002E77CF" w:rsidP="008B2CC1">
      <w:pPr>
        <w:rPr>
          <w:lang w:val="es-ES"/>
        </w:rPr>
      </w:pPr>
    </w:p>
    <w:p w:rsidR="002E77CF" w:rsidRPr="00002210" w:rsidRDefault="002E77CF" w:rsidP="008B2CC1">
      <w:pPr>
        <w:rPr>
          <w:lang w:val="es-ES"/>
        </w:rPr>
      </w:pPr>
    </w:p>
    <w:p w:rsidR="002E77CF" w:rsidRPr="00002210" w:rsidRDefault="002E77CF" w:rsidP="008B2CC1">
      <w:pPr>
        <w:rPr>
          <w:lang w:val="es-ES"/>
        </w:rPr>
      </w:pPr>
    </w:p>
    <w:p w:rsidR="002E77CF" w:rsidRPr="00002210" w:rsidRDefault="00002210" w:rsidP="008B2CC1">
      <w:pPr>
        <w:rPr>
          <w:caps/>
          <w:sz w:val="24"/>
          <w:lang w:val="es-ES"/>
        </w:rPr>
      </w:pPr>
      <w:bookmarkStart w:id="0" w:name="TitleOfDoc"/>
      <w:bookmarkEnd w:id="0"/>
      <w:r>
        <w:rPr>
          <w:caps/>
          <w:sz w:val="24"/>
          <w:szCs w:val="22"/>
          <w:lang w:val="es-ES"/>
        </w:rPr>
        <w:t>GRUPO ESPECIAL DE TRABAJO SOBRE EL DERECHO DE PARTICIPACIÓN DE LOS ARTISTAS EN LAS REVENTAS</w:t>
      </w:r>
    </w:p>
    <w:p w:rsidR="002E77CF" w:rsidRPr="00002210" w:rsidRDefault="002E77CF" w:rsidP="008B2CC1">
      <w:pPr>
        <w:rPr>
          <w:lang w:val="es-ES"/>
        </w:rPr>
      </w:pPr>
    </w:p>
    <w:p w:rsidR="002E77CF" w:rsidRPr="00002210" w:rsidRDefault="00002210" w:rsidP="008B2CC1">
      <w:pPr>
        <w:rPr>
          <w:i/>
          <w:lang w:val="es-ES"/>
        </w:rPr>
      </w:pPr>
      <w:bookmarkStart w:id="1" w:name="Prepared"/>
      <w:bookmarkStart w:id="2" w:name="_GoBack"/>
      <w:bookmarkEnd w:id="1"/>
      <w:r w:rsidRPr="00002210">
        <w:rPr>
          <w:i/>
          <w:lang w:val="es-ES"/>
        </w:rPr>
        <w:t>Documento preparado por la Secretaría</w:t>
      </w:r>
      <w:r w:rsidR="00D50C24" w:rsidRPr="00002210">
        <w:rPr>
          <w:i/>
          <w:lang w:val="es-ES"/>
        </w:rPr>
        <w:t xml:space="preserve"> </w:t>
      </w:r>
    </w:p>
    <w:bookmarkEnd w:id="2"/>
    <w:p w:rsidR="002E77CF" w:rsidRPr="00002210" w:rsidRDefault="002E77CF">
      <w:pPr>
        <w:rPr>
          <w:lang w:val="es-ES"/>
        </w:rPr>
      </w:pPr>
    </w:p>
    <w:p w:rsidR="002E77CF" w:rsidRPr="00002210" w:rsidRDefault="002E77CF">
      <w:pPr>
        <w:rPr>
          <w:lang w:val="es-ES"/>
        </w:rPr>
      </w:pPr>
    </w:p>
    <w:p w:rsidR="002E77CF" w:rsidRPr="00002210" w:rsidRDefault="002E77CF">
      <w:pPr>
        <w:rPr>
          <w:lang w:val="es-ES"/>
        </w:rPr>
      </w:pPr>
    </w:p>
    <w:p w:rsidR="002E77CF" w:rsidRPr="00002210" w:rsidRDefault="002E77CF" w:rsidP="0053057A">
      <w:pPr>
        <w:rPr>
          <w:lang w:val="es-ES"/>
        </w:rPr>
      </w:pPr>
    </w:p>
    <w:p w:rsidR="002E77CF" w:rsidRPr="00002210" w:rsidRDefault="005512A1">
      <w:pPr>
        <w:rPr>
          <w:lang w:val="es-ES"/>
        </w:rPr>
      </w:pPr>
      <w:r w:rsidRPr="00002210">
        <w:rPr>
          <w:lang w:val="es-ES"/>
        </w:rPr>
        <w:br w:type="page"/>
      </w:r>
    </w:p>
    <w:p w:rsidR="002E77CF" w:rsidRPr="00002210" w:rsidRDefault="006A424A" w:rsidP="006A424A">
      <w:pPr>
        <w:pStyle w:val="Default"/>
        <w:rPr>
          <w:sz w:val="22"/>
          <w:szCs w:val="22"/>
          <w:lang w:val="es-ES"/>
        </w:rPr>
      </w:pPr>
      <w:r w:rsidRPr="00002210">
        <w:rPr>
          <w:sz w:val="22"/>
          <w:szCs w:val="22"/>
          <w:lang w:val="es-ES"/>
        </w:rPr>
        <w:lastRenderedPageBreak/>
        <w:t>En el resumen de la Presidencia de la 36.ª sesión del SCCR, celebrada en mayo de 2018, en lo que respecta a</w:t>
      </w:r>
      <w:r w:rsidR="00002210">
        <w:rPr>
          <w:sz w:val="22"/>
          <w:szCs w:val="22"/>
          <w:lang w:val="es-ES"/>
        </w:rPr>
        <w:t>l</w:t>
      </w:r>
      <w:r w:rsidRPr="00002210">
        <w:rPr>
          <w:sz w:val="22"/>
          <w:szCs w:val="22"/>
          <w:lang w:val="es-ES"/>
        </w:rPr>
        <w:t xml:space="preserve"> derecho de participación en las reventas, el Comité acordó establecer un grupo especial de trabajo, compuesto por Miembros y partes interesadas, con el cometido de informar al Comité acerca de los elementos prácticos del derecho de participación d</w:t>
      </w:r>
      <w:r w:rsidR="00ED69D2">
        <w:rPr>
          <w:sz w:val="22"/>
          <w:szCs w:val="22"/>
          <w:lang w:val="es-ES"/>
        </w:rPr>
        <w:t>e los artistas en las reventas.</w:t>
      </w:r>
      <w:r w:rsidR="005512A1" w:rsidRPr="00002210">
        <w:rPr>
          <w:sz w:val="22"/>
          <w:szCs w:val="22"/>
          <w:lang w:val="es-ES"/>
        </w:rPr>
        <w:t xml:space="preserve"> </w:t>
      </w:r>
      <w:r w:rsidRPr="00002210">
        <w:rPr>
          <w:sz w:val="22"/>
          <w:szCs w:val="22"/>
          <w:lang w:val="es-ES"/>
        </w:rPr>
        <w:t>Se pidió que el grupo especial de trabajo presentara un informe provisional en la 37.ª</w:t>
      </w:r>
      <w:r w:rsidR="00002210">
        <w:rPr>
          <w:sz w:val="22"/>
          <w:szCs w:val="22"/>
          <w:lang w:val="es-ES"/>
        </w:rPr>
        <w:t> </w:t>
      </w:r>
      <w:r w:rsidRPr="00002210">
        <w:rPr>
          <w:sz w:val="22"/>
          <w:szCs w:val="22"/>
          <w:lang w:val="es-ES"/>
        </w:rPr>
        <w:t>sesión del SCCR.</w:t>
      </w:r>
    </w:p>
    <w:p w:rsidR="002E77CF" w:rsidRPr="00002210" w:rsidRDefault="002E77CF" w:rsidP="005512A1">
      <w:pPr>
        <w:pStyle w:val="Default"/>
        <w:rPr>
          <w:sz w:val="22"/>
          <w:szCs w:val="22"/>
          <w:lang w:val="es-ES"/>
        </w:rPr>
      </w:pPr>
    </w:p>
    <w:p w:rsidR="002E77CF" w:rsidRPr="00002210" w:rsidRDefault="006A424A" w:rsidP="006A424A">
      <w:pPr>
        <w:pStyle w:val="Default"/>
        <w:rPr>
          <w:sz w:val="22"/>
          <w:szCs w:val="22"/>
          <w:lang w:val="es-ES"/>
        </w:rPr>
      </w:pPr>
      <w:r w:rsidRPr="00002210">
        <w:rPr>
          <w:sz w:val="22"/>
          <w:szCs w:val="22"/>
          <w:lang w:val="es-ES"/>
        </w:rPr>
        <w:t>En el presente documento se presenta un informe sobre la composición y las modalidades de la labor y el alcance del grupo especial de trabajo.</w:t>
      </w:r>
      <w:r w:rsidR="005512A1" w:rsidRPr="00002210">
        <w:rPr>
          <w:sz w:val="22"/>
          <w:szCs w:val="22"/>
          <w:lang w:val="es-ES"/>
        </w:rPr>
        <w:t xml:space="preserve"> </w:t>
      </w:r>
    </w:p>
    <w:p w:rsidR="002E77CF" w:rsidRDefault="002E77CF" w:rsidP="005512A1">
      <w:pPr>
        <w:pStyle w:val="Default"/>
        <w:rPr>
          <w:sz w:val="22"/>
          <w:szCs w:val="22"/>
          <w:lang w:val="es-ES"/>
        </w:rPr>
      </w:pPr>
    </w:p>
    <w:p w:rsidR="005005CD" w:rsidRPr="00002210" w:rsidRDefault="005005CD" w:rsidP="005512A1">
      <w:pPr>
        <w:pStyle w:val="Default"/>
        <w:rPr>
          <w:sz w:val="22"/>
          <w:szCs w:val="22"/>
          <w:lang w:val="es-ES"/>
        </w:rPr>
      </w:pPr>
    </w:p>
    <w:p w:rsidR="002E77CF" w:rsidRPr="00002210" w:rsidRDefault="006A424A" w:rsidP="006A424A">
      <w:pPr>
        <w:pStyle w:val="Default"/>
        <w:rPr>
          <w:b/>
          <w:sz w:val="22"/>
          <w:szCs w:val="22"/>
          <w:lang w:val="es-ES"/>
        </w:rPr>
      </w:pPr>
      <w:r w:rsidRPr="00002210">
        <w:rPr>
          <w:b/>
          <w:sz w:val="22"/>
          <w:szCs w:val="22"/>
          <w:lang w:val="es-ES"/>
        </w:rPr>
        <w:t>Composición</w:t>
      </w:r>
    </w:p>
    <w:p w:rsidR="002E77CF" w:rsidRPr="00002210" w:rsidRDefault="002E77CF" w:rsidP="005512A1">
      <w:pPr>
        <w:pStyle w:val="Default"/>
        <w:rPr>
          <w:b/>
          <w:sz w:val="22"/>
          <w:szCs w:val="22"/>
          <w:lang w:val="es-ES"/>
        </w:rPr>
      </w:pPr>
    </w:p>
    <w:p w:rsidR="002E77CF" w:rsidRDefault="00002210" w:rsidP="006A424A">
      <w:pPr>
        <w:pStyle w:val="Default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Entre los expertos seleccionados para formar parte del grupo especial de trabajo figura un representante de cada uno de los siguientes grupos de sectores interesados. </w:t>
      </w:r>
      <w:r w:rsidR="006A424A" w:rsidRPr="00002210">
        <w:rPr>
          <w:sz w:val="22"/>
          <w:szCs w:val="22"/>
          <w:lang w:val="es-ES"/>
        </w:rPr>
        <w:t>Los expertos han sido seleccionados sobre la base de su competencia personal.</w:t>
      </w:r>
    </w:p>
    <w:p w:rsidR="005005CD" w:rsidRPr="00002210" w:rsidRDefault="005005CD" w:rsidP="006A424A">
      <w:pPr>
        <w:pStyle w:val="Default"/>
        <w:rPr>
          <w:sz w:val="22"/>
          <w:szCs w:val="22"/>
          <w:lang w:val="es-ES"/>
        </w:rPr>
      </w:pPr>
    </w:p>
    <w:p w:rsidR="002E77CF" w:rsidRPr="00002210" w:rsidRDefault="005512A1" w:rsidP="002D3328">
      <w:pPr>
        <w:pStyle w:val="Default"/>
        <w:numPr>
          <w:ilvl w:val="0"/>
          <w:numId w:val="8"/>
        </w:numPr>
        <w:ind w:left="1134" w:hanging="567"/>
        <w:rPr>
          <w:sz w:val="22"/>
          <w:szCs w:val="22"/>
          <w:lang w:val="es-ES"/>
        </w:rPr>
      </w:pPr>
      <w:r w:rsidRPr="00002210">
        <w:rPr>
          <w:sz w:val="22"/>
          <w:szCs w:val="22"/>
          <w:lang w:val="es-ES"/>
        </w:rPr>
        <w:t xml:space="preserve">Profesor Sam Ricketson, </w:t>
      </w:r>
      <w:r w:rsidR="00002210">
        <w:rPr>
          <w:sz w:val="22"/>
          <w:szCs w:val="22"/>
          <w:lang w:val="es-ES"/>
        </w:rPr>
        <w:t>Universidad</w:t>
      </w:r>
      <w:r w:rsidRPr="00002210">
        <w:rPr>
          <w:sz w:val="22"/>
          <w:szCs w:val="22"/>
          <w:lang w:val="es-ES"/>
        </w:rPr>
        <w:t xml:space="preserve"> </w:t>
      </w:r>
      <w:r w:rsidR="00002210">
        <w:rPr>
          <w:sz w:val="22"/>
          <w:szCs w:val="22"/>
          <w:lang w:val="es-ES"/>
        </w:rPr>
        <w:t>de</w:t>
      </w:r>
      <w:r w:rsidRPr="00002210">
        <w:rPr>
          <w:sz w:val="22"/>
          <w:szCs w:val="22"/>
          <w:lang w:val="es-ES"/>
        </w:rPr>
        <w:t xml:space="preserve"> Melbourne, Melbourne </w:t>
      </w:r>
      <w:r w:rsidR="00002210">
        <w:rPr>
          <w:sz w:val="22"/>
          <w:szCs w:val="22"/>
          <w:lang w:val="es-ES"/>
        </w:rPr>
        <w:t>(</w:t>
      </w:r>
      <w:r w:rsidRPr="00002210">
        <w:rPr>
          <w:sz w:val="22"/>
          <w:szCs w:val="22"/>
          <w:lang w:val="es-ES"/>
        </w:rPr>
        <w:t>Australia</w:t>
      </w:r>
      <w:r w:rsidR="00002210">
        <w:rPr>
          <w:sz w:val="22"/>
          <w:szCs w:val="22"/>
          <w:lang w:val="es-ES"/>
        </w:rPr>
        <w:t>)</w:t>
      </w:r>
      <w:r w:rsidRPr="00002210">
        <w:rPr>
          <w:sz w:val="22"/>
          <w:szCs w:val="22"/>
          <w:lang w:val="es-ES"/>
        </w:rPr>
        <w:t>;</w:t>
      </w:r>
    </w:p>
    <w:p w:rsidR="002E77CF" w:rsidRPr="00002210" w:rsidRDefault="00002210" w:rsidP="002D3328">
      <w:pPr>
        <w:pStyle w:val="Default"/>
        <w:numPr>
          <w:ilvl w:val="0"/>
          <w:numId w:val="7"/>
        </w:numPr>
        <w:ind w:left="1134" w:hanging="567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Julio Carrasco Bretó</w:t>
      </w:r>
      <w:r w:rsidR="005512A1" w:rsidRPr="00002210">
        <w:rPr>
          <w:sz w:val="22"/>
          <w:szCs w:val="22"/>
          <w:lang w:val="es-ES"/>
        </w:rPr>
        <w:t>n,</w:t>
      </w:r>
      <w:r>
        <w:rPr>
          <w:sz w:val="22"/>
          <w:szCs w:val="22"/>
          <w:lang w:val="es-ES"/>
        </w:rPr>
        <w:t xml:space="preserve"> a</w:t>
      </w:r>
      <w:r w:rsidR="005512A1" w:rsidRPr="00002210">
        <w:rPr>
          <w:sz w:val="22"/>
          <w:szCs w:val="22"/>
          <w:lang w:val="es-ES"/>
        </w:rPr>
        <w:t>rtist</w:t>
      </w:r>
      <w:r>
        <w:rPr>
          <w:sz w:val="22"/>
          <w:szCs w:val="22"/>
          <w:lang w:val="es-ES"/>
        </w:rPr>
        <w:t>a, (Mé</w:t>
      </w:r>
      <w:r w:rsidR="005512A1" w:rsidRPr="00002210">
        <w:rPr>
          <w:sz w:val="22"/>
          <w:szCs w:val="22"/>
          <w:lang w:val="es-ES"/>
        </w:rPr>
        <w:t>xico</w:t>
      </w:r>
      <w:r>
        <w:rPr>
          <w:sz w:val="22"/>
          <w:szCs w:val="22"/>
          <w:lang w:val="es-ES"/>
        </w:rPr>
        <w:t>)</w:t>
      </w:r>
      <w:r w:rsidR="005512A1" w:rsidRPr="00002210">
        <w:rPr>
          <w:sz w:val="22"/>
          <w:szCs w:val="22"/>
          <w:lang w:val="es-ES"/>
        </w:rPr>
        <w:t>;</w:t>
      </w:r>
    </w:p>
    <w:p w:rsidR="002E77CF" w:rsidRPr="00534366" w:rsidRDefault="005512A1" w:rsidP="002D3328">
      <w:pPr>
        <w:pStyle w:val="Default"/>
        <w:numPr>
          <w:ilvl w:val="0"/>
          <w:numId w:val="8"/>
        </w:numPr>
        <w:ind w:left="1134" w:hanging="567"/>
        <w:rPr>
          <w:sz w:val="22"/>
          <w:szCs w:val="22"/>
          <w:lang w:val="fr-CH"/>
        </w:rPr>
      </w:pPr>
      <w:r w:rsidRPr="00534366">
        <w:rPr>
          <w:sz w:val="22"/>
          <w:szCs w:val="22"/>
          <w:lang w:val="fr-CH"/>
        </w:rPr>
        <w:t xml:space="preserve">Marie-Anne Ferry Fall, </w:t>
      </w:r>
      <w:r w:rsidR="00002210" w:rsidRPr="00534366">
        <w:rPr>
          <w:sz w:val="22"/>
          <w:szCs w:val="22"/>
          <w:lang w:val="fr-CH"/>
        </w:rPr>
        <w:t>d</w:t>
      </w:r>
      <w:r w:rsidRPr="00534366">
        <w:rPr>
          <w:sz w:val="22"/>
          <w:szCs w:val="22"/>
          <w:lang w:val="fr-CH"/>
        </w:rPr>
        <w:t>irector</w:t>
      </w:r>
      <w:r w:rsidR="00002210" w:rsidRPr="00534366">
        <w:rPr>
          <w:sz w:val="22"/>
          <w:szCs w:val="22"/>
          <w:lang w:val="fr-CH"/>
        </w:rPr>
        <w:t>a</w:t>
      </w:r>
      <w:r w:rsidRPr="00534366">
        <w:rPr>
          <w:sz w:val="22"/>
          <w:szCs w:val="22"/>
          <w:lang w:val="fr-CH"/>
        </w:rPr>
        <w:t xml:space="preserve"> </w:t>
      </w:r>
      <w:r w:rsidR="00002210" w:rsidRPr="00534366">
        <w:rPr>
          <w:sz w:val="22"/>
          <w:szCs w:val="22"/>
          <w:lang w:val="fr-CH"/>
        </w:rPr>
        <w:t>g</w:t>
      </w:r>
      <w:r w:rsidRPr="00534366">
        <w:rPr>
          <w:sz w:val="22"/>
          <w:szCs w:val="22"/>
          <w:lang w:val="fr-CH"/>
        </w:rPr>
        <w:t xml:space="preserve">eneral, </w:t>
      </w:r>
      <w:r w:rsidRPr="00534366">
        <w:rPr>
          <w:i/>
          <w:color w:val="393939"/>
          <w:sz w:val="22"/>
          <w:szCs w:val="22"/>
          <w:shd w:val="clear" w:color="auto" w:fill="FFFFFF"/>
          <w:lang w:val="fr-CH"/>
        </w:rPr>
        <w:t>Association pour la diffusion des arts graphiques et plastiques</w:t>
      </w:r>
      <w:r w:rsidRPr="00534366">
        <w:rPr>
          <w:sz w:val="22"/>
          <w:szCs w:val="22"/>
          <w:lang w:val="fr-CH"/>
        </w:rPr>
        <w:t xml:space="preserve"> (</w:t>
      </w:r>
      <w:r w:rsidR="00002210" w:rsidRPr="00534366">
        <w:rPr>
          <w:sz w:val="22"/>
          <w:szCs w:val="22"/>
          <w:lang w:val="fr-CH"/>
        </w:rPr>
        <w:t>ADAGP), París (Francia)</w:t>
      </w:r>
      <w:r w:rsidRPr="00534366">
        <w:rPr>
          <w:sz w:val="22"/>
          <w:szCs w:val="22"/>
          <w:lang w:val="fr-CH"/>
        </w:rPr>
        <w:t>;</w:t>
      </w:r>
    </w:p>
    <w:p w:rsidR="002E77CF" w:rsidRPr="00002210" w:rsidRDefault="005512A1" w:rsidP="002D3328">
      <w:pPr>
        <w:pStyle w:val="Default"/>
        <w:numPr>
          <w:ilvl w:val="0"/>
          <w:numId w:val="7"/>
        </w:numPr>
        <w:ind w:left="1134" w:hanging="567"/>
        <w:rPr>
          <w:sz w:val="22"/>
          <w:szCs w:val="22"/>
          <w:lang w:val="es-ES"/>
        </w:rPr>
      </w:pPr>
      <w:r w:rsidRPr="00002210">
        <w:rPr>
          <w:sz w:val="22"/>
          <w:szCs w:val="22"/>
          <w:lang w:val="es-ES"/>
        </w:rPr>
        <w:t xml:space="preserve">Mark Dodgson, </w:t>
      </w:r>
      <w:r w:rsidR="00002210" w:rsidRPr="00002210">
        <w:rPr>
          <w:sz w:val="22"/>
          <w:szCs w:val="22"/>
          <w:lang w:val="es-ES"/>
        </w:rPr>
        <w:t>Confederación Internacional de Comerciantes de Obras de Arte</w:t>
      </w:r>
      <w:r w:rsidRPr="00002210">
        <w:rPr>
          <w:sz w:val="22"/>
          <w:szCs w:val="22"/>
          <w:lang w:val="es-ES"/>
        </w:rPr>
        <w:t xml:space="preserve">, (CINOA), </w:t>
      </w:r>
      <w:r w:rsidR="00002210" w:rsidRPr="00002210">
        <w:rPr>
          <w:sz w:val="22"/>
          <w:szCs w:val="22"/>
          <w:lang w:val="es-ES"/>
        </w:rPr>
        <w:t>secretario</w:t>
      </w:r>
      <w:r w:rsidRPr="00002210">
        <w:rPr>
          <w:sz w:val="22"/>
          <w:szCs w:val="22"/>
          <w:lang w:val="es-ES"/>
        </w:rPr>
        <w:t xml:space="preserve"> </w:t>
      </w:r>
      <w:r w:rsidR="00002210" w:rsidRPr="00002210">
        <w:rPr>
          <w:sz w:val="22"/>
          <w:szCs w:val="22"/>
          <w:lang w:val="es-ES"/>
        </w:rPr>
        <w:t>g</w:t>
      </w:r>
      <w:r w:rsidRPr="00002210">
        <w:rPr>
          <w:sz w:val="22"/>
          <w:szCs w:val="22"/>
          <w:lang w:val="es-ES"/>
        </w:rPr>
        <w:t xml:space="preserve">eneral </w:t>
      </w:r>
      <w:r w:rsidR="00002210" w:rsidRPr="00002210">
        <w:rPr>
          <w:sz w:val="22"/>
          <w:szCs w:val="22"/>
          <w:lang w:val="es-ES"/>
        </w:rPr>
        <w:t xml:space="preserve">de la </w:t>
      </w:r>
      <w:r w:rsidRPr="00E02E77">
        <w:rPr>
          <w:i/>
          <w:iCs/>
          <w:sz w:val="22"/>
          <w:szCs w:val="22"/>
          <w:lang w:val="es-ES"/>
        </w:rPr>
        <w:t>British Antique Deal</w:t>
      </w:r>
      <w:r w:rsidR="00002210" w:rsidRPr="00E02E77">
        <w:rPr>
          <w:i/>
          <w:iCs/>
          <w:sz w:val="22"/>
          <w:szCs w:val="22"/>
          <w:lang w:val="es-ES"/>
        </w:rPr>
        <w:t>ers’ Association</w:t>
      </w:r>
      <w:r w:rsidR="00002210" w:rsidRPr="00002210">
        <w:rPr>
          <w:sz w:val="22"/>
          <w:szCs w:val="22"/>
          <w:lang w:val="es-ES"/>
        </w:rPr>
        <w:t xml:space="preserve"> (BADA), Londres (Reino Unido)</w:t>
      </w:r>
      <w:r w:rsidRPr="00002210">
        <w:rPr>
          <w:sz w:val="22"/>
          <w:szCs w:val="22"/>
          <w:lang w:val="es-ES"/>
        </w:rPr>
        <w:t>;</w:t>
      </w:r>
    </w:p>
    <w:p w:rsidR="002E77CF" w:rsidRPr="00002210" w:rsidRDefault="00002210" w:rsidP="002D3328">
      <w:pPr>
        <w:pStyle w:val="Default"/>
        <w:numPr>
          <w:ilvl w:val="0"/>
          <w:numId w:val="8"/>
        </w:numPr>
        <w:ind w:left="1134" w:hanging="567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Un representante de una casa de subastas</w:t>
      </w:r>
      <w:r w:rsidR="005512A1" w:rsidRPr="00002210">
        <w:rPr>
          <w:sz w:val="22"/>
          <w:szCs w:val="22"/>
          <w:lang w:val="es-ES"/>
        </w:rPr>
        <w:t xml:space="preserve">, </w:t>
      </w:r>
      <w:r>
        <w:rPr>
          <w:sz w:val="22"/>
          <w:szCs w:val="22"/>
          <w:lang w:val="es-ES"/>
        </w:rPr>
        <w:t>por determinar</w:t>
      </w:r>
      <w:r w:rsidR="005512A1" w:rsidRPr="00002210">
        <w:rPr>
          <w:sz w:val="22"/>
          <w:szCs w:val="22"/>
          <w:lang w:val="es-ES"/>
        </w:rPr>
        <w:t>;</w:t>
      </w:r>
    </w:p>
    <w:p w:rsidR="002E77CF" w:rsidRPr="00534366" w:rsidRDefault="005512A1" w:rsidP="002D3328">
      <w:pPr>
        <w:pStyle w:val="Default"/>
        <w:numPr>
          <w:ilvl w:val="0"/>
          <w:numId w:val="8"/>
        </w:numPr>
        <w:ind w:left="1134" w:hanging="567"/>
        <w:rPr>
          <w:sz w:val="22"/>
          <w:szCs w:val="22"/>
          <w:lang w:val="fr-CH"/>
        </w:rPr>
      </w:pPr>
      <w:r w:rsidRPr="00534366">
        <w:rPr>
          <w:sz w:val="22"/>
          <w:szCs w:val="22"/>
          <w:lang w:val="fr-CH"/>
        </w:rPr>
        <w:t xml:space="preserve">Emilie Mermillod, </w:t>
      </w:r>
      <w:r w:rsidRPr="00534366">
        <w:rPr>
          <w:i/>
          <w:iCs/>
          <w:sz w:val="22"/>
          <w:szCs w:val="22"/>
          <w:lang w:val="fr-CH"/>
        </w:rPr>
        <w:t>Seydoux Associés Fi</w:t>
      </w:r>
      <w:r w:rsidR="00C66ACA" w:rsidRPr="00534366">
        <w:rPr>
          <w:i/>
          <w:iCs/>
          <w:sz w:val="22"/>
          <w:szCs w:val="22"/>
          <w:lang w:val="fr-CH"/>
        </w:rPr>
        <w:t>ne Arts SA</w:t>
      </w:r>
      <w:r w:rsidR="00C66ACA" w:rsidRPr="00534366">
        <w:rPr>
          <w:sz w:val="22"/>
          <w:szCs w:val="22"/>
          <w:lang w:val="fr-CH"/>
        </w:rPr>
        <w:t xml:space="preserve">, </w:t>
      </w:r>
      <w:r w:rsidR="00002210" w:rsidRPr="00534366">
        <w:rPr>
          <w:sz w:val="22"/>
          <w:szCs w:val="22"/>
          <w:lang w:val="fr-CH"/>
        </w:rPr>
        <w:t>Ginebra (Suiza)</w:t>
      </w:r>
      <w:r w:rsidRPr="00534366">
        <w:rPr>
          <w:sz w:val="22"/>
          <w:szCs w:val="22"/>
          <w:lang w:val="fr-CH"/>
        </w:rPr>
        <w:t>;</w:t>
      </w:r>
    </w:p>
    <w:p w:rsidR="002E77CF" w:rsidRPr="00002210" w:rsidRDefault="00002210" w:rsidP="002D3328">
      <w:pPr>
        <w:pStyle w:val="Default"/>
        <w:numPr>
          <w:ilvl w:val="0"/>
          <w:numId w:val="8"/>
        </w:numPr>
        <w:ind w:left="1134" w:hanging="567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Un representante de la Presidencia del </w:t>
      </w:r>
      <w:r w:rsidR="005512A1" w:rsidRPr="00002210">
        <w:rPr>
          <w:sz w:val="22"/>
          <w:szCs w:val="22"/>
          <w:lang w:val="es-ES"/>
        </w:rPr>
        <w:t>SCCR</w:t>
      </w:r>
      <w:r>
        <w:rPr>
          <w:sz w:val="22"/>
          <w:szCs w:val="22"/>
          <w:lang w:val="es-ES"/>
        </w:rPr>
        <w:t>; y</w:t>
      </w:r>
    </w:p>
    <w:p w:rsidR="002E77CF" w:rsidRPr="00002210" w:rsidRDefault="00002210" w:rsidP="002D3328">
      <w:pPr>
        <w:pStyle w:val="Default"/>
        <w:numPr>
          <w:ilvl w:val="0"/>
          <w:numId w:val="8"/>
        </w:numPr>
        <w:ind w:left="1134" w:hanging="567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Dos vicepresidentes del SCCR</w:t>
      </w:r>
      <w:r w:rsidR="00E02E77">
        <w:rPr>
          <w:sz w:val="22"/>
          <w:szCs w:val="22"/>
          <w:lang w:val="es-ES"/>
        </w:rPr>
        <w:t>.</w:t>
      </w:r>
    </w:p>
    <w:p w:rsidR="002E77CF" w:rsidRPr="00002210" w:rsidRDefault="002E77CF" w:rsidP="005512A1">
      <w:pPr>
        <w:pStyle w:val="Default"/>
        <w:ind w:left="900" w:hanging="900"/>
        <w:rPr>
          <w:sz w:val="22"/>
          <w:szCs w:val="22"/>
          <w:lang w:val="es-ES"/>
        </w:rPr>
      </w:pPr>
    </w:p>
    <w:p w:rsidR="002E77CF" w:rsidRPr="00002210" w:rsidRDefault="00E02E77" w:rsidP="00E02E77">
      <w:pPr>
        <w:pStyle w:val="Default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Se invitará a los coordinadores de grupos regionales a participar en calidad de observadores. Cuando sea necesario para la elaboración del informe, se instará/invitará al grupo especial de trabajo a consultar con otros expertos según las circunstancias de cada caso a fin de recabar sus opiniones.</w:t>
      </w:r>
      <w:r w:rsidR="005512A1" w:rsidRPr="00002210">
        <w:rPr>
          <w:sz w:val="22"/>
          <w:szCs w:val="22"/>
          <w:lang w:val="es-ES"/>
        </w:rPr>
        <w:t xml:space="preserve"> </w:t>
      </w:r>
    </w:p>
    <w:p w:rsidR="002E77CF" w:rsidRDefault="002E77CF" w:rsidP="005512A1">
      <w:pPr>
        <w:pStyle w:val="Default"/>
        <w:rPr>
          <w:sz w:val="22"/>
          <w:szCs w:val="22"/>
          <w:lang w:val="es-ES"/>
        </w:rPr>
      </w:pPr>
    </w:p>
    <w:p w:rsidR="005005CD" w:rsidRPr="00002210" w:rsidRDefault="005005CD" w:rsidP="005512A1">
      <w:pPr>
        <w:pStyle w:val="Default"/>
        <w:rPr>
          <w:sz w:val="22"/>
          <w:szCs w:val="22"/>
          <w:lang w:val="es-ES"/>
        </w:rPr>
      </w:pPr>
    </w:p>
    <w:p w:rsidR="002E77CF" w:rsidRPr="00002210" w:rsidRDefault="006A424A" w:rsidP="006A424A">
      <w:pPr>
        <w:pStyle w:val="Default"/>
        <w:rPr>
          <w:b/>
          <w:sz w:val="22"/>
          <w:szCs w:val="22"/>
          <w:lang w:val="es-ES"/>
        </w:rPr>
      </w:pPr>
      <w:r w:rsidRPr="00002210">
        <w:rPr>
          <w:b/>
          <w:sz w:val="22"/>
          <w:szCs w:val="22"/>
          <w:lang w:val="es-ES"/>
        </w:rPr>
        <w:t>Modalidades de la labor y alcance</w:t>
      </w:r>
    </w:p>
    <w:p w:rsidR="002E77CF" w:rsidRPr="00002210" w:rsidRDefault="002E77CF" w:rsidP="005512A1">
      <w:pPr>
        <w:pStyle w:val="Default"/>
        <w:rPr>
          <w:sz w:val="22"/>
          <w:szCs w:val="22"/>
          <w:lang w:val="es-ES"/>
        </w:rPr>
      </w:pPr>
    </w:p>
    <w:p w:rsidR="002E77CF" w:rsidRPr="00002210" w:rsidRDefault="00E02E77" w:rsidP="005512A1">
      <w:pPr>
        <w:pStyle w:val="Default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El grupo especial de trabajo se reunirá por primera vez en 2018. En 2019 se organizarán varias reuniones para intercambiar opiniones, entre otras, </w:t>
      </w:r>
      <w:r w:rsidR="00971C8A">
        <w:rPr>
          <w:sz w:val="22"/>
          <w:szCs w:val="22"/>
          <w:lang w:val="es-ES"/>
        </w:rPr>
        <w:t xml:space="preserve">las que se lleven a cabo por </w:t>
      </w:r>
      <w:r>
        <w:rPr>
          <w:sz w:val="22"/>
          <w:szCs w:val="22"/>
          <w:lang w:val="es-ES"/>
        </w:rPr>
        <w:t>medios técnicos como las videoconferencias, antes de que el grupo especial de trabajo informe de ello al SCCR</w:t>
      </w:r>
      <w:r w:rsidR="005512A1" w:rsidRPr="00002210">
        <w:rPr>
          <w:sz w:val="22"/>
          <w:szCs w:val="22"/>
          <w:lang w:val="es-ES"/>
        </w:rPr>
        <w:t xml:space="preserve">. </w:t>
      </w:r>
    </w:p>
    <w:p w:rsidR="002E77CF" w:rsidRPr="00002210" w:rsidRDefault="002E77CF" w:rsidP="005512A1">
      <w:pPr>
        <w:pStyle w:val="Default"/>
        <w:rPr>
          <w:sz w:val="22"/>
          <w:szCs w:val="22"/>
          <w:lang w:val="es-ES"/>
        </w:rPr>
      </w:pPr>
    </w:p>
    <w:p w:rsidR="002E77CF" w:rsidRPr="00002210" w:rsidRDefault="006A424A" w:rsidP="006A424A">
      <w:pPr>
        <w:pStyle w:val="Default"/>
        <w:spacing w:after="220"/>
        <w:rPr>
          <w:sz w:val="22"/>
          <w:szCs w:val="22"/>
          <w:lang w:val="es-ES"/>
        </w:rPr>
      </w:pPr>
      <w:r w:rsidRPr="00002210">
        <w:rPr>
          <w:sz w:val="22"/>
          <w:szCs w:val="22"/>
          <w:lang w:val="es-ES"/>
        </w:rPr>
        <w:t xml:space="preserve">El </w:t>
      </w:r>
      <w:r w:rsidR="00971C8A">
        <w:rPr>
          <w:sz w:val="22"/>
          <w:szCs w:val="22"/>
          <w:lang w:val="es-ES"/>
        </w:rPr>
        <w:t xml:space="preserve">grupo especial de trabajo </w:t>
      </w:r>
      <w:r w:rsidR="00E02E77">
        <w:rPr>
          <w:sz w:val="22"/>
          <w:szCs w:val="22"/>
          <w:lang w:val="es-ES"/>
        </w:rPr>
        <w:t xml:space="preserve">examinará </w:t>
      </w:r>
      <w:r w:rsidRPr="00002210">
        <w:rPr>
          <w:sz w:val="22"/>
          <w:szCs w:val="22"/>
          <w:lang w:val="es-ES"/>
        </w:rPr>
        <w:t>los elementos esenciales de un sistema que regule el derecho de participación en las reventas</w:t>
      </w:r>
      <w:r w:rsidR="00E02E77">
        <w:rPr>
          <w:sz w:val="22"/>
          <w:szCs w:val="22"/>
          <w:lang w:val="es-ES"/>
        </w:rPr>
        <w:t xml:space="preserve"> </w:t>
      </w:r>
      <w:r w:rsidRPr="00002210">
        <w:rPr>
          <w:sz w:val="22"/>
          <w:szCs w:val="22"/>
          <w:lang w:val="es-ES"/>
        </w:rPr>
        <w:t xml:space="preserve">comunes a la mayoría de las legislaciones y en el que figuren, concretamente, los </w:t>
      </w:r>
      <w:r w:rsidR="00DC298E">
        <w:rPr>
          <w:sz w:val="22"/>
          <w:szCs w:val="22"/>
          <w:lang w:val="es-ES"/>
        </w:rPr>
        <w:t xml:space="preserve">temas </w:t>
      </w:r>
      <w:r w:rsidRPr="00002210">
        <w:rPr>
          <w:sz w:val="22"/>
          <w:szCs w:val="22"/>
          <w:lang w:val="es-ES"/>
        </w:rPr>
        <w:t>siguientes:</w:t>
      </w:r>
      <w:r w:rsidR="005512A1" w:rsidRPr="00002210">
        <w:rPr>
          <w:sz w:val="22"/>
          <w:szCs w:val="22"/>
          <w:lang w:val="es-ES"/>
        </w:rPr>
        <w:t xml:space="preserve"> </w:t>
      </w:r>
    </w:p>
    <w:p w:rsidR="002E77CF" w:rsidRPr="00002210" w:rsidRDefault="00DC298E" w:rsidP="002D3328">
      <w:pPr>
        <w:pStyle w:val="Default"/>
        <w:numPr>
          <w:ilvl w:val="0"/>
          <w:numId w:val="9"/>
        </w:numPr>
        <w:ind w:left="1134" w:hanging="567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Los fundamentos del derecho, incluido el aumento del valor de la obra de arte</w:t>
      </w:r>
      <w:r w:rsidR="005512A1" w:rsidRPr="00002210">
        <w:rPr>
          <w:sz w:val="22"/>
          <w:szCs w:val="22"/>
          <w:lang w:val="es-ES"/>
        </w:rPr>
        <w:t>;</w:t>
      </w:r>
    </w:p>
    <w:p w:rsidR="002E77CF" w:rsidRPr="00002210" w:rsidRDefault="00DC298E" w:rsidP="002D3328">
      <w:pPr>
        <w:pStyle w:val="Default"/>
        <w:numPr>
          <w:ilvl w:val="0"/>
          <w:numId w:val="9"/>
        </w:numPr>
        <w:ind w:left="1134" w:hanging="567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Las obras </w:t>
      </w:r>
      <w:r w:rsidR="0030019C">
        <w:rPr>
          <w:sz w:val="22"/>
          <w:szCs w:val="22"/>
          <w:lang w:val="es-ES"/>
        </w:rPr>
        <w:t xml:space="preserve">a las que atañe </w:t>
      </w:r>
      <w:r>
        <w:rPr>
          <w:sz w:val="22"/>
          <w:szCs w:val="22"/>
          <w:lang w:val="es-ES"/>
        </w:rPr>
        <w:t>el derecho</w:t>
      </w:r>
      <w:r w:rsidR="005512A1" w:rsidRPr="00002210">
        <w:rPr>
          <w:sz w:val="22"/>
          <w:szCs w:val="22"/>
          <w:lang w:val="es-ES"/>
        </w:rPr>
        <w:t>;</w:t>
      </w:r>
    </w:p>
    <w:p w:rsidR="002E77CF" w:rsidRPr="00DC298E" w:rsidRDefault="00DC298E" w:rsidP="002D3328">
      <w:pPr>
        <w:pStyle w:val="Default"/>
        <w:numPr>
          <w:ilvl w:val="0"/>
          <w:numId w:val="9"/>
        </w:numPr>
        <w:ind w:left="1134" w:hanging="567"/>
        <w:rPr>
          <w:sz w:val="22"/>
          <w:szCs w:val="22"/>
          <w:lang w:val="es-ES"/>
        </w:rPr>
      </w:pPr>
      <w:r w:rsidRPr="00DC298E">
        <w:rPr>
          <w:sz w:val="22"/>
          <w:szCs w:val="22"/>
          <w:lang w:val="es-ES"/>
        </w:rPr>
        <w:t xml:space="preserve">La determinación del </w:t>
      </w:r>
      <w:r w:rsidR="0030019C">
        <w:rPr>
          <w:sz w:val="22"/>
          <w:szCs w:val="22"/>
          <w:lang w:val="es-ES"/>
        </w:rPr>
        <w:t>porcentaje</w:t>
      </w:r>
      <w:r w:rsidR="005512A1" w:rsidRPr="00DC298E">
        <w:rPr>
          <w:sz w:val="22"/>
          <w:szCs w:val="22"/>
          <w:lang w:val="es-ES"/>
        </w:rPr>
        <w:t>;</w:t>
      </w:r>
    </w:p>
    <w:p w:rsidR="002E77CF" w:rsidRPr="00002210" w:rsidRDefault="00DC298E" w:rsidP="002D3328">
      <w:pPr>
        <w:pStyle w:val="Default"/>
        <w:numPr>
          <w:ilvl w:val="0"/>
          <w:numId w:val="9"/>
        </w:numPr>
        <w:ind w:left="1134" w:hanging="567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Las m</w:t>
      </w:r>
      <w:r w:rsidR="006A424A" w:rsidRPr="00002210">
        <w:rPr>
          <w:sz w:val="22"/>
          <w:szCs w:val="22"/>
          <w:lang w:val="es-ES"/>
        </w:rPr>
        <w:t xml:space="preserve">odalidades de recaudación y </w:t>
      </w:r>
      <w:r>
        <w:rPr>
          <w:sz w:val="22"/>
          <w:szCs w:val="22"/>
          <w:lang w:val="es-ES"/>
        </w:rPr>
        <w:t>reparto</w:t>
      </w:r>
      <w:r w:rsidR="006A424A" w:rsidRPr="00002210">
        <w:rPr>
          <w:sz w:val="22"/>
          <w:szCs w:val="22"/>
          <w:lang w:val="es-ES"/>
        </w:rPr>
        <w:t>;</w:t>
      </w:r>
    </w:p>
    <w:p w:rsidR="002E77CF" w:rsidRPr="00002210" w:rsidRDefault="00DC298E" w:rsidP="002D3328">
      <w:pPr>
        <w:pStyle w:val="Default"/>
        <w:numPr>
          <w:ilvl w:val="0"/>
          <w:numId w:val="9"/>
        </w:numPr>
        <w:ind w:left="1134" w:hanging="567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Las transacciones sujetas al derecho</w:t>
      </w:r>
      <w:r w:rsidR="005512A1" w:rsidRPr="00002210">
        <w:rPr>
          <w:sz w:val="22"/>
          <w:szCs w:val="22"/>
          <w:lang w:val="es-ES"/>
        </w:rPr>
        <w:t>;</w:t>
      </w:r>
    </w:p>
    <w:p w:rsidR="002E77CF" w:rsidRPr="00002210" w:rsidRDefault="00DC298E" w:rsidP="002D3328">
      <w:pPr>
        <w:pStyle w:val="Default"/>
        <w:numPr>
          <w:ilvl w:val="0"/>
          <w:numId w:val="9"/>
        </w:numPr>
        <w:ind w:left="1134" w:hanging="567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Las p</w:t>
      </w:r>
      <w:r w:rsidR="006A424A" w:rsidRPr="00002210">
        <w:rPr>
          <w:sz w:val="22"/>
          <w:szCs w:val="22"/>
          <w:lang w:val="es-ES"/>
        </w:rPr>
        <w:t>ersonas que pueden invocar el derecho;</w:t>
      </w:r>
    </w:p>
    <w:p w:rsidR="002E77CF" w:rsidRPr="00002210" w:rsidRDefault="006A424A" w:rsidP="002D3328">
      <w:pPr>
        <w:pStyle w:val="Default"/>
        <w:numPr>
          <w:ilvl w:val="0"/>
          <w:numId w:val="9"/>
        </w:numPr>
        <w:ind w:left="1134" w:hanging="567"/>
        <w:rPr>
          <w:sz w:val="22"/>
          <w:szCs w:val="22"/>
          <w:lang w:val="es-ES"/>
        </w:rPr>
      </w:pPr>
      <w:r w:rsidRPr="00002210">
        <w:rPr>
          <w:sz w:val="22"/>
          <w:szCs w:val="22"/>
          <w:lang w:val="es-ES"/>
        </w:rPr>
        <w:t>La gestión del derecho</w:t>
      </w:r>
      <w:r w:rsidR="00DC298E">
        <w:rPr>
          <w:sz w:val="22"/>
          <w:szCs w:val="22"/>
          <w:lang w:val="es-ES"/>
        </w:rPr>
        <w:t>;</w:t>
      </w:r>
    </w:p>
    <w:p w:rsidR="002E77CF" w:rsidRPr="00002210" w:rsidRDefault="00DC298E" w:rsidP="002D3328">
      <w:pPr>
        <w:pStyle w:val="Default"/>
        <w:numPr>
          <w:ilvl w:val="0"/>
          <w:numId w:val="9"/>
        </w:numPr>
        <w:ind w:left="1134" w:hanging="567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La </w:t>
      </w:r>
      <w:r w:rsidR="00727610">
        <w:rPr>
          <w:sz w:val="22"/>
          <w:szCs w:val="22"/>
          <w:lang w:val="es-ES"/>
        </w:rPr>
        <w:t>responsabilidad</w:t>
      </w:r>
      <w:r w:rsidR="006A424A" w:rsidRPr="00002210">
        <w:rPr>
          <w:sz w:val="22"/>
          <w:szCs w:val="22"/>
          <w:lang w:val="es-ES"/>
        </w:rPr>
        <w:t xml:space="preserve"> de</w:t>
      </w:r>
      <w:r w:rsidR="00727610">
        <w:rPr>
          <w:sz w:val="22"/>
          <w:szCs w:val="22"/>
          <w:lang w:val="es-ES"/>
        </w:rPr>
        <w:t>l</w:t>
      </w:r>
      <w:r w:rsidR="006A424A" w:rsidRPr="00002210">
        <w:rPr>
          <w:sz w:val="22"/>
          <w:szCs w:val="22"/>
          <w:lang w:val="es-ES"/>
        </w:rPr>
        <w:t xml:space="preserve"> pago</w:t>
      </w:r>
      <w:r>
        <w:rPr>
          <w:sz w:val="22"/>
          <w:szCs w:val="22"/>
          <w:lang w:val="es-ES"/>
        </w:rPr>
        <w:t>;</w:t>
      </w:r>
    </w:p>
    <w:p w:rsidR="002E77CF" w:rsidRPr="00002210" w:rsidRDefault="00DC298E" w:rsidP="002D3328">
      <w:pPr>
        <w:pStyle w:val="Default"/>
        <w:numPr>
          <w:ilvl w:val="0"/>
          <w:numId w:val="9"/>
        </w:numPr>
        <w:ind w:left="1134" w:hanging="567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Información sobre las reventas</w:t>
      </w:r>
      <w:r w:rsidR="005512A1" w:rsidRPr="00002210">
        <w:rPr>
          <w:sz w:val="22"/>
          <w:szCs w:val="22"/>
          <w:lang w:val="es-ES"/>
        </w:rPr>
        <w:t>;</w:t>
      </w:r>
      <w:r>
        <w:rPr>
          <w:sz w:val="22"/>
          <w:szCs w:val="22"/>
          <w:lang w:val="es-ES"/>
        </w:rPr>
        <w:t xml:space="preserve"> y</w:t>
      </w:r>
    </w:p>
    <w:p w:rsidR="002E77CF" w:rsidRDefault="00002210" w:rsidP="002D3328">
      <w:pPr>
        <w:pStyle w:val="Default"/>
        <w:numPr>
          <w:ilvl w:val="0"/>
          <w:numId w:val="9"/>
        </w:numPr>
        <w:ind w:left="1134" w:hanging="567"/>
        <w:rPr>
          <w:sz w:val="22"/>
          <w:szCs w:val="22"/>
          <w:lang w:val="es-ES"/>
        </w:rPr>
      </w:pPr>
      <w:r w:rsidRPr="00002210">
        <w:rPr>
          <w:sz w:val="22"/>
          <w:szCs w:val="22"/>
          <w:lang w:val="es-ES"/>
        </w:rPr>
        <w:lastRenderedPageBreak/>
        <w:t>Cualquier otro asunto acordado por el grupo especial de trabajo.</w:t>
      </w:r>
      <w:r w:rsidR="005512A1" w:rsidRPr="00002210">
        <w:rPr>
          <w:sz w:val="22"/>
          <w:szCs w:val="22"/>
          <w:lang w:val="es-ES"/>
        </w:rPr>
        <w:t xml:space="preserve"> </w:t>
      </w:r>
    </w:p>
    <w:p w:rsidR="005005CD" w:rsidRDefault="005005CD" w:rsidP="005005CD">
      <w:pPr>
        <w:pStyle w:val="Default"/>
        <w:rPr>
          <w:sz w:val="22"/>
          <w:szCs w:val="22"/>
          <w:lang w:val="es-ES"/>
        </w:rPr>
      </w:pPr>
    </w:p>
    <w:p w:rsidR="005005CD" w:rsidRPr="00002210" w:rsidRDefault="005005CD" w:rsidP="005005CD">
      <w:pPr>
        <w:pStyle w:val="Default"/>
        <w:rPr>
          <w:sz w:val="22"/>
          <w:szCs w:val="22"/>
          <w:lang w:val="es-ES"/>
        </w:rPr>
      </w:pPr>
    </w:p>
    <w:p w:rsidR="005512A1" w:rsidRPr="00002210" w:rsidRDefault="00002210" w:rsidP="00727610">
      <w:pPr>
        <w:pStyle w:val="Default"/>
        <w:ind w:left="5760"/>
        <w:rPr>
          <w:sz w:val="22"/>
          <w:szCs w:val="22"/>
          <w:lang w:val="es-ES"/>
        </w:rPr>
      </w:pPr>
      <w:r w:rsidRPr="00002210">
        <w:rPr>
          <w:sz w:val="22"/>
          <w:szCs w:val="22"/>
          <w:lang w:val="es-ES"/>
        </w:rPr>
        <w:t>[Fin del documento]</w:t>
      </w:r>
    </w:p>
    <w:sectPr w:rsidR="005512A1" w:rsidRPr="00002210" w:rsidSect="005512A1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2A1" w:rsidRDefault="005512A1">
      <w:r>
        <w:separator/>
      </w:r>
    </w:p>
  </w:endnote>
  <w:endnote w:type="continuationSeparator" w:id="0">
    <w:p w:rsidR="005512A1" w:rsidRDefault="005512A1" w:rsidP="003B38C1">
      <w:r>
        <w:separator/>
      </w:r>
    </w:p>
    <w:p w:rsidR="005512A1" w:rsidRPr="003B38C1" w:rsidRDefault="005512A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512A1" w:rsidRPr="003B38C1" w:rsidRDefault="005512A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2A1" w:rsidRDefault="005512A1">
      <w:r>
        <w:separator/>
      </w:r>
    </w:p>
  </w:footnote>
  <w:footnote w:type="continuationSeparator" w:id="0">
    <w:p w:rsidR="005512A1" w:rsidRDefault="005512A1" w:rsidP="008B60B2">
      <w:r>
        <w:separator/>
      </w:r>
    </w:p>
    <w:p w:rsidR="005512A1" w:rsidRPr="00ED77FB" w:rsidRDefault="005512A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512A1" w:rsidRPr="00ED77FB" w:rsidRDefault="005512A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5512A1" w:rsidP="00477D6B">
    <w:pPr>
      <w:jc w:val="right"/>
    </w:pPr>
    <w:bookmarkStart w:id="3" w:name="Code2"/>
    <w:bookmarkEnd w:id="3"/>
    <w:r>
      <w:t>SCCR/37/</w:t>
    </w:r>
    <w:r w:rsidR="00963415">
      <w:t>5</w:t>
    </w:r>
  </w:p>
  <w:p w:rsidR="00EC4E49" w:rsidRDefault="002D3328" w:rsidP="00002210">
    <w:pPr>
      <w:jc w:val="right"/>
    </w:pPr>
    <w:r>
      <w:rPr>
        <w:lang w:val="es-ES_tradnl"/>
      </w:rPr>
      <w:t>página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B43F21">
      <w:rPr>
        <w:noProof/>
      </w:rPr>
      <w:t>3</w:t>
    </w:r>
    <w:r w:rsidR="00EC4E49">
      <w:fldChar w:fldCharType="end"/>
    </w:r>
  </w:p>
  <w:p w:rsidR="00971C8A" w:rsidRDefault="00971C8A" w:rsidP="00002210">
    <w:pPr>
      <w:jc w:val="right"/>
    </w:pPr>
  </w:p>
  <w:p w:rsidR="005005CD" w:rsidRDefault="005005CD" w:rsidP="00002210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9604F64"/>
    <w:multiLevelType w:val="hybridMultilevel"/>
    <w:tmpl w:val="9C6A0FFA"/>
    <w:lvl w:ilvl="0" w:tplc="B6CC3D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2945745"/>
    <w:multiLevelType w:val="hybridMultilevel"/>
    <w:tmpl w:val="58C631D4"/>
    <w:lvl w:ilvl="0" w:tplc="97AC1CF2">
      <w:start w:val="4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A02D88"/>
    <w:multiLevelType w:val="hybridMultilevel"/>
    <w:tmpl w:val="EE805AE6"/>
    <w:lvl w:ilvl="0" w:tplc="EEACD1A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5512A1"/>
    <w:rsid w:val="00002210"/>
    <w:rsid w:val="00043CAA"/>
    <w:rsid w:val="00075432"/>
    <w:rsid w:val="000968ED"/>
    <w:rsid w:val="000F5E56"/>
    <w:rsid w:val="001362EE"/>
    <w:rsid w:val="001647D5"/>
    <w:rsid w:val="001832A6"/>
    <w:rsid w:val="0021217E"/>
    <w:rsid w:val="002634C4"/>
    <w:rsid w:val="00277D45"/>
    <w:rsid w:val="002928D3"/>
    <w:rsid w:val="002D3328"/>
    <w:rsid w:val="002E77CF"/>
    <w:rsid w:val="002F1FE6"/>
    <w:rsid w:val="002F4E68"/>
    <w:rsid w:val="0030019C"/>
    <w:rsid w:val="00312F7F"/>
    <w:rsid w:val="00361450"/>
    <w:rsid w:val="003673CF"/>
    <w:rsid w:val="003845C1"/>
    <w:rsid w:val="003A6F89"/>
    <w:rsid w:val="003B38C1"/>
    <w:rsid w:val="003C6D73"/>
    <w:rsid w:val="00423E3E"/>
    <w:rsid w:val="00427AF4"/>
    <w:rsid w:val="004647DA"/>
    <w:rsid w:val="00474062"/>
    <w:rsid w:val="00477D6B"/>
    <w:rsid w:val="004A0453"/>
    <w:rsid w:val="005005CD"/>
    <w:rsid w:val="005019FF"/>
    <w:rsid w:val="0053057A"/>
    <w:rsid w:val="00534366"/>
    <w:rsid w:val="005512A1"/>
    <w:rsid w:val="00560A29"/>
    <w:rsid w:val="005C6649"/>
    <w:rsid w:val="00605827"/>
    <w:rsid w:val="00646050"/>
    <w:rsid w:val="006713CA"/>
    <w:rsid w:val="00676C5C"/>
    <w:rsid w:val="006A424A"/>
    <w:rsid w:val="00727610"/>
    <w:rsid w:val="00765622"/>
    <w:rsid w:val="007D1613"/>
    <w:rsid w:val="007E4C0E"/>
    <w:rsid w:val="008A134B"/>
    <w:rsid w:val="008B2CC1"/>
    <w:rsid w:val="008B60B2"/>
    <w:rsid w:val="0090731E"/>
    <w:rsid w:val="00914CD4"/>
    <w:rsid w:val="00916EE2"/>
    <w:rsid w:val="009174AF"/>
    <w:rsid w:val="00963415"/>
    <w:rsid w:val="00966A22"/>
    <w:rsid w:val="0096722F"/>
    <w:rsid w:val="00971C8A"/>
    <w:rsid w:val="00980843"/>
    <w:rsid w:val="009E2791"/>
    <w:rsid w:val="009E3F6F"/>
    <w:rsid w:val="009F499F"/>
    <w:rsid w:val="00A222AF"/>
    <w:rsid w:val="00A37342"/>
    <w:rsid w:val="00A42DAF"/>
    <w:rsid w:val="00A45BD8"/>
    <w:rsid w:val="00A869B7"/>
    <w:rsid w:val="00AC205C"/>
    <w:rsid w:val="00AF0A6B"/>
    <w:rsid w:val="00B05A69"/>
    <w:rsid w:val="00B43F21"/>
    <w:rsid w:val="00B9734B"/>
    <w:rsid w:val="00BA30E2"/>
    <w:rsid w:val="00BD2045"/>
    <w:rsid w:val="00C11BFE"/>
    <w:rsid w:val="00C5068F"/>
    <w:rsid w:val="00C66ACA"/>
    <w:rsid w:val="00C86D74"/>
    <w:rsid w:val="00CC5AF2"/>
    <w:rsid w:val="00CD04F1"/>
    <w:rsid w:val="00CF430B"/>
    <w:rsid w:val="00D45252"/>
    <w:rsid w:val="00D50C24"/>
    <w:rsid w:val="00D60F9C"/>
    <w:rsid w:val="00D71B4D"/>
    <w:rsid w:val="00D93D55"/>
    <w:rsid w:val="00DC298E"/>
    <w:rsid w:val="00E02E77"/>
    <w:rsid w:val="00E15015"/>
    <w:rsid w:val="00E335FE"/>
    <w:rsid w:val="00EA4999"/>
    <w:rsid w:val="00EA7D6E"/>
    <w:rsid w:val="00EC4E49"/>
    <w:rsid w:val="00ED69D2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79B9B254-65CA-4B02-B7CD-C3146E22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C5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5AF2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Default">
    <w:name w:val="Default"/>
    <w:rsid w:val="005512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st">
    <w:name w:val="st"/>
    <w:basedOn w:val="DefaultParagraphFont"/>
    <w:rsid w:val="00551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3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B020F-9616-457F-B62A-6F5F3E9EB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 37 (E)</Template>
  <TotalTime>3</TotalTime>
  <Pages>3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SCCR/37/</vt:lpstr>
    </vt:vector>
  </TitlesOfParts>
  <Company>WIPO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SCCR/37/</dc:title>
  <dc:creator>HAIZEL Francesca</dc:creator>
  <cp:lastModifiedBy>HAIZEL Francesca</cp:lastModifiedBy>
  <cp:revision>3</cp:revision>
  <cp:lastPrinted>2018-11-22T13:51:00Z</cp:lastPrinted>
  <dcterms:created xsi:type="dcterms:W3CDTF">2018-11-22T13:51:00Z</dcterms:created>
  <dcterms:modified xsi:type="dcterms:W3CDTF">2018-11-22T13:54:00Z</dcterms:modified>
</cp:coreProperties>
</file>