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92" w:rsidRPr="001B1DCF" w:rsidRDefault="000036EE" w:rsidP="00816192">
      <w:pPr>
        <w:rPr>
          <w:caps/>
          <w:sz w:val="24"/>
          <w:lang w:val="es-ES"/>
        </w:rPr>
      </w:pPr>
      <w:r w:rsidRPr="001B1DCF">
        <w:rPr>
          <w:caps/>
          <w:sz w:val="24"/>
          <w:lang w:val="es-ES"/>
        </w:rPr>
        <w:t>ESTUDIO SOBRE LIMITACIONES Y EXCEPCIONES en materia dE DERECHO DE AUTOR EN FAVOR DE BIBLIOTECAS Y ARCHIVOS</w:t>
      </w:r>
      <w:r w:rsidR="004E613E" w:rsidRPr="001B1DCF">
        <w:rPr>
          <w:caps/>
          <w:sz w:val="24"/>
          <w:lang w:val="es-ES"/>
        </w:rPr>
        <w:t xml:space="preserve">: </w:t>
      </w:r>
      <w:r w:rsidRPr="001B1DCF">
        <w:rPr>
          <w:caps/>
          <w:sz w:val="24"/>
          <w:lang w:val="es-ES"/>
        </w:rPr>
        <w:t xml:space="preserve"> versión actualizada y revisada</w:t>
      </w:r>
      <w:r w:rsidR="004E613E" w:rsidRPr="001B1DCF">
        <w:rPr>
          <w:caps/>
          <w:sz w:val="24"/>
          <w:lang w:val="es-ES"/>
        </w:rPr>
        <w:t xml:space="preserve"> </w:t>
      </w:r>
      <w:r w:rsidR="00816192" w:rsidRPr="001B1DCF">
        <w:rPr>
          <w:caps/>
          <w:sz w:val="24"/>
          <w:lang w:val="es-ES"/>
        </w:rPr>
        <w:t>(</w:t>
      </w:r>
      <w:r w:rsidR="00A76D2F" w:rsidRPr="001B1DCF">
        <w:rPr>
          <w:caps/>
          <w:sz w:val="24"/>
          <w:lang w:val="es-ES"/>
        </w:rPr>
        <w:t>EDICIÓN DE 2017</w:t>
      </w:r>
      <w:r w:rsidR="00816192" w:rsidRPr="001B1DCF">
        <w:rPr>
          <w:caps/>
          <w:sz w:val="24"/>
          <w:lang w:val="es-ES"/>
        </w:rPr>
        <w:t>)</w:t>
      </w:r>
    </w:p>
    <w:p w:rsidR="00816192" w:rsidRPr="001B1DCF" w:rsidRDefault="00816192" w:rsidP="00816192">
      <w:pPr>
        <w:rPr>
          <w:szCs w:val="22"/>
          <w:lang w:val="es-ES"/>
        </w:rPr>
      </w:pPr>
    </w:p>
    <w:p w:rsidR="00816192" w:rsidRPr="001B1DCF" w:rsidRDefault="004E613E" w:rsidP="00816192">
      <w:pPr>
        <w:rPr>
          <w:szCs w:val="22"/>
          <w:lang w:val="es-ES"/>
        </w:rPr>
      </w:pPr>
      <w:r w:rsidRPr="001B1DCF">
        <w:rPr>
          <w:i/>
          <w:lang w:val="es-ES"/>
        </w:rPr>
        <w:t>prepar</w:t>
      </w:r>
      <w:r w:rsidR="000036EE" w:rsidRPr="001B1DCF">
        <w:rPr>
          <w:i/>
          <w:lang w:val="es-ES"/>
        </w:rPr>
        <w:t xml:space="preserve">ado por el </w:t>
      </w:r>
      <w:r w:rsidR="00285590" w:rsidRPr="001B1DCF">
        <w:rPr>
          <w:i/>
          <w:lang w:val="es-ES"/>
        </w:rPr>
        <w:t>Sr. </w:t>
      </w:r>
      <w:r w:rsidRPr="001B1DCF">
        <w:rPr>
          <w:i/>
          <w:lang w:val="es-ES"/>
        </w:rPr>
        <w:t>Kenneth D</w:t>
      </w:r>
      <w:r w:rsidR="00703969" w:rsidRPr="001B1DCF">
        <w:rPr>
          <w:i/>
          <w:lang w:val="es-ES"/>
        </w:rPr>
        <w:t>. C</w:t>
      </w:r>
      <w:r w:rsidR="00F430E5">
        <w:rPr>
          <w:i/>
          <w:lang w:val="es-ES"/>
        </w:rPr>
        <w:t>rews, doctor en Derecho y Filosofía</w:t>
      </w:r>
    </w:p>
    <w:p w:rsidR="00816192" w:rsidRPr="001B1DCF" w:rsidRDefault="00816192" w:rsidP="00816192">
      <w:pPr>
        <w:rPr>
          <w:szCs w:val="22"/>
          <w:lang w:val="es-ES"/>
        </w:rPr>
      </w:pPr>
    </w:p>
    <w:p w:rsidR="00B57DA7" w:rsidRPr="001B1DCF" w:rsidRDefault="000036EE" w:rsidP="00B57DA7">
      <w:pPr>
        <w:keepNext/>
        <w:spacing w:before="240" w:after="60"/>
        <w:outlineLvl w:val="0"/>
        <w:rPr>
          <w:b/>
          <w:bCs/>
          <w:caps/>
          <w:kern w:val="32"/>
          <w:szCs w:val="32"/>
          <w:lang w:val="es-ES" w:eastAsia="en-US"/>
        </w:rPr>
      </w:pPr>
      <w:bookmarkStart w:id="0" w:name="_Toc421800677"/>
      <w:r w:rsidRPr="001B1DCF">
        <w:rPr>
          <w:b/>
          <w:bCs/>
          <w:caps/>
          <w:kern w:val="32"/>
          <w:szCs w:val="32"/>
          <w:lang w:val="es-ES" w:eastAsia="en-US"/>
        </w:rPr>
        <w:t>RESUMEN</w:t>
      </w:r>
      <w:bookmarkEnd w:id="0"/>
    </w:p>
    <w:p w:rsidR="00B57DA7" w:rsidRPr="001B1DCF" w:rsidRDefault="00B57DA7" w:rsidP="00B57DA7">
      <w:pPr>
        <w:rPr>
          <w:rFonts w:eastAsia="Times New Roman"/>
          <w:szCs w:val="22"/>
          <w:lang w:val="es-ES" w:eastAsia="en-US"/>
        </w:rPr>
      </w:pPr>
    </w:p>
    <w:p w:rsidR="00B57DA7" w:rsidRPr="001B1DCF" w:rsidRDefault="00B57DA7" w:rsidP="00B57DA7">
      <w:pPr>
        <w:keepNext/>
        <w:spacing w:before="240" w:after="60"/>
        <w:outlineLvl w:val="0"/>
        <w:rPr>
          <w:b/>
          <w:bCs/>
          <w:caps/>
          <w:kern w:val="32"/>
          <w:szCs w:val="32"/>
          <w:lang w:val="es-ES" w:eastAsia="en-US"/>
        </w:rPr>
      </w:pPr>
      <w:bookmarkStart w:id="1" w:name="_Toc421800678"/>
      <w:r w:rsidRPr="001B1DCF">
        <w:rPr>
          <w:b/>
          <w:bCs/>
          <w:caps/>
          <w:kern w:val="32"/>
          <w:szCs w:val="32"/>
          <w:lang w:val="es-ES" w:eastAsia="en-US"/>
        </w:rPr>
        <w:t>Introduc</w:t>
      </w:r>
      <w:r w:rsidR="000036EE" w:rsidRPr="001B1DCF">
        <w:rPr>
          <w:b/>
          <w:bCs/>
          <w:caps/>
          <w:kern w:val="32"/>
          <w:szCs w:val="32"/>
          <w:lang w:val="es-ES" w:eastAsia="en-US"/>
        </w:rPr>
        <w:t>ción</w:t>
      </w:r>
      <w:bookmarkEnd w:id="1"/>
    </w:p>
    <w:p w:rsidR="00B57DA7" w:rsidRPr="001B1DCF" w:rsidRDefault="00B57DA7" w:rsidP="00B57DA7">
      <w:pPr>
        <w:rPr>
          <w:rFonts w:eastAsia="Times New Roman"/>
          <w:szCs w:val="22"/>
          <w:lang w:val="es-ES" w:eastAsia="en-US"/>
        </w:rPr>
      </w:pPr>
    </w:p>
    <w:p w:rsidR="00B13647" w:rsidRPr="001B1DCF" w:rsidRDefault="00B13647" w:rsidP="00B57DA7">
      <w:pPr>
        <w:rPr>
          <w:rFonts w:eastAsia="Times New Roman"/>
          <w:szCs w:val="22"/>
          <w:lang w:val="es-ES" w:eastAsia="en-US"/>
        </w:rPr>
      </w:pPr>
      <w:r w:rsidRPr="001B1DCF">
        <w:rPr>
          <w:rFonts w:eastAsia="Times New Roman"/>
          <w:szCs w:val="22"/>
          <w:lang w:val="es-ES" w:eastAsia="en-US"/>
        </w:rPr>
        <w:t>L</w:t>
      </w:r>
      <w:r w:rsidR="003B3ED4" w:rsidRPr="001B1DCF">
        <w:rPr>
          <w:rFonts w:eastAsia="Times New Roman"/>
          <w:szCs w:val="22"/>
          <w:lang w:val="es-ES" w:eastAsia="en-US"/>
        </w:rPr>
        <w:t xml:space="preserve">a legislación de </w:t>
      </w:r>
      <w:r w:rsidRPr="001B1DCF">
        <w:rPr>
          <w:rFonts w:eastAsia="Times New Roman"/>
          <w:szCs w:val="22"/>
          <w:lang w:val="es-ES" w:eastAsia="en-US"/>
        </w:rPr>
        <w:t xml:space="preserve">derecho de autor de la mayoría de los países del mundo </w:t>
      </w:r>
      <w:r w:rsidR="003B3ED4" w:rsidRPr="001B1DCF">
        <w:rPr>
          <w:rFonts w:eastAsia="Times New Roman"/>
          <w:szCs w:val="22"/>
          <w:lang w:val="es-ES" w:eastAsia="en-US"/>
        </w:rPr>
        <w:t>contiene</w:t>
      </w:r>
      <w:r w:rsidRPr="001B1DCF">
        <w:rPr>
          <w:rFonts w:eastAsia="Times New Roman"/>
          <w:szCs w:val="22"/>
          <w:lang w:val="es-ES" w:eastAsia="en-US"/>
        </w:rPr>
        <w:t xml:space="preserve"> excepciones o limitaciones aplicables específicamente a </w:t>
      </w:r>
      <w:r w:rsidR="00DE2FF4">
        <w:rPr>
          <w:rFonts w:eastAsia="Times New Roman"/>
          <w:szCs w:val="22"/>
          <w:lang w:val="es-ES" w:eastAsia="en-US"/>
        </w:rPr>
        <w:t xml:space="preserve">las </w:t>
      </w:r>
      <w:r w:rsidRPr="001B1DCF">
        <w:rPr>
          <w:rFonts w:eastAsia="Times New Roman"/>
          <w:szCs w:val="22"/>
          <w:lang w:val="es-ES" w:eastAsia="en-US"/>
        </w:rPr>
        <w:t xml:space="preserve">bibliotecas y </w:t>
      </w:r>
      <w:r w:rsidR="00DE2FF4">
        <w:rPr>
          <w:rFonts w:eastAsia="Times New Roman"/>
          <w:szCs w:val="22"/>
          <w:lang w:val="es-ES" w:eastAsia="en-US"/>
        </w:rPr>
        <w:t xml:space="preserve">los </w:t>
      </w:r>
      <w:r w:rsidRPr="001B1DCF">
        <w:rPr>
          <w:rFonts w:eastAsia="Times New Roman"/>
          <w:szCs w:val="22"/>
          <w:lang w:val="es-ES" w:eastAsia="en-US"/>
        </w:rPr>
        <w:t xml:space="preserve">archivos.  Estas disposiciones </w:t>
      </w:r>
      <w:r w:rsidR="00DE2FF4">
        <w:rPr>
          <w:rFonts w:eastAsia="Times New Roman"/>
          <w:szCs w:val="22"/>
          <w:lang w:val="es-ES" w:eastAsia="en-US"/>
        </w:rPr>
        <w:t>contribuyen de manera</w:t>
      </w:r>
      <w:r w:rsidRPr="001B1DCF">
        <w:rPr>
          <w:rFonts w:eastAsia="Times New Roman"/>
          <w:szCs w:val="22"/>
          <w:lang w:val="es-ES" w:eastAsia="en-US"/>
        </w:rPr>
        <w:t xml:space="preserve"> </w:t>
      </w:r>
      <w:r w:rsidR="00DE2FF4">
        <w:rPr>
          <w:rFonts w:eastAsia="Times New Roman"/>
          <w:szCs w:val="22"/>
          <w:lang w:val="es-ES" w:eastAsia="en-US"/>
        </w:rPr>
        <w:t xml:space="preserve">a facilitar </w:t>
      </w:r>
      <w:r w:rsidRPr="001B1DCF">
        <w:rPr>
          <w:rFonts w:eastAsia="Times New Roman"/>
          <w:szCs w:val="22"/>
          <w:lang w:val="es-ES" w:eastAsia="en-US"/>
        </w:rPr>
        <w:t xml:space="preserve">los servicios bibliotecarios y </w:t>
      </w:r>
      <w:r w:rsidR="00DE2FF4">
        <w:rPr>
          <w:rFonts w:eastAsia="Times New Roman"/>
          <w:szCs w:val="22"/>
          <w:lang w:val="es-ES" w:eastAsia="en-US"/>
        </w:rPr>
        <w:t xml:space="preserve">a atender </w:t>
      </w:r>
      <w:r w:rsidRPr="001B1DCF">
        <w:rPr>
          <w:rFonts w:eastAsia="Times New Roman"/>
          <w:szCs w:val="22"/>
          <w:lang w:val="es-ES" w:eastAsia="en-US"/>
        </w:rPr>
        <w:t>los intereses privados y públicos en materia de derecho de autor.  E</w:t>
      </w:r>
      <w:r w:rsidR="003B3ED4" w:rsidRPr="001B1DCF">
        <w:rPr>
          <w:rFonts w:eastAsia="Times New Roman"/>
          <w:szCs w:val="22"/>
          <w:lang w:val="es-ES" w:eastAsia="en-US"/>
        </w:rPr>
        <w:t xml:space="preserve">n el presente </w:t>
      </w:r>
      <w:r w:rsidRPr="001B1DCF">
        <w:rPr>
          <w:rFonts w:eastAsia="Times New Roman"/>
          <w:szCs w:val="22"/>
          <w:lang w:val="es-ES" w:eastAsia="en-US"/>
        </w:rPr>
        <w:t xml:space="preserve">informe </w:t>
      </w:r>
      <w:r w:rsidR="003B3ED4" w:rsidRPr="001B1DCF">
        <w:rPr>
          <w:rFonts w:eastAsia="Times New Roman"/>
          <w:szCs w:val="22"/>
          <w:lang w:val="es-ES" w:eastAsia="en-US"/>
        </w:rPr>
        <w:t xml:space="preserve">se </w:t>
      </w:r>
      <w:r w:rsidRPr="001B1DCF">
        <w:rPr>
          <w:rFonts w:eastAsia="Times New Roman"/>
          <w:szCs w:val="22"/>
          <w:lang w:val="es-ES" w:eastAsia="en-US"/>
        </w:rPr>
        <w:t xml:space="preserve">ofrece un examen y un análisis de las excepciones </w:t>
      </w:r>
      <w:r w:rsidR="003B3ED4" w:rsidRPr="001B1DCF">
        <w:rPr>
          <w:rFonts w:eastAsia="Times New Roman"/>
          <w:szCs w:val="22"/>
          <w:lang w:val="es-ES" w:eastAsia="en-US"/>
        </w:rPr>
        <w:t xml:space="preserve">en materia de derecho de autor </w:t>
      </w:r>
      <w:r w:rsidRPr="001B1DCF">
        <w:rPr>
          <w:rFonts w:eastAsia="Times New Roman"/>
          <w:szCs w:val="22"/>
          <w:lang w:val="es-ES" w:eastAsia="en-US"/>
        </w:rPr>
        <w:t xml:space="preserve">aplicables a las bibliotecas y </w:t>
      </w:r>
      <w:r w:rsidR="00DE2FF4">
        <w:rPr>
          <w:rFonts w:eastAsia="Times New Roman"/>
          <w:szCs w:val="22"/>
          <w:lang w:val="es-ES" w:eastAsia="en-US"/>
        </w:rPr>
        <w:t xml:space="preserve">a </w:t>
      </w:r>
      <w:r w:rsidRPr="001B1DCF">
        <w:rPr>
          <w:rFonts w:eastAsia="Times New Roman"/>
          <w:szCs w:val="22"/>
          <w:lang w:val="es-ES" w:eastAsia="en-US"/>
        </w:rPr>
        <w:t>los archivos de los 191 países de la Organización Mundial de la Pro</w:t>
      </w:r>
      <w:r w:rsidR="00DE2FF4">
        <w:rPr>
          <w:rFonts w:eastAsia="Times New Roman"/>
          <w:szCs w:val="22"/>
          <w:lang w:val="es-ES" w:eastAsia="en-US"/>
        </w:rPr>
        <w:t xml:space="preserve">piedad Intelectual (OMPI).  De esos 191 países, 161 </w:t>
      </w:r>
      <w:r w:rsidRPr="001B1DCF">
        <w:rPr>
          <w:rFonts w:eastAsia="Times New Roman"/>
          <w:szCs w:val="22"/>
          <w:lang w:val="es-ES" w:eastAsia="en-US"/>
        </w:rPr>
        <w:t xml:space="preserve">tienen al menos una disposición en </w:t>
      </w:r>
      <w:r w:rsidR="003B3ED4" w:rsidRPr="001B1DCF">
        <w:rPr>
          <w:rFonts w:eastAsia="Times New Roman"/>
          <w:szCs w:val="22"/>
          <w:lang w:val="es-ES" w:eastAsia="en-US"/>
        </w:rPr>
        <w:t xml:space="preserve">su legislación de </w:t>
      </w:r>
      <w:r w:rsidRPr="001B1DCF">
        <w:rPr>
          <w:rFonts w:eastAsia="Times New Roman"/>
          <w:szCs w:val="22"/>
          <w:lang w:val="es-ES" w:eastAsia="en-US"/>
        </w:rPr>
        <w:t xml:space="preserve">derecho de autor que se aplica explícitamente a las bibliotecas o </w:t>
      </w:r>
      <w:r w:rsidR="003B3ED4" w:rsidRPr="001B1DCF">
        <w:rPr>
          <w:rFonts w:eastAsia="Times New Roman"/>
          <w:szCs w:val="22"/>
          <w:lang w:val="es-ES" w:eastAsia="en-US"/>
        </w:rPr>
        <w:t xml:space="preserve">a </w:t>
      </w:r>
      <w:r w:rsidRPr="001B1DCF">
        <w:rPr>
          <w:rFonts w:eastAsia="Times New Roman"/>
          <w:szCs w:val="22"/>
          <w:lang w:val="es-ES" w:eastAsia="en-US"/>
        </w:rPr>
        <w:t xml:space="preserve">los archivos, hecho que demuestra por sí solo la fuerte relación </w:t>
      </w:r>
      <w:r w:rsidR="003B3ED4" w:rsidRPr="001B1DCF">
        <w:rPr>
          <w:rFonts w:eastAsia="Times New Roman"/>
          <w:szCs w:val="22"/>
          <w:lang w:val="es-ES" w:eastAsia="en-US"/>
        </w:rPr>
        <w:t xml:space="preserve">existente </w:t>
      </w:r>
      <w:r w:rsidRPr="001B1DCF">
        <w:rPr>
          <w:rFonts w:eastAsia="Times New Roman"/>
          <w:szCs w:val="22"/>
          <w:lang w:val="es-ES" w:eastAsia="en-US"/>
        </w:rPr>
        <w:t xml:space="preserve">entre el </w:t>
      </w:r>
      <w:r w:rsidR="003B3ED4" w:rsidRPr="001B1DCF">
        <w:rPr>
          <w:rFonts w:eastAsia="Times New Roman"/>
          <w:szCs w:val="22"/>
          <w:lang w:val="es-ES" w:eastAsia="en-US"/>
        </w:rPr>
        <w:t>D</w:t>
      </w:r>
      <w:r w:rsidRPr="001B1DCF">
        <w:rPr>
          <w:rFonts w:eastAsia="Times New Roman"/>
          <w:szCs w:val="22"/>
          <w:lang w:val="es-ES" w:eastAsia="en-US"/>
        </w:rPr>
        <w:t xml:space="preserve">erecho y las instituciones culturales.  De hecho, la creciente prevalencia de </w:t>
      </w:r>
      <w:r w:rsidR="003B3ED4" w:rsidRPr="001B1DCF">
        <w:rPr>
          <w:rFonts w:eastAsia="Times New Roman"/>
          <w:szCs w:val="22"/>
          <w:lang w:val="es-ES" w:eastAsia="en-US"/>
        </w:rPr>
        <w:t>esas normas de</w:t>
      </w:r>
      <w:r w:rsidRPr="001B1DCF">
        <w:rPr>
          <w:rFonts w:eastAsia="Times New Roman"/>
          <w:szCs w:val="22"/>
          <w:lang w:val="es-ES" w:eastAsia="en-US"/>
        </w:rPr>
        <w:t xml:space="preserve"> derecho de autor en la legislación nacional </w:t>
      </w:r>
      <w:r w:rsidR="003B3ED4" w:rsidRPr="001B1DCF">
        <w:rPr>
          <w:rFonts w:eastAsia="Times New Roman"/>
          <w:szCs w:val="22"/>
          <w:lang w:val="es-ES" w:eastAsia="en-US"/>
        </w:rPr>
        <w:t>indica</w:t>
      </w:r>
      <w:r w:rsidRPr="001B1DCF">
        <w:rPr>
          <w:rFonts w:eastAsia="Times New Roman"/>
          <w:szCs w:val="22"/>
          <w:lang w:val="es-ES" w:eastAsia="en-US"/>
        </w:rPr>
        <w:t xml:space="preserve"> </w:t>
      </w:r>
      <w:r w:rsidR="003B3ED4" w:rsidRPr="001B1DCF">
        <w:rPr>
          <w:rFonts w:eastAsia="Times New Roman"/>
          <w:szCs w:val="22"/>
          <w:lang w:val="es-ES" w:eastAsia="en-US"/>
        </w:rPr>
        <w:t>claramente</w:t>
      </w:r>
      <w:r w:rsidRPr="001B1DCF">
        <w:rPr>
          <w:rFonts w:eastAsia="Times New Roman"/>
          <w:szCs w:val="22"/>
          <w:lang w:val="es-ES" w:eastAsia="en-US"/>
        </w:rPr>
        <w:t xml:space="preserve"> que las excepciones </w:t>
      </w:r>
      <w:r w:rsidR="00DE2FF4">
        <w:rPr>
          <w:rFonts w:eastAsia="Times New Roman"/>
          <w:szCs w:val="22"/>
          <w:lang w:val="es-ES" w:eastAsia="en-US"/>
        </w:rPr>
        <w:t xml:space="preserve">en favor de </w:t>
      </w:r>
      <w:r w:rsidRPr="001B1DCF">
        <w:rPr>
          <w:rFonts w:eastAsia="Times New Roman"/>
          <w:szCs w:val="22"/>
          <w:lang w:val="es-ES" w:eastAsia="en-US"/>
        </w:rPr>
        <w:t xml:space="preserve">bibliotecas y archivos son </w:t>
      </w:r>
      <w:r w:rsidR="003B3ED4" w:rsidRPr="001B1DCF">
        <w:rPr>
          <w:rFonts w:eastAsia="Times New Roman"/>
          <w:szCs w:val="22"/>
          <w:lang w:val="es-ES" w:eastAsia="en-US"/>
        </w:rPr>
        <w:t>parte fundamental</w:t>
      </w:r>
      <w:r w:rsidRPr="001B1DCF">
        <w:rPr>
          <w:rFonts w:eastAsia="Times New Roman"/>
          <w:szCs w:val="22"/>
          <w:lang w:val="es-ES" w:eastAsia="en-US"/>
        </w:rPr>
        <w:t xml:space="preserve"> </w:t>
      </w:r>
      <w:r w:rsidR="003B3ED4" w:rsidRPr="001B1DCF">
        <w:rPr>
          <w:rFonts w:eastAsia="Times New Roman"/>
          <w:szCs w:val="22"/>
          <w:lang w:val="es-ES" w:eastAsia="en-US"/>
        </w:rPr>
        <w:t xml:space="preserve">de </w:t>
      </w:r>
      <w:r w:rsidRPr="001B1DCF">
        <w:rPr>
          <w:rFonts w:eastAsia="Times New Roman"/>
          <w:szCs w:val="22"/>
          <w:lang w:val="es-ES" w:eastAsia="en-US"/>
        </w:rPr>
        <w:t xml:space="preserve">la estructura del derecho de autor en todo el mundo.  </w:t>
      </w:r>
    </w:p>
    <w:p w:rsidR="00B13647" w:rsidRPr="001B1DCF" w:rsidRDefault="00B13647" w:rsidP="00B57DA7">
      <w:pPr>
        <w:rPr>
          <w:rFonts w:eastAsia="Times New Roman"/>
          <w:szCs w:val="22"/>
          <w:lang w:val="es-ES" w:eastAsia="en-US"/>
        </w:rPr>
      </w:pPr>
    </w:p>
    <w:p w:rsidR="00B13647" w:rsidRPr="001B1DCF" w:rsidRDefault="00371F97" w:rsidP="00B57DA7">
      <w:pPr>
        <w:rPr>
          <w:rFonts w:eastAsia="Times New Roman"/>
          <w:szCs w:val="22"/>
          <w:lang w:val="es-ES" w:eastAsia="en-US"/>
        </w:rPr>
      </w:pPr>
      <w:r w:rsidRPr="001B1DCF">
        <w:rPr>
          <w:rFonts w:eastAsia="Times New Roman"/>
          <w:szCs w:val="22"/>
          <w:lang w:val="es-ES" w:eastAsia="en-US"/>
        </w:rPr>
        <w:t xml:space="preserve">El presente informe es el </w:t>
      </w:r>
      <w:r w:rsidR="00B13647" w:rsidRPr="001B1DCF">
        <w:rPr>
          <w:rFonts w:eastAsia="Times New Roman"/>
          <w:szCs w:val="22"/>
          <w:lang w:val="es-ES" w:eastAsia="en-US"/>
        </w:rPr>
        <w:t>cuarto</w:t>
      </w:r>
      <w:r w:rsidRPr="001B1DCF">
        <w:rPr>
          <w:rFonts w:eastAsia="Times New Roman"/>
          <w:szCs w:val="22"/>
          <w:lang w:val="es-ES" w:eastAsia="en-US"/>
        </w:rPr>
        <w:t xml:space="preserve"> de una serie de estudios encargados por la O</w:t>
      </w:r>
      <w:r w:rsidR="00B13647" w:rsidRPr="001B1DCF">
        <w:rPr>
          <w:rFonts w:eastAsia="Times New Roman"/>
          <w:szCs w:val="22"/>
          <w:lang w:val="es-ES" w:eastAsia="en-US"/>
        </w:rPr>
        <w:t xml:space="preserve">MPI </w:t>
      </w:r>
      <w:r w:rsidRPr="001B1DCF">
        <w:rPr>
          <w:rFonts w:eastAsia="Times New Roman"/>
          <w:szCs w:val="22"/>
          <w:lang w:val="es-ES" w:eastAsia="en-US"/>
        </w:rPr>
        <w:t xml:space="preserve">sobre </w:t>
      </w:r>
      <w:r w:rsidR="0027669C" w:rsidRPr="001B1DCF">
        <w:rPr>
          <w:rFonts w:eastAsia="Times New Roman"/>
          <w:szCs w:val="22"/>
          <w:lang w:val="es-ES" w:eastAsia="en-US"/>
        </w:rPr>
        <w:t xml:space="preserve">las excepciones en materia de </w:t>
      </w:r>
      <w:r w:rsidRPr="001B1DCF">
        <w:rPr>
          <w:rFonts w:eastAsia="Times New Roman"/>
          <w:szCs w:val="22"/>
          <w:lang w:val="es-ES" w:eastAsia="en-US"/>
        </w:rPr>
        <w:t>derecho de autor</w:t>
      </w:r>
      <w:r w:rsidR="00B57DA7" w:rsidRPr="001B1DCF">
        <w:rPr>
          <w:rFonts w:eastAsia="Times New Roman"/>
          <w:szCs w:val="22"/>
          <w:lang w:val="es-ES" w:eastAsia="en-US"/>
        </w:rPr>
        <w:t xml:space="preserve"> </w:t>
      </w:r>
      <w:r w:rsidR="0027669C" w:rsidRPr="001B1DCF">
        <w:rPr>
          <w:rFonts w:eastAsia="Times New Roman"/>
          <w:szCs w:val="22"/>
          <w:lang w:val="es-ES" w:eastAsia="en-US"/>
        </w:rPr>
        <w:t>en favor de bibliotecas y archivos</w:t>
      </w:r>
      <w:r w:rsidR="00703969" w:rsidRPr="001B1DCF">
        <w:rPr>
          <w:rFonts w:eastAsia="Times New Roman"/>
          <w:szCs w:val="22"/>
          <w:lang w:val="es-ES" w:eastAsia="en-US"/>
        </w:rPr>
        <w:t>,</w:t>
      </w:r>
      <w:r w:rsidR="00B57DA7" w:rsidRPr="001B1DCF">
        <w:rPr>
          <w:rFonts w:eastAsia="Times New Roman"/>
          <w:szCs w:val="22"/>
          <w:lang w:val="es-ES" w:eastAsia="en-US"/>
        </w:rPr>
        <w:t xml:space="preserve"> </w:t>
      </w:r>
      <w:r w:rsidR="0027669C" w:rsidRPr="001B1DCF">
        <w:rPr>
          <w:rFonts w:eastAsia="Times New Roman"/>
          <w:szCs w:val="22"/>
          <w:lang w:val="es-ES" w:eastAsia="en-US"/>
        </w:rPr>
        <w:t xml:space="preserve">todos ellos preparados por el </w:t>
      </w:r>
      <w:r w:rsidR="00285590" w:rsidRPr="001B1DCF">
        <w:rPr>
          <w:rFonts w:eastAsia="Times New Roman"/>
          <w:szCs w:val="22"/>
          <w:lang w:val="es-ES" w:eastAsia="en-US"/>
        </w:rPr>
        <w:t>Dr. </w:t>
      </w:r>
      <w:r w:rsidR="00B57DA7" w:rsidRPr="001B1DCF">
        <w:rPr>
          <w:rFonts w:eastAsia="Times New Roman"/>
          <w:szCs w:val="22"/>
          <w:lang w:val="es-ES" w:eastAsia="en-US"/>
        </w:rPr>
        <w:t>Kenneth D</w:t>
      </w:r>
      <w:r w:rsidR="00703969" w:rsidRPr="001B1DCF">
        <w:rPr>
          <w:rFonts w:eastAsia="Times New Roman"/>
          <w:szCs w:val="22"/>
          <w:lang w:val="es-ES" w:eastAsia="en-US"/>
        </w:rPr>
        <w:t>. C</w:t>
      </w:r>
      <w:r w:rsidR="00B57DA7" w:rsidRPr="001B1DCF">
        <w:rPr>
          <w:rFonts w:eastAsia="Times New Roman"/>
          <w:szCs w:val="22"/>
          <w:lang w:val="es-ES" w:eastAsia="en-US"/>
        </w:rPr>
        <w:t xml:space="preserve">rews </w:t>
      </w:r>
      <w:r w:rsidR="0027669C" w:rsidRPr="001B1DCF">
        <w:rPr>
          <w:rFonts w:eastAsia="Times New Roman"/>
          <w:szCs w:val="22"/>
          <w:lang w:val="es-ES" w:eastAsia="en-US"/>
        </w:rPr>
        <w:t>en calidad de investigador principal</w:t>
      </w:r>
      <w:r w:rsidR="00B57DA7" w:rsidRPr="001B1DCF">
        <w:rPr>
          <w:rFonts w:eastAsia="Times New Roman"/>
          <w:szCs w:val="22"/>
          <w:lang w:val="es-ES" w:eastAsia="en-US"/>
        </w:rPr>
        <w:t xml:space="preserve">.  </w:t>
      </w:r>
      <w:r w:rsidR="0027669C" w:rsidRPr="001B1DCF">
        <w:rPr>
          <w:rFonts w:eastAsia="Times New Roman"/>
          <w:szCs w:val="22"/>
          <w:lang w:val="es-ES" w:eastAsia="en-US"/>
        </w:rPr>
        <w:t xml:space="preserve">Este informe sustituye en su totalidad </w:t>
      </w:r>
      <w:r w:rsidR="00310779" w:rsidRPr="001B1DCF">
        <w:rPr>
          <w:rFonts w:eastAsia="Times New Roman"/>
          <w:szCs w:val="22"/>
          <w:lang w:val="es-ES" w:eastAsia="en-US"/>
        </w:rPr>
        <w:t xml:space="preserve">a </w:t>
      </w:r>
      <w:r w:rsidR="0027669C" w:rsidRPr="001B1DCF">
        <w:rPr>
          <w:rFonts w:eastAsia="Times New Roman"/>
          <w:szCs w:val="22"/>
          <w:lang w:val="es-ES" w:eastAsia="en-US"/>
        </w:rPr>
        <w:t xml:space="preserve">las colecciones de datos presentadas en los </w:t>
      </w:r>
      <w:r w:rsidR="00B13647" w:rsidRPr="001B1DCF">
        <w:rPr>
          <w:rFonts w:eastAsia="Times New Roman"/>
          <w:szCs w:val="22"/>
          <w:lang w:val="es-ES" w:eastAsia="en-US"/>
        </w:rPr>
        <w:t>tres</w:t>
      </w:r>
      <w:r w:rsidR="0027669C" w:rsidRPr="001B1DCF">
        <w:rPr>
          <w:rFonts w:eastAsia="Times New Roman"/>
          <w:szCs w:val="22"/>
          <w:lang w:val="es-ES" w:eastAsia="en-US"/>
        </w:rPr>
        <w:t xml:space="preserve"> estudios anteriores</w:t>
      </w:r>
      <w:r w:rsidR="00B13647" w:rsidRPr="001B1DCF">
        <w:rPr>
          <w:rFonts w:eastAsia="Times New Roman"/>
          <w:szCs w:val="22"/>
          <w:lang w:val="es-ES" w:eastAsia="en-US"/>
        </w:rPr>
        <w:t>.  Sin embargo, los estudios precedentes siguen siendo fuentes de referencia útiles por las siguientes razones:</w:t>
      </w:r>
    </w:p>
    <w:p w:rsidR="00B13647" w:rsidRPr="001B1DCF" w:rsidRDefault="00B13647" w:rsidP="00B57DA7">
      <w:pPr>
        <w:rPr>
          <w:rFonts w:eastAsia="Times New Roman"/>
          <w:szCs w:val="22"/>
          <w:lang w:val="es-ES" w:eastAsia="en-US"/>
        </w:rPr>
      </w:pPr>
    </w:p>
    <w:p w:rsidR="000C4667" w:rsidRPr="001B1DCF" w:rsidRDefault="000C4667" w:rsidP="000C4667">
      <w:pPr>
        <w:pStyle w:val="ListParagraph"/>
        <w:numPr>
          <w:ilvl w:val="0"/>
          <w:numId w:val="14"/>
        </w:numPr>
        <w:spacing w:after="160"/>
        <w:rPr>
          <w:rFonts w:ascii="Arial" w:hAnsi="Arial" w:cs="Arial"/>
          <w:sz w:val="22"/>
          <w:szCs w:val="22"/>
          <w:lang w:val="es-ES"/>
        </w:rPr>
      </w:pPr>
      <w:r w:rsidRPr="001B1DCF">
        <w:rPr>
          <w:rFonts w:ascii="Arial" w:hAnsi="Arial" w:cs="Arial"/>
          <w:sz w:val="22"/>
          <w:szCs w:val="22"/>
          <w:lang w:val="es-ES"/>
        </w:rPr>
        <w:t>En el primer estudio</w:t>
      </w:r>
      <w:r w:rsidR="00B13647" w:rsidRPr="001B1DCF">
        <w:rPr>
          <w:rFonts w:ascii="Arial" w:hAnsi="Arial" w:cs="Arial"/>
          <w:sz w:val="22"/>
          <w:szCs w:val="22"/>
          <w:lang w:val="es-ES"/>
        </w:rPr>
        <w:t xml:space="preserve">, </w:t>
      </w:r>
      <w:r w:rsidRPr="001B1DCF">
        <w:rPr>
          <w:rFonts w:ascii="Arial" w:hAnsi="Arial" w:cs="Arial"/>
          <w:sz w:val="22"/>
          <w:szCs w:val="22"/>
          <w:lang w:val="es-ES"/>
        </w:rPr>
        <w:t>llevado a cabo en</w:t>
      </w:r>
      <w:r w:rsidR="00B13647" w:rsidRPr="001B1DCF">
        <w:rPr>
          <w:rFonts w:ascii="Arial" w:hAnsi="Arial" w:cs="Arial"/>
          <w:sz w:val="22"/>
          <w:szCs w:val="22"/>
          <w:lang w:val="es-ES"/>
        </w:rPr>
        <w:t xml:space="preserve"> 2008, </w:t>
      </w:r>
      <w:r w:rsidRPr="001B1DCF">
        <w:rPr>
          <w:rFonts w:ascii="Arial" w:hAnsi="Arial" w:cs="Arial"/>
          <w:sz w:val="22"/>
          <w:szCs w:val="22"/>
          <w:lang w:val="es-ES"/>
        </w:rPr>
        <w:t>se analiza</w:t>
      </w:r>
      <w:r w:rsidR="00F4789C">
        <w:rPr>
          <w:rFonts w:ascii="Arial" w:hAnsi="Arial" w:cs="Arial"/>
          <w:sz w:val="22"/>
          <w:szCs w:val="22"/>
          <w:lang w:val="es-ES"/>
        </w:rPr>
        <w:t>ba la legislación de 149 de los </w:t>
      </w:r>
      <w:r w:rsidRPr="001B1DCF">
        <w:rPr>
          <w:rFonts w:ascii="Arial" w:hAnsi="Arial" w:cs="Arial"/>
          <w:sz w:val="22"/>
          <w:szCs w:val="22"/>
          <w:lang w:val="es-ES"/>
        </w:rPr>
        <w:t xml:space="preserve">184 Estados miembros </w:t>
      </w:r>
      <w:r w:rsidR="00DE2FF4">
        <w:rPr>
          <w:rFonts w:ascii="Arial" w:hAnsi="Arial" w:cs="Arial"/>
          <w:sz w:val="22"/>
          <w:szCs w:val="22"/>
          <w:lang w:val="es-ES"/>
        </w:rPr>
        <w:t xml:space="preserve">que tenía </w:t>
      </w:r>
      <w:r w:rsidRPr="001B1DCF">
        <w:rPr>
          <w:rFonts w:ascii="Arial" w:hAnsi="Arial" w:cs="Arial"/>
          <w:sz w:val="22"/>
          <w:szCs w:val="22"/>
          <w:lang w:val="es-ES"/>
        </w:rPr>
        <w:t>la OMPI</w:t>
      </w:r>
      <w:r w:rsidR="00DE2FF4">
        <w:rPr>
          <w:rFonts w:ascii="Arial" w:hAnsi="Arial" w:cs="Arial"/>
          <w:sz w:val="22"/>
          <w:szCs w:val="22"/>
          <w:lang w:val="es-ES"/>
        </w:rPr>
        <w:t xml:space="preserve"> en aquella época</w:t>
      </w:r>
      <w:r w:rsidR="00B13647" w:rsidRPr="001B1DCF">
        <w:rPr>
          <w:rFonts w:ascii="Arial" w:hAnsi="Arial" w:cs="Arial"/>
          <w:sz w:val="22"/>
          <w:szCs w:val="22"/>
          <w:lang w:val="es-ES"/>
        </w:rPr>
        <w:t>.</w:t>
      </w:r>
      <w:r w:rsidR="00B13647" w:rsidRPr="001B1DCF">
        <w:rPr>
          <w:rStyle w:val="FootnoteReference"/>
          <w:sz w:val="22"/>
          <w:szCs w:val="22"/>
          <w:lang w:val="es-ES"/>
        </w:rPr>
        <w:footnoteReference w:id="1"/>
      </w:r>
      <w:r w:rsidR="00B13647" w:rsidRPr="001B1DCF">
        <w:rPr>
          <w:rFonts w:ascii="Arial" w:hAnsi="Arial" w:cs="Arial"/>
          <w:sz w:val="22"/>
          <w:szCs w:val="22"/>
          <w:lang w:val="es-ES"/>
        </w:rPr>
        <w:t xml:space="preserve">  </w:t>
      </w:r>
      <w:r w:rsidRPr="001B1DCF">
        <w:rPr>
          <w:rFonts w:ascii="Arial" w:hAnsi="Arial" w:cs="Arial"/>
          <w:sz w:val="22"/>
          <w:szCs w:val="22"/>
          <w:lang w:val="es-ES"/>
        </w:rPr>
        <w:t>En dicho estudio figura una amplia introducción (de aproximadamente 55 páginas) en la que se examina</w:t>
      </w:r>
      <w:r w:rsidR="00DE2FF4">
        <w:rPr>
          <w:rFonts w:ascii="Arial" w:hAnsi="Arial" w:cs="Arial"/>
          <w:sz w:val="22"/>
          <w:szCs w:val="22"/>
          <w:lang w:val="es-ES"/>
        </w:rPr>
        <w:t>n</w:t>
      </w:r>
      <w:r w:rsidRPr="001B1DCF">
        <w:rPr>
          <w:rFonts w:ascii="Arial" w:hAnsi="Arial" w:cs="Arial"/>
          <w:sz w:val="22"/>
          <w:szCs w:val="22"/>
          <w:lang w:val="es-ES"/>
        </w:rPr>
        <w:t xml:space="preserve"> detalladamente los antecedentes, la historia y las cláusulas generales de muchas de las disposiciones relativas a las bibliotecas. Aunque </w:t>
      </w:r>
      <w:r w:rsidR="00DE2FF4" w:rsidRPr="001B1DCF">
        <w:rPr>
          <w:rFonts w:ascii="Arial" w:hAnsi="Arial" w:cs="Arial"/>
          <w:sz w:val="22"/>
          <w:szCs w:val="22"/>
          <w:lang w:val="es-ES"/>
        </w:rPr>
        <w:t xml:space="preserve">han cambiado </w:t>
      </w:r>
      <w:r w:rsidRPr="001B1DCF">
        <w:rPr>
          <w:rFonts w:ascii="Arial" w:hAnsi="Arial" w:cs="Arial"/>
          <w:sz w:val="22"/>
          <w:szCs w:val="22"/>
          <w:lang w:val="es-ES"/>
        </w:rPr>
        <w:t xml:space="preserve">las estadísticas mencionadas en dicho estudio, siguen siendo válidas sus </w:t>
      </w:r>
      <w:r w:rsidR="00CC6133" w:rsidRPr="001B1DCF">
        <w:rPr>
          <w:rFonts w:ascii="Arial" w:hAnsi="Arial" w:cs="Arial"/>
          <w:sz w:val="22"/>
          <w:szCs w:val="22"/>
          <w:lang w:val="es-ES"/>
        </w:rPr>
        <w:t>perspectivas</w:t>
      </w:r>
      <w:r w:rsidRPr="001B1DCF">
        <w:rPr>
          <w:rFonts w:ascii="Arial" w:hAnsi="Arial" w:cs="Arial"/>
          <w:sz w:val="22"/>
          <w:szCs w:val="22"/>
          <w:lang w:val="es-ES"/>
        </w:rPr>
        <w:t>, conceptos y principios.</w:t>
      </w:r>
    </w:p>
    <w:p w:rsidR="00B13647" w:rsidRPr="001B1DCF" w:rsidRDefault="00B13647" w:rsidP="00B13647">
      <w:pPr>
        <w:pStyle w:val="ListParagraph"/>
        <w:rPr>
          <w:rFonts w:ascii="Arial" w:hAnsi="Arial" w:cs="Arial"/>
          <w:sz w:val="22"/>
          <w:szCs w:val="22"/>
          <w:lang w:val="es-ES"/>
        </w:rPr>
      </w:pPr>
    </w:p>
    <w:p w:rsidR="00F4789C" w:rsidRDefault="00CC6133" w:rsidP="00B13647">
      <w:pPr>
        <w:pStyle w:val="ListParagraph"/>
        <w:numPr>
          <w:ilvl w:val="0"/>
          <w:numId w:val="14"/>
        </w:numPr>
        <w:spacing w:after="160"/>
        <w:rPr>
          <w:rFonts w:ascii="Arial" w:hAnsi="Arial" w:cs="Arial"/>
          <w:sz w:val="22"/>
          <w:szCs w:val="22"/>
          <w:lang w:val="es-ES"/>
        </w:rPr>
      </w:pPr>
      <w:r w:rsidRPr="001B1DCF">
        <w:rPr>
          <w:rFonts w:ascii="Arial" w:hAnsi="Arial" w:cs="Arial"/>
          <w:sz w:val="22"/>
          <w:szCs w:val="22"/>
          <w:lang w:val="es-ES"/>
        </w:rPr>
        <w:t xml:space="preserve">En el estudio de </w:t>
      </w:r>
      <w:r w:rsidR="00B13647" w:rsidRPr="001B1DCF">
        <w:rPr>
          <w:rFonts w:ascii="Arial" w:hAnsi="Arial" w:cs="Arial"/>
          <w:sz w:val="22"/>
          <w:szCs w:val="22"/>
          <w:lang w:val="es-ES"/>
        </w:rPr>
        <w:t xml:space="preserve">2014 </w:t>
      </w:r>
      <w:r w:rsidRPr="001B1DCF">
        <w:rPr>
          <w:rFonts w:ascii="Arial" w:hAnsi="Arial" w:cs="Arial"/>
          <w:sz w:val="22"/>
          <w:szCs w:val="22"/>
          <w:lang w:val="es-ES"/>
        </w:rPr>
        <w:t>figuraba la legislación de países que habían revisado sus excepciones en favor de las bibliotecas desde el estudio de 2008.  Asimismo figura</w:t>
      </w:r>
      <w:r w:rsidR="00DE2FF4">
        <w:rPr>
          <w:rFonts w:ascii="Arial" w:hAnsi="Arial" w:cs="Arial"/>
          <w:sz w:val="22"/>
          <w:szCs w:val="22"/>
          <w:lang w:val="es-ES"/>
        </w:rPr>
        <w:t>ba</w:t>
      </w:r>
      <w:r w:rsidRPr="001B1DCF">
        <w:rPr>
          <w:rFonts w:ascii="Arial" w:hAnsi="Arial" w:cs="Arial"/>
          <w:sz w:val="22"/>
          <w:szCs w:val="22"/>
          <w:lang w:val="es-ES"/>
        </w:rPr>
        <w:t xml:space="preserve">n análisis de la legislación de países que no se habían incluido en el informe anterior por alguna razón, pero que habían pasado a estar disponibles para el estudio de </w:t>
      </w:r>
      <w:r w:rsidR="00B13647" w:rsidRPr="001B1DCF">
        <w:rPr>
          <w:rFonts w:ascii="Arial" w:hAnsi="Arial" w:cs="Arial"/>
          <w:sz w:val="22"/>
          <w:szCs w:val="22"/>
          <w:lang w:val="es-ES"/>
        </w:rPr>
        <w:t>2014.</w:t>
      </w:r>
      <w:r w:rsidR="00B13647" w:rsidRPr="001B1DCF">
        <w:rPr>
          <w:rStyle w:val="FootnoteReference"/>
          <w:sz w:val="22"/>
          <w:szCs w:val="22"/>
          <w:lang w:val="es-ES"/>
        </w:rPr>
        <w:footnoteReference w:id="2"/>
      </w:r>
      <w:r w:rsidRPr="001B1DCF">
        <w:rPr>
          <w:rFonts w:ascii="Arial" w:hAnsi="Arial" w:cs="Arial"/>
          <w:sz w:val="22"/>
          <w:szCs w:val="22"/>
          <w:lang w:val="es-ES"/>
        </w:rPr>
        <w:t xml:space="preserve">  E</w:t>
      </w:r>
      <w:r w:rsidR="00DE2FF4">
        <w:rPr>
          <w:rFonts w:ascii="Arial" w:hAnsi="Arial" w:cs="Arial"/>
          <w:sz w:val="22"/>
          <w:szCs w:val="22"/>
          <w:lang w:val="es-ES"/>
        </w:rPr>
        <w:t xml:space="preserve">n dicho estudio se exponían </w:t>
      </w:r>
      <w:r w:rsidRPr="001B1DCF">
        <w:rPr>
          <w:rFonts w:ascii="Arial" w:hAnsi="Arial" w:cs="Arial"/>
          <w:sz w:val="22"/>
          <w:szCs w:val="22"/>
          <w:lang w:val="es-ES"/>
        </w:rPr>
        <w:t xml:space="preserve">conclusiones </w:t>
      </w:r>
      <w:r w:rsidR="00DE2FF4">
        <w:rPr>
          <w:rFonts w:ascii="Arial" w:hAnsi="Arial" w:cs="Arial"/>
          <w:sz w:val="22"/>
          <w:szCs w:val="22"/>
          <w:lang w:val="es-ES"/>
        </w:rPr>
        <w:t xml:space="preserve">respecto </w:t>
      </w:r>
      <w:r w:rsidRPr="001B1DCF">
        <w:rPr>
          <w:rFonts w:ascii="Arial" w:hAnsi="Arial" w:cs="Arial"/>
          <w:sz w:val="22"/>
          <w:szCs w:val="22"/>
          <w:lang w:val="es-ES"/>
        </w:rPr>
        <w:t xml:space="preserve">de </w:t>
      </w:r>
      <w:r w:rsidR="00B13647" w:rsidRPr="001B1DCF">
        <w:rPr>
          <w:rFonts w:ascii="Arial" w:hAnsi="Arial" w:cs="Arial"/>
          <w:sz w:val="22"/>
          <w:szCs w:val="22"/>
          <w:lang w:val="es-ES"/>
        </w:rPr>
        <w:t>73</w:t>
      </w:r>
      <w:r w:rsidRPr="001B1DCF">
        <w:rPr>
          <w:rFonts w:ascii="Arial" w:hAnsi="Arial" w:cs="Arial"/>
          <w:sz w:val="22"/>
          <w:szCs w:val="22"/>
          <w:lang w:val="es-ES"/>
        </w:rPr>
        <w:t xml:space="preserve"> países</w:t>
      </w:r>
      <w:r w:rsidR="00B13647" w:rsidRPr="001B1DCF">
        <w:rPr>
          <w:rFonts w:ascii="Arial" w:hAnsi="Arial" w:cs="Arial"/>
          <w:sz w:val="22"/>
          <w:szCs w:val="22"/>
          <w:lang w:val="es-ES"/>
        </w:rPr>
        <w:t>.</w:t>
      </w:r>
    </w:p>
    <w:p w:rsidR="00F4789C" w:rsidRPr="00F4789C" w:rsidRDefault="00F4789C" w:rsidP="00F4789C">
      <w:pPr>
        <w:pStyle w:val="ListParagraph"/>
        <w:rPr>
          <w:rFonts w:ascii="Arial" w:hAnsi="Arial" w:cs="Arial"/>
          <w:sz w:val="22"/>
          <w:szCs w:val="22"/>
          <w:lang w:val="es-ES"/>
        </w:rPr>
      </w:pPr>
    </w:p>
    <w:p w:rsidR="00CC6133" w:rsidRPr="001B1DCF" w:rsidRDefault="00CC6133" w:rsidP="00CC6133">
      <w:pPr>
        <w:pStyle w:val="ListParagraph"/>
        <w:numPr>
          <w:ilvl w:val="0"/>
          <w:numId w:val="14"/>
        </w:numPr>
        <w:spacing w:after="160"/>
        <w:rPr>
          <w:rFonts w:ascii="Arial" w:hAnsi="Arial" w:cs="Arial"/>
          <w:sz w:val="22"/>
          <w:szCs w:val="22"/>
          <w:lang w:val="es-ES"/>
        </w:rPr>
      </w:pPr>
      <w:r w:rsidRPr="001B1DCF">
        <w:rPr>
          <w:rFonts w:ascii="Arial" w:hAnsi="Arial" w:cs="Arial"/>
          <w:sz w:val="22"/>
          <w:szCs w:val="22"/>
          <w:lang w:val="es-ES"/>
        </w:rPr>
        <w:lastRenderedPageBreak/>
        <w:t>El estudio de</w:t>
      </w:r>
      <w:r w:rsidR="00B13647" w:rsidRPr="001B1DCF">
        <w:rPr>
          <w:rFonts w:ascii="Arial" w:hAnsi="Arial" w:cs="Arial"/>
          <w:sz w:val="22"/>
          <w:szCs w:val="22"/>
          <w:lang w:val="es-ES"/>
        </w:rPr>
        <w:t xml:space="preserve"> 2015 </w:t>
      </w:r>
      <w:r w:rsidRPr="001B1DCF">
        <w:rPr>
          <w:rFonts w:ascii="Arial" w:hAnsi="Arial" w:cs="Arial"/>
          <w:sz w:val="22"/>
          <w:szCs w:val="22"/>
          <w:lang w:val="es-ES"/>
        </w:rPr>
        <w:t>supuso la culminación de investigaciones anteriores</w:t>
      </w:r>
      <w:r w:rsidR="00CA6B92">
        <w:rPr>
          <w:rFonts w:ascii="Arial" w:hAnsi="Arial" w:cs="Arial"/>
          <w:sz w:val="22"/>
          <w:szCs w:val="22"/>
          <w:lang w:val="es-ES"/>
        </w:rPr>
        <w:t xml:space="preserve"> y</w:t>
      </w:r>
      <w:r w:rsidRPr="001B1DCF">
        <w:rPr>
          <w:rFonts w:ascii="Arial" w:hAnsi="Arial" w:cs="Arial"/>
          <w:sz w:val="22"/>
          <w:szCs w:val="22"/>
          <w:lang w:val="es-ES"/>
        </w:rPr>
        <w:t xml:space="preserve"> la consolidación y actualización de las investigaciones</w:t>
      </w:r>
      <w:r w:rsidR="00B13647" w:rsidRPr="001B1DCF">
        <w:rPr>
          <w:rFonts w:ascii="Arial" w:hAnsi="Arial" w:cs="Arial"/>
          <w:sz w:val="22"/>
          <w:szCs w:val="22"/>
          <w:lang w:val="es-ES"/>
        </w:rPr>
        <w:t>.</w:t>
      </w:r>
      <w:r w:rsidR="00B13647" w:rsidRPr="001B1DCF">
        <w:rPr>
          <w:rStyle w:val="FootnoteReference"/>
          <w:sz w:val="22"/>
          <w:szCs w:val="22"/>
          <w:lang w:val="es-ES"/>
        </w:rPr>
        <w:footnoteReference w:id="3"/>
      </w:r>
      <w:r w:rsidR="00B13647" w:rsidRPr="001B1DCF">
        <w:rPr>
          <w:rFonts w:ascii="Arial" w:hAnsi="Arial" w:cs="Arial"/>
          <w:sz w:val="22"/>
          <w:szCs w:val="22"/>
          <w:lang w:val="es-ES"/>
        </w:rPr>
        <w:t xml:space="preserve">  </w:t>
      </w:r>
      <w:r w:rsidRPr="001B1DCF">
        <w:rPr>
          <w:rFonts w:ascii="Arial" w:hAnsi="Arial" w:cs="Arial"/>
          <w:sz w:val="22"/>
          <w:szCs w:val="22"/>
          <w:lang w:val="es-ES"/>
        </w:rPr>
        <w:t xml:space="preserve">Al reflejar la ampliación de los recursos de investigación y la capacidad de </w:t>
      </w:r>
      <w:r w:rsidR="00CA6B92">
        <w:rPr>
          <w:rFonts w:ascii="Arial" w:hAnsi="Arial" w:cs="Arial"/>
          <w:sz w:val="22"/>
          <w:szCs w:val="22"/>
          <w:lang w:val="es-ES"/>
        </w:rPr>
        <w:t>localizar</w:t>
      </w:r>
      <w:r w:rsidRPr="001B1DCF">
        <w:rPr>
          <w:rFonts w:ascii="Arial" w:hAnsi="Arial" w:cs="Arial"/>
          <w:sz w:val="22"/>
          <w:szCs w:val="22"/>
          <w:lang w:val="es-ES"/>
        </w:rPr>
        <w:t xml:space="preserve"> la legislación de muchos otros países, </w:t>
      </w:r>
      <w:r w:rsidR="00CA6B92">
        <w:rPr>
          <w:rFonts w:ascii="Arial" w:hAnsi="Arial" w:cs="Arial"/>
          <w:sz w:val="22"/>
          <w:szCs w:val="22"/>
          <w:lang w:val="es-ES"/>
        </w:rPr>
        <w:t>en el estudio de 2015 se analizaba</w:t>
      </w:r>
      <w:r w:rsidRPr="001B1DCF">
        <w:rPr>
          <w:rFonts w:ascii="Arial" w:hAnsi="Arial" w:cs="Arial"/>
          <w:sz w:val="22"/>
          <w:szCs w:val="22"/>
          <w:lang w:val="es-ES"/>
        </w:rPr>
        <w:t xml:space="preserve"> la legislación de los 188 países que eran Estados miembros de la OMPI en aquel momento.</w:t>
      </w:r>
    </w:p>
    <w:p w:rsidR="00B57DA7" w:rsidRPr="001B1DCF" w:rsidRDefault="0027669C" w:rsidP="00B57DA7">
      <w:pPr>
        <w:rPr>
          <w:rFonts w:eastAsia="Times New Roman"/>
          <w:szCs w:val="22"/>
          <w:lang w:val="es-ES" w:eastAsia="en-US"/>
        </w:rPr>
      </w:pPr>
      <w:r w:rsidRPr="001B1DCF">
        <w:rPr>
          <w:rFonts w:eastAsia="Times New Roman"/>
          <w:szCs w:val="22"/>
          <w:lang w:val="es-ES" w:eastAsia="en-US"/>
        </w:rPr>
        <w:t xml:space="preserve">Los tres estudios examinan la naturaleza y diversidad de </w:t>
      </w:r>
      <w:r w:rsidR="00CA6B92">
        <w:rPr>
          <w:rFonts w:eastAsia="Times New Roman"/>
          <w:szCs w:val="22"/>
          <w:lang w:val="es-ES" w:eastAsia="en-US"/>
        </w:rPr>
        <w:t xml:space="preserve">las </w:t>
      </w:r>
      <w:r w:rsidRPr="001B1DCF">
        <w:rPr>
          <w:rFonts w:eastAsia="Times New Roman"/>
          <w:szCs w:val="22"/>
          <w:lang w:val="es-ES" w:eastAsia="en-US"/>
        </w:rPr>
        <w:t xml:space="preserve">disposiciones en la legislación de </w:t>
      </w:r>
      <w:r w:rsidR="00371F97" w:rsidRPr="001B1DCF">
        <w:rPr>
          <w:rFonts w:eastAsia="Times New Roman"/>
          <w:szCs w:val="22"/>
          <w:lang w:val="es-ES" w:eastAsia="en-US"/>
        </w:rPr>
        <w:t>derecho de autor</w:t>
      </w:r>
      <w:r w:rsidR="00B57DA7" w:rsidRPr="001B1DCF">
        <w:rPr>
          <w:rFonts w:eastAsia="Times New Roman"/>
          <w:szCs w:val="22"/>
          <w:lang w:val="es-ES" w:eastAsia="en-US"/>
        </w:rPr>
        <w:t xml:space="preserve"> </w:t>
      </w:r>
      <w:r w:rsidRPr="001B1DCF">
        <w:rPr>
          <w:rFonts w:eastAsia="Times New Roman"/>
          <w:szCs w:val="22"/>
          <w:lang w:val="es-ES" w:eastAsia="en-US"/>
        </w:rPr>
        <w:t xml:space="preserve">de los Estados miembros de la </w:t>
      </w:r>
      <w:r w:rsidR="00371F97" w:rsidRPr="001B1DCF">
        <w:rPr>
          <w:rFonts w:eastAsia="Times New Roman"/>
          <w:szCs w:val="22"/>
          <w:lang w:val="es-ES" w:eastAsia="en-US"/>
        </w:rPr>
        <w:t>OMPI</w:t>
      </w:r>
      <w:r w:rsidR="00B57DA7" w:rsidRPr="001B1DCF">
        <w:rPr>
          <w:rFonts w:eastAsia="Times New Roman"/>
          <w:szCs w:val="22"/>
          <w:lang w:val="es-ES" w:eastAsia="en-US"/>
        </w:rPr>
        <w:t xml:space="preserve"> </w:t>
      </w:r>
      <w:r w:rsidRPr="001B1DCF">
        <w:rPr>
          <w:rFonts w:eastAsia="Times New Roman"/>
          <w:szCs w:val="22"/>
          <w:lang w:val="es-ES" w:eastAsia="en-US"/>
        </w:rPr>
        <w:t>y ofrecen un análisis de las leyes pertinentes</w:t>
      </w:r>
      <w:r w:rsidR="00B57DA7" w:rsidRPr="001B1DCF">
        <w:rPr>
          <w:rFonts w:eastAsia="Times New Roman"/>
          <w:szCs w:val="22"/>
          <w:lang w:val="es-ES" w:eastAsia="en-US"/>
        </w:rPr>
        <w:t xml:space="preserve">.  </w:t>
      </w:r>
      <w:r w:rsidRPr="001B1DCF">
        <w:rPr>
          <w:rFonts w:eastAsia="Times New Roman"/>
          <w:szCs w:val="22"/>
          <w:lang w:val="es-ES" w:eastAsia="en-US"/>
        </w:rPr>
        <w:t xml:space="preserve">No obstante, el presente informe consolida la información que contienen los </w:t>
      </w:r>
      <w:r w:rsidR="006D5BB7" w:rsidRPr="001B1DCF">
        <w:rPr>
          <w:rFonts w:eastAsia="Times New Roman"/>
          <w:szCs w:val="22"/>
          <w:lang w:val="es-ES" w:eastAsia="en-US"/>
        </w:rPr>
        <w:t xml:space="preserve">tres </w:t>
      </w:r>
      <w:r w:rsidRPr="001B1DCF">
        <w:rPr>
          <w:rFonts w:eastAsia="Times New Roman"/>
          <w:szCs w:val="22"/>
          <w:lang w:val="es-ES" w:eastAsia="en-US"/>
        </w:rPr>
        <w:t>estudios</w:t>
      </w:r>
      <w:r w:rsidR="006D5BB7" w:rsidRPr="001B1DCF">
        <w:rPr>
          <w:rFonts w:eastAsia="Times New Roman"/>
          <w:szCs w:val="22"/>
          <w:lang w:val="es-ES" w:eastAsia="en-US"/>
        </w:rPr>
        <w:t xml:space="preserve"> anteriores</w:t>
      </w:r>
      <w:r w:rsidR="00B57DA7" w:rsidRPr="001B1DCF">
        <w:rPr>
          <w:rFonts w:eastAsia="Times New Roman"/>
          <w:szCs w:val="22"/>
          <w:lang w:val="es-ES" w:eastAsia="en-US"/>
        </w:rPr>
        <w:t xml:space="preserve">, </w:t>
      </w:r>
      <w:r w:rsidRPr="001B1DCF">
        <w:rPr>
          <w:rFonts w:eastAsia="Times New Roman"/>
          <w:szCs w:val="22"/>
          <w:lang w:val="es-ES" w:eastAsia="en-US"/>
        </w:rPr>
        <w:t xml:space="preserve">añade </w:t>
      </w:r>
      <w:r w:rsidR="00310779" w:rsidRPr="001B1DCF">
        <w:rPr>
          <w:rFonts w:eastAsia="Times New Roman"/>
          <w:szCs w:val="22"/>
          <w:lang w:val="es-ES" w:eastAsia="en-US"/>
        </w:rPr>
        <w:t>datos</w:t>
      </w:r>
      <w:r w:rsidRPr="001B1DCF">
        <w:rPr>
          <w:rFonts w:eastAsia="Times New Roman"/>
          <w:szCs w:val="22"/>
          <w:lang w:val="es-ES" w:eastAsia="en-US"/>
        </w:rPr>
        <w:t xml:space="preserve"> importante</w:t>
      </w:r>
      <w:r w:rsidR="00310779" w:rsidRPr="001B1DCF">
        <w:rPr>
          <w:rFonts w:eastAsia="Times New Roman"/>
          <w:szCs w:val="22"/>
          <w:lang w:val="es-ES" w:eastAsia="en-US"/>
        </w:rPr>
        <w:t>s y novedosos</w:t>
      </w:r>
      <w:r w:rsidR="006D5BB7" w:rsidRPr="001B1DCF">
        <w:rPr>
          <w:rFonts w:eastAsia="Times New Roman"/>
          <w:szCs w:val="22"/>
          <w:lang w:val="es-ES" w:eastAsia="en-US"/>
        </w:rPr>
        <w:t xml:space="preserve"> y legislación actualizada</w:t>
      </w:r>
      <w:r w:rsidR="00B57DA7" w:rsidRPr="001B1DCF">
        <w:rPr>
          <w:rFonts w:eastAsia="Times New Roman"/>
          <w:szCs w:val="22"/>
          <w:lang w:val="es-ES" w:eastAsia="en-US"/>
        </w:rPr>
        <w:t xml:space="preserve">, </w:t>
      </w:r>
      <w:r w:rsidR="00B03ED1" w:rsidRPr="001B1DCF">
        <w:rPr>
          <w:rFonts w:eastAsia="Times New Roman"/>
          <w:szCs w:val="22"/>
          <w:lang w:val="es-ES" w:eastAsia="en-US"/>
        </w:rPr>
        <w:t>abarca temas jurídicos</w:t>
      </w:r>
      <w:r w:rsidR="00E35625" w:rsidRPr="001B1DCF">
        <w:rPr>
          <w:rFonts w:eastAsia="Times New Roman"/>
          <w:szCs w:val="22"/>
          <w:lang w:val="es-ES" w:eastAsia="en-US"/>
        </w:rPr>
        <w:t xml:space="preserve"> nuevos</w:t>
      </w:r>
      <w:r w:rsidR="00B57DA7" w:rsidRPr="001B1DCF">
        <w:rPr>
          <w:rFonts w:eastAsia="Times New Roman"/>
          <w:szCs w:val="22"/>
          <w:lang w:val="es-ES" w:eastAsia="en-US"/>
        </w:rPr>
        <w:t xml:space="preserve">, </w:t>
      </w:r>
      <w:r w:rsidR="00CA6B92">
        <w:rPr>
          <w:rFonts w:eastAsia="Times New Roman"/>
          <w:szCs w:val="22"/>
          <w:lang w:val="es-ES" w:eastAsia="en-US"/>
        </w:rPr>
        <w:t>y reexamina</w:t>
      </w:r>
      <w:r w:rsidR="00764AD8" w:rsidRPr="001B1DCF">
        <w:rPr>
          <w:rFonts w:eastAsia="Times New Roman"/>
          <w:szCs w:val="22"/>
          <w:lang w:val="es-ES" w:eastAsia="en-US"/>
        </w:rPr>
        <w:t xml:space="preserve"> </w:t>
      </w:r>
      <w:r w:rsidR="00CA6B92">
        <w:rPr>
          <w:rFonts w:eastAsia="Times New Roman"/>
          <w:szCs w:val="22"/>
          <w:lang w:val="es-ES" w:eastAsia="en-US"/>
        </w:rPr>
        <w:t>y confirma</w:t>
      </w:r>
      <w:r w:rsidR="006D5BB7" w:rsidRPr="001B1DCF">
        <w:rPr>
          <w:rFonts w:eastAsia="Times New Roman"/>
          <w:szCs w:val="22"/>
          <w:lang w:val="es-ES" w:eastAsia="en-US"/>
        </w:rPr>
        <w:t xml:space="preserve"> </w:t>
      </w:r>
      <w:r w:rsidR="00764AD8" w:rsidRPr="001B1DCF">
        <w:rPr>
          <w:rFonts w:eastAsia="Times New Roman"/>
          <w:szCs w:val="22"/>
          <w:lang w:val="es-ES" w:eastAsia="en-US"/>
        </w:rPr>
        <w:t>prácticamente todos sus pormenores</w:t>
      </w:r>
      <w:r w:rsidR="006D5BB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764AD8" w:rsidP="00B57DA7">
      <w:pPr>
        <w:rPr>
          <w:rFonts w:eastAsia="Times New Roman"/>
          <w:i/>
          <w:szCs w:val="22"/>
          <w:lang w:val="es-ES" w:eastAsia="en-US"/>
        </w:rPr>
      </w:pPr>
      <w:r w:rsidRPr="001B1DCF">
        <w:rPr>
          <w:rFonts w:eastAsia="Times New Roman"/>
          <w:szCs w:val="22"/>
          <w:lang w:val="es-ES" w:eastAsia="en-US"/>
        </w:rPr>
        <w:t>De lo</w:t>
      </w:r>
      <w:r w:rsidR="00703969" w:rsidRPr="001B1DCF">
        <w:rPr>
          <w:rFonts w:eastAsia="Times New Roman"/>
          <w:szCs w:val="22"/>
          <w:lang w:val="es-ES" w:eastAsia="en-US"/>
        </w:rPr>
        <w:t>s 1</w:t>
      </w:r>
      <w:r w:rsidR="006D5BB7" w:rsidRPr="001B1DCF">
        <w:rPr>
          <w:rFonts w:eastAsia="Times New Roman"/>
          <w:szCs w:val="22"/>
          <w:lang w:val="es-ES" w:eastAsia="en-US"/>
        </w:rPr>
        <w:t>91</w:t>
      </w:r>
      <w:r w:rsidR="00B57DA7" w:rsidRPr="001B1DCF">
        <w:rPr>
          <w:rFonts w:eastAsia="Times New Roman"/>
          <w:szCs w:val="22"/>
          <w:lang w:val="es-ES" w:eastAsia="en-US"/>
        </w:rPr>
        <w:t xml:space="preserve"> </w:t>
      </w:r>
      <w:r w:rsidR="00371F97" w:rsidRPr="001B1DCF">
        <w:rPr>
          <w:rFonts w:eastAsia="Times New Roman"/>
          <w:szCs w:val="22"/>
          <w:lang w:val="es-ES" w:eastAsia="en-US"/>
        </w:rPr>
        <w:t>Estados miembros</w:t>
      </w:r>
      <w:r w:rsidR="006D5BB7" w:rsidRPr="001B1DCF">
        <w:rPr>
          <w:rFonts w:eastAsia="Times New Roman"/>
          <w:szCs w:val="22"/>
          <w:lang w:val="es-ES" w:eastAsia="en-US"/>
        </w:rPr>
        <w:t xml:space="preserve"> de la OMPI</w:t>
      </w:r>
      <w:r w:rsidR="00B57DA7" w:rsidRPr="001B1DCF">
        <w:rPr>
          <w:rFonts w:eastAsia="Times New Roman"/>
          <w:szCs w:val="22"/>
          <w:lang w:val="es-ES" w:eastAsia="en-US"/>
        </w:rPr>
        <w:t xml:space="preserve">, </w:t>
      </w:r>
      <w:r w:rsidR="006D5BB7" w:rsidRPr="001B1DCF">
        <w:rPr>
          <w:rFonts w:eastAsia="Times New Roman"/>
          <w:szCs w:val="22"/>
          <w:lang w:val="es-ES" w:eastAsia="en-US"/>
        </w:rPr>
        <w:t xml:space="preserve">28 </w:t>
      </w:r>
      <w:r w:rsidR="00E35625" w:rsidRPr="001B1DCF">
        <w:rPr>
          <w:rFonts w:eastAsia="Times New Roman"/>
          <w:szCs w:val="22"/>
          <w:lang w:val="es-ES" w:eastAsia="en-US"/>
        </w:rPr>
        <w:t>no contemplan</w:t>
      </w:r>
      <w:r w:rsidR="00923FDC" w:rsidRPr="001B1DCF">
        <w:rPr>
          <w:rFonts w:eastAsia="Times New Roman"/>
          <w:szCs w:val="22"/>
          <w:lang w:val="es-ES" w:eastAsia="en-US"/>
        </w:rPr>
        <w:t xml:space="preserve"> excepciones </w:t>
      </w:r>
      <w:r w:rsidR="00275CFA">
        <w:rPr>
          <w:rFonts w:eastAsia="Times New Roman"/>
          <w:szCs w:val="22"/>
          <w:lang w:val="es-ES" w:eastAsia="en-US"/>
        </w:rPr>
        <w:t>en favor de</w:t>
      </w:r>
      <w:r w:rsidR="00923FDC" w:rsidRPr="001B1DCF">
        <w:rPr>
          <w:rFonts w:eastAsia="Times New Roman"/>
          <w:szCs w:val="22"/>
          <w:lang w:val="es-ES" w:eastAsia="en-US"/>
        </w:rPr>
        <w:t xml:space="preserve"> las bibliotecas</w:t>
      </w:r>
      <w:r w:rsidR="006D5BB7" w:rsidRPr="001B1DCF">
        <w:rPr>
          <w:rFonts w:eastAsia="Times New Roman"/>
          <w:szCs w:val="22"/>
          <w:lang w:val="es-ES" w:eastAsia="en-US"/>
        </w:rPr>
        <w:t xml:space="preserve"> en su legislación nacional y dos países carecen en absoluto de legislación sobre derecho de autor. </w:t>
      </w:r>
      <w:r w:rsidR="00F4789C">
        <w:rPr>
          <w:rFonts w:eastAsia="Times New Roman"/>
          <w:szCs w:val="22"/>
          <w:lang w:val="es-ES" w:eastAsia="en-US"/>
        </w:rPr>
        <w:t xml:space="preserve"> </w:t>
      </w:r>
      <w:r w:rsidR="00E35625" w:rsidRPr="001B1DCF">
        <w:rPr>
          <w:rFonts w:eastAsia="Times New Roman"/>
          <w:szCs w:val="22"/>
          <w:lang w:val="es-ES" w:eastAsia="en-US"/>
        </w:rPr>
        <w:t>Por norma general, e</w:t>
      </w:r>
      <w:r w:rsidR="004C33E8" w:rsidRPr="001B1DCF">
        <w:rPr>
          <w:rFonts w:eastAsia="Times New Roman"/>
          <w:szCs w:val="22"/>
          <w:lang w:val="es-ES" w:eastAsia="en-US"/>
        </w:rPr>
        <w:t>l objeto de</w:t>
      </w:r>
      <w:r w:rsidR="006D5BB7" w:rsidRPr="001B1DCF">
        <w:rPr>
          <w:rFonts w:eastAsia="Times New Roman"/>
          <w:szCs w:val="22"/>
          <w:lang w:val="es-ES" w:eastAsia="en-US"/>
        </w:rPr>
        <w:t xml:space="preserve"> las excepciones en favor de las bibliotecas</w:t>
      </w:r>
      <w:r w:rsidR="004C33E8" w:rsidRPr="001B1DCF">
        <w:rPr>
          <w:rFonts w:eastAsia="Times New Roman"/>
          <w:szCs w:val="22"/>
          <w:lang w:val="es-ES" w:eastAsia="en-US"/>
        </w:rPr>
        <w:t xml:space="preserve"> es la reproducción de </w:t>
      </w:r>
      <w:r w:rsidR="006D5BB7" w:rsidRPr="001B1DCF">
        <w:rPr>
          <w:rFonts w:eastAsia="Times New Roman"/>
          <w:szCs w:val="22"/>
          <w:lang w:val="es-ES" w:eastAsia="en-US"/>
        </w:rPr>
        <w:t>las obras</w:t>
      </w:r>
      <w:r w:rsidR="00275CFA">
        <w:rPr>
          <w:rFonts w:eastAsia="Times New Roman"/>
          <w:szCs w:val="22"/>
          <w:lang w:val="es-ES" w:eastAsia="en-US"/>
        </w:rPr>
        <w:t>,</w:t>
      </w:r>
      <w:r w:rsidR="004C33E8" w:rsidRPr="001B1DCF">
        <w:rPr>
          <w:rFonts w:eastAsia="Times New Roman"/>
          <w:szCs w:val="22"/>
          <w:lang w:val="es-ES" w:eastAsia="en-US"/>
        </w:rPr>
        <w:t xml:space="preserve"> </w:t>
      </w:r>
      <w:r w:rsidR="00275CFA">
        <w:rPr>
          <w:rFonts w:eastAsia="Times New Roman"/>
          <w:szCs w:val="22"/>
          <w:lang w:val="es-ES" w:eastAsia="en-US"/>
        </w:rPr>
        <w:t>normalmente</w:t>
      </w:r>
      <w:r w:rsidR="004C33E8" w:rsidRPr="001B1DCF">
        <w:rPr>
          <w:rFonts w:eastAsia="Times New Roman"/>
          <w:szCs w:val="22"/>
          <w:lang w:val="es-ES" w:eastAsia="en-US"/>
        </w:rPr>
        <w:t>, copias únicas</w:t>
      </w:r>
      <w:r w:rsidR="006D5BB7" w:rsidRPr="001B1DCF">
        <w:rPr>
          <w:rFonts w:eastAsia="Times New Roman"/>
          <w:szCs w:val="22"/>
          <w:lang w:val="es-ES" w:eastAsia="en-US"/>
        </w:rPr>
        <w:t xml:space="preserve"> y a menudo de obras breves</w:t>
      </w:r>
      <w:r w:rsidR="00B57DA7" w:rsidRPr="001B1DCF">
        <w:rPr>
          <w:rFonts w:eastAsia="Times New Roman"/>
          <w:szCs w:val="22"/>
          <w:lang w:val="es-ES" w:eastAsia="en-US"/>
        </w:rPr>
        <w:t xml:space="preserve"> </w:t>
      </w:r>
      <w:r w:rsidR="004C33E8" w:rsidRPr="001B1DCF">
        <w:rPr>
          <w:rFonts w:eastAsia="Times New Roman"/>
          <w:szCs w:val="22"/>
          <w:lang w:val="es-ES" w:eastAsia="en-US"/>
        </w:rPr>
        <w:t>destinadas a lectores, investigadores y otros usuarios de las bibliotecas</w:t>
      </w:r>
      <w:r w:rsidR="00275CFA">
        <w:rPr>
          <w:rFonts w:eastAsia="Times New Roman"/>
          <w:szCs w:val="22"/>
          <w:lang w:val="es-ES" w:eastAsia="en-US"/>
        </w:rPr>
        <w:t>,</w:t>
      </w:r>
      <w:r w:rsidR="00B57DA7" w:rsidRPr="001B1DCF">
        <w:rPr>
          <w:rFonts w:eastAsia="Times New Roman"/>
          <w:szCs w:val="22"/>
          <w:lang w:val="es-ES" w:eastAsia="en-US"/>
        </w:rPr>
        <w:t xml:space="preserve"> </w:t>
      </w:r>
      <w:r w:rsidR="004C33E8" w:rsidRPr="001B1DCF">
        <w:rPr>
          <w:rFonts w:eastAsia="Times New Roman"/>
          <w:szCs w:val="22"/>
          <w:lang w:val="es-ES" w:eastAsia="en-US"/>
        </w:rPr>
        <w:t xml:space="preserve">y la realización de copias para preservar los materiales que figuran en </w:t>
      </w:r>
      <w:r w:rsidR="00E35625" w:rsidRPr="001B1DCF">
        <w:rPr>
          <w:rFonts w:eastAsia="Times New Roman"/>
          <w:szCs w:val="22"/>
          <w:lang w:val="es-ES" w:eastAsia="en-US"/>
        </w:rPr>
        <w:t xml:space="preserve">las </w:t>
      </w:r>
      <w:r w:rsidR="004C33E8" w:rsidRPr="001B1DCF">
        <w:rPr>
          <w:rFonts w:eastAsia="Times New Roman"/>
          <w:szCs w:val="22"/>
          <w:lang w:val="es-ES" w:eastAsia="en-US"/>
        </w:rPr>
        <w:t>colecciones</w:t>
      </w:r>
      <w:r w:rsidR="006D5BB7" w:rsidRPr="001B1DCF">
        <w:rPr>
          <w:rFonts w:eastAsia="Times New Roman"/>
          <w:szCs w:val="22"/>
          <w:lang w:val="es-ES" w:eastAsia="en-US"/>
        </w:rPr>
        <w:t xml:space="preserve"> o de copias que sustituyan </w:t>
      </w:r>
      <w:r w:rsidR="00275CFA">
        <w:rPr>
          <w:rFonts w:eastAsia="Times New Roman"/>
          <w:szCs w:val="22"/>
          <w:lang w:val="es-ES" w:eastAsia="en-US"/>
        </w:rPr>
        <w:t xml:space="preserve">a </w:t>
      </w:r>
      <w:r w:rsidR="004C33E8" w:rsidRPr="001B1DCF">
        <w:rPr>
          <w:rFonts w:eastAsia="Times New Roman"/>
          <w:szCs w:val="22"/>
          <w:lang w:val="es-ES" w:eastAsia="en-US"/>
        </w:rPr>
        <w:t>las obras dañadas o extraviadas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2D1829" w:rsidRPr="001B1DCF" w:rsidRDefault="00DB171D" w:rsidP="00B57DA7">
      <w:pPr>
        <w:rPr>
          <w:rFonts w:eastAsia="Times New Roman"/>
          <w:szCs w:val="22"/>
          <w:lang w:val="es-ES" w:eastAsia="en-US"/>
        </w:rPr>
      </w:pPr>
      <w:r w:rsidRPr="001B1DCF">
        <w:rPr>
          <w:rFonts w:eastAsia="Times New Roman"/>
          <w:szCs w:val="22"/>
          <w:lang w:val="es-ES" w:eastAsia="en-US"/>
        </w:rPr>
        <w:t>Esos servicios bibliotecarios</w:t>
      </w:r>
      <w:r w:rsidR="004C33E8" w:rsidRPr="001B1DCF">
        <w:rPr>
          <w:rFonts w:eastAsia="Times New Roman"/>
          <w:szCs w:val="22"/>
          <w:lang w:val="es-ES" w:eastAsia="en-US"/>
        </w:rPr>
        <w:t xml:space="preserve"> han constituido durante mucho tiempo el eje principal de las excepciones en favor de las bibliotecas</w:t>
      </w:r>
      <w:r w:rsidRPr="001B1DCF">
        <w:rPr>
          <w:rFonts w:eastAsia="Times New Roman"/>
          <w:szCs w:val="22"/>
          <w:lang w:val="es-ES" w:eastAsia="en-US"/>
        </w:rPr>
        <w:t xml:space="preserve"> y siguen siendo los aspectos fundamentales de las nuevas normas de derecho de autor que se promulgan en todo el mundo.  Sin embargo, </w:t>
      </w:r>
      <w:r w:rsidR="004C33E8" w:rsidRPr="001B1DCF">
        <w:rPr>
          <w:rFonts w:eastAsia="Times New Roman"/>
          <w:szCs w:val="22"/>
          <w:lang w:val="es-ES" w:eastAsia="en-US"/>
        </w:rPr>
        <w:t xml:space="preserve">en los últimos años se han llevado a cabo </w:t>
      </w:r>
      <w:r w:rsidR="00275CFA">
        <w:rPr>
          <w:rFonts w:eastAsia="Times New Roman"/>
          <w:szCs w:val="22"/>
          <w:lang w:val="es-ES" w:eastAsia="en-US"/>
        </w:rPr>
        <w:t>revisiones esporádicas</w:t>
      </w:r>
      <w:r w:rsidRPr="001B1DCF">
        <w:rPr>
          <w:rFonts w:eastAsia="Times New Roman"/>
          <w:szCs w:val="22"/>
          <w:lang w:val="es-ES" w:eastAsia="en-US"/>
        </w:rPr>
        <w:t xml:space="preserve"> de la legislación </w:t>
      </w:r>
      <w:r w:rsidR="004C33E8" w:rsidRPr="001B1DCF">
        <w:rPr>
          <w:rFonts w:eastAsia="Times New Roman"/>
          <w:szCs w:val="22"/>
          <w:lang w:val="es-ES" w:eastAsia="en-US"/>
        </w:rPr>
        <w:t xml:space="preserve">que reflejan </w:t>
      </w:r>
      <w:r w:rsidRPr="001B1DCF">
        <w:rPr>
          <w:rFonts w:eastAsia="Times New Roman"/>
          <w:szCs w:val="22"/>
          <w:lang w:val="es-ES" w:eastAsia="en-US"/>
        </w:rPr>
        <w:t xml:space="preserve">la evolución de las necesidades </w:t>
      </w:r>
      <w:r w:rsidR="004C33E8" w:rsidRPr="001B1DCF">
        <w:rPr>
          <w:rFonts w:eastAsia="Times New Roman"/>
          <w:szCs w:val="22"/>
          <w:lang w:val="es-ES" w:eastAsia="en-US"/>
        </w:rPr>
        <w:t>y las nuevas tecnologías</w:t>
      </w:r>
      <w:r w:rsidR="00B57DA7" w:rsidRPr="001B1DCF">
        <w:rPr>
          <w:rFonts w:eastAsia="Times New Roman"/>
          <w:szCs w:val="22"/>
          <w:lang w:val="es-ES" w:eastAsia="en-US"/>
        </w:rPr>
        <w:t xml:space="preserve">.  </w:t>
      </w:r>
      <w:r w:rsidR="002D1829" w:rsidRPr="001B1DCF">
        <w:rPr>
          <w:rFonts w:eastAsia="Times New Roman"/>
          <w:szCs w:val="22"/>
          <w:lang w:val="es-ES" w:eastAsia="en-US"/>
        </w:rPr>
        <w:t>Alemania ha promulgado una nueva disposición el presente año en la que se autoriza a las bibliotecas a tomar parte en la digitalización de las obras a los fines de la extracción de datos y el análisis de textos.  En los últimos años, algunos países han estipulado que algunas de las excepciones en favor de las bibliotecas (y otras disposiciones en beneficio del público) no pueden suprimirse por contrato.</w:t>
      </w:r>
      <w:r w:rsidR="002D1829" w:rsidRPr="001B1DCF">
        <w:rPr>
          <w:rFonts w:eastAsia="Times New Roman"/>
          <w:szCs w:val="22"/>
          <w:vertAlign w:val="superscript"/>
          <w:lang w:val="es-ES" w:eastAsia="en-US"/>
        </w:rPr>
        <w:footnoteReference w:id="4"/>
      </w:r>
      <w:r w:rsidR="002D1829" w:rsidRPr="001B1DCF">
        <w:rPr>
          <w:rFonts w:eastAsia="Times New Roman"/>
          <w:szCs w:val="22"/>
          <w:lang w:val="es-ES" w:eastAsia="en-US"/>
        </w:rPr>
        <w:t xml:space="preserve">  Desde hace tiempo, Bélgica cuenta con una disposición que prohíbe la supresión contractual de las excepciones.  </w:t>
      </w:r>
      <w:r w:rsidR="00275CFA">
        <w:rPr>
          <w:rFonts w:eastAsia="Times New Roman"/>
          <w:szCs w:val="22"/>
          <w:lang w:val="es-ES" w:eastAsia="en-US"/>
        </w:rPr>
        <w:t xml:space="preserve">Hace pocos años </w:t>
      </w:r>
      <w:r w:rsidR="00B458E8" w:rsidRPr="001B1DCF">
        <w:rPr>
          <w:rFonts w:eastAsia="Times New Roman"/>
          <w:szCs w:val="22"/>
          <w:lang w:val="es-ES" w:eastAsia="en-US"/>
        </w:rPr>
        <w:t>se han promulgado nuevas disposiciones sobre ese punto en Alemania, Kuwait, Montenegro y el Reino Unido</w:t>
      </w:r>
      <w:r w:rsidR="002D1829" w:rsidRPr="001B1DCF">
        <w:rPr>
          <w:rFonts w:eastAsia="Times New Roman"/>
          <w:szCs w:val="22"/>
          <w:lang w:val="es-ES" w:eastAsia="en-US"/>
        </w:rPr>
        <w:t xml:space="preserve">. </w:t>
      </w:r>
    </w:p>
    <w:p w:rsidR="002D1829" w:rsidRPr="001B1DCF" w:rsidRDefault="002D1829" w:rsidP="00B57DA7">
      <w:pPr>
        <w:rPr>
          <w:rFonts w:eastAsia="Times New Roman"/>
          <w:szCs w:val="22"/>
          <w:lang w:val="es-ES" w:eastAsia="en-US"/>
        </w:rPr>
      </w:pPr>
    </w:p>
    <w:p w:rsidR="00B458E8" w:rsidRPr="001B1DCF" w:rsidRDefault="00B458E8" w:rsidP="00B57DA7">
      <w:pPr>
        <w:rPr>
          <w:rFonts w:eastAsia="Times New Roman"/>
          <w:szCs w:val="22"/>
          <w:lang w:val="es-ES" w:eastAsia="en-US"/>
        </w:rPr>
      </w:pPr>
      <w:r w:rsidRPr="001B1DCF">
        <w:rPr>
          <w:rFonts w:eastAsia="Times New Roman"/>
          <w:szCs w:val="22"/>
          <w:lang w:val="es-ES" w:eastAsia="en-US"/>
        </w:rPr>
        <w:t xml:space="preserve">Muchas de las disposiciones promulgadas recientemente continúan con una tendencia importante </w:t>
      </w:r>
      <w:r w:rsidR="00275CFA">
        <w:rPr>
          <w:rFonts w:eastAsia="Times New Roman"/>
          <w:szCs w:val="22"/>
          <w:lang w:val="es-ES" w:eastAsia="en-US"/>
        </w:rPr>
        <w:t>observada</w:t>
      </w:r>
      <w:r w:rsidRPr="001B1DCF">
        <w:rPr>
          <w:rFonts w:eastAsia="Times New Roman"/>
          <w:szCs w:val="22"/>
          <w:lang w:val="es-ES" w:eastAsia="en-US"/>
        </w:rPr>
        <w:t xml:space="preserve"> en los estudios precedentes:  los países suelen fijarse en los vecinos, los socios comerciales y los consorcios multinacionales a la hora de buscar inspiración y orientación para redactar la legislación.  Por ejemplo, en un estudio anterior se señalaba que muchos países tanto de dentro como de fuera</w:t>
      </w:r>
      <w:r w:rsidR="00275CFA">
        <w:rPr>
          <w:rFonts w:eastAsia="Times New Roman"/>
          <w:szCs w:val="22"/>
          <w:lang w:val="es-ES" w:eastAsia="en-US"/>
        </w:rPr>
        <w:t xml:space="preserve"> de</w:t>
      </w:r>
      <w:r w:rsidRPr="001B1DCF">
        <w:rPr>
          <w:rFonts w:eastAsia="Times New Roman"/>
          <w:szCs w:val="22"/>
          <w:lang w:val="es-ES" w:eastAsia="en-US"/>
        </w:rPr>
        <w:t xml:space="preserve"> la Unión Europea promulgaban una </w:t>
      </w:r>
      <w:r w:rsidR="007A001A" w:rsidRPr="001B1DCF">
        <w:rPr>
          <w:rFonts w:eastAsia="Times New Roman"/>
          <w:szCs w:val="22"/>
          <w:lang w:val="es-ES" w:eastAsia="en-US"/>
        </w:rPr>
        <w:t>disposición</w:t>
      </w:r>
      <w:r w:rsidRPr="001B1DCF">
        <w:rPr>
          <w:rFonts w:eastAsia="Times New Roman"/>
          <w:szCs w:val="22"/>
          <w:lang w:val="es-ES" w:eastAsia="en-US"/>
        </w:rPr>
        <w:t xml:space="preserve"> de una </w:t>
      </w:r>
      <w:r w:rsidR="008B1D87" w:rsidRPr="001B1DCF">
        <w:rPr>
          <w:rFonts w:eastAsia="Times New Roman"/>
          <w:szCs w:val="22"/>
          <w:lang w:val="es-ES" w:eastAsia="en-US"/>
        </w:rPr>
        <w:t xml:space="preserve">directiva </w:t>
      </w:r>
      <w:r w:rsidRPr="001B1DCF">
        <w:rPr>
          <w:rFonts w:eastAsia="Times New Roman"/>
          <w:szCs w:val="22"/>
          <w:lang w:val="es-ES" w:eastAsia="en-US"/>
        </w:rPr>
        <w:t xml:space="preserve">de </w:t>
      </w:r>
      <w:r w:rsidR="00703969" w:rsidRPr="001B1DCF">
        <w:rPr>
          <w:rFonts w:eastAsia="Times New Roman"/>
          <w:szCs w:val="22"/>
          <w:lang w:val="es-ES" w:eastAsia="en-US"/>
        </w:rPr>
        <w:t>2</w:t>
      </w:r>
      <w:r w:rsidR="008B1D87" w:rsidRPr="001B1DCF">
        <w:rPr>
          <w:rFonts w:eastAsia="Times New Roman"/>
          <w:szCs w:val="22"/>
          <w:lang w:val="es-ES" w:eastAsia="en-US"/>
        </w:rPr>
        <w:t xml:space="preserve">001 </w:t>
      </w:r>
      <w:r w:rsidRPr="001B1DCF">
        <w:rPr>
          <w:rFonts w:eastAsia="Times New Roman"/>
          <w:szCs w:val="22"/>
          <w:lang w:val="es-ES" w:eastAsia="en-US"/>
        </w:rPr>
        <w:t xml:space="preserve">de </w:t>
      </w:r>
      <w:r w:rsidR="008B1D87" w:rsidRPr="001B1DCF">
        <w:rPr>
          <w:rFonts w:eastAsia="Times New Roman"/>
          <w:szCs w:val="22"/>
          <w:lang w:val="es-ES" w:eastAsia="en-US"/>
        </w:rPr>
        <w:t>la U</w:t>
      </w:r>
      <w:r w:rsidRPr="001B1DCF">
        <w:rPr>
          <w:rFonts w:eastAsia="Times New Roman"/>
          <w:szCs w:val="22"/>
          <w:lang w:val="es-ES" w:eastAsia="en-US"/>
        </w:rPr>
        <w:t>E</w:t>
      </w:r>
      <w:r w:rsidR="008B1D87" w:rsidRPr="001B1DCF">
        <w:rPr>
          <w:rFonts w:eastAsia="Times New Roman"/>
          <w:szCs w:val="22"/>
          <w:lang w:val="es-ES" w:eastAsia="en-US"/>
        </w:rPr>
        <w:t xml:space="preserve"> que autorizaba a los </w:t>
      </w:r>
      <w:r w:rsidR="00371F97" w:rsidRPr="001B1DCF">
        <w:rPr>
          <w:rFonts w:eastAsia="Times New Roman"/>
          <w:szCs w:val="22"/>
          <w:lang w:val="es-ES" w:eastAsia="en-US"/>
        </w:rPr>
        <w:t>Estados miembros</w:t>
      </w:r>
      <w:r w:rsidR="00B57DA7" w:rsidRPr="001B1DCF">
        <w:rPr>
          <w:rFonts w:eastAsia="Times New Roman"/>
          <w:szCs w:val="22"/>
          <w:lang w:val="es-ES" w:eastAsia="en-US"/>
        </w:rPr>
        <w:t xml:space="preserve"> </w:t>
      </w:r>
      <w:r w:rsidR="008B1D87" w:rsidRPr="001B1DCF">
        <w:rPr>
          <w:rFonts w:eastAsia="Times New Roman"/>
          <w:szCs w:val="22"/>
          <w:lang w:val="es-ES" w:eastAsia="en-US"/>
        </w:rPr>
        <w:t xml:space="preserve">a realizar </w:t>
      </w:r>
      <w:r w:rsidR="00A819C4" w:rsidRPr="001B1DCF">
        <w:rPr>
          <w:rFonts w:eastAsia="Times New Roman"/>
          <w:szCs w:val="22"/>
          <w:lang w:val="es-ES" w:eastAsia="en-US"/>
        </w:rPr>
        <w:t xml:space="preserve">en las instalaciones de las bibliotecas </w:t>
      </w:r>
      <w:r w:rsidR="008B1D87" w:rsidRPr="001B1DCF">
        <w:rPr>
          <w:rFonts w:eastAsia="Times New Roman"/>
          <w:szCs w:val="22"/>
          <w:lang w:val="es-ES" w:eastAsia="en-US"/>
        </w:rPr>
        <w:t xml:space="preserve">copias digitalizadas de las obras </w:t>
      </w:r>
      <w:r w:rsidR="00A819C4" w:rsidRPr="001B1DCF">
        <w:rPr>
          <w:rFonts w:eastAsia="Times New Roman"/>
          <w:szCs w:val="22"/>
          <w:lang w:val="es-ES" w:eastAsia="en-US"/>
        </w:rPr>
        <w:t xml:space="preserve">destinadas a la investigación y </w:t>
      </w:r>
      <w:r w:rsidRPr="001B1DCF">
        <w:rPr>
          <w:rFonts w:eastAsia="Times New Roman"/>
          <w:szCs w:val="22"/>
          <w:lang w:val="es-ES" w:eastAsia="en-US"/>
        </w:rPr>
        <w:t xml:space="preserve">el </w:t>
      </w:r>
      <w:r w:rsidR="00A819C4" w:rsidRPr="001B1DCF">
        <w:rPr>
          <w:rFonts w:eastAsia="Times New Roman"/>
          <w:szCs w:val="22"/>
          <w:lang w:val="es-ES" w:eastAsia="en-US"/>
        </w:rPr>
        <w:t>estudio de los usuarios</w:t>
      </w:r>
      <w:r w:rsidR="00703969" w:rsidRPr="001B1DCF">
        <w:rPr>
          <w:rFonts w:eastAsia="Times New Roman"/>
          <w:szCs w:val="22"/>
          <w:lang w:val="es-ES" w:eastAsia="en-US"/>
        </w:rPr>
        <w:t>.</w:t>
      </w:r>
      <w:r w:rsidR="00703969" w:rsidRPr="001B1DCF">
        <w:rPr>
          <w:rFonts w:eastAsia="Times New Roman"/>
          <w:szCs w:val="22"/>
          <w:vertAlign w:val="superscript"/>
          <w:lang w:val="es-ES" w:eastAsia="en-US"/>
        </w:rPr>
        <w:footnoteReference w:id="5"/>
      </w:r>
      <w:r w:rsidRPr="001B1DCF">
        <w:rPr>
          <w:rFonts w:eastAsia="Times New Roman"/>
          <w:szCs w:val="22"/>
          <w:lang w:val="es-ES" w:eastAsia="en-US"/>
        </w:rPr>
        <w:t xml:space="preserve"> Evidentemente, esa disposición ha configurado la legislación de los países de la UE, pero en años recientes se han promulgado leyes de contenido similar en países tan diversos como Chile, China, Cote d’Ivoire, Kirguistán y la República de Corea.</w:t>
      </w:r>
    </w:p>
    <w:p w:rsidR="00B57DA7" w:rsidRPr="001B1DCF" w:rsidRDefault="00B57DA7" w:rsidP="00B57DA7">
      <w:pPr>
        <w:rPr>
          <w:rFonts w:eastAsia="Times New Roman"/>
          <w:szCs w:val="22"/>
          <w:lang w:val="es-ES" w:eastAsia="en-US"/>
        </w:rPr>
      </w:pPr>
    </w:p>
    <w:p w:rsidR="00F376E8" w:rsidRPr="001B1DCF" w:rsidRDefault="00226DC7" w:rsidP="00F376E8">
      <w:pPr>
        <w:rPr>
          <w:rFonts w:eastAsia="Times New Roman"/>
          <w:szCs w:val="22"/>
          <w:lang w:val="es-ES"/>
        </w:rPr>
      </w:pPr>
      <w:r w:rsidRPr="001B1DCF">
        <w:rPr>
          <w:rFonts w:eastAsia="Times New Roman"/>
          <w:szCs w:val="22"/>
          <w:lang w:val="es-ES"/>
        </w:rPr>
        <w:lastRenderedPageBreak/>
        <w:t>Igualmente, la Unión Europea promulgó una directiva en 2012 en la que se contempla</w:t>
      </w:r>
      <w:r w:rsidR="00671015">
        <w:rPr>
          <w:rFonts w:eastAsia="Times New Roman"/>
          <w:szCs w:val="22"/>
          <w:lang w:val="es-ES"/>
        </w:rPr>
        <w:t>ba</w:t>
      </w:r>
      <w:r w:rsidRPr="001B1DCF">
        <w:rPr>
          <w:rFonts w:eastAsia="Times New Roman"/>
          <w:szCs w:val="22"/>
          <w:lang w:val="es-ES"/>
        </w:rPr>
        <w:t xml:space="preserve"> la </w:t>
      </w:r>
      <w:r w:rsidR="00F376E8" w:rsidRPr="001B1DCF">
        <w:rPr>
          <w:rFonts w:eastAsia="Times New Roman"/>
          <w:szCs w:val="22"/>
          <w:lang w:val="es-ES"/>
        </w:rPr>
        <w:t>identificación y el uso de las obras huérfanas</w:t>
      </w:r>
      <w:r w:rsidR="007A001A" w:rsidRPr="001B1DCF">
        <w:rPr>
          <w:rFonts w:eastAsia="Times New Roman"/>
          <w:szCs w:val="22"/>
          <w:lang w:val="es-ES"/>
        </w:rPr>
        <w:t>.</w:t>
      </w:r>
      <w:r w:rsidR="007A001A" w:rsidRPr="001B1DCF">
        <w:rPr>
          <w:rStyle w:val="FootnoteReference"/>
          <w:rFonts w:eastAsia="Times New Roman"/>
          <w:szCs w:val="22"/>
          <w:lang w:val="es-ES"/>
        </w:rPr>
        <w:footnoteReference w:id="6"/>
      </w:r>
      <w:r w:rsidR="007A001A" w:rsidRPr="001B1DCF">
        <w:rPr>
          <w:rFonts w:eastAsia="Times New Roman"/>
          <w:szCs w:val="22"/>
          <w:lang w:val="es-ES"/>
        </w:rPr>
        <w:t xml:space="preserve">  </w:t>
      </w:r>
      <w:r w:rsidR="00F376E8" w:rsidRPr="001B1DCF">
        <w:rPr>
          <w:rFonts w:eastAsia="Times New Roman"/>
          <w:szCs w:val="22"/>
          <w:lang w:val="es-ES"/>
        </w:rPr>
        <w:t xml:space="preserve">Naturalmente, esas disposiciones figuran actualmente en la legislación de </w:t>
      </w:r>
      <w:r w:rsidR="00671015">
        <w:rPr>
          <w:rFonts w:eastAsia="Times New Roman"/>
          <w:szCs w:val="22"/>
          <w:lang w:val="es-ES"/>
        </w:rPr>
        <w:t xml:space="preserve">sus </w:t>
      </w:r>
      <w:r w:rsidR="00F376E8" w:rsidRPr="001B1DCF">
        <w:rPr>
          <w:rFonts w:eastAsia="Times New Roman"/>
          <w:szCs w:val="22"/>
          <w:lang w:val="es-ES"/>
        </w:rPr>
        <w:t xml:space="preserve">países miembros, pero también aparece alguna forma de legislación sobre las obras huérfanas en la legislación de otros países, promulgada a menudo </w:t>
      </w:r>
      <w:r w:rsidR="00671015">
        <w:rPr>
          <w:rFonts w:eastAsia="Times New Roman"/>
          <w:szCs w:val="22"/>
          <w:lang w:val="es-ES"/>
        </w:rPr>
        <w:t>una vez que la UE ha</w:t>
      </w:r>
      <w:r w:rsidR="00F376E8" w:rsidRPr="001B1DCF">
        <w:rPr>
          <w:rFonts w:eastAsia="Times New Roman"/>
          <w:szCs w:val="22"/>
          <w:lang w:val="es-ES"/>
        </w:rPr>
        <w:t xml:space="preserve"> resaltado la importancia de la cuestión.  Otra disposición conexa que ha sido promulgada en algunos países en los</w:t>
      </w:r>
      <w:r w:rsidR="00671015">
        <w:rPr>
          <w:rFonts w:eastAsia="Times New Roman"/>
          <w:szCs w:val="22"/>
          <w:lang w:val="es-ES"/>
        </w:rPr>
        <w:t xml:space="preserve"> últimos años es el concepto de</w:t>
      </w:r>
      <w:r w:rsidR="00F376E8" w:rsidRPr="001B1DCF">
        <w:rPr>
          <w:rFonts w:eastAsia="Times New Roman"/>
          <w:szCs w:val="22"/>
          <w:lang w:val="es-ES"/>
        </w:rPr>
        <w:t xml:space="preserve"> uso leal.  Por uso leal se entiende una excepción de carácter “abierto”;  la excepción queda definida y limitada por una serie de factores, pero no está restringida a tipos concretos de usos u obras.  En los cuadros del presente estudio se mencionan las ocasiones en que se ha visto que existe legislación sobre el uso leal en la legislación nacional de algún Estado miembro.  Entre los países en los que se ha observado legislación sobre el uso leal en el presente informe figuran Israel, Liberia, la República de Corea, Sri Lanka y los Estados Unidos de América.</w:t>
      </w:r>
    </w:p>
    <w:p w:rsidR="00F376E8" w:rsidRPr="001B1DCF" w:rsidRDefault="00F376E8" w:rsidP="00F376E8">
      <w:pPr>
        <w:rPr>
          <w:rFonts w:eastAsia="Times New Roman"/>
          <w:szCs w:val="22"/>
          <w:lang w:val="es-ES"/>
        </w:rPr>
      </w:pPr>
    </w:p>
    <w:p w:rsidR="00B458E8" w:rsidRPr="001B1DCF" w:rsidRDefault="00B458E8" w:rsidP="00B57DA7">
      <w:pPr>
        <w:rPr>
          <w:rFonts w:eastAsia="Times New Roman"/>
          <w:szCs w:val="22"/>
          <w:lang w:val="es-ES" w:eastAsia="en-US"/>
        </w:rPr>
      </w:pPr>
      <w:r w:rsidRPr="001B1DCF">
        <w:rPr>
          <w:rFonts w:eastAsia="Times New Roman"/>
          <w:szCs w:val="22"/>
          <w:lang w:val="es-ES" w:eastAsia="en-US"/>
        </w:rPr>
        <w:t xml:space="preserve">Las revisiones de las excepciones en favor de las bibliotecas se han producido en forma de modificaciones específicas de la legislación vigente o de la revisión íntegra de la ley de derecho de autor de un país. En el año 2016, por ejemplo, se promulgó nueva legislación de derecho de autor en Albania, Cote d’Ivoire, Kuwait, Liberia y Malawi.  En años recientes, muchos países han modificado la legislación de derecho de autor que </w:t>
      </w:r>
      <w:r w:rsidR="00B609F4" w:rsidRPr="001B1DCF">
        <w:rPr>
          <w:rFonts w:eastAsia="Times New Roman"/>
          <w:szCs w:val="22"/>
          <w:lang w:val="es-ES" w:eastAsia="en-US"/>
        </w:rPr>
        <w:t>tiene que ver con</w:t>
      </w:r>
      <w:r w:rsidRPr="001B1DCF">
        <w:rPr>
          <w:rFonts w:eastAsia="Times New Roman"/>
          <w:szCs w:val="22"/>
          <w:lang w:val="es-ES" w:eastAsia="en-US"/>
        </w:rPr>
        <w:t xml:space="preserve"> el presente estudio.  Entre esos países figuran Australia, Alemania, Uzbekistán, Portugal y muchos otros.  </w:t>
      </w:r>
      <w:r w:rsidR="00B609F4" w:rsidRPr="001B1DCF">
        <w:rPr>
          <w:rFonts w:eastAsia="Times New Roman"/>
          <w:szCs w:val="22"/>
          <w:lang w:val="es-ES" w:eastAsia="en-US"/>
        </w:rPr>
        <w:t xml:space="preserve">Se han revisado y actualizado más de cincuenta </w:t>
      </w:r>
      <w:r w:rsidR="00671015">
        <w:rPr>
          <w:rFonts w:eastAsia="Times New Roman"/>
          <w:szCs w:val="22"/>
          <w:lang w:val="es-ES" w:eastAsia="en-US"/>
        </w:rPr>
        <w:t>cuadros</w:t>
      </w:r>
      <w:r w:rsidR="00B609F4" w:rsidRPr="001B1DCF">
        <w:rPr>
          <w:rFonts w:eastAsia="Times New Roman"/>
          <w:szCs w:val="22"/>
          <w:lang w:val="es-ES" w:eastAsia="en-US"/>
        </w:rPr>
        <w:t xml:space="preserve"> del presente estudio, en su mayoría como reflejo de la nueva y abundante legislación que se ha promulgado o que se ha localizado y traducido para su examen desde el informe precedente.</w:t>
      </w:r>
    </w:p>
    <w:p w:rsidR="00B458E8" w:rsidRPr="001B1DCF" w:rsidRDefault="00B458E8" w:rsidP="00B57DA7">
      <w:pPr>
        <w:rPr>
          <w:rFonts w:eastAsia="Times New Roman"/>
          <w:szCs w:val="22"/>
          <w:lang w:val="es-ES" w:eastAsia="en-US"/>
        </w:rPr>
      </w:pPr>
    </w:p>
    <w:p w:rsidR="00B57DA7" w:rsidRPr="001B1DCF" w:rsidRDefault="00B609F4" w:rsidP="00B609F4">
      <w:pPr>
        <w:rPr>
          <w:rFonts w:eastAsia="Times New Roman"/>
          <w:szCs w:val="22"/>
          <w:lang w:val="es-ES" w:eastAsia="en-US"/>
        </w:rPr>
      </w:pPr>
      <w:r w:rsidRPr="001B1DCF">
        <w:rPr>
          <w:rFonts w:eastAsia="Times New Roman"/>
          <w:szCs w:val="22"/>
          <w:lang w:val="es-ES" w:eastAsia="en-US"/>
        </w:rPr>
        <w:t xml:space="preserve">Estas nuevas </w:t>
      </w:r>
      <w:r w:rsidR="00A9052B" w:rsidRPr="001B1DCF">
        <w:rPr>
          <w:rFonts w:eastAsia="Times New Roman"/>
          <w:szCs w:val="22"/>
          <w:lang w:val="es-ES" w:eastAsia="en-US"/>
        </w:rPr>
        <w:t xml:space="preserve">leyes </w:t>
      </w:r>
      <w:r w:rsidRPr="001B1DCF">
        <w:rPr>
          <w:rFonts w:eastAsia="Times New Roman"/>
          <w:szCs w:val="22"/>
          <w:lang w:val="es-ES" w:eastAsia="en-US"/>
        </w:rPr>
        <w:t xml:space="preserve">siguen reflejando la búsqueda de una fórmula que equilibre </w:t>
      </w:r>
      <w:r w:rsidR="00A9052B" w:rsidRPr="001B1DCF">
        <w:rPr>
          <w:rFonts w:eastAsia="Times New Roman"/>
          <w:szCs w:val="22"/>
          <w:lang w:val="es-ES" w:eastAsia="en-US"/>
        </w:rPr>
        <w:t xml:space="preserve">los objetivos contrapuestos </w:t>
      </w:r>
      <w:r w:rsidRPr="001B1DCF">
        <w:rPr>
          <w:rFonts w:eastAsia="Times New Roman"/>
          <w:szCs w:val="22"/>
          <w:lang w:val="es-ES" w:eastAsia="en-US"/>
        </w:rPr>
        <w:t xml:space="preserve">que pueden existir en la legislación de derecho de autor </w:t>
      </w:r>
      <w:r w:rsidR="00A9052B" w:rsidRPr="001B1DCF">
        <w:rPr>
          <w:rFonts w:eastAsia="Times New Roman"/>
          <w:szCs w:val="22"/>
          <w:lang w:val="es-ES" w:eastAsia="en-US"/>
        </w:rPr>
        <w:t>de un país</w:t>
      </w:r>
      <w:r w:rsidR="00B57DA7" w:rsidRPr="001B1DCF">
        <w:rPr>
          <w:rFonts w:eastAsia="Times New Roman"/>
          <w:szCs w:val="22"/>
          <w:lang w:val="es-ES" w:eastAsia="en-US"/>
        </w:rPr>
        <w:t xml:space="preserve">.  </w:t>
      </w:r>
      <w:r w:rsidRPr="001B1DCF">
        <w:rPr>
          <w:rFonts w:eastAsia="Times New Roman"/>
          <w:szCs w:val="22"/>
          <w:lang w:val="es-ES" w:eastAsia="en-US"/>
        </w:rPr>
        <w:t>Asimismo, u</w:t>
      </w:r>
      <w:r w:rsidR="00A9052B" w:rsidRPr="001B1DCF">
        <w:rPr>
          <w:rFonts w:eastAsia="Times New Roman"/>
          <w:szCs w:val="22"/>
          <w:lang w:val="es-ES" w:eastAsia="en-US"/>
        </w:rPr>
        <w:t xml:space="preserve">n análisis pormenorizado de las excepciones en </w:t>
      </w:r>
      <w:r w:rsidR="008332F8" w:rsidRPr="001B1DCF">
        <w:rPr>
          <w:rFonts w:eastAsia="Times New Roman"/>
          <w:szCs w:val="22"/>
          <w:lang w:val="es-ES" w:eastAsia="en-US"/>
        </w:rPr>
        <w:t>favor de las bibliotecas ilustra</w:t>
      </w:r>
      <w:r w:rsidR="00A9052B" w:rsidRPr="001B1DCF">
        <w:rPr>
          <w:rFonts w:eastAsia="Times New Roman"/>
          <w:szCs w:val="22"/>
          <w:lang w:val="es-ES" w:eastAsia="en-US"/>
        </w:rPr>
        <w:t xml:space="preserve"> en buena medida la relación </w:t>
      </w:r>
      <w:r w:rsidR="00310779" w:rsidRPr="001B1DCF">
        <w:rPr>
          <w:rFonts w:eastAsia="Times New Roman"/>
          <w:szCs w:val="22"/>
          <w:lang w:val="es-ES" w:eastAsia="en-US"/>
        </w:rPr>
        <w:t xml:space="preserve">existente </w:t>
      </w:r>
      <w:r w:rsidR="00A9052B" w:rsidRPr="001B1DCF">
        <w:rPr>
          <w:rFonts w:eastAsia="Times New Roman"/>
          <w:szCs w:val="22"/>
          <w:lang w:val="es-ES" w:eastAsia="en-US"/>
        </w:rPr>
        <w:t xml:space="preserve">entre la </w:t>
      </w:r>
      <w:r w:rsidRPr="001B1DCF">
        <w:rPr>
          <w:rFonts w:eastAsia="Times New Roman"/>
          <w:szCs w:val="22"/>
          <w:lang w:val="es-ES" w:eastAsia="en-US"/>
        </w:rPr>
        <w:t>legislación</w:t>
      </w:r>
      <w:r w:rsidR="00A9052B" w:rsidRPr="001B1DCF">
        <w:rPr>
          <w:rFonts w:eastAsia="Times New Roman"/>
          <w:szCs w:val="22"/>
          <w:lang w:val="es-ES" w:eastAsia="en-US"/>
        </w:rPr>
        <w:t xml:space="preserve"> de derecho de autor y los </w:t>
      </w:r>
      <w:r w:rsidR="00923FDC" w:rsidRPr="001B1DCF">
        <w:rPr>
          <w:rFonts w:eastAsia="Times New Roman"/>
          <w:szCs w:val="22"/>
          <w:lang w:val="es-ES" w:eastAsia="en-US"/>
        </w:rPr>
        <w:t>servicios</w:t>
      </w:r>
      <w:r w:rsidR="00405A7F" w:rsidRPr="001B1DCF">
        <w:rPr>
          <w:rFonts w:eastAsia="Times New Roman"/>
          <w:szCs w:val="22"/>
          <w:lang w:val="es-ES" w:eastAsia="en-US"/>
        </w:rPr>
        <w:t xml:space="preserve"> que prestan las bibliotecas</w:t>
      </w:r>
      <w:r w:rsidRPr="001B1DCF">
        <w:rPr>
          <w:rFonts w:eastAsia="Times New Roman"/>
          <w:szCs w:val="22"/>
          <w:lang w:val="es-ES" w:eastAsia="en-US"/>
        </w:rPr>
        <w:t>, y pone</w:t>
      </w:r>
      <w:r w:rsidR="00A9052B" w:rsidRPr="001B1DCF">
        <w:rPr>
          <w:rFonts w:eastAsia="Times New Roman"/>
          <w:szCs w:val="22"/>
          <w:lang w:val="es-ES" w:eastAsia="en-US"/>
        </w:rPr>
        <w:t xml:space="preserve"> de manifiesto el compromiso </w:t>
      </w:r>
      <w:r w:rsidR="008332F8" w:rsidRPr="001B1DCF">
        <w:rPr>
          <w:rFonts w:eastAsia="Times New Roman"/>
          <w:szCs w:val="22"/>
          <w:lang w:val="es-ES" w:eastAsia="en-US"/>
        </w:rPr>
        <w:t xml:space="preserve">alcanzado </w:t>
      </w:r>
      <w:r w:rsidR="00A9052B" w:rsidRPr="001B1DCF">
        <w:rPr>
          <w:rFonts w:eastAsia="Times New Roman"/>
          <w:szCs w:val="22"/>
          <w:lang w:val="es-ES" w:eastAsia="en-US"/>
        </w:rPr>
        <w:t>entre los objetivos culturales, históricos y económicos</w:t>
      </w:r>
      <w:r w:rsidRPr="001B1DCF">
        <w:rPr>
          <w:rFonts w:eastAsia="Times New Roman"/>
          <w:szCs w:val="22"/>
          <w:lang w:val="es-ES" w:eastAsia="en-US"/>
        </w:rPr>
        <w:t xml:space="preserve">.  Las excepciones en favor de las bibliotecas sirven los intereses del público al autorizar a esas entidades a </w:t>
      </w:r>
      <w:r w:rsidR="00A9052B" w:rsidRPr="001B1DCF">
        <w:rPr>
          <w:rFonts w:eastAsia="Times New Roman"/>
          <w:szCs w:val="22"/>
          <w:lang w:val="es-ES" w:eastAsia="en-US"/>
        </w:rPr>
        <w:t>utilizar las obras protegidas por derecho de autor con fines sociales</w:t>
      </w:r>
      <w:r w:rsidRPr="001B1DCF">
        <w:rPr>
          <w:rFonts w:eastAsia="Times New Roman"/>
          <w:szCs w:val="22"/>
          <w:lang w:val="es-ES" w:eastAsia="en-US"/>
        </w:rPr>
        <w:t xml:space="preserve">, a la vez que se establecen </w:t>
      </w:r>
      <w:r w:rsidR="00A9052B" w:rsidRPr="001B1DCF">
        <w:rPr>
          <w:rFonts w:eastAsia="Times New Roman"/>
          <w:szCs w:val="22"/>
          <w:lang w:val="es-ES" w:eastAsia="en-US"/>
        </w:rPr>
        <w:t xml:space="preserve">limitaciones y condiciones dirigidas a proteger los intereses de los </w:t>
      </w:r>
      <w:r w:rsidR="00D555FD" w:rsidRPr="001B1DCF">
        <w:rPr>
          <w:rFonts w:eastAsia="Times New Roman"/>
          <w:szCs w:val="22"/>
          <w:lang w:val="es-ES" w:eastAsia="en-US"/>
        </w:rPr>
        <w:t xml:space="preserve">titulares del </w:t>
      </w:r>
      <w:r w:rsidR="00371F97" w:rsidRPr="001B1DCF">
        <w:rPr>
          <w:rFonts w:eastAsia="Times New Roman"/>
          <w:szCs w:val="22"/>
          <w:lang w:val="es-ES" w:eastAsia="en-US"/>
        </w:rPr>
        <w:t>derecho de autor</w:t>
      </w:r>
      <w:r w:rsidR="00B57DA7" w:rsidRPr="001B1DCF">
        <w:rPr>
          <w:rFonts w:eastAsia="Times New Roman"/>
          <w:szCs w:val="22"/>
          <w:lang w:val="es-ES" w:eastAsia="en-US"/>
        </w:rPr>
        <w:t xml:space="preserve">, </w:t>
      </w:r>
      <w:r w:rsidR="00D555FD" w:rsidRPr="001B1DCF">
        <w:rPr>
          <w:rFonts w:eastAsia="Times New Roman"/>
          <w:szCs w:val="22"/>
          <w:lang w:val="es-ES" w:eastAsia="en-US"/>
        </w:rPr>
        <w:t>las editoriales y otros titulares de derechos</w:t>
      </w:r>
      <w:r w:rsidR="00B57DA7" w:rsidRPr="001B1DCF">
        <w:rPr>
          <w:rFonts w:eastAsia="Times New Roman"/>
          <w:szCs w:val="22"/>
          <w:lang w:val="es-ES" w:eastAsia="en-US"/>
        </w:rPr>
        <w:t xml:space="preserve">.  </w:t>
      </w:r>
      <w:r w:rsidR="00D555FD" w:rsidRPr="001B1DCF">
        <w:rPr>
          <w:rFonts w:eastAsia="Times New Roman"/>
          <w:szCs w:val="22"/>
          <w:lang w:val="es-ES" w:eastAsia="en-US"/>
        </w:rPr>
        <w:t xml:space="preserve">El presente informe recoge </w:t>
      </w:r>
      <w:r w:rsidR="00E16949" w:rsidRPr="001B1DCF">
        <w:rPr>
          <w:rFonts w:eastAsia="Times New Roman"/>
          <w:szCs w:val="22"/>
          <w:lang w:val="es-ES" w:eastAsia="en-US"/>
        </w:rPr>
        <w:t>lo</w:t>
      </w:r>
      <w:r w:rsidRPr="001B1DCF">
        <w:rPr>
          <w:rFonts w:eastAsia="Times New Roman"/>
          <w:szCs w:val="22"/>
          <w:lang w:val="es-ES" w:eastAsia="en-US"/>
        </w:rPr>
        <w:t>s datos en bruto relativos a es</w:t>
      </w:r>
      <w:r w:rsidR="00E16949" w:rsidRPr="001B1DCF">
        <w:rPr>
          <w:rFonts w:eastAsia="Times New Roman"/>
          <w:szCs w:val="22"/>
          <w:lang w:val="es-ES" w:eastAsia="en-US"/>
        </w:rPr>
        <w:t xml:space="preserve">as leyes con el fin de conocer mejor </w:t>
      </w:r>
      <w:r w:rsidR="00310779" w:rsidRPr="001B1DCF">
        <w:rPr>
          <w:rFonts w:eastAsia="Times New Roman"/>
          <w:szCs w:val="22"/>
          <w:lang w:val="es-ES" w:eastAsia="en-US"/>
        </w:rPr>
        <w:t xml:space="preserve">sus </w:t>
      </w:r>
      <w:r w:rsidR="00E16949" w:rsidRPr="001B1DCF">
        <w:rPr>
          <w:rFonts w:eastAsia="Times New Roman"/>
          <w:szCs w:val="22"/>
          <w:lang w:val="es-ES" w:eastAsia="en-US"/>
        </w:rPr>
        <w:t xml:space="preserve">objetivos y las alternativas </w:t>
      </w:r>
      <w:r w:rsidR="008332F8" w:rsidRPr="001B1DCF">
        <w:rPr>
          <w:rFonts w:eastAsia="Times New Roman"/>
          <w:szCs w:val="22"/>
          <w:lang w:val="es-ES" w:eastAsia="en-US"/>
        </w:rPr>
        <w:t>existentes</w:t>
      </w:r>
      <w:r w:rsidR="00E16949" w:rsidRPr="001B1DCF">
        <w:rPr>
          <w:rFonts w:eastAsia="Times New Roman"/>
          <w:szCs w:val="22"/>
          <w:lang w:val="es-ES" w:eastAsia="en-US"/>
        </w:rPr>
        <w:t xml:space="preserve"> para elaborar una legislación más eficaz en el futuro</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keepNext/>
        <w:spacing w:before="240" w:after="60"/>
        <w:outlineLvl w:val="0"/>
        <w:rPr>
          <w:b/>
          <w:bCs/>
          <w:caps/>
          <w:kern w:val="32"/>
          <w:szCs w:val="32"/>
          <w:lang w:val="es-ES" w:eastAsia="en-US"/>
        </w:rPr>
      </w:pPr>
      <w:bookmarkStart w:id="2" w:name="_Toc207648387"/>
      <w:bookmarkStart w:id="3" w:name="_Toc207648968"/>
      <w:bookmarkStart w:id="4" w:name="_Toc207649423"/>
      <w:bookmarkStart w:id="5" w:name="_Toc207649787"/>
      <w:bookmarkStart w:id="6" w:name="_Toc207650188"/>
      <w:bookmarkStart w:id="7" w:name="_Toc208637837"/>
      <w:bookmarkStart w:id="8" w:name="_Toc421800679"/>
      <w:r w:rsidRPr="001B1DCF">
        <w:rPr>
          <w:b/>
          <w:bCs/>
          <w:caps/>
          <w:kern w:val="32"/>
          <w:szCs w:val="32"/>
          <w:lang w:val="es-ES" w:eastAsia="en-US"/>
        </w:rPr>
        <w:t>Terminolog</w:t>
      </w:r>
      <w:bookmarkEnd w:id="2"/>
      <w:bookmarkEnd w:id="3"/>
      <w:bookmarkEnd w:id="4"/>
      <w:bookmarkEnd w:id="5"/>
      <w:bookmarkEnd w:id="6"/>
      <w:bookmarkEnd w:id="7"/>
      <w:bookmarkEnd w:id="8"/>
      <w:r w:rsidR="00371F97" w:rsidRPr="001B1DCF">
        <w:rPr>
          <w:b/>
          <w:bCs/>
          <w:caps/>
          <w:kern w:val="32"/>
          <w:szCs w:val="32"/>
          <w:lang w:val="es-ES" w:eastAsia="en-US"/>
        </w:rPr>
        <w:t>ÍA</w:t>
      </w:r>
    </w:p>
    <w:p w:rsidR="00B57DA7" w:rsidRPr="001B1DCF" w:rsidRDefault="00B57DA7" w:rsidP="00B57DA7">
      <w:pPr>
        <w:rPr>
          <w:rFonts w:eastAsia="Times New Roman"/>
          <w:szCs w:val="22"/>
          <w:lang w:val="es-ES" w:eastAsia="en-US"/>
        </w:rPr>
      </w:pPr>
    </w:p>
    <w:p w:rsidR="00B57DA7" w:rsidRPr="001B1DCF" w:rsidRDefault="00371F97" w:rsidP="00B57DA7">
      <w:pPr>
        <w:rPr>
          <w:rFonts w:eastAsia="Times New Roman"/>
          <w:szCs w:val="22"/>
          <w:lang w:val="es-ES" w:eastAsia="en-US"/>
        </w:rPr>
      </w:pPr>
      <w:r w:rsidRPr="001B1DCF">
        <w:rPr>
          <w:rFonts w:eastAsia="Times New Roman"/>
          <w:szCs w:val="22"/>
          <w:lang w:val="es-ES" w:eastAsia="en-US"/>
        </w:rPr>
        <w:t>Los términos y las expresiones que se emplean en el examen del derecho de autor y las</w:t>
      </w:r>
      <w:r w:rsidRPr="001B1DCF">
        <w:rPr>
          <w:rFonts w:ascii="Times New Roman" w:eastAsia="Times New Roman" w:hAnsi="Times New Roman" w:cs="Times New Roman"/>
          <w:sz w:val="24"/>
          <w:szCs w:val="24"/>
          <w:lang w:val="es-ES" w:eastAsia="es-ES"/>
        </w:rPr>
        <w:t xml:space="preserve"> </w:t>
      </w:r>
      <w:r w:rsidRPr="001B1DCF">
        <w:rPr>
          <w:rFonts w:eastAsia="Times New Roman"/>
          <w:szCs w:val="22"/>
          <w:lang w:val="es-ES" w:eastAsia="en-US"/>
        </w:rPr>
        <w:t>excepciones al derecho de autor pueden tener importantes consecuencias.  En el presente informe se emplean muchos de los términos utilizados en estudios anteriores, de los cuales cabe mencionar nuevamente algunos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numPr>
          <w:ilvl w:val="0"/>
          <w:numId w:val="12"/>
        </w:numPr>
        <w:rPr>
          <w:rFonts w:eastAsia="Times New Roman"/>
          <w:szCs w:val="22"/>
          <w:lang w:val="es-ES" w:eastAsia="en-US"/>
        </w:rPr>
      </w:pPr>
      <w:r w:rsidRPr="001B1DCF">
        <w:rPr>
          <w:rFonts w:eastAsia="Times New Roman"/>
          <w:szCs w:val="22"/>
          <w:lang w:val="es-ES" w:eastAsia="en-US"/>
        </w:rPr>
        <w:t>“</w:t>
      </w:r>
      <w:r w:rsidR="00371F97" w:rsidRPr="001B1DCF">
        <w:rPr>
          <w:rFonts w:eastAsia="Times New Roman"/>
          <w:szCs w:val="22"/>
          <w:lang w:val="es-ES" w:eastAsia="en-US"/>
        </w:rPr>
        <w:t>Biblioteca</w:t>
      </w:r>
      <w:r w:rsidRPr="001B1DCF">
        <w:rPr>
          <w:rFonts w:eastAsia="Times New Roman"/>
          <w:szCs w:val="22"/>
          <w:lang w:val="es-ES" w:eastAsia="en-US"/>
        </w:rPr>
        <w:t xml:space="preserve">” </w:t>
      </w:r>
      <w:r w:rsidR="00371F97" w:rsidRPr="001B1DCF">
        <w:rPr>
          <w:rFonts w:eastAsia="Times New Roman"/>
          <w:szCs w:val="22"/>
          <w:lang w:val="es-ES" w:eastAsia="en-US"/>
        </w:rPr>
        <w:t xml:space="preserve">y </w:t>
      </w:r>
      <w:r w:rsidRPr="001B1DCF">
        <w:rPr>
          <w:rFonts w:eastAsia="Times New Roman"/>
          <w:szCs w:val="22"/>
          <w:lang w:val="es-ES" w:eastAsia="en-US"/>
        </w:rPr>
        <w:t>“</w:t>
      </w:r>
      <w:r w:rsidR="00371F97" w:rsidRPr="001B1DCF">
        <w:rPr>
          <w:rFonts w:eastAsia="Times New Roman"/>
          <w:szCs w:val="22"/>
          <w:lang w:val="es-ES" w:eastAsia="en-US"/>
        </w:rPr>
        <w:t>bibliotecario</w:t>
      </w:r>
      <w:r w:rsidRPr="001B1DCF">
        <w:rPr>
          <w:rFonts w:eastAsia="Times New Roman"/>
          <w:szCs w:val="22"/>
          <w:lang w:val="es-ES" w:eastAsia="en-US"/>
        </w:rPr>
        <w:t xml:space="preserve">”:  </w:t>
      </w:r>
      <w:r w:rsidR="00371F97" w:rsidRPr="001B1DCF">
        <w:rPr>
          <w:rFonts w:eastAsia="Times New Roman"/>
          <w:szCs w:val="22"/>
          <w:lang w:val="es-ES" w:eastAsia="en-US"/>
        </w:rPr>
        <w:t>Al menos en la presente sección introductoria, estos términos se refieren no sólo a las bibliotecas y los bibliotecarios sino también a los archivos y los archiveros</w:t>
      </w:r>
      <w:r w:rsidR="00703969" w:rsidRPr="001B1DCF">
        <w:rPr>
          <w:rFonts w:eastAsia="Times New Roman"/>
          <w:szCs w:val="22"/>
          <w:lang w:val="es-ES" w:eastAsia="en-US"/>
        </w:rPr>
        <w:t>.  L</w:t>
      </w:r>
      <w:r w:rsidR="00371F97" w:rsidRPr="001B1DCF">
        <w:rPr>
          <w:rFonts w:eastAsia="Times New Roman"/>
          <w:szCs w:val="22"/>
          <w:lang w:val="es-ES" w:eastAsia="en-US"/>
        </w:rPr>
        <w:t>as diferencias entre bibliotecas y archivos son muchas e importantes.  Por razones de eficiencia del lenguaje, en el presente informe se utiliza a veces el término biblioteca para ambos tipos de instituciones.  No obstante, en los cuadros no se utilizan expresiones generales o abreviadas.  Si la legislación contempla las bibliotecas y los archivos o los museos, o cualquier otra institución, en el cuadro se refleja dicha característica.  Igualmente, si la legislación se refiere únicamente a “bibliotecas”, así se hará en el cuadro</w:t>
      </w:r>
      <w:r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numPr>
          <w:ilvl w:val="0"/>
          <w:numId w:val="12"/>
        </w:numPr>
        <w:ind w:left="714" w:hanging="357"/>
        <w:rPr>
          <w:rFonts w:eastAsia="Times New Roman"/>
          <w:szCs w:val="22"/>
          <w:lang w:val="es-ES" w:eastAsia="en-US"/>
        </w:rPr>
      </w:pPr>
      <w:r w:rsidRPr="001B1DCF">
        <w:rPr>
          <w:rFonts w:eastAsia="Times New Roman"/>
          <w:szCs w:val="22"/>
          <w:lang w:val="es-ES" w:eastAsia="en-US"/>
        </w:rPr>
        <w:lastRenderedPageBreak/>
        <w:t>“</w:t>
      </w:r>
      <w:r w:rsidR="00371F97" w:rsidRPr="001B1DCF">
        <w:rPr>
          <w:rFonts w:eastAsia="Times New Roman"/>
          <w:szCs w:val="22"/>
          <w:lang w:val="es-ES" w:eastAsia="en-US"/>
        </w:rPr>
        <w:t>Derecho de autor</w:t>
      </w:r>
      <w:r w:rsidRPr="001B1DCF">
        <w:rPr>
          <w:rFonts w:eastAsia="Times New Roman"/>
          <w:szCs w:val="22"/>
          <w:lang w:val="es-ES" w:eastAsia="en-US"/>
        </w:rPr>
        <w:t xml:space="preserve">”:  </w:t>
      </w:r>
      <w:r w:rsidR="00371F97" w:rsidRPr="001B1DCF">
        <w:rPr>
          <w:rFonts w:eastAsia="Times New Roman"/>
          <w:szCs w:val="22"/>
          <w:lang w:val="es-ES" w:eastAsia="en-US"/>
        </w:rPr>
        <w:t>El alcance y la índole de la legislación de derecho de autor está en proceso de cambio en muchos países</w:t>
      </w:r>
      <w:r w:rsidR="00703969" w:rsidRPr="001B1DCF">
        <w:rPr>
          <w:rFonts w:eastAsia="Times New Roman"/>
          <w:szCs w:val="22"/>
          <w:lang w:val="es-ES" w:eastAsia="en-US"/>
        </w:rPr>
        <w:t>.  E</w:t>
      </w:r>
      <w:r w:rsidR="00371F97" w:rsidRPr="001B1DCF">
        <w:rPr>
          <w:rFonts w:eastAsia="Times New Roman"/>
          <w:szCs w:val="22"/>
          <w:lang w:val="es-ES" w:eastAsia="en-US"/>
        </w:rPr>
        <w:t>n el marco del presente informe, el término “derecho de autor” se refiere a los derechos jurídicos que guardan relación con una obra protegida de cualquier tipo que sea</w:t>
      </w:r>
      <w:r w:rsidR="00703969" w:rsidRPr="001B1DCF">
        <w:rPr>
          <w:rFonts w:eastAsia="Times New Roman"/>
          <w:szCs w:val="22"/>
          <w:lang w:val="es-ES" w:eastAsia="en-US"/>
        </w:rPr>
        <w:t>.  E</w:t>
      </w:r>
      <w:r w:rsidR="00371F97" w:rsidRPr="001B1DCF">
        <w:rPr>
          <w:rFonts w:eastAsia="Times New Roman"/>
          <w:szCs w:val="22"/>
          <w:lang w:val="es-ES" w:eastAsia="en-US"/>
        </w:rPr>
        <w:t>sos derechos abarcarán en la mayoría de los casos los así llamados “derechos patrimoniales” de reproducción y similares.  Cuando corresponda, el presente informe se referirá ocasionalmente a los derechos morales y los derechos conexos (en algunas jurisdicciones denominados “derechos afines”</w:t>
      </w:r>
      <w:r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numPr>
          <w:ilvl w:val="0"/>
          <w:numId w:val="12"/>
        </w:numPr>
        <w:ind w:left="714" w:hanging="357"/>
        <w:rPr>
          <w:rFonts w:eastAsia="Times New Roman"/>
          <w:szCs w:val="22"/>
          <w:lang w:val="es-ES" w:eastAsia="en-US"/>
        </w:rPr>
      </w:pPr>
      <w:r w:rsidRPr="001B1DCF">
        <w:rPr>
          <w:rFonts w:eastAsia="Times New Roman"/>
          <w:szCs w:val="22"/>
          <w:lang w:val="es-ES" w:eastAsia="en-US"/>
        </w:rPr>
        <w:t>“</w:t>
      </w:r>
      <w:r w:rsidR="00371F97" w:rsidRPr="001B1DCF">
        <w:rPr>
          <w:rFonts w:eastAsia="Times New Roman"/>
          <w:szCs w:val="22"/>
          <w:lang w:val="es-ES" w:eastAsia="en-US"/>
        </w:rPr>
        <w:t>Excepción</w:t>
      </w:r>
      <w:r w:rsidRPr="001B1DCF">
        <w:rPr>
          <w:rFonts w:eastAsia="Times New Roman"/>
          <w:szCs w:val="22"/>
          <w:lang w:val="es-ES" w:eastAsia="en-US"/>
        </w:rPr>
        <w:t xml:space="preserve">”:  </w:t>
      </w:r>
      <w:r w:rsidR="00371F97" w:rsidRPr="001B1DCF">
        <w:rPr>
          <w:rFonts w:eastAsia="Times New Roman"/>
          <w:szCs w:val="22"/>
          <w:lang w:val="es-ES" w:eastAsia="en-US"/>
        </w:rPr>
        <w:t>El presente informe trata fundamentalmente de las limitaciones y excepciones en materia de derecho de autor</w:t>
      </w:r>
      <w:r w:rsidR="00703969" w:rsidRPr="001B1DCF">
        <w:rPr>
          <w:rFonts w:eastAsia="Times New Roman"/>
          <w:szCs w:val="22"/>
          <w:lang w:val="es-ES" w:eastAsia="en-US"/>
        </w:rPr>
        <w:t>.  E</w:t>
      </w:r>
      <w:r w:rsidR="00371F97" w:rsidRPr="001B1DCF">
        <w:rPr>
          <w:rFonts w:eastAsia="Times New Roman"/>
          <w:szCs w:val="22"/>
          <w:lang w:val="es-ES" w:eastAsia="en-US"/>
        </w:rPr>
        <w:t>l texto de la ley y la literatura jurídica utilizan a veces otra terminología, en particular “exenciones” o “limitaciones de los derechos de los titulares del derecho de autor” o “derechos de los usuarios de obras protegidas por derecho de autor”.  El presente informe no toma posición alguna respecto de la pertinencia de cualquier expresión, aparte de preferir “excepción” a los fines de una mayor claridad y sencillez.  Las excepciones particulares aplicables explícitamente a las bibliotecas (y archivos) reciben la designación de “excepciones en favor de las bibliotecas”</w:t>
      </w:r>
      <w:r w:rsidR="00703969" w:rsidRPr="001B1DCF">
        <w:rPr>
          <w:rFonts w:eastAsia="Times New Roman"/>
          <w:szCs w:val="22"/>
          <w:lang w:val="es-ES" w:eastAsia="en-US"/>
        </w:rPr>
        <w:t>.</w:t>
      </w:r>
      <w:r w:rsidR="00703969" w:rsidRPr="001B1DCF">
        <w:rPr>
          <w:rFonts w:eastAsia="Times New Roman"/>
          <w:szCs w:val="22"/>
          <w:vertAlign w:val="superscript"/>
          <w:lang w:val="es-ES" w:eastAsia="en-US"/>
        </w:rPr>
        <w:footnoteReference w:id="7"/>
      </w:r>
    </w:p>
    <w:p w:rsidR="00B57DA7" w:rsidRPr="001B1DCF" w:rsidRDefault="00B57DA7" w:rsidP="00B57DA7">
      <w:pPr>
        <w:rPr>
          <w:rFonts w:eastAsia="Times New Roman"/>
          <w:szCs w:val="22"/>
          <w:lang w:val="es-ES" w:eastAsia="en-US"/>
        </w:rPr>
      </w:pPr>
    </w:p>
    <w:p w:rsidR="00B57DA7" w:rsidRPr="001B1DCF" w:rsidRDefault="00F630FF" w:rsidP="00B57DA7">
      <w:pPr>
        <w:rPr>
          <w:rFonts w:eastAsia="Times New Roman"/>
          <w:szCs w:val="22"/>
          <w:lang w:val="es-ES" w:eastAsia="en-US"/>
        </w:rPr>
      </w:pPr>
      <w:r w:rsidRPr="001B1DCF">
        <w:rPr>
          <w:rFonts w:eastAsia="Times New Roman"/>
          <w:szCs w:val="22"/>
          <w:lang w:val="es-ES" w:eastAsia="en-US"/>
        </w:rPr>
        <w:t xml:space="preserve">La definición de trabajo empleada en este informe para las </w:t>
      </w:r>
      <w:r w:rsidR="00B57DA7" w:rsidRPr="001B1DCF">
        <w:rPr>
          <w:rFonts w:eastAsia="Times New Roman"/>
          <w:szCs w:val="22"/>
          <w:lang w:val="es-ES" w:eastAsia="en-US"/>
        </w:rPr>
        <w:t>“</w:t>
      </w:r>
      <w:r w:rsidRPr="001B1DCF">
        <w:rPr>
          <w:rFonts w:eastAsia="Times New Roman"/>
          <w:szCs w:val="22"/>
          <w:lang w:val="es-ES" w:eastAsia="en-US"/>
        </w:rPr>
        <w:t>excepciones en favor de las bibliotecas</w:t>
      </w:r>
      <w:r w:rsidR="00B57DA7" w:rsidRPr="001B1DCF">
        <w:rPr>
          <w:rFonts w:eastAsia="Times New Roman"/>
          <w:szCs w:val="22"/>
          <w:lang w:val="es-ES" w:eastAsia="en-US"/>
        </w:rPr>
        <w:t xml:space="preserve">” </w:t>
      </w:r>
      <w:r w:rsidRPr="001B1DCF">
        <w:rPr>
          <w:rFonts w:eastAsia="Times New Roman"/>
          <w:szCs w:val="22"/>
          <w:lang w:val="es-ES" w:eastAsia="en-US"/>
        </w:rPr>
        <w:t xml:space="preserve">da por supuesto que la biblioteca o institución en cuestión está facultada por ley para utilizar la obra sin permiso del autor, el titular del </w:t>
      </w:r>
      <w:r w:rsidR="00371F97" w:rsidRPr="001B1DCF">
        <w:rPr>
          <w:rFonts w:eastAsia="Times New Roman"/>
          <w:szCs w:val="22"/>
          <w:lang w:val="es-ES" w:eastAsia="en-US"/>
        </w:rPr>
        <w:t>derecho de autor</w:t>
      </w:r>
      <w:r w:rsidRPr="001B1DCF">
        <w:rPr>
          <w:rFonts w:eastAsia="Times New Roman"/>
          <w:szCs w:val="22"/>
          <w:lang w:val="es-ES" w:eastAsia="en-US"/>
        </w:rPr>
        <w:t xml:space="preserve"> o cualquier otra parte</w:t>
      </w:r>
      <w:r w:rsidR="008332F8" w:rsidRPr="001B1DCF">
        <w:rPr>
          <w:rFonts w:eastAsia="Times New Roman"/>
          <w:szCs w:val="22"/>
          <w:lang w:val="es-ES" w:eastAsia="en-US"/>
        </w:rPr>
        <w:t xml:space="preserve"> ni pago de remuneración alguna</w:t>
      </w:r>
      <w:r w:rsidR="00B57DA7" w:rsidRPr="001B1DCF">
        <w:rPr>
          <w:rFonts w:eastAsia="Times New Roman"/>
          <w:szCs w:val="22"/>
          <w:lang w:val="es-ES" w:eastAsia="en-US"/>
        </w:rPr>
        <w:t xml:space="preserve">.  </w:t>
      </w:r>
      <w:r w:rsidR="00AB53D3" w:rsidRPr="001B1DCF">
        <w:rPr>
          <w:rFonts w:eastAsia="Times New Roman"/>
          <w:szCs w:val="22"/>
          <w:lang w:val="es-ES" w:eastAsia="en-US"/>
        </w:rPr>
        <w:t xml:space="preserve">Por lo tanto, </w:t>
      </w:r>
      <w:r w:rsidR="008332F8" w:rsidRPr="001B1DCF">
        <w:rPr>
          <w:rFonts w:eastAsia="Times New Roman"/>
          <w:szCs w:val="22"/>
          <w:lang w:val="es-ES" w:eastAsia="en-US"/>
        </w:rPr>
        <w:t xml:space="preserve">no se hace mención de estos elementos </w:t>
      </w:r>
      <w:r w:rsidR="00AB53D3" w:rsidRPr="001B1DCF">
        <w:rPr>
          <w:rFonts w:eastAsia="Times New Roman"/>
          <w:szCs w:val="22"/>
          <w:lang w:val="es-ES" w:eastAsia="en-US"/>
        </w:rPr>
        <w:t xml:space="preserve">en los cuadros siempre que la ley permita de forma expresa su uso sin permiso </w:t>
      </w:r>
      <w:r w:rsidR="006B1FB8" w:rsidRPr="001B1DCF">
        <w:rPr>
          <w:rFonts w:eastAsia="Times New Roman"/>
          <w:szCs w:val="22"/>
          <w:lang w:val="es-ES" w:eastAsia="en-US"/>
        </w:rPr>
        <w:t xml:space="preserve">previo </w:t>
      </w:r>
      <w:r w:rsidR="00AB53D3" w:rsidRPr="001B1DCF">
        <w:rPr>
          <w:rFonts w:eastAsia="Times New Roman"/>
          <w:szCs w:val="22"/>
          <w:lang w:val="es-ES" w:eastAsia="en-US"/>
        </w:rPr>
        <w:t>ni pago de remuneración</w:t>
      </w:r>
      <w:r w:rsidR="00B57DA7" w:rsidRPr="001B1DCF">
        <w:rPr>
          <w:rFonts w:eastAsia="Times New Roman"/>
          <w:szCs w:val="22"/>
          <w:lang w:val="es-ES" w:eastAsia="en-US"/>
        </w:rPr>
        <w:t xml:space="preserve">.  </w:t>
      </w:r>
      <w:r w:rsidR="00AB53D3" w:rsidRPr="001B1DCF">
        <w:rPr>
          <w:rFonts w:eastAsia="Times New Roman"/>
          <w:szCs w:val="22"/>
          <w:lang w:val="es-ES" w:eastAsia="en-US"/>
        </w:rPr>
        <w:t>Por el contrario, cuando la ley condicione la aplicación de la excepción a la obten</w:t>
      </w:r>
      <w:r w:rsidR="006B1FB8" w:rsidRPr="001B1DCF">
        <w:rPr>
          <w:rFonts w:eastAsia="Times New Roman"/>
          <w:szCs w:val="22"/>
          <w:lang w:val="es-ES" w:eastAsia="en-US"/>
        </w:rPr>
        <w:t>ción de un</w:t>
      </w:r>
      <w:r w:rsidR="00AB53D3" w:rsidRPr="001B1DCF">
        <w:rPr>
          <w:rFonts w:eastAsia="Times New Roman"/>
          <w:szCs w:val="22"/>
          <w:lang w:val="es-ES" w:eastAsia="en-US"/>
        </w:rPr>
        <w:t xml:space="preserve"> permiso o al pago de </w:t>
      </w:r>
      <w:r w:rsidR="006B1FB8" w:rsidRPr="001B1DCF">
        <w:rPr>
          <w:rFonts w:eastAsia="Times New Roman"/>
          <w:szCs w:val="22"/>
          <w:lang w:val="es-ES" w:eastAsia="en-US"/>
        </w:rPr>
        <w:t xml:space="preserve">una </w:t>
      </w:r>
      <w:r w:rsidR="00AB53D3" w:rsidRPr="001B1DCF">
        <w:rPr>
          <w:rFonts w:eastAsia="Times New Roman"/>
          <w:szCs w:val="22"/>
          <w:lang w:val="es-ES" w:eastAsia="en-US"/>
        </w:rPr>
        <w:t xml:space="preserve">remuneración, o a la participación en un sistema de licencias, este requisito jurídico </w:t>
      </w:r>
      <w:r w:rsidR="008332F8" w:rsidRPr="001B1DCF">
        <w:rPr>
          <w:rFonts w:eastAsia="Times New Roman"/>
          <w:szCs w:val="22"/>
          <w:lang w:val="es-ES" w:eastAsia="en-US"/>
        </w:rPr>
        <w:t>sí aparecerá reflejado</w:t>
      </w:r>
      <w:r w:rsidR="00AB53D3" w:rsidRPr="001B1DCF">
        <w:rPr>
          <w:rFonts w:eastAsia="Times New Roman"/>
          <w:szCs w:val="22"/>
          <w:lang w:val="es-ES" w:eastAsia="en-US"/>
        </w:rPr>
        <w:t xml:space="preserve"> en los cuadros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E16949" w:rsidP="00B57DA7">
      <w:pPr>
        <w:keepNext/>
        <w:spacing w:before="240" w:after="60"/>
        <w:outlineLvl w:val="0"/>
        <w:rPr>
          <w:b/>
          <w:bCs/>
          <w:caps/>
          <w:kern w:val="32"/>
          <w:szCs w:val="32"/>
          <w:lang w:val="es-ES" w:eastAsia="en-US"/>
        </w:rPr>
      </w:pPr>
      <w:bookmarkStart w:id="9" w:name="_Toc421800680"/>
      <w:r w:rsidRPr="001B1DCF">
        <w:rPr>
          <w:b/>
          <w:bCs/>
          <w:caps/>
          <w:kern w:val="32"/>
          <w:szCs w:val="32"/>
          <w:lang w:val="es-ES" w:eastAsia="en-US"/>
        </w:rPr>
        <w:t>ALCANCE DEL ESTUDIO</w:t>
      </w:r>
      <w:bookmarkEnd w:id="9"/>
    </w:p>
    <w:p w:rsidR="00B57DA7" w:rsidRPr="001B1DCF" w:rsidRDefault="00B57DA7" w:rsidP="00B57DA7">
      <w:pPr>
        <w:rPr>
          <w:rFonts w:eastAsia="Times New Roman"/>
          <w:szCs w:val="22"/>
          <w:lang w:val="es-ES" w:eastAsia="en-US"/>
        </w:rPr>
      </w:pPr>
    </w:p>
    <w:p w:rsidR="00285590" w:rsidRPr="001B1DCF" w:rsidRDefault="00AB53D3" w:rsidP="00B57DA7">
      <w:pPr>
        <w:rPr>
          <w:rFonts w:eastAsia="Times New Roman"/>
          <w:szCs w:val="22"/>
          <w:lang w:val="es-ES" w:eastAsia="en-US"/>
        </w:rPr>
      </w:pPr>
      <w:r w:rsidRPr="001B1DCF">
        <w:rPr>
          <w:rFonts w:eastAsia="Times New Roman"/>
          <w:szCs w:val="22"/>
          <w:lang w:val="es-ES" w:eastAsia="en-US"/>
        </w:rPr>
        <w:t>E</w:t>
      </w:r>
      <w:r w:rsidR="004A528D" w:rsidRPr="001B1DCF">
        <w:rPr>
          <w:rFonts w:eastAsia="Times New Roman"/>
          <w:szCs w:val="22"/>
          <w:lang w:val="es-ES" w:eastAsia="en-US"/>
        </w:rPr>
        <w:t xml:space="preserve">l informe se centra principalmente en las leyes nacionales que establecen excepciones explícitas al derecho de autor en </w:t>
      </w:r>
      <w:r w:rsidRPr="001B1DCF">
        <w:rPr>
          <w:rFonts w:eastAsia="Times New Roman"/>
          <w:szCs w:val="22"/>
          <w:lang w:val="es-ES" w:eastAsia="en-US"/>
        </w:rPr>
        <w:t xml:space="preserve">favor de las bibliotecas </w:t>
      </w:r>
      <w:r w:rsidR="004A528D" w:rsidRPr="001B1DCF">
        <w:rPr>
          <w:rFonts w:eastAsia="Times New Roman"/>
          <w:szCs w:val="22"/>
          <w:lang w:val="es-ES" w:eastAsia="en-US"/>
        </w:rPr>
        <w:t>en general, o de determinados tipos de bibliotecas clasificadas en categorías generales, pero no abarca sistemáticamente las leyes aplicables únicamente a bibliotecas concretas o a grupos pequeños y limitados, como las bibliotecas estatales o las nacionales</w:t>
      </w:r>
      <w:r w:rsidR="00285590"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2703DC" w:rsidP="00B57DA7">
      <w:pPr>
        <w:rPr>
          <w:rFonts w:eastAsia="Times New Roman"/>
          <w:szCs w:val="22"/>
          <w:lang w:val="es-ES" w:eastAsia="en-US"/>
        </w:rPr>
      </w:pPr>
      <w:r w:rsidRPr="001B1DCF">
        <w:rPr>
          <w:rFonts w:eastAsia="Times New Roman"/>
          <w:szCs w:val="22"/>
          <w:lang w:val="es-ES" w:eastAsia="en-US"/>
        </w:rPr>
        <w:t xml:space="preserve">El estudio también </w:t>
      </w:r>
      <w:r w:rsidR="00B03ED1" w:rsidRPr="001B1DCF">
        <w:rPr>
          <w:rFonts w:eastAsia="Times New Roman"/>
          <w:szCs w:val="22"/>
          <w:lang w:val="es-ES" w:eastAsia="en-US"/>
        </w:rPr>
        <w:t>analiza</w:t>
      </w:r>
      <w:r w:rsidRPr="001B1DCF">
        <w:rPr>
          <w:rFonts w:eastAsia="Times New Roman"/>
          <w:szCs w:val="22"/>
          <w:lang w:val="es-ES" w:eastAsia="en-US"/>
        </w:rPr>
        <w:t xml:space="preserve"> las leyes relativas a la </w:t>
      </w:r>
      <w:r w:rsidR="001D1A05" w:rsidRPr="001B1DCF">
        <w:rPr>
          <w:rFonts w:eastAsia="Times New Roman"/>
          <w:szCs w:val="22"/>
          <w:lang w:val="es-ES" w:eastAsia="en-US"/>
        </w:rPr>
        <w:t>elusión de los sistemas tecnológicos de protección</w:t>
      </w:r>
      <w:r w:rsidR="00B57DA7" w:rsidRPr="001B1DCF">
        <w:rPr>
          <w:rFonts w:eastAsia="Times New Roman"/>
          <w:szCs w:val="22"/>
          <w:lang w:val="es-ES" w:eastAsia="en-US"/>
        </w:rPr>
        <w:t xml:space="preserve">, </w:t>
      </w:r>
      <w:r w:rsidR="00B03ED1" w:rsidRPr="001B1DCF">
        <w:rPr>
          <w:rFonts w:eastAsia="Times New Roman"/>
          <w:szCs w:val="22"/>
          <w:lang w:val="es-ES" w:eastAsia="en-US"/>
        </w:rPr>
        <w:t xml:space="preserve">sobre todo con objeto de </w:t>
      </w:r>
      <w:r w:rsidR="00504FC1" w:rsidRPr="001B1DCF">
        <w:rPr>
          <w:rFonts w:eastAsia="Times New Roman"/>
          <w:szCs w:val="22"/>
          <w:lang w:val="es-ES" w:eastAsia="en-US"/>
        </w:rPr>
        <w:t>resaltar</w:t>
      </w:r>
      <w:r w:rsidR="00B03ED1" w:rsidRPr="001B1DCF">
        <w:rPr>
          <w:rFonts w:eastAsia="Times New Roman"/>
          <w:szCs w:val="22"/>
          <w:lang w:val="es-ES" w:eastAsia="en-US"/>
        </w:rPr>
        <w:t xml:space="preserve"> cualquier disposición que pueda facultar a bibliotecas o archivos para eludir las medidas tecnológicas de protección o incurrir en otro tipo de actuaciones prohibidos en otros supuestos </w:t>
      </w:r>
      <w:r w:rsidR="00504FC1" w:rsidRPr="001B1DCF">
        <w:rPr>
          <w:rFonts w:eastAsia="Times New Roman"/>
          <w:szCs w:val="22"/>
          <w:lang w:val="es-ES" w:eastAsia="en-US"/>
        </w:rPr>
        <w:t xml:space="preserve">con el fin de prestar </w:t>
      </w:r>
      <w:r w:rsidR="00B03ED1" w:rsidRPr="001B1DCF">
        <w:rPr>
          <w:rFonts w:eastAsia="Times New Roman"/>
          <w:szCs w:val="22"/>
          <w:lang w:val="es-ES" w:eastAsia="en-US"/>
        </w:rPr>
        <w:t xml:space="preserve">sus servicios o para acogerse a las excepciones en favor de las bibliotecas cuando la obra en cuestión esté protegida mediante </w:t>
      </w:r>
      <w:r w:rsidR="001D1A05" w:rsidRPr="001B1DCF">
        <w:rPr>
          <w:rFonts w:eastAsia="Times New Roman"/>
          <w:szCs w:val="22"/>
          <w:lang w:val="es-ES" w:eastAsia="en-US"/>
        </w:rPr>
        <w:t>medidas tecnológicas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96751F" w:rsidP="00B57DA7">
      <w:pPr>
        <w:rPr>
          <w:rFonts w:eastAsia="Times New Roman"/>
          <w:szCs w:val="22"/>
          <w:lang w:val="es-ES" w:eastAsia="en-US"/>
        </w:rPr>
      </w:pPr>
      <w:r w:rsidRPr="001B1DCF">
        <w:rPr>
          <w:rFonts w:eastAsia="Times New Roman"/>
          <w:szCs w:val="22"/>
          <w:lang w:val="es-ES" w:eastAsia="en-US"/>
        </w:rPr>
        <w:t xml:space="preserve">En aquellos </w:t>
      </w:r>
      <w:r w:rsidR="006B1FB8" w:rsidRPr="001B1DCF">
        <w:rPr>
          <w:rFonts w:eastAsia="Times New Roman"/>
          <w:szCs w:val="22"/>
          <w:lang w:val="es-ES" w:eastAsia="en-US"/>
        </w:rPr>
        <w:t>supuestos</w:t>
      </w:r>
      <w:r w:rsidRPr="001B1DCF">
        <w:rPr>
          <w:rFonts w:eastAsia="Times New Roman"/>
          <w:szCs w:val="22"/>
          <w:lang w:val="es-ES" w:eastAsia="en-US"/>
        </w:rPr>
        <w:t xml:space="preserve"> en que la legislación de un país no prevea ninguna excepción en favor de las bibliotecas, </w:t>
      </w:r>
      <w:r w:rsidR="00B03ED1" w:rsidRPr="001B1DCF">
        <w:rPr>
          <w:rFonts w:eastAsia="Times New Roman"/>
          <w:szCs w:val="22"/>
          <w:lang w:val="es-ES" w:eastAsia="en-US"/>
        </w:rPr>
        <w:t xml:space="preserve">así se </w:t>
      </w:r>
      <w:r w:rsidR="00504FC1" w:rsidRPr="001B1DCF">
        <w:rPr>
          <w:rFonts w:eastAsia="Times New Roman"/>
          <w:szCs w:val="22"/>
          <w:lang w:val="es-ES" w:eastAsia="en-US"/>
        </w:rPr>
        <w:t xml:space="preserve">hará constar </w:t>
      </w:r>
      <w:r w:rsidR="00B03ED1" w:rsidRPr="001B1DCF">
        <w:rPr>
          <w:rFonts w:eastAsia="Times New Roman"/>
          <w:szCs w:val="22"/>
          <w:lang w:val="es-ES" w:eastAsia="en-US"/>
        </w:rPr>
        <w:t>al inicio d</w:t>
      </w:r>
      <w:r w:rsidRPr="001B1DCF">
        <w:rPr>
          <w:rFonts w:eastAsia="Times New Roman"/>
          <w:szCs w:val="22"/>
          <w:lang w:val="es-ES" w:eastAsia="en-US"/>
        </w:rPr>
        <w:t>el cuadro correspondiente</w:t>
      </w:r>
      <w:r w:rsidR="00703969" w:rsidRPr="001B1DCF">
        <w:rPr>
          <w:rFonts w:eastAsia="Times New Roman"/>
          <w:szCs w:val="22"/>
          <w:lang w:val="es-ES" w:eastAsia="en-US"/>
        </w:rPr>
        <w:t>.</w:t>
      </w:r>
      <w:r w:rsidR="00703969" w:rsidRPr="001B1DCF">
        <w:rPr>
          <w:rFonts w:eastAsia="Times New Roman"/>
          <w:szCs w:val="22"/>
          <w:vertAlign w:val="superscript"/>
          <w:lang w:val="es-ES" w:eastAsia="en-US"/>
        </w:rPr>
        <w:footnoteReference w:id="8"/>
      </w:r>
      <w:r w:rsidR="00B57DA7" w:rsidRPr="001B1DCF">
        <w:rPr>
          <w:rFonts w:eastAsia="Times New Roman"/>
          <w:szCs w:val="22"/>
          <w:lang w:val="es-ES" w:eastAsia="en-US"/>
        </w:rPr>
        <w:t xml:space="preserve">  </w:t>
      </w:r>
      <w:r w:rsidR="00B03ED1" w:rsidRPr="001B1DCF">
        <w:rPr>
          <w:rFonts w:eastAsia="Times New Roman"/>
          <w:szCs w:val="22"/>
          <w:lang w:val="es-ES" w:eastAsia="en-US"/>
        </w:rPr>
        <w:t xml:space="preserve">Por lo demás, los </w:t>
      </w:r>
      <w:r w:rsidR="00B03ED1" w:rsidRPr="001B1DCF">
        <w:rPr>
          <w:rFonts w:eastAsia="Times New Roman"/>
          <w:szCs w:val="22"/>
          <w:lang w:val="es-ES" w:eastAsia="en-US"/>
        </w:rPr>
        <w:lastRenderedPageBreak/>
        <w:t>cuadros describen en detalle los elementos que contiene la ley en lo referente a temas tales como</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214E31"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Excepción general aplicable a las bibliotecas</w:t>
      </w:r>
      <w:r w:rsidR="00B57DA7" w:rsidRPr="001B1DCF">
        <w:rPr>
          <w:rFonts w:eastAsia="Times New Roman"/>
          <w:szCs w:val="22"/>
          <w:lang w:val="es-ES" w:eastAsia="en-US"/>
        </w:rPr>
        <w:t xml:space="preserve">.  </w:t>
      </w:r>
      <w:r w:rsidR="005E6B0A" w:rsidRPr="001B1DCF">
        <w:rPr>
          <w:rFonts w:eastAsia="Times New Roman"/>
          <w:szCs w:val="22"/>
          <w:lang w:val="es-ES" w:eastAsia="en-US"/>
        </w:rPr>
        <w:t xml:space="preserve">Ciertos países tienen disposiciones amplias y flexibles que autorizan a las bibliotecas y </w:t>
      </w:r>
      <w:r w:rsidR="00ED384D">
        <w:rPr>
          <w:rFonts w:eastAsia="Times New Roman"/>
          <w:szCs w:val="22"/>
          <w:lang w:val="es-ES" w:eastAsia="en-US"/>
        </w:rPr>
        <w:t xml:space="preserve">a </w:t>
      </w:r>
      <w:r w:rsidR="005E6B0A" w:rsidRPr="001B1DCF">
        <w:rPr>
          <w:rFonts w:eastAsia="Times New Roman"/>
          <w:szCs w:val="22"/>
          <w:lang w:val="es-ES" w:eastAsia="en-US"/>
        </w:rPr>
        <w:t xml:space="preserve">otras instituciones a realizar </w:t>
      </w:r>
      <w:r w:rsidR="00842751" w:rsidRPr="001B1DCF">
        <w:rPr>
          <w:rFonts w:eastAsia="Times New Roman"/>
          <w:szCs w:val="22"/>
          <w:lang w:val="es-ES" w:eastAsia="en-US"/>
        </w:rPr>
        <w:t>copias</w:t>
      </w:r>
      <w:r w:rsidR="005E6B0A" w:rsidRPr="001B1DCF">
        <w:rPr>
          <w:rFonts w:eastAsia="Times New Roman"/>
          <w:szCs w:val="22"/>
          <w:lang w:val="es-ES" w:eastAsia="en-US"/>
        </w:rPr>
        <w:t xml:space="preserve"> de las obras, por lo general sujetas a distintas condiciones, aunque no a fines concretos</w:t>
      </w:r>
      <w:r w:rsidR="00B57DA7" w:rsidRPr="001B1DCF">
        <w:rPr>
          <w:rFonts w:eastAsia="Times New Roman"/>
          <w:szCs w:val="22"/>
          <w:lang w:val="es-ES" w:eastAsia="en-US"/>
        </w:rPr>
        <w:t xml:space="preserve">.  </w:t>
      </w:r>
      <w:r w:rsidRPr="001B1DCF">
        <w:rPr>
          <w:rFonts w:eastAsia="Times New Roman"/>
          <w:szCs w:val="22"/>
          <w:lang w:val="es-ES" w:eastAsia="en-US"/>
        </w:rPr>
        <w:t>El cuadro que se presenta a continuación indica el número de países que sólo cuentan con una excepción general aplicable a las bibliotecas</w:t>
      </w:r>
      <w:r w:rsidR="00B57DA7" w:rsidRPr="001B1DCF">
        <w:rPr>
          <w:rFonts w:eastAsia="Times New Roman"/>
          <w:szCs w:val="22"/>
          <w:lang w:val="es-ES" w:eastAsia="en-US"/>
        </w:rPr>
        <w:t xml:space="preserve">.  </w:t>
      </w:r>
      <w:r w:rsidRPr="001B1DCF">
        <w:rPr>
          <w:rFonts w:eastAsia="Times New Roman"/>
          <w:szCs w:val="22"/>
          <w:lang w:val="es-ES" w:eastAsia="en-US"/>
        </w:rPr>
        <w:t xml:space="preserve">Otros muchos países disponen de una excepción general </w:t>
      </w:r>
      <w:r w:rsidR="00B03ED1" w:rsidRPr="001B1DCF">
        <w:rPr>
          <w:rFonts w:eastAsia="Times New Roman"/>
          <w:szCs w:val="22"/>
          <w:lang w:val="es-ES" w:eastAsia="en-US"/>
        </w:rPr>
        <w:t xml:space="preserve">además de </w:t>
      </w:r>
      <w:r w:rsidRPr="001B1DCF">
        <w:rPr>
          <w:rFonts w:eastAsia="Times New Roman"/>
          <w:szCs w:val="22"/>
          <w:lang w:val="es-ES" w:eastAsia="en-US"/>
        </w:rPr>
        <w:t>otras disposiciones</w:t>
      </w:r>
      <w:r w:rsidR="00B57DA7" w:rsidRPr="001B1DCF">
        <w:rPr>
          <w:rFonts w:eastAsia="Times New Roman"/>
          <w:szCs w:val="22"/>
          <w:lang w:val="es-ES" w:eastAsia="en-US"/>
        </w:rPr>
        <w:t xml:space="preserve">, </w:t>
      </w:r>
      <w:r w:rsidRPr="001B1DCF">
        <w:rPr>
          <w:rFonts w:eastAsia="Times New Roman"/>
          <w:szCs w:val="22"/>
          <w:lang w:val="es-ES" w:eastAsia="en-US"/>
        </w:rPr>
        <w:t xml:space="preserve">pero merece la pena recordar que éstos recurren únicamente a la excepción general, </w:t>
      </w:r>
      <w:r w:rsidR="007C554B" w:rsidRPr="001B1DCF">
        <w:rPr>
          <w:rFonts w:eastAsia="Times New Roman"/>
          <w:szCs w:val="22"/>
          <w:lang w:val="es-ES" w:eastAsia="en-US"/>
        </w:rPr>
        <w:t xml:space="preserve">al carecer de </w:t>
      </w:r>
      <w:r w:rsidR="00CB46E3" w:rsidRPr="001B1DCF">
        <w:rPr>
          <w:rFonts w:eastAsia="Times New Roman"/>
          <w:szCs w:val="22"/>
          <w:lang w:val="es-ES" w:eastAsia="en-US"/>
        </w:rPr>
        <w:t xml:space="preserve">leyes </w:t>
      </w:r>
      <w:r w:rsidR="007C554B" w:rsidRPr="001B1DCF">
        <w:rPr>
          <w:rFonts w:eastAsia="Times New Roman"/>
          <w:szCs w:val="22"/>
          <w:lang w:val="es-ES" w:eastAsia="en-US"/>
        </w:rPr>
        <w:t xml:space="preserve">específicamente </w:t>
      </w:r>
      <w:r w:rsidR="005E6B0A" w:rsidRPr="001B1DCF">
        <w:rPr>
          <w:rFonts w:eastAsia="Times New Roman"/>
          <w:szCs w:val="22"/>
          <w:lang w:val="es-ES" w:eastAsia="en-US"/>
        </w:rPr>
        <w:t>referida</w:t>
      </w:r>
      <w:r w:rsidR="00CB46E3" w:rsidRPr="001B1DCF">
        <w:rPr>
          <w:rFonts w:eastAsia="Times New Roman"/>
          <w:szCs w:val="22"/>
          <w:lang w:val="es-ES" w:eastAsia="en-US"/>
        </w:rPr>
        <w:t>s</w:t>
      </w:r>
      <w:r w:rsidR="005E6B0A" w:rsidRPr="001B1DCF">
        <w:rPr>
          <w:rFonts w:eastAsia="Times New Roman"/>
          <w:szCs w:val="22"/>
          <w:lang w:val="es-ES" w:eastAsia="en-US"/>
        </w:rPr>
        <w:t xml:space="preserve"> a </w:t>
      </w:r>
      <w:r w:rsidR="007C554B" w:rsidRPr="001B1DCF">
        <w:rPr>
          <w:rFonts w:eastAsia="Times New Roman"/>
          <w:szCs w:val="22"/>
          <w:lang w:val="es-ES" w:eastAsia="en-US"/>
        </w:rPr>
        <w:t>las bibliotecas</w:t>
      </w:r>
      <w:r w:rsidR="00B57DA7" w:rsidRPr="001B1DCF">
        <w:rPr>
          <w:rFonts w:eastAsia="Times New Roman"/>
          <w:szCs w:val="22"/>
          <w:lang w:val="es-ES" w:eastAsia="en-US"/>
        </w:rPr>
        <w:t>.</w:t>
      </w:r>
    </w:p>
    <w:p w:rsidR="00B57DA7" w:rsidRPr="001B1DCF" w:rsidRDefault="00B57DA7" w:rsidP="00B57DA7">
      <w:pPr>
        <w:tabs>
          <w:tab w:val="left" w:pos="720"/>
        </w:tabs>
        <w:ind w:left="714"/>
        <w:contextualSpacing/>
        <w:rPr>
          <w:rFonts w:eastAsia="Times New Roman"/>
          <w:szCs w:val="22"/>
          <w:lang w:val="es-ES" w:eastAsia="en-US"/>
        </w:rPr>
      </w:pPr>
    </w:p>
    <w:p w:rsidR="00B57DA7" w:rsidRPr="001B1DCF" w:rsidRDefault="001D1A05"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Copia</w:t>
      </w:r>
      <w:r w:rsidR="00B57DA7" w:rsidRPr="001B1DCF">
        <w:rPr>
          <w:rFonts w:eastAsia="Times New Roman"/>
          <w:szCs w:val="22"/>
          <w:lang w:val="es-ES" w:eastAsia="en-US"/>
        </w:rPr>
        <w:t xml:space="preserve">s </w:t>
      </w:r>
      <w:r w:rsidRPr="001B1DCF">
        <w:rPr>
          <w:rFonts w:eastAsia="Times New Roman"/>
          <w:szCs w:val="22"/>
          <w:lang w:val="es-ES" w:eastAsia="en-US"/>
        </w:rPr>
        <w:t>con fines de investigación o estudio</w:t>
      </w:r>
      <w:r w:rsidR="00B57DA7" w:rsidRPr="001B1DCF">
        <w:rPr>
          <w:rFonts w:eastAsia="Times New Roman"/>
          <w:szCs w:val="22"/>
          <w:lang w:val="es-ES" w:eastAsia="en-US"/>
        </w:rPr>
        <w:t xml:space="preserve">.  </w:t>
      </w:r>
      <w:r w:rsidR="00250F36" w:rsidRPr="001B1DCF">
        <w:rPr>
          <w:rFonts w:eastAsia="Times New Roman"/>
          <w:szCs w:val="22"/>
          <w:lang w:val="es-ES" w:eastAsia="en-US"/>
        </w:rPr>
        <w:t xml:space="preserve">De las leyes analizadas </w:t>
      </w:r>
      <w:r w:rsidR="00C43CFC" w:rsidRPr="001B1DCF">
        <w:rPr>
          <w:rFonts w:eastAsia="Times New Roman"/>
          <w:szCs w:val="22"/>
          <w:lang w:val="es-ES" w:eastAsia="en-US"/>
        </w:rPr>
        <w:t>en el presente estudio</w:t>
      </w:r>
      <w:r w:rsidR="00250F36" w:rsidRPr="001B1DCF">
        <w:rPr>
          <w:rFonts w:eastAsia="Times New Roman"/>
          <w:szCs w:val="22"/>
          <w:lang w:val="es-ES" w:eastAsia="en-US"/>
        </w:rPr>
        <w:t>, son frecuentes</w:t>
      </w:r>
      <w:r w:rsidR="00C43CFC" w:rsidRPr="001B1DCF">
        <w:rPr>
          <w:rFonts w:eastAsia="Times New Roman"/>
          <w:szCs w:val="22"/>
          <w:lang w:val="es-ES" w:eastAsia="en-US"/>
        </w:rPr>
        <w:t xml:space="preserve"> aquellas disposiciones </w:t>
      </w:r>
      <w:r w:rsidR="00ED384D">
        <w:rPr>
          <w:rFonts w:eastAsia="Times New Roman"/>
          <w:szCs w:val="22"/>
          <w:lang w:val="es-ES" w:eastAsia="en-US"/>
        </w:rPr>
        <w:t>que autorizan a una biblioteca o a</w:t>
      </w:r>
      <w:r w:rsidR="00C43CFC" w:rsidRPr="001B1DCF">
        <w:rPr>
          <w:rFonts w:eastAsia="Times New Roman"/>
          <w:szCs w:val="22"/>
          <w:lang w:val="es-ES" w:eastAsia="en-US"/>
        </w:rPr>
        <w:t xml:space="preserve"> otra institución a realizar copias </w:t>
      </w:r>
      <w:r w:rsidR="00B57DA7" w:rsidRPr="001B1DCF">
        <w:rPr>
          <w:rFonts w:eastAsia="Times New Roman"/>
          <w:szCs w:val="22"/>
          <w:lang w:val="es-ES" w:eastAsia="en-US"/>
        </w:rPr>
        <w:t>(</w:t>
      </w:r>
      <w:r w:rsidR="004C33E8" w:rsidRPr="001B1DCF">
        <w:rPr>
          <w:rFonts w:eastAsia="Times New Roman"/>
          <w:szCs w:val="22"/>
          <w:lang w:val="es-ES" w:eastAsia="en-US"/>
        </w:rPr>
        <w:t>por lo general, copias únicas</w:t>
      </w:r>
      <w:r w:rsidR="00B57DA7" w:rsidRPr="001B1DCF">
        <w:rPr>
          <w:rFonts w:eastAsia="Times New Roman"/>
          <w:szCs w:val="22"/>
          <w:lang w:val="es-ES" w:eastAsia="en-US"/>
        </w:rPr>
        <w:t xml:space="preserve">) </w:t>
      </w:r>
      <w:r w:rsidR="00C43CFC" w:rsidRPr="001B1DCF">
        <w:rPr>
          <w:rFonts w:eastAsia="Times New Roman"/>
          <w:szCs w:val="22"/>
          <w:lang w:val="es-ES" w:eastAsia="en-US"/>
        </w:rPr>
        <w:t xml:space="preserve">a petición de un usuario, a menudo </w:t>
      </w:r>
      <w:r w:rsidR="00250F36" w:rsidRPr="001B1DCF">
        <w:rPr>
          <w:rFonts w:eastAsia="Times New Roman"/>
          <w:szCs w:val="22"/>
          <w:lang w:val="es-ES" w:eastAsia="en-US"/>
        </w:rPr>
        <w:t xml:space="preserve">con fines de </w:t>
      </w:r>
      <w:r w:rsidR="00C43CFC" w:rsidRPr="001B1DCF">
        <w:rPr>
          <w:rFonts w:eastAsia="Times New Roman"/>
          <w:szCs w:val="22"/>
          <w:lang w:val="es-ES" w:eastAsia="en-US"/>
        </w:rPr>
        <w:t>investigación o estudio personal</w:t>
      </w:r>
      <w:r w:rsidR="00B57DA7" w:rsidRPr="001B1DCF">
        <w:rPr>
          <w:rFonts w:eastAsia="Times New Roman"/>
          <w:szCs w:val="22"/>
          <w:lang w:val="es-ES" w:eastAsia="en-US"/>
        </w:rPr>
        <w:t xml:space="preserve">.  </w:t>
      </w:r>
      <w:r w:rsidR="00C43CFC" w:rsidRPr="001B1DCF">
        <w:rPr>
          <w:rFonts w:eastAsia="Times New Roman"/>
          <w:szCs w:val="22"/>
          <w:lang w:val="es-ES" w:eastAsia="en-US"/>
        </w:rPr>
        <w:t>Este tipo de leyes contiene</w:t>
      </w:r>
      <w:r w:rsidR="00250F36" w:rsidRPr="001B1DCF">
        <w:rPr>
          <w:rFonts w:eastAsia="Times New Roman"/>
          <w:szCs w:val="22"/>
          <w:lang w:val="es-ES" w:eastAsia="en-US"/>
        </w:rPr>
        <w:t>n</w:t>
      </w:r>
      <w:r w:rsidR="00C43CFC" w:rsidRPr="001B1DCF">
        <w:rPr>
          <w:rFonts w:eastAsia="Times New Roman"/>
          <w:szCs w:val="22"/>
          <w:lang w:val="es-ES" w:eastAsia="en-US"/>
        </w:rPr>
        <w:t xml:space="preserve"> una disposición que faculta a las bibliotecas a realizar copias de una obra a solicitud de los usuarios, con independencia de </w:t>
      </w:r>
      <w:r w:rsidR="00ED384D">
        <w:rPr>
          <w:rFonts w:eastAsia="Times New Roman"/>
          <w:szCs w:val="22"/>
          <w:lang w:val="es-ES" w:eastAsia="en-US"/>
        </w:rPr>
        <w:t xml:space="preserve">que </w:t>
      </w:r>
      <w:r w:rsidR="00250F36" w:rsidRPr="001B1DCF">
        <w:rPr>
          <w:rFonts w:eastAsia="Times New Roman"/>
          <w:szCs w:val="22"/>
          <w:lang w:val="es-ES" w:eastAsia="en-US"/>
        </w:rPr>
        <w:t xml:space="preserve">la ley haga referencia </w:t>
      </w:r>
      <w:r w:rsidR="00C43CFC" w:rsidRPr="001B1DCF">
        <w:rPr>
          <w:rFonts w:eastAsia="Times New Roman"/>
          <w:szCs w:val="22"/>
          <w:lang w:val="es-ES" w:eastAsia="en-US"/>
        </w:rPr>
        <w:t>a “los fines de investigación o estudio”</w:t>
      </w:r>
      <w:r w:rsidR="00B57DA7" w:rsidRPr="001B1DCF">
        <w:rPr>
          <w:rFonts w:eastAsia="Times New Roman"/>
          <w:szCs w:val="22"/>
          <w:lang w:val="es-ES" w:eastAsia="en-US"/>
        </w:rPr>
        <w:t>.</w:t>
      </w:r>
    </w:p>
    <w:p w:rsidR="00B57DA7" w:rsidRPr="001B1DCF" w:rsidRDefault="00B57DA7" w:rsidP="00B57DA7">
      <w:pPr>
        <w:ind w:left="720"/>
        <w:contextualSpacing/>
        <w:rPr>
          <w:rFonts w:eastAsia="Times New Roman"/>
          <w:szCs w:val="22"/>
          <w:lang w:val="es-ES" w:eastAsia="en-US"/>
        </w:rPr>
      </w:pPr>
    </w:p>
    <w:p w:rsidR="00B57DA7" w:rsidRPr="001B1DCF" w:rsidRDefault="00214E31"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Puesta a disposición</w:t>
      </w:r>
      <w:r w:rsidR="00B57DA7" w:rsidRPr="001B1DCF">
        <w:rPr>
          <w:rFonts w:eastAsia="Times New Roman"/>
          <w:szCs w:val="22"/>
          <w:lang w:val="es-ES" w:eastAsia="en-US"/>
        </w:rPr>
        <w:t xml:space="preserve">.  </w:t>
      </w:r>
      <w:r w:rsidRPr="001B1DCF">
        <w:rPr>
          <w:rFonts w:eastAsia="Times New Roman"/>
          <w:szCs w:val="22"/>
          <w:lang w:val="es-ES" w:eastAsia="en-US"/>
        </w:rPr>
        <w:t>A raíz de la mencionada directiva d</w:t>
      </w:r>
      <w:r w:rsidR="00703969" w:rsidRPr="001B1DCF">
        <w:rPr>
          <w:rFonts w:eastAsia="Times New Roman"/>
          <w:szCs w:val="22"/>
          <w:lang w:val="es-ES" w:eastAsia="en-US"/>
        </w:rPr>
        <w:t>e 2</w:t>
      </w:r>
      <w:r w:rsidRPr="001B1DCF">
        <w:rPr>
          <w:rFonts w:eastAsia="Times New Roman"/>
          <w:szCs w:val="22"/>
          <w:lang w:val="es-ES" w:eastAsia="en-US"/>
        </w:rPr>
        <w:t xml:space="preserve">001 de la Unión Europea, un gran número de países de la UE aprobó </w:t>
      </w:r>
      <w:r w:rsidR="00153BF4" w:rsidRPr="001B1DCF">
        <w:rPr>
          <w:rFonts w:eastAsia="Times New Roman"/>
          <w:szCs w:val="22"/>
          <w:lang w:val="es-ES" w:eastAsia="en-US"/>
        </w:rPr>
        <w:t>legislación que autorizaba</w:t>
      </w:r>
      <w:r w:rsidRPr="001B1DCF">
        <w:rPr>
          <w:rFonts w:eastAsia="Times New Roman"/>
          <w:szCs w:val="22"/>
          <w:lang w:val="es-ES" w:eastAsia="en-US"/>
        </w:rPr>
        <w:t xml:space="preserve"> a las bibliotecas a poner las obras digitalizadas a disposición de los usuarios en sus instalaciones</w:t>
      </w:r>
      <w:r w:rsidR="00B57DA7" w:rsidRPr="001B1DCF">
        <w:rPr>
          <w:rFonts w:eastAsia="Times New Roman"/>
          <w:szCs w:val="22"/>
          <w:lang w:val="es-ES" w:eastAsia="en-US"/>
        </w:rPr>
        <w:t xml:space="preserve">, </w:t>
      </w:r>
      <w:r w:rsidRPr="001B1DCF">
        <w:rPr>
          <w:rFonts w:eastAsia="Times New Roman"/>
          <w:szCs w:val="22"/>
          <w:lang w:val="es-ES" w:eastAsia="en-US"/>
        </w:rPr>
        <w:t xml:space="preserve">normalmente </w:t>
      </w:r>
      <w:r w:rsidR="00153BF4" w:rsidRPr="001B1DCF">
        <w:rPr>
          <w:rFonts w:eastAsia="Times New Roman"/>
          <w:szCs w:val="22"/>
          <w:lang w:val="es-ES" w:eastAsia="en-US"/>
        </w:rPr>
        <w:t>con</w:t>
      </w:r>
      <w:r w:rsidRPr="001B1DCF">
        <w:rPr>
          <w:rFonts w:eastAsia="Times New Roman"/>
          <w:szCs w:val="22"/>
          <w:lang w:val="es-ES" w:eastAsia="en-US"/>
        </w:rPr>
        <w:t xml:space="preserve"> fines de investigación o estudio</w:t>
      </w:r>
      <w:r w:rsidR="00B57DA7" w:rsidRPr="001B1DCF">
        <w:rPr>
          <w:rFonts w:eastAsia="Times New Roman"/>
          <w:szCs w:val="22"/>
          <w:lang w:val="es-ES" w:eastAsia="en-US"/>
        </w:rPr>
        <w:t xml:space="preserve">.  </w:t>
      </w:r>
      <w:r w:rsidRPr="001B1DCF">
        <w:rPr>
          <w:rFonts w:eastAsia="Times New Roman"/>
          <w:szCs w:val="22"/>
          <w:lang w:val="es-ES" w:eastAsia="en-US"/>
        </w:rPr>
        <w:t xml:space="preserve">El cuadro que se presenta a continuación </w:t>
      </w:r>
      <w:r w:rsidR="00250F36" w:rsidRPr="001B1DCF">
        <w:rPr>
          <w:rFonts w:eastAsia="Times New Roman"/>
          <w:szCs w:val="22"/>
          <w:lang w:val="es-ES" w:eastAsia="en-US"/>
        </w:rPr>
        <w:t xml:space="preserve">revela </w:t>
      </w:r>
      <w:r w:rsidRPr="001B1DCF">
        <w:rPr>
          <w:rFonts w:eastAsia="Times New Roman"/>
          <w:szCs w:val="22"/>
          <w:lang w:val="es-ES" w:eastAsia="en-US"/>
        </w:rPr>
        <w:t>qu</w:t>
      </w:r>
      <w:r w:rsidR="00703969" w:rsidRPr="001B1DCF">
        <w:rPr>
          <w:rFonts w:eastAsia="Times New Roman"/>
          <w:szCs w:val="22"/>
          <w:lang w:val="es-ES" w:eastAsia="en-US"/>
        </w:rPr>
        <w:t>e </w:t>
      </w:r>
      <w:r w:rsidR="00153BF4" w:rsidRPr="001B1DCF">
        <w:rPr>
          <w:rFonts w:eastAsia="Times New Roman"/>
          <w:szCs w:val="22"/>
          <w:lang w:val="es-ES" w:eastAsia="en-US"/>
        </w:rPr>
        <w:t xml:space="preserve">muchos </w:t>
      </w:r>
      <w:r w:rsidR="00AF792D" w:rsidRPr="001B1DCF">
        <w:rPr>
          <w:rFonts w:eastAsia="Times New Roman"/>
          <w:szCs w:val="22"/>
          <w:lang w:val="es-ES" w:eastAsia="en-US"/>
        </w:rPr>
        <w:t xml:space="preserve">países </w:t>
      </w:r>
      <w:r w:rsidR="00153BF4" w:rsidRPr="001B1DCF">
        <w:rPr>
          <w:rFonts w:eastAsia="Times New Roman"/>
          <w:szCs w:val="22"/>
          <w:lang w:val="es-ES" w:eastAsia="en-US"/>
        </w:rPr>
        <w:t xml:space="preserve">que </w:t>
      </w:r>
      <w:r w:rsidR="00AF792D" w:rsidRPr="001B1DCF">
        <w:rPr>
          <w:rFonts w:eastAsia="Times New Roman"/>
          <w:szCs w:val="22"/>
          <w:lang w:val="es-ES" w:eastAsia="en-US"/>
        </w:rPr>
        <w:t>no pertenecen a la Unión Europea</w:t>
      </w:r>
      <w:r w:rsidR="00153BF4" w:rsidRPr="001B1DCF">
        <w:rPr>
          <w:rFonts w:eastAsia="Times New Roman"/>
          <w:szCs w:val="22"/>
          <w:lang w:val="es-ES" w:eastAsia="en-US"/>
        </w:rPr>
        <w:t xml:space="preserve"> han adoptado disposiciones de ese tipo</w:t>
      </w:r>
      <w:r w:rsidR="00B57DA7" w:rsidRPr="001B1DCF">
        <w:rPr>
          <w:rFonts w:eastAsia="Times New Roman"/>
          <w:szCs w:val="22"/>
          <w:lang w:val="es-ES" w:eastAsia="en-US"/>
        </w:rPr>
        <w:t>.</w:t>
      </w:r>
    </w:p>
    <w:p w:rsidR="00B57DA7" w:rsidRPr="001B1DCF" w:rsidRDefault="00B57DA7" w:rsidP="00B57DA7">
      <w:pPr>
        <w:ind w:left="720"/>
        <w:contextualSpacing/>
        <w:rPr>
          <w:rFonts w:eastAsia="Times New Roman"/>
          <w:szCs w:val="22"/>
          <w:lang w:val="es-ES" w:eastAsia="en-US"/>
        </w:rPr>
      </w:pPr>
    </w:p>
    <w:p w:rsidR="00B57DA7" w:rsidRPr="001B1DCF" w:rsidRDefault="00B57DA7"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Copi</w:t>
      </w:r>
      <w:r w:rsidR="001D1A05" w:rsidRPr="001B1DCF">
        <w:rPr>
          <w:rFonts w:eastAsia="Times New Roman"/>
          <w:szCs w:val="22"/>
          <w:lang w:val="es-ES" w:eastAsia="en-US"/>
        </w:rPr>
        <w:t>as para preservación o sustitución</w:t>
      </w:r>
      <w:r w:rsidRPr="001B1DCF">
        <w:rPr>
          <w:rFonts w:eastAsia="Times New Roman"/>
          <w:szCs w:val="22"/>
          <w:lang w:val="es-ES" w:eastAsia="en-US"/>
        </w:rPr>
        <w:t xml:space="preserve">.  </w:t>
      </w:r>
      <w:r w:rsidR="0096751F" w:rsidRPr="001B1DCF">
        <w:rPr>
          <w:rFonts w:eastAsia="Times New Roman"/>
          <w:szCs w:val="22"/>
          <w:lang w:val="es-ES" w:eastAsia="en-US"/>
        </w:rPr>
        <w:t xml:space="preserve">Las leyes que autorizan a las bibliotecas a realizar copias de una obra para su preservación sin necesidad de que la misma </w:t>
      </w:r>
      <w:r w:rsidR="00AF792D" w:rsidRPr="001B1DCF">
        <w:rPr>
          <w:rFonts w:eastAsia="Times New Roman"/>
          <w:szCs w:val="22"/>
          <w:lang w:val="es-ES" w:eastAsia="en-US"/>
        </w:rPr>
        <w:t xml:space="preserve">corra peligro </w:t>
      </w:r>
      <w:r w:rsidR="00153BF4" w:rsidRPr="001B1DCF">
        <w:rPr>
          <w:rFonts w:eastAsia="Times New Roman"/>
          <w:szCs w:val="22"/>
          <w:lang w:val="es-ES" w:eastAsia="en-US"/>
        </w:rPr>
        <w:t xml:space="preserve">figuran entre las excepciones más habituales en favor de las bibliotecas. </w:t>
      </w:r>
      <w:r w:rsidR="00C95927" w:rsidRPr="001B1DCF">
        <w:rPr>
          <w:rFonts w:eastAsia="Times New Roman"/>
          <w:szCs w:val="22"/>
          <w:lang w:val="es-ES" w:eastAsia="en-US"/>
        </w:rPr>
        <w:t xml:space="preserve">También encontramos con cierta frecuencia leyes que facultan a las bibliotecas para </w:t>
      </w:r>
      <w:r w:rsidR="00C43CFC" w:rsidRPr="001B1DCF">
        <w:rPr>
          <w:rFonts w:eastAsia="Times New Roman"/>
          <w:szCs w:val="22"/>
          <w:lang w:val="es-ES" w:eastAsia="en-US"/>
        </w:rPr>
        <w:t xml:space="preserve">sustituir </w:t>
      </w:r>
      <w:r w:rsidR="0096751F" w:rsidRPr="001B1DCF">
        <w:rPr>
          <w:rFonts w:eastAsia="Times New Roman"/>
          <w:szCs w:val="22"/>
          <w:lang w:val="es-ES" w:eastAsia="en-US"/>
        </w:rPr>
        <w:t xml:space="preserve">los ejemplares existentes en </w:t>
      </w:r>
      <w:r w:rsidR="005E6B0A" w:rsidRPr="001B1DCF">
        <w:rPr>
          <w:rFonts w:eastAsia="Times New Roman"/>
          <w:szCs w:val="22"/>
          <w:lang w:val="es-ES" w:eastAsia="en-US"/>
        </w:rPr>
        <w:t xml:space="preserve">su </w:t>
      </w:r>
      <w:r w:rsidR="0096751F" w:rsidRPr="001B1DCF">
        <w:rPr>
          <w:rFonts w:eastAsia="Times New Roman"/>
          <w:szCs w:val="22"/>
          <w:lang w:val="es-ES" w:eastAsia="en-US"/>
        </w:rPr>
        <w:t xml:space="preserve">colección, o en la colección de otra biblioteca, siempre que la obra se haya extraviado, dañado, deteriorado o </w:t>
      </w:r>
      <w:r w:rsidR="00C95927" w:rsidRPr="001B1DCF">
        <w:rPr>
          <w:rFonts w:eastAsia="Times New Roman"/>
          <w:szCs w:val="22"/>
          <w:lang w:val="es-ES" w:eastAsia="en-US"/>
        </w:rPr>
        <w:t>corra algún peligro</w:t>
      </w:r>
      <w:r w:rsidRPr="001B1DCF">
        <w:rPr>
          <w:rFonts w:eastAsia="Times New Roman"/>
          <w:szCs w:val="22"/>
          <w:lang w:val="es-ES" w:eastAsia="en-US"/>
        </w:rPr>
        <w:t>.</w:t>
      </w:r>
    </w:p>
    <w:p w:rsidR="00B57DA7" w:rsidRPr="001B1DCF" w:rsidRDefault="00B57DA7" w:rsidP="00B57DA7">
      <w:pPr>
        <w:ind w:left="720"/>
        <w:contextualSpacing/>
        <w:rPr>
          <w:rFonts w:eastAsia="Times New Roman"/>
          <w:szCs w:val="22"/>
          <w:lang w:val="es-ES" w:eastAsia="en-US"/>
        </w:rPr>
      </w:pPr>
    </w:p>
    <w:p w:rsidR="00B57DA7" w:rsidRPr="001B1DCF" w:rsidRDefault="001D1A05"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Préstamo interbibliotecario o suministro de documentos</w:t>
      </w:r>
      <w:r w:rsidR="00B57DA7" w:rsidRPr="001B1DCF">
        <w:rPr>
          <w:rFonts w:eastAsia="Times New Roman"/>
          <w:szCs w:val="22"/>
          <w:lang w:val="es-ES" w:eastAsia="en-US"/>
        </w:rPr>
        <w:t xml:space="preserve">.  </w:t>
      </w:r>
      <w:r w:rsidR="0096751F" w:rsidRPr="001B1DCF">
        <w:rPr>
          <w:rFonts w:eastAsia="Times New Roman"/>
          <w:szCs w:val="22"/>
          <w:lang w:val="es-ES" w:eastAsia="en-US"/>
        </w:rPr>
        <w:t xml:space="preserve">Son </w:t>
      </w:r>
      <w:r w:rsidR="00153BF4" w:rsidRPr="001B1DCF">
        <w:rPr>
          <w:rFonts w:eastAsia="Times New Roman"/>
          <w:szCs w:val="22"/>
          <w:lang w:val="es-ES" w:eastAsia="en-US"/>
        </w:rPr>
        <w:t xml:space="preserve">mucho </w:t>
      </w:r>
      <w:r w:rsidR="0096751F" w:rsidRPr="001B1DCF">
        <w:rPr>
          <w:rFonts w:eastAsia="Times New Roman"/>
          <w:szCs w:val="22"/>
          <w:lang w:val="es-ES" w:eastAsia="en-US"/>
        </w:rPr>
        <w:t xml:space="preserve">menos habituales las leyes que </w:t>
      </w:r>
      <w:r w:rsidR="00C95927" w:rsidRPr="001B1DCF">
        <w:rPr>
          <w:rFonts w:eastAsia="Times New Roman"/>
          <w:szCs w:val="22"/>
          <w:lang w:val="es-ES" w:eastAsia="en-US"/>
        </w:rPr>
        <w:t xml:space="preserve">autorizan </w:t>
      </w:r>
      <w:r w:rsidR="0096751F" w:rsidRPr="001B1DCF">
        <w:rPr>
          <w:rFonts w:eastAsia="Times New Roman"/>
          <w:szCs w:val="22"/>
          <w:lang w:val="es-ES" w:eastAsia="en-US"/>
        </w:rPr>
        <w:t xml:space="preserve">a las bibliotecas </w:t>
      </w:r>
      <w:r w:rsidR="00C95927" w:rsidRPr="001B1DCF">
        <w:rPr>
          <w:rFonts w:eastAsia="Times New Roman"/>
          <w:szCs w:val="22"/>
          <w:lang w:val="es-ES" w:eastAsia="en-US"/>
        </w:rPr>
        <w:t xml:space="preserve">a </w:t>
      </w:r>
      <w:r w:rsidR="0096751F" w:rsidRPr="001B1DCF">
        <w:rPr>
          <w:rFonts w:eastAsia="Times New Roman"/>
          <w:szCs w:val="22"/>
          <w:lang w:val="es-ES" w:eastAsia="en-US"/>
        </w:rPr>
        <w:t xml:space="preserve">realizar copias de obras </w:t>
      </w:r>
      <w:r w:rsidR="00C95927" w:rsidRPr="001B1DCF">
        <w:rPr>
          <w:rFonts w:eastAsia="Times New Roman"/>
          <w:szCs w:val="22"/>
          <w:lang w:val="es-ES" w:eastAsia="en-US"/>
        </w:rPr>
        <w:t>destinadas a otras bibliotecas para uso de éstas o para su entrega a los usuarios previa solicitud</w:t>
      </w:r>
      <w:r w:rsidR="00B57DA7" w:rsidRPr="001B1DCF">
        <w:rPr>
          <w:rFonts w:eastAsia="Times New Roman"/>
          <w:szCs w:val="22"/>
          <w:lang w:val="es-ES" w:eastAsia="en-US"/>
        </w:rPr>
        <w:t>.</w:t>
      </w:r>
    </w:p>
    <w:p w:rsidR="00B57DA7" w:rsidRPr="001B1DCF" w:rsidRDefault="00B57DA7" w:rsidP="00B57DA7">
      <w:pPr>
        <w:ind w:left="720"/>
        <w:contextualSpacing/>
        <w:rPr>
          <w:rFonts w:eastAsia="Times New Roman"/>
          <w:szCs w:val="22"/>
          <w:lang w:val="es-ES" w:eastAsia="en-US"/>
        </w:rPr>
      </w:pPr>
    </w:p>
    <w:p w:rsidR="00B57DA7" w:rsidRPr="001B1DCF" w:rsidRDefault="001D1A05" w:rsidP="00B57DA7">
      <w:pPr>
        <w:numPr>
          <w:ilvl w:val="0"/>
          <w:numId w:val="13"/>
        </w:numPr>
        <w:tabs>
          <w:tab w:val="left" w:pos="720"/>
        </w:tabs>
        <w:ind w:left="714" w:hanging="357"/>
        <w:contextualSpacing/>
        <w:rPr>
          <w:rFonts w:eastAsia="Times New Roman"/>
          <w:szCs w:val="22"/>
          <w:lang w:val="es-ES" w:eastAsia="en-US"/>
        </w:rPr>
      </w:pPr>
      <w:r w:rsidRPr="001B1DCF">
        <w:rPr>
          <w:rFonts w:eastAsia="Times New Roman"/>
          <w:szCs w:val="22"/>
          <w:lang w:val="es-ES" w:eastAsia="en-US"/>
        </w:rPr>
        <w:t>Disposiciones contra la elusión</w:t>
      </w:r>
      <w:r w:rsidR="00B57DA7" w:rsidRPr="001B1DCF">
        <w:rPr>
          <w:rFonts w:eastAsia="Times New Roman"/>
          <w:szCs w:val="22"/>
          <w:lang w:val="es-ES" w:eastAsia="en-US"/>
        </w:rPr>
        <w:t xml:space="preserve">.  </w:t>
      </w:r>
      <w:r w:rsidR="0096751F" w:rsidRPr="001B1DCF">
        <w:rPr>
          <w:rFonts w:eastAsia="Times New Roman"/>
          <w:szCs w:val="22"/>
          <w:lang w:val="es-ES" w:eastAsia="en-US"/>
        </w:rPr>
        <w:t>Muchos países han adoptado disposiciones para prohibir la elusión de las medidas tecnológicas de protección</w:t>
      </w:r>
      <w:r w:rsidR="00B57DA7" w:rsidRPr="001B1DCF">
        <w:rPr>
          <w:rFonts w:eastAsia="Times New Roman"/>
          <w:szCs w:val="22"/>
          <w:lang w:val="es-ES" w:eastAsia="en-US"/>
        </w:rPr>
        <w:t xml:space="preserve">.  </w:t>
      </w:r>
      <w:r w:rsidR="0096751F" w:rsidRPr="001B1DCF">
        <w:rPr>
          <w:rFonts w:eastAsia="Times New Roman"/>
          <w:szCs w:val="22"/>
          <w:lang w:val="es-ES" w:eastAsia="en-US"/>
        </w:rPr>
        <w:t>Algunos han promulgado además exenciones al respecto</w:t>
      </w:r>
      <w:r w:rsidR="00B57DA7" w:rsidRPr="001B1DCF">
        <w:rPr>
          <w:rFonts w:eastAsia="Times New Roman"/>
          <w:szCs w:val="22"/>
          <w:lang w:val="es-ES" w:eastAsia="en-US"/>
        </w:rPr>
        <w:t xml:space="preserve">.  </w:t>
      </w:r>
      <w:r w:rsidR="0096751F" w:rsidRPr="001B1DCF">
        <w:rPr>
          <w:rFonts w:eastAsia="Times New Roman"/>
          <w:szCs w:val="22"/>
          <w:lang w:val="es-ES" w:eastAsia="en-US"/>
        </w:rPr>
        <w:t xml:space="preserve">Este estudio identifica </w:t>
      </w:r>
      <w:r w:rsidR="005E6B0A" w:rsidRPr="001B1DCF">
        <w:rPr>
          <w:rFonts w:eastAsia="Times New Roman"/>
          <w:szCs w:val="22"/>
          <w:lang w:val="es-ES" w:eastAsia="en-US"/>
        </w:rPr>
        <w:t xml:space="preserve">a los </w:t>
      </w:r>
      <w:r w:rsidR="0096751F" w:rsidRPr="001B1DCF">
        <w:rPr>
          <w:rFonts w:eastAsia="Times New Roman"/>
          <w:szCs w:val="22"/>
          <w:lang w:val="es-ES" w:eastAsia="en-US"/>
        </w:rPr>
        <w:t>países que prevén exenciones explícitamente aplicables a las bibliotecas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96751F" w:rsidP="00153BF4">
      <w:pPr>
        <w:rPr>
          <w:rFonts w:eastAsia="Times New Roman"/>
          <w:szCs w:val="22"/>
          <w:lang w:val="es-ES" w:eastAsia="en-US"/>
        </w:rPr>
      </w:pPr>
      <w:r w:rsidRPr="001B1DCF">
        <w:rPr>
          <w:rFonts w:eastAsia="Times New Roman"/>
          <w:szCs w:val="22"/>
          <w:lang w:val="es-ES" w:eastAsia="en-US"/>
        </w:rPr>
        <w:t>A menudo los cuadros van más allá de la lista de temas en los que se centra el informe</w:t>
      </w:r>
      <w:r w:rsidR="00B57DA7" w:rsidRPr="001B1DCF">
        <w:rPr>
          <w:rFonts w:eastAsia="Times New Roman"/>
          <w:szCs w:val="22"/>
          <w:lang w:val="es-ES" w:eastAsia="en-US"/>
        </w:rPr>
        <w:t xml:space="preserve">.  </w:t>
      </w:r>
      <w:r w:rsidR="00655485" w:rsidRPr="001B1DCF">
        <w:rPr>
          <w:rFonts w:eastAsia="Times New Roman"/>
          <w:szCs w:val="22"/>
          <w:lang w:val="es-ES" w:eastAsia="en-US"/>
        </w:rPr>
        <w:t>El presente estudio describe en detalle las leyes promulgadas por u</w:t>
      </w:r>
      <w:r w:rsidRPr="001B1DCF">
        <w:rPr>
          <w:rFonts w:eastAsia="Times New Roman"/>
          <w:szCs w:val="22"/>
          <w:lang w:val="es-ES" w:eastAsia="en-US"/>
        </w:rPr>
        <w:t>na serie de países referidas a las necesidades específicas de las bibliotecas</w:t>
      </w:r>
      <w:r w:rsidR="00B57DA7" w:rsidRPr="001B1DCF">
        <w:rPr>
          <w:rFonts w:eastAsia="Times New Roman"/>
          <w:szCs w:val="22"/>
          <w:lang w:val="es-ES" w:eastAsia="en-US"/>
        </w:rPr>
        <w:t xml:space="preserve">.  </w:t>
      </w:r>
      <w:r w:rsidR="00153BF4" w:rsidRPr="001B1DCF">
        <w:rPr>
          <w:rFonts w:eastAsia="Times New Roman"/>
          <w:szCs w:val="22"/>
          <w:lang w:val="es-ES" w:eastAsia="en-US"/>
        </w:rPr>
        <w:t>En</w:t>
      </w:r>
      <w:r w:rsidR="00B57DA7" w:rsidRPr="001B1DCF">
        <w:rPr>
          <w:rFonts w:eastAsia="Times New Roman"/>
          <w:szCs w:val="22"/>
          <w:lang w:val="es-ES" w:eastAsia="en-US"/>
        </w:rPr>
        <w:t xml:space="preserve"> </w:t>
      </w:r>
      <w:r w:rsidR="00C95927" w:rsidRPr="001B1DCF">
        <w:rPr>
          <w:rFonts w:eastAsia="Times New Roman"/>
          <w:szCs w:val="22"/>
          <w:lang w:val="es-ES" w:eastAsia="en-US"/>
        </w:rPr>
        <w:t xml:space="preserve">el cuadro denominado </w:t>
      </w:r>
      <w:r w:rsidR="00B57DA7" w:rsidRPr="001B1DCF">
        <w:rPr>
          <w:rFonts w:eastAsia="Times New Roman"/>
          <w:szCs w:val="22"/>
          <w:lang w:val="es-ES" w:eastAsia="en-US"/>
        </w:rPr>
        <w:t>“</w:t>
      </w:r>
      <w:r w:rsidR="00F20044" w:rsidRPr="001B1DCF">
        <w:rPr>
          <w:rFonts w:eastAsia="Times New Roman"/>
          <w:szCs w:val="22"/>
          <w:lang w:val="es-ES" w:eastAsia="en-US"/>
        </w:rPr>
        <w:t>Cuestiones diversas</w:t>
      </w:r>
      <w:r w:rsidR="00B57DA7" w:rsidRPr="001B1DCF">
        <w:rPr>
          <w:rFonts w:eastAsia="Times New Roman"/>
          <w:szCs w:val="22"/>
          <w:lang w:val="es-ES" w:eastAsia="en-US"/>
        </w:rPr>
        <w:t xml:space="preserve">” </w:t>
      </w:r>
      <w:r w:rsidR="00153BF4" w:rsidRPr="001B1DCF">
        <w:rPr>
          <w:rFonts w:eastAsia="Times New Roman"/>
          <w:szCs w:val="22"/>
          <w:lang w:val="es-ES" w:eastAsia="en-US"/>
        </w:rPr>
        <w:t xml:space="preserve">figuran </w:t>
      </w:r>
      <w:r w:rsidR="00F20044" w:rsidRPr="001B1DCF">
        <w:rPr>
          <w:rFonts w:eastAsia="Times New Roman"/>
          <w:szCs w:val="22"/>
          <w:lang w:val="es-ES" w:eastAsia="en-US"/>
        </w:rPr>
        <w:t xml:space="preserve">a menudo referencias breves a </w:t>
      </w:r>
      <w:r w:rsidR="00153BF4" w:rsidRPr="001B1DCF">
        <w:rPr>
          <w:rFonts w:eastAsia="Times New Roman"/>
          <w:szCs w:val="22"/>
          <w:lang w:val="es-ES" w:eastAsia="en-US"/>
        </w:rPr>
        <w:t xml:space="preserve">otras disposiciones de derecho de autor que pueden ser importantes para las bibliotecas, como </w:t>
      </w:r>
      <w:r w:rsidR="00F20044" w:rsidRPr="001B1DCF">
        <w:rPr>
          <w:rFonts w:eastAsia="Times New Roman"/>
          <w:szCs w:val="22"/>
          <w:lang w:val="es-ES" w:eastAsia="en-US"/>
        </w:rPr>
        <w:t>las relativas a las copias personales</w:t>
      </w:r>
      <w:r w:rsidR="00B57DA7" w:rsidRPr="001B1DCF">
        <w:rPr>
          <w:rFonts w:eastAsia="Times New Roman"/>
          <w:szCs w:val="22"/>
          <w:lang w:val="es-ES" w:eastAsia="en-US"/>
        </w:rPr>
        <w:t xml:space="preserve">, </w:t>
      </w:r>
      <w:r w:rsidR="00F20044" w:rsidRPr="001B1DCF">
        <w:rPr>
          <w:rFonts w:eastAsia="Times New Roman"/>
          <w:szCs w:val="22"/>
          <w:lang w:val="es-ES" w:eastAsia="en-US"/>
        </w:rPr>
        <w:t>el préstamo público</w:t>
      </w:r>
      <w:r w:rsidR="00B57DA7" w:rsidRPr="001B1DCF">
        <w:rPr>
          <w:rFonts w:eastAsia="Times New Roman"/>
          <w:szCs w:val="22"/>
          <w:lang w:val="es-ES" w:eastAsia="en-US"/>
        </w:rPr>
        <w:t xml:space="preserve">, </w:t>
      </w:r>
      <w:r w:rsidR="00F20044" w:rsidRPr="001B1DCF">
        <w:rPr>
          <w:rFonts w:eastAsia="Times New Roman"/>
          <w:szCs w:val="22"/>
          <w:lang w:val="es-ES" w:eastAsia="en-US"/>
        </w:rPr>
        <w:t>las prácticas leales, las necesidades d</w:t>
      </w:r>
      <w:r w:rsidR="005E6B0A" w:rsidRPr="001B1DCF">
        <w:rPr>
          <w:rFonts w:eastAsia="Times New Roman"/>
          <w:szCs w:val="22"/>
          <w:lang w:val="es-ES" w:eastAsia="en-US"/>
        </w:rPr>
        <w:t>e las personas con discapacidad</w:t>
      </w:r>
      <w:r w:rsidR="00F20044" w:rsidRPr="001B1DCF">
        <w:rPr>
          <w:rFonts w:eastAsia="Times New Roman"/>
          <w:szCs w:val="22"/>
          <w:lang w:val="es-ES" w:eastAsia="en-US"/>
        </w:rPr>
        <w:t xml:space="preserve"> y otras muchas</w:t>
      </w:r>
      <w:r w:rsidR="00B57DA7" w:rsidRPr="001B1DCF">
        <w:rPr>
          <w:rFonts w:eastAsia="Times New Roman"/>
          <w:szCs w:val="22"/>
          <w:lang w:val="es-ES" w:eastAsia="en-US"/>
        </w:rPr>
        <w:t xml:space="preserve">.  </w:t>
      </w:r>
      <w:r w:rsidR="00F20044" w:rsidRPr="001B1DCF">
        <w:rPr>
          <w:rFonts w:eastAsia="Times New Roman"/>
          <w:szCs w:val="22"/>
          <w:lang w:val="es-ES" w:eastAsia="en-US"/>
        </w:rPr>
        <w:t>Esta información no puede considerarse exhaustiva</w:t>
      </w:r>
      <w:r w:rsidR="00B57DA7" w:rsidRPr="001B1DCF">
        <w:rPr>
          <w:rFonts w:eastAsia="Times New Roman"/>
          <w:szCs w:val="22"/>
          <w:lang w:val="es-ES" w:eastAsia="en-US"/>
        </w:rPr>
        <w:t xml:space="preserve">.  </w:t>
      </w:r>
      <w:r w:rsidR="00F20044" w:rsidRPr="001B1DCF">
        <w:rPr>
          <w:rFonts w:eastAsia="Times New Roman"/>
          <w:szCs w:val="22"/>
          <w:lang w:val="es-ES" w:eastAsia="en-US"/>
        </w:rPr>
        <w:t xml:space="preserve">Se trata </w:t>
      </w:r>
      <w:r w:rsidR="00153BF4" w:rsidRPr="001B1DCF">
        <w:rPr>
          <w:rFonts w:eastAsia="Times New Roman"/>
          <w:szCs w:val="22"/>
          <w:lang w:val="es-ES" w:eastAsia="en-US"/>
        </w:rPr>
        <w:t xml:space="preserve">únicamente </w:t>
      </w:r>
      <w:r w:rsidR="00F20044" w:rsidRPr="001B1DCF">
        <w:rPr>
          <w:rFonts w:eastAsia="Times New Roman"/>
          <w:szCs w:val="22"/>
          <w:lang w:val="es-ES" w:eastAsia="en-US"/>
        </w:rPr>
        <w:t xml:space="preserve">de resúmenes </w:t>
      </w:r>
      <w:r w:rsidR="00153BF4" w:rsidRPr="001B1DCF">
        <w:rPr>
          <w:rFonts w:eastAsia="Times New Roman"/>
          <w:szCs w:val="22"/>
          <w:lang w:val="es-ES" w:eastAsia="en-US"/>
        </w:rPr>
        <w:t xml:space="preserve">y no </w:t>
      </w:r>
      <w:r w:rsidR="00F20044" w:rsidRPr="001B1DCF">
        <w:rPr>
          <w:rFonts w:eastAsia="Times New Roman"/>
          <w:szCs w:val="22"/>
          <w:lang w:val="es-ES" w:eastAsia="en-US"/>
        </w:rPr>
        <w:t xml:space="preserve">son el resultado de una investigación exhaustiva </w:t>
      </w:r>
      <w:r w:rsidR="00153BF4" w:rsidRPr="001B1DCF">
        <w:rPr>
          <w:rFonts w:eastAsia="Times New Roman"/>
          <w:szCs w:val="22"/>
          <w:lang w:val="es-ES" w:eastAsia="en-US"/>
        </w:rPr>
        <w:t xml:space="preserve">en </w:t>
      </w:r>
      <w:r w:rsidR="00F20044" w:rsidRPr="001B1DCF">
        <w:rPr>
          <w:rFonts w:eastAsia="Times New Roman"/>
          <w:szCs w:val="22"/>
          <w:lang w:val="es-ES" w:eastAsia="en-US"/>
        </w:rPr>
        <w:t xml:space="preserve">todos los países que </w:t>
      </w:r>
      <w:r w:rsidR="00F20044" w:rsidRPr="001B1DCF">
        <w:rPr>
          <w:rFonts w:eastAsia="Times New Roman"/>
          <w:szCs w:val="22"/>
          <w:lang w:val="es-ES" w:eastAsia="en-US"/>
        </w:rPr>
        <w:lastRenderedPageBreak/>
        <w:t>abarca el informe</w:t>
      </w:r>
      <w:r w:rsidR="00B57DA7" w:rsidRPr="001B1DCF">
        <w:rPr>
          <w:rFonts w:eastAsia="Times New Roman"/>
          <w:szCs w:val="22"/>
          <w:lang w:val="es-ES" w:eastAsia="en-US"/>
        </w:rPr>
        <w:t xml:space="preserve">.  </w:t>
      </w:r>
      <w:r w:rsidR="00F20044" w:rsidRPr="001B1DCF">
        <w:rPr>
          <w:rFonts w:eastAsia="Times New Roman"/>
          <w:szCs w:val="22"/>
          <w:lang w:val="es-ES" w:eastAsia="en-US"/>
        </w:rPr>
        <w:t xml:space="preserve">No obstante, ponen de manifiesto la diversidad de </w:t>
      </w:r>
      <w:r w:rsidR="00153BF4" w:rsidRPr="001B1DCF">
        <w:rPr>
          <w:rFonts w:eastAsia="Times New Roman"/>
          <w:szCs w:val="22"/>
          <w:lang w:val="es-ES" w:eastAsia="en-US"/>
        </w:rPr>
        <w:t xml:space="preserve">la legislación </w:t>
      </w:r>
      <w:r w:rsidR="00F20044" w:rsidRPr="001B1DCF">
        <w:rPr>
          <w:rFonts w:eastAsia="Times New Roman"/>
          <w:szCs w:val="22"/>
          <w:lang w:val="es-ES" w:eastAsia="en-US"/>
        </w:rPr>
        <w:t xml:space="preserve">y la creciente complejidad </w:t>
      </w:r>
      <w:r w:rsidR="00153BF4" w:rsidRPr="001B1DCF">
        <w:rPr>
          <w:rFonts w:eastAsia="Times New Roman"/>
          <w:szCs w:val="22"/>
          <w:lang w:val="es-ES" w:eastAsia="en-US"/>
        </w:rPr>
        <w:t>de la relación existente</w:t>
      </w:r>
      <w:r w:rsidR="00F20044" w:rsidRPr="001B1DCF">
        <w:rPr>
          <w:rFonts w:eastAsia="Times New Roman"/>
          <w:szCs w:val="22"/>
          <w:lang w:val="es-ES" w:eastAsia="en-US"/>
        </w:rPr>
        <w:t xml:space="preserve"> entre la protección jurídica y las excepciones al derecho de autor</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rPr>
          <w:rFonts w:eastAsia="Times New Roman"/>
          <w:szCs w:val="22"/>
          <w:lang w:val="es-ES" w:eastAsia="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B57DA7" w:rsidRPr="001B1DCF" w:rsidTr="00AB53D3">
        <w:tc>
          <w:tcPr>
            <w:tcW w:w="8613" w:type="dxa"/>
            <w:gridSpan w:val="2"/>
            <w:shd w:val="clear" w:color="auto" w:fill="auto"/>
          </w:tcPr>
          <w:p w:rsidR="00B57DA7" w:rsidRPr="001B1DCF" w:rsidRDefault="00B57DA7" w:rsidP="00B57DA7">
            <w:pPr>
              <w:rPr>
                <w:rFonts w:eastAsia="Times New Roman"/>
                <w:b/>
                <w:bCs/>
                <w:szCs w:val="22"/>
                <w:lang w:val="es-ES" w:eastAsia="en-US"/>
              </w:rPr>
            </w:pPr>
            <w:r w:rsidRPr="001B1DCF">
              <w:rPr>
                <w:rFonts w:eastAsia="Times New Roman"/>
                <w:b/>
                <w:bCs/>
                <w:szCs w:val="22"/>
                <w:lang w:val="es-ES" w:eastAsia="en-US"/>
              </w:rPr>
              <w:t>Excep</w:t>
            </w:r>
            <w:r w:rsidR="00E16949" w:rsidRPr="001B1DCF">
              <w:rPr>
                <w:rFonts w:eastAsia="Times New Roman"/>
                <w:b/>
                <w:bCs/>
                <w:szCs w:val="22"/>
                <w:lang w:val="es-ES" w:eastAsia="en-US"/>
              </w:rPr>
              <w:t>ciones en favor de las bibliotecas en las legislaciones nacionales de derecho de autor</w:t>
            </w:r>
          </w:p>
          <w:p w:rsidR="00B57DA7" w:rsidRPr="001B1DCF" w:rsidRDefault="00E16949" w:rsidP="00B57DA7">
            <w:pPr>
              <w:rPr>
                <w:rFonts w:eastAsia="Times New Roman"/>
                <w:szCs w:val="22"/>
                <w:lang w:val="es-ES" w:eastAsia="en-US"/>
              </w:rPr>
            </w:pPr>
            <w:r w:rsidRPr="001B1DCF">
              <w:rPr>
                <w:rFonts w:eastAsia="Times New Roman"/>
                <w:szCs w:val="22"/>
                <w:lang w:val="es-ES" w:eastAsia="en-US"/>
              </w:rPr>
              <w:t>Resumen de los resultados de un estudio realizado para la Organización Mundial de la Propiedad Intelectual e</w:t>
            </w:r>
            <w:r w:rsidR="00703969" w:rsidRPr="001B1DCF">
              <w:rPr>
                <w:rFonts w:eastAsia="Times New Roman"/>
                <w:szCs w:val="22"/>
                <w:lang w:val="es-ES" w:eastAsia="en-US"/>
              </w:rPr>
              <w:t>n 2</w:t>
            </w:r>
            <w:r w:rsidR="00153BF4" w:rsidRPr="001B1DCF">
              <w:rPr>
                <w:rFonts w:eastAsia="Times New Roman"/>
                <w:szCs w:val="22"/>
                <w:lang w:val="es-ES" w:eastAsia="en-US"/>
              </w:rPr>
              <w:t>017</w:t>
            </w:r>
            <w:r w:rsidRPr="001B1DCF">
              <w:rPr>
                <w:rFonts w:eastAsia="Times New Roman"/>
                <w:szCs w:val="22"/>
                <w:lang w:val="es-ES" w:eastAsia="en-US"/>
              </w:rPr>
              <w:t xml:space="preserve"> </w:t>
            </w:r>
          </w:p>
          <w:p w:rsidR="00B57DA7" w:rsidRPr="001B1DCF" w:rsidRDefault="00E16949" w:rsidP="00B57DA7">
            <w:pPr>
              <w:rPr>
                <w:rFonts w:eastAsia="Times New Roman"/>
                <w:szCs w:val="22"/>
                <w:lang w:val="es-ES" w:eastAsia="en-US"/>
              </w:rPr>
            </w:pPr>
            <w:r w:rsidRPr="001B1DCF">
              <w:rPr>
                <w:rFonts w:eastAsia="Times New Roman"/>
                <w:szCs w:val="22"/>
                <w:lang w:val="es-ES" w:eastAsia="en-US"/>
              </w:rPr>
              <w:t xml:space="preserve">Estudio realizado por </w:t>
            </w:r>
            <w:r w:rsidR="00B57DA7" w:rsidRPr="001B1DCF">
              <w:rPr>
                <w:rFonts w:eastAsia="Times New Roman"/>
                <w:szCs w:val="22"/>
                <w:lang w:val="es-ES" w:eastAsia="en-US"/>
              </w:rPr>
              <w:t>Kenneth D</w:t>
            </w:r>
            <w:r w:rsidR="00703969" w:rsidRPr="001B1DCF">
              <w:rPr>
                <w:rFonts w:eastAsia="Times New Roman"/>
                <w:szCs w:val="22"/>
                <w:lang w:val="es-ES" w:eastAsia="en-US"/>
              </w:rPr>
              <w:t>. C</w:t>
            </w:r>
            <w:r w:rsidR="00B57DA7" w:rsidRPr="001B1DCF">
              <w:rPr>
                <w:rFonts w:eastAsia="Times New Roman"/>
                <w:szCs w:val="22"/>
                <w:lang w:val="es-ES" w:eastAsia="en-US"/>
              </w:rPr>
              <w:t>rews</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Total </w:t>
            </w:r>
            <w:r w:rsidR="00E16949" w:rsidRPr="001B1DCF">
              <w:rPr>
                <w:rFonts w:eastAsia="Times New Roman"/>
                <w:szCs w:val="22"/>
                <w:lang w:val="es-ES" w:eastAsia="en-US"/>
              </w:rPr>
              <w:t>de países estudiados</w:t>
            </w:r>
            <w:r w:rsidR="00703969" w:rsidRPr="001B1DCF">
              <w:rPr>
                <w:rFonts w:eastAsia="Times New Roman"/>
                <w:szCs w:val="22"/>
                <w:lang w:val="es-ES" w:eastAsia="en-US"/>
              </w:rPr>
              <w:t>:  1</w:t>
            </w:r>
            <w:r w:rsidR="00153BF4" w:rsidRPr="001B1DCF">
              <w:rPr>
                <w:rFonts w:eastAsia="Times New Roman"/>
                <w:szCs w:val="22"/>
                <w:lang w:val="es-ES" w:eastAsia="en-US"/>
              </w:rPr>
              <w:t>91</w:t>
            </w:r>
          </w:p>
          <w:p w:rsidR="00B57DA7" w:rsidRPr="001B1DCF" w:rsidRDefault="00B57DA7" w:rsidP="00B57DA7">
            <w:pPr>
              <w:rPr>
                <w:rFonts w:eastAsia="Times New Roman"/>
                <w:szCs w:val="22"/>
                <w:lang w:val="es-ES" w:eastAsia="en-US"/>
              </w:rPr>
            </w:pPr>
          </w:p>
        </w:tc>
      </w:tr>
      <w:tr w:rsidR="00B57DA7" w:rsidRPr="001B1DCF" w:rsidTr="00AB53D3">
        <w:tc>
          <w:tcPr>
            <w:tcW w:w="3085" w:type="dxa"/>
            <w:shd w:val="clear" w:color="auto" w:fill="auto"/>
          </w:tcPr>
          <w:p w:rsidR="00B57DA7" w:rsidRPr="001B1DCF" w:rsidRDefault="00B57DA7" w:rsidP="00E16949">
            <w:pPr>
              <w:rPr>
                <w:rFonts w:eastAsia="Times New Roman"/>
                <w:b/>
                <w:szCs w:val="22"/>
                <w:lang w:val="es-ES" w:eastAsia="en-US"/>
              </w:rPr>
            </w:pPr>
            <w:r w:rsidRPr="001B1DCF">
              <w:rPr>
                <w:rFonts w:eastAsia="Times New Roman"/>
                <w:b/>
                <w:szCs w:val="22"/>
                <w:lang w:val="es-ES" w:eastAsia="en-US"/>
              </w:rPr>
              <w:t>Excep</w:t>
            </w:r>
            <w:r w:rsidR="00E16949" w:rsidRPr="001B1DCF">
              <w:rPr>
                <w:rFonts w:eastAsia="Times New Roman"/>
                <w:b/>
                <w:szCs w:val="22"/>
                <w:lang w:val="es-ES" w:eastAsia="en-US"/>
              </w:rPr>
              <w:t>ción</w:t>
            </w:r>
          </w:p>
        </w:tc>
        <w:tc>
          <w:tcPr>
            <w:tcW w:w="5528" w:type="dxa"/>
            <w:shd w:val="clear" w:color="auto" w:fill="auto"/>
          </w:tcPr>
          <w:p w:rsidR="00B57DA7" w:rsidRPr="001B1DCF" w:rsidRDefault="00B57DA7" w:rsidP="00E16949">
            <w:pPr>
              <w:rPr>
                <w:rFonts w:eastAsia="Times New Roman"/>
                <w:b/>
                <w:szCs w:val="22"/>
                <w:lang w:val="es-ES" w:eastAsia="en-US"/>
              </w:rPr>
            </w:pPr>
            <w:r w:rsidRPr="001B1DCF">
              <w:rPr>
                <w:rFonts w:eastAsia="Times New Roman"/>
                <w:b/>
                <w:szCs w:val="22"/>
                <w:lang w:val="es-ES" w:eastAsia="en-US"/>
              </w:rPr>
              <w:t>N</w:t>
            </w:r>
            <w:r w:rsidR="00E16949" w:rsidRPr="001B1DCF">
              <w:rPr>
                <w:rFonts w:eastAsia="Times New Roman"/>
                <w:b/>
                <w:szCs w:val="22"/>
                <w:lang w:val="es-ES" w:eastAsia="en-US"/>
              </w:rPr>
              <w:t>úmero de países</w:t>
            </w:r>
          </w:p>
        </w:tc>
      </w:tr>
      <w:tr w:rsidR="00B57DA7" w:rsidRPr="001B1DCF" w:rsidTr="00AB53D3">
        <w:tc>
          <w:tcPr>
            <w:tcW w:w="3085" w:type="dxa"/>
            <w:shd w:val="clear" w:color="auto" w:fill="auto"/>
          </w:tcPr>
          <w:p w:rsidR="00B57DA7" w:rsidRPr="001B1DCF" w:rsidRDefault="00153BF4" w:rsidP="00B57DA7">
            <w:pPr>
              <w:rPr>
                <w:rFonts w:eastAsia="Times New Roman"/>
                <w:szCs w:val="22"/>
                <w:lang w:val="es-ES" w:eastAsia="en-US"/>
              </w:rPr>
            </w:pPr>
            <w:r w:rsidRPr="001B1DCF">
              <w:rPr>
                <w:rFonts w:eastAsia="Times New Roman"/>
                <w:szCs w:val="22"/>
                <w:lang w:val="es-ES" w:eastAsia="en-US"/>
              </w:rPr>
              <w:t>No hay excepciones en favor de las bibliotecas</w:t>
            </w:r>
            <w:r w:rsidR="00052DBE" w:rsidRPr="001B1DCF">
              <w:rPr>
                <w:rStyle w:val="FootnoteReference"/>
                <w:rFonts w:eastAsia="Times New Roman"/>
                <w:szCs w:val="22"/>
                <w:lang w:val="es-ES"/>
              </w:rPr>
              <w:footnoteReference w:id="9"/>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B57DA7" w:rsidP="00B57DA7">
            <w:pPr>
              <w:rPr>
                <w:rFonts w:eastAsia="Times New Roman"/>
                <w:szCs w:val="22"/>
                <w:lang w:val="es-ES" w:eastAsia="en-US"/>
              </w:rPr>
            </w:pPr>
            <w:r w:rsidRPr="001B1DCF">
              <w:rPr>
                <w:rFonts w:eastAsia="Times New Roman"/>
                <w:szCs w:val="22"/>
                <w:lang w:val="es-ES" w:eastAsia="en-US"/>
              </w:rPr>
              <w:t>2</w:t>
            </w:r>
            <w:r w:rsidR="00153BF4" w:rsidRPr="001B1DCF">
              <w:rPr>
                <w:rFonts w:eastAsia="Times New Roman"/>
                <w:szCs w:val="22"/>
                <w:lang w:val="es-ES" w:eastAsia="en-US"/>
              </w:rPr>
              <w:t xml:space="preserve">8 (Además, dos países que </w:t>
            </w:r>
            <w:r w:rsidR="00052DBE" w:rsidRPr="001B1DCF">
              <w:rPr>
                <w:rFonts w:eastAsia="Times New Roman"/>
                <w:szCs w:val="22"/>
                <w:lang w:val="es-ES" w:eastAsia="en-US"/>
              </w:rPr>
              <w:t>no han promulgado legislación de derecho de autor)</w:t>
            </w:r>
          </w:p>
          <w:p w:rsidR="00153BF4" w:rsidRPr="001B1DCF" w:rsidRDefault="00153BF4" w:rsidP="00B57DA7">
            <w:pPr>
              <w:rPr>
                <w:rFonts w:eastAsia="Times New Roman"/>
                <w:szCs w:val="22"/>
                <w:lang w:val="es-ES" w:eastAsia="en-US"/>
              </w:rPr>
            </w:pPr>
          </w:p>
        </w:tc>
      </w:tr>
      <w:tr w:rsidR="00B57DA7" w:rsidRPr="001B1DCF" w:rsidTr="00AB53D3">
        <w:tc>
          <w:tcPr>
            <w:tcW w:w="3085" w:type="dxa"/>
            <w:shd w:val="clear" w:color="auto" w:fill="auto"/>
          </w:tcPr>
          <w:p w:rsidR="00B57DA7" w:rsidRPr="001B1DCF" w:rsidRDefault="00153BF4" w:rsidP="00B57DA7">
            <w:pPr>
              <w:rPr>
                <w:rFonts w:eastAsia="Times New Roman"/>
                <w:szCs w:val="22"/>
                <w:lang w:val="es-ES" w:eastAsia="en-US"/>
              </w:rPr>
            </w:pPr>
            <w:r w:rsidRPr="001B1DCF">
              <w:rPr>
                <w:rFonts w:eastAsia="Times New Roman"/>
                <w:szCs w:val="22"/>
                <w:lang w:val="es-ES" w:eastAsia="en-US"/>
              </w:rPr>
              <w:t>Excepciones</w:t>
            </w:r>
            <w:r w:rsidR="00E16949" w:rsidRPr="001B1DCF">
              <w:rPr>
                <w:rFonts w:eastAsia="Times New Roman"/>
                <w:szCs w:val="22"/>
                <w:lang w:val="es-ES" w:eastAsia="en-US"/>
              </w:rPr>
              <w:t xml:space="preserve"> generales </w:t>
            </w:r>
            <w:r w:rsidRPr="001B1DCF">
              <w:rPr>
                <w:rFonts w:eastAsia="Times New Roman"/>
                <w:szCs w:val="22"/>
                <w:lang w:val="es-ES" w:eastAsia="en-US"/>
              </w:rPr>
              <w:t xml:space="preserve">en favor de </w:t>
            </w:r>
            <w:r w:rsidR="00E16949" w:rsidRPr="001B1DCF">
              <w:rPr>
                <w:rFonts w:eastAsia="Times New Roman"/>
                <w:szCs w:val="22"/>
                <w:lang w:val="es-ES" w:eastAsia="en-US"/>
              </w:rPr>
              <w:t>las bibliotecas</w:t>
            </w:r>
            <w:r w:rsidR="00052DBE" w:rsidRPr="001B1DCF">
              <w:rPr>
                <w:rStyle w:val="FootnoteReference"/>
                <w:rFonts w:eastAsia="Times New Roman"/>
                <w:szCs w:val="22"/>
                <w:lang w:val="es-ES"/>
              </w:rPr>
              <w:footnoteReference w:id="10"/>
            </w:r>
          </w:p>
          <w:p w:rsidR="00B57DA7" w:rsidRPr="001B1DCF" w:rsidRDefault="00F630FF" w:rsidP="00B57DA7">
            <w:pPr>
              <w:rPr>
                <w:rFonts w:eastAsia="Times New Roman"/>
                <w:szCs w:val="22"/>
                <w:lang w:val="es-ES" w:eastAsia="en-US"/>
              </w:rPr>
            </w:pPr>
            <w:r w:rsidRPr="001B1DCF">
              <w:rPr>
                <w:rFonts w:eastAsia="Times New Roman"/>
                <w:szCs w:val="22"/>
                <w:lang w:val="es-ES" w:eastAsia="en-US"/>
              </w:rPr>
              <w:t>(Nota</w:t>
            </w:r>
            <w:r w:rsidR="00703969" w:rsidRPr="001B1DCF">
              <w:rPr>
                <w:rFonts w:eastAsia="Times New Roman"/>
                <w:szCs w:val="22"/>
                <w:lang w:val="es-ES" w:eastAsia="en-US"/>
              </w:rPr>
              <w:t>:  l</w:t>
            </w:r>
            <w:r w:rsidRPr="001B1DCF">
              <w:rPr>
                <w:rFonts w:eastAsia="Times New Roman"/>
                <w:szCs w:val="22"/>
                <w:lang w:val="es-ES" w:eastAsia="en-US"/>
              </w:rPr>
              <w:t xml:space="preserve">a cifra corresponde al número de países que tienen </w:t>
            </w:r>
            <w:r w:rsidRPr="001B1DCF">
              <w:rPr>
                <w:rFonts w:eastAsia="Times New Roman"/>
                <w:i/>
                <w:szCs w:val="22"/>
                <w:lang w:val="es-ES" w:eastAsia="en-US"/>
              </w:rPr>
              <w:t>sólo</w:t>
            </w:r>
            <w:r w:rsidRPr="001B1DCF">
              <w:rPr>
                <w:rFonts w:eastAsia="Times New Roman"/>
                <w:szCs w:val="22"/>
                <w:lang w:val="es-ES" w:eastAsia="en-US"/>
              </w:rPr>
              <w:t xml:space="preserve"> una excepción general</w:t>
            </w:r>
            <w:r w:rsidR="00153BF4" w:rsidRPr="001B1DCF">
              <w:rPr>
                <w:rFonts w:eastAsia="Times New Roman"/>
                <w:szCs w:val="22"/>
                <w:lang w:val="es-ES" w:eastAsia="en-US"/>
              </w:rPr>
              <w:t xml:space="preserve"> y no cuentan con excepciones específicas en favor de las bibliotecas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153BF4" w:rsidP="00B57DA7">
            <w:pPr>
              <w:rPr>
                <w:rFonts w:eastAsia="Times New Roman"/>
                <w:szCs w:val="22"/>
                <w:lang w:val="es-ES" w:eastAsia="en-US"/>
              </w:rPr>
            </w:pPr>
            <w:r w:rsidRPr="001B1DCF">
              <w:rPr>
                <w:rFonts w:eastAsia="Times New Roman"/>
                <w:szCs w:val="22"/>
                <w:lang w:val="es-ES" w:eastAsia="en-US"/>
              </w:rPr>
              <w:t>2</w:t>
            </w:r>
            <w:r w:rsidR="00B57DA7" w:rsidRPr="001B1DCF">
              <w:rPr>
                <w:rFonts w:eastAsia="Times New Roman"/>
                <w:szCs w:val="22"/>
                <w:lang w:val="es-ES" w:eastAsia="en-US"/>
              </w:rPr>
              <w:t>1</w:t>
            </w:r>
          </w:p>
        </w:tc>
      </w:tr>
      <w:tr w:rsidR="00B57DA7" w:rsidRPr="001B1DCF" w:rsidTr="00AB53D3">
        <w:tc>
          <w:tcPr>
            <w:tcW w:w="3085" w:type="dxa"/>
            <w:shd w:val="clear" w:color="auto" w:fill="auto"/>
          </w:tcPr>
          <w:p w:rsidR="00B57DA7" w:rsidRPr="001B1DCF" w:rsidRDefault="00F630FF" w:rsidP="00B57DA7">
            <w:pPr>
              <w:rPr>
                <w:rFonts w:eastAsia="Times New Roman"/>
                <w:szCs w:val="22"/>
                <w:lang w:val="es-ES" w:eastAsia="en-US"/>
              </w:rPr>
            </w:pPr>
            <w:r w:rsidRPr="001B1DCF">
              <w:rPr>
                <w:rFonts w:eastAsia="Times New Roman"/>
                <w:szCs w:val="22"/>
                <w:lang w:val="es-ES" w:eastAsia="en-US"/>
              </w:rPr>
              <w:t xml:space="preserve">Copias para usuarios de las bibliotecas </w:t>
            </w:r>
            <w:r w:rsidR="00B57DA7" w:rsidRPr="001B1DCF">
              <w:rPr>
                <w:rFonts w:eastAsia="Times New Roman"/>
                <w:szCs w:val="22"/>
                <w:lang w:val="es-ES" w:eastAsia="en-US"/>
              </w:rPr>
              <w:t>(</w:t>
            </w:r>
            <w:r w:rsidRPr="001B1DCF">
              <w:rPr>
                <w:rFonts w:eastAsia="Times New Roman"/>
                <w:szCs w:val="22"/>
                <w:lang w:val="es-ES" w:eastAsia="en-US"/>
              </w:rPr>
              <w:t>con fines de investigación o estudio</w:t>
            </w:r>
            <w:r w:rsidR="00052DBE" w:rsidRPr="001B1DCF">
              <w:rPr>
                <w:rFonts w:eastAsia="Times New Roman"/>
                <w:szCs w:val="22"/>
                <w:lang w:val="es-ES" w:eastAsia="en-US"/>
              </w:rPr>
              <w:t xml:space="preserve"> o similares</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052DBE" w:rsidP="00B57DA7">
            <w:pPr>
              <w:rPr>
                <w:rFonts w:eastAsia="Times New Roman"/>
                <w:szCs w:val="22"/>
                <w:lang w:val="es-ES" w:eastAsia="en-US"/>
              </w:rPr>
            </w:pPr>
            <w:r w:rsidRPr="001B1DCF">
              <w:rPr>
                <w:rFonts w:eastAsia="Times New Roman"/>
                <w:szCs w:val="22"/>
                <w:lang w:val="es-ES" w:eastAsia="en-US"/>
              </w:rPr>
              <w:t>105</w:t>
            </w:r>
          </w:p>
        </w:tc>
      </w:tr>
      <w:tr w:rsidR="00B57DA7" w:rsidRPr="001B1DCF" w:rsidTr="00AB53D3">
        <w:tc>
          <w:tcPr>
            <w:tcW w:w="3085" w:type="dxa"/>
            <w:shd w:val="clear" w:color="auto" w:fill="auto"/>
          </w:tcPr>
          <w:p w:rsidR="00B57DA7" w:rsidRPr="001B1DCF" w:rsidRDefault="00052DBE" w:rsidP="00B57DA7">
            <w:pPr>
              <w:rPr>
                <w:rFonts w:eastAsia="Times New Roman"/>
                <w:szCs w:val="22"/>
                <w:lang w:val="es-ES" w:eastAsia="en-US"/>
              </w:rPr>
            </w:pPr>
            <w:r w:rsidRPr="001B1DCF">
              <w:rPr>
                <w:rFonts w:eastAsia="Times New Roman"/>
                <w:szCs w:val="22"/>
                <w:lang w:val="es-ES" w:eastAsia="en-US"/>
              </w:rPr>
              <w:t>P</w:t>
            </w:r>
            <w:r w:rsidR="00F630FF" w:rsidRPr="001B1DCF">
              <w:rPr>
                <w:rFonts w:eastAsia="Times New Roman"/>
                <w:szCs w:val="22"/>
                <w:lang w:val="es-ES" w:eastAsia="en-US"/>
              </w:rPr>
              <w:t xml:space="preserve">reservación o sustitución </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F630FF" w:rsidP="00B57DA7">
            <w:pPr>
              <w:rPr>
                <w:rFonts w:eastAsia="Times New Roman"/>
                <w:szCs w:val="22"/>
                <w:lang w:val="es-ES" w:eastAsia="en-US"/>
              </w:rPr>
            </w:pPr>
            <w:r w:rsidRPr="001B1DCF">
              <w:rPr>
                <w:rFonts w:eastAsia="Times New Roman"/>
                <w:szCs w:val="22"/>
                <w:lang w:val="es-ES" w:eastAsia="en-US"/>
              </w:rPr>
              <w:t>Preservación</w:t>
            </w:r>
            <w:r w:rsidR="00052DBE" w:rsidRPr="001B1DCF">
              <w:rPr>
                <w:rFonts w:eastAsia="Times New Roman"/>
                <w:szCs w:val="22"/>
                <w:lang w:val="es-ES" w:eastAsia="en-US"/>
              </w:rPr>
              <w:t>:  102</w:t>
            </w:r>
          </w:p>
          <w:p w:rsidR="00B57DA7" w:rsidRPr="001B1DCF" w:rsidRDefault="00F630FF" w:rsidP="004E613E">
            <w:pPr>
              <w:rPr>
                <w:rFonts w:eastAsia="Times New Roman"/>
                <w:szCs w:val="22"/>
                <w:lang w:val="es-ES" w:eastAsia="en-US"/>
              </w:rPr>
            </w:pPr>
            <w:r w:rsidRPr="001B1DCF">
              <w:rPr>
                <w:rFonts w:eastAsia="Times New Roman"/>
                <w:szCs w:val="22"/>
                <w:lang w:val="es-ES" w:eastAsia="en-US"/>
              </w:rPr>
              <w:t>Sustitución</w:t>
            </w:r>
            <w:r w:rsidR="00703969" w:rsidRPr="001B1DCF">
              <w:rPr>
                <w:rFonts w:eastAsia="Times New Roman"/>
                <w:szCs w:val="22"/>
                <w:lang w:val="es-ES" w:eastAsia="en-US"/>
              </w:rPr>
              <w:t>:  9</w:t>
            </w:r>
            <w:r w:rsidR="00052DBE" w:rsidRPr="001B1DCF">
              <w:rPr>
                <w:rFonts w:eastAsia="Times New Roman"/>
                <w:szCs w:val="22"/>
                <w:lang w:val="es-ES" w:eastAsia="en-US"/>
              </w:rPr>
              <w:t>8</w:t>
            </w:r>
          </w:p>
        </w:tc>
      </w:tr>
      <w:tr w:rsidR="00B57DA7" w:rsidRPr="001B1DCF" w:rsidTr="00AB53D3">
        <w:tc>
          <w:tcPr>
            <w:tcW w:w="3085" w:type="dxa"/>
            <w:shd w:val="clear" w:color="auto" w:fill="auto"/>
          </w:tcPr>
          <w:p w:rsidR="00B57DA7" w:rsidRPr="001B1DCF" w:rsidRDefault="00F630FF" w:rsidP="00B57DA7">
            <w:pPr>
              <w:rPr>
                <w:rFonts w:eastAsia="Times New Roman"/>
                <w:szCs w:val="22"/>
                <w:lang w:val="es-ES" w:eastAsia="en-US"/>
              </w:rPr>
            </w:pPr>
            <w:r w:rsidRPr="001B1DCF">
              <w:rPr>
                <w:rFonts w:eastAsia="Times New Roman"/>
                <w:szCs w:val="22"/>
                <w:lang w:val="es-ES" w:eastAsia="en-US"/>
              </w:rPr>
              <w:t>Investigación o estudio</w:t>
            </w:r>
            <w:r w:rsidR="00052DBE" w:rsidRPr="001B1DCF">
              <w:rPr>
                <w:rStyle w:val="FootnoteReference"/>
                <w:rFonts w:eastAsia="Times New Roman"/>
                <w:szCs w:val="22"/>
                <w:lang w:val="es-ES"/>
              </w:rPr>
              <w:footnoteReference w:id="11"/>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w:t>
            </w:r>
            <w:r w:rsidR="00214E31" w:rsidRPr="001B1DCF">
              <w:rPr>
                <w:rFonts w:eastAsia="Times New Roman"/>
                <w:szCs w:val="22"/>
                <w:lang w:val="es-ES" w:eastAsia="en-US"/>
              </w:rPr>
              <w:t>puesta a disposición</w:t>
            </w:r>
            <w:r w:rsidR="00052DBE" w:rsidRPr="001B1DCF">
              <w:rPr>
                <w:rFonts w:eastAsia="Times New Roman"/>
                <w:szCs w:val="22"/>
                <w:lang w:val="es-ES" w:eastAsia="en-US"/>
              </w:rPr>
              <w:t xml:space="preserve"> en terminales especiales</w:t>
            </w:r>
            <w:r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052DBE" w:rsidP="00B57DA7">
            <w:pPr>
              <w:rPr>
                <w:rFonts w:eastAsia="Times New Roman"/>
                <w:szCs w:val="22"/>
                <w:lang w:val="es-ES" w:eastAsia="en-US"/>
              </w:rPr>
            </w:pPr>
            <w:r w:rsidRPr="001B1DCF">
              <w:rPr>
                <w:rFonts w:eastAsia="Times New Roman"/>
                <w:szCs w:val="22"/>
                <w:lang w:val="es-ES" w:eastAsia="en-US"/>
              </w:rPr>
              <w:t>34</w:t>
            </w:r>
          </w:p>
        </w:tc>
      </w:tr>
      <w:tr w:rsidR="00B57DA7" w:rsidRPr="001B1DCF" w:rsidTr="00AB53D3">
        <w:tc>
          <w:tcPr>
            <w:tcW w:w="3085" w:type="dxa"/>
            <w:shd w:val="clear" w:color="auto" w:fill="auto"/>
          </w:tcPr>
          <w:p w:rsidR="00B57DA7" w:rsidRPr="001B1DCF" w:rsidRDefault="004A528D" w:rsidP="00B57DA7">
            <w:pPr>
              <w:rPr>
                <w:rFonts w:eastAsia="Times New Roman"/>
                <w:szCs w:val="22"/>
                <w:lang w:val="es-ES" w:eastAsia="en-US"/>
              </w:rPr>
            </w:pPr>
            <w:r w:rsidRPr="001B1DCF">
              <w:rPr>
                <w:rFonts w:eastAsia="Times New Roman"/>
                <w:szCs w:val="22"/>
                <w:lang w:val="es-ES" w:eastAsia="en-US"/>
              </w:rPr>
              <w:t>Suministro de documentos o préstamo interbibliotecario</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4A528D" w:rsidP="00B57DA7">
            <w:pPr>
              <w:rPr>
                <w:rFonts w:eastAsia="Times New Roman"/>
                <w:szCs w:val="22"/>
                <w:lang w:val="es-ES" w:eastAsia="en-US"/>
              </w:rPr>
            </w:pPr>
            <w:r w:rsidRPr="001B1DCF">
              <w:rPr>
                <w:rFonts w:eastAsia="Times New Roman"/>
                <w:szCs w:val="22"/>
                <w:lang w:val="es-ES" w:eastAsia="en-US"/>
              </w:rPr>
              <w:t>Suministro de documentos</w:t>
            </w:r>
            <w:r w:rsidR="00703969" w:rsidRPr="001B1DCF">
              <w:rPr>
                <w:rFonts w:eastAsia="Times New Roman"/>
                <w:szCs w:val="22"/>
                <w:lang w:val="es-ES" w:eastAsia="en-US"/>
              </w:rPr>
              <w:t>:  2</w:t>
            </w:r>
            <w:r w:rsidR="00052DBE" w:rsidRPr="001B1DCF">
              <w:rPr>
                <w:rFonts w:eastAsia="Times New Roman"/>
                <w:szCs w:val="22"/>
                <w:lang w:val="es-ES" w:eastAsia="en-US"/>
              </w:rPr>
              <w:t>2</w:t>
            </w:r>
          </w:p>
          <w:p w:rsidR="00B57DA7" w:rsidRPr="001B1DCF" w:rsidRDefault="00B57DA7" w:rsidP="00B57DA7">
            <w:pPr>
              <w:rPr>
                <w:rFonts w:eastAsia="Times New Roman"/>
                <w:szCs w:val="22"/>
                <w:lang w:val="es-ES" w:eastAsia="en-US"/>
              </w:rPr>
            </w:pPr>
          </w:p>
          <w:p w:rsidR="00B57DA7" w:rsidRPr="001B1DCF" w:rsidRDefault="004A528D" w:rsidP="00B57DA7">
            <w:pPr>
              <w:rPr>
                <w:rFonts w:eastAsia="Times New Roman"/>
                <w:szCs w:val="22"/>
                <w:lang w:val="es-ES" w:eastAsia="en-US"/>
              </w:rPr>
            </w:pPr>
            <w:r w:rsidRPr="001B1DCF">
              <w:rPr>
                <w:rFonts w:eastAsia="Times New Roman"/>
                <w:szCs w:val="22"/>
                <w:lang w:val="es-ES" w:eastAsia="en-US"/>
              </w:rPr>
              <w:t>Préstamo interbibliotecario</w:t>
            </w:r>
            <w:r w:rsidR="00703969" w:rsidRPr="001B1DCF">
              <w:rPr>
                <w:rFonts w:eastAsia="Times New Roman"/>
                <w:szCs w:val="22"/>
                <w:lang w:val="es-ES" w:eastAsia="en-US"/>
              </w:rPr>
              <w:t>:  9</w:t>
            </w:r>
          </w:p>
          <w:p w:rsidR="00B57DA7" w:rsidRPr="001B1DCF" w:rsidRDefault="00B57DA7" w:rsidP="00B57DA7">
            <w:pPr>
              <w:rPr>
                <w:rFonts w:eastAsia="Times New Roman"/>
                <w:szCs w:val="22"/>
                <w:lang w:val="es-ES" w:eastAsia="en-US"/>
              </w:rPr>
            </w:pPr>
          </w:p>
        </w:tc>
      </w:tr>
      <w:tr w:rsidR="00B57DA7" w:rsidRPr="001B1DCF" w:rsidTr="00AB53D3">
        <w:tc>
          <w:tcPr>
            <w:tcW w:w="3085" w:type="dxa"/>
            <w:shd w:val="clear" w:color="auto" w:fill="auto"/>
          </w:tcPr>
          <w:p w:rsidR="00B57DA7" w:rsidRPr="001B1DCF" w:rsidRDefault="00D33826" w:rsidP="00B57DA7">
            <w:pPr>
              <w:rPr>
                <w:rFonts w:eastAsia="Times New Roman"/>
                <w:szCs w:val="22"/>
                <w:lang w:val="es-ES" w:eastAsia="en-US"/>
              </w:rPr>
            </w:pPr>
            <w:r w:rsidRPr="001B1DCF">
              <w:rPr>
                <w:rFonts w:eastAsia="Times New Roman"/>
                <w:szCs w:val="22"/>
                <w:lang w:val="es-ES" w:eastAsia="en-US"/>
              </w:rPr>
              <w:t>Disposiciones contra la e</w:t>
            </w:r>
            <w:r w:rsidR="004A528D" w:rsidRPr="001B1DCF">
              <w:rPr>
                <w:rFonts w:eastAsia="Times New Roman"/>
                <w:szCs w:val="22"/>
                <w:lang w:val="es-ES" w:eastAsia="en-US"/>
              </w:rPr>
              <w:t xml:space="preserve">lusión de las medidas </w:t>
            </w:r>
            <w:r w:rsidR="001D1A05" w:rsidRPr="001B1DCF">
              <w:rPr>
                <w:rFonts w:eastAsia="Times New Roman"/>
                <w:szCs w:val="22"/>
                <w:lang w:val="es-ES" w:eastAsia="en-US"/>
              </w:rPr>
              <w:t xml:space="preserve">tecnológicas de protección </w:t>
            </w:r>
            <w:r w:rsidR="00B57DA7" w:rsidRPr="001B1DCF">
              <w:rPr>
                <w:rFonts w:eastAsia="Times New Roman"/>
                <w:szCs w:val="22"/>
                <w:lang w:val="es-ES" w:eastAsia="en-US"/>
              </w:rPr>
              <w:t xml:space="preserve">– </w:t>
            </w:r>
            <w:r w:rsidR="001D1A05" w:rsidRPr="001B1DCF">
              <w:rPr>
                <w:rFonts w:eastAsia="Times New Roman"/>
                <w:szCs w:val="22"/>
                <w:lang w:val="es-ES" w:eastAsia="en-US"/>
              </w:rPr>
              <w:t xml:space="preserve">Exención en favor de las </w:t>
            </w:r>
            <w:r w:rsidR="00F630FF" w:rsidRPr="001B1DCF">
              <w:rPr>
                <w:rFonts w:eastAsia="Times New Roman"/>
                <w:szCs w:val="22"/>
                <w:lang w:val="es-ES" w:eastAsia="en-US"/>
              </w:rPr>
              <w:t>bibliotecas</w:t>
            </w:r>
          </w:p>
          <w:p w:rsidR="00B57DA7" w:rsidRPr="001B1DCF" w:rsidRDefault="00B57DA7" w:rsidP="00B57DA7">
            <w:pPr>
              <w:rPr>
                <w:rFonts w:eastAsia="Times New Roman"/>
                <w:szCs w:val="22"/>
                <w:lang w:val="es-ES" w:eastAsia="en-US"/>
              </w:rPr>
            </w:pPr>
          </w:p>
        </w:tc>
        <w:tc>
          <w:tcPr>
            <w:tcW w:w="5528" w:type="dxa"/>
            <w:shd w:val="clear" w:color="auto" w:fill="auto"/>
          </w:tcPr>
          <w:p w:rsidR="00B57DA7" w:rsidRPr="001B1DCF" w:rsidRDefault="00B57DA7" w:rsidP="00B57DA7">
            <w:pPr>
              <w:rPr>
                <w:rFonts w:eastAsia="Times New Roman"/>
                <w:szCs w:val="22"/>
                <w:lang w:val="es-ES" w:eastAsia="en-US"/>
              </w:rPr>
            </w:pPr>
            <w:r w:rsidRPr="001B1DCF">
              <w:rPr>
                <w:rFonts w:eastAsia="Times New Roman"/>
                <w:szCs w:val="22"/>
                <w:lang w:val="es-ES" w:eastAsia="en-US"/>
              </w:rPr>
              <w:t>5</w:t>
            </w:r>
            <w:r w:rsidR="00052DBE" w:rsidRPr="001B1DCF">
              <w:rPr>
                <w:rFonts w:eastAsia="Times New Roman"/>
                <w:szCs w:val="22"/>
                <w:lang w:val="es-ES" w:eastAsia="en-US"/>
              </w:rPr>
              <w:t>3</w:t>
            </w:r>
          </w:p>
        </w:tc>
      </w:tr>
    </w:tbl>
    <w:p w:rsidR="00B57DA7" w:rsidRPr="001B1DCF" w:rsidRDefault="00B57DA7" w:rsidP="00703969">
      <w:pPr>
        <w:keepNext/>
        <w:spacing w:before="240" w:after="60"/>
        <w:outlineLvl w:val="0"/>
        <w:rPr>
          <w:b/>
          <w:bCs/>
          <w:caps/>
          <w:kern w:val="32"/>
          <w:szCs w:val="32"/>
          <w:lang w:val="es-ES" w:eastAsia="en-US"/>
        </w:rPr>
      </w:pPr>
      <w:bookmarkStart w:id="10" w:name="_Toc421800681"/>
      <w:r w:rsidRPr="001B1DCF">
        <w:rPr>
          <w:b/>
          <w:bCs/>
          <w:caps/>
          <w:kern w:val="32"/>
          <w:szCs w:val="32"/>
          <w:lang w:val="es-ES" w:eastAsia="en-US"/>
        </w:rPr>
        <w:lastRenderedPageBreak/>
        <w:t>Met</w:t>
      </w:r>
      <w:r w:rsidR="00E16949" w:rsidRPr="001B1DCF">
        <w:rPr>
          <w:b/>
          <w:bCs/>
          <w:caps/>
          <w:kern w:val="32"/>
          <w:szCs w:val="32"/>
          <w:lang w:val="es-ES" w:eastAsia="en-US"/>
        </w:rPr>
        <w:t>ODOLOGÍA</w:t>
      </w:r>
      <w:bookmarkEnd w:id="10"/>
    </w:p>
    <w:p w:rsidR="00B57DA7" w:rsidRPr="001B1DCF" w:rsidRDefault="00B57DA7" w:rsidP="00703969">
      <w:pPr>
        <w:keepNext/>
        <w:rPr>
          <w:rFonts w:eastAsia="Times New Roman"/>
          <w:szCs w:val="22"/>
          <w:lang w:val="es-ES" w:eastAsia="en-US"/>
        </w:rPr>
      </w:pPr>
    </w:p>
    <w:p w:rsidR="00B57DA7" w:rsidRPr="001B1DCF" w:rsidRDefault="008D1C0E" w:rsidP="00052DBE">
      <w:pPr>
        <w:keepNext/>
        <w:rPr>
          <w:rFonts w:eastAsia="Times New Roman"/>
          <w:szCs w:val="22"/>
          <w:lang w:val="es-ES" w:eastAsia="en-US"/>
        </w:rPr>
      </w:pPr>
      <w:r w:rsidRPr="001B1DCF">
        <w:rPr>
          <w:rFonts w:eastAsia="Times New Roman"/>
          <w:szCs w:val="22"/>
          <w:lang w:val="es-ES" w:eastAsia="en-US"/>
        </w:rPr>
        <w:t>Aunque el informe d</w:t>
      </w:r>
      <w:r w:rsidR="00703969" w:rsidRPr="001B1DCF">
        <w:rPr>
          <w:rFonts w:eastAsia="Times New Roman"/>
          <w:szCs w:val="22"/>
          <w:lang w:val="es-ES" w:eastAsia="en-US"/>
        </w:rPr>
        <w:t>e 2</w:t>
      </w:r>
      <w:r w:rsidR="00052DBE" w:rsidRPr="001B1DCF">
        <w:rPr>
          <w:rFonts w:eastAsia="Times New Roman"/>
          <w:szCs w:val="22"/>
          <w:lang w:val="es-ES" w:eastAsia="en-US"/>
        </w:rPr>
        <w:t>017</w:t>
      </w:r>
      <w:r w:rsidRPr="001B1DCF">
        <w:rPr>
          <w:rFonts w:eastAsia="Times New Roman"/>
          <w:szCs w:val="22"/>
          <w:lang w:val="es-ES" w:eastAsia="en-US"/>
        </w:rPr>
        <w:t xml:space="preserve"> sustituye a los estudios </w:t>
      </w:r>
      <w:r w:rsidR="00052DBE" w:rsidRPr="001B1DCF">
        <w:rPr>
          <w:rFonts w:eastAsia="Times New Roman"/>
          <w:szCs w:val="22"/>
          <w:lang w:val="es-ES" w:eastAsia="en-US"/>
        </w:rPr>
        <w:t>anteriores</w:t>
      </w:r>
      <w:r w:rsidRPr="001B1DCF">
        <w:rPr>
          <w:rFonts w:eastAsia="Times New Roman"/>
          <w:szCs w:val="22"/>
          <w:lang w:val="es-ES" w:eastAsia="en-US"/>
        </w:rPr>
        <w:t xml:space="preserve">, </w:t>
      </w:r>
      <w:r w:rsidR="00052DBE" w:rsidRPr="001B1DCF">
        <w:rPr>
          <w:rFonts w:eastAsia="Times New Roman"/>
          <w:szCs w:val="22"/>
          <w:lang w:val="es-ES" w:eastAsia="en-US"/>
        </w:rPr>
        <w:t>dichos estudios siguen teniendo importancia</w:t>
      </w:r>
      <w:r w:rsidR="00B57DA7" w:rsidRPr="001B1DCF">
        <w:rPr>
          <w:rFonts w:eastAsia="Times New Roman"/>
          <w:szCs w:val="22"/>
          <w:lang w:val="es-ES" w:eastAsia="en-US"/>
        </w:rPr>
        <w:t xml:space="preserve">.  </w:t>
      </w:r>
      <w:r w:rsidRPr="001B1DCF">
        <w:rPr>
          <w:rFonts w:eastAsia="Times New Roman"/>
          <w:szCs w:val="22"/>
          <w:lang w:val="es-ES" w:eastAsia="en-US"/>
        </w:rPr>
        <w:t xml:space="preserve">Para elaborar el presente documento, se empezó </w:t>
      </w:r>
      <w:r w:rsidR="00052DBE" w:rsidRPr="001B1DCF">
        <w:rPr>
          <w:rFonts w:eastAsia="Times New Roman"/>
          <w:szCs w:val="22"/>
          <w:lang w:val="es-ES" w:eastAsia="en-US"/>
        </w:rPr>
        <w:t xml:space="preserve">utilizando el exhaustivo informe de 2015 y señalando los países que recientemente habían promulgado legislación o nuevas disposiciones.  </w:t>
      </w:r>
      <w:r w:rsidRPr="001B1DCF">
        <w:rPr>
          <w:rFonts w:eastAsia="Times New Roman"/>
          <w:szCs w:val="22"/>
          <w:lang w:val="es-ES" w:eastAsia="en-US"/>
        </w:rPr>
        <w:t xml:space="preserve">A continuación, se llevó a cabo una revisión exhaustiva de los recursos disponibles en </w:t>
      </w:r>
      <w:r w:rsidR="001D1A05" w:rsidRPr="001B1DCF">
        <w:rPr>
          <w:rFonts w:eastAsia="Times New Roman"/>
          <w:szCs w:val="22"/>
          <w:lang w:val="es-ES" w:eastAsia="en-US"/>
        </w:rPr>
        <w:t xml:space="preserve">WIPO </w:t>
      </w:r>
      <w:r w:rsidR="00B57DA7" w:rsidRPr="001B1DCF">
        <w:rPr>
          <w:rFonts w:eastAsia="Times New Roman"/>
          <w:szCs w:val="22"/>
          <w:lang w:val="es-ES" w:eastAsia="en-US"/>
        </w:rPr>
        <w:t xml:space="preserve">Lex, </w:t>
      </w:r>
      <w:r w:rsidRPr="001B1DCF">
        <w:rPr>
          <w:rFonts w:eastAsia="Times New Roman"/>
          <w:szCs w:val="22"/>
          <w:lang w:val="es-ES" w:eastAsia="en-US"/>
        </w:rPr>
        <w:t xml:space="preserve">una fuente inagotable de leyes de propiedad intelectual y </w:t>
      </w:r>
      <w:r w:rsidR="005E6B0A" w:rsidRPr="001B1DCF">
        <w:rPr>
          <w:rFonts w:eastAsia="Times New Roman"/>
          <w:szCs w:val="22"/>
          <w:lang w:val="es-ES" w:eastAsia="en-US"/>
        </w:rPr>
        <w:t xml:space="preserve">de </w:t>
      </w:r>
      <w:r w:rsidRPr="001B1DCF">
        <w:rPr>
          <w:rFonts w:eastAsia="Times New Roman"/>
          <w:szCs w:val="22"/>
          <w:lang w:val="es-ES" w:eastAsia="en-US"/>
        </w:rPr>
        <w:t xml:space="preserve">otros documentos pertenecientes a los Estados miembros de la OMPI </w:t>
      </w:r>
      <w:r w:rsidR="00B57DA7" w:rsidRPr="001B1DCF">
        <w:rPr>
          <w:rFonts w:eastAsia="Times New Roman"/>
          <w:szCs w:val="22"/>
          <w:lang w:val="es-ES" w:eastAsia="en-US"/>
        </w:rPr>
        <w:t>(</w:t>
      </w:r>
      <w:r w:rsidR="009314C8">
        <w:rPr>
          <w:rFonts w:eastAsia="Times New Roman"/>
          <w:szCs w:val="22"/>
          <w:lang w:val="es-ES" w:eastAsia="en-US"/>
        </w:rPr>
        <w:t xml:space="preserve">véase </w:t>
      </w:r>
      <w:hyperlink r:id="rId8">
        <w:r w:rsidRPr="001B1DCF">
          <w:rPr>
            <w:lang w:val="es-ES"/>
          </w:rPr>
          <w:t>http://www.wipo.int/wipolex/es/</w:t>
        </w:r>
      </w:hyperlink>
      <w:r w:rsidRPr="001B1DCF">
        <w:rPr>
          <w:rFonts w:eastAsia="Times New Roman"/>
          <w:szCs w:val="22"/>
          <w:lang w:val="es-ES" w:eastAsia="en-US"/>
        </w:rPr>
        <w:t>)</w:t>
      </w:r>
      <w:r w:rsidR="00B57DA7" w:rsidRPr="001B1DCF">
        <w:rPr>
          <w:rFonts w:eastAsia="Times New Roman"/>
          <w:szCs w:val="22"/>
          <w:lang w:val="es-ES" w:eastAsia="en-US"/>
        </w:rPr>
        <w:t xml:space="preserve">.  </w:t>
      </w:r>
      <w:r w:rsidRPr="001B1DCF">
        <w:rPr>
          <w:rFonts w:eastAsia="Times New Roman"/>
          <w:szCs w:val="22"/>
          <w:lang w:val="es-ES" w:eastAsia="en-US"/>
        </w:rPr>
        <w:t>Los resultados obtenidos median</w:t>
      </w:r>
      <w:r w:rsidR="00ED384D">
        <w:rPr>
          <w:rFonts w:eastAsia="Times New Roman"/>
          <w:szCs w:val="22"/>
          <w:lang w:val="es-ES" w:eastAsia="en-US"/>
        </w:rPr>
        <w:t>te la consulta de WIPO Lex se com</w:t>
      </w:r>
      <w:r w:rsidRPr="001B1DCF">
        <w:rPr>
          <w:rFonts w:eastAsia="Times New Roman"/>
          <w:szCs w:val="22"/>
          <w:lang w:val="es-ES" w:eastAsia="en-US"/>
        </w:rPr>
        <w:t xml:space="preserve">plementaron, sustituyeron o </w:t>
      </w:r>
      <w:r w:rsidR="00E77B27" w:rsidRPr="001B1DCF">
        <w:rPr>
          <w:rFonts w:eastAsia="Times New Roman"/>
          <w:szCs w:val="22"/>
          <w:lang w:val="es-ES" w:eastAsia="en-US"/>
        </w:rPr>
        <w:t xml:space="preserve">verificaron </w:t>
      </w:r>
      <w:r w:rsidRPr="001B1DCF">
        <w:rPr>
          <w:rFonts w:eastAsia="Times New Roman"/>
          <w:szCs w:val="22"/>
          <w:lang w:val="es-ES" w:eastAsia="en-US"/>
        </w:rPr>
        <w:t xml:space="preserve">por medio de un análisis riguroso de la legislación, </w:t>
      </w:r>
      <w:r w:rsidR="00E77B27" w:rsidRPr="001B1DCF">
        <w:rPr>
          <w:rFonts w:eastAsia="Times New Roman"/>
          <w:szCs w:val="22"/>
          <w:lang w:val="es-ES" w:eastAsia="en-US"/>
        </w:rPr>
        <w:t xml:space="preserve">para lo cual se llevaron a cabo </w:t>
      </w:r>
      <w:r w:rsidRPr="001B1DCF">
        <w:rPr>
          <w:rFonts w:eastAsia="Times New Roman"/>
          <w:szCs w:val="22"/>
          <w:lang w:val="es-ES" w:eastAsia="en-US"/>
        </w:rPr>
        <w:t>consultas</w:t>
      </w:r>
      <w:r w:rsidR="00ED384D">
        <w:rPr>
          <w:rFonts w:eastAsia="Times New Roman"/>
          <w:szCs w:val="22"/>
          <w:lang w:val="es-ES" w:eastAsia="en-US"/>
        </w:rPr>
        <w:t xml:space="preserve"> en Internet </w:t>
      </w:r>
      <w:r w:rsidRPr="001B1DCF">
        <w:rPr>
          <w:rFonts w:eastAsia="Times New Roman"/>
          <w:szCs w:val="22"/>
          <w:lang w:val="es-ES" w:eastAsia="en-US"/>
        </w:rPr>
        <w:t xml:space="preserve">y </w:t>
      </w:r>
      <w:r w:rsidR="005E6B0A" w:rsidRPr="001B1DCF">
        <w:rPr>
          <w:rFonts w:eastAsia="Times New Roman"/>
          <w:szCs w:val="22"/>
          <w:lang w:val="es-ES" w:eastAsia="en-US"/>
        </w:rPr>
        <w:t xml:space="preserve">en </w:t>
      </w:r>
      <w:r w:rsidRPr="001B1DCF">
        <w:rPr>
          <w:rFonts w:eastAsia="Times New Roman"/>
          <w:szCs w:val="22"/>
          <w:lang w:val="es-ES" w:eastAsia="en-US"/>
        </w:rPr>
        <w:t>las bases de datos disponibles, visitas a bibliotecas y c</w:t>
      </w:r>
      <w:r w:rsidR="00ED384D">
        <w:rPr>
          <w:rFonts w:eastAsia="Times New Roman"/>
          <w:szCs w:val="22"/>
          <w:lang w:val="es-ES" w:eastAsia="en-US"/>
        </w:rPr>
        <w:t xml:space="preserve">ontactos con oficinas y </w:t>
      </w:r>
      <w:r w:rsidRPr="001B1DCF">
        <w:rPr>
          <w:rFonts w:eastAsia="Times New Roman"/>
          <w:szCs w:val="22"/>
          <w:lang w:val="es-ES" w:eastAsia="en-US"/>
        </w:rPr>
        <w:t>especialistas en derecho de autor de distintos países</w:t>
      </w:r>
      <w:r w:rsidR="00B57DA7" w:rsidRPr="001B1DCF">
        <w:rPr>
          <w:rFonts w:eastAsia="Times New Roman"/>
          <w:szCs w:val="22"/>
          <w:lang w:val="es-ES" w:eastAsia="en-US"/>
        </w:rPr>
        <w:t xml:space="preserve">.  </w:t>
      </w:r>
      <w:r w:rsidRPr="001B1DCF">
        <w:rPr>
          <w:rFonts w:eastAsia="Times New Roman"/>
          <w:szCs w:val="22"/>
          <w:lang w:val="es-ES" w:eastAsia="en-US"/>
        </w:rPr>
        <w:t xml:space="preserve">De hecho, </w:t>
      </w:r>
      <w:r w:rsidR="006366B6" w:rsidRPr="001B1DCF">
        <w:rPr>
          <w:rFonts w:eastAsia="Times New Roman"/>
          <w:szCs w:val="22"/>
          <w:lang w:val="es-ES" w:eastAsia="en-US"/>
        </w:rPr>
        <w:t xml:space="preserve">una vez completados </w:t>
      </w:r>
      <w:r w:rsidRPr="001B1DCF">
        <w:rPr>
          <w:rFonts w:eastAsia="Times New Roman"/>
          <w:szCs w:val="22"/>
          <w:lang w:val="es-ES" w:eastAsia="en-US"/>
        </w:rPr>
        <w:t xml:space="preserve">los pasos descritos, se procedió a contrastar las fuentes consultadas visitando el sitio web de las oficinas de derecho de autor de cada país, </w:t>
      </w:r>
      <w:r w:rsidR="00E7699C" w:rsidRPr="001B1DCF">
        <w:rPr>
          <w:rFonts w:eastAsia="Times New Roman"/>
          <w:szCs w:val="22"/>
          <w:lang w:val="es-ES" w:eastAsia="en-US"/>
        </w:rPr>
        <w:t xml:space="preserve">utilizando principalmente para ello </w:t>
      </w:r>
      <w:r w:rsidRPr="001B1DCF">
        <w:rPr>
          <w:rFonts w:eastAsia="Times New Roman"/>
          <w:szCs w:val="22"/>
          <w:lang w:val="es-ES" w:eastAsia="en-US"/>
        </w:rPr>
        <w:t xml:space="preserve">la guía </w:t>
      </w:r>
      <w:r w:rsidR="00DF0932" w:rsidRPr="001B1DCF">
        <w:rPr>
          <w:rFonts w:eastAsia="Times New Roman"/>
          <w:szCs w:val="22"/>
          <w:lang w:val="es-ES" w:eastAsia="en-US"/>
        </w:rPr>
        <w:t>publicada</w:t>
      </w:r>
      <w:r w:rsidRPr="001B1DCF">
        <w:rPr>
          <w:rFonts w:eastAsia="Times New Roman"/>
          <w:szCs w:val="22"/>
          <w:lang w:val="es-ES" w:eastAsia="en-US"/>
        </w:rPr>
        <w:t xml:space="preserve"> por la OMPI </w:t>
      </w:r>
      <w:r w:rsidR="00B57DA7" w:rsidRPr="001B1DCF">
        <w:rPr>
          <w:rFonts w:eastAsia="Times New Roman"/>
          <w:szCs w:val="22"/>
          <w:lang w:val="es-ES" w:eastAsia="en-US"/>
        </w:rPr>
        <w:t>(</w:t>
      </w:r>
      <w:r w:rsidR="009314C8">
        <w:rPr>
          <w:rFonts w:eastAsia="Times New Roman"/>
          <w:szCs w:val="22"/>
          <w:lang w:val="es-ES" w:eastAsia="en-US"/>
        </w:rPr>
        <w:t>véase</w:t>
      </w:r>
      <w:r w:rsidRPr="001B1DCF">
        <w:rPr>
          <w:rFonts w:eastAsia="Times New Roman"/>
          <w:szCs w:val="22"/>
          <w:lang w:val="es-ES" w:eastAsia="en-US"/>
        </w:rPr>
        <w:t xml:space="preserve"> </w:t>
      </w:r>
      <w:r w:rsidRPr="001B1DCF">
        <w:rPr>
          <w:lang w:val="es-ES"/>
        </w:rPr>
        <w:t>http://www.wipo.int/directory/es/urls.jsp</w:t>
      </w:r>
      <w:r w:rsidR="00B57DA7" w:rsidRPr="001B1DCF">
        <w:rPr>
          <w:lang w:val="es-ES"/>
        </w:rPr>
        <w:t xml:space="preserve">).  </w:t>
      </w:r>
      <w:r w:rsidRPr="001B1DCF">
        <w:rPr>
          <w:lang w:val="es-ES"/>
        </w:rPr>
        <w:t>Por norma general, se ha preferido citar las fuentes</w:t>
      </w:r>
      <w:r w:rsidRPr="001B1DCF">
        <w:rPr>
          <w:rFonts w:eastAsia="Times New Roman"/>
          <w:szCs w:val="22"/>
          <w:lang w:val="es-ES" w:eastAsia="en-US"/>
        </w:rPr>
        <w:t xml:space="preserve"> jurídicas disponibles en </w:t>
      </w:r>
      <w:r w:rsidR="00F630FF" w:rsidRPr="001B1DCF">
        <w:rPr>
          <w:rFonts w:eastAsia="Times New Roman"/>
          <w:szCs w:val="22"/>
          <w:lang w:val="es-ES" w:eastAsia="en-US"/>
        </w:rPr>
        <w:t>WIPO</w:t>
      </w:r>
      <w:r w:rsidR="00B57DA7" w:rsidRPr="001B1DCF">
        <w:rPr>
          <w:rFonts w:eastAsia="Times New Roman"/>
          <w:szCs w:val="22"/>
          <w:lang w:val="es-ES" w:eastAsia="en-US"/>
        </w:rPr>
        <w:t xml:space="preserve"> Lex, </w:t>
      </w:r>
      <w:r w:rsidR="00AA0CCE" w:rsidRPr="001B1DCF">
        <w:rPr>
          <w:rFonts w:eastAsia="Times New Roman"/>
          <w:szCs w:val="22"/>
          <w:lang w:val="es-ES" w:eastAsia="en-US"/>
        </w:rPr>
        <w:t xml:space="preserve">aunque siempre que </w:t>
      </w:r>
      <w:r w:rsidR="00E7699C" w:rsidRPr="001B1DCF">
        <w:rPr>
          <w:rFonts w:eastAsia="Times New Roman"/>
          <w:szCs w:val="22"/>
          <w:lang w:val="es-ES" w:eastAsia="en-US"/>
        </w:rPr>
        <w:t xml:space="preserve">se identificaran </w:t>
      </w:r>
      <w:r w:rsidR="00AA0CCE" w:rsidRPr="001B1DCF">
        <w:rPr>
          <w:rFonts w:eastAsia="Times New Roman"/>
          <w:szCs w:val="22"/>
          <w:lang w:val="es-ES" w:eastAsia="en-US"/>
        </w:rPr>
        <w:t>otras más ap</w:t>
      </w:r>
      <w:r w:rsidR="005E6B0A" w:rsidRPr="001B1DCF">
        <w:rPr>
          <w:rFonts w:eastAsia="Times New Roman"/>
          <w:szCs w:val="22"/>
          <w:lang w:val="es-ES" w:eastAsia="en-US"/>
        </w:rPr>
        <w:t>ropiadas, se optó por incluir éstas</w:t>
      </w:r>
      <w:r w:rsidR="00AA0CCE" w:rsidRPr="001B1DCF">
        <w:rPr>
          <w:rFonts w:eastAsia="Times New Roman"/>
          <w:szCs w:val="22"/>
          <w:lang w:val="es-ES" w:eastAsia="en-US"/>
        </w:rPr>
        <w:t xml:space="preserve"> </w:t>
      </w:r>
      <w:r w:rsidR="00E7699C" w:rsidRPr="001B1DCF">
        <w:rPr>
          <w:rFonts w:eastAsia="Times New Roman"/>
          <w:szCs w:val="22"/>
          <w:lang w:val="es-ES" w:eastAsia="en-US"/>
        </w:rPr>
        <w:t>en su lugar</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DF0C4C" w:rsidP="00B57DA7">
      <w:pPr>
        <w:rPr>
          <w:rFonts w:eastAsia="Times New Roman"/>
          <w:szCs w:val="22"/>
          <w:lang w:val="es-ES" w:eastAsia="en-US"/>
        </w:rPr>
      </w:pPr>
      <w:r w:rsidRPr="001B1DCF">
        <w:rPr>
          <w:rFonts w:eastAsia="Times New Roman"/>
          <w:szCs w:val="22"/>
          <w:lang w:val="es-ES" w:eastAsia="en-US"/>
        </w:rPr>
        <w:t xml:space="preserve">El objetivo de este estudio era </w:t>
      </w:r>
      <w:r w:rsidR="00ED384D">
        <w:rPr>
          <w:rFonts w:eastAsia="Times New Roman"/>
          <w:szCs w:val="22"/>
          <w:lang w:val="es-ES" w:eastAsia="en-US"/>
        </w:rPr>
        <w:t>hallar</w:t>
      </w:r>
      <w:r w:rsidRPr="001B1DCF">
        <w:rPr>
          <w:rFonts w:eastAsia="Times New Roman"/>
          <w:szCs w:val="22"/>
          <w:lang w:val="es-ES" w:eastAsia="en-US"/>
        </w:rPr>
        <w:t xml:space="preserve"> </w:t>
      </w:r>
      <w:r w:rsidR="0089073C" w:rsidRPr="001B1DCF">
        <w:rPr>
          <w:rFonts w:eastAsia="Times New Roman"/>
          <w:szCs w:val="22"/>
          <w:lang w:val="es-ES" w:eastAsia="en-US"/>
        </w:rPr>
        <w:t xml:space="preserve">para cada país </w:t>
      </w:r>
      <w:r w:rsidRPr="001B1DCF">
        <w:rPr>
          <w:rFonts w:eastAsia="Times New Roman"/>
          <w:szCs w:val="22"/>
          <w:lang w:val="es-ES" w:eastAsia="en-US"/>
        </w:rPr>
        <w:t xml:space="preserve">una fuente fiable y actual </w:t>
      </w:r>
      <w:r w:rsidR="0089073C" w:rsidRPr="001B1DCF">
        <w:rPr>
          <w:rFonts w:eastAsia="Times New Roman"/>
          <w:szCs w:val="22"/>
          <w:lang w:val="es-ES" w:eastAsia="en-US"/>
        </w:rPr>
        <w:t xml:space="preserve">de </w:t>
      </w:r>
      <w:r w:rsidRPr="001B1DCF">
        <w:rPr>
          <w:rFonts w:eastAsia="Times New Roman"/>
          <w:szCs w:val="22"/>
          <w:lang w:val="es-ES" w:eastAsia="en-US"/>
        </w:rPr>
        <w:t>las excepciones en favor de las bibliotecas</w:t>
      </w:r>
      <w:r w:rsidR="00B57DA7" w:rsidRPr="001B1DCF">
        <w:rPr>
          <w:rFonts w:eastAsia="Times New Roman"/>
          <w:szCs w:val="22"/>
          <w:lang w:val="es-ES" w:eastAsia="en-US"/>
        </w:rPr>
        <w:t xml:space="preserve">.  </w:t>
      </w:r>
      <w:r w:rsidR="00AA0CCE" w:rsidRPr="001B1DCF">
        <w:rPr>
          <w:rFonts w:eastAsia="Times New Roman"/>
          <w:szCs w:val="22"/>
          <w:lang w:val="es-ES" w:eastAsia="en-US"/>
        </w:rPr>
        <w:t xml:space="preserve">En última instancia, la fuente citada en el informe </w:t>
      </w:r>
      <w:r w:rsidR="00DF0932" w:rsidRPr="001B1DCF">
        <w:rPr>
          <w:rFonts w:eastAsia="Times New Roman"/>
          <w:szCs w:val="22"/>
          <w:lang w:val="es-ES" w:eastAsia="en-US"/>
        </w:rPr>
        <w:t xml:space="preserve">no se corresponde </w:t>
      </w:r>
      <w:r w:rsidR="00AA0CCE" w:rsidRPr="001B1DCF">
        <w:rPr>
          <w:rFonts w:eastAsia="Times New Roman"/>
          <w:szCs w:val="22"/>
          <w:lang w:val="es-ES" w:eastAsia="en-US"/>
        </w:rPr>
        <w:t xml:space="preserve">con la versión “oficial” de la </w:t>
      </w:r>
      <w:r w:rsidR="00ED384D">
        <w:rPr>
          <w:rFonts w:eastAsia="Times New Roman"/>
          <w:szCs w:val="22"/>
          <w:lang w:val="es-ES" w:eastAsia="en-US"/>
        </w:rPr>
        <w:t>legislación</w:t>
      </w:r>
      <w:r w:rsidR="00AA0CCE" w:rsidRPr="001B1DCF">
        <w:rPr>
          <w:rFonts w:eastAsia="Times New Roman"/>
          <w:szCs w:val="22"/>
          <w:lang w:val="es-ES" w:eastAsia="en-US"/>
        </w:rPr>
        <w:t xml:space="preserve"> del país en cuestión</w:t>
      </w:r>
      <w:r w:rsidR="00DF0932" w:rsidRPr="001B1DCF">
        <w:rPr>
          <w:rFonts w:eastAsia="Times New Roman"/>
          <w:szCs w:val="22"/>
          <w:lang w:val="es-ES" w:eastAsia="en-US"/>
        </w:rPr>
        <w:t xml:space="preserve"> en aquellos casos en que</w:t>
      </w:r>
      <w:r w:rsidR="00AA0CCE" w:rsidRPr="001B1DCF">
        <w:rPr>
          <w:rFonts w:eastAsia="Times New Roman"/>
          <w:szCs w:val="22"/>
          <w:lang w:val="es-ES" w:eastAsia="en-US"/>
        </w:rPr>
        <w:t xml:space="preserve"> la fuente </w:t>
      </w:r>
      <w:r w:rsidR="00DF0932" w:rsidRPr="001B1DCF">
        <w:rPr>
          <w:rFonts w:eastAsia="Times New Roman"/>
          <w:szCs w:val="22"/>
          <w:lang w:val="es-ES" w:eastAsia="en-US"/>
        </w:rPr>
        <w:t xml:space="preserve">estuviera </w:t>
      </w:r>
      <w:r w:rsidR="00AA0CCE" w:rsidRPr="001B1DCF">
        <w:rPr>
          <w:rFonts w:eastAsia="Times New Roman"/>
          <w:szCs w:val="22"/>
          <w:lang w:val="es-ES" w:eastAsia="en-US"/>
        </w:rPr>
        <w:t xml:space="preserve">actualizada en lo que respecta a las cuestiones objeto de estudio y </w:t>
      </w:r>
      <w:r w:rsidR="00DF0932" w:rsidRPr="001B1DCF">
        <w:rPr>
          <w:rFonts w:eastAsia="Times New Roman"/>
          <w:szCs w:val="22"/>
          <w:lang w:val="es-ES" w:eastAsia="en-US"/>
        </w:rPr>
        <w:t xml:space="preserve">cuando </w:t>
      </w:r>
      <w:r w:rsidR="00AA0CCE" w:rsidRPr="001B1DCF">
        <w:rPr>
          <w:rFonts w:eastAsia="Times New Roman"/>
          <w:szCs w:val="22"/>
          <w:lang w:val="es-ES" w:eastAsia="en-US"/>
        </w:rPr>
        <w:t xml:space="preserve">tanto la fuente como la traducción </w:t>
      </w:r>
      <w:r w:rsidR="00DF0932" w:rsidRPr="001B1DCF">
        <w:rPr>
          <w:rFonts w:eastAsia="Times New Roman"/>
          <w:szCs w:val="22"/>
          <w:lang w:val="es-ES" w:eastAsia="en-US"/>
        </w:rPr>
        <w:t xml:space="preserve">fueran </w:t>
      </w:r>
      <w:r w:rsidR="00AA0CCE" w:rsidRPr="001B1DCF">
        <w:rPr>
          <w:rFonts w:eastAsia="Times New Roman"/>
          <w:szCs w:val="22"/>
          <w:lang w:val="es-ES" w:eastAsia="en-US"/>
        </w:rPr>
        <w:t>fiables</w:t>
      </w:r>
      <w:r w:rsidR="00B57DA7" w:rsidRPr="001B1DCF">
        <w:rPr>
          <w:rFonts w:eastAsia="Times New Roman"/>
          <w:szCs w:val="22"/>
          <w:lang w:val="es-ES" w:eastAsia="en-US"/>
        </w:rPr>
        <w:t xml:space="preserve">.  </w:t>
      </w:r>
      <w:r w:rsidR="00CF24F5" w:rsidRPr="001B1DCF">
        <w:rPr>
          <w:rFonts w:eastAsia="Times New Roman"/>
          <w:szCs w:val="22"/>
          <w:lang w:val="es-ES" w:eastAsia="en-US"/>
        </w:rPr>
        <w:t xml:space="preserve">Por norma general, se ha optado por buscar textos </w:t>
      </w:r>
      <w:r w:rsidR="008C4493" w:rsidRPr="001B1DCF">
        <w:rPr>
          <w:rFonts w:eastAsia="Times New Roman"/>
          <w:szCs w:val="22"/>
          <w:lang w:val="es-ES" w:eastAsia="en-US"/>
        </w:rPr>
        <w:t xml:space="preserve">ya </w:t>
      </w:r>
      <w:r w:rsidR="00CF24F5" w:rsidRPr="001B1DCF">
        <w:rPr>
          <w:rFonts w:eastAsia="Times New Roman"/>
          <w:szCs w:val="22"/>
          <w:lang w:val="es-ES" w:eastAsia="en-US"/>
        </w:rPr>
        <w:t xml:space="preserve">traducidos al inglés, si bien el investigador podía traducir algunos redactados en </w:t>
      </w:r>
      <w:r w:rsidR="008C4493" w:rsidRPr="001B1DCF">
        <w:rPr>
          <w:rFonts w:eastAsia="Times New Roman"/>
          <w:szCs w:val="22"/>
          <w:lang w:val="es-ES" w:eastAsia="en-US"/>
        </w:rPr>
        <w:t>otros idiomas</w:t>
      </w:r>
      <w:r w:rsidR="00B57DA7" w:rsidRPr="001B1DCF">
        <w:rPr>
          <w:rFonts w:eastAsia="Times New Roman"/>
          <w:szCs w:val="22"/>
          <w:lang w:val="es-ES" w:eastAsia="en-US"/>
        </w:rPr>
        <w:t xml:space="preserve">.  </w:t>
      </w:r>
      <w:r w:rsidR="008C4493" w:rsidRPr="001B1DCF">
        <w:rPr>
          <w:rFonts w:eastAsia="Times New Roman"/>
          <w:szCs w:val="22"/>
          <w:lang w:val="es-ES" w:eastAsia="en-US"/>
        </w:rPr>
        <w:t xml:space="preserve">Otras traducciones se realizaron o verificaron mediante el uso de una herramienta de traducción en WIPO </w:t>
      </w:r>
      <w:r w:rsidR="00B57DA7" w:rsidRPr="001B1DCF">
        <w:rPr>
          <w:rFonts w:eastAsia="Times New Roman"/>
          <w:szCs w:val="22"/>
          <w:lang w:val="es-ES" w:eastAsia="en-US"/>
        </w:rPr>
        <w:t>Lex o</w:t>
      </w:r>
      <w:r w:rsidR="008C4493" w:rsidRPr="001B1DCF">
        <w:rPr>
          <w:rFonts w:eastAsia="Times New Roman"/>
          <w:szCs w:val="22"/>
          <w:lang w:val="es-ES" w:eastAsia="en-US"/>
        </w:rPr>
        <w:t xml:space="preserve"> </w:t>
      </w:r>
      <w:r w:rsidR="00DF0932" w:rsidRPr="001B1DCF">
        <w:rPr>
          <w:rFonts w:eastAsia="Times New Roman"/>
          <w:szCs w:val="22"/>
          <w:lang w:val="es-ES" w:eastAsia="en-US"/>
        </w:rPr>
        <w:t xml:space="preserve">de </w:t>
      </w:r>
      <w:r w:rsidR="00B57DA7" w:rsidRPr="001B1DCF">
        <w:rPr>
          <w:rFonts w:eastAsia="Times New Roman"/>
          <w:szCs w:val="22"/>
          <w:lang w:val="es-ES" w:eastAsia="en-US"/>
        </w:rPr>
        <w:t xml:space="preserve">Google Translate.  </w:t>
      </w:r>
      <w:r w:rsidR="008C4493" w:rsidRPr="001B1DCF">
        <w:rPr>
          <w:rFonts w:eastAsia="Times New Roman"/>
          <w:szCs w:val="22"/>
          <w:lang w:val="es-ES" w:eastAsia="en-US"/>
        </w:rPr>
        <w:t>En algunos casos</w:t>
      </w:r>
      <w:r w:rsidR="00B57DA7" w:rsidRPr="001B1DCF">
        <w:rPr>
          <w:rFonts w:eastAsia="Times New Roman"/>
          <w:szCs w:val="22"/>
          <w:lang w:val="es-ES" w:eastAsia="en-US"/>
        </w:rPr>
        <w:t xml:space="preserve">, </w:t>
      </w:r>
      <w:r w:rsidR="005E6B0A" w:rsidRPr="001B1DCF">
        <w:rPr>
          <w:rFonts w:eastAsia="Times New Roman"/>
          <w:szCs w:val="22"/>
          <w:lang w:val="es-ES" w:eastAsia="en-US"/>
        </w:rPr>
        <w:t xml:space="preserve">se ha contado </w:t>
      </w:r>
      <w:r w:rsidR="008C4493" w:rsidRPr="001B1DCF">
        <w:rPr>
          <w:rFonts w:eastAsia="Times New Roman"/>
          <w:szCs w:val="22"/>
          <w:lang w:val="es-ES" w:eastAsia="en-US"/>
        </w:rPr>
        <w:t>con la generosa aportación de colegas de diversos países</w:t>
      </w:r>
      <w:r w:rsidR="00DF0932" w:rsidRPr="001B1DCF">
        <w:rPr>
          <w:rFonts w:eastAsia="Times New Roman"/>
          <w:szCs w:val="22"/>
          <w:lang w:val="es-ES" w:eastAsia="en-US"/>
        </w:rPr>
        <w:t>,</w:t>
      </w:r>
      <w:r w:rsidR="008C4493" w:rsidRPr="001B1DCF">
        <w:rPr>
          <w:rFonts w:eastAsia="Times New Roman"/>
          <w:szCs w:val="22"/>
          <w:lang w:val="es-ES" w:eastAsia="en-US"/>
        </w:rPr>
        <w:t xml:space="preserve"> </w:t>
      </w:r>
      <w:r w:rsidR="005E6B0A" w:rsidRPr="001B1DCF">
        <w:rPr>
          <w:rFonts w:eastAsia="Times New Roman"/>
          <w:szCs w:val="22"/>
          <w:lang w:val="es-ES" w:eastAsia="en-US"/>
        </w:rPr>
        <w:t xml:space="preserve">quienes han puesto </w:t>
      </w:r>
      <w:r w:rsidR="008C4493" w:rsidRPr="001B1DCF">
        <w:rPr>
          <w:rFonts w:eastAsia="Times New Roman"/>
          <w:szCs w:val="22"/>
          <w:lang w:val="es-ES" w:eastAsia="en-US"/>
        </w:rPr>
        <w:t xml:space="preserve">sus habilidades y conocimientos al </w:t>
      </w:r>
      <w:r w:rsidR="005E6B0A" w:rsidRPr="001B1DCF">
        <w:rPr>
          <w:rFonts w:eastAsia="Times New Roman"/>
          <w:szCs w:val="22"/>
          <w:lang w:val="es-ES" w:eastAsia="en-US"/>
        </w:rPr>
        <w:t xml:space="preserve">servicio del </w:t>
      </w:r>
      <w:r w:rsidR="008C4493" w:rsidRPr="001B1DCF">
        <w:rPr>
          <w:rFonts w:eastAsia="Times New Roman"/>
          <w:szCs w:val="22"/>
          <w:lang w:val="es-ES" w:eastAsia="en-US"/>
        </w:rPr>
        <w:t xml:space="preserve">autor y cuyas importantes contribuciones han quedado plasmadas en los agradecimientos que figuran </w:t>
      </w:r>
      <w:r w:rsidR="00DF0932" w:rsidRPr="001B1DCF">
        <w:rPr>
          <w:rFonts w:eastAsia="Times New Roman"/>
          <w:szCs w:val="22"/>
          <w:lang w:val="es-ES" w:eastAsia="en-US"/>
        </w:rPr>
        <w:t>a continuación</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AF792D" w:rsidP="00B57DA7">
      <w:pPr>
        <w:rPr>
          <w:rFonts w:eastAsia="Times New Roman"/>
          <w:szCs w:val="22"/>
          <w:lang w:val="es-ES" w:eastAsia="en-US"/>
        </w:rPr>
      </w:pPr>
      <w:r w:rsidRPr="001B1DCF">
        <w:rPr>
          <w:rFonts w:eastAsia="Times New Roman"/>
          <w:szCs w:val="22"/>
          <w:lang w:val="es-ES" w:eastAsia="en-US"/>
        </w:rPr>
        <w:t xml:space="preserve">Las leyes </w:t>
      </w:r>
      <w:r w:rsidR="00AA0CCE" w:rsidRPr="001B1DCF">
        <w:rPr>
          <w:rFonts w:eastAsia="Times New Roman"/>
          <w:szCs w:val="22"/>
          <w:lang w:val="es-ES" w:eastAsia="en-US"/>
        </w:rPr>
        <w:t>analizadas se enumeran al término de los cuadros correspondientes a cada país</w:t>
      </w:r>
      <w:r w:rsidR="00703969" w:rsidRPr="001B1DCF">
        <w:rPr>
          <w:rFonts w:eastAsia="Times New Roman"/>
          <w:szCs w:val="22"/>
          <w:lang w:val="es-ES" w:eastAsia="en-US"/>
        </w:rPr>
        <w:t>.  A</w:t>
      </w:r>
      <w:r w:rsidR="00AA0CCE" w:rsidRPr="001B1DCF">
        <w:rPr>
          <w:rFonts w:eastAsia="Times New Roman"/>
          <w:szCs w:val="22"/>
          <w:lang w:val="es-ES" w:eastAsia="en-US"/>
        </w:rPr>
        <w:t xml:space="preserve"> efectos de garantizar la coherencia, se ha editado la puntuación y la ortografía del texto, </w:t>
      </w:r>
      <w:r w:rsidR="005E6B0A" w:rsidRPr="001B1DCF">
        <w:rPr>
          <w:rFonts w:eastAsia="Times New Roman"/>
          <w:szCs w:val="22"/>
          <w:lang w:val="es-ES" w:eastAsia="en-US"/>
        </w:rPr>
        <w:t xml:space="preserve">a excepción </w:t>
      </w:r>
      <w:r w:rsidR="00AA0CCE" w:rsidRPr="001B1DCF">
        <w:rPr>
          <w:rFonts w:eastAsia="Times New Roman"/>
          <w:szCs w:val="22"/>
          <w:lang w:val="es-ES" w:eastAsia="en-US"/>
        </w:rPr>
        <w:t>de los pasajes que aparecen entre comillas</w:t>
      </w:r>
      <w:r w:rsidR="00B57DA7" w:rsidRPr="001B1DCF">
        <w:rPr>
          <w:rFonts w:eastAsia="Times New Roman"/>
          <w:szCs w:val="22"/>
          <w:lang w:val="es-ES" w:eastAsia="en-US"/>
        </w:rPr>
        <w:t xml:space="preserve">.  </w:t>
      </w:r>
      <w:r w:rsidR="00DF0C4C" w:rsidRPr="001B1DCF">
        <w:rPr>
          <w:rFonts w:eastAsia="Times New Roman"/>
          <w:szCs w:val="22"/>
          <w:lang w:val="es-ES" w:eastAsia="en-US"/>
        </w:rPr>
        <w:t xml:space="preserve">Los nombres de país se corresponden con la lista de Estados miembros de la </w:t>
      </w:r>
      <w:r w:rsidR="00371F97" w:rsidRPr="001B1DCF">
        <w:rPr>
          <w:rFonts w:eastAsia="Times New Roman"/>
          <w:szCs w:val="22"/>
          <w:lang w:val="es-ES" w:eastAsia="en-US"/>
        </w:rPr>
        <w:t>OMPI</w:t>
      </w:r>
      <w:r w:rsidR="00B57DA7" w:rsidRPr="001B1DCF">
        <w:rPr>
          <w:rFonts w:eastAsia="Times New Roman"/>
          <w:szCs w:val="22"/>
          <w:lang w:val="es-ES" w:eastAsia="en-US"/>
        </w:rPr>
        <w:t xml:space="preserve"> (</w:t>
      </w:r>
      <w:r w:rsidR="009314C8">
        <w:rPr>
          <w:rFonts w:eastAsia="Times New Roman"/>
          <w:szCs w:val="22"/>
          <w:lang w:val="es-ES" w:eastAsia="en-US"/>
        </w:rPr>
        <w:t>véase</w:t>
      </w:r>
      <w:r w:rsidR="00DF0C4C" w:rsidRPr="001B1DCF">
        <w:rPr>
          <w:rFonts w:eastAsia="Times New Roman"/>
          <w:szCs w:val="22"/>
          <w:lang w:val="es-ES" w:eastAsia="en-US"/>
        </w:rPr>
        <w:t xml:space="preserve"> http://www.wipo.int/members/es</w:t>
      </w:r>
      <w:r w:rsidR="00B57DA7" w:rsidRPr="001B1DCF">
        <w:rPr>
          <w:rFonts w:eastAsia="Times New Roman"/>
          <w:szCs w:val="22"/>
          <w:lang w:val="es-ES" w:eastAsia="en-US"/>
        </w:rPr>
        <w:t xml:space="preserve">).  </w:t>
      </w:r>
      <w:r w:rsidR="00AA0CCE" w:rsidRPr="001B1DCF">
        <w:rPr>
          <w:rFonts w:eastAsia="Times New Roman"/>
          <w:szCs w:val="22"/>
          <w:lang w:val="es-ES" w:eastAsia="en-US"/>
        </w:rPr>
        <w:t>Para todas las fechas se ha empleado el formato día/mes/año</w:t>
      </w:r>
      <w:r w:rsidR="00B57DA7" w:rsidRPr="001B1DCF">
        <w:rPr>
          <w:rFonts w:eastAsia="Times New Roman"/>
          <w:szCs w:val="22"/>
          <w:lang w:val="es-ES" w:eastAsia="en-US"/>
        </w:rPr>
        <w:t xml:space="preserve">.  </w:t>
      </w:r>
      <w:r w:rsidR="00AA0CCE" w:rsidRPr="001B1DCF">
        <w:rPr>
          <w:rFonts w:eastAsia="Times New Roman"/>
          <w:szCs w:val="22"/>
          <w:lang w:val="es-ES" w:eastAsia="en-US"/>
        </w:rPr>
        <w:t xml:space="preserve">En el informe, las fechas que figuran al final de la entrada correspondiente a cada país indican cuándo se </w:t>
      </w:r>
      <w:r w:rsidR="00052DBE" w:rsidRPr="001B1DCF">
        <w:rPr>
          <w:rFonts w:eastAsia="Times New Roman"/>
          <w:szCs w:val="22"/>
          <w:lang w:val="es-ES" w:eastAsia="en-US"/>
        </w:rPr>
        <w:t xml:space="preserve">creó, actualizó, </w:t>
      </w:r>
      <w:r w:rsidR="00AA0CCE" w:rsidRPr="001B1DCF">
        <w:rPr>
          <w:rFonts w:eastAsia="Times New Roman"/>
          <w:szCs w:val="22"/>
          <w:lang w:val="es-ES" w:eastAsia="en-US"/>
        </w:rPr>
        <w:t xml:space="preserve">revisó </w:t>
      </w:r>
      <w:r w:rsidR="00052DBE" w:rsidRPr="001B1DCF">
        <w:rPr>
          <w:rFonts w:eastAsia="Times New Roman"/>
          <w:szCs w:val="22"/>
          <w:lang w:val="es-ES" w:eastAsia="en-US"/>
        </w:rPr>
        <w:t xml:space="preserve">o corrigió </w:t>
      </w:r>
      <w:r w:rsidR="00AA0CCE" w:rsidRPr="001B1DCF">
        <w:rPr>
          <w:rFonts w:eastAsia="Times New Roman"/>
          <w:szCs w:val="22"/>
          <w:lang w:val="es-ES" w:eastAsia="en-US"/>
        </w:rPr>
        <w:t>el cuadro</w:t>
      </w:r>
      <w:r w:rsidR="00B57DA7" w:rsidRPr="001B1DCF">
        <w:rPr>
          <w:rFonts w:eastAsia="Times New Roman"/>
          <w:szCs w:val="22"/>
          <w:lang w:val="es-ES" w:eastAsia="en-US"/>
        </w:rPr>
        <w:t xml:space="preserve">.  </w:t>
      </w:r>
      <w:r w:rsidR="00AA0CCE" w:rsidRPr="001B1DCF">
        <w:rPr>
          <w:rFonts w:eastAsia="Times New Roman"/>
          <w:szCs w:val="22"/>
          <w:lang w:val="es-ES" w:eastAsia="en-US"/>
        </w:rPr>
        <w:t xml:space="preserve">Asimismo, las entradas pueden reflejar fechas anteriores que se corresponden con el momento en que se </w:t>
      </w:r>
      <w:r w:rsidR="00052DBE" w:rsidRPr="001B1DCF">
        <w:rPr>
          <w:rFonts w:eastAsia="Times New Roman"/>
          <w:szCs w:val="22"/>
          <w:lang w:val="es-ES" w:eastAsia="en-US"/>
        </w:rPr>
        <w:t xml:space="preserve">revisaron </w:t>
      </w:r>
      <w:r w:rsidR="00AA0CCE" w:rsidRPr="001B1DCF">
        <w:rPr>
          <w:rFonts w:eastAsia="Times New Roman"/>
          <w:szCs w:val="22"/>
          <w:lang w:val="es-ES" w:eastAsia="en-US"/>
        </w:rPr>
        <w:t xml:space="preserve">los cuadros para su inclusión en </w:t>
      </w:r>
      <w:r w:rsidR="00052DBE" w:rsidRPr="001B1DCF">
        <w:rPr>
          <w:rFonts w:eastAsia="Times New Roman"/>
          <w:szCs w:val="22"/>
          <w:lang w:val="es-ES" w:eastAsia="en-US"/>
        </w:rPr>
        <w:t xml:space="preserve">uno o más de los </w:t>
      </w:r>
      <w:r w:rsidR="00AA0CCE" w:rsidRPr="001B1DCF">
        <w:rPr>
          <w:rFonts w:eastAsia="Times New Roman"/>
          <w:szCs w:val="22"/>
          <w:lang w:val="es-ES" w:eastAsia="en-US"/>
        </w:rPr>
        <w:t>estudios anteriores de la OMPI</w:t>
      </w:r>
      <w:r w:rsidR="00B57DA7" w:rsidRPr="001B1DCF">
        <w:rPr>
          <w:rFonts w:eastAsia="Times New Roman"/>
          <w:szCs w:val="22"/>
          <w:lang w:val="es-ES" w:eastAsia="en-US"/>
        </w:rPr>
        <w:t>.</w:t>
      </w:r>
      <w:r w:rsidR="00052DBE" w:rsidRPr="001B1DCF">
        <w:rPr>
          <w:rFonts w:eastAsia="Times New Roman"/>
          <w:szCs w:val="22"/>
          <w:lang w:val="es-ES" w:eastAsia="en-US"/>
        </w:rPr>
        <w:t xml:space="preserve">  Si la fecha más reciente no corresponde a 2017, eso significa que no se ha visto necesaria en la investigación efectuar revisiones </w:t>
      </w:r>
      <w:r w:rsidR="00ED384D">
        <w:rPr>
          <w:rFonts w:eastAsia="Times New Roman"/>
          <w:szCs w:val="22"/>
          <w:lang w:val="es-ES" w:eastAsia="en-US"/>
        </w:rPr>
        <w:t>en relación con</w:t>
      </w:r>
      <w:r w:rsidR="00052DBE" w:rsidRPr="001B1DCF">
        <w:rPr>
          <w:rFonts w:eastAsia="Times New Roman"/>
          <w:szCs w:val="22"/>
          <w:lang w:val="es-ES" w:eastAsia="en-US"/>
        </w:rPr>
        <w:t xml:space="preserve"> el estudio anterior.</w:t>
      </w:r>
    </w:p>
    <w:p w:rsidR="004E613E" w:rsidRPr="001B1DCF" w:rsidRDefault="004E613E" w:rsidP="00B57DA7">
      <w:pPr>
        <w:rPr>
          <w:rFonts w:eastAsia="Times New Roman"/>
          <w:szCs w:val="22"/>
          <w:lang w:val="es-ES" w:eastAsia="en-US"/>
        </w:rPr>
      </w:pPr>
    </w:p>
    <w:p w:rsidR="00B57DA7" w:rsidRPr="001B1DCF" w:rsidRDefault="00B57DA7" w:rsidP="00F4789C">
      <w:pPr>
        <w:keepNext/>
        <w:keepLines/>
        <w:spacing w:before="240" w:after="60"/>
        <w:outlineLvl w:val="0"/>
        <w:rPr>
          <w:b/>
          <w:bCs/>
          <w:caps/>
          <w:kern w:val="32"/>
          <w:szCs w:val="32"/>
          <w:lang w:val="es-ES" w:eastAsia="en-US"/>
        </w:rPr>
      </w:pPr>
      <w:bookmarkStart w:id="11" w:name="_Toc421800682"/>
      <w:r w:rsidRPr="001B1DCF">
        <w:rPr>
          <w:b/>
          <w:bCs/>
          <w:caps/>
          <w:kern w:val="32"/>
          <w:szCs w:val="32"/>
          <w:lang w:val="es-ES" w:eastAsia="en-US"/>
        </w:rPr>
        <w:lastRenderedPageBreak/>
        <w:t>A</w:t>
      </w:r>
      <w:r w:rsidR="00E16949" w:rsidRPr="001B1DCF">
        <w:rPr>
          <w:b/>
          <w:bCs/>
          <w:caps/>
          <w:kern w:val="32"/>
          <w:szCs w:val="32"/>
          <w:lang w:val="es-ES" w:eastAsia="en-US"/>
        </w:rPr>
        <w:t>GRADECIMIENTOS</w:t>
      </w:r>
      <w:bookmarkEnd w:id="11"/>
    </w:p>
    <w:p w:rsidR="00B57DA7" w:rsidRPr="001B1DCF" w:rsidRDefault="00B57DA7" w:rsidP="00F4789C">
      <w:pPr>
        <w:keepNext/>
        <w:keepLines/>
        <w:rPr>
          <w:rFonts w:eastAsia="Times New Roman"/>
          <w:szCs w:val="22"/>
          <w:lang w:val="es-ES" w:eastAsia="en-US"/>
        </w:rPr>
      </w:pPr>
    </w:p>
    <w:p w:rsidR="00B57DA7" w:rsidRPr="001B1DCF" w:rsidRDefault="00F630FF" w:rsidP="00F4789C">
      <w:pPr>
        <w:keepNext/>
        <w:keepLines/>
        <w:rPr>
          <w:rFonts w:eastAsia="Times New Roman"/>
          <w:szCs w:val="22"/>
          <w:lang w:val="es-ES" w:eastAsia="en-US"/>
        </w:rPr>
      </w:pPr>
      <w:r w:rsidRPr="001B1DCF">
        <w:rPr>
          <w:rFonts w:eastAsia="Times New Roman"/>
          <w:szCs w:val="22"/>
          <w:lang w:val="es-ES" w:eastAsia="en-US"/>
        </w:rPr>
        <w:t>El presente estudio no habría sido posible sin el apoyo recibido de colegas de todo el mundo</w:t>
      </w:r>
      <w:r w:rsidR="00B57DA7" w:rsidRPr="001B1DCF">
        <w:rPr>
          <w:rFonts w:eastAsia="Times New Roman"/>
          <w:szCs w:val="22"/>
          <w:lang w:val="es-ES" w:eastAsia="en-US"/>
        </w:rPr>
        <w:t xml:space="preserve">.  </w:t>
      </w:r>
      <w:r w:rsidR="00AF792D" w:rsidRPr="001B1DCF">
        <w:rPr>
          <w:rFonts w:eastAsia="Times New Roman"/>
          <w:szCs w:val="22"/>
          <w:lang w:val="es-ES" w:eastAsia="en-US"/>
        </w:rPr>
        <w:t xml:space="preserve">Quiero dar las gracias en especial a los siguientes expertos, </w:t>
      </w:r>
      <w:r w:rsidR="005E6B0A" w:rsidRPr="001B1DCF">
        <w:rPr>
          <w:rFonts w:eastAsia="Times New Roman"/>
          <w:szCs w:val="22"/>
          <w:lang w:val="es-ES" w:eastAsia="en-US"/>
        </w:rPr>
        <w:t>que</w:t>
      </w:r>
      <w:r w:rsidR="00AF792D" w:rsidRPr="001B1DCF">
        <w:rPr>
          <w:rFonts w:eastAsia="Times New Roman"/>
          <w:szCs w:val="22"/>
          <w:lang w:val="es-ES" w:eastAsia="en-US"/>
        </w:rPr>
        <w:t xml:space="preserve"> en el transcurso de los últimos años han aportado generosamente los conocimientos y la información que han servido para elaborar e</w:t>
      </w:r>
      <w:r w:rsidR="00ED384D">
        <w:rPr>
          <w:rFonts w:eastAsia="Times New Roman"/>
          <w:szCs w:val="22"/>
          <w:lang w:val="es-ES" w:eastAsia="en-US"/>
        </w:rPr>
        <w:t>l</w:t>
      </w:r>
      <w:r w:rsidR="00AF792D" w:rsidRPr="001B1DCF">
        <w:rPr>
          <w:rFonts w:eastAsia="Times New Roman"/>
          <w:szCs w:val="22"/>
          <w:lang w:val="es-ES" w:eastAsia="en-US"/>
        </w:rPr>
        <w:t xml:space="preserve"> estudio</w:t>
      </w:r>
      <w:r w:rsidR="00B57DA7" w:rsidRPr="001B1DCF">
        <w:rPr>
          <w:rFonts w:eastAsia="Times New Roman"/>
          <w:szCs w:val="22"/>
          <w:lang w:val="es-ES" w:eastAsia="en-US"/>
        </w:rPr>
        <w:t>.</w:t>
      </w:r>
    </w:p>
    <w:p w:rsidR="00B57DA7" w:rsidRPr="001B1DCF" w:rsidRDefault="00B57DA7" w:rsidP="00F4789C">
      <w:pPr>
        <w:keepNext/>
        <w:keepLines/>
        <w:rPr>
          <w:rFonts w:eastAsia="Times New Roman"/>
          <w:szCs w:val="22"/>
          <w:lang w:val="es-ES" w:eastAsia="en-US"/>
        </w:rPr>
      </w:pPr>
    </w:p>
    <w:p w:rsidR="00B57DA7" w:rsidRPr="001B1DCF" w:rsidRDefault="00B57DA7" w:rsidP="00F4789C">
      <w:pPr>
        <w:keepNext/>
        <w:keepLines/>
        <w:rPr>
          <w:rFonts w:eastAsia="Times New Roman"/>
          <w:szCs w:val="22"/>
          <w:lang w:val="es-ES" w:eastAsia="en-US"/>
        </w:rPr>
      </w:pPr>
      <w:r w:rsidRPr="001B1DCF">
        <w:rPr>
          <w:rFonts w:eastAsia="Times New Roman"/>
          <w:szCs w:val="22"/>
          <w:lang w:val="es-ES" w:eastAsia="en-US"/>
        </w:rPr>
        <w:t xml:space="preserve">Noureddine Ahmidouch, </w:t>
      </w:r>
      <w:r w:rsidR="002E5E1C" w:rsidRPr="001B1DCF">
        <w:rPr>
          <w:rFonts w:eastAsia="Times New Roman"/>
          <w:szCs w:val="22"/>
          <w:lang w:val="es-ES" w:eastAsia="en-US"/>
        </w:rPr>
        <w:t>OMPI</w:t>
      </w:r>
    </w:p>
    <w:p w:rsidR="00B57DA7" w:rsidRPr="001B1DCF" w:rsidRDefault="00B57DA7" w:rsidP="00F4789C">
      <w:pPr>
        <w:keepNext/>
        <w:keepLines/>
        <w:rPr>
          <w:rFonts w:eastAsia="Times New Roman"/>
          <w:szCs w:val="22"/>
          <w:lang w:val="es-ES" w:eastAsia="en-US"/>
        </w:rPr>
      </w:pPr>
      <w:r w:rsidRPr="001B1DCF">
        <w:rPr>
          <w:rFonts w:eastAsia="Times New Roman"/>
          <w:szCs w:val="22"/>
          <w:lang w:val="es-ES" w:eastAsia="en-US"/>
        </w:rPr>
        <w:t>Shayea Alshayea, Arabia</w:t>
      </w:r>
      <w:r w:rsidR="002E5E1C" w:rsidRPr="001B1DCF">
        <w:rPr>
          <w:rFonts w:eastAsia="Times New Roman"/>
          <w:szCs w:val="22"/>
          <w:lang w:val="es-ES" w:eastAsia="en-US"/>
        </w:rPr>
        <w:t xml:space="preserve"> Saudita</w:t>
      </w:r>
    </w:p>
    <w:p w:rsidR="00B57DA7" w:rsidRPr="001B1DCF" w:rsidRDefault="00B57DA7" w:rsidP="00F4789C">
      <w:pPr>
        <w:keepNext/>
        <w:keepLines/>
        <w:rPr>
          <w:rFonts w:eastAsia="Times New Roman"/>
          <w:szCs w:val="22"/>
          <w:lang w:val="es-ES" w:eastAsia="en-US"/>
        </w:rPr>
      </w:pPr>
      <w:r w:rsidRPr="001B1DCF">
        <w:rPr>
          <w:rFonts w:eastAsia="Times New Roman"/>
          <w:szCs w:val="22"/>
          <w:lang w:val="es-ES" w:eastAsia="en-US"/>
        </w:rPr>
        <w:t>Nomintuya Baasankhuu, Mongolia</w:t>
      </w:r>
    </w:p>
    <w:p w:rsidR="00A76D2F" w:rsidRPr="001B1DCF" w:rsidRDefault="00A76D2F" w:rsidP="00F4789C">
      <w:pPr>
        <w:keepNext/>
        <w:keepLines/>
        <w:rPr>
          <w:rFonts w:eastAsia="Times New Roman"/>
          <w:szCs w:val="22"/>
          <w:lang w:val="es-ES" w:eastAsia="en-US"/>
        </w:rPr>
      </w:pPr>
      <w:r w:rsidRPr="001B1DCF">
        <w:rPr>
          <w:rFonts w:eastAsia="Times New Roman"/>
          <w:szCs w:val="22"/>
          <w:lang w:val="es-ES" w:eastAsia="en-US"/>
        </w:rPr>
        <w:t>Seangill Peter Bae, Estados Unidos de América</w:t>
      </w:r>
    </w:p>
    <w:p w:rsidR="00B57DA7" w:rsidRPr="001B1DCF" w:rsidRDefault="002E5E1C" w:rsidP="00F4789C">
      <w:pPr>
        <w:keepNext/>
        <w:keepLines/>
        <w:rPr>
          <w:rFonts w:eastAsia="Times New Roman"/>
          <w:szCs w:val="22"/>
          <w:lang w:val="es-ES" w:eastAsia="en-US"/>
        </w:rPr>
      </w:pPr>
      <w:r w:rsidRPr="001B1DCF">
        <w:rPr>
          <w:rFonts w:eastAsia="Times New Roman"/>
          <w:szCs w:val="22"/>
          <w:lang w:val="es-ES" w:eastAsia="en-US"/>
        </w:rPr>
        <w:t>Emilija Banionytė, Lit</w:t>
      </w:r>
      <w:r w:rsidR="00B57DA7" w:rsidRPr="001B1DCF">
        <w:rPr>
          <w:rFonts w:eastAsia="Times New Roman"/>
          <w:szCs w:val="22"/>
          <w:lang w:val="es-ES" w:eastAsia="en-US"/>
        </w:rPr>
        <w:t>uania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Alexandra Bhattacharya, Bangladesh</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Maja Bogataj Jančič, </w:t>
      </w:r>
      <w:r w:rsidR="002E5E1C" w:rsidRPr="001B1DCF">
        <w:rPr>
          <w:rFonts w:eastAsia="Times New Roman"/>
          <w:szCs w:val="22"/>
          <w:lang w:val="es-ES" w:eastAsia="en-US"/>
        </w:rPr>
        <w:t>Es</w:t>
      </w:r>
      <w:r w:rsidRPr="001B1DCF">
        <w:rPr>
          <w:rFonts w:eastAsia="Times New Roman"/>
          <w:szCs w:val="22"/>
          <w:lang w:val="es-ES" w:eastAsia="en-US"/>
        </w:rPr>
        <w:t>lovenia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Vicky Breemen, </w:t>
      </w:r>
      <w:r w:rsidR="002E5E1C" w:rsidRPr="001B1DCF">
        <w:rPr>
          <w:rFonts w:eastAsia="Times New Roman"/>
          <w:szCs w:val="22"/>
          <w:lang w:val="es-ES" w:eastAsia="en-US"/>
        </w:rPr>
        <w:t>Países Bajos</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Ana Budimir, </w:t>
      </w:r>
      <w:r w:rsidR="002E5E1C" w:rsidRPr="001B1DCF">
        <w:rPr>
          <w:rFonts w:eastAsia="Times New Roman"/>
          <w:szCs w:val="22"/>
          <w:lang w:val="es-ES" w:eastAsia="en-US"/>
        </w:rPr>
        <w:t>Es</w:t>
      </w:r>
      <w:r w:rsidRPr="001B1DCF">
        <w:rPr>
          <w:rFonts w:eastAsia="Times New Roman"/>
          <w:szCs w:val="22"/>
          <w:lang w:val="es-ES" w:eastAsia="en-US"/>
        </w:rPr>
        <w:t>lovenia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Diane Chadarevian, </w:t>
      </w:r>
      <w:r w:rsidR="002E5E1C" w:rsidRPr="001B1DCF">
        <w:rPr>
          <w:rFonts w:eastAsia="Times New Roman"/>
          <w:szCs w:val="22"/>
          <w:lang w:val="es-ES" w:eastAsia="en-US"/>
        </w:rPr>
        <w:t>OMPI</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Aisulu Chubarova, Kirguistán</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Jessica Coates, Australia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Hasmik Galstyan, Armenia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Teresa Hackett, Irlanda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Christina Hambaryan, Armenia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Amr Hammad, Egipto</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 xml:space="preserve">Mariana Harjevschi, </w:t>
      </w:r>
      <w:r w:rsidR="007A001A" w:rsidRPr="001B1DCF">
        <w:rPr>
          <w:rFonts w:eastAsia="Times New Roman"/>
          <w:szCs w:val="22"/>
          <w:lang w:val="es-ES" w:eastAsia="en-US"/>
        </w:rPr>
        <w:t xml:space="preserve">República de </w:t>
      </w:r>
      <w:r w:rsidRPr="001B1DCF">
        <w:rPr>
          <w:rFonts w:eastAsia="Times New Roman"/>
          <w:szCs w:val="22"/>
          <w:lang w:val="es-ES" w:eastAsia="en-US"/>
        </w:rPr>
        <w:t>Moldova</w:t>
      </w:r>
    </w:p>
    <w:p w:rsidR="00B57DA7" w:rsidRPr="001B1DCF" w:rsidRDefault="00B57DA7" w:rsidP="00A76D2F">
      <w:pPr>
        <w:rPr>
          <w:rFonts w:eastAsia="Times New Roman"/>
          <w:szCs w:val="22"/>
          <w:lang w:val="es-ES" w:eastAsia="en-US"/>
        </w:rPr>
      </w:pPr>
      <w:r w:rsidRPr="001B1DCF">
        <w:rPr>
          <w:rFonts w:eastAsia="Times New Roman"/>
          <w:szCs w:val="22"/>
          <w:lang w:val="es-ES" w:eastAsia="en-US"/>
        </w:rPr>
        <w:t>Nina Hekau, Niue</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Trish Hempworth, Australia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Jos</w:t>
      </w:r>
      <w:r w:rsidR="002E5E1C" w:rsidRPr="001B1DCF">
        <w:rPr>
          <w:rFonts w:eastAsia="Times New Roman"/>
          <w:szCs w:val="22"/>
          <w:lang w:val="es-ES" w:eastAsia="en-US"/>
        </w:rPr>
        <w:t>é</w:t>
      </w:r>
      <w:r w:rsidRPr="001B1DCF">
        <w:rPr>
          <w:rFonts w:eastAsia="Times New Roman"/>
          <w:szCs w:val="22"/>
          <w:lang w:val="es-ES" w:eastAsia="en-US"/>
        </w:rPr>
        <w:t xml:space="preserve"> Roberto Herrera D</w:t>
      </w:r>
      <w:r w:rsidR="002E5E1C" w:rsidRPr="001B1DCF">
        <w:rPr>
          <w:rFonts w:eastAsia="Times New Roman"/>
          <w:szCs w:val="22"/>
          <w:lang w:val="es-ES" w:eastAsia="en-US"/>
        </w:rPr>
        <w:t>í</w:t>
      </w:r>
      <w:r w:rsidRPr="001B1DCF">
        <w:rPr>
          <w:rFonts w:eastAsia="Times New Roman"/>
          <w:szCs w:val="22"/>
          <w:lang w:val="es-ES" w:eastAsia="en-US"/>
        </w:rPr>
        <w:t>az, Colombia</w:t>
      </w:r>
    </w:p>
    <w:p w:rsidR="00A76D2F" w:rsidRPr="001B1DCF" w:rsidRDefault="00A76D2F" w:rsidP="00B57DA7">
      <w:pPr>
        <w:rPr>
          <w:rFonts w:eastAsia="Times New Roman"/>
          <w:szCs w:val="22"/>
          <w:lang w:val="es-ES" w:eastAsia="en-US"/>
        </w:rPr>
      </w:pPr>
      <w:r w:rsidRPr="001B1DCF">
        <w:rPr>
          <w:rFonts w:eastAsia="Times New Roman"/>
          <w:szCs w:val="22"/>
          <w:lang w:val="es-ES" w:eastAsia="en-US"/>
        </w:rPr>
        <w:t xml:space="preserve">Oliver Hinte, </w:t>
      </w:r>
      <w:r w:rsidR="007A001A" w:rsidRPr="001B1DCF">
        <w:rPr>
          <w:rFonts w:eastAsia="Times New Roman"/>
          <w:szCs w:val="22"/>
          <w:lang w:val="es-ES" w:eastAsia="en-US"/>
        </w:rPr>
        <w:t>Alemania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Peter Hirtle, </w:t>
      </w:r>
      <w:r w:rsidR="002E5E1C" w:rsidRPr="001B1DCF">
        <w:rPr>
          <w:rFonts w:eastAsia="Times New Roman"/>
          <w:szCs w:val="22"/>
          <w:lang w:val="es-ES" w:eastAsia="en-US"/>
        </w:rPr>
        <w:t>Estados Unidos de América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Susan Isiko Strba, S</w:t>
      </w:r>
      <w:r w:rsidR="002E5E1C" w:rsidRPr="001B1DCF">
        <w:rPr>
          <w:rFonts w:eastAsia="Times New Roman"/>
          <w:szCs w:val="22"/>
          <w:lang w:val="es-ES" w:eastAsia="en-US"/>
        </w:rPr>
        <w:t>uiza</w:t>
      </w:r>
    </w:p>
    <w:p w:rsidR="00A76D2F" w:rsidRPr="001B1DCF" w:rsidRDefault="00A76D2F" w:rsidP="00B57DA7">
      <w:pPr>
        <w:rPr>
          <w:rFonts w:eastAsia="Times New Roman"/>
          <w:szCs w:val="22"/>
          <w:lang w:val="es-ES" w:eastAsia="en-US"/>
        </w:rPr>
      </w:pPr>
      <w:r w:rsidRPr="001B1DCF">
        <w:rPr>
          <w:rFonts w:eastAsia="Times New Roman"/>
          <w:szCs w:val="22"/>
          <w:lang w:val="es-ES" w:eastAsia="en-US"/>
        </w:rPr>
        <w:t>Prudence Jahja, Indonesia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Ibrahim H</w:t>
      </w:r>
      <w:r w:rsidR="00703969" w:rsidRPr="001B1DCF">
        <w:rPr>
          <w:rFonts w:eastAsia="Times New Roman"/>
          <w:szCs w:val="22"/>
          <w:lang w:val="es-ES" w:eastAsia="en-US"/>
        </w:rPr>
        <w:t>. J</w:t>
      </w:r>
      <w:r w:rsidRPr="001B1DCF">
        <w:rPr>
          <w:rFonts w:eastAsia="Times New Roman"/>
          <w:szCs w:val="22"/>
          <w:lang w:val="es-ES" w:eastAsia="en-US"/>
        </w:rPr>
        <w:t xml:space="preserve">ama, </w:t>
      </w:r>
      <w:r w:rsidR="002E5E1C" w:rsidRPr="001B1DCF">
        <w:rPr>
          <w:rFonts w:eastAsia="Times New Roman"/>
          <w:szCs w:val="22"/>
          <w:lang w:val="es-ES" w:eastAsia="en-US"/>
        </w:rPr>
        <w:t>Reino Unido</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Mickael le Borloch, Francia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Jukka Liedes, Finland</w:t>
      </w:r>
      <w:r w:rsidR="002E5E1C" w:rsidRPr="001B1DCF">
        <w:rPr>
          <w:rFonts w:eastAsia="Times New Roman"/>
          <w:szCs w:val="22"/>
          <w:lang w:val="es-ES" w:eastAsia="en-US"/>
        </w:rPr>
        <w:t>ia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Enrique Martínez Guzmán, Guatemala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Harald Müller, Alemania</w:t>
      </w:r>
    </w:p>
    <w:p w:rsidR="00A76D2F" w:rsidRPr="001B1DCF" w:rsidRDefault="00A76D2F" w:rsidP="00A76D2F">
      <w:pPr>
        <w:rPr>
          <w:rFonts w:eastAsia="Times New Roman"/>
          <w:szCs w:val="22"/>
          <w:lang w:val="es-ES" w:eastAsia="en-US"/>
        </w:rPr>
      </w:pPr>
      <w:r w:rsidRPr="001B1DCF">
        <w:rPr>
          <w:rFonts w:eastAsia="Times New Roman"/>
          <w:szCs w:val="22"/>
          <w:lang w:val="es-ES" w:eastAsia="en-US"/>
        </w:rPr>
        <w:t>Zeinab Mustafa, República Árabe Siria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Dana Neascu, </w:t>
      </w:r>
      <w:r w:rsidR="002E5E1C" w:rsidRPr="001B1DCF">
        <w:rPr>
          <w:rFonts w:eastAsia="Times New Roman"/>
          <w:szCs w:val="22"/>
          <w:lang w:val="es-ES" w:eastAsia="en-US"/>
        </w:rPr>
        <w:t>Estados Unidos de América</w:t>
      </w:r>
    </w:p>
    <w:p w:rsidR="00B57DA7" w:rsidRPr="001B1DCF" w:rsidRDefault="002E5E1C" w:rsidP="00B57DA7">
      <w:pPr>
        <w:rPr>
          <w:rFonts w:eastAsia="Times New Roman"/>
          <w:szCs w:val="22"/>
          <w:lang w:val="es-ES" w:eastAsia="en-US"/>
        </w:rPr>
      </w:pPr>
      <w:r w:rsidRPr="001B1DCF">
        <w:rPr>
          <w:rFonts w:eastAsia="Times New Roman"/>
          <w:bCs/>
          <w:szCs w:val="22"/>
          <w:lang w:val="es-ES" w:eastAsia="en-US"/>
        </w:rPr>
        <w:t>Denise Nicholson, Sudá</w:t>
      </w:r>
      <w:r w:rsidR="00B57DA7" w:rsidRPr="001B1DCF">
        <w:rPr>
          <w:rFonts w:eastAsia="Times New Roman"/>
          <w:bCs/>
          <w:szCs w:val="22"/>
          <w:lang w:val="es-ES" w:eastAsia="en-US"/>
        </w:rPr>
        <w:t>frica</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Victoria Owen, Canadá</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Ron Pinder, Bahamas</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Behrooz Rasuli, Irá</w:t>
      </w:r>
      <w:r w:rsidR="00B57DA7" w:rsidRPr="001B1DCF">
        <w:rPr>
          <w:rFonts w:eastAsia="Times New Roman"/>
          <w:szCs w:val="22"/>
          <w:lang w:val="es-ES" w:eastAsia="en-US"/>
        </w:rPr>
        <w:t>n (</w:t>
      </w:r>
      <w:r w:rsidRPr="001B1DCF">
        <w:rPr>
          <w:rFonts w:eastAsia="Times New Roman"/>
          <w:szCs w:val="22"/>
          <w:lang w:val="es-ES" w:eastAsia="en-US"/>
        </w:rPr>
        <w:t>República Islámica del</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Maria Rehbinder, Finland</w:t>
      </w:r>
      <w:r w:rsidR="002E5E1C" w:rsidRPr="001B1DCF">
        <w:rPr>
          <w:rFonts w:eastAsia="Times New Roman"/>
          <w:szCs w:val="22"/>
          <w:lang w:val="es-ES" w:eastAsia="en-US"/>
        </w:rPr>
        <w:t>ia</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Jerker Ryden, Suecia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Elbashier Sahal, Sud</w:t>
      </w:r>
      <w:r w:rsidR="002E5E1C" w:rsidRPr="001B1DCF">
        <w:rPr>
          <w:rFonts w:eastAsia="Times New Roman"/>
          <w:szCs w:val="22"/>
          <w:lang w:val="es-ES" w:eastAsia="en-US"/>
        </w:rPr>
        <w:t>á</w:t>
      </w:r>
      <w:r w:rsidRPr="001B1DCF">
        <w:rPr>
          <w:rFonts w:eastAsia="Times New Roman"/>
          <w:szCs w:val="22"/>
          <w:lang w:val="es-ES" w:eastAsia="en-US"/>
        </w:rPr>
        <w:t>n</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Sangeeta Shashikant, Bangladesh</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Irina Shurmina, </w:t>
      </w:r>
      <w:r w:rsidR="002E5E1C" w:rsidRPr="001B1DCF">
        <w:rPr>
          <w:rFonts w:eastAsia="Times New Roman"/>
          <w:szCs w:val="22"/>
          <w:lang w:val="es-ES" w:eastAsia="en-US"/>
        </w:rPr>
        <w:t>Federación de Rusia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Barbara Stratton, </w:t>
      </w:r>
      <w:r w:rsidR="002E5E1C" w:rsidRPr="001B1DCF">
        <w:rPr>
          <w:rFonts w:eastAsia="Times New Roman"/>
          <w:szCs w:val="22"/>
          <w:lang w:val="es-ES" w:eastAsia="en-US"/>
        </w:rPr>
        <w:t>Reino Unido</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Tatiana Synodinou, Chipre</w:t>
      </w:r>
    </w:p>
    <w:p w:rsidR="00B57DA7" w:rsidRPr="001B1DCF" w:rsidRDefault="002E5E1C" w:rsidP="00B57DA7">
      <w:pPr>
        <w:rPr>
          <w:rFonts w:eastAsia="Times New Roman"/>
          <w:szCs w:val="22"/>
          <w:lang w:val="es-ES" w:eastAsia="en-US"/>
        </w:rPr>
      </w:pPr>
      <w:r w:rsidRPr="001B1DCF">
        <w:rPr>
          <w:rFonts w:eastAsia="Times New Roman"/>
          <w:szCs w:val="22"/>
          <w:lang w:val="es-ES" w:eastAsia="en-US"/>
        </w:rPr>
        <w:t>Barbara Szczepanska, Polonia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Gretel Villafranca de Tejada, Cuba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Harald von Hielmcrone, D</w:t>
      </w:r>
      <w:r w:rsidR="002E5E1C" w:rsidRPr="001B1DCF">
        <w:rPr>
          <w:rFonts w:eastAsia="Times New Roman"/>
          <w:szCs w:val="22"/>
          <w:lang w:val="es-ES" w:eastAsia="en-US"/>
        </w:rPr>
        <w:t>inamarca</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Benjamin White, </w:t>
      </w:r>
      <w:r w:rsidR="002E5E1C" w:rsidRPr="001B1DCF">
        <w:rPr>
          <w:rFonts w:eastAsia="Times New Roman"/>
          <w:szCs w:val="22"/>
          <w:lang w:val="es-ES" w:eastAsia="en-US"/>
        </w:rPr>
        <w:t>Reino Unido</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Pavel Zeman, </w:t>
      </w:r>
      <w:r w:rsidR="002E5E1C" w:rsidRPr="001B1DCF">
        <w:rPr>
          <w:rFonts w:eastAsia="Times New Roman"/>
          <w:szCs w:val="22"/>
          <w:lang w:val="es-ES" w:eastAsia="en-US"/>
        </w:rPr>
        <w:t>República Checa</w:t>
      </w:r>
    </w:p>
    <w:p w:rsidR="00B57DA7" w:rsidRPr="001B1DCF" w:rsidRDefault="00B57DA7" w:rsidP="00B57DA7">
      <w:pPr>
        <w:rPr>
          <w:rFonts w:eastAsia="Times New Roman"/>
          <w:szCs w:val="22"/>
          <w:lang w:val="es-ES" w:eastAsia="en-US"/>
        </w:rPr>
      </w:pPr>
    </w:p>
    <w:p w:rsidR="00B57DA7" w:rsidRPr="001B1DCF" w:rsidRDefault="00AA0CCE" w:rsidP="00B57DA7">
      <w:pPr>
        <w:rPr>
          <w:rFonts w:eastAsia="Times New Roman"/>
          <w:szCs w:val="22"/>
          <w:lang w:val="es-ES" w:eastAsia="en-US"/>
        </w:rPr>
      </w:pPr>
      <w:r w:rsidRPr="001B1DCF">
        <w:rPr>
          <w:rFonts w:eastAsia="Times New Roman"/>
          <w:szCs w:val="22"/>
          <w:lang w:val="es-ES" w:eastAsia="en-US"/>
        </w:rPr>
        <w:lastRenderedPageBreak/>
        <w:t>La aportación de los colegas de la OMPI ha sido decisiva para hacer posible este estudio y dotarlo de un carácter exhaustivo</w:t>
      </w:r>
      <w:r w:rsidR="00B57DA7" w:rsidRPr="001B1DCF">
        <w:rPr>
          <w:rFonts w:eastAsia="Times New Roman"/>
          <w:szCs w:val="22"/>
          <w:lang w:val="es-ES" w:eastAsia="en-US"/>
        </w:rPr>
        <w:t xml:space="preserve">.  </w:t>
      </w:r>
      <w:r w:rsidR="00AF792D" w:rsidRPr="001B1DCF">
        <w:rPr>
          <w:rFonts w:eastAsia="Times New Roman"/>
          <w:szCs w:val="22"/>
          <w:lang w:val="es-ES" w:eastAsia="en-US"/>
        </w:rPr>
        <w:t>En los últimos años, WIPO</w:t>
      </w:r>
      <w:r w:rsidR="00B57DA7" w:rsidRPr="001B1DCF">
        <w:rPr>
          <w:rFonts w:eastAsia="Times New Roman"/>
          <w:szCs w:val="22"/>
          <w:lang w:val="es-ES" w:eastAsia="en-US"/>
        </w:rPr>
        <w:t xml:space="preserve"> Lex </w:t>
      </w:r>
      <w:r w:rsidR="00AF792D" w:rsidRPr="001B1DCF">
        <w:rPr>
          <w:rFonts w:eastAsia="Times New Roman"/>
          <w:szCs w:val="22"/>
          <w:lang w:val="es-ES" w:eastAsia="en-US"/>
        </w:rPr>
        <w:t xml:space="preserve">ha </w:t>
      </w:r>
      <w:r w:rsidR="00052DBE" w:rsidRPr="001B1DCF">
        <w:rPr>
          <w:rFonts w:eastAsia="Times New Roman"/>
          <w:szCs w:val="22"/>
          <w:lang w:val="es-ES" w:eastAsia="en-US"/>
        </w:rPr>
        <w:t xml:space="preserve">evolucionado de manera constante y rápida hasta convertirse </w:t>
      </w:r>
      <w:r w:rsidR="00AF792D" w:rsidRPr="001B1DCF">
        <w:rPr>
          <w:rFonts w:eastAsia="Times New Roman"/>
          <w:szCs w:val="22"/>
          <w:lang w:val="es-ES" w:eastAsia="en-US"/>
        </w:rPr>
        <w:t xml:space="preserve">en una base de datos extraordinaria </w:t>
      </w:r>
      <w:r w:rsidRPr="001B1DCF">
        <w:rPr>
          <w:rFonts w:eastAsia="Times New Roman"/>
          <w:szCs w:val="22"/>
          <w:lang w:val="es-ES" w:eastAsia="en-US"/>
        </w:rPr>
        <w:t xml:space="preserve">sobre </w:t>
      </w:r>
      <w:r w:rsidR="00BB62B9" w:rsidRPr="001B1DCF">
        <w:rPr>
          <w:rFonts w:eastAsia="Times New Roman"/>
          <w:szCs w:val="22"/>
          <w:lang w:val="es-ES" w:eastAsia="en-US"/>
        </w:rPr>
        <w:t xml:space="preserve">el </w:t>
      </w:r>
      <w:r w:rsidRPr="001B1DCF">
        <w:rPr>
          <w:rFonts w:eastAsia="Times New Roman"/>
          <w:szCs w:val="22"/>
          <w:lang w:val="es-ES" w:eastAsia="en-US"/>
        </w:rPr>
        <w:t>derecho de propiedad intelectual</w:t>
      </w:r>
      <w:r w:rsidR="00B57DA7" w:rsidRPr="001B1DCF">
        <w:rPr>
          <w:rFonts w:eastAsia="Times New Roman"/>
          <w:szCs w:val="22"/>
          <w:lang w:val="es-ES" w:eastAsia="en-US"/>
        </w:rPr>
        <w:t xml:space="preserve">.  </w:t>
      </w:r>
      <w:r w:rsidRPr="001B1DCF">
        <w:rPr>
          <w:rFonts w:eastAsia="Times New Roman"/>
          <w:szCs w:val="22"/>
          <w:lang w:val="es-ES" w:eastAsia="en-US"/>
        </w:rPr>
        <w:t xml:space="preserve">Quiero expresar mi más sincero agradecimiento a todas las personas de la OMPI que han contribuido a ampliar WIPO Lex y que han </w:t>
      </w:r>
      <w:r w:rsidR="00C96DB7" w:rsidRPr="001B1DCF">
        <w:rPr>
          <w:rFonts w:eastAsia="Times New Roman"/>
          <w:szCs w:val="22"/>
          <w:lang w:val="es-ES" w:eastAsia="en-US"/>
        </w:rPr>
        <w:t xml:space="preserve">hecho de </w:t>
      </w:r>
      <w:r w:rsidRPr="001B1DCF">
        <w:rPr>
          <w:rFonts w:eastAsia="Times New Roman"/>
          <w:szCs w:val="22"/>
          <w:lang w:val="es-ES" w:eastAsia="en-US"/>
        </w:rPr>
        <w:t xml:space="preserve">esta base de datos una colección </w:t>
      </w:r>
      <w:r w:rsidR="00BB62B9" w:rsidRPr="001B1DCF">
        <w:rPr>
          <w:rFonts w:eastAsia="Times New Roman"/>
          <w:szCs w:val="22"/>
          <w:lang w:val="es-ES" w:eastAsia="en-US"/>
        </w:rPr>
        <w:t xml:space="preserve">de textos jurídicos </w:t>
      </w:r>
      <w:r w:rsidRPr="001B1DCF">
        <w:rPr>
          <w:rFonts w:eastAsia="Times New Roman"/>
          <w:szCs w:val="22"/>
          <w:lang w:val="es-ES" w:eastAsia="en-US"/>
        </w:rPr>
        <w:t xml:space="preserve">bien organizada, accesible y </w:t>
      </w:r>
      <w:r w:rsidR="008164F2" w:rsidRPr="001B1DCF">
        <w:rPr>
          <w:rFonts w:eastAsia="Times New Roman"/>
          <w:szCs w:val="22"/>
          <w:lang w:val="es-ES" w:eastAsia="en-US"/>
        </w:rPr>
        <w:t>amplia</w:t>
      </w:r>
      <w:r w:rsidR="00B57DA7" w:rsidRPr="001B1DCF">
        <w:rPr>
          <w:rFonts w:eastAsia="Times New Roman"/>
          <w:szCs w:val="22"/>
          <w:lang w:val="es-ES" w:eastAsia="en-US"/>
        </w:rPr>
        <w:t xml:space="preserve">.  </w:t>
      </w:r>
      <w:r w:rsidR="008164F2" w:rsidRPr="001B1DCF">
        <w:rPr>
          <w:rFonts w:eastAsia="Times New Roman"/>
          <w:szCs w:val="22"/>
          <w:lang w:val="es-ES" w:eastAsia="en-US"/>
        </w:rPr>
        <w:t xml:space="preserve">Un reconocimiento especial merecen </w:t>
      </w:r>
      <w:r w:rsidR="00B57DA7" w:rsidRPr="001B1DCF">
        <w:rPr>
          <w:rFonts w:eastAsia="Times New Roman"/>
          <w:szCs w:val="22"/>
          <w:lang w:val="es-ES" w:eastAsia="en-US"/>
        </w:rPr>
        <w:t xml:space="preserve">Michele Woods </w:t>
      </w:r>
      <w:r w:rsidR="008164F2" w:rsidRPr="001B1DCF">
        <w:rPr>
          <w:rFonts w:eastAsia="Times New Roman"/>
          <w:szCs w:val="22"/>
          <w:lang w:val="es-ES" w:eastAsia="en-US"/>
        </w:rPr>
        <w:t xml:space="preserve">y </w:t>
      </w:r>
      <w:r w:rsidR="00B57DA7" w:rsidRPr="001B1DCF">
        <w:rPr>
          <w:rFonts w:eastAsia="Times New Roman"/>
          <w:szCs w:val="22"/>
          <w:lang w:val="es-ES" w:eastAsia="en-US"/>
        </w:rPr>
        <w:t xml:space="preserve">Geidy Lung, </w:t>
      </w:r>
      <w:r w:rsidR="008164F2" w:rsidRPr="001B1DCF">
        <w:rPr>
          <w:rFonts w:eastAsia="Times New Roman"/>
          <w:szCs w:val="22"/>
          <w:lang w:val="es-ES" w:eastAsia="en-US"/>
        </w:rPr>
        <w:t xml:space="preserve">que </w:t>
      </w:r>
      <w:r w:rsidR="00BB62B9" w:rsidRPr="001B1DCF">
        <w:rPr>
          <w:rFonts w:eastAsia="Times New Roman"/>
          <w:szCs w:val="22"/>
          <w:lang w:val="es-ES" w:eastAsia="en-US"/>
        </w:rPr>
        <w:t>prestaron</w:t>
      </w:r>
      <w:r w:rsidR="008164F2" w:rsidRPr="001B1DCF">
        <w:rPr>
          <w:rFonts w:eastAsia="Times New Roman"/>
          <w:szCs w:val="22"/>
          <w:lang w:val="es-ES" w:eastAsia="en-US"/>
        </w:rPr>
        <w:t xml:space="preserve"> apoyo </w:t>
      </w:r>
      <w:r w:rsidR="00ED384D">
        <w:rPr>
          <w:rFonts w:eastAsia="Times New Roman"/>
          <w:szCs w:val="22"/>
          <w:lang w:val="es-ES" w:eastAsia="en-US"/>
        </w:rPr>
        <w:t>sin cesar</w:t>
      </w:r>
      <w:r w:rsidR="00ED384D" w:rsidRPr="001B1DCF">
        <w:rPr>
          <w:rFonts w:eastAsia="Times New Roman"/>
          <w:szCs w:val="22"/>
          <w:lang w:val="es-ES" w:eastAsia="en-US"/>
        </w:rPr>
        <w:t xml:space="preserve"> </w:t>
      </w:r>
      <w:r w:rsidR="00052DBE" w:rsidRPr="001B1DCF">
        <w:rPr>
          <w:rFonts w:eastAsia="Times New Roman"/>
          <w:szCs w:val="22"/>
          <w:lang w:val="es-ES" w:eastAsia="en-US"/>
        </w:rPr>
        <w:t xml:space="preserve">al presente </w:t>
      </w:r>
      <w:r w:rsidR="008164F2" w:rsidRPr="001B1DCF">
        <w:rPr>
          <w:rFonts w:eastAsia="Times New Roman"/>
          <w:szCs w:val="22"/>
          <w:lang w:val="es-ES" w:eastAsia="en-US"/>
        </w:rPr>
        <w:t>proyecto</w:t>
      </w:r>
      <w:r w:rsidR="00703969" w:rsidRPr="001B1DCF">
        <w:rPr>
          <w:rFonts w:eastAsia="Times New Roman"/>
          <w:szCs w:val="22"/>
          <w:lang w:val="es-ES" w:eastAsia="en-US"/>
        </w:rPr>
        <w:t xml:space="preserve">.  </w:t>
      </w:r>
      <w:r w:rsidR="00052DBE" w:rsidRPr="001B1DCF">
        <w:rPr>
          <w:rFonts w:eastAsia="Times New Roman"/>
          <w:szCs w:val="22"/>
          <w:lang w:val="es-ES" w:eastAsia="en-US"/>
        </w:rPr>
        <w:t>A</w:t>
      </w:r>
      <w:r w:rsidR="008164F2" w:rsidRPr="001B1DCF">
        <w:rPr>
          <w:rFonts w:eastAsia="Times New Roman"/>
          <w:szCs w:val="22"/>
          <w:lang w:val="es-ES" w:eastAsia="en-US"/>
        </w:rPr>
        <w:t xml:space="preserve">gradezco </w:t>
      </w:r>
      <w:r w:rsidR="00052DBE" w:rsidRPr="001B1DCF">
        <w:rPr>
          <w:rFonts w:eastAsia="Times New Roman"/>
          <w:szCs w:val="22"/>
          <w:lang w:val="es-ES" w:eastAsia="en-US"/>
        </w:rPr>
        <w:t xml:space="preserve">su liderazgo </w:t>
      </w:r>
      <w:r w:rsidR="008164F2" w:rsidRPr="001B1DCF">
        <w:rPr>
          <w:rFonts w:eastAsia="Times New Roman"/>
          <w:szCs w:val="22"/>
          <w:lang w:val="es-ES" w:eastAsia="en-US"/>
        </w:rPr>
        <w:t xml:space="preserve">al </w:t>
      </w:r>
      <w:r w:rsidR="00052DBE" w:rsidRPr="001B1DCF">
        <w:rPr>
          <w:rFonts w:eastAsia="Times New Roman"/>
          <w:szCs w:val="22"/>
          <w:lang w:val="es-ES" w:eastAsia="en-US"/>
        </w:rPr>
        <w:t>d</w:t>
      </w:r>
      <w:r w:rsidR="00B57DA7" w:rsidRPr="001B1DCF">
        <w:rPr>
          <w:rFonts w:eastAsia="Times New Roman"/>
          <w:szCs w:val="22"/>
          <w:lang w:val="es-ES" w:eastAsia="en-US"/>
        </w:rPr>
        <w:t xml:space="preserve">irector </w:t>
      </w:r>
      <w:r w:rsidR="00052DBE" w:rsidRPr="001B1DCF">
        <w:rPr>
          <w:rFonts w:eastAsia="Times New Roman"/>
          <w:szCs w:val="22"/>
          <w:lang w:val="es-ES" w:eastAsia="en-US"/>
        </w:rPr>
        <w:t>g</w:t>
      </w:r>
      <w:r w:rsidR="008164F2" w:rsidRPr="001B1DCF">
        <w:rPr>
          <w:rFonts w:eastAsia="Times New Roman"/>
          <w:szCs w:val="22"/>
          <w:lang w:val="es-ES" w:eastAsia="en-US"/>
        </w:rPr>
        <w:t xml:space="preserve">eneral Francis Gurry, </w:t>
      </w:r>
      <w:r w:rsidR="00052DBE" w:rsidRPr="001B1DCF">
        <w:rPr>
          <w:rFonts w:eastAsia="Times New Roman"/>
          <w:szCs w:val="22"/>
          <w:lang w:val="es-ES" w:eastAsia="en-US"/>
        </w:rPr>
        <w:t>y a la directora general adjunta Sylvie Forbin</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7A001A" w:rsidP="00B57DA7">
      <w:pPr>
        <w:rPr>
          <w:rFonts w:eastAsia="Times New Roman"/>
          <w:szCs w:val="22"/>
          <w:lang w:val="es-ES" w:eastAsia="en-US"/>
        </w:rPr>
      </w:pPr>
      <w:r w:rsidRPr="001B1DCF">
        <w:rPr>
          <w:rFonts w:eastAsia="Times New Roman"/>
          <w:szCs w:val="22"/>
          <w:lang w:val="es-ES" w:eastAsia="en-US"/>
        </w:rPr>
        <w:t xml:space="preserve">La influencia de Michelle Choe y Trina Kissel Taylor, </w:t>
      </w:r>
      <w:r w:rsidR="008164F2" w:rsidRPr="001B1DCF">
        <w:rPr>
          <w:rFonts w:eastAsia="Times New Roman"/>
          <w:szCs w:val="22"/>
          <w:lang w:val="es-ES" w:eastAsia="en-US"/>
        </w:rPr>
        <w:t>mis asistentes de investigación en los estudios anteriores</w:t>
      </w:r>
      <w:r w:rsidRPr="001B1DCF">
        <w:rPr>
          <w:rFonts w:eastAsia="Times New Roman"/>
          <w:szCs w:val="22"/>
          <w:lang w:val="es-ES" w:eastAsia="en-US"/>
        </w:rPr>
        <w:t>, sigue estando presente en este informe.  He tenido el agrado de colaborar con el abogado parisino Mickaël Le Borloch en estudios precedentes y en la presente actualización.  Conocí a Mickaël por primera vez cuando me invitaron a dar una conferencia en la Sorbona de París, y actualmente él se desempeña como pasante en mi bufete de abogados.  Sus dotes lingüísticas y de investigación han marcado la diferencia en muchos de los análisis de la legislación.  M</w:t>
      </w:r>
      <w:r w:rsidR="00052DBE" w:rsidRPr="001B1DCF">
        <w:rPr>
          <w:rFonts w:eastAsia="Times New Roman"/>
          <w:szCs w:val="22"/>
          <w:lang w:val="es-ES" w:eastAsia="en-US"/>
        </w:rPr>
        <w:t xml:space="preserve">is </w:t>
      </w:r>
      <w:r w:rsidR="008164F2" w:rsidRPr="001B1DCF">
        <w:rPr>
          <w:rFonts w:eastAsia="Times New Roman"/>
          <w:szCs w:val="22"/>
          <w:lang w:val="es-ES" w:eastAsia="en-US"/>
        </w:rPr>
        <w:t xml:space="preserve">colegas letrados de </w:t>
      </w:r>
      <w:r w:rsidR="00B57DA7" w:rsidRPr="001B1DCF">
        <w:rPr>
          <w:rFonts w:eastAsia="Times New Roman"/>
          <w:szCs w:val="22"/>
          <w:lang w:val="es-ES" w:eastAsia="en-US"/>
        </w:rPr>
        <w:t xml:space="preserve">Gipson Hoffman &amp; Pancione </w:t>
      </w:r>
      <w:r w:rsidR="00052DBE" w:rsidRPr="001B1DCF">
        <w:rPr>
          <w:rFonts w:eastAsia="Times New Roman"/>
          <w:szCs w:val="22"/>
          <w:lang w:val="es-ES" w:eastAsia="en-US"/>
        </w:rPr>
        <w:t xml:space="preserve">han hecho gala de enorme </w:t>
      </w:r>
      <w:r w:rsidR="008164F2" w:rsidRPr="001B1DCF">
        <w:rPr>
          <w:rFonts w:eastAsia="Times New Roman"/>
          <w:szCs w:val="22"/>
          <w:lang w:val="es-ES" w:eastAsia="en-US"/>
        </w:rPr>
        <w:t>paciencia y apoyo</w:t>
      </w:r>
      <w:r w:rsidR="00B57DA7" w:rsidRPr="001B1DCF">
        <w:rPr>
          <w:rFonts w:eastAsia="Times New Roman"/>
          <w:szCs w:val="22"/>
          <w:lang w:val="es-ES" w:eastAsia="en-US"/>
        </w:rPr>
        <w:t xml:space="preserve">.  </w:t>
      </w:r>
      <w:r w:rsidRPr="001B1DCF">
        <w:rPr>
          <w:rFonts w:eastAsia="Times New Roman"/>
          <w:szCs w:val="22"/>
          <w:lang w:val="es-ES" w:eastAsia="en-US"/>
        </w:rPr>
        <w:t>Si bien he recurrido a las aportaciones singulares de muchos colegas, me considero responsable de la exactitud del presente estudio, y</w:t>
      </w:r>
      <w:r w:rsidR="008164F2" w:rsidRPr="001B1DCF">
        <w:rPr>
          <w:rFonts w:eastAsia="Times New Roman"/>
          <w:szCs w:val="22"/>
          <w:lang w:val="es-ES" w:eastAsia="en-US"/>
        </w:rPr>
        <w:t xml:space="preserve"> acogeré con agrado </w:t>
      </w:r>
      <w:r w:rsidR="00B03ED1" w:rsidRPr="001B1DCF">
        <w:rPr>
          <w:rFonts w:eastAsia="Times New Roman"/>
          <w:szCs w:val="22"/>
          <w:lang w:val="es-ES" w:eastAsia="en-US"/>
        </w:rPr>
        <w:t>cualquier comentario o dato actualizado que puedan proporcionar los lectores de</w:t>
      </w:r>
      <w:r w:rsidRPr="001B1DCF">
        <w:rPr>
          <w:rFonts w:eastAsia="Times New Roman"/>
          <w:szCs w:val="22"/>
          <w:lang w:val="es-ES" w:eastAsia="en-US"/>
        </w:rPr>
        <w:t>l</w:t>
      </w:r>
      <w:r w:rsidR="00B03ED1" w:rsidRPr="001B1DCF">
        <w:rPr>
          <w:rFonts w:eastAsia="Times New Roman"/>
          <w:szCs w:val="22"/>
          <w:lang w:val="es-ES" w:eastAsia="en-US"/>
        </w:rPr>
        <w:t xml:space="preserve"> informe</w:t>
      </w:r>
      <w:r w:rsidR="00B57DA7" w:rsidRPr="001B1DCF">
        <w:rPr>
          <w:rFonts w:eastAsia="Times New Roman"/>
          <w:szCs w:val="22"/>
          <w:lang w:val="es-ES" w:eastAsia="en-US"/>
        </w:rPr>
        <w:t>.</w:t>
      </w:r>
    </w:p>
    <w:p w:rsidR="00B57DA7" w:rsidRPr="001B1DCF" w:rsidRDefault="00B57DA7" w:rsidP="00B57DA7">
      <w:pPr>
        <w:rPr>
          <w:rFonts w:eastAsia="Times New Roman"/>
          <w:szCs w:val="22"/>
          <w:lang w:val="es-ES" w:eastAsia="en-US"/>
        </w:rPr>
      </w:pPr>
    </w:p>
    <w:p w:rsidR="00B57DA7" w:rsidRPr="001B1DCF" w:rsidRDefault="00B57DA7" w:rsidP="00B57DA7">
      <w:pPr>
        <w:rPr>
          <w:rFonts w:eastAsia="Times New Roman"/>
          <w:szCs w:val="22"/>
          <w:lang w:val="es-ES" w:eastAsia="en-US"/>
        </w:rPr>
      </w:pPr>
      <w:r w:rsidRPr="001B1DCF">
        <w:rPr>
          <w:rFonts w:eastAsia="Times New Roman"/>
          <w:szCs w:val="22"/>
          <w:lang w:val="es-ES" w:eastAsia="en-US"/>
        </w:rPr>
        <w:t>Kenneth D</w:t>
      </w:r>
      <w:r w:rsidR="00703969" w:rsidRPr="001B1DCF">
        <w:rPr>
          <w:rFonts w:eastAsia="Times New Roman"/>
          <w:szCs w:val="22"/>
          <w:lang w:val="es-ES" w:eastAsia="en-US"/>
        </w:rPr>
        <w:t>. C</w:t>
      </w:r>
      <w:r w:rsidRPr="001B1DCF">
        <w:rPr>
          <w:rFonts w:eastAsia="Times New Roman"/>
          <w:szCs w:val="22"/>
          <w:lang w:val="es-ES" w:eastAsia="en-US"/>
        </w:rPr>
        <w:t>rews</w:t>
      </w:r>
    </w:p>
    <w:p w:rsidR="00B57DA7" w:rsidRPr="001B1DCF" w:rsidRDefault="00B57DA7" w:rsidP="00B57DA7">
      <w:pPr>
        <w:rPr>
          <w:rFonts w:eastAsia="Times New Roman"/>
          <w:szCs w:val="22"/>
          <w:lang w:val="es-ES" w:eastAsia="en-US"/>
        </w:rPr>
      </w:pPr>
      <w:r w:rsidRPr="001B1DCF">
        <w:rPr>
          <w:rFonts w:eastAsia="Times New Roman"/>
          <w:szCs w:val="22"/>
          <w:lang w:val="es-ES" w:eastAsia="en-US"/>
        </w:rPr>
        <w:t xml:space="preserve">Los </w:t>
      </w:r>
      <w:r w:rsidR="007A001A" w:rsidRPr="001B1DCF">
        <w:rPr>
          <w:rFonts w:eastAsia="Times New Roman"/>
          <w:szCs w:val="22"/>
          <w:lang w:val="es-ES" w:eastAsia="en-US"/>
        </w:rPr>
        <w:t>Ángeles</w:t>
      </w:r>
      <w:r w:rsidRPr="001B1DCF">
        <w:rPr>
          <w:rFonts w:eastAsia="Times New Roman"/>
          <w:szCs w:val="22"/>
          <w:lang w:val="es-ES" w:eastAsia="en-US"/>
        </w:rPr>
        <w:t>, California (</w:t>
      </w:r>
      <w:r w:rsidR="00F630FF" w:rsidRPr="001B1DCF">
        <w:rPr>
          <w:rFonts w:eastAsia="Times New Roman"/>
          <w:szCs w:val="22"/>
          <w:lang w:val="es-ES" w:eastAsia="en-US"/>
        </w:rPr>
        <w:t>EEUU</w:t>
      </w:r>
      <w:r w:rsidRPr="001B1DCF">
        <w:rPr>
          <w:rFonts w:eastAsia="Times New Roman"/>
          <w:szCs w:val="22"/>
          <w:lang w:val="es-ES" w:eastAsia="en-US"/>
        </w:rPr>
        <w:t>)</w:t>
      </w:r>
    </w:p>
    <w:p w:rsidR="00B57DA7" w:rsidRPr="001B1DCF" w:rsidRDefault="00A76D2F" w:rsidP="00B57DA7">
      <w:pPr>
        <w:rPr>
          <w:rFonts w:eastAsia="Times New Roman"/>
          <w:szCs w:val="22"/>
          <w:lang w:val="es-ES" w:eastAsia="en-US"/>
        </w:rPr>
      </w:pPr>
      <w:r w:rsidRPr="001B1DCF">
        <w:rPr>
          <w:rFonts w:eastAsia="Times New Roman"/>
          <w:szCs w:val="22"/>
          <w:lang w:val="es-ES" w:eastAsia="en-US"/>
        </w:rPr>
        <w:t>3</w:t>
      </w:r>
      <w:r w:rsidR="00B57DA7" w:rsidRPr="001B1DCF">
        <w:rPr>
          <w:rFonts w:eastAsia="Times New Roman"/>
          <w:szCs w:val="22"/>
          <w:lang w:val="es-ES" w:eastAsia="en-US"/>
        </w:rPr>
        <w:t xml:space="preserve">0 </w:t>
      </w:r>
      <w:r w:rsidR="00F630FF" w:rsidRPr="001B1DCF">
        <w:rPr>
          <w:rFonts w:eastAsia="Times New Roman"/>
          <w:szCs w:val="22"/>
          <w:lang w:val="es-ES" w:eastAsia="en-US"/>
        </w:rPr>
        <w:t xml:space="preserve">de </w:t>
      </w:r>
      <w:r w:rsidRPr="001B1DCF">
        <w:rPr>
          <w:rFonts w:eastAsia="Times New Roman"/>
          <w:szCs w:val="22"/>
          <w:lang w:val="es-ES" w:eastAsia="en-US"/>
        </w:rPr>
        <w:t xml:space="preserve">octubre </w:t>
      </w:r>
      <w:r w:rsidR="00F630FF" w:rsidRPr="001B1DCF">
        <w:rPr>
          <w:rFonts w:eastAsia="Times New Roman"/>
          <w:szCs w:val="22"/>
          <w:lang w:val="es-ES" w:eastAsia="en-US"/>
        </w:rPr>
        <w:t>d</w:t>
      </w:r>
      <w:r w:rsidR="00703969" w:rsidRPr="001B1DCF">
        <w:rPr>
          <w:rFonts w:eastAsia="Times New Roman"/>
          <w:szCs w:val="22"/>
          <w:lang w:val="es-ES" w:eastAsia="en-US"/>
        </w:rPr>
        <w:t>e 2</w:t>
      </w:r>
      <w:r w:rsidRPr="001B1DCF">
        <w:rPr>
          <w:rFonts w:eastAsia="Times New Roman"/>
          <w:szCs w:val="22"/>
          <w:lang w:val="es-ES" w:eastAsia="en-US"/>
        </w:rPr>
        <w:t>017</w:t>
      </w:r>
    </w:p>
    <w:p w:rsidR="00B57DA7" w:rsidRPr="001B1DCF" w:rsidRDefault="00B57DA7" w:rsidP="00B57DA7">
      <w:pPr>
        <w:rPr>
          <w:rFonts w:eastAsia="Times New Roman"/>
          <w:szCs w:val="22"/>
          <w:lang w:val="es-ES" w:eastAsia="en-US"/>
        </w:rPr>
      </w:pPr>
    </w:p>
    <w:p w:rsidR="00B57DA7" w:rsidRDefault="00B57DA7" w:rsidP="00B57DA7">
      <w:pPr>
        <w:rPr>
          <w:rFonts w:eastAsia="Times New Roman"/>
          <w:szCs w:val="22"/>
          <w:lang w:val="es-ES" w:eastAsia="en-US"/>
        </w:rPr>
      </w:pPr>
    </w:p>
    <w:p w:rsidR="00F4789C" w:rsidRDefault="00F4789C" w:rsidP="00B57DA7">
      <w:pPr>
        <w:rPr>
          <w:rFonts w:eastAsia="Times New Roman"/>
          <w:szCs w:val="22"/>
          <w:lang w:val="es-ES" w:eastAsia="en-US"/>
        </w:rPr>
      </w:pPr>
    </w:p>
    <w:p w:rsidR="000F5E56" w:rsidRPr="00F4789C" w:rsidRDefault="00816192" w:rsidP="00F4789C">
      <w:pPr>
        <w:tabs>
          <w:tab w:val="left" w:pos="567"/>
          <w:tab w:val="left" w:pos="5103"/>
          <w:tab w:val="left" w:pos="5245"/>
        </w:tabs>
        <w:ind w:left="5245"/>
        <w:rPr>
          <w:szCs w:val="22"/>
          <w:lang w:val="es-ES"/>
        </w:rPr>
      </w:pPr>
      <w:bookmarkStart w:id="12" w:name="_GoBack"/>
      <w:bookmarkEnd w:id="12"/>
      <w:r w:rsidRPr="001B1DCF">
        <w:rPr>
          <w:szCs w:val="22"/>
          <w:lang w:val="es-ES"/>
        </w:rPr>
        <w:t>[</w:t>
      </w:r>
      <w:r w:rsidR="00F630FF" w:rsidRPr="001B1DCF">
        <w:rPr>
          <w:szCs w:val="22"/>
          <w:lang w:val="es-ES"/>
        </w:rPr>
        <w:t>Fin del documento</w:t>
      </w:r>
      <w:r w:rsidRPr="001B1DCF">
        <w:rPr>
          <w:szCs w:val="22"/>
          <w:lang w:val="es-ES"/>
        </w:rPr>
        <w:t>]</w:t>
      </w:r>
    </w:p>
    <w:sectPr w:rsidR="000F5E56" w:rsidRPr="00F4789C" w:rsidSect="00F4789C">
      <w:headerReference w:type="default" r:id="rId9"/>
      <w:endnotePr>
        <w:numFmt w:val="decimal"/>
      </w:endnotePr>
      <w:pgSz w:w="11907" w:h="16840" w:code="9"/>
      <w:pgMar w:top="1134"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E8" w:rsidRDefault="00F376E8" w:rsidP="00816192">
      <w:r>
        <w:separator/>
      </w:r>
    </w:p>
  </w:endnote>
  <w:endnote w:type="continuationSeparator" w:id="0">
    <w:p w:rsidR="00F376E8" w:rsidRDefault="00F376E8" w:rsidP="0081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E8" w:rsidRDefault="00F376E8" w:rsidP="00816192">
      <w:r>
        <w:separator/>
      </w:r>
    </w:p>
  </w:footnote>
  <w:footnote w:type="continuationSeparator" w:id="0">
    <w:p w:rsidR="00F376E8" w:rsidRDefault="00F376E8" w:rsidP="00816192">
      <w:r>
        <w:continuationSeparator/>
      </w:r>
    </w:p>
  </w:footnote>
  <w:footnote w:id="1">
    <w:p w:rsidR="00F376E8" w:rsidRPr="00F376E8" w:rsidRDefault="00F376E8" w:rsidP="00B13647">
      <w:pPr>
        <w:pStyle w:val="FootnoteText"/>
        <w:rPr>
          <w:lang w:val="es-ES"/>
        </w:rPr>
      </w:pPr>
      <w:r w:rsidRPr="00F376E8">
        <w:rPr>
          <w:rStyle w:val="FootnoteReference"/>
          <w:lang w:val="es-ES"/>
        </w:rPr>
        <w:footnoteRef/>
      </w:r>
      <w:r w:rsidRPr="00F376E8">
        <w:rPr>
          <w:lang w:val="es-ES"/>
        </w:rPr>
        <w:t xml:space="preserve"> Kenneth D. Crews, </w:t>
      </w:r>
      <w:r w:rsidRPr="00F376E8">
        <w:rPr>
          <w:i/>
          <w:lang w:val="es-ES"/>
        </w:rPr>
        <w:t>Estudio sobre las limitaciones y excepciones al derecho de autor en favor de bibliotecas y archivos</w:t>
      </w:r>
      <w:r w:rsidRPr="00F376E8">
        <w:rPr>
          <w:lang w:val="es-ES"/>
        </w:rPr>
        <w:t xml:space="preserve">, Organización Internacional de la Propiedad Intelectual, Comité Permanente de Derecho de Autor y Derechos Conexos, decimoséptima sesión (Ginebra, Suiza:  2008), disponible en http://www.wipo.int/meetings/es/doc_details.jsp?doc_id=109192. </w:t>
      </w:r>
    </w:p>
  </w:footnote>
  <w:footnote w:id="2">
    <w:p w:rsidR="00F376E8" w:rsidRPr="00F376E8" w:rsidRDefault="00F376E8" w:rsidP="00B13647">
      <w:pPr>
        <w:pStyle w:val="FootnoteText"/>
        <w:rPr>
          <w:lang w:val="es-ES"/>
        </w:rPr>
      </w:pPr>
      <w:r w:rsidRPr="00F376E8">
        <w:rPr>
          <w:rStyle w:val="FootnoteReference"/>
          <w:lang w:val="es-ES"/>
        </w:rPr>
        <w:footnoteRef/>
      </w:r>
      <w:r w:rsidRPr="00F376E8">
        <w:rPr>
          <w:lang w:val="es-ES"/>
        </w:rPr>
        <w:t xml:space="preserve"> Kenneth D. Crews, </w:t>
      </w:r>
      <w:r w:rsidRPr="00F376E8">
        <w:rPr>
          <w:i/>
          <w:lang w:val="es-ES"/>
        </w:rPr>
        <w:t>Estudio sobre las limitaciones y excepciones al derecho de autor en favor de las bibliotecas y los archivos</w:t>
      </w:r>
      <w:r w:rsidRPr="00F376E8">
        <w:rPr>
          <w:lang w:val="es-ES"/>
        </w:rPr>
        <w:t xml:space="preserve">, Organización Internacional de la Propiedad Intelectual, Comité Permanente de Derecho de Autor y Derechos Conexos, vigésima novena sesión (Ginebra, Suiza:  2014), disponible en http://www.wipo.int/meetings/es/doc_details.jsp?doc_id=290457. </w:t>
      </w:r>
    </w:p>
  </w:footnote>
  <w:footnote w:id="3">
    <w:p w:rsidR="00F376E8" w:rsidRPr="00F376E8" w:rsidRDefault="00F376E8" w:rsidP="00B13647">
      <w:pPr>
        <w:pStyle w:val="FootnoteText"/>
        <w:rPr>
          <w:lang w:val="es-ES"/>
        </w:rPr>
      </w:pPr>
      <w:r w:rsidRPr="00F376E8">
        <w:rPr>
          <w:rStyle w:val="FootnoteReference"/>
          <w:lang w:val="es-ES"/>
        </w:rPr>
        <w:footnoteRef/>
      </w:r>
      <w:r w:rsidRPr="00F376E8">
        <w:rPr>
          <w:lang w:val="es-ES"/>
        </w:rPr>
        <w:t xml:space="preserve"> Kenneth D. Crews, </w:t>
      </w:r>
      <w:r w:rsidRPr="00F376E8">
        <w:rPr>
          <w:i/>
          <w:lang w:val="es-ES"/>
        </w:rPr>
        <w:t>Resumen del estudio sobre limitaciones y excepciones en materia de derecho de autor en favor de bibliotecas y archivos:  versión actualizada y revisada</w:t>
      </w:r>
      <w:r w:rsidRPr="00F376E8">
        <w:rPr>
          <w:lang w:val="es-ES"/>
        </w:rPr>
        <w:t>, Organización Internacional de la Propiedad Intelectual, Comité Permanente de Derecho de Autor y Derechos Conexos, decimoséptima sesión (Ginebra, Suiza:  2015), disponible en http://www.wipo.int/meetings/es/doc_details.jsp?doc_id=306216.</w:t>
      </w:r>
    </w:p>
  </w:footnote>
  <w:footnote w:id="4">
    <w:p w:rsidR="00F376E8" w:rsidRPr="00F376E8" w:rsidRDefault="00F376E8" w:rsidP="00F376E8">
      <w:pPr>
        <w:pStyle w:val="FootnoteText"/>
        <w:rPr>
          <w:lang w:val="es-ES"/>
        </w:rPr>
      </w:pPr>
      <w:r w:rsidRPr="00F376E8">
        <w:rPr>
          <w:rStyle w:val="FootnoteReference"/>
          <w:lang w:val="es-ES"/>
        </w:rPr>
        <w:footnoteRef/>
      </w:r>
      <w:r w:rsidRPr="00F376E8">
        <w:rPr>
          <w:lang w:val="es-ES"/>
        </w:rPr>
        <w:t xml:space="preserve"> </w:t>
      </w:r>
      <w:r>
        <w:rPr>
          <w:lang w:val="es-ES"/>
        </w:rPr>
        <w:t xml:space="preserve">Los Estados Unidos y Sudáfrica tienen leyes (que no se han promulgado recientemente) que van en sentido contrario al proteger específicamente la </w:t>
      </w:r>
      <w:r w:rsidR="00275CFA">
        <w:rPr>
          <w:lang w:val="es-ES"/>
        </w:rPr>
        <w:t>ejecutoriedad</w:t>
      </w:r>
      <w:r>
        <w:rPr>
          <w:lang w:val="es-ES"/>
        </w:rPr>
        <w:t xml:space="preserve"> de los acuerdos que afecten a las cuestiones relativas a las bibliotecas.</w:t>
      </w:r>
    </w:p>
  </w:footnote>
  <w:footnote w:id="5">
    <w:p w:rsidR="00F376E8" w:rsidRPr="00F376E8" w:rsidRDefault="00F376E8" w:rsidP="00B57DA7">
      <w:pPr>
        <w:pStyle w:val="FootnoteText"/>
        <w:rPr>
          <w:lang w:val="es-ES"/>
        </w:rPr>
      </w:pPr>
      <w:r w:rsidRPr="00F376E8">
        <w:rPr>
          <w:rStyle w:val="FootnoteReference"/>
          <w:lang w:val="es-ES"/>
        </w:rPr>
        <w:footnoteRef/>
      </w:r>
      <w:r w:rsidRPr="00F376E8">
        <w:rPr>
          <w:lang w:val="es-ES"/>
        </w:rPr>
        <w:t xml:space="preserve"> </w:t>
      </w:r>
      <w:r w:rsidRPr="00F376E8">
        <w:rPr>
          <w:bCs/>
          <w:lang w:val="es-ES"/>
        </w:rPr>
        <w:t>Directiva 2001/29/CE del Parlamento Europeo y del Consejo, de 22 de mayo de 2001, relativa a la armonización de determinados aspectos de los derechos de autor y derechos afines a los derechos de autor en la sociedad de la información</w:t>
      </w:r>
      <w:r w:rsidRPr="00F376E8">
        <w:rPr>
          <w:lang w:val="es-ES"/>
        </w:rPr>
        <w:t>, D.O. 2001 (L 167), págs. 10-19.</w:t>
      </w:r>
    </w:p>
  </w:footnote>
  <w:footnote w:id="6">
    <w:p w:rsidR="00F376E8" w:rsidRPr="00F376E8" w:rsidRDefault="00F376E8" w:rsidP="007A001A">
      <w:pPr>
        <w:pStyle w:val="FootnoteText"/>
        <w:rPr>
          <w:lang w:val="es-ES"/>
        </w:rPr>
      </w:pPr>
      <w:r w:rsidRPr="00F376E8">
        <w:rPr>
          <w:rStyle w:val="FootnoteReference"/>
          <w:lang w:val="es-ES"/>
        </w:rPr>
        <w:footnoteRef/>
      </w:r>
      <w:r w:rsidRPr="00F376E8">
        <w:rPr>
          <w:lang w:val="es-ES"/>
        </w:rPr>
        <w:t xml:space="preserve"> </w:t>
      </w:r>
      <w:r>
        <w:rPr>
          <w:lang w:val="es-ES"/>
        </w:rPr>
        <w:t>Directiva 2012/28/</w:t>
      </w:r>
      <w:r w:rsidRPr="00F376E8">
        <w:rPr>
          <w:lang w:val="es-ES"/>
        </w:rPr>
        <w:t>U</w:t>
      </w:r>
      <w:r>
        <w:rPr>
          <w:lang w:val="es-ES"/>
        </w:rPr>
        <w:t>E</w:t>
      </w:r>
      <w:r w:rsidRPr="00F376E8">
        <w:rPr>
          <w:lang w:val="es-ES"/>
        </w:rPr>
        <w:t xml:space="preserve"> </w:t>
      </w:r>
      <w:r w:rsidRPr="00F376E8">
        <w:rPr>
          <w:bCs/>
          <w:lang w:val="es-ES"/>
        </w:rPr>
        <w:t xml:space="preserve">del Parlamento Europeo y del Consejo, </w:t>
      </w:r>
      <w:r>
        <w:rPr>
          <w:lang w:val="es-ES"/>
        </w:rPr>
        <w:t xml:space="preserve">de </w:t>
      </w:r>
      <w:r w:rsidRPr="00F376E8">
        <w:rPr>
          <w:lang w:val="es-ES"/>
        </w:rPr>
        <w:t xml:space="preserve">25 </w:t>
      </w:r>
      <w:r>
        <w:rPr>
          <w:lang w:val="es-ES"/>
        </w:rPr>
        <w:t xml:space="preserve">de </w:t>
      </w:r>
      <w:r w:rsidRPr="00F376E8">
        <w:rPr>
          <w:lang w:val="es-ES"/>
        </w:rPr>
        <w:t>octubre de 2012</w:t>
      </w:r>
      <w:r>
        <w:rPr>
          <w:lang w:val="es-ES"/>
        </w:rPr>
        <w:t>,</w:t>
      </w:r>
      <w:r w:rsidRPr="00F376E8">
        <w:rPr>
          <w:lang w:val="es-ES"/>
        </w:rPr>
        <w:t xml:space="preserve"> sobre ciertos usos autorizados de las obras huérfanas</w:t>
      </w:r>
      <w:r>
        <w:rPr>
          <w:lang w:val="es-ES"/>
        </w:rPr>
        <w:t>, 2012 D.O. (L 299), págs</w:t>
      </w:r>
      <w:r w:rsidRPr="00F376E8">
        <w:rPr>
          <w:lang w:val="es-ES"/>
        </w:rPr>
        <w:t>. 5-12.</w:t>
      </w:r>
    </w:p>
  </w:footnote>
  <w:footnote w:id="7">
    <w:p w:rsidR="00F376E8" w:rsidRPr="00F376E8" w:rsidRDefault="00F376E8" w:rsidP="00B57DA7">
      <w:pPr>
        <w:pStyle w:val="FootnoteText"/>
        <w:rPr>
          <w:lang w:val="es-ES"/>
        </w:rPr>
      </w:pPr>
      <w:r w:rsidRPr="00F376E8">
        <w:rPr>
          <w:rStyle w:val="FootnoteReference"/>
          <w:lang w:val="es-ES"/>
        </w:rPr>
        <w:footnoteRef/>
      </w:r>
      <w:r w:rsidRPr="00F376E8">
        <w:rPr>
          <w:lang w:val="es-ES"/>
        </w:rPr>
        <w:t xml:space="preserve"> El presente informe emplea el término “exención” en el contexto de la legislación contra la elusión, y lo hace principalmente para diferenciar este tipo de leyes de lo que se entiende tradicionalmente por derecho de autor.  Un gran número de países prevé “exenciones” a la prohibición de eludir las medidas tecnológicas de protección.  Además, se emplea la expresión “exención” para aclarar que el concepto de “ninguna excepción en favor de las bibliotecas” hace referencia a las excepciones a los derechos patrimoniales, entre otros, que han constituido tradicionalmente el núcleo de la legislación de derecho de autor.</w:t>
      </w:r>
    </w:p>
  </w:footnote>
  <w:footnote w:id="8">
    <w:p w:rsidR="00F376E8" w:rsidRPr="00F376E8" w:rsidRDefault="00F376E8" w:rsidP="00B57DA7">
      <w:pPr>
        <w:pStyle w:val="FootnoteText"/>
        <w:rPr>
          <w:lang w:val="es-ES"/>
        </w:rPr>
      </w:pPr>
      <w:r w:rsidRPr="00F376E8">
        <w:rPr>
          <w:rStyle w:val="FootnoteReference"/>
          <w:lang w:val="es-ES"/>
        </w:rPr>
        <w:footnoteRef/>
      </w:r>
      <w:r w:rsidRPr="00F376E8">
        <w:rPr>
          <w:lang w:val="es-ES"/>
        </w:rPr>
        <w:t xml:space="preserve"> </w:t>
      </w:r>
      <w:r w:rsidRPr="00F376E8">
        <w:rPr>
          <w:szCs w:val="22"/>
          <w:lang w:val="es-ES"/>
        </w:rPr>
        <w:t>El presente informe se centra en las leyes de derecho de autor de cada país (y, en algunos casos, en los reglamentos adoptados por la autoridad legal competente).  Por lo tanto, para determinar que no existen excepciones en favor de las bibliotecas se ha comprobado si la legislación en materia de derecho de autor, promulgada por el órgano legislativo competente en cada país contempla alguna excepción al derecho de autor aplicable explícitamente a las bibliotecas.  Por otra parte, algunos países no aplican ninguna excepción legal, aunque hayan ratificado instrumentos internacionales que sí prevén excepciones al derecho de autor en favor de las bibliotecas.  El Acuerdo de Cartagena y el Acuerdo de Bangui son ejemplos de esos instrumentos, que aparecen citados junto al país correspondiente.  Para dispensar el mismo trato a todos los países analizados en el presente estudio, se ha considerado que un país no dispone de excepciones en favor de las bibliotecas cuando no exista una disposición al respecto en su legislación nacional.</w:t>
      </w:r>
    </w:p>
  </w:footnote>
  <w:footnote w:id="9">
    <w:p w:rsidR="00F376E8" w:rsidRPr="00F376E8" w:rsidRDefault="00F376E8" w:rsidP="00052DBE">
      <w:pPr>
        <w:pStyle w:val="FootnoteText"/>
        <w:rPr>
          <w:lang w:val="es-ES"/>
        </w:rPr>
      </w:pPr>
      <w:r w:rsidRPr="00F376E8">
        <w:rPr>
          <w:rStyle w:val="FootnoteReference"/>
          <w:lang w:val="es-ES"/>
        </w:rPr>
        <w:footnoteRef/>
      </w:r>
      <w:r w:rsidRPr="00F376E8">
        <w:rPr>
          <w:lang w:val="es-ES"/>
        </w:rPr>
        <w:t xml:space="preserve"> </w:t>
      </w:r>
      <w:r>
        <w:rPr>
          <w:lang w:val="es-ES"/>
        </w:rPr>
        <w:t>En el estudio de 2015 se halló que 32 países de los 188 Estados miembros no contaban con excepciones en favor de las bibliotecas.  El hecho de que esa cifra haya decrecido indica no solamente que algunos de esos 32 países han revisado su legislación, y las revisiones han dado lugar a la promulgación de excepciones en favor de las bibliotecas.</w:t>
      </w:r>
    </w:p>
  </w:footnote>
  <w:footnote w:id="10">
    <w:p w:rsidR="00F376E8" w:rsidRPr="00F376E8" w:rsidRDefault="00F376E8" w:rsidP="00052DBE">
      <w:pPr>
        <w:pStyle w:val="FootnoteText"/>
        <w:rPr>
          <w:lang w:val="es-ES"/>
        </w:rPr>
      </w:pPr>
      <w:r w:rsidRPr="00F376E8">
        <w:rPr>
          <w:rStyle w:val="FootnoteReference"/>
          <w:lang w:val="es-ES"/>
        </w:rPr>
        <w:footnoteRef/>
      </w:r>
      <w:r w:rsidRPr="00F376E8">
        <w:rPr>
          <w:lang w:val="es-ES"/>
        </w:rPr>
        <w:t xml:space="preserve"> </w:t>
      </w:r>
      <w:r>
        <w:rPr>
          <w:lang w:val="es-ES"/>
        </w:rPr>
        <w:t xml:space="preserve">En el estudio de 2015 se halló que 31 países contaban con una excepción general y carecían de excepciones específicas.  </w:t>
      </w:r>
    </w:p>
  </w:footnote>
  <w:footnote w:id="11">
    <w:p w:rsidR="00F376E8" w:rsidRPr="00F376E8" w:rsidRDefault="00F376E8" w:rsidP="00052DBE">
      <w:pPr>
        <w:pStyle w:val="FootnoteText"/>
        <w:rPr>
          <w:lang w:val="es-ES"/>
        </w:rPr>
      </w:pPr>
      <w:r w:rsidRPr="00F376E8">
        <w:rPr>
          <w:rStyle w:val="FootnoteReference"/>
          <w:lang w:val="es-ES"/>
        </w:rPr>
        <w:footnoteRef/>
      </w:r>
      <w:r w:rsidRPr="00F376E8">
        <w:rPr>
          <w:lang w:val="es-ES"/>
        </w:rPr>
        <w:t xml:space="preserve"> </w:t>
      </w:r>
      <w:r>
        <w:rPr>
          <w:lang w:val="es-ES"/>
        </w:rPr>
        <w:t xml:space="preserve">En el estudio de 2015 se halló que 28 países contaban con esa disposición que tenía su origen en la directiva de la UE.  El </w:t>
      </w:r>
      <w:r w:rsidR="00DB6A3E">
        <w:rPr>
          <w:lang w:val="es-ES"/>
        </w:rPr>
        <w:t>mayor número de países en el presente estudio da a entender no solamente que hay más países que consideran importante esa disposición, sino también que la UE ha resultado ser un actor importante en la promulgación de legislación, que va más allá de sus Estados miembros.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E8" w:rsidRDefault="00F376E8" w:rsidP="00AB53D3">
    <w:pPr>
      <w:jc w:val="right"/>
    </w:pPr>
    <w:r>
      <w:t xml:space="preserve">página </w:t>
    </w:r>
    <w:r>
      <w:fldChar w:fldCharType="begin"/>
    </w:r>
    <w:r>
      <w:instrText xml:space="preserve"> PAGE  \* MERGEFORMAT </w:instrText>
    </w:r>
    <w:r>
      <w:fldChar w:fldCharType="separate"/>
    </w:r>
    <w:r w:rsidR="00F4789C">
      <w:rPr>
        <w:noProof/>
      </w:rPr>
      <w:t>9</w:t>
    </w:r>
    <w:r>
      <w:rPr>
        <w:noProof/>
      </w:rPr>
      <w:fldChar w:fldCharType="end"/>
    </w:r>
  </w:p>
  <w:p w:rsidR="00F376E8" w:rsidRDefault="00F376E8" w:rsidP="00AB53D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E47831"/>
    <w:multiLevelType w:val="hybridMultilevel"/>
    <w:tmpl w:val="76B43D40"/>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5">
    <w:nsid w:val="3C3F6C32"/>
    <w:multiLevelType w:val="hybridMultilevel"/>
    <w:tmpl w:val="05003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F04779"/>
    <w:multiLevelType w:val="hybridMultilevel"/>
    <w:tmpl w:val="6182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842230"/>
    <w:multiLevelType w:val="hybridMultilevel"/>
    <w:tmpl w:val="8748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E47E74"/>
    <w:multiLevelType w:val="hybridMultilevel"/>
    <w:tmpl w:val="F3E8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3"/>
  </w:num>
  <w:num w:numId="4">
    <w:abstractNumId w:val="12"/>
  </w:num>
  <w:num w:numId="5">
    <w:abstractNumId w:val="0"/>
  </w:num>
  <w:num w:numId="6">
    <w:abstractNumId w:val="11"/>
  </w:num>
  <w:num w:numId="7">
    <w:abstractNumId w:val="6"/>
  </w:num>
  <w:num w:numId="8">
    <w:abstractNumId w:val="5"/>
  </w:num>
  <w:num w:numId="9">
    <w:abstractNumId w:val="4"/>
  </w:num>
  <w:num w:numId="10">
    <w:abstractNumId w:val="9"/>
  </w:num>
  <w:num w:numId="11">
    <w:abstractNumId w:val="10"/>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92"/>
    <w:rsid w:val="000036EE"/>
    <w:rsid w:val="00052DBE"/>
    <w:rsid w:val="000943DC"/>
    <w:rsid w:val="000C4667"/>
    <w:rsid w:val="000F5E56"/>
    <w:rsid w:val="00153BF4"/>
    <w:rsid w:val="0018060D"/>
    <w:rsid w:val="001B1DCF"/>
    <w:rsid w:val="001D1A05"/>
    <w:rsid w:val="001D3468"/>
    <w:rsid w:val="00214E31"/>
    <w:rsid w:val="00226DC7"/>
    <w:rsid w:val="00250F36"/>
    <w:rsid w:val="002703DC"/>
    <w:rsid w:val="00275CFA"/>
    <w:rsid w:val="0027669C"/>
    <w:rsid w:val="00285590"/>
    <w:rsid w:val="002D1829"/>
    <w:rsid w:val="002E5E1C"/>
    <w:rsid w:val="002F74CC"/>
    <w:rsid w:val="00310779"/>
    <w:rsid w:val="00322ABB"/>
    <w:rsid w:val="003360FE"/>
    <w:rsid w:val="00344437"/>
    <w:rsid w:val="00347E85"/>
    <w:rsid w:val="00371F97"/>
    <w:rsid w:val="003726E9"/>
    <w:rsid w:val="003B3ED4"/>
    <w:rsid w:val="00405A7F"/>
    <w:rsid w:val="00431118"/>
    <w:rsid w:val="00465418"/>
    <w:rsid w:val="004A528D"/>
    <w:rsid w:val="004C33E8"/>
    <w:rsid w:val="004E613E"/>
    <w:rsid w:val="005013D2"/>
    <w:rsid w:val="00504FC1"/>
    <w:rsid w:val="00526474"/>
    <w:rsid w:val="00531ACF"/>
    <w:rsid w:val="005414C3"/>
    <w:rsid w:val="005E6B0A"/>
    <w:rsid w:val="006125F8"/>
    <w:rsid w:val="006366B6"/>
    <w:rsid w:val="00655485"/>
    <w:rsid w:val="006656D7"/>
    <w:rsid w:val="00671015"/>
    <w:rsid w:val="006938F7"/>
    <w:rsid w:val="006B1FB8"/>
    <w:rsid w:val="006D5BB7"/>
    <w:rsid w:val="00703969"/>
    <w:rsid w:val="00721ADC"/>
    <w:rsid w:val="00733CD7"/>
    <w:rsid w:val="00764AD8"/>
    <w:rsid w:val="00773301"/>
    <w:rsid w:val="007823D3"/>
    <w:rsid w:val="007A001A"/>
    <w:rsid w:val="007B240C"/>
    <w:rsid w:val="007C554B"/>
    <w:rsid w:val="007D53C7"/>
    <w:rsid w:val="00804DB7"/>
    <w:rsid w:val="00816192"/>
    <w:rsid w:val="008164F2"/>
    <w:rsid w:val="008332F8"/>
    <w:rsid w:val="00842751"/>
    <w:rsid w:val="0089073C"/>
    <w:rsid w:val="008B1D87"/>
    <w:rsid w:val="008C4493"/>
    <w:rsid w:val="008D1C0E"/>
    <w:rsid w:val="0090667E"/>
    <w:rsid w:val="00923FDC"/>
    <w:rsid w:val="009263F2"/>
    <w:rsid w:val="009314C8"/>
    <w:rsid w:val="009444C2"/>
    <w:rsid w:val="0096751F"/>
    <w:rsid w:val="00A34F6B"/>
    <w:rsid w:val="00A738FE"/>
    <w:rsid w:val="00A76D2F"/>
    <w:rsid w:val="00A819C4"/>
    <w:rsid w:val="00A9052B"/>
    <w:rsid w:val="00AA0CCE"/>
    <w:rsid w:val="00AB0C32"/>
    <w:rsid w:val="00AB4B63"/>
    <w:rsid w:val="00AB53D3"/>
    <w:rsid w:val="00AF792D"/>
    <w:rsid w:val="00B03ED1"/>
    <w:rsid w:val="00B13647"/>
    <w:rsid w:val="00B31388"/>
    <w:rsid w:val="00B458E8"/>
    <w:rsid w:val="00B57DA7"/>
    <w:rsid w:val="00B609F4"/>
    <w:rsid w:val="00BA7385"/>
    <w:rsid w:val="00BB62B9"/>
    <w:rsid w:val="00C27774"/>
    <w:rsid w:val="00C43CFC"/>
    <w:rsid w:val="00C554EC"/>
    <w:rsid w:val="00C95927"/>
    <w:rsid w:val="00C96DB7"/>
    <w:rsid w:val="00CA6B92"/>
    <w:rsid w:val="00CA787C"/>
    <w:rsid w:val="00CB46E3"/>
    <w:rsid w:val="00CC6133"/>
    <w:rsid w:val="00CF24F5"/>
    <w:rsid w:val="00D33826"/>
    <w:rsid w:val="00D50EB9"/>
    <w:rsid w:val="00D555FD"/>
    <w:rsid w:val="00DB171D"/>
    <w:rsid w:val="00DB6A3E"/>
    <w:rsid w:val="00DE2FF4"/>
    <w:rsid w:val="00DF0932"/>
    <w:rsid w:val="00DF0C4C"/>
    <w:rsid w:val="00DF7C9E"/>
    <w:rsid w:val="00E16949"/>
    <w:rsid w:val="00E35625"/>
    <w:rsid w:val="00E7699C"/>
    <w:rsid w:val="00E77B27"/>
    <w:rsid w:val="00ED384D"/>
    <w:rsid w:val="00EE1E88"/>
    <w:rsid w:val="00EE332A"/>
    <w:rsid w:val="00F01191"/>
    <w:rsid w:val="00F20044"/>
    <w:rsid w:val="00F376E8"/>
    <w:rsid w:val="00F430E5"/>
    <w:rsid w:val="00F4789C"/>
    <w:rsid w:val="00F5782D"/>
    <w:rsid w:val="00F630FF"/>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192"/>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basedOn w:val="DefaultParagraphFont"/>
    <w:link w:val="FootnoteText"/>
    <w:uiPriority w:val="99"/>
    <w:rsid w:val="00816192"/>
    <w:rPr>
      <w:rFonts w:ascii="Arial" w:hAnsi="Arial" w:cs="Arial"/>
      <w:sz w:val="18"/>
    </w:rPr>
  </w:style>
  <w:style w:type="character" w:styleId="FootnoteReference">
    <w:name w:val="footnote reference"/>
    <w:rsid w:val="00816192"/>
    <w:rPr>
      <w:vertAlign w:val="superscript"/>
    </w:rPr>
  </w:style>
  <w:style w:type="character" w:customStyle="1" w:styleId="Heading1Char">
    <w:name w:val="Heading 1 Char"/>
    <w:link w:val="Heading1"/>
    <w:rsid w:val="00816192"/>
    <w:rPr>
      <w:rFonts w:ascii="Arial" w:eastAsia="SimSun" w:hAnsi="Arial" w:cs="Arial"/>
      <w:b/>
      <w:bCs/>
      <w:caps/>
      <w:kern w:val="32"/>
      <w:sz w:val="22"/>
      <w:szCs w:val="32"/>
    </w:rPr>
  </w:style>
  <w:style w:type="character" w:styleId="Strong">
    <w:name w:val="Strong"/>
    <w:basedOn w:val="DefaultParagraphFont"/>
    <w:uiPriority w:val="22"/>
    <w:qFormat/>
    <w:rsid w:val="00E16949"/>
    <w:rPr>
      <w:b/>
      <w:bCs/>
    </w:rPr>
  </w:style>
  <w:style w:type="character" w:customStyle="1" w:styleId="InternetLink">
    <w:name w:val="Internet Link"/>
    <w:rsid w:val="008D1C0E"/>
    <w:rPr>
      <w:color w:val="000080"/>
      <w:u w:val="single"/>
    </w:rPr>
  </w:style>
  <w:style w:type="paragraph" w:styleId="ListParagraph">
    <w:name w:val="List Paragraph"/>
    <w:basedOn w:val="Normal"/>
    <w:uiPriority w:val="34"/>
    <w:qFormat/>
    <w:rsid w:val="00B13647"/>
    <w:pPr>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rsid w:val="00B136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192"/>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basedOn w:val="DefaultParagraphFont"/>
    <w:link w:val="FootnoteText"/>
    <w:uiPriority w:val="99"/>
    <w:rsid w:val="00816192"/>
    <w:rPr>
      <w:rFonts w:ascii="Arial" w:hAnsi="Arial" w:cs="Arial"/>
      <w:sz w:val="18"/>
    </w:rPr>
  </w:style>
  <w:style w:type="character" w:styleId="FootnoteReference">
    <w:name w:val="footnote reference"/>
    <w:rsid w:val="00816192"/>
    <w:rPr>
      <w:vertAlign w:val="superscript"/>
    </w:rPr>
  </w:style>
  <w:style w:type="character" w:customStyle="1" w:styleId="Heading1Char">
    <w:name w:val="Heading 1 Char"/>
    <w:link w:val="Heading1"/>
    <w:rsid w:val="00816192"/>
    <w:rPr>
      <w:rFonts w:ascii="Arial" w:eastAsia="SimSun" w:hAnsi="Arial" w:cs="Arial"/>
      <w:b/>
      <w:bCs/>
      <w:caps/>
      <w:kern w:val="32"/>
      <w:sz w:val="22"/>
      <w:szCs w:val="32"/>
    </w:rPr>
  </w:style>
  <w:style w:type="character" w:styleId="Strong">
    <w:name w:val="Strong"/>
    <w:basedOn w:val="DefaultParagraphFont"/>
    <w:uiPriority w:val="22"/>
    <w:qFormat/>
    <w:rsid w:val="00E16949"/>
    <w:rPr>
      <w:b/>
      <w:bCs/>
    </w:rPr>
  </w:style>
  <w:style w:type="character" w:customStyle="1" w:styleId="InternetLink">
    <w:name w:val="Internet Link"/>
    <w:rsid w:val="008D1C0E"/>
    <w:rPr>
      <w:color w:val="000080"/>
      <w:u w:val="single"/>
    </w:rPr>
  </w:style>
  <w:style w:type="paragraph" w:styleId="ListParagraph">
    <w:name w:val="List Paragraph"/>
    <w:basedOn w:val="Normal"/>
    <w:uiPriority w:val="34"/>
    <w:qFormat/>
    <w:rsid w:val="00B13647"/>
    <w:pPr>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rsid w:val="00B136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wipolex/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3728</Words>
  <Characters>21252</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sobre limitaciones y excepciones en materia de derecho de autor en favor de bibliotecas y archivos:  versión actualizada y revisada (edición de 2017)</dc:title>
  <dc:subject>Wipo Templates</dc:subject>
  <dc:creator/>
  <dc:description>JC - 13.11.2017</dc:description>
  <cp:lastModifiedBy>BOU LLORET Amparo</cp:lastModifiedBy>
  <cp:revision>18</cp:revision>
  <cp:lastPrinted>2017-11-13T10:37:00Z</cp:lastPrinted>
  <dcterms:created xsi:type="dcterms:W3CDTF">2017-11-13T08:20:00Z</dcterms:created>
  <dcterms:modified xsi:type="dcterms:W3CDTF">2017-11-13T15:24:00Z</dcterms:modified>
</cp:coreProperties>
</file>