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0EBB" w:rsidRPr="00300EBB" w14:paraId="6B121601" w14:textId="77777777" w:rsidTr="0088395E">
        <w:tc>
          <w:tcPr>
            <w:tcW w:w="4513" w:type="dxa"/>
            <w:tcBorders>
              <w:bottom w:val="single" w:sz="4" w:space="0" w:color="auto"/>
            </w:tcBorders>
            <w:tcMar>
              <w:bottom w:w="170" w:type="dxa"/>
            </w:tcMar>
          </w:tcPr>
          <w:p w14:paraId="6DA6A193" w14:textId="77777777" w:rsidR="00E504E5" w:rsidRPr="00300EBB" w:rsidRDefault="00E504E5" w:rsidP="00AB613D">
            <w:bookmarkStart w:id="0" w:name="_GoBack"/>
            <w:bookmarkEnd w:id="0"/>
          </w:p>
        </w:tc>
        <w:tc>
          <w:tcPr>
            <w:tcW w:w="4337" w:type="dxa"/>
            <w:tcBorders>
              <w:bottom w:val="single" w:sz="4" w:space="0" w:color="auto"/>
            </w:tcBorders>
            <w:tcMar>
              <w:left w:w="0" w:type="dxa"/>
              <w:right w:w="0" w:type="dxa"/>
            </w:tcMar>
          </w:tcPr>
          <w:p w14:paraId="2C91728D" w14:textId="77777777" w:rsidR="00E504E5" w:rsidRPr="00300EBB" w:rsidRDefault="00C80FE6" w:rsidP="00AB613D">
            <w:r w:rsidRPr="00300EBB">
              <w:rPr>
                <w:noProof/>
                <w:lang w:val="en-US" w:eastAsia="en-US"/>
              </w:rPr>
              <w:drawing>
                <wp:inline distT="0" distB="0" distL="0" distR="0" wp14:anchorId="78DDD2CE" wp14:editId="70ED2BF5">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2E44AAF" w14:textId="77777777" w:rsidR="00E504E5" w:rsidRPr="00300EBB" w:rsidRDefault="00E504E5" w:rsidP="00AB613D">
            <w:pPr>
              <w:jc w:val="right"/>
            </w:pPr>
            <w:r w:rsidRPr="00300EBB">
              <w:rPr>
                <w:b/>
                <w:sz w:val="40"/>
                <w:szCs w:val="40"/>
              </w:rPr>
              <w:t>S</w:t>
            </w:r>
          </w:p>
        </w:tc>
      </w:tr>
      <w:tr w:rsidR="00300EBB" w:rsidRPr="00300EBB" w14:paraId="36D96D9D"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2FE31CED" w14:textId="77777777" w:rsidR="008B2CC1" w:rsidRPr="00300EBB" w:rsidRDefault="00C80FE6" w:rsidP="00AB613D">
            <w:pPr>
              <w:jc w:val="right"/>
              <w:rPr>
                <w:rFonts w:ascii="Arial Black" w:hAnsi="Arial Black"/>
                <w:caps/>
                <w:sz w:val="15"/>
              </w:rPr>
            </w:pPr>
            <w:r w:rsidRPr="00300EBB">
              <w:rPr>
                <w:rFonts w:ascii="Arial Black" w:hAnsi="Arial Black"/>
                <w:caps/>
                <w:sz w:val="15"/>
              </w:rPr>
              <w:t>SCCR/34/</w:t>
            </w:r>
            <w:bookmarkStart w:id="1" w:name="Code"/>
            <w:bookmarkEnd w:id="1"/>
            <w:r w:rsidR="00F54F33" w:rsidRPr="00300EBB">
              <w:rPr>
                <w:rFonts w:ascii="Arial Black" w:hAnsi="Arial Black"/>
                <w:caps/>
                <w:sz w:val="15"/>
              </w:rPr>
              <w:t>6</w:t>
            </w:r>
          </w:p>
        </w:tc>
      </w:tr>
      <w:tr w:rsidR="00300EBB" w:rsidRPr="00300EBB" w14:paraId="478FAFA4" w14:textId="77777777" w:rsidTr="00AB613D">
        <w:trPr>
          <w:trHeight w:hRule="exact" w:val="170"/>
        </w:trPr>
        <w:tc>
          <w:tcPr>
            <w:tcW w:w="9356" w:type="dxa"/>
            <w:gridSpan w:val="3"/>
            <w:noWrap/>
            <w:tcMar>
              <w:left w:w="0" w:type="dxa"/>
              <w:right w:w="0" w:type="dxa"/>
            </w:tcMar>
            <w:vAlign w:val="bottom"/>
          </w:tcPr>
          <w:p w14:paraId="4E4EFEBE" w14:textId="77777777" w:rsidR="008B2CC1" w:rsidRPr="00300EBB" w:rsidRDefault="008B2CC1" w:rsidP="0046793F">
            <w:pPr>
              <w:jc w:val="right"/>
              <w:rPr>
                <w:rFonts w:ascii="Arial Black" w:hAnsi="Arial Black"/>
                <w:caps/>
                <w:sz w:val="15"/>
              </w:rPr>
            </w:pPr>
            <w:r w:rsidRPr="00300EBB">
              <w:rPr>
                <w:rFonts w:ascii="Arial Black" w:hAnsi="Arial Black"/>
                <w:caps/>
                <w:sz w:val="15"/>
              </w:rPr>
              <w:t>ORIGINAL:</w:t>
            </w:r>
            <w:r w:rsidR="009A20CD" w:rsidRPr="00300EBB">
              <w:rPr>
                <w:rFonts w:ascii="Arial Black" w:hAnsi="Arial Black"/>
                <w:caps/>
                <w:sz w:val="15"/>
              </w:rPr>
              <w:t xml:space="preserve">  </w:t>
            </w:r>
            <w:bookmarkStart w:id="2" w:name="Original"/>
            <w:bookmarkEnd w:id="2"/>
            <w:r w:rsidR="00F54F33" w:rsidRPr="00300EBB">
              <w:rPr>
                <w:rFonts w:ascii="Arial Black" w:hAnsi="Arial Black"/>
                <w:caps/>
                <w:sz w:val="15"/>
              </w:rPr>
              <w:t>INGLÉS</w:t>
            </w:r>
            <w:r w:rsidRPr="00300EBB">
              <w:rPr>
                <w:rFonts w:ascii="Arial Black" w:hAnsi="Arial Black"/>
                <w:caps/>
                <w:sz w:val="15"/>
              </w:rPr>
              <w:t xml:space="preserve"> </w:t>
            </w:r>
          </w:p>
        </w:tc>
      </w:tr>
      <w:tr w:rsidR="008B2CC1" w:rsidRPr="00300EBB" w14:paraId="5AEF7A27" w14:textId="77777777" w:rsidTr="00AB613D">
        <w:trPr>
          <w:trHeight w:hRule="exact" w:val="198"/>
        </w:trPr>
        <w:tc>
          <w:tcPr>
            <w:tcW w:w="9356" w:type="dxa"/>
            <w:gridSpan w:val="3"/>
            <w:tcMar>
              <w:left w:w="0" w:type="dxa"/>
              <w:right w:w="0" w:type="dxa"/>
            </w:tcMar>
            <w:vAlign w:val="bottom"/>
          </w:tcPr>
          <w:p w14:paraId="6E5200A4" w14:textId="77777777" w:rsidR="008B2CC1" w:rsidRPr="00300EBB" w:rsidRDefault="00675021" w:rsidP="0046793F">
            <w:pPr>
              <w:jc w:val="right"/>
              <w:rPr>
                <w:rFonts w:ascii="Arial Black" w:hAnsi="Arial Black"/>
                <w:caps/>
                <w:sz w:val="15"/>
              </w:rPr>
            </w:pPr>
            <w:r w:rsidRPr="00300EBB">
              <w:rPr>
                <w:rFonts w:ascii="Arial Black" w:hAnsi="Arial Black"/>
                <w:caps/>
                <w:sz w:val="15"/>
              </w:rPr>
              <w:t>fecha</w:t>
            </w:r>
            <w:r w:rsidR="008B2CC1" w:rsidRPr="00300EBB">
              <w:rPr>
                <w:rFonts w:ascii="Arial Black" w:hAnsi="Arial Black"/>
                <w:caps/>
                <w:sz w:val="15"/>
              </w:rPr>
              <w:t>:</w:t>
            </w:r>
            <w:r w:rsidR="009A20CD" w:rsidRPr="00300EBB">
              <w:rPr>
                <w:rFonts w:ascii="Arial Black" w:hAnsi="Arial Black"/>
                <w:caps/>
                <w:sz w:val="15"/>
              </w:rPr>
              <w:t xml:space="preserve">  </w:t>
            </w:r>
            <w:bookmarkStart w:id="3" w:name="Date"/>
            <w:bookmarkEnd w:id="3"/>
            <w:r w:rsidR="00F54F33" w:rsidRPr="00300EBB">
              <w:rPr>
                <w:rFonts w:ascii="Arial Black" w:hAnsi="Arial Black"/>
                <w:caps/>
                <w:sz w:val="15"/>
              </w:rPr>
              <w:t>5 DE MAYO DE 2017</w:t>
            </w:r>
            <w:r w:rsidR="008B2CC1" w:rsidRPr="00300EBB">
              <w:rPr>
                <w:rFonts w:ascii="Arial Black" w:hAnsi="Arial Black"/>
                <w:caps/>
                <w:sz w:val="15"/>
              </w:rPr>
              <w:t xml:space="preserve"> </w:t>
            </w:r>
          </w:p>
        </w:tc>
      </w:tr>
    </w:tbl>
    <w:p w14:paraId="302E1DA2" w14:textId="77777777" w:rsidR="008B2CC1" w:rsidRPr="00300EBB" w:rsidRDefault="008B2CC1" w:rsidP="008B2CC1"/>
    <w:p w14:paraId="7433A62B" w14:textId="77777777" w:rsidR="008B2CC1" w:rsidRPr="00300EBB" w:rsidRDefault="008B2CC1" w:rsidP="008B2CC1"/>
    <w:p w14:paraId="7C7AA30C" w14:textId="77777777" w:rsidR="008B2CC1" w:rsidRPr="00300EBB" w:rsidRDefault="008B2CC1" w:rsidP="008B2CC1"/>
    <w:p w14:paraId="07CE0510" w14:textId="77777777" w:rsidR="008B2CC1" w:rsidRPr="00300EBB" w:rsidRDefault="008B2CC1" w:rsidP="008B2CC1"/>
    <w:p w14:paraId="05A4FA7A" w14:textId="77777777" w:rsidR="008B2CC1" w:rsidRPr="00300EBB" w:rsidRDefault="008B2CC1" w:rsidP="008B2CC1"/>
    <w:p w14:paraId="2529CE9F" w14:textId="77777777" w:rsidR="00B67CDC" w:rsidRPr="00300EBB" w:rsidRDefault="00C80FE6" w:rsidP="00B67CDC">
      <w:pPr>
        <w:rPr>
          <w:b/>
          <w:sz w:val="28"/>
          <w:szCs w:val="28"/>
        </w:rPr>
      </w:pPr>
      <w:r w:rsidRPr="00300EBB">
        <w:rPr>
          <w:b/>
          <w:sz w:val="28"/>
          <w:szCs w:val="28"/>
        </w:rPr>
        <w:t>Comité Permanente de Derecho de Autor y Derechos Conexos</w:t>
      </w:r>
    </w:p>
    <w:p w14:paraId="4FE87B5C" w14:textId="77777777" w:rsidR="003845C1" w:rsidRPr="00300EBB" w:rsidRDefault="003845C1" w:rsidP="003845C1"/>
    <w:p w14:paraId="24D14AD8" w14:textId="77777777" w:rsidR="003845C1" w:rsidRPr="00300EBB" w:rsidRDefault="003845C1" w:rsidP="003845C1"/>
    <w:p w14:paraId="0C3112D2" w14:textId="77777777" w:rsidR="00B67CDC" w:rsidRPr="00300EBB" w:rsidRDefault="00C80FE6" w:rsidP="00B67CDC">
      <w:pPr>
        <w:rPr>
          <w:b/>
          <w:sz w:val="24"/>
          <w:szCs w:val="24"/>
        </w:rPr>
      </w:pPr>
      <w:r w:rsidRPr="00300EBB">
        <w:rPr>
          <w:b/>
          <w:sz w:val="24"/>
          <w:szCs w:val="24"/>
        </w:rPr>
        <w:t>Trigésima cuarta sesión</w:t>
      </w:r>
    </w:p>
    <w:p w14:paraId="51ABA74E" w14:textId="77777777" w:rsidR="00B67CDC" w:rsidRPr="00300EBB" w:rsidRDefault="00C80FE6" w:rsidP="00B67CDC">
      <w:pPr>
        <w:rPr>
          <w:b/>
          <w:sz w:val="24"/>
          <w:szCs w:val="24"/>
        </w:rPr>
      </w:pPr>
      <w:r w:rsidRPr="00300EBB">
        <w:rPr>
          <w:b/>
          <w:sz w:val="24"/>
          <w:szCs w:val="24"/>
        </w:rPr>
        <w:t>Ginebra, 1 a 5 de mayo de 2017</w:t>
      </w:r>
    </w:p>
    <w:p w14:paraId="413E2AD6" w14:textId="77777777" w:rsidR="008B2CC1" w:rsidRPr="00300EBB" w:rsidRDefault="008B2CC1" w:rsidP="008B2CC1"/>
    <w:p w14:paraId="08FE22DF" w14:textId="77777777" w:rsidR="008B2CC1" w:rsidRPr="00300EBB" w:rsidRDefault="008B2CC1" w:rsidP="008B2CC1"/>
    <w:p w14:paraId="188C714C" w14:textId="77777777" w:rsidR="008B2CC1" w:rsidRPr="00300EBB" w:rsidRDefault="008B2CC1" w:rsidP="008B2CC1"/>
    <w:p w14:paraId="5EE3317F" w14:textId="77777777" w:rsidR="00F54F33" w:rsidRPr="00300EBB" w:rsidRDefault="00796069" w:rsidP="00F54F33">
      <w:pPr>
        <w:rPr>
          <w:caps/>
          <w:sz w:val="24"/>
        </w:rPr>
      </w:pPr>
      <w:bookmarkStart w:id="4" w:name="TitleOfDoc"/>
      <w:bookmarkEnd w:id="4"/>
      <w:r w:rsidRPr="00300EBB">
        <w:rPr>
          <w:caps/>
          <w:sz w:val="24"/>
        </w:rPr>
        <w:t xml:space="preserve">CUADRO OFICIOSO SOBRE LIMITACIONES Y EXCEPCIONES PARA </w:t>
      </w:r>
      <w:r w:rsidR="00952409" w:rsidRPr="00300EBB">
        <w:rPr>
          <w:caps/>
          <w:sz w:val="24"/>
        </w:rPr>
        <w:t>INSTITUCIONES EDUCATIVAS Y DE INVESTIGACIÓN</w:t>
      </w:r>
    </w:p>
    <w:p w14:paraId="4CEEBA84" w14:textId="77777777" w:rsidR="00F54F33" w:rsidRPr="00300EBB" w:rsidRDefault="00F54F33" w:rsidP="00F54F33"/>
    <w:p w14:paraId="7D762A93" w14:textId="124A43E9" w:rsidR="000F5E56" w:rsidRPr="00300EBB" w:rsidRDefault="00F54F33" w:rsidP="00F54F33">
      <w:bookmarkStart w:id="5" w:name="Prepared"/>
      <w:bookmarkEnd w:id="5"/>
      <w:proofErr w:type="gramStart"/>
      <w:r w:rsidRPr="00300EBB">
        <w:rPr>
          <w:i/>
        </w:rPr>
        <w:t>preparado</w:t>
      </w:r>
      <w:proofErr w:type="gramEnd"/>
      <w:r w:rsidRPr="00300EBB">
        <w:rPr>
          <w:i/>
        </w:rPr>
        <w:t xml:space="preserve"> por la </w:t>
      </w:r>
      <w:r w:rsidR="005B63A0" w:rsidRPr="00300EBB">
        <w:rPr>
          <w:i/>
        </w:rPr>
        <w:t>presidencia</w:t>
      </w:r>
    </w:p>
    <w:p w14:paraId="394C3453" w14:textId="77777777" w:rsidR="00F84474" w:rsidRPr="00300EBB" w:rsidRDefault="00F84474"/>
    <w:p w14:paraId="3B8035C9" w14:textId="77777777" w:rsidR="00F84474" w:rsidRPr="00300EBB" w:rsidRDefault="00F84474"/>
    <w:p w14:paraId="409C2D7F" w14:textId="77777777" w:rsidR="00F54F33" w:rsidRPr="00300EBB" w:rsidRDefault="00F54F33">
      <w:pPr>
        <w:sectPr w:rsidR="00F54F33" w:rsidRPr="00300EBB" w:rsidSect="00F54F33">
          <w:headerReference w:type="default" r:id="rId10"/>
          <w:pgSz w:w="11907" w:h="16840" w:code="9"/>
          <w:pgMar w:top="567" w:right="1134" w:bottom="1418" w:left="1418" w:header="510" w:footer="1021" w:gutter="0"/>
          <w:cols w:space="720"/>
          <w:titlePg/>
          <w:docGrid w:linePitch="299"/>
        </w:sectPr>
      </w:pPr>
    </w:p>
    <w:p w14:paraId="428A33EF" w14:textId="77777777" w:rsidR="00F54F33" w:rsidRPr="00300EBB" w:rsidRDefault="00952409" w:rsidP="00F54F33">
      <w:pPr>
        <w:jc w:val="center"/>
      </w:pPr>
      <w:r w:rsidRPr="00300EBB">
        <w:rPr>
          <w:caps/>
          <w:sz w:val="24"/>
        </w:rPr>
        <w:lastRenderedPageBreak/>
        <w:t>LIMITACIONES Y EXCEPCIONES PARA INSTITUCIONES EDUCATIVAS Y DE INVESTIGACIÓN</w:t>
      </w:r>
    </w:p>
    <w:p w14:paraId="4AF726A6" w14:textId="77777777" w:rsidR="00F54F33" w:rsidRPr="00300EBB" w:rsidRDefault="00F54F33" w:rsidP="00F54F33"/>
    <w:p w14:paraId="06928B72" w14:textId="2D6EF04E" w:rsidR="00F54F33" w:rsidRPr="00300EBB" w:rsidRDefault="00796069" w:rsidP="00F54F33">
      <w:pPr>
        <w:jc w:val="both"/>
      </w:pPr>
      <w:r w:rsidRPr="00300EBB">
        <w:rPr>
          <w:lang w:val="es-ES_tradnl"/>
        </w:rPr>
        <w:t>El presente</w:t>
      </w:r>
      <w:r w:rsidR="00F54F33" w:rsidRPr="00300EBB">
        <w:rPr>
          <w:lang w:val="es-ES_tradnl"/>
        </w:rPr>
        <w:t xml:space="preserve"> </w:t>
      </w:r>
      <w:r w:rsidR="00D44468" w:rsidRPr="00300EBB">
        <w:rPr>
          <w:lang w:val="es-ES_tradnl"/>
        </w:rPr>
        <w:t>cuadro</w:t>
      </w:r>
      <w:r w:rsidR="00F54F33" w:rsidRPr="00300EBB">
        <w:rPr>
          <w:lang w:val="es-ES_tradnl"/>
        </w:rPr>
        <w:t xml:space="preserve"> tiene por cometido servir de herramienta útil para dar estructura al debate sustantivo de cada tema, </w:t>
      </w:r>
      <w:r w:rsidR="0066630D" w:rsidRPr="00300EBB">
        <w:rPr>
          <w:lang w:val="es-ES_tradnl"/>
        </w:rPr>
        <w:t>inspirándose en</w:t>
      </w:r>
      <w:r w:rsidR="00F54F33" w:rsidRPr="00300EBB">
        <w:rPr>
          <w:lang w:val="es-ES_tradnl"/>
        </w:rPr>
        <w:t xml:space="preserve"> el cúmulo de fuentes que tiene ante sí el Comité.</w:t>
      </w:r>
      <w:r w:rsidR="00F54F33" w:rsidRPr="00300EBB">
        <w:t xml:space="preserve">  </w:t>
      </w:r>
      <w:r w:rsidR="00F54F33" w:rsidRPr="00300EBB">
        <w:rPr>
          <w:lang w:val="es-ES_tradnl"/>
        </w:rPr>
        <w:t xml:space="preserve">Con ello el Comité podrá debatir con base empírica y </w:t>
      </w:r>
      <w:bookmarkStart w:id="7" w:name="_Hlk482767985"/>
      <w:r w:rsidR="00F54F33" w:rsidRPr="00300EBB">
        <w:rPr>
          <w:lang w:val="es-ES_tradnl"/>
        </w:rPr>
        <w:t xml:space="preserve">manteniéndose en el respeto de las diversas opiniones, sabiendo que la meta no es orientar el debate hacia un </w:t>
      </w:r>
      <w:r w:rsidR="0066630D" w:rsidRPr="00300EBB">
        <w:rPr>
          <w:lang w:val="es-ES_tradnl"/>
        </w:rPr>
        <w:t xml:space="preserve">determinado </w:t>
      </w:r>
      <w:r w:rsidR="00F54F33" w:rsidRPr="00300EBB">
        <w:rPr>
          <w:lang w:val="es-ES_tradnl"/>
        </w:rPr>
        <w:t xml:space="preserve">resultado o </w:t>
      </w:r>
      <w:r w:rsidR="0066630D" w:rsidRPr="00300EBB">
        <w:rPr>
          <w:lang w:val="es-ES_tradnl"/>
        </w:rPr>
        <w:t xml:space="preserve">un resultado </w:t>
      </w:r>
      <w:r w:rsidR="00F54F33" w:rsidRPr="00300EBB">
        <w:rPr>
          <w:lang w:val="es-ES_tradnl"/>
        </w:rPr>
        <w:t>no deseado, sino encauzarlo hacia una mejor comprensión de los temas y de su real importancia para los debates y el resultado al que se pretende llegar</w:t>
      </w:r>
      <w:bookmarkEnd w:id="7"/>
      <w:r w:rsidR="00F54F33" w:rsidRPr="00300EBB">
        <w:rPr>
          <w:lang w:val="es-ES_tradnl"/>
        </w:rPr>
        <w:t>.</w:t>
      </w:r>
    </w:p>
    <w:p w14:paraId="3EFC3F6C" w14:textId="77777777" w:rsidR="00F54F33" w:rsidRPr="00300EBB" w:rsidRDefault="00F54F33" w:rsidP="00F54F33"/>
    <w:p w14:paraId="6E19F61C" w14:textId="77777777" w:rsidR="00F54F33" w:rsidRPr="00300EBB" w:rsidRDefault="00F54F33" w:rsidP="00F54F33">
      <w:pPr>
        <w:jc w:val="both"/>
      </w:pPr>
    </w:p>
    <w:tbl>
      <w:tblPr>
        <w:tblStyle w:val="TableGrid"/>
        <w:tblW w:w="14688" w:type="dxa"/>
        <w:tblLayout w:type="fixed"/>
        <w:tblLook w:val="04A0" w:firstRow="1" w:lastRow="0" w:firstColumn="1" w:lastColumn="0" w:noHBand="0" w:noVBand="1"/>
      </w:tblPr>
      <w:tblGrid>
        <w:gridCol w:w="648"/>
        <w:gridCol w:w="2700"/>
        <w:gridCol w:w="2880"/>
        <w:gridCol w:w="8460"/>
      </w:tblGrid>
      <w:tr w:rsidR="00300EBB" w:rsidRPr="00300EBB" w14:paraId="23CC96F6" w14:textId="77777777" w:rsidTr="00EB3917">
        <w:trPr>
          <w:tblHeader/>
        </w:trPr>
        <w:tc>
          <w:tcPr>
            <w:tcW w:w="648" w:type="dxa"/>
            <w:shd w:val="clear" w:color="auto" w:fill="000000" w:themeFill="text1"/>
          </w:tcPr>
          <w:p w14:paraId="7503953E" w14:textId="77777777" w:rsidR="00F54F33" w:rsidRPr="00300EBB" w:rsidRDefault="00F54F33" w:rsidP="00EB3917">
            <w:pPr>
              <w:rPr>
                <w:b/>
              </w:rPr>
            </w:pPr>
          </w:p>
          <w:p w14:paraId="25815C25" w14:textId="77777777" w:rsidR="00F54F33" w:rsidRPr="00300EBB" w:rsidRDefault="00F54F33" w:rsidP="0066630D">
            <w:pPr>
              <w:rPr>
                <w:b/>
              </w:rPr>
            </w:pPr>
            <w:r w:rsidRPr="00300EBB">
              <w:rPr>
                <w:b/>
              </w:rPr>
              <w:t>N</w:t>
            </w:r>
            <w:r w:rsidR="0066630D" w:rsidRPr="00300EBB">
              <w:rPr>
                <w:b/>
              </w:rPr>
              <w:t>.º</w:t>
            </w:r>
          </w:p>
        </w:tc>
        <w:tc>
          <w:tcPr>
            <w:tcW w:w="2700" w:type="dxa"/>
            <w:shd w:val="clear" w:color="auto" w:fill="000000" w:themeFill="text1"/>
          </w:tcPr>
          <w:p w14:paraId="6EB8AB37" w14:textId="77777777" w:rsidR="00F54F33" w:rsidRPr="00300EBB" w:rsidRDefault="00F54F33" w:rsidP="00EB3917">
            <w:pPr>
              <w:jc w:val="center"/>
              <w:rPr>
                <w:b/>
              </w:rPr>
            </w:pPr>
          </w:p>
          <w:p w14:paraId="3D8D4A87" w14:textId="77777777" w:rsidR="00F54F33" w:rsidRPr="00300EBB" w:rsidRDefault="003077ED" w:rsidP="00EB3917">
            <w:pPr>
              <w:jc w:val="center"/>
              <w:rPr>
                <w:b/>
              </w:rPr>
            </w:pPr>
            <w:r w:rsidRPr="00300EBB">
              <w:rPr>
                <w:b/>
              </w:rPr>
              <w:t>Tema</w:t>
            </w:r>
          </w:p>
        </w:tc>
        <w:tc>
          <w:tcPr>
            <w:tcW w:w="11340" w:type="dxa"/>
            <w:gridSpan w:val="2"/>
            <w:shd w:val="clear" w:color="auto" w:fill="000000" w:themeFill="text1"/>
          </w:tcPr>
          <w:p w14:paraId="7070E618" w14:textId="77777777" w:rsidR="00F54F33" w:rsidRPr="00300EBB" w:rsidRDefault="00F54F33" w:rsidP="00EB3917">
            <w:pPr>
              <w:ind w:right="440"/>
              <w:jc w:val="center"/>
              <w:rPr>
                <w:b/>
              </w:rPr>
            </w:pPr>
          </w:p>
          <w:p w14:paraId="36382ABE" w14:textId="77777777" w:rsidR="00F54F33" w:rsidRPr="00300EBB" w:rsidRDefault="003077ED" w:rsidP="00EB3917">
            <w:pPr>
              <w:ind w:right="440"/>
              <w:jc w:val="center"/>
              <w:rPr>
                <w:b/>
              </w:rPr>
            </w:pPr>
            <w:r w:rsidRPr="00300EBB">
              <w:rPr>
                <w:b/>
              </w:rPr>
              <w:t>Estudio sobre las limitaciones y excepciones al derecho de autor con fines docentes, elaborado por el profesor</w:t>
            </w:r>
            <w:r w:rsidR="00F54F33" w:rsidRPr="00300EBB">
              <w:rPr>
                <w:b/>
              </w:rPr>
              <w:t xml:space="preserve"> </w:t>
            </w:r>
            <w:proofErr w:type="spellStart"/>
            <w:r w:rsidR="00F54F33" w:rsidRPr="00300EBB">
              <w:rPr>
                <w:b/>
              </w:rPr>
              <w:t>Seng</w:t>
            </w:r>
            <w:proofErr w:type="spellEnd"/>
            <w:r w:rsidR="00F54F33" w:rsidRPr="00300EBB">
              <w:rPr>
                <w:b/>
              </w:rPr>
              <w:t xml:space="preserve"> (document</w:t>
            </w:r>
            <w:r w:rsidRPr="00300EBB">
              <w:rPr>
                <w:b/>
              </w:rPr>
              <w:t>o</w:t>
            </w:r>
            <w:r w:rsidR="00F54F33" w:rsidRPr="00300EBB">
              <w:rPr>
                <w:b/>
              </w:rPr>
              <w:t xml:space="preserve"> SCCR/33/6)</w:t>
            </w:r>
          </w:p>
        </w:tc>
      </w:tr>
      <w:tr w:rsidR="00300EBB" w:rsidRPr="00300EBB" w14:paraId="7ECCA7F3" w14:textId="77777777" w:rsidTr="00EB3917">
        <w:trPr>
          <w:trHeight w:val="521"/>
          <w:tblHeader/>
        </w:trPr>
        <w:tc>
          <w:tcPr>
            <w:tcW w:w="648" w:type="dxa"/>
          </w:tcPr>
          <w:p w14:paraId="7AC83055" w14:textId="77777777" w:rsidR="00F54F33" w:rsidRPr="00300EBB" w:rsidRDefault="00F54F33" w:rsidP="00EB3917"/>
        </w:tc>
        <w:tc>
          <w:tcPr>
            <w:tcW w:w="2700" w:type="dxa"/>
          </w:tcPr>
          <w:p w14:paraId="6CF32C54" w14:textId="77777777" w:rsidR="00F54F33" w:rsidRPr="00300EBB" w:rsidRDefault="00F54F33" w:rsidP="00EB3917"/>
        </w:tc>
        <w:tc>
          <w:tcPr>
            <w:tcW w:w="2880" w:type="dxa"/>
          </w:tcPr>
          <w:p w14:paraId="47F891AB" w14:textId="1FF1C8D6" w:rsidR="00F54F33" w:rsidRPr="00300EBB" w:rsidRDefault="00244DE5" w:rsidP="00EB3917">
            <w:pPr>
              <w:jc w:val="center"/>
              <w:rPr>
                <w:b/>
              </w:rPr>
            </w:pPr>
            <w:r w:rsidRPr="00300EBB">
              <w:rPr>
                <w:b/>
              </w:rPr>
              <w:t>Resumen</w:t>
            </w:r>
          </w:p>
          <w:p w14:paraId="25F93067" w14:textId="77777777" w:rsidR="00F54F33" w:rsidRPr="00300EBB" w:rsidRDefault="00F54F33" w:rsidP="000B4976">
            <w:pPr>
              <w:jc w:val="center"/>
              <w:rPr>
                <w:b/>
              </w:rPr>
            </w:pPr>
            <w:r w:rsidRPr="00300EBB">
              <w:rPr>
                <w:b/>
              </w:rPr>
              <w:t>(document</w:t>
            </w:r>
            <w:r w:rsidR="000B4976" w:rsidRPr="00300EBB">
              <w:rPr>
                <w:b/>
              </w:rPr>
              <w:t>o</w:t>
            </w:r>
            <w:r w:rsidRPr="00300EBB">
              <w:rPr>
                <w:b/>
              </w:rPr>
              <w:t xml:space="preserve"> SCCR/33/6, p</w:t>
            </w:r>
            <w:r w:rsidR="000B4976" w:rsidRPr="00300EBB">
              <w:rPr>
                <w:b/>
              </w:rPr>
              <w:t xml:space="preserve">áginas </w:t>
            </w:r>
            <w:r w:rsidRPr="00300EBB">
              <w:rPr>
                <w:b/>
              </w:rPr>
              <w:t>2 – 4)</w:t>
            </w:r>
          </w:p>
        </w:tc>
        <w:tc>
          <w:tcPr>
            <w:tcW w:w="8460" w:type="dxa"/>
          </w:tcPr>
          <w:p w14:paraId="63C2ACBE" w14:textId="02326011" w:rsidR="00F54F33" w:rsidRPr="00300EBB" w:rsidRDefault="00C76319" w:rsidP="00EB3917">
            <w:pPr>
              <w:jc w:val="center"/>
              <w:rPr>
                <w:b/>
              </w:rPr>
            </w:pPr>
            <w:r w:rsidRPr="00300EBB">
              <w:rPr>
                <w:b/>
              </w:rPr>
              <w:t>Observaciones finales</w:t>
            </w:r>
          </w:p>
          <w:p w14:paraId="3E69E03F" w14:textId="77777777" w:rsidR="00F54F33" w:rsidRPr="00300EBB" w:rsidRDefault="00F54F33" w:rsidP="000B4976">
            <w:pPr>
              <w:jc w:val="center"/>
              <w:rPr>
                <w:b/>
              </w:rPr>
            </w:pPr>
            <w:r w:rsidRPr="00300EBB">
              <w:rPr>
                <w:b/>
              </w:rPr>
              <w:t>(document</w:t>
            </w:r>
            <w:r w:rsidR="000B4976" w:rsidRPr="00300EBB">
              <w:rPr>
                <w:b/>
              </w:rPr>
              <w:t>o</w:t>
            </w:r>
            <w:r w:rsidRPr="00300EBB">
              <w:rPr>
                <w:b/>
              </w:rPr>
              <w:t xml:space="preserve"> SCCR/33/6, p</w:t>
            </w:r>
            <w:r w:rsidR="000B4976" w:rsidRPr="00300EBB">
              <w:rPr>
                <w:b/>
              </w:rPr>
              <w:t>áginas</w:t>
            </w:r>
            <w:r w:rsidRPr="00300EBB">
              <w:rPr>
                <w:b/>
              </w:rPr>
              <w:t xml:space="preserve"> 49 – 51)</w:t>
            </w:r>
          </w:p>
        </w:tc>
      </w:tr>
      <w:tr w:rsidR="00300EBB" w:rsidRPr="00300EBB" w14:paraId="33209D09" w14:textId="77777777" w:rsidTr="00EB3917">
        <w:tc>
          <w:tcPr>
            <w:tcW w:w="648" w:type="dxa"/>
          </w:tcPr>
          <w:p w14:paraId="0C541808" w14:textId="77777777" w:rsidR="00F54F33" w:rsidRPr="00300EBB" w:rsidRDefault="00F54F33" w:rsidP="00EB3917">
            <w:r w:rsidRPr="00300EBB">
              <w:t>1</w:t>
            </w:r>
          </w:p>
        </w:tc>
        <w:tc>
          <w:tcPr>
            <w:tcW w:w="2700" w:type="dxa"/>
          </w:tcPr>
          <w:p w14:paraId="112A9D09" w14:textId="3091799B" w:rsidR="00F54F33" w:rsidRPr="00300EBB" w:rsidRDefault="00997280" w:rsidP="00EB3917">
            <w:r w:rsidRPr="00300EBB">
              <w:t>El u</w:t>
            </w:r>
            <w:r w:rsidR="00242E5C" w:rsidRPr="00300EBB">
              <w:t>so privado o personal</w:t>
            </w:r>
          </w:p>
          <w:p w14:paraId="2AD7299A" w14:textId="77777777" w:rsidR="00F54F33" w:rsidRPr="00300EBB" w:rsidRDefault="00F54F33" w:rsidP="00EB3917"/>
        </w:tc>
        <w:tc>
          <w:tcPr>
            <w:tcW w:w="2880" w:type="dxa"/>
          </w:tcPr>
          <w:p w14:paraId="1B63CFCA" w14:textId="04166D7C" w:rsidR="00F54F33" w:rsidRPr="00300EBB" w:rsidRDefault="00BF1868" w:rsidP="00EB3917">
            <w:r w:rsidRPr="00300EBB">
              <w:t xml:space="preserve">Todo examen de </w:t>
            </w:r>
            <w:r w:rsidR="00A06A68" w:rsidRPr="00300EBB">
              <w:t xml:space="preserve">las </w:t>
            </w:r>
            <w:r w:rsidRPr="00300EBB">
              <w:t>excepciones y limitaciones con fines docentes quedaría incompleto si no se examinan debidamente las disposiciones en materia de uso con fines privados o personales</w:t>
            </w:r>
            <w:r w:rsidR="00F54F33" w:rsidRPr="00300EBB">
              <w:t xml:space="preserve"> […].</w:t>
            </w:r>
          </w:p>
          <w:p w14:paraId="5F273FDD" w14:textId="77777777" w:rsidR="00F54F33" w:rsidRPr="00300EBB" w:rsidRDefault="00F54F33" w:rsidP="00EB3917"/>
          <w:p w14:paraId="7FC9E60F" w14:textId="77777777" w:rsidR="00F54F33" w:rsidRPr="00300EBB" w:rsidRDefault="00F54F33" w:rsidP="00EB3917"/>
        </w:tc>
        <w:tc>
          <w:tcPr>
            <w:tcW w:w="8460" w:type="dxa"/>
          </w:tcPr>
          <w:p w14:paraId="74916F4A" w14:textId="00F07390" w:rsidR="008653D5" w:rsidRPr="00300EBB" w:rsidRDefault="00997280" w:rsidP="00EB3917">
            <w:r w:rsidRPr="00300EBB">
              <w:t>La importancia de las disposiciones sobre uso privado o personal en lo que atañe a la instrucción personal queda demostrada no solo por el gran número de esas disposiciones y su diversa aplicación, sino también por su nexo con la formación educativa.</w:t>
            </w:r>
            <w:r w:rsidR="008653D5" w:rsidRPr="00300EBB">
              <w:t xml:space="preserve">  </w:t>
            </w:r>
            <w:r w:rsidR="00407310" w:rsidRPr="00300EBB">
              <w:t>Parece que</w:t>
            </w:r>
            <w:r w:rsidR="00094621" w:rsidRPr="00300EBB">
              <w:t>,</w:t>
            </w:r>
            <w:r w:rsidR="00407310" w:rsidRPr="00300EBB">
              <w:t xml:space="preserve"> en general</w:t>
            </w:r>
            <w:r w:rsidR="00094621" w:rsidRPr="00300EBB">
              <w:t>,</w:t>
            </w:r>
            <w:r w:rsidR="00407310" w:rsidRPr="00300EBB">
              <w:t xml:space="preserve"> </w:t>
            </w:r>
            <w:r w:rsidR="00141E8B" w:rsidRPr="00300EBB">
              <w:t xml:space="preserve">se han </w:t>
            </w:r>
            <w:r w:rsidR="008653D5" w:rsidRPr="00300EBB">
              <w:t xml:space="preserve">hecho esfuerzos para </w:t>
            </w:r>
            <w:r w:rsidR="00407310" w:rsidRPr="00300EBB">
              <w:t>tratar de</w:t>
            </w:r>
            <w:r w:rsidR="008653D5" w:rsidRPr="00300EBB">
              <w:t xml:space="preserve"> </w:t>
            </w:r>
            <w:r w:rsidR="00407310" w:rsidRPr="00300EBB">
              <w:t>equilibrar</w:t>
            </w:r>
            <w:r w:rsidR="008653D5" w:rsidRPr="00300EBB">
              <w:t xml:space="preserve"> </w:t>
            </w:r>
            <w:r w:rsidR="00141E8B" w:rsidRPr="00300EBB">
              <w:t>los efectos económicos derivados de tales usos, incluido el uso con fines docentes, mediante</w:t>
            </w:r>
            <w:r w:rsidR="008653D5" w:rsidRPr="00300EBB">
              <w:t xml:space="preserve"> una combinación de </w:t>
            </w:r>
            <w:r w:rsidR="00141E8B" w:rsidRPr="00300EBB">
              <w:t>disposiciones estrictas que excluyen</w:t>
            </w:r>
            <w:r w:rsidR="008653D5" w:rsidRPr="00300EBB">
              <w:t xml:space="preserve"> determinadas categorías de obras </w:t>
            </w:r>
            <w:r w:rsidR="00141E8B" w:rsidRPr="00300EBB">
              <w:t>para uso privado o personal</w:t>
            </w:r>
            <w:r w:rsidR="00407310" w:rsidRPr="00300EBB">
              <w:t>,</w:t>
            </w:r>
            <w:r w:rsidR="008653D5" w:rsidRPr="00300EBB">
              <w:t xml:space="preserve"> </w:t>
            </w:r>
            <w:r w:rsidR="00407310" w:rsidRPr="00300EBB">
              <w:t>e incluyen</w:t>
            </w:r>
            <w:r w:rsidR="00141E8B" w:rsidRPr="00300EBB">
              <w:t xml:space="preserve"> </w:t>
            </w:r>
            <w:r w:rsidR="008653D5" w:rsidRPr="00300EBB">
              <w:t xml:space="preserve">la imposición de gravámenes sobre los medios de grabación y </w:t>
            </w:r>
            <w:r w:rsidR="00407310" w:rsidRPr="00300EBB">
              <w:t>equipos</w:t>
            </w:r>
            <w:r w:rsidR="008653D5" w:rsidRPr="00300EBB">
              <w:t xml:space="preserve"> </w:t>
            </w:r>
            <w:r w:rsidR="00407310" w:rsidRPr="00300EBB">
              <w:t>reprográficos</w:t>
            </w:r>
            <w:r w:rsidR="008653D5" w:rsidRPr="00300EBB">
              <w:t>.</w:t>
            </w:r>
          </w:p>
          <w:p w14:paraId="7F8BD969" w14:textId="444C7FD2" w:rsidR="00F54F33" w:rsidRPr="00300EBB" w:rsidRDefault="00F54F33" w:rsidP="00EB3917"/>
        </w:tc>
      </w:tr>
      <w:tr w:rsidR="00300EBB" w:rsidRPr="00300EBB" w14:paraId="31F46CC7" w14:textId="77777777" w:rsidTr="00EB3917">
        <w:tc>
          <w:tcPr>
            <w:tcW w:w="648" w:type="dxa"/>
          </w:tcPr>
          <w:p w14:paraId="053540E8" w14:textId="77777777" w:rsidR="00F54F33" w:rsidRPr="00300EBB" w:rsidRDefault="00F54F33" w:rsidP="00EB3917">
            <w:r w:rsidRPr="00300EBB">
              <w:t>2</w:t>
            </w:r>
          </w:p>
        </w:tc>
        <w:tc>
          <w:tcPr>
            <w:tcW w:w="2700" w:type="dxa"/>
          </w:tcPr>
          <w:p w14:paraId="6707C791" w14:textId="1E37B092" w:rsidR="00F54F33" w:rsidRPr="00300EBB" w:rsidRDefault="00997280" w:rsidP="00EB3917">
            <w:r w:rsidRPr="00300EBB">
              <w:t>Las c</w:t>
            </w:r>
            <w:r w:rsidR="00432582" w:rsidRPr="00300EBB">
              <w:t>itas</w:t>
            </w:r>
          </w:p>
          <w:p w14:paraId="307FE3DD" w14:textId="77777777" w:rsidR="00F54F33" w:rsidRPr="00300EBB" w:rsidRDefault="00F54F33" w:rsidP="00EB3917"/>
        </w:tc>
        <w:tc>
          <w:tcPr>
            <w:tcW w:w="2880" w:type="dxa"/>
          </w:tcPr>
          <w:p w14:paraId="35555520" w14:textId="4C4E76A2" w:rsidR="00F54F33" w:rsidRPr="00300EBB" w:rsidRDefault="00BF1868" w:rsidP="00EB3917">
            <w:r w:rsidRPr="00300EBB">
              <w:t xml:space="preserve">Todo examen </w:t>
            </w:r>
            <w:r w:rsidR="00997280" w:rsidRPr="00300EBB">
              <w:t>d</w:t>
            </w:r>
            <w:r w:rsidRPr="00300EBB">
              <w:t>e</w:t>
            </w:r>
            <w:r w:rsidR="00997280" w:rsidRPr="00300EBB">
              <w:t xml:space="preserve"> las</w:t>
            </w:r>
            <w:r w:rsidRPr="00300EBB">
              <w:t xml:space="preserve"> excepciones y limitaciones con fines docentes quedaría incompleto si no se examinan debidamente las disposiciones […] en materia de citas</w:t>
            </w:r>
            <w:r w:rsidR="00F54F33" w:rsidRPr="00300EBB">
              <w:t xml:space="preserve">. </w:t>
            </w:r>
          </w:p>
          <w:p w14:paraId="25AF7D2D" w14:textId="77777777" w:rsidR="00F54F33" w:rsidRPr="00300EBB" w:rsidRDefault="00F54F33" w:rsidP="00EB3917"/>
          <w:p w14:paraId="5861E4F0" w14:textId="6E329D2D" w:rsidR="00F54F33" w:rsidRPr="00300EBB" w:rsidRDefault="00997280" w:rsidP="00EB3917">
            <w:r w:rsidRPr="00300EBB">
              <w:rPr>
                <w:lang w:val="es-ES_tradnl"/>
              </w:rPr>
              <w:t>L</w:t>
            </w:r>
            <w:r w:rsidR="00010F9F" w:rsidRPr="00300EBB">
              <w:rPr>
                <w:lang w:val="es-ES_tradnl"/>
              </w:rPr>
              <w:t xml:space="preserve">as disposiciones en materia de citas […] suelen ser objeto de aplicación uniforme en los Estados miembros, ya sea </w:t>
            </w:r>
            <w:r w:rsidR="00010F9F" w:rsidRPr="00300EBB">
              <w:rPr>
                <w:lang w:val="es-ES_tradnl"/>
              </w:rPr>
              <w:lastRenderedPageBreak/>
              <w:t xml:space="preserve">por su aceptación general en la legislación nacional de los Estados miembros que cuentan con esas disposiciones, ya sea por la forma de ponerlas en práctica. </w:t>
            </w:r>
            <w:r w:rsidR="00F54F33" w:rsidRPr="00300EBB">
              <w:t xml:space="preserve"> </w:t>
            </w:r>
            <w:r w:rsidR="001B6CB2" w:rsidRPr="00300EBB">
              <w:t xml:space="preserve">Por lo general no se exige remuneración en relación con las citas </w:t>
            </w:r>
            <w:r w:rsidR="00F54F33" w:rsidRPr="00300EBB">
              <w:t xml:space="preserve">[…]. </w:t>
            </w:r>
          </w:p>
          <w:p w14:paraId="3E98B0DE" w14:textId="77777777" w:rsidR="00F54F33" w:rsidRPr="00300EBB" w:rsidRDefault="00F54F33" w:rsidP="00EB3917"/>
        </w:tc>
        <w:tc>
          <w:tcPr>
            <w:tcW w:w="8460" w:type="dxa"/>
          </w:tcPr>
          <w:p w14:paraId="2A14AFC0" w14:textId="313FA1CC" w:rsidR="001B6CB2" w:rsidRPr="00300EBB" w:rsidRDefault="001B6CB2" w:rsidP="00EB3917">
            <w:pPr>
              <w:rPr>
                <w:rFonts w:eastAsia="Times New Roman"/>
                <w:lang w:eastAsia="ja-JP"/>
              </w:rPr>
            </w:pPr>
            <w:r w:rsidRPr="00300EBB">
              <w:rPr>
                <w:rFonts w:eastAsia="Times New Roman"/>
                <w:lang w:eastAsia="ja-JP"/>
              </w:rPr>
              <w:lastRenderedPageBreak/>
              <w:t xml:space="preserve">Las disposiciones en materia de citas […] suelen ser objeto de aplicación uniforme en (algunos) Estados miembros, </w:t>
            </w:r>
            <w:r w:rsidR="00997280" w:rsidRPr="00300EBB">
              <w:rPr>
                <w:rFonts w:eastAsia="Times New Roman"/>
                <w:lang w:eastAsia="ja-JP"/>
              </w:rPr>
              <w:t>ya sea</w:t>
            </w:r>
            <w:r w:rsidRPr="00300EBB">
              <w:rPr>
                <w:rFonts w:eastAsia="Times New Roman"/>
                <w:lang w:eastAsia="ja-JP"/>
              </w:rPr>
              <w:t xml:space="preserve"> por su aceptación general</w:t>
            </w:r>
            <w:r w:rsidR="00CB43F1" w:rsidRPr="00300EBB">
              <w:rPr>
                <w:rFonts w:eastAsia="Times New Roman"/>
                <w:lang w:eastAsia="ja-JP"/>
              </w:rPr>
              <w:t xml:space="preserve"> en la legislación nacional de esos</w:t>
            </w:r>
            <w:r w:rsidRPr="00300EBB">
              <w:rPr>
                <w:rFonts w:eastAsia="Times New Roman"/>
                <w:lang w:eastAsia="ja-JP"/>
              </w:rPr>
              <w:t xml:space="preserve"> Estados miembros, </w:t>
            </w:r>
            <w:r w:rsidR="00997280" w:rsidRPr="00300EBB">
              <w:rPr>
                <w:rFonts w:eastAsia="Times New Roman"/>
                <w:lang w:eastAsia="ja-JP"/>
              </w:rPr>
              <w:t>ya sea</w:t>
            </w:r>
            <w:r w:rsidRPr="00300EBB">
              <w:rPr>
                <w:rFonts w:eastAsia="Times New Roman"/>
                <w:lang w:eastAsia="ja-JP"/>
              </w:rPr>
              <w:t xml:space="preserve"> por la forma de ponerlas en práctica.</w:t>
            </w:r>
          </w:p>
          <w:p w14:paraId="0032A519" w14:textId="77777777" w:rsidR="00F54F33" w:rsidRPr="00300EBB" w:rsidRDefault="00F54F33" w:rsidP="00FD6037">
            <w:pPr>
              <w:rPr>
                <w:b/>
              </w:rPr>
            </w:pPr>
          </w:p>
        </w:tc>
      </w:tr>
      <w:tr w:rsidR="00300EBB" w:rsidRPr="00300EBB" w14:paraId="7A371D91" w14:textId="77777777" w:rsidTr="00EB3917">
        <w:tc>
          <w:tcPr>
            <w:tcW w:w="648" w:type="dxa"/>
          </w:tcPr>
          <w:p w14:paraId="08FDDDB7" w14:textId="77777777" w:rsidR="00F54F33" w:rsidRPr="00300EBB" w:rsidRDefault="00F54F33" w:rsidP="00EB3917">
            <w:r w:rsidRPr="00300EBB">
              <w:lastRenderedPageBreak/>
              <w:t>3</w:t>
            </w:r>
          </w:p>
        </w:tc>
        <w:tc>
          <w:tcPr>
            <w:tcW w:w="2700" w:type="dxa"/>
          </w:tcPr>
          <w:p w14:paraId="4C83E90C" w14:textId="1CCDBF74" w:rsidR="00F54F33" w:rsidRPr="00300EBB" w:rsidRDefault="00BF1868" w:rsidP="00EB3917">
            <w:r w:rsidRPr="00300EBB">
              <w:t>La r</w:t>
            </w:r>
            <w:r w:rsidR="00432582" w:rsidRPr="00300EBB">
              <w:t xml:space="preserve">eproducción con fines docentes </w:t>
            </w:r>
          </w:p>
        </w:tc>
        <w:tc>
          <w:tcPr>
            <w:tcW w:w="2880" w:type="dxa"/>
          </w:tcPr>
          <w:p w14:paraId="7B903DC8" w14:textId="017CCADE" w:rsidR="00F54F33" w:rsidRPr="00300EBB" w:rsidRDefault="00F40267" w:rsidP="00EB3917">
            <w:r w:rsidRPr="00300EBB">
              <w:t>La aplicación de limitaciones y excepciones para reproducciones con fines docentes […] varía mucho de un caso a otro.</w:t>
            </w:r>
            <w:r w:rsidR="0066630D" w:rsidRPr="00300EBB">
              <w:t xml:space="preserve"> </w:t>
            </w:r>
            <w:r w:rsidR="00F54F33" w:rsidRPr="00300EBB">
              <w:t xml:space="preserve"> </w:t>
            </w:r>
            <w:r w:rsidR="00AB26E2" w:rsidRPr="00300EBB">
              <w:rPr>
                <w:lang w:val="es-ES_tradnl"/>
              </w:rPr>
              <w:t xml:space="preserve">No obstante, el propósito declarado de esas disposiciones suele </w:t>
            </w:r>
            <w:r w:rsidR="0066630D" w:rsidRPr="00300EBB">
              <w:rPr>
                <w:lang w:val="es-ES_tradnl"/>
              </w:rPr>
              <w:t>estar</w:t>
            </w:r>
            <w:r w:rsidR="00AB26E2" w:rsidRPr="00300EBB">
              <w:rPr>
                <w:lang w:val="es-ES_tradnl"/>
              </w:rPr>
              <w:t xml:space="preserve"> claro (con fines de enseñanza, educación, instrucción, científicos y de investigación).  En lo que respecta a las reproducciones con fines docentes, la restricción principal consiste en que no se realicen reproducciones con fines o beneficios comerciales, o la no disponibilidad de una licencia comercial o la falta de información acerca de su disponibilidad para la reproducción con fines docentes.  En la medida en que el alcance del derecho de reproducción está supeditado a la disponibilidad y el alcance de las licencias comerciales, se trata de un asunto que debe examinarse más detenidamente pues queda fuera del alcance del presente estudio.  En las disposiciones en materia de reproducción también se imponen límites cualitativos y cuantitativos y restricciones en materia de reproducciones con fines docentes.</w:t>
            </w:r>
          </w:p>
          <w:p w14:paraId="679F2C59" w14:textId="77777777" w:rsidR="00F54F33" w:rsidRPr="00300EBB" w:rsidRDefault="00F54F33" w:rsidP="00EB3917"/>
          <w:p w14:paraId="0B6E572D" w14:textId="46FF05F9" w:rsidR="00F54F33" w:rsidRPr="00300EBB" w:rsidRDefault="00F54F33" w:rsidP="00EB3917">
            <w:r w:rsidRPr="00300EBB">
              <w:rPr>
                <w:lang w:val="es-ES_tradnl"/>
              </w:rPr>
              <w:t>En su mayor parte, las disposici</w:t>
            </w:r>
            <w:r w:rsidR="00E95158" w:rsidRPr="00300EBB">
              <w:rPr>
                <w:lang w:val="es-ES_tradnl"/>
              </w:rPr>
              <w:t>ones en materia de reproducción</w:t>
            </w:r>
            <w:r w:rsidRPr="00300EBB">
              <w:rPr>
                <w:lang w:val="es-ES_tradnl"/>
              </w:rPr>
              <w:t xml:space="preserve"> con fines docentes </w:t>
            </w:r>
            <w:r w:rsidR="00E95158" w:rsidRPr="00300EBB">
              <w:rPr>
                <w:lang w:val="es-ES_tradnl"/>
              </w:rPr>
              <w:t xml:space="preserve">[…] </w:t>
            </w:r>
            <w:r w:rsidRPr="00300EBB">
              <w:rPr>
                <w:lang w:val="es-ES_tradnl"/>
              </w:rPr>
              <w:t>no exigen el pago de una remuneración equitativa a los autores y titulares de derechos</w:t>
            </w:r>
            <w:r w:rsidRPr="00300EBB">
              <w:t xml:space="preserve">.  </w:t>
            </w:r>
            <w:r w:rsidR="006613B6" w:rsidRPr="00300EBB">
              <w:t>No obstante, aun cuando las disposiciones en materia de reproducción con fines docentes que exigen una remuneración equitativa tienen por finalidad la realización de múltiples copias</w:t>
            </w:r>
            <w:r w:rsidRPr="00300EBB">
              <w:t>, […].</w:t>
            </w:r>
          </w:p>
          <w:p w14:paraId="23130B2D" w14:textId="77777777" w:rsidR="00F54F33" w:rsidRPr="00300EBB" w:rsidRDefault="00F54F33" w:rsidP="00EB3917"/>
          <w:p w14:paraId="2CA08F2C" w14:textId="3F37C3CD" w:rsidR="00F54F33" w:rsidRPr="00300EBB" w:rsidRDefault="00950EA9" w:rsidP="00933634">
            <w:r w:rsidRPr="00300EBB">
              <w:t xml:space="preserve">En lo que respecta a la enseñanza a distancia por Internet, muy pocos Estados miembros cuentan con disposiciones especiales que aborden </w:t>
            </w:r>
            <w:r w:rsidR="00933634" w:rsidRPr="00300EBB">
              <w:t>expresamente</w:t>
            </w:r>
            <w:r w:rsidRPr="00300EBB">
              <w:t xml:space="preserve"> la distribución de contenido por Internet con fines </w:t>
            </w:r>
            <w:r w:rsidR="00D41EC8" w:rsidRPr="00300EBB">
              <w:t>docentes</w:t>
            </w:r>
            <w:r w:rsidR="00F54F33" w:rsidRPr="00300EBB">
              <w:t>.</w:t>
            </w:r>
            <w:r w:rsidR="00284C53" w:rsidRPr="00300EBB">
              <w:t xml:space="preserve"> </w:t>
            </w:r>
            <w:r w:rsidR="00F54F33" w:rsidRPr="00300EBB">
              <w:t xml:space="preserve"> </w:t>
            </w:r>
            <w:r w:rsidR="000B4976" w:rsidRPr="00300EBB">
              <w:rPr>
                <w:lang w:val="es-ES_tradnl"/>
              </w:rPr>
              <w:t>No obstante, eso no significa que no haya Estados miembros que cuenten con disposiciones a ese respecto.  Pero para determinar si en los derechos de “comunicación al público” o de “puesta a disposición” queda comprendida la difusión por Internet de contenido digital hay que remitirse en gran medida a la legislación sustantiva en los respectivos Estados miembros.  Además, la enseñanza a distancia por Internet entraña siempre una u otra forma de reproducción de las obras originales comunicadas, por el hecho del soporte electrónico empleado;  en las disposiciones que autorizan la enseñanza a distancia por Internet se debe tener en cuenta ese aspecto.</w:t>
            </w:r>
          </w:p>
        </w:tc>
        <w:tc>
          <w:tcPr>
            <w:tcW w:w="8460" w:type="dxa"/>
          </w:tcPr>
          <w:p w14:paraId="26A14BF3" w14:textId="338B3C9F" w:rsidR="00F54F33" w:rsidRPr="00300EBB" w:rsidRDefault="00DD0925" w:rsidP="00EB3917">
            <w:r w:rsidRPr="00300EBB">
              <w:t>La</w:t>
            </w:r>
            <w:r w:rsidR="002078BA" w:rsidRPr="00300EBB">
              <w:t>s</w:t>
            </w:r>
            <w:r w:rsidR="009F6771" w:rsidRPr="00300EBB">
              <w:t xml:space="preserve"> </w:t>
            </w:r>
            <w:r w:rsidRPr="00300EBB">
              <w:t>aplicaci</w:t>
            </w:r>
            <w:r w:rsidR="002078BA" w:rsidRPr="00300EBB">
              <w:t>ones</w:t>
            </w:r>
            <w:r w:rsidR="009F6771" w:rsidRPr="00300EBB">
              <w:t xml:space="preserve"> de limitaciones y excepciones para reproducciones con fines docentes […] </w:t>
            </w:r>
            <w:r w:rsidR="002078BA" w:rsidRPr="00300EBB">
              <w:t>son extensas y variadas</w:t>
            </w:r>
            <w:r w:rsidR="00F54F33" w:rsidRPr="00300EBB">
              <w:t>, […].</w:t>
            </w:r>
            <w:r w:rsidR="0066630D" w:rsidRPr="00300EBB">
              <w:t xml:space="preserve">  </w:t>
            </w:r>
            <w:r w:rsidR="00F54F33" w:rsidRPr="00300EBB">
              <w:rPr>
                <w:lang w:val="es-ES_tradnl"/>
              </w:rPr>
              <w:t>No obstante, el propósito declarado de esas disposiciones suele estar claro (</w:t>
            </w:r>
            <w:r w:rsidR="00164C00" w:rsidRPr="00300EBB">
              <w:rPr>
                <w:lang w:val="es-ES_tradnl"/>
              </w:rPr>
              <w:t>por lo general</w:t>
            </w:r>
            <w:proofErr w:type="gramStart"/>
            <w:r w:rsidR="00164C00" w:rsidRPr="00300EBB">
              <w:rPr>
                <w:lang w:val="es-ES_tradnl"/>
              </w:rPr>
              <w:t xml:space="preserve">:  </w:t>
            </w:r>
            <w:r w:rsidR="00F54F33" w:rsidRPr="00300EBB">
              <w:rPr>
                <w:lang w:val="es-ES_tradnl"/>
              </w:rPr>
              <w:t>fines</w:t>
            </w:r>
            <w:proofErr w:type="gramEnd"/>
            <w:r w:rsidR="00F54F33" w:rsidRPr="00300EBB">
              <w:rPr>
                <w:lang w:val="es-ES_tradnl"/>
              </w:rPr>
              <w:t xml:space="preserve"> de enseñanza, educación, instrucción, científicos y de investigación).</w:t>
            </w:r>
            <w:r w:rsidR="00F54F33" w:rsidRPr="00300EBB">
              <w:t xml:space="preserve"> </w:t>
            </w:r>
            <w:r w:rsidR="00164C00" w:rsidRPr="00300EBB">
              <w:t xml:space="preserve"> </w:t>
            </w:r>
            <w:r w:rsidR="00F54F33" w:rsidRPr="00300EBB">
              <w:rPr>
                <w:lang w:val="es-ES_tradnl"/>
              </w:rPr>
              <w:t>En lo que respecta a las reproducciones con fines docentes, la restricción principal consiste en que no se realicen reproducciones con fines o beneficios comerciales, o la no disponibilidad de una licencia comercial o la falta de información acerca de su disponibilidad para la reproducción con fines docentes.  En la medida en que el alcance del derecho de reproducción está supeditado a la disponibilidad y el alcance de las licencias comerciales, se trata de un asunto que debe examinarse más detenidamente pues queda fuera del alcance del presente estudio.  En las disposiciones en materia de reproducción también se imponen límites cualitativos y cuantitativos y restricciones en materia de reproducciones con fines docentes.</w:t>
            </w:r>
          </w:p>
          <w:p w14:paraId="14EB6F43" w14:textId="77777777" w:rsidR="00F54F33" w:rsidRPr="00300EBB" w:rsidRDefault="00F54F33" w:rsidP="00EB3917"/>
          <w:p w14:paraId="271829D8" w14:textId="1B938489" w:rsidR="00F54F33" w:rsidRPr="00300EBB" w:rsidRDefault="00BB722C" w:rsidP="00EB3917">
            <w:r w:rsidRPr="00300EBB">
              <w:t>En su mayor parte, las disposiciones en materia de reproducción […] con fin</w:t>
            </w:r>
            <w:r w:rsidR="00BE11E9" w:rsidRPr="00300EBB">
              <w:t xml:space="preserve">es docentes no </w:t>
            </w:r>
            <w:r w:rsidR="00C43997" w:rsidRPr="00300EBB">
              <w:t>requieren</w:t>
            </w:r>
            <w:r w:rsidR="00BE11E9" w:rsidRPr="00300EBB">
              <w:t xml:space="preserve"> </w:t>
            </w:r>
            <w:r w:rsidR="00DF5DD6" w:rsidRPr="00300EBB">
              <w:t>que se pague</w:t>
            </w:r>
            <w:r w:rsidRPr="00300EBB">
              <w:t xml:space="preserve"> a los autores y titulares de derechos una remuneración equitativa.  </w:t>
            </w:r>
            <w:r w:rsidR="004A7826" w:rsidRPr="00300EBB">
              <w:t>Sin embargo</w:t>
            </w:r>
            <w:r w:rsidR="00BE11E9" w:rsidRPr="00300EBB">
              <w:t xml:space="preserve">, las que </w:t>
            </w:r>
            <w:r w:rsidR="00C43997" w:rsidRPr="00300EBB">
              <w:t xml:space="preserve">así lo </w:t>
            </w:r>
            <w:r w:rsidR="00BE11E9" w:rsidRPr="00300EBB">
              <w:t>exigen atañen sobre todo a la realización de múltiples copias, el uso de equipo reprográfico y la reproducción de obras originales por terceros.</w:t>
            </w:r>
          </w:p>
          <w:p w14:paraId="650A0867" w14:textId="77777777" w:rsidR="00F54F33" w:rsidRPr="00300EBB" w:rsidRDefault="00F54F33" w:rsidP="00EB3917">
            <w:pPr>
              <w:rPr>
                <w:b/>
              </w:rPr>
            </w:pPr>
          </w:p>
          <w:p w14:paraId="39292162" w14:textId="2FE30BA5" w:rsidR="00FD3EC6" w:rsidRPr="00300EBB" w:rsidRDefault="00FD3EC6" w:rsidP="00EB3917">
            <w:r w:rsidRPr="00300EBB">
              <w:t xml:space="preserve">Asimismo, en lo que respecta a la enseñanza a distancia por Internet, muy pocos Estados miembros cuentan con disposiciones especiales que aborden </w:t>
            </w:r>
            <w:r w:rsidR="00997280" w:rsidRPr="00300EBB">
              <w:t>expresamente</w:t>
            </w:r>
            <w:r w:rsidRPr="00300EBB">
              <w:t xml:space="preserve"> la distribución de contenido por Internet con fines </w:t>
            </w:r>
            <w:r w:rsidR="00997280" w:rsidRPr="00300EBB">
              <w:t>de instrucción</w:t>
            </w:r>
            <w:r w:rsidRPr="00300EBB">
              <w:t xml:space="preserve">.  </w:t>
            </w:r>
            <w:r w:rsidR="00A97DC5" w:rsidRPr="00300EBB">
              <w:t>Con todo</w:t>
            </w:r>
            <w:r w:rsidRPr="00300EBB">
              <w:t xml:space="preserve">, eso no significa que no haya Estados miembros que cuenten con disposiciones a ese respecto.  </w:t>
            </w:r>
            <w:r w:rsidR="00EE04B2" w:rsidRPr="00300EBB">
              <w:t>Sin embargo,</w:t>
            </w:r>
            <w:r w:rsidRPr="00300EBB">
              <w:t xml:space="preserve"> </w:t>
            </w:r>
            <w:r w:rsidR="009236B0" w:rsidRPr="00300EBB">
              <w:t>cabe</w:t>
            </w:r>
            <w:r w:rsidRPr="00300EBB">
              <w:t xml:space="preserve"> remitirse en gran medida a la legislación sustantiva en los respectivos Estados miembros</w:t>
            </w:r>
            <w:r w:rsidR="009236B0" w:rsidRPr="00300EBB">
              <w:t xml:space="preserve"> para determinar si en los derechos de “comunicación al público” o de “puesta a disposición” queda comprendida la difusión por Internet de contenido digital</w:t>
            </w:r>
            <w:r w:rsidRPr="00300EBB">
              <w:t>.  Además, la enseñanza a distancia por Internet entraña siempre una u otra forma de reproducción de las obras originales comunicadas, por el hecho del soporte electrónico empleado, por lo que en las disposiciones que autorizan la enseñanza a distancia por Internet se debe tener en cuenta ese aspecto</w:t>
            </w:r>
            <w:r w:rsidR="009236B0" w:rsidRPr="00300EBB">
              <w:t>.</w:t>
            </w:r>
          </w:p>
          <w:p w14:paraId="5C9C7B68" w14:textId="77777777" w:rsidR="00F54F33" w:rsidRPr="00300EBB" w:rsidRDefault="00F54F33" w:rsidP="00FD3EC6">
            <w:pPr>
              <w:rPr>
                <w:b/>
              </w:rPr>
            </w:pPr>
          </w:p>
        </w:tc>
      </w:tr>
      <w:tr w:rsidR="00300EBB" w:rsidRPr="00300EBB" w14:paraId="5DBD9D40" w14:textId="77777777" w:rsidTr="00EB3917">
        <w:tc>
          <w:tcPr>
            <w:tcW w:w="648" w:type="dxa"/>
            <w:tcBorders>
              <w:bottom w:val="single" w:sz="4" w:space="0" w:color="auto"/>
            </w:tcBorders>
          </w:tcPr>
          <w:p w14:paraId="2F764D3F" w14:textId="77777777" w:rsidR="00F54F33" w:rsidRPr="00300EBB" w:rsidRDefault="00F54F33" w:rsidP="00EB3917">
            <w:r w:rsidRPr="00300EBB">
              <w:t>4</w:t>
            </w:r>
          </w:p>
        </w:tc>
        <w:tc>
          <w:tcPr>
            <w:tcW w:w="2700" w:type="dxa"/>
            <w:tcBorders>
              <w:bottom w:val="single" w:sz="4" w:space="0" w:color="auto"/>
            </w:tcBorders>
          </w:tcPr>
          <w:p w14:paraId="4C0DA9DE" w14:textId="4B744496" w:rsidR="00F54F33" w:rsidRPr="00300EBB" w:rsidRDefault="00BF1868" w:rsidP="00EB3917">
            <w:r w:rsidRPr="00300EBB">
              <w:t>Las p</w:t>
            </w:r>
            <w:r w:rsidR="00432582" w:rsidRPr="00300EBB">
              <w:t>ublicaciones docentes, antologías, compilaciones y obras compuestas</w:t>
            </w:r>
          </w:p>
          <w:p w14:paraId="433A8057" w14:textId="77777777" w:rsidR="00F54F33" w:rsidRPr="00300EBB" w:rsidRDefault="00F54F33" w:rsidP="00EB3917"/>
        </w:tc>
        <w:tc>
          <w:tcPr>
            <w:tcW w:w="2880" w:type="dxa"/>
          </w:tcPr>
          <w:p w14:paraId="365A6984" w14:textId="13D3D05C" w:rsidR="00F54F33" w:rsidRPr="00300EBB" w:rsidRDefault="00CB43F1" w:rsidP="00933634">
            <w:r w:rsidRPr="00300EBB">
              <w:t xml:space="preserve">Las disposiciones en materia de […] publicaciones educativas […] suelen ser objeto de aplicación uniforme en los Estados miembros, </w:t>
            </w:r>
            <w:r w:rsidR="00933634" w:rsidRPr="00300EBB">
              <w:t>ya sea</w:t>
            </w:r>
            <w:r w:rsidRPr="00300EBB">
              <w:t xml:space="preserve"> por su aceptación general en la legislación nacional de los Estados miembros que cuentan con esas disposiciones, </w:t>
            </w:r>
            <w:r w:rsidR="00933634" w:rsidRPr="00300EBB">
              <w:t xml:space="preserve">ya sea </w:t>
            </w:r>
            <w:r w:rsidRPr="00300EBB">
              <w:t xml:space="preserve">por la forma de ponerlas en práctica. </w:t>
            </w:r>
            <w:r w:rsidR="00D67BED" w:rsidRPr="00300EBB">
              <w:t xml:space="preserve"> </w:t>
            </w:r>
            <w:r w:rsidR="00F54F33" w:rsidRPr="00300EBB">
              <w:t xml:space="preserve">[…] </w:t>
            </w:r>
            <w:r w:rsidR="00D67BED" w:rsidRPr="00300EBB">
              <w:t>algunos</w:t>
            </w:r>
            <w:r w:rsidR="00F54F33" w:rsidRPr="00300EBB">
              <w:t xml:space="preserve"> </w:t>
            </w:r>
            <w:r w:rsidR="00D67BED" w:rsidRPr="00300EBB">
              <w:t xml:space="preserve">Estados miembros han adoptado disposiciones que exigen remuneración respecto de las obras originales incorporadas en publicaciones educativas. </w:t>
            </w:r>
            <w:r w:rsidR="00F54F33" w:rsidRPr="00300EBB">
              <w:t xml:space="preserve"> </w:t>
            </w:r>
            <w:r w:rsidR="000B4976" w:rsidRPr="00300EBB">
              <w:rPr>
                <w:lang w:val="es-ES_tradnl"/>
              </w:rPr>
              <w:t>No obstante, dado que esas categorías de disposiciones no son objeto de una aplicación tan extensa como las demás categorías, los Estados miembros que no hayan dado aplicación a dichas disposiciones tienen la posibilidad de reformar su legislación nacional en ese sentido.</w:t>
            </w:r>
          </w:p>
        </w:tc>
        <w:tc>
          <w:tcPr>
            <w:tcW w:w="8460" w:type="dxa"/>
          </w:tcPr>
          <w:p w14:paraId="458EB39C" w14:textId="0734515E" w:rsidR="00F54F33" w:rsidRPr="00300EBB" w:rsidRDefault="00D67BED" w:rsidP="00EB3917">
            <w:r w:rsidRPr="00300EBB">
              <w:t xml:space="preserve">Las disposiciones en materia de […] publicaciones educativas […] suelen ser objeto de aplicación uniforme en (algunos) Estados miembros, </w:t>
            </w:r>
            <w:r w:rsidR="00933634" w:rsidRPr="00300EBB">
              <w:t>ya sea</w:t>
            </w:r>
            <w:r w:rsidRPr="00300EBB">
              <w:t xml:space="preserve"> por su aceptación general en la legislación nacional de los Estados miembros, </w:t>
            </w:r>
            <w:r w:rsidR="00933634" w:rsidRPr="00300EBB">
              <w:t xml:space="preserve">ya sea </w:t>
            </w:r>
            <w:r w:rsidRPr="00300EBB">
              <w:t>por la forma de ponerlas en práctica</w:t>
            </w:r>
            <w:r w:rsidR="00F54F33" w:rsidRPr="00300EBB">
              <w:t>.</w:t>
            </w:r>
          </w:p>
          <w:p w14:paraId="0E8D4C87" w14:textId="7D224010" w:rsidR="00F54F33" w:rsidRPr="00300EBB" w:rsidRDefault="00F54F33" w:rsidP="00EB3917">
            <w:r w:rsidRPr="00300EBB">
              <w:t>[…]</w:t>
            </w:r>
            <w:r w:rsidR="00933634" w:rsidRPr="00300EBB">
              <w:t xml:space="preserve"> </w:t>
            </w:r>
            <w:r w:rsidR="00836256" w:rsidRPr="00300EBB">
              <w:t xml:space="preserve">En lo referente a las publicaciones docentes objeto de las limitaciones generalmente establecidas </w:t>
            </w:r>
            <w:r w:rsidR="002C2B49" w:rsidRPr="00300EBB">
              <w:t xml:space="preserve">relativas a la medida en que se pueden incorporar las obras </w:t>
            </w:r>
            <w:r w:rsidR="00A97DC5" w:rsidRPr="00300EBB">
              <w:t xml:space="preserve">originales </w:t>
            </w:r>
            <w:r w:rsidR="002C2B49" w:rsidRPr="00300EBB">
              <w:t>en</w:t>
            </w:r>
            <w:r w:rsidR="00836256" w:rsidRPr="00300EBB">
              <w:t xml:space="preserve"> colecciones educativas, tampoco se </w:t>
            </w:r>
            <w:r w:rsidR="00DF5DD6" w:rsidRPr="00300EBB">
              <w:t>exige</w:t>
            </w:r>
            <w:r w:rsidR="00836256" w:rsidRPr="00300EBB">
              <w:t xml:space="preserve"> remuneración de los editores, </w:t>
            </w:r>
            <w:r w:rsidR="002C2B49" w:rsidRPr="00300EBB">
              <w:t>si bien</w:t>
            </w:r>
            <w:r w:rsidR="00836256" w:rsidRPr="00300EBB">
              <w:t xml:space="preserve"> un importante número de Estados miembros han adoptado disposiciones que exigen </w:t>
            </w:r>
            <w:r w:rsidR="002C2B49" w:rsidRPr="00300EBB">
              <w:t xml:space="preserve">dicha </w:t>
            </w:r>
            <w:r w:rsidR="00836256" w:rsidRPr="00300EBB">
              <w:t>remuneración en nombre de los autores cuyas obras han sido utilizadas</w:t>
            </w:r>
            <w:r w:rsidR="002C2B49" w:rsidRPr="00300EBB">
              <w:t>.</w:t>
            </w:r>
          </w:p>
        </w:tc>
      </w:tr>
      <w:tr w:rsidR="00300EBB" w:rsidRPr="00300EBB" w14:paraId="76D24BBE" w14:textId="77777777" w:rsidTr="00EB3917">
        <w:tc>
          <w:tcPr>
            <w:tcW w:w="648" w:type="dxa"/>
          </w:tcPr>
          <w:p w14:paraId="4E4681A8" w14:textId="77777777" w:rsidR="00F54F33" w:rsidRPr="00300EBB" w:rsidRDefault="00F54F33" w:rsidP="00EB3917">
            <w:r w:rsidRPr="00300EBB">
              <w:t>5</w:t>
            </w:r>
          </w:p>
        </w:tc>
        <w:tc>
          <w:tcPr>
            <w:tcW w:w="2700" w:type="dxa"/>
          </w:tcPr>
          <w:p w14:paraId="01E8E8F8" w14:textId="561AA3E0" w:rsidR="00F54F33" w:rsidRPr="00300EBB" w:rsidRDefault="00432582" w:rsidP="00EB3917">
            <w:r w:rsidRPr="00300EBB">
              <w:t>Las interpretaciones o ejecuciones en el ámbito escolar</w:t>
            </w:r>
          </w:p>
        </w:tc>
        <w:tc>
          <w:tcPr>
            <w:tcW w:w="2880" w:type="dxa"/>
          </w:tcPr>
          <w:p w14:paraId="5F3E2AE3" w14:textId="746747D1" w:rsidR="00F54F33" w:rsidRPr="00300EBB" w:rsidRDefault="00364A17" w:rsidP="00933634">
            <w:r w:rsidRPr="00300EBB">
              <w:t xml:space="preserve">Las disposiciones en materia de […] ejecuciones en el ámbito escolar suelen ser objeto de aplicación uniforme en los Estados miembros, </w:t>
            </w:r>
            <w:r w:rsidR="00933634" w:rsidRPr="00300EBB">
              <w:t>ya sea</w:t>
            </w:r>
            <w:r w:rsidRPr="00300EBB">
              <w:t xml:space="preserve"> por su aceptación general en la legislación nacional de los Estados miembros que cuentan con esas disposiciones, </w:t>
            </w:r>
            <w:r w:rsidR="00933634" w:rsidRPr="00300EBB">
              <w:t xml:space="preserve">ya sea </w:t>
            </w:r>
            <w:r w:rsidRPr="00300EBB">
              <w:t>por la forma de ponerlas en práctica</w:t>
            </w:r>
            <w:r w:rsidR="00F54F33" w:rsidRPr="00300EBB">
              <w:t xml:space="preserve">. </w:t>
            </w:r>
            <w:r w:rsidRPr="00300EBB">
              <w:t xml:space="preserve">Por lo general no se exige remuneración […] en relación con las interpretaciones o ejecuciones en el ámbito escolar […]. </w:t>
            </w:r>
          </w:p>
        </w:tc>
        <w:tc>
          <w:tcPr>
            <w:tcW w:w="8460" w:type="dxa"/>
          </w:tcPr>
          <w:p w14:paraId="1D3B701B" w14:textId="1132A6C8" w:rsidR="00364A17" w:rsidRPr="00300EBB" w:rsidRDefault="00364A17" w:rsidP="00EB3917">
            <w:r w:rsidRPr="00300EBB">
              <w:t xml:space="preserve">Las disposiciones en materia de […] ejecuciones en el ámbito escolar suelen ser objeto de aplicación uniforme en (algunos) Estados miembros, </w:t>
            </w:r>
            <w:r w:rsidR="00933634" w:rsidRPr="00300EBB">
              <w:t>ya sea</w:t>
            </w:r>
            <w:r w:rsidRPr="00300EBB">
              <w:t xml:space="preserve"> por su aceptación general en la legislación nacional de los Estados miembros que cuentan con esas disposiciones</w:t>
            </w:r>
            <w:r w:rsidR="00933634" w:rsidRPr="00300EBB">
              <w:t xml:space="preserve">, ya sea </w:t>
            </w:r>
            <w:r w:rsidRPr="00300EBB">
              <w:t xml:space="preserve">por la forma de ponerlas en práctica. Por lo general no se exige remuneración […] en relación con las interpretaciones o ejecuciones en el ámbito escolar […]. </w:t>
            </w:r>
          </w:p>
          <w:p w14:paraId="6F003A87" w14:textId="3354C1D6" w:rsidR="00F54F33" w:rsidRPr="00300EBB" w:rsidRDefault="00F54F33" w:rsidP="00EB3917">
            <w:pPr>
              <w:rPr>
                <w:b/>
              </w:rPr>
            </w:pPr>
          </w:p>
        </w:tc>
      </w:tr>
      <w:tr w:rsidR="00300EBB" w:rsidRPr="00300EBB" w14:paraId="2D87324C" w14:textId="77777777" w:rsidTr="00EB3917">
        <w:tc>
          <w:tcPr>
            <w:tcW w:w="648" w:type="dxa"/>
          </w:tcPr>
          <w:p w14:paraId="7CB0BE37" w14:textId="77777777" w:rsidR="00F54F33" w:rsidRPr="00300EBB" w:rsidRDefault="00F54F33" w:rsidP="00EB3917">
            <w:r w:rsidRPr="00300EBB">
              <w:t>6</w:t>
            </w:r>
          </w:p>
        </w:tc>
        <w:tc>
          <w:tcPr>
            <w:tcW w:w="2700" w:type="dxa"/>
          </w:tcPr>
          <w:p w14:paraId="237E5079" w14:textId="2E11E499" w:rsidR="00F54F33" w:rsidRPr="00300EBB" w:rsidRDefault="00432582" w:rsidP="00EB3917">
            <w:r w:rsidRPr="00300EBB">
              <w:t xml:space="preserve">Las </w:t>
            </w:r>
            <w:r w:rsidR="00DD0925" w:rsidRPr="00300EBB">
              <w:t>emisiones</w:t>
            </w:r>
            <w:r w:rsidRPr="00300EBB">
              <w:t xml:space="preserve">, comunicaciones o grabaciones con fines docentes </w:t>
            </w:r>
          </w:p>
          <w:p w14:paraId="3FE1FB9D" w14:textId="77777777" w:rsidR="00F54F33" w:rsidRPr="00300EBB" w:rsidRDefault="00F54F33" w:rsidP="00EB3917"/>
        </w:tc>
        <w:tc>
          <w:tcPr>
            <w:tcW w:w="2880" w:type="dxa"/>
          </w:tcPr>
          <w:p w14:paraId="037F0034" w14:textId="39FF4E8C" w:rsidR="002078BA" w:rsidRPr="00300EBB" w:rsidRDefault="00DD0925" w:rsidP="00EB3917">
            <w:r w:rsidRPr="00300EBB">
              <w:t>La aplicación de limitaciones y excepciones […] para emisiones, comunicaciones y grabaciones con fines docentes, varía mucho de un caso a otro</w:t>
            </w:r>
            <w:r w:rsidR="00F54F33" w:rsidRPr="00300EBB">
              <w:t>.</w:t>
            </w:r>
            <w:r w:rsidR="00284C53" w:rsidRPr="00300EBB">
              <w:t xml:space="preserve"> </w:t>
            </w:r>
            <w:r w:rsidR="00F54F33" w:rsidRPr="00300EBB">
              <w:t xml:space="preserve"> </w:t>
            </w:r>
            <w:r w:rsidR="000B4976" w:rsidRPr="00300EBB">
              <w:rPr>
                <w:lang w:val="es-ES_tradnl"/>
              </w:rPr>
              <w:t>No obstante, el propósito declarado de esas disposiciones suele estar claro (con fines de enseñanza, educación, instrucción, científicos y de investigación)</w:t>
            </w:r>
            <w:r w:rsidR="00F54F33" w:rsidRPr="00300EBB">
              <w:t>.</w:t>
            </w:r>
            <w:r w:rsidR="00284C53" w:rsidRPr="00300EBB">
              <w:t xml:space="preserve"> </w:t>
            </w:r>
            <w:r w:rsidR="00F54F33" w:rsidRPr="00300EBB">
              <w:t xml:space="preserve"> </w:t>
            </w:r>
            <w:r w:rsidR="002078BA" w:rsidRPr="00300EBB">
              <w:t xml:space="preserve">[…] </w:t>
            </w:r>
            <w:r w:rsidR="00265019" w:rsidRPr="00300EBB">
              <w:t>l</w:t>
            </w:r>
            <w:r w:rsidR="002078BA" w:rsidRPr="00300EBB">
              <w:t xml:space="preserve">as disposiciones en materia de emisiones, comunicaciones y grabaciones se prestan a una mayor variedad de posibilidades de aplicación, pues son pocos los Estados miembros cuya legislación contempla la fórmula “a título de ilustración” o incluso sus </w:t>
            </w:r>
            <w:r w:rsidR="00A97DC5" w:rsidRPr="00300EBB">
              <w:t>variantes del Artículo </w:t>
            </w:r>
            <w:r w:rsidR="002078BA" w:rsidRPr="00300EBB">
              <w:t>10.2) del Convenio de Berna para formular sus disposiciones en materia de emisiones, comunicaciones y grabaciones con fines docentes.</w:t>
            </w:r>
          </w:p>
          <w:p w14:paraId="1ED013AA" w14:textId="77777777" w:rsidR="00F54F33" w:rsidRPr="00300EBB" w:rsidRDefault="00F54F33" w:rsidP="00EB3917"/>
          <w:p w14:paraId="0434F015" w14:textId="1983714F" w:rsidR="00674A68" w:rsidRPr="00300EBB" w:rsidRDefault="00166288" w:rsidP="00674A68">
            <w:r w:rsidRPr="00300EBB">
              <w:t xml:space="preserve">En su mayor parte, las disposiciones en materia de […] emisiones, comunicaciones y grabaciones con fines docentes no exigen el pago de una remuneración equitativa a los autores y titulares de derechos.  </w:t>
            </w:r>
            <w:r w:rsidR="001516DC" w:rsidRPr="00300EBB">
              <w:t>No obstante, […], la realización de múltiples copias, el uso de equipo reprográfico y la reproducción de obras originales por terceros, no se observan pautas claras en relación con las disposiciones que exigen una remuneración equitativa respecto de emisiones, comunicaciones y grabaciones con fines docentes.</w:t>
            </w:r>
          </w:p>
          <w:p w14:paraId="22694C8B" w14:textId="77777777" w:rsidR="00F54F33" w:rsidRPr="00300EBB" w:rsidRDefault="00F54F33" w:rsidP="00EB3917"/>
          <w:p w14:paraId="3CAA3D13" w14:textId="2AA44E47" w:rsidR="00F54F33" w:rsidRPr="00300EBB" w:rsidRDefault="00AB0029" w:rsidP="00EB3917">
            <w:r w:rsidRPr="00300EBB">
              <w:t xml:space="preserve">En lo que respecta a la enseñanza a distancia por Internet, muy pocos Estados miembros cuentan con disposiciones especiales que aborden explícitamente la distribución de contenido por Internet con </w:t>
            </w:r>
            <w:r w:rsidR="001516DC" w:rsidRPr="00300EBB">
              <w:t>fines de instrucción</w:t>
            </w:r>
            <w:r w:rsidR="00F54F33" w:rsidRPr="00300EBB">
              <w:t>.</w:t>
            </w:r>
            <w:r w:rsidR="00284C53" w:rsidRPr="00300EBB">
              <w:t xml:space="preserve"> </w:t>
            </w:r>
            <w:r w:rsidR="00F54F33" w:rsidRPr="00300EBB">
              <w:t xml:space="preserve"> </w:t>
            </w:r>
            <w:r w:rsidR="000B4976" w:rsidRPr="00300EBB">
              <w:rPr>
                <w:lang w:val="es-ES_tradnl"/>
              </w:rPr>
              <w:t>No obstante, eso no significa que no haya Estados miembros que cuenten con disposiciones a ese respecto.  Pero para determinar si en los derechos de “comunicación al público” o de “puesta a disposición” queda comprendida la difusión por Internet de contenido digital hay que remitirse en gran medida a la legislación sustantiva en los respectivos Estados miembros.  Además, la enseñanza a distancia por Internet entraña siempre una u otra forma de reproducción de las obras originales comunicadas, por el hecho del soporte electrónico empleado;  en las disposiciones que autorizan la enseñanza a distancia por Internet se debe tener en cuenta ese aspecto.</w:t>
            </w:r>
          </w:p>
        </w:tc>
        <w:tc>
          <w:tcPr>
            <w:tcW w:w="8460" w:type="dxa"/>
          </w:tcPr>
          <w:p w14:paraId="69F5CDCD" w14:textId="1AA605C5" w:rsidR="00F54F33" w:rsidRPr="00300EBB" w:rsidRDefault="00DD0925" w:rsidP="00EB3917">
            <w:r w:rsidRPr="00300EBB">
              <w:t>Las aplicaciones de limitaciones y excepciones […] para emisiones, comunicaciones y grabaciones con fines docentes, son extensas y diversas</w:t>
            </w:r>
            <w:r w:rsidR="00F54F33" w:rsidRPr="00300EBB">
              <w:t xml:space="preserve">. </w:t>
            </w:r>
            <w:r w:rsidRPr="00300EBB">
              <w:t xml:space="preserve"> El propósito declarado de esas disposiciones suele estar claro (con fines de enseñanza, educación, instrucción, científicos y de investigación).</w:t>
            </w:r>
          </w:p>
          <w:p w14:paraId="15E531C1" w14:textId="77777777" w:rsidR="00F54F33" w:rsidRPr="00300EBB" w:rsidRDefault="00F54F33" w:rsidP="00EB3917"/>
          <w:p w14:paraId="14B26B65" w14:textId="0035228A" w:rsidR="00F54F33" w:rsidRPr="00300EBB" w:rsidRDefault="00E16861" w:rsidP="00EB3917">
            <w:r w:rsidRPr="00300EBB">
              <w:t xml:space="preserve">Las disposiciones en materia de emisiones, comunicaciones y grabaciones se prestan a una mayor variedad de posibilidades de aplicación.  Es posible que las disposiciones contempladas en la legislación de los Estados miembros no solo se refieran a la "comunicación" o la "difusión", sino también a la "grabación", el "montaje", la "filmación", la "puesta a disposición" o incluso a la "ejecución", el "uso" u “otro concepto”.  Es interesante observar que, pese a lo dispuesto en el </w:t>
            </w:r>
            <w:r w:rsidR="00AB0029" w:rsidRPr="00300EBB">
              <w:t>Artículo </w:t>
            </w:r>
            <w:r w:rsidRPr="00300EBB">
              <w:t xml:space="preserve">10.2) del Convenio de Berna, relativamente pocos Estados miembros </w:t>
            </w:r>
            <w:r w:rsidR="00AB0029" w:rsidRPr="00300EBB">
              <w:t xml:space="preserve">han introducido en su legislación la fórmula “a título de ilustración” o sus variantes al </w:t>
            </w:r>
            <w:r w:rsidR="00A97DC5" w:rsidRPr="00300EBB">
              <w:t>red</w:t>
            </w:r>
            <w:r w:rsidR="00F97815" w:rsidRPr="00300EBB">
              <w:t>a</w:t>
            </w:r>
            <w:r w:rsidR="00A97DC5" w:rsidRPr="00300EBB">
              <w:t>ctar</w:t>
            </w:r>
            <w:r w:rsidR="00AB0029" w:rsidRPr="00300EBB">
              <w:t xml:space="preserve"> sus disposiciones en materia de emisiones, comunicaciones y grabaciones con fines docentes.  Asimismo, las condiciones, los límites cualitativos y cuantitativos y las restricciones contempladas varían de modo considerable.  Con miras a permitir la enseñanza a distancia por Internet</w:t>
            </w:r>
            <w:r w:rsidR="00166288" w:rsidRPr="00300EBB">
              <w:t xml:space="preserve"> y sin embargo prevenir eventuales infracciones, algunos Estados miembros han adoptado disposiciones que vinculan la disponibilidad de las obras </w:t>
            </w:r>
            <w:r w:rsidR="004A7826" w:rsidRPr="00300EBB">
              <w:t xml:space="preserve">originales </w:t>
            </w:r>
            <w:r w:rsidR="00166288" w:rsidRPr="00300EBB">
              <w:t>con la aplicación de medidas tecnológicas de protección.</w:t>
            </w:r>
          </w:p>
          <w:p w14:paraId="1BCEB099" w14:textId="77777777" w:rsidR="00F54F33" w:rsidRPr="00300EBB" w:rsidRDefault="00F54F33" w:rsidP="00EB3917"/>
          <w:p w14:paraId="6359AC2E" w14:textId="4FAAA5EB" w:rsidR="00F54F33" w:rsidRPr="00300EBB" w:rsidRDefault="00166288" w:rsidP="00883EC5">
            <w:r w:rsidRPr="00300EBB">
              <w:t xml:space="preserve">En su mayor parte, las disposiciones en materia de […] emisiones, comunicaciones y grabaciones con fines docentes no exigen el pago de una remuneración equitativa a los autores y titulares de derechos. </w:t>
            </w:r>
            <w:r w:rsidR="00F54F33" w:rsidRPr="00300EBB">
              <w:t xml:space="preserve"> </w:t>
            </w:r>
            <w:r w:rsidR="00883EC5" w:rsidRPr="00300EBB">
              <w:t>No obstante, las disposiciones en materia de reproducción con fines docentes que exigen una remuneración equitativa tienen esencialmente por finalidad la realización de múltiples copias, el uso de equipo reprográfico y la reproducción de obras originales por terceros.  No se observan pautas claras en relación con las disposiciones que exigen una remuneración equitativa respecto de emisiones, comunicaciones y grabaciones con fines docentes.</w:t>
            </w:r>
          </w:p>
          <w:p w14:paraId="022F4F4F" w14:textId="77777777" w:rsidR="00F54F33" w:rsidRPr="00300EBB" w:rsidRDefault="00F54F33" w:rsidP="00EB3917"/>
          <w:p w14:paraId="3DAE3945" w14:textId="009C68EE" w:rsidR="00806852" w:rsidRPr="00300EBB" w:rsidRDefault="00806852" w:rsidP="00EB3917">
            <w:r w:rsidRPr="00300EBB">
              <w:t xml:space="preserve">Asimismo, en lo </w:t>
            </w:r>
            <w:r w:rsidR="004A7826" w:rsidRPr="00300EBB">
              <w:t>referente</w:t>
            </w:r>
            <w:r w:rsidRPr="00300EBB">
              <w:t xml:space="preserve"> a la enseñanza a distancia por Internet, muy pocos Estados miembros cuentan con disposiciones especiales que aborden </w:t>
            </w:r>
            <w:r w:rsidR="001516DC" w:rsidRPr="00300EBB">
              <w:t>expresamente</w:t>
            </w:r>
            <w:r w:rsidRPr="00300EBB">
              <w:t xml:space="preserve"> la distribución de contenido por Internet con fines </w:t>
            </w:r>
            <w:r w:rsidR="001516DC" w:rsidRPr="00300EBB">
              <w:t>de instrucción</w:t>
            </w:r>
            <w:r w:rsidRPr="00300EBB">
              <w:t>.  No obstante, eso no significa que no haya Estados miembros que cuenten con disposiciones a ese respecto.  Pero para determinar si en los derechos de “comunicación al público” o de “puesta a disposición” queda comprendida la difusión por Internet de contenido digital hay que remitirse en gran medida a la legislación sustantiva en los respectivos Estados miembros.  Además, la enseñanza a distancia por Internet entraña siempre una u otra forma de reproducción de las obras originales comunicadas, por el hecho del soporte electrónico empleado;  en las disposiciones que autorizan la enseñanza a distancia por Internet se debe tener en cuenta ese aspecto</w:t>
            </w:r>
            <w:r w:rsidR="00B73C3A" w:rsidRPr="00300EBB">
              <w:t>.</w:t>
            </w:r>
          </w:p>
          <w:p w14:paraId="6C024112" w14:textId="72C418F8" w:rsidR="00F54F33" w:rsidRPr="00300EBB" w:rsidRDefault="00F54F33" w:rsidP="00EB3917"/>
        </w:tc>
      </w:tr>
      <w:tr w:rsidR="00300EBB" w:rsidRPr="00300EBB" w14:paraId="27DAB753" w14:textId="77777777" w:rsidTr="00EB3917">
        <w:tc>
          <w:tcPr>
            <w:tcW w:w="648" w:type="dxa"/>
          </w:tcPr>
          <w:p w14:paraId="36A16799" w14:textId="77777777" w:rsidR="00F54F33" w:rsidRPr="00300EBB" w:rsidRDefault="00F54F33" w:rsidP="00EB3917">
            <w:r w:rsidRPr="00300EBB">
              <w:t>7</w:t>
            </w:r>
          </w:p>
        </w:tc>
        <w:tc>
          <w:tcPr>
            <w:tcW w:w="2700" w:type="dxa"/>
          </w:tcPr>
          <w:p w14:paraId="69103830" w14:textId="28E4498D" w:rsidR="00F54F33" w:rsidRPr="00300EBB" w:rsidRDefault="00916B1B" w:rsidP="00EB3917">
            <w:r w:rsidRPr="00300EBB">
              <w:t xml:space="preserve">Las </w:t>
            </w:r>
            <w:r w:rsidR="00432582" w:rsidRPr="00300EBB">
              <w:t>licencias obligatorias para la reproducción y traducción de obras con fines docentes</w:t>
            </w:r>
          </w:p>
        </w:tc>
        <w:tc>
          <w:tcPr>
            <w:tcW w:w="2880" w:type="dxa"/>
          </w:tcPr>
          <w:p w14:paraId="2E4880F3" w14:textId="77777777" w:rsidR="00F54F33" w:rsidRPr="00300EBB" w:rsidRDefault="00F54F33" w:rsidP="00EB3917"/>
        </w:tc>
        <w:tc>
          <w:tcPr>
            <w:tcW w:w="8460" w:type="dxa"/>
          </w:tcPr>
          <w:p w14:paraId="4C2CECA4" w14:textId="1D221F1E" w:rsidR="0099235F" w:rsidRPr="00300EBB" w:rsidRDefault="0099235F" w:rsidP="00EB3917">
            <w:r w:rsidRPr="00300EBB">
              <w:t xml:space="preserve">Solo existen 77 disposiciones de 37 Estados miembros </w:t>
            </w:r>
            <w:proofErr w:type="gramStart"/>
            <w:r w:rsidRPr="00300EBB">
              <w:t>relativas</w:t>
            </w:r>
            <w:proofErr w:type="gramEnd"/>
            <w:r w:rsidRPr="00300EBB">
              <w:t xml:space="preserve"> a licencias obligatorias para </w:t>
            </w:r>
            <w:r w:rsidR="00916B1B" w:rsidRPr="00300EBB">
              <w:t>utilizar</w:t>
            </w:r>
            <w:r w:rsidRPr="00300EBB">
              <w:t xml:space="preserve"> las obras con fines docentes.  Si bien, por lo general, la mayoría de estas disposiciones se ajustan a las estipulaciones que figuran en </w:t>
            </w:r>
            <w:r w:rsidR="00A97DC5" w:rsidRPr="00300EBB">
              <w:t>los Artículos I y </w:t>
            </w:r>
            <w:r w:rsidRPr="00300EBB">
              <w:t xml:space="preserve">II del </w:t>
            </w:r>
            <w:r w:rsidR="00273DF5" w:rsidRPr="00300EBB">
              <w:t>Anexo al</w:t>
            </w:r>
            <w:r w:rsidRPr="00300EBB">
              <w:t xml:space="preserve"> Convenio de Berna, </w:t>
            </w:r>
            <w:r w:rsidR="00273DF5" w:rsidRPr="00300EBB">
              <w:t>en</w:t>
            </w:r>
            <w:r w:rsidR="00485C1D" w:rsidRPr="00300EBB">
              <w:t xml:space="preserve"> el período actual so</w:t>
            </w:r>
            <w:r w:rsidRPr="00300EBB">
              <w:t>lo seis Estados miembros</w:t>
            </w:r>
            <w:r w:rsidR="00273DF5" w:rsidRPr="00300EBB">
              <w:t xml:space="preserve"> han renovado</w:t>
            </w:r>
            <w:r w:rsidRPr="00300EBB">
              <w:t xml:space="preserve"> </w:t>
            </w:r>
            <w:r w:rsidR="00273DF5" w:rsidRPr="00300EBB">
              <w:t>la declaración contemplada en el Artículo primero del Anexo</w:t>
            </w:r>
            <w:r w:rsidRPr="00300EBB">
              <w:t xml:space="preserve">. </w:t>
            </w:r>
            <w:r w:rsidR="00485C1D" w:rsidRPr="00300EBB">
              <w:t xml:space="preserve"> </w:t>
            </w:r>
            <w:r w:rsidR="00273DF5" w:rsidRPr="00300EBB">
              <w:t>En ese sentido</w:t>
            </w:r>
            <w:r w:rsidRPr="00300EBB">
              <w:t xml:space="preserve">, </w:t>
            </w:r>
            <w:r w:rsidR="00273DF5" w:rsidRPr="00300EBB">
              <w:t>resultará sumamente instructi</w:t>
            </w:r>
            <w:r w:rsidR="00485C1D" w:rsidRPr="00300EBB">
              <w:t>va</w:t>
            </w:r>
            <w:r w:rsidR="00273DF5" w:rsidRPr="00300EBB">
              <w:t xml:space="preserve"> </w:t>
            </w:r>
            <w:r w:rsidR="00485C1D" w:rsidRPr="00300EBB">
              <w:t xml:space="preserve">una indagación más profunda para comprobar </w:t>
            </w:r>
            <w:r w:rsidRPr="00300EBB">
              <w:t xml:space="preserve">si los </w:t>
            </w:r>
            <w:r w:rsidR="00273DF5" w:rsidRPr="00300EBB">
              <w:t>demás</w:t>
            </w:r>
            <w:r w:rsidRPr="00300EBB">
              <w:t xml:space="preserve"> Estados miembros han </w:t>
            </w:r>
            <w:r w:rsidR="00273DF5" w:rsidRPr="00300EBB">
              <w:t>integrado efectivamente</w:t>
            </w:r>
            <w:r w:rsidRPr="00300EBB">
              <w:t xml:space="preserve"> estas disposiciones en su </w:t>
            </w:r>
            <w:r w:rsidR="00273DF5" w:rsidRPr="00300EBB">
              <w:t>legislación.</w:t>
            </w:r>
          </w:p>
          <w:p w14:paraId="2E87B941" w14:textId="16A6E85F" w:rsidR="00F54F33" w:rsidRPr="00300EBB" w:rsidRDefault="00F54F33" w:rsidP="00EB3917"/>
        </w:tc>
      </w:tr>
      <w:tr w:rsidR="00F54F33" w:rsidRPr="00300EBB" w14:paraId="464467CC" w14:textId="77777777" w:rsidTr="00EB3917">
        <w:tc>
          <w:tcPr>
            <w:tcW w:w="648" w:type="dxa"/>
          </w:tcPr>
          <w:p w14:paraId="0CB7B449" w14:textId="77777777" w:rsidR="00F54F33" w:rsidRPr="00300EBB" w:rsidRDefault="00F54F33" w:rsidP="00EB3917">
            <w:r w:rsidRPr="00300EBB">
              <w:t>8</w:t>
            </w:r>
          </w:p>
        </w:tc>
        <w:tc>
          <w:tcPr>
            <w:tcW w:w="2700" w:type="dxa"/>
          </w:tcPr>
          <w:p w14:paraId="61E75202" w14:textId="3153BFF3" w:rsidR="00432582" w:rsidRPr="00300EBB" w:rsidRDefault="00432582" w:rsidP="00EB3917">
            <w:r w:rsidRPr="00300EBB">
              <w:t>Las excepciones a la aplicación de medidas tecnológicas de protección y a la información para la gestión de derechos con fines docentes</w:t>
            </w:r>
          </w:p>
          <w:p w14:paraId="5EB980AF" w14:textId="77777777" w:rsidR="00F54F33" w:rsidRPr="00300EBB" w:rsidRDefault="00F54F33" w:rsidP="00432582"/>
        </w:tc>
        <w:tc>
          <w:tcPr>
            <w:tcW w:w="2880" w:type="dxa"/>
          </w:tcPr>
          <w:p w14:paraId="0D8AA77F" w14:textId="2EAD7B98" w:rsidR="00F54F33" w:rsidRPr="00300EBB" w:rsidRDefault="00842074" w:rsidP="00EB3917">
            <w:r w:rsidRPr="00300EBB">
              <w:t>Deben analizarse las razones por las que los Estados miembros no han renovado la declaración contemplada en el Artículo primero del Anexo</w:t>
            </w:r>
            <w:r w:rsidR="00F54F33" w:rsidRPr="00300EBB">
              <w:t>.</w:t>
            </w:r>
            <w:r w:rsidR="00923B0A" w:rsidRPr="00300EBB">
              <w:t xml:space="preserve"> </w:t>
            </w:r>
            <w:r w:rsidR="00F54F33" w:rsidRPr="00300EBB">
              <w:t xml:space="preserve"> </w:t>
            </w:r>
            <w:r w:rsidR="000B4976" w:rsidRPr="00300EBB">
              <w:rPr>
                <w:lang w:val="es-ES_tradnl"/>
              </w:rPr>
              <w:t>Asimismo, la adopción de disposiciones en la legislación de Estados miembros para contemplar excepciones respecto de las medidas tecnológicas de protección y la información para la gestión de los derechos, ya sea de forma directa o de forma indirecta, con fines docentes, es un dato interesante.</w:t>
            </w:r>
          </w:p>
        </w:tc>
        <w:tc>
          <w:tcPr>
            <w:tcW w:w="8460" w:type="dxa"/>
          </w:tcPr>
          <w:p w14:paraId="1B487886" w14:textId="197C424F" w:rsidR="00F54F33" w:rsidRPr="00300EBB" w:rsidRDefault="00A213B2" w:rsidP="00916B1B">
            <w:pPr>
              <w:rPr>
                <w:b/>
              </w:rPr>
            </w:pPr>
            <w:r w:rsidRPr="00300EBB">
              <w:rPr>
                <w:rFonts w:eastAsia="Times New Roman"/>
                <w:lang w:eastAsia="ja-JP"/>
              </w:rPr>
              <w:t xml:space="preserve">Un importante número </w:t>
            </w:r>
            <w:r w:rsidR="00B660B2" w:rsidRPr="00300EBB">
              <w:rPr>
                <w:rFonts w:eastAsia="Times New Roman"/>
                <w:lang w:eastAsia="ja-JP"/>
              </w:rPr>
              <w:t>de Estados miembros ha</w:t>
            </w:r>
            <w:r w:rsidRPr="00300EBB">
              <w:rPr>
                <w:rFonts w:eastAsia="Times New Roman"/>
                <w:lang w:eastAsia="ja-JP"/>
              </w:rPr>
              <w:t xml:space="preserve"> adoptado disposiciones en su legislación nacional para </w:t>
            </w:r>
            <w:r w:rsidR="00FC5B8A" w:rsidRPr="00300EBB">
              <w:rPr>
                <w:rFonts w:eastAsia="Times New Roman"/>
                <w:lang w:eastAsia="ja-JP"/>
              </w:rPr>
              <w:t>establecer restricciones</w:t>
            </w:r>
            <w:r w:rsidRPr="00300EBB">
              <w:rPr>
                <w:rFonts w:eastAsia="Times New Roman"/>
                <w:lang w:eastAsia="ja-JP"/>
              </w:rPr>
              <w:t xml:space="preserve"> </w:t>
            </w:r>
            <w:r w:rsidR="00FC5B8A" w:rsidRPr="00300EBB">
              <w:rPr>
                <w:rFonts w:eastAsia="Times New Roman"/>
                <w:lang w:eastAsia="ja-JP"/>
              </w:rPr>
              <w:t>respecto de las medidas tecnológicas de protección y la información para la gestión de los derechos</w:t>
            </w:r>
            <w:r w:rsidRPr="00300EBB">
              <w:rPr>
                <w:rFonts w:eastAsia="Times New Roman"/>
                <w:lang w:eastAsia="ja-JP"/>
              </w:rPr>
              <w:t xml:space="preserve">. </w:t>
            </w:r>
            <w:r w:rsidR="00FC5B8A" w:rsidRPr="00300EBB">
              <w:rPr>
                <w:rFonts w:eastAsia="Times New Roman"/>
                <w:lang w:eastAsia="ja-JP"/>
              </w:rPr>
              <w:t xml:space="preserve"> L</w:t>
            </w:r>
            <w:r w:rsidRPr="00300EBB">
              <w:rPr>
                <w:rFonts w:eastAsia="Times New Roman"/>
                <w:lang w:eastAsia="ja-JP"/>
              </w:rPr>
              <w:t xml:space="preserve">a enseñanza, el uso privado o personal, </w:t>
            </w:r>
            <w:r w:rsidR="00FC5B8A" w:rsidRPr="00300EBB">
              <w:rPr>
                <w:rFonts w:eastAsia="Times New Roman"/>
                <w:lang w:eastAsia="ja-JP"/>
              </w:rPr>
              <w:t>la adopción de</w:t>
            </w:r>
            <w:r w:rsidRPr="00300EBB">
              <w:rPr>
                <w:rFonts w:eastAsia="Times New Roman"/>
                <w:lang w:eastAsia="ja-JP"/>
              </w:rPr>
              <w:t xml:space="preserve"> decisiones </w:t>
            </w:r>
            <w:r w:rsidR="00FC5B8A" w:rsidRPr="00300EBB">
              <w:rPr>
                <w:rFonts w:eastAsia="Times New Roman"/>
                <w:lang w:eastAsia="ja-JP"/>
              </w:rPr>
              <w:t xml:space="preserve">de compra o </w:t>
            </w:r>
            <w:r w:rsidR="00916B1B" w:rsidRPr="00300EBB">
              <w:rPr>
                <w:rFonts w:eastAsia="Times New Roman"/>
                <w:lang w:eastAsia="ja-JP"/>
              </w:rPr>
              <w:t>adquisición</w:t>
            </w:r>
            <w:r w:rsidR="00FC5B8A" w:rsidRPr="00300EBB">
              <w:rPr>
                <w:rFonts w:eastAsia="Times New Roman"/>
                <w:lang w:eastAsia="ja-JP"/>
              </w:rPr>
              <w:t xml:space="preserve"> con fines docentes</w:t>
            </w:r>
            <w:r w:rsidRPr="00300EBB">
              <w:rPr>
                <w:rFonts w:eastAsia="Times New Roman"/>
                <w:lang w:eastAsia="ja-JP"/>
              </w:rPr>
              <w:t>, la investigación de cifrado, las pruebas de seguridad y la interoperabilidad</w:t>
            </w:r>
            <w:r w:rsidR="00FC5B8A" w:rsidRPr="00300EBB">
              <w:rPr>
                <w:rFonts w:eastAsia="Times New Roman"/>
                <w:lang w:eastAsia="ja-JP"/>
              </w:rPr>
              <w:t xml:space="preserve"> son algunas de las finalidades contempladas en esas disposiciones</w:t>
            </w:r>
            <w:r w:rsidRPr="00300EBB">
              <w:rPr>
                <w:rFonts w:eastAsia="Times New Roman"/>
                <w:lang w:eastAsia="ja-JP"/>
              </w:rPr>
              <w:t xml:space="preserve">. </w:t>
            </w:r>
            <w:r w:rsidR="00FC5B8A" w:rsidRPr="00300EBB">
              <w:rPr>
                <w:rFonts w:eastAsia="Times New Roman"/>
                <w:lang w:eastAsia="ja-JP"/>
              </w:rPr>
              <w:t xml:space="preserve"> </w:t>
            </w:r>
            <w:r w:rsidRPr="00300EBB">
              <w:rPr>
                <w:rFonts w:eastAsia="Times New Roman"/>
                <w:lang w:eastAsia="ja-JP"/>
              </w:rPr>
              <w:t xml:space="preserve">Otras disposiciones restringen </w:t>
            </w:r>
            <w:r w:rsidR="00FC5B8A" w:rsidRPr="00300EBB">
              <w:rPr>
                <w:rFonts w:eastAsia="Times New Roman"/>
                <w:lang w:eastAsia="ja-JP"/>
              </w:rPr>
              <w:t xml:space="preserve">las medidas tecnológicas de protección y la información para la gestión de los derechos </w:t>
            </w:r>
            <w:r w:rsidR="00B660B2" w:rsidRPr="00300EBB">
              <w:rPr>
                <w:rFonts w:eastAsia="Times New Roman"/>
                <w:lang w:eastAsia="ja-JP"/>
              </w:rPr>
              <w:t xml:space="preserve">con miras a </w:t>
            </w:r>
            <w:r w:rsidR="00B4629B" w:rsidRPr="00300EBB">
              <w:rPr>
                <w:rFonts w:eastAsia="Times New Roman"/>
                <w:lang w:eastAsia="ja-JP"/>
              </w:rPr>
              <w:t>ampara</w:t>
            </w:r>
            <w:r w:rsidR="00B660B2" w:rsidRPr="00300EBB">
              <w:rPr>
                <w:rFonts w:eastAsia="Times New Roman"/>
                <w:lang w:eastAsia="ja-JP"/>
              </w:rPr>
              <w:t>r</w:t>
            </w:r>
            <w:r w:rsidR="00FC5B8A" w:rsidRPr="00300EBB">
              <w:rPr>
                <w:rFonts w:eastAsia="Times New Roman"/>
                <w:lang w:eastAsia="ja-JP"/>
              </w:rPr>
              <w:t xml:space="preserve"> </w:t>
            </w:r>
            <w:r w:rsidRPr="00300EBB">
              <w:rPr>
                <w:rFonts w:eastAsia="Times New Roman"/>
                <w:lang w:eastAsia="ja-JP"/>
              </w:rPr>
              <w:t xml:space="preserve">y preservar el acceso legítimo a las obras </w:t>
            </w:r>
            <w:r w:rsidR="00FC5B8A" w:rsidRPr="00300EBB">
              <w:rPr>
                <w:rFonts w:eastAsia="Times New Roman"/>
                <w:lang w:eastAsia="ja-JP"/>
              </w:rPr>
              <w:t>y</w:t>
            </w:r>
            <w:r w:rsidRPr="00300EBB">
              <w:rPr>
                <w:rFonts w:eastAsia="Times New Roman"/>
                <w:lang w:eastAsia="ja-JP"/>
              </w:rPr>
              <w:t xml:space="preserve"> permitir la plena </w:t>
            </w:r>
            <w:r w:rsidR="00FC5B8A" w:rsidRPr="00300EBB">
              <w:rPr>
                <w:rFonts w:eastAsia="Times New Roman"/>
                <w:lang w:eastAsia="ja-JP"/>
              </w:rPr>
              <w:t>aplicación</w:t>
            </w:r>
            <w:r w:rsidRPr="00300EBB">
              <w:rPr>
                <w:rFonts w:eastAsia="Times New Roman"/>
                <w:lang w:eastAsia="ja-JP"/>
              </w:rPr>
              <w:t xml:space="preserve"> y utilización de las limitaciones y excepciones en la legislación nacional, incluidas las disposiciones </w:t>
            </w:r>
            <w:r w:rsidR="00FC5B8A" w:rsidRPr="00300EBB">
              <w:rPr>
                <w:rFonts w:eastAsia="Times New Roman"/>
                <w:lang w:eastAsia="ja-JP"/>
              </w:rPr>
              <w:t>relativas a la educación previamente examinadas</w:t>
            </w:r>
            <w:r w:rsidRPr="00300EBB">
              <w:rPr>
                <w:rFonts w:eastAsia="Times New Roman"/>
                <w:lang w:eastAsia="ja-JP"/>
              </w:rPr>
              <w:t xml:space="preserve">. </w:t>
            </w:r>
            <w:r w:rsidR="00FC5B8A" w:rsidRPr="00300EBB">
              <w:rPr>
                <w:rFonts w:eastAsia="Times New Roman"/>
                <w:lang w:eastAsia="ja-JP"/>
              </w:rPr>
              <w:t xml:space="preserve"> </w:t>
            </w:r>
            <w:r w:rsidR="004A7826" w:rsidRPr="00300EBB">
              <w:rPr>
                <w:rFonts w:eastAsia="Times New Roman"/>
                <w:lang w:eastAsia="ja-JP"/>
              </w:rPr>
              <w:t>L</w:t>
            </w:r>
            <w:r w:rsidR="00E3438B" w:rsidRPr="00300EBB">
              <w:rPr>
                <w:rFonts w:eastAsia="Times New Roman"/>
                <w:lang w:eastAsia="ja-JP"/>
              </w:rPr>
              <w:t>as disposiciones de esa índole</w:t>
            </w:r>
            <w:r w:rsidR="00B660B2" w:rsidRPr="00300EBB">
              <w:rPr>
                <w:rFonts w:eastAsia="Times New Roman"/>
                <w:lang w:eastAsia="ja-JP"/>
              </w:rPr>
              <w:t>,</w:t>
            </w:r>
            <w:r w:rsidR="00E3438B" w:rsidRPr="00300EBB">
              <w:rPr>
                <w:rFonts w:eastAsia="Times New Roman"/>
                <w:lang w:eastAsia="ja-JP"/>
              </w:rPr>
              <w:t xml:space="preserve"> que </w:t>
            </w:r>
            <w:r w:rsidR="00B4629B" w:rsidRPr="00300EBB">
              <w:rPr>
                <w:rFonts w:eastAsia="Times New Roman"/>
                <w:lang w:eastAsia="ja-JP"/>
              </w:rPr>
              <w:t>cubren</w:t>
            </w:r>
            <w:r w:rsidR="00E3438B" w:rsidRPr="00300EBB">
              <w:rPr>
                <w:rFonts w:eastAsia="Times New Roman"/>
                <w:lang w:eastAsia="ja-JP"/>
              </w:rPr>
              <w:t xml:space="preserve"> de forma general las medidas tecnológicas de protección y la información para la gestión de los derechos</w:t>
            </w:r>
            <w:r w:rsidR="00B660B2" w:rsidRPr="00300EBB">
              <w:rPr>
                <w:rFonts w:eastAsia="Times New Roman"/>
                <w:lang w:eastAsia="ja-JP"/>
              </w:rPr>
              <w:t>,</w:t>
            </w:r>
            <w:r w:rsidRPr="00300EBB">
              <w:rPr>
                <w:rFonts w:eastAsia="Times New Roman"/>
                <w:lang w:eastAsia="ja-JP"/>
              </w:rPr>
              <w:t xml:space="preserve"> </w:t>
            </w:r>
            <w:r w:rsidR="00E3438B" w:rsidRPr="00300EBB">
              <w:rPr>
                <w:rFonts w:eastAsia="Times New Roman"/>
                <w:lang w:eastAsia="ja-JP"/>
              </w:rPr>
              <w:t>constituyen</w:t>
            </w:r>
            <w:r w:rsidRPr="00300EBB">
              <w:rPr>
                <w:rFonts w:eastAsia="Times New Roman"/>
                <w:lang w:eastAsia="ja-JP"/>
              </w:rPr>
              <w:t xml:space="preserve"> una tendencia interesante en la jurisprud</w:t>
            </w:r>
            <w:r w:rsidR="00B660B2" w:rsidRPr="00300EBB">
              <w:rPr>
                <w:rFonts w:eastAsia="Times New Roman"/>
                <w:lang w:eastAsia="ja-JP"/>
              </w:rPr>
              <w:t>encia internacional</w:t>
            </w:r>
            <w:r w:rsidR="004A7826" w:rsidRPr="00300EBB">
              <w:rPr>
                <w:rFonts w:eastAsia="Times New Roman"/>
                <w:lang w:eastAsia="ja-JP"/>
              </w:rPr>
              <w:t xml:space="preserve"> en ese ámbito</w:t>
            </w:r>
            <w:r w:rsidR="00E3438B" w:rsidRPr="00300EBB">
              <w:rPr>
                <w:rFonts w:eastAsia="Times New Roman"/>
                <w:lang w:eastAsia="ja-JP"/>
              </w:rPr>
              <w:t>.</w:t>
            </w:r>
          </w:p>
        </w:tc>
      </w:tr>
    </w:tbl>
    <w:p w14:paraId="494EE303" w14:textId="77777777" w:rsidR="00F54F33" w:rsidRPr="00300EBB" w:rsidRDefault="00F54F33" w:rsidP="00F54F33"/>
    <w:tbl>
      <w:tblPr>
        <w:tblStyle w:val="TableGrid"/>
        <w:tblW w:w="14688" w:type="dxa"/>
        <w:tblLayout w:type="fixed"/>
        <w:tblLook w:val="04A0" w:firstRow="1" w:lastRow="0" w:firstColumn="1" w:lastColumn="0" w:noHBand="0" w:noVBand="1"/>
      </w:tblPr>
      <w:tblGrid>
        <w:gridCol w:w="648"/>
        <w:gridCol w:w="2700"/>
        <w:gridCol w:w="2880"/>
        <w:gridCol w:w="8460"/>
      </w:tblGrid>
      <w:tr w:rsidR="00300EBB" w:rsidRPr="00300EBB" w14:paraId="34E9EF5A" w14:textId="77777777" w:rsidTr="00EB3917">
        <w:tc>
          <w:tcPr>
            <w:tcW w:w="648" w:type="dxa"/>
            <w:shd w:val="clear" w:color="auto" w:fill="000000" w:themeFill="text1"/>
          </w:tcPr>
          <w:p w14:paraId="7267C520" w14:textId="77777777" w:rsidR="00F54F33" w:rsidRPr="00300EBB" w:rsidRDefault="00F54F33" w:rsidP="00EB3917">
            <w:pPr>
              <w:rPr>
                <w:b/>
              </w:rPr>
            </w:pPr>
          </w:p>
          <w:p w14:paraId="12025111" w14:textId="0A7D93C0" w:rsidR="00F54F33" w:rsidRPr="00300EBB" w:rsidRDefault="00F97815" w:rsidP="00EB3917">
            <w:pPr>
              <w:rPr>
                <w:b/>
              </w:rPr>
            </w:pPr>
            <w:r w:rsidRPr="00300EBB">
              <w:rPr>
                <w:b/>
              </w:rPr>
              <w:t>Nº</w:t>
            </w:r>
          </w:p>
        </w:tc>
        <w:tc>
          <w:tcPr>
            <w:tcW w:w="2700" w:type="dxa"/>
            <w:shd w:val="clear" w:color="auto" w:fill="000000" w:themeFill="text1"/>
          </w:tcPr>
          <w:p w14:paraId="7DECB723" w14:textId="77777777" w:rsidR="00F54F33" w:rsidRPr="00300EBB" w:rsidRDefault="00F54F33" w:rsidP="00EB3917">
            <w:pPr>
              <w:jc w:val="center"/>
              <w:rPr>
                <w:b/>
              </w:rPr>
            </w:pPr>
          </w:p>
          <w:p w14:paraId="7D3AC23B" w14:textId="4C070836" w:rsidR="00F54F33" w:rsidRPr="00300EBB" w:rsidRDefault="00F54F33" w:rsidP="00EB3917">
            <w:pPr>
              <w:jc w:val="center"/>
              <w:rPr>
                <w:b/>
              </w:rPr>
            </w:pPr>
            <w:r w:rsidRPr="00300EBB">
              <w:rPr>
                <w:b/>
              </w:rPr>
              <w:t>T</w:t>
            </w:r>
            <w:r w:rsidR="00F97815" w:rsidRPr="00300EBB">
              <w:rPr>
                <w:b/>
              </w:rPr>
              <w:t>ema</w:t>
            </w:r>
          </w:p>
        </w:tc>
        <w:tc>
          <w:tcPr>
            <w:tcW w:w="11340" w:type="dxa"/>
            <w:gridSpan w:val="2"/>
            <w:shd w:val="clear" w:color="auto" w:fill="000000" w:themeFill="text1"/>
          </w:tcPr>
          <w:p w14:paraId="523A4FD6" w14:textId="77777777" w:rsidR="00F54F33" w:rsidRPr="00300EBB" w:rsidRDefault="00F54F33" w:rsidP="00EB3917">
            <w:pPr>
              <w:ind w:right="440"/>
              <w:jc w:val="center"/>
              <w:rPr>
                <w:b/>
              </w:rPr>
            </w:pPr>
          </w:p>
          <w:p w14:paraId="2215AF11" w14:textId="77777777" w:rsidR="00F54F33" w:rsidRPr="00300EBB" w:rsidRDefault="00F54F33" w:rsidP="00EB3917">
            <w:pPr>
              <w:ind w:right="440"/>
              <w:jc w:val="center"/>
              <w:rPr>
                <w:b/>
              </w:rPr>
            </w:pPr>
            <w:r w:rsidRPr="00300EBB">
              <w:rPr>
                <w:b/>
              </w:rPr>
              <w:t>Document</w:t>
            </w:r>
            <w:r w:rsidR="000B4976" w:rsidRPr="00300EBB">
              <w:rPr>
                <w:b/>
              </w:rPr>
              <w:t>o</w:t>
            </w:r>
            <w:r w:rsidRPr="00300EBB">
              <w:rPr>
                <w:b/>
              </w:rPr>
              <w:t xml:space="preserve"> SCCR/26/4 PROV.</w:t>
            </w:r>
          </w:p>
        </w:tc>
      </w:tr>
      <w:tr w:rsidR="00300EBB" w:rsidRPr="00300EBB" w14:paraId="68E80F78" w14:textId="77777777" w:rsidTr="00EB3917">
        <w:tc>
          <w:tcPr>
            <w:tcW w:w="648" w:type="dxa"/>
          </w:tcPr>
          <w:p w14:paraId="0D9010D0" w14:textId="77777777" w:rsidR="00F54F33" w:rsidRPr="00300EBB" w:rsidRDefault="00F54F33" w:rsidP="00EB3917">
            <w:r w:rsidRPr="00300EBB">
              <w:t>9</w:t>
            </w:r>
          </w:p>
        </w:tc>
        <w:tc>
          <w:tcPr>
            <w:tcW w:w="2700" w:type="dxa"/>
          </w:tcPr>
          <w:p w14:paraId="6AE1A91E" w14:textId="0DE759BF" w:rsidR="00F54F33" w:rsidRPr="00300EBB" w:rsidRDefault="00432582" w:rsidP="00EB3917">
            <w:r w:rsidRPr="00300EBB">
              <w:t>Las obras huérfanas</w:t>
            </w:r>
          </w:p>
          <w:p w14:paraId="6E21CE85" w14:textId="77777777" w:rsidR="00F54F33" w:rsidRPr="00300EBB" w:rsidRDefault="00F54F33" w:rsidP="00EB3917"/>
        </w:tc>
        <w:tc>
          <w:tcPr>
            <w:tcW w:w="2880" w:type="dxa"/>
          </w:tcPr>
          <w:p w14:paraId="21FCB071" w14:textId="77777777" w:rsidR="00F54F33" w:rsidRPr="00300EBB" w:rsidRDefault="00F54F33" w:rsidP="00EB3917"/>
        </w:tc>
        <w:tc>
          <w:tcPr>
            <w:tcW w:w="8460" w:type="dxa"/>
          </w:tcPr>
          <w:p w14:paraId="760996B8" w14:textId="77777777" w:rsidR="00F54F33" w:rsidRPr="00300EBB" w:rsidRDefault="00F54F33" w:rsidP="00EB3917"/>
        </w:tc>
      </w:tr>
      <w:tr w:rsidR="00300EBB" w:rsidRPr="00300EBB" w14:paraId="49F19EE1" w14:textId="77777777" w:rsidTr="00EB3917">
        <w:tc>
          <w:tcPr>
            <w:tcW w:w="648" w:type="dxa"/>
          </w:tcPr>
          <w:p w14:paraId="29A66DE6" w14:textId="77777777" w:rsidR="00F54F33" w:rsidRPr="00300EBB" w:rsidRDefault="00F54F33" w:rsidP="00EB3917">
            <w:r w:rsidRPr="00300EBB">
              <w:t>10</w:t>
            </w:r>
          </w:p>
        </w:tc>
        <w:tc>
          <w:tcPr>
            <w:tcW w:w="2700" w:type="dxa"/>
          </w:tcPr>
          <w:p w14:paraId="70D2DB55" w14:textId="2FA5C841" w:rsidR="00F54F33" w:rsidRPr="00300EBB" w:rsidRDefault="00926EDE" w:rsidP="00EB3917">
            <w:r w:rsidRPr="00300EBB">
              <w:t>Los contratos</w:t>
            </w:r>
            <w:r w:rsidR="00F54F33" w:rsidRPr="00300EBB">
              <w:t xml:space="preserve"> </w:t>
            </w:r>
          </w:p>
          <w:p w14:paraId="6435305B" w14:textId="77777777" w:rsidR="00F54F33" w:rsidRPr="00300EBB" w:rsidRDefault="00F54F33" w:rsidP="00EB3917"/>
        </w:tc>
        <w:tc>
          <w:tcPr>
            <w:tcW w:w="2880" w:type="dxa"/>
          </w:tcPr>
          <w:p w14:paraId="678D0339" w14:textId="77777777" w:rsidR="00F54F33" w:rsidRPr="00300EBB" w:rsidRDefault="00F54F33" w:rsidP="00EB3917"/>
        </w:tc>
        <w:tc>
          <w:tcPr>
            <w:tcW w:w="8460" w:type="dxa"/>
          </w:tcPr>
          <w:p w14:paraId="27C19EB0" w14:textId="77777777" w:rsidR="00F54F33" w:rsidRPr="00300EBB" w:rsidRDefault="00F54F33" w:rsidP="00EB3917"/>
        </w:tc>
      </w:tr>
      <w:tr w:rsidR="00300EBB" w:rsidRPr="00300EBB" w14:paraId="7ED9E15B" w14:textId="77777777" w:rsidTr="00EB3917">
        <w:tc>
          <w:tcPr>
            <w:tcW w:w="648" w:type="dxa"/>
          </w:tcPr>
          <w:p w14:paraId="5568E884" w14:textId="77777777" w:rsidR="00F54F33" w:rsidRPr="00300EBB" w:rsidRDefault="00F54F33" w:rsidP="00EB3917">
            <w:r w:rsidRPr="00300EBB">
              <w:t>11</w:t>
            </w:r>
          </w:p>
        </w:tc>
        <w:tc>
          <w:tcPr>
            <w:tcW w:w="2700" w:type="dxa"/>
          </w:tcPr>
          <w:p w14:paraId="34ACF46F" w14:textId="416DF115" w:rsidR="00F54F33" w:rsidRPr="00300EBB" w:rsidRDefault="00926EDE" w:rsidP="00EB3917">
            <w:r w:rsidRPr="00300EBB">
              <w:t>La importación y exportación de obras (cuestiones transfronterizas)</w:t>
            </w:r>
          </w:p>
        </w:tc>
        <w:tc>
          <w:tcPr>
            <w:tcW w:w="2880" w:type="dxa"/>
          </w:tcPr>
          <w:p w14:paraId="6A2A100D" w14:textId="77777777" w:rsidR="00F54F33" w:rsidRPr="00300EBB" w:rsidRDefault="00F54F33" w:rsidP="00EB3917"/>
        </w:tc>
        <w:tc>
          <w:tcPr>
            <w:tcW w:w="8460" w:type="dxa"/>
          </w:tcPr>
          <w:p w14:paraId="6AB6B8BC" w14:textId="77777777" w:rsidR="00F54F33" w:rsidRPr="00300EBB" w:rsidRDefault="00F54F33" w:rsidP="00EB3917"/>
        </w:tc>
      </w:tr>
      <w:tr w:rsidR="00F54F33" w:rsidRPr="00300EBB" w14:paraId="5773DC96" w14:textId="77777777" w:rsidTr="00EB3917">
        <w:tc>
          <w:tcPr>
            <w:tcW w:w="648" w:type="dxa"/>
          </w:tcPr>
          <w:p w14:paraId="07A750D4" w14:textId="77777777" w:rsidR="00F54F33" w:rsidRPr="00300EBB" w:rsidRDefault="00F54F33" w:rsidP="00EB3917">
            <w:r w:rsidRPr="00300EBB">
              <w:t>12</w:t>
            </w:r>
          </w:p>
        </w:tc>
        <w:tc>
          <w:tcPr>
            <w:tcW w:w="2700" w:type="dxa"/>
          </w:tcPr>
          <w:p w14:paraId="38D496BA" w14:textId="5D6AB0EC" w:rsidR="00F54F33" w:rsidRPr="00300EBB" w:rsidRDefault="003F3BC2" w:rsidP="00EB3917">
            <w:r w:rsidRPr="00300EBB">
              <w:t>La limitación de la responsabilidad de las instituciones educativas</w:t>
            </w:r>
          </w:p>
        </w:tc>
        <w:tc>
          <w:tcPr>
            <w:tcW w:w="2880" w:type="dxa"/>
          </w:tcPr>
          <w:p w14:paraId="4EA742DF" w14:textId="77777777" w:rsidR="00F54F33" w:rsidRPr="00300EBB" w:rsidRDefault="00F54F33" w:rsidP="00EB3917"/>
        </w:tc>
        <w:tc>
          <w:tcPr>
            <w:tcW w:w="8460" w:type="dxa"/>
          </w:tcPr>
          <w:p w14:paraId="01BD5509" w14:textId="77777777" w:rsidR="00F54F33" w:rsidRPr="00300EBB" w:rsidRDefault="00F54F33" w:rsidP="00EB3917"/>
        </w:tc>
      </w:tr>
    </w:tbl>
    <w:p w14:paraId="15C9D232" w14:textId="77777777" w:rsidR="00F54F33" w:rsidRPr="00300EBB" w:rsidRDefault="00F54F33" w:rsidP="00F54F33"/>
    <w:p w14:paraId="4DA52D10" w14:textId="77777777" w:rsidR="000C4027" w:rsidRPr="00300EBB" w:rsidRDefault="000C4027" w:rsidP="00F54F33"/>
    <w:p w14:paraId="3E23A781" w14:textId="6F3E8C9C" w:rsidR="00152CEA" w:rsidRPr="00300EBB" w:rsidRDefault="00F54F33" w:rsidP="000C4027">
      <w:pPr>
        <w:ind w:left="10080"/>
      </w:pPr>
      <w:r w:rsidRPr="00300EBB">
        <w:t>[</w:t>
      </w:r>
      <w:r w:rsidR="000B4976" w:rsidRPr="00300EBB">
        <w:t>Fin del documento</w:t>
      </w:r>
      <w:r w:rsidRPr="00300EBB">
        <w:t>]</w:t>
      </w:r>
    </w:p>
    <w:sectPr w:rsidR="00152CEA" w:rsidRPr="00300EBB" w:rsidSect="00F54F33">
      <w:headerReference w:type="first" r:id="rId11"/>
      <w:endnotePr>
        <w:numFmt w:val="decimal"/>
      </w:endnotePr>
      <w:pgSz w:w="16840" w:h="11907" w:orient="landscape" w:code="9"/>
      <w:pgMar w:top="1134" w:right="567" w:bottom="1134"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C0947" w15:done="0"/>
  <w15:commentEx w15:paraId="7B4CC45A" w15:done="0"/>
  <w15:commentEx w15:paraId="26FF267B" w15:done="0"/>
  <w15:commentEx w15:paraId="506FD4AC" w15:done="0"/>
  <w15:commentEx w15:paraId="49D95CF3" w15:done="0"/>
  <w15:commentEx w15:paraId="341C300E" w15:done="0"/>
  <w15:commentEx w15:paraId="1CF5DDEA" w15:done="0"/>
  <w15:commentEx w15:paraId="1A32D10C" w15:done="0"/>
  <w15:commentEx w15:paraId="28EA974B" w15:done="0"/>
  <w15:commentEx w15:paraId="1C33660E" w15:done="0"/>
  <w15:commentEx w15:paraId="3CD48587" w15:done="0"/>
  <w15:commentEx w15:paraId="349D52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AD83" w14:textId="77777777" w:rsidR="00F96580" w:rsidRDefault="00F96580">
      <w:r>
        <w:separator/>
      </w:r>
    </w:p>
  </w:endnote>
  <w:endnote w:type="continuationSeparator" w:id="0">
    <w:p w14:paraId="06AA6709" w14:textId="77777777" w:rsidR="00F96580" w:rsidRPr="009D30E6" w:rsidRDefault="00F96580" w:rsidP="007E663E">
      <w:pPr>
        <w:rPr>
          <w:sz w:val="17"/>
          <w:szCs w:val="17"/>
        </w:rPr>
      </w:pPr>
      <w:r w:rsidRPr="009D30E6">
        <w:rPr>
          <w:sz w:val="17"/>
          <w:szCs w:val="17"/>
        </w:rPr>
        <w:separator/>
      </w:r>
    </w:p>
    <w:p w14:paraId="523F6D08" w14:textId="77777777" w:rsidR="00F96580" w:rsidRPr="007E663E" w:rsidRDefault="00F96580" w:rsidP="007E663E">
      <w:pPr>
        <w:spacing w:after="60"/>
        <w:rPr>
          <w:sz w:val="17"/>
          <w:szCs w:val="17"/>
        </w:rPr>
      </w:pPr>
      <w:r>
        <w:rPr>
          <w:sz w:val="17"/>
        </w:rPr>
        <w:t>[Continuación de la nota de la página anterior]</w:t>
      </w:r>
    </w:p>
  </w:endnote>
  <w:endnote w:type="continuationNotice" w:id="1">
    <w:p w14:paraId="3E3D6E79" w14:textId="77777777" w:rsidR="00F96580" w:rsidRPr="007E663E" w:rsidRDefault="00F9658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705F" w14:textId="77777777" w:rsidR="00F96580" w:rsidRDefault="00F96580">
      <w:r>
        <w:separator/>
      </w:r>
    </w:p>
  </w:footnote>
  <w:footnote w:type="continuationSeparator" w:id="0">
    <w:p w14:paraId="79571710" w14:textId="77777777" w:rsidR="00F96580" w:rsidRPr="009D30E6" w:rsidRDefault="00F96580" w:rsidP="007E663E">
      <w:pPr>
        <w:rPr>
          <w:sz w:val="17"/>
          <w:szCs w:val="17"/>
        </w:rPr>
      </w:pPr>
      <w:r w:rsidRPr="009D30E6">
        <w:rPr>
          <w:sz w:val="17"/>
          <w:szCs w:val="17"/>
        </w:rPr>
        <w:separator/>
      </w:r>
    </w:p>
    <w:p w14:paraId="1D1CB10F" w14:textId="77777777" w:rsidR="00F96580" w:rsidRPr="007E663E" w:rsidRDefault="00F96580" w:rsidP="007E663E">
      <w:pPr>
        <w:spacing w:after="60"/>
        <w:rPr>
          <w:sz w:val="17"/>
          <w:szCs w:val="17"/>
        </w:rPr>
      </w:pPr>
      <w:r>
        <w:rPr>
          <w:sz w:val="17"/>
        </w:rPr>
        <w:t>[Continuación de la nota de la página anterior]</w:t>
      </w:r>
    </w:p>
  </w:footnote>
  <w:footnote w:type="continuationNotice" w:id="1">
    <w:p w14:paraId="4153B20B" w14:textId="77777777" w:rsidR="00F96580" w:rsidRPr="007E663E" w:rsidRDefault="00F9658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EA35" w14:textId="77777777" w:rsidR="00AE7F20" w:rsidRDefault="00F54F33" w:rsidP="00477D6B">
    <w:pPr>
      <w:jc w:val="right"/>
    </w:pPr>
    <w:bookmarkStart w:id="6" w:name="Code2"/>
    <w:bookmarkEnd w:id="6"/>
    <w:r>
      <w:t>SCCR/34/6</w:t>
    </w:r>
  </w:p>
  <w:p w14:paraId="07E0DCE8" w14:textId="30BB47AB"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2F74F1">
      <w:rPr>
        <w:noProof/>
      </w:rPr>
      <w:t>12</w:t>
    </w:r>
    <w:r>
      <w:fldChar w:fldCharType="end"/>
    </w:r>
  </w:p>
  <w:p w14:paraId="58876840" w14:textId="77777777"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EBA2" w14:textId="77777777" w:rsidR="00DF7C0A" w:rsidRDefault="000B4976" w:rsidP="00F54F33">
    <w:pPr>
      <w:jc w:val="right"/>
    </w:pPr>
    <w:r>
      <w:t>SCCR/34/6</w:t>
    </w:r>
  </w:p>
  <w:p w14:paraId="6D8A8A8D" w14:textId="572BB76E" w:rsidR="00DF7C0A" w:rsidRDefault="00F54F33" w:rsidP="00F54F33">
    <w:pPr>
      <w:jc w:val="right"/>
    </w:pPr>
    <w:proofErr w:type="gramStart"/>
    <w:r>
      <w:t>página</w:t>
    </w:r>
    <w:proofErr w:type="gramEnd"/>
    <w:r w:rsidR="000B4976">
      <w:t xml:space="preserve"> </w:t>
    </w:r>
    <w:r w:rsidR="000B4976">
      <w:fldChar w:fldCharType="begin"/>
    </w:r>
    <w:r w:rsidR="000B4976">
      <w:instrText xml:space="preserve"> PAGE  \* MERGEFORMAT </w:instrText>
    </w:r>
    <w:r w:rsidR="000B4976">
      <w:fldChar w:fldCharType="separate"/>
    </w:r>
    <w:r w:rsidR="002F74F1">
      <w:rPr>
        <w:noProof/>
      </w:rPr>
      <w:t>2</w:t>
    </w:r>
    <w:r w:rsidR="000B4976">
      <w:fldChar w:fldCharType="end"/>
    </w:r>
  </w:p>
  <w:p w14:paraId="76F24838" w14:textId="77777777" w:rsidR="00DF7C0A" w:rsidRDefault="002F74F1" w:rsidP="00F54F3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Paris">
    <w15:presenceInfo w15:providerId="Windows Live" w15:userId="b4b7c0fa54896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33"/>
    <w:rsid w:val="00010686"/>
    <w:rsid w:val="00010F9F"/>
    <w:rsid w:val="00052915"/>
    <w:rsid w:val="00094621"/>
    <w:rsid w:val="000B4976"/>
    <w:rsid w:val="000C4027"/>
    <w:rsid w:val="000E3BB3"/>
    <w:rsid w:val="000F5E56"/>
    <w:rsid w:val="001029C7"/>
    <w:rsid w:val="001362EE"/>
    <w:rsid w:val="00141E8B"/>
    <w:rsid w:val="001516DC"/>
    <w:rsid w:val="00152CEA"/>
    <w:rsid w:val="00164C00"/>
    <w:rsid w:val="00166288"/>
    <w:rsid w:val="001832A6"/>
    <w:rsid w:val="001B6CB2"/>
    <w:rsid w:val="001F5A1D"/>
    <w:rsid w:val="002078BA"/>
    <w:rsid w:val="00242E5C"/>
    <w:rsid w:val="00244DE5"/>
    <w:rsid w:val="002634C4"/>
    <w:rsid w:val="00265019"/>
    <w:rsid w:val="00273DF5"/>
    <w:rsid w:val="00284C53"/>
    <w:rsid w:val="00292530"/>
    <w:rsid w:val="002C2B49"/>
    <w:rsid w:val="002E0F47"/>
    <w:rsid w:val="002F4E68"/>
    <w:rsid w:val="002F74F1"/>
    <w:rsid w:val="00300EBB"/>
    <w:rsid w:val="003077ED"/>
    <w:rsid w:val="00335612"/>
    <w:rsid w:val="00354647"/>
    <w:rsid w:val="00364A17"/>
    <w:rsid w:val="00377273"/>
    <w:rsid w:val="003845C1"/>
    <w:rsid w:val="00387287"/>
    <w:rsid w:val="003E48F1"/>
    <w:rsid w:val="003F347A"/>
    <w:rsid w:val="003F3BC2"/>
    <w:rsid w:val="00407310"/>
    <w:rsid w:val="00423E3E"/>
    <w:rsid w:val="00427AF4"/>
    <w:rsid w:val="00432582"/>
    <w:rsid w:val="0045231F"/>
    <w:rsid w:val="004647DA"/>
    <w:rsid w:val="0046793F"/>
    <w:rsid w:val="00477808"/>
    <w:rsid w:val="00477D6B"/>
    <w:rsid w:val="00485C1D"/>
    <w:rsid w:val="004A6C37"/>
    <w:rsid w:val="004A7826"/>
    <w:rsid w:val="004E297D"/>
    <w:rsid w:val="00531B02"/>
    <w:rsid w:val="005332F0"/>
    <w:rsid w:val="0055013B"/>
    <w:rsid w:val="00571B99"/>
    <w:rsid w:val="005B63A0"/>
    <w:rsid w:val="005D3F59"/>
    <w:rsid w:val="00605827"/>
    <w:rsid w:val="006613B6"/>
    <w:rsid w:val="0066630D"/>
    <w:rsid w:val="00674A68"/>
    <w:rsid w:val="00675021"/>
    <w:rsid w:val="006A06C6"/>
    <w:rsid w:val="00707226"/>
    <w:rsid w:val="007224C8"/>
    <w:rsid w:val="00752FCD"/>
    <w:rsid w:val="00794BE2"/>
    <w:rsid w:val="00796069"/>
    <w:rsid w:val="007A5581"/>
    <w:rsid w:val="007B71FE"/>
    <w:rsid w:val="007D781E"/>
    <w:rsid w:val="007E663E"/>
    <w:rsid w:val="00806852"/>
    <w:rsid w:val="00815082"/>
    <w:rsid w:val="00836256"/>
    <w:rsid w:val="00842074"/>
    <w:rsid w:val="008653D5"/>
    <w:rsid w:val="0088395E"/>
    <w:rsid w:val="00883EC5"/>
    <w:rsid w:val="008B2CC1"/>
    <w:rsid w:val="008E6BD6"/>
    <w:rsid w:val="0090731E"/>
    <w:rsid w:val="00916B1B"/>
    <w:rsid w:val="009236B0"/>
    <w:rsid w:val="00923B0A"/>
    <w:rsid w:val="00926EDE"/>
    <w:rsid w:val="00933634"/>
    <w:rsid w:val="00950EA9"/>
    <w:rsid w:val="00952409"/>
    <w:rsid w:val="00966A22"/>
    <w:rsid w:val="00972F03"/>
    <w:rsid w:val="0099235F"/>
    <w:rsid w:val="00997280"/>
    <w:rsid w:val="009A0C8B"/>
    <w:rsid w:val="009A20CD"/>
    <w:rsid w:val="009B6241"/>
    <w:rsid w:val="009F6771"/>
    <w:rsid w:val="00A06A68"/>
    <w:rsid w:val="00A16FC0"/>
    <w:rsid w:val="00A213B2"/>
    <w:rsid w:val="00A254E0"/>
    <w:rsid w:val="00A32C9E"/>
    <w:rsid w:val="00A86B42"/>
    <w:rsid w:val="00A97DC5"/>
    <w:rsid w:val="00AB0029"/>
    <w:rsid w:val="00AB26E2"/>
    <w:rsid w:val="00AB4D1C"/>
    <w:rsid w:val="00AB613D"/>
    <w:rsid w:val="00AE7F20"/>
    <w:rsid w:val="00AF1527"/>
    <w:rsid w:val="00B4629B"/>
    <w:rsid w:val="00B534D5"/>
    <w:rsid w:val="00B65A0A"/>
    <w:rsid w:val="00B660B2"/>
    <w:rsid w:val="00B67CDC"/>
    <w:rsid w:val="00B72D36"/>
    <w:rsid w:val="00B73C3A"/>
    <w:rsid w:val="00BB722C"/>
    <w:rsid w:val="00BC4164"/>
    <w:rsid w:val="00BD2DCC"/>
    <w:rsid w:val="00BE11E9"/>
    <w:rsid w:val="00BE6DA4"/>
    <w:rsid w:val="00BE7F81"/>
    <w:rsid w:val="00BF1868"/>
    <w:rsid w:val="00C32C26"/>
    <w:rsid w:val="00C343CF"/>
    <w:rsid w:val="00C43997"/>
    <w:rsid w:val="00C76319"/>
    <w:rsid w:val="00C80FE6"/>
    <w:rsid w:val="00C90559"/>
    <w:rsid w:val="00CA2251"/>
    <w:rsid w:val="00CB43F1"/>
    <w:rsid w:val="00D41EC8"/>
    <w:rsid w:val="00D44468"/>
    <w:rsid w:val="00D56C7C"/>
    <w:rsid w:val="00D67BED"/>
    <w:rsid w:val="00D71B4D"/>
    <w:rsid w:val="00D90289"/>
    <w:rsid w:val="00D93D55"/>
    <w:rsid w:val="00DC4C60"/>
    <w:rsid w:val="00DD0925"/>
    <w:rsid w:val="00DF5DD6"/>
    <w:rsid w:val="00E0079A"/>
    <w:rsid w:val="00E16861"/>
    <w:rsid w:val="00E3438B"/>
    <w:rsid w:val="00E444DA"/>
    <w:rsid w:val="00E45C84"/>
    <w:rsid w:val="00E504E5"/>
    <w:rsid w:val="00E77BE2"/>
    <w:rsid w:val="00E95158"/>
    <w:rsid w:val="00EB7A3E"/>
    <w:rsid w:val="00EC401A"/>
    <w:rsid w:val="00EE04B2"/>
    <w:rsid w:val="00EF530A"/>
    <w:rsid w:val="00EF6622"/>
    <w:rsid w:val="00EF78A9"/>
    <w:rsid w:val="00F40267"/>
    <w:rsid w:val="00F54F33"/>
    <w:rsid w:val="00F55408"/>
    <w:rsid w:val="00F66152"/>
    <w:rsid w:val="00F80845"/>
    <w:rsid w:val="00F84474"/>
    <w:rsid w:val="00F96580"/>
    <w:rsid w:val="00F97815"/>
    <w:rsid w:val="00FA0F0D"/>
    <w:rsid w:val="00FC5B8A"/>
    <w:rsid w:val="00FD3EC6"/>
    <w:rsid w:val="00FD59D1"/>
    <w:rsid w:val="00FD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1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07226"/>
    <w:rPr>
      <w:rFonts w:ascii="Tahoma" w:hAnsi="Tahoma" w:cs="Tahoma"/>
      <w:sz w:val="16"/>
      <w:szCs w:val="16"/>
    </w:rPr>
  </w:style>
  <w:style w:type="character" w:customStyle="1" w:styleId="BalloonTextChar">
    <w:name w:val="Balloon Text Char"/>
    <w:basedOn w:val="DefaultParagraphFont"/>
    <w:link w:val="BalloonText"/>
    <w:rsid w:val="00707226"/>
    <w:rPr>
      <w:rFonts w:ascii="Tahoma" w:eastAsia="SimSun" w:hAnsi="Tahoma" w:cs="Tahoma"/>
      <w:sz w:val="16"/>
      <w:szCs w:val="16"/>
      <w:lang w:val="es-ES" w:eastAsia="zh-CN"/>
    </w:rPr>
  </w:style>
  <w:style w:type="table" w:styleId="TableGrid">
    <w:name w:val="Table Grid"/>
    <w:basedOn w:val="TableNormal"/>
    <w:uiPriority w:val="59"/>
    <w:rsid w:val="00F54F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077ED"/>
    <w:rPr>
      <w:sz w:val="16"/>
      <w:szCs w:val="16"/>
    </w:rPr>
  </w:style>
  <w:style w:type="paragraph" w:styleId="CommentSubject">
    <w:name w:val="annotation subject"/>
    <w:basedOn w:val="CommentText"/>
    <w:next w:val="CommentText"/>
    <w:link w:val="CommentSubjectChar"/>
    <w:semiHidden/>
    <w:unhideWhenUsed/>
    <w:rsid w:val="003077ED"/>
    <w:rPr>
      <w:b/>
      <w:bCs/>
      <w:sz w:val="20"/>
    </w:rPr>
  </w:style>
  <w:style w:type="character" w:customStyle="1" w:styleId="CommentTextChar">
    <w:name w:val="Comment Text Char"/>
    <w:basedOn w:val="DefaultParagraphFont"/>
    <w:link w:val="CommentText"/>
    <w:semiHidden/>
    <w:rsid w:val="003077ED"/>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077ED"/>
    <w:rPr>
      <w:rFonts w:ascii="Arial" w:eastAsia="SimSun" w:hAnsi="Arial" w:cs="Arial"/>
      <w:b/>
      <w:bCs/>
      <w:sz w:val="18"/>
      <w:lang w:val="es-ES" w:eastAsia="zh-CN"/>
    </w:rPr>
  </w:style>
  <w:style w:type="paragraph" w:styleId="Revision">
    <w:name w:val="Revision"/>
    <w:hidden/>
    <w:uiPriority w:val="99"/>
    <w:semiHidden/>
    <w:rsid w:val="005B63A0"/>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07226"/>
    <w:rPr>
      <w:rFonts w:ascii="Tahoma" w:hAnsi="Tahoma" w:cs="Tahoma"/>
      <w:sz w:val="16"/>
      <w:szCs w:val="16"/>
    </w:rPr>
  </w:style>
  <w:style w:type="character" w:customStyle="1" w:styleId="BalloonTextChar">
    <w:name w:val="Balloon Text Char"/>
    <w:basedOn w:val="DefaultParagraphFont"/>
    <w:link w:val="BalloonText"/>
    <w:rsid w:val="00707226"/>
    <w:rPr>
      <w:rFonts w:ascii="Tahoma" w:eastAsia="SimSun" w:hAnsi="Tahoma" w:cs="Tahoma"/>
      <w:sz w:val="16"/>
      <w:szCs w:val="16"/>
      <w:lang w:val="es-ES" w:eastAsia="zh-CN"/>
    </w:rPr>
  </w:style>
  <w:style w:type="table" w:styleId="TableGrid">
    <w:name w:val="Table Grid"/>
    <w:basedOn w:val="TableNormal"/>
    <w:uiPriority w:val="59"/>
    <w:rsid w:val="00F54F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077ED"/>
    <w:rPr>
      <w:sz w:val="16"/>
      <w:szCs w:val="16"/>
    </w:rPr>
  </w:style>
  <w:style w:type="paragraph" w:styleId="CommentSubject">
    <w:name w:val="annotation subject"/>
    <w:basedOn w:val="CommentText"/>
    <w:next w:val="CommentText"/>
    <w:link w:val="CommentSubjectChar"/>
    <w:semiHidden/>
    <w:unhideWhenUsed/>
    <w:rsid w:val="003077ED"/>
    <w:rPr>
      <w:b/>
      <w:bCs/>
      <w:sz w:val="20"/>
    </w:rPr>
  </w:style>
  <w:style w:type="character" w:customStyle="1" w:styleId="CommentTextChar">
    <w:name w:val="Comment Text Char"/>
    <w:basedOn w:val="DefaultParagraphFont"/>
    <w:link w:val="CommentText"/>
    <w:semiHidden/>
    <w:rsid w:val="003077ED"/>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077ED"/>
    <w:rPr>
      <w:rFonts w:ascii="Arial" w:eastAsia="SimSun" w:hAnsi="Arial" w:cs="Arial"/>
      <w:b/>
      <w:bCs/>
      <w:sz w:val="18"/>
      <w:lang w:val="es-ES" w:eastAsia="zh-CN"/>
    </w:rPr>
  </w:style>
  <w:style w:type="paragraph" w:styleId="Revision">
    <w:name w:val="Revision"/>
    <w:hidden/>
    <w:uiPriority w:val="99"/>
    <w:semiHidden/>
    <w:rsid w:val="005B63A0"/>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AB95-02E3-448C-8631-159D9877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2648</Words>
  <Characters>14878</Characters>
  <Application>Microsoft Office Word</Application>
  <DocSecurity>4</DocSecurity>
  <Lines>371</Lines>
  <Paragraphs>196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SCCR/34/6</vt:lpstr>
      <vt:lpstr>SCCR/34/6</vt:lpstr>
    </vt:vector>
  </TitlesOfParts>
  <Company>WIPO</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SCCR/34/6</dc:title>
  <dc:creator>Teresa Paris</dc:creator>
  <dc:description>TP (trad. ext.) - 16/5/2017
LM (QC) - 18/5/2017</dc:description>
  <cp:lastModifiedBy>HAIZEL Francesca</cp:lastModifiedBy>
  <cp:revision>2</cp:revision>
  <cp:lastPrinted>2017-05-18T07:39:00Z</cp:lastPrinted>
  <dcterms:created xsi:type="dcterms:W3CDTF">2017-05-31T07:58:00Z</dcterms:created>
  <dcterms:modified xsi:type="dcterms:W3CDTF">2017-05-31T07:58:00Z</dcterms:modified>
</cp:coreProperties>
</file>