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90F3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90F3F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90F3F" w:rsidRDefault="00B70436" w:rsidP="00AB613D">
            <w:r w:rsidRPr="00390F3F">
              <w:rPr>
                <w:noProof/>
                <w:lang w:val="en-US" w:eastAsia="en-US"/>
              </w:rPr>
              <w:drawing>
                <wp:inline distT="0" distB="0" distL="0" distR="0" wp14:anchorId="07C9C2CF" wp14:editId="62434003">
                  <wp:extent cx="1858010" cy="1323975"/>
                  <wp:effectExtent l="0" t="0" r="889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90F3F" w:rsidRDefault="00E504E5" w:rsidP="00AB613D">
            <w:pPr>
              <w:jc w:val="right"/>
            </w:pPr>
            <w:r w:rsidRPr="00390F3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90F3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90F3F" w:rsidRDefault="00B70436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90F3F">
              <w:rPr>
                <w:rFonts w:ascii="Arial Black" w:hAnsi="Arial Black"/>
                <w:caps/>
                <w:sz w:val="15"/>
              </w:rPr>
              <w:t>SCCR/33/</w:t>
            </w:r>
            <w:bookmarkStart w:id="1" w:name="Code"/>
            <w:bookmarkEnd w:id="1"/>
            <w:r w:rsidR="00277BB9" w:rsidRPr="00390F3F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390F3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90F3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90F3F">
              <w:rPr>
                <w:rFonts w:ascii="Arial Black" w:hAnsi="Arial Black"/>
                <w:caps/>
                <w:sz w:val="15"/>
              </w:rPr>
              <w:t>ORIGINAL:</w:t>
            </w:r>
            <w:r w:rsidR="00277BB9" w:rsidRPr="00390F3F">
              <w:rPr>
                <w:rFonts w:ascii="Arial Black" w:hAnsi="Arial Black"/>
                <w:caps/>
                <w:sz w:val="15"/>
              </w:rPr>
              <w:t xml:space="preserve"> </w:t>
            </w:r>
            <w:r w:rsidRPr="00390F3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77BB9" w:rsidRPr="00390F3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390F3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90F3F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90F3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390F3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277BB9" w:rsidRPr="00390F3F">
              <w:rPr>
                <w:rFonts w:ascii="Arial Black" w:hAnsi="Arial Black"/>
                <w:caps/>
                <w:sz w:val="15"/>
              </w:rPr>
              <w:t xml:space="preserve"> 7 DE SEPTIEMBRE DE 2016</w:t>
            </w:r>
          </w:p>
        </w:tc>
      </w:tr>
    </w:tbl>
    <w:p w:rsidR="008B2CC1" w:rsidRPr="00390F3F" w:rsidRDefault="008B2CC1" w:rsidP="008B2CC1"/>
    <w:p w:rsidR="008B2CC1" w:rsidRPr="00390F3F" w:rsidRDefault="008B2CC1" w:rsidP="008B2CC1"/>
    <w:p w:rsidR="008B2CC1" w:rsidRPr="00390F3F" w:rsidRDefault="008B2CC1" w:rsidP="008B2CC1"/>
    <w:p w:rsidR="008B2CC1" w:rsidRPr="00390F3F" w:rsidRDefault="008B2CC1" w:rsidP="008B2CC1"/>
    <w:p w:rsidR="008B2CC1" w:rsidRPr="00390F3F" w:rsidRDefault="008B2CC1" w:rsidP="008B2CC1"/>
    <w:p w:rsidR="00B67CDC" w:rsidRPr="00390F3F" w:rsidRDefault="00B70436" w:rsidP="00B67CDC">
      <w:pPr>
        <w:rPr>
          <w:b/>
          <w:sz w:val="28"/>
          <w:szCs w:val="28"/>
        </w:rPr>
      </w:pPr>
      <w:r w:rsidRPr="00390F3F">
        <w:rPr>
          <w:b/>
          <w:sz w:val="28"/>
          <w:szCs w:val="28"/>
        </w:rPr>
        <w:t>Comité Permanente de Derecho de Autor y Derechos Conexos</w:t>
      </w:r>
    </w:p>
    <w:p w:rsidR="003845C1" w:rsidRPr="00390F3F" w:rsidRDefault="003845C1" w:rsidP="003845C1"/>
    <w:p w:rsidR="003845C1" w:rsidRPr="00390F3F" w:rsidRDefault="003845C1" w:rsidP="003845C1"/>
    <w:p w:rsidR="00B67CDC" w:rsidRPr="00390F3F" w:rsidRDefault="00B70436" w:rsidP="00B67CDC">
      <w:pPr>
        <w:rPr>
          <w:b/>
          <w:sz w:val="24"/>
          <w:szCs w:val="24"/>
        </w:rPr>
      </w:pPr>
      <w:r w:rsidRPr="00390F3F">
        <w:rPr>
          <w:b/>
          <w:sz w:val="24"/>
          <w:szCs w:val="24"/>
        </w:rPr>
        <w:t>Trigésima tercera sesión</w:t>
      </w:r>
    </w:p>
    <w:p w:rsidR="00B67CDC" w:rsidRPr="00390F3F" w:rsidRDefault="00B70436" w:rsidP="00B67CDC">
      <w:pPr>
        <w:rPr>
          <w:b/>
          <w:sz w:val="24"/>
          <w:szCs w:val="24"/>
        </w:rPr>
      </w:pPr>
      <w:r w:rsidRPr="00390F3F">
        <w:rPr>
          <w:b/>
          <w:sz w:val="24"/>
          <w:szCs w:val="24"/>
        </w:rPr>
        <w:t>Ginebra, 14 a 18 de noviembre de 2016</w:t>
      </w:r>
    </w:p>
    <w:p w:rsidR="008B2CC1" w:rsidRPr="00390F3F" w:rsidRDefault="008B2CC1" w:rsidP="008B2CC1"/>
    <w:p w:rsidR="008B2CC1" w:rsidRPr="00390F3F" w:rsidRDefault="008B2CC1" w:rsidP="008B2CC1"/>
    <w:p w:rsidR="008B2CC1" w:rsidRPr="00390F3F" w:rsidRDefault="008B2CC1" w:rsidP="008B2CC1"/>
    <w:p w:rsidR="000D571B" w:rsidRPr="00390F3F" w:rsidRDefault="003E03A0" w:rsidP="000D571B">
      <w:pPr>
        <w:rPr>
          <w:caps/>
          <w:sz w:val="24"/>
        </w:rPr>
      </w:pPr>
      <w:bookmarkStart w:id="4" w:name="TitleOfDoc"/>
      <w:bookmarkEnd w:id="4"/>
      <w:r w:rsidRPr="00390F3F">
        <w:rPr>
          <w:caps/>
          <w:sz w:val="24"/>
        </w:rPr>
        <w:t>ACREDITACIÓN DE ORGANIZACIONES NO GUBERNAMENTALES</w:t>
      </w:r>
    </w:p>
    <w:p w:rsidR="000D571B" w:rsidRPr="00390F3F" w:rsidRDefault="000D571B" w:rsidP="000D571B"/>
    <w:p w:rsidR="000D571B" w:rsidRPr="00390F3F" w:rsidRDefault="003E03A0" w:rsidP="000D571B">
      <w:pPr>
        <w:rPr>
          <w:i/>
        </w:rPr>
      </w:pPr>
      <w:bookmarkStart w:id="5" w:name="Prepared"/>
      <w:bookmarkEnd w:id="5"/>
      <w:r w:rsidRPr="00390F3F">
        <w:rPr>
          <w:i/>
        </w:rPr>
        <w:t>Documento preparado por la Secretaría</w:t>
      </w:r>
    </w:p>
    <w:p w:rsidR="000D571B" w:rsidRPr="00390F3F" w:rsidRDefault="000D571B" w:rsidP="000D571B"/>
    <w:p w:rsidR="000D571B" w:rsidRPr="00390F3F" w:rsidRDefault="000D571B" w:rsidP="000D571B"/>
    <w:p w:rsidR="000D571B" w:rsidRPr="00390F3F" w:rsidRDefault="000D571B" w:rsidP="000D571B"/>
    <w:p w:rsidR="000D571B" w:rsidRPr="00390F3F" w:rsidRDefault="000D571B" w:rsidP="000D571B"/>
    <w:p w:rsidR="00BA5AAE" w:rsidRPr="00390F3F" w:rsidRDefault="000D571B" w:rsidP="000D571B">
      <w:pPr>
        <w:pStyle w:val="preparedby"/>
        <w:spacing w:before="0" w:after="0" w:line="240" w:lineRule="auto"/>
        <w:ind w:left="0"/>
        <w:rPr>
          <w:i w:val="0"/>
          <w:sz w:val="22"/>
          <w:szCs w:val="22"/>
          <w:lang w:val="es-ES"/>
        </w:rPr>
      </w:pPr>
      <w:r w:rsidRPr="00390F3F">
        <w:rPr>
          <w:rFonts w:cs="Arial"/>
          <w:i w:val="0"/>
          <w:sz w:val="22"/>
          <w:szCs w:val="22"/>
          <w:lang w:val="es-ES"/>
        </w:rPr>
        <w:fldChar w:fldCharType="begin"/>
      </w:r>
      <w:r w:rsidRPr="00390F3F">
        <w:rPr>
          <w:rFonts w:cs="Arial"/>
          <w:i w:val="0"/>
          <w:sz w:val="22"/>
          <w:szCs w:val="22"/>
          <w:lang w:val="es-ES"/>
        </w:rPr>
        <w:instrText xml:space="preserve"> AUTONUM  </w:instrText>
      </w:r>
      <w:r w:rsidRPr="00390F3F">
        <w:rPr>
          <w:rFonts w:cs="Arial"/>
          <w:i w:val="0"/>
          <w:sz w:val="22"/>
          <w:szCs w:val="22"/>
          <w:lang w:val="es-ES"/>
        </w:rPr>
        <w:fldChar w:fldCharType="end"/>
      </w:r>
      <w:r w:rsidRPr="00390F3F">
        <w:rPr>
          <w:rFonts w:cs="Arial"/>
          <w:i w:val="0"/>
          <w:sz w:val="22"/>
          <w:szCs w:val="22"/>
          <w:lang w:val="es-ES"/>
        </w:rPr>
        <w:tab/>
      </w:r>
      <w:r w:rsidR="003E03A0" w:rsidRPr="00390F3F">
        <w:rPr>
          <w:i w:val="0"/>
          <w:sz w:val="22"/>
          <w:szCs w:val="22"/>
          <w:lang w:val="es-ES"/>
        </w:rPr>
        <w:t>En los Anexos del presente documento figura</w:t>
      </w:r>
      <w:r w:rsidRPr="00390F3F">
        <w:rPr>
          <w:i w:val="0"/>
          <w:sz w:val="22"/>
          <w:szCs w:val="22"/>
          <w:lang w:val="es-ES"/>
        </w:rPr>
        <w:t xml:space="preserve"> </w:t>
      </w:r>
      <w:r w:rsidR="003E03A0" w:rsidRPr="00390F3F">
        <w:rPr>
          <w:i w:val="0"/>
          <w:sz w:val="22"/>
          <w:szCs w:val="22"/>
          <w:lang w:val="es-ES"/>
        </w:rPr>
        <w:t>información relativa a</w:t>
      </w:r>
      <w:r w:rsidRPr="00390F3F">
        <w:rPr>
          <w:i w:val="0"/>
          <w:sz w:val="22"/>
          <w:szCs w:val="22"/>
          <w:lang w:val="es-ES"/>
        </w:rPr>
        <w:t xml:space="preserve"> </w:t>
      </w:r>
      <w:r w:rsidR="003E03A0" w:rsidRPr="00390F3F">
        <w:rPr>
          <w:i w:val="0"/>
          <w:sz w:val="22"/>
          <w:szCs w:val="22"/>
          <w:lang w:val="es-ES"/>
        </w:rPr>
        <w:t>las organizaciones no gubernamentales que han solicitado que se les conceda la condición de observador en las sesiones del Comité Permanente de Derecho de Autor y Derechos Conexos (SCCR), conforme al Reglamento del SCCR (véase el párrafo 10 del documento SCCR/1/2).</w:t>
      </w:r>
    </w:p>
    <w:p w:rsidR="000D571B" w:rsidRPr="00390F3F" w:rsidRDefault="000D571B" w:rsidP="000D571B">
      <w:pPr>
        <w:rPr>
          <w:szCs w:val="22"/>
        </w:rPr>
      </w:pPr>
    </w:p>
    <w:p w:rsidR="000D571B" w:rsidRPr="00390F3F" w:rsidRDefault="000D571B" w:rsidP="000D571B">
      <w:pPr>
        <w:pStyle w:val="DecisionInvitingPara"/>
        <w:rPr>
          <w:i w:val="0"/>
          <w:sz w:val="22"/>
          <w:szCs w:val="22"/>
          <w:lang w:val="es-ES"/>
        </w:rPr>
      </w:pPr>
      <w:r w:rsidRPr="00390F3F">
        <w:rPr>
          <w:sz w:val="22"/>
          <w:szCs w:val="22"/>
          <w:lang w:val="es-ES"/>
        </w:rPr>
        <w:fldChar w:fldCharType="begin"/>
      </w:r>
      <w:r w:rsidRPr="00390F3F">
        <w:rPr>
          <w:sz w:val="22"/>
          <w:szCs w:val="22"/>
          <w:lang w:val="es-ES"/>
        </w:rPr>
        <w:instrText xml:space="preserve"> AUTONUM  </w:instrText>
      </w:r>
      <w:r w:rsidRPr="00390F3F">
        <w:rPr>
          <w:sz w:val="22"/>
          <w:szCs w:val="22"/>
          <w:lang w:val="es-ES"/>
        </w:rPr>
        <w:fldChar w:fldCharType="end"/>
      </w:r>
      <w:r w:rsidRPr="00390F3F">
        <w:rPr>
          <w:sz w:val="22"/>
          <w:szCs w:val="22"/>
          <w:lang w:val="es-ES"/>
        </w:rPr>
        <w:tab/>
      </w:r>
      <w:r w:rsidR="003C3BBE" w:rsidRPr="00390F3F">
        <w:rPr>
          <w:sz w:val="22"/>
          <w:szCs w:val="22"/>
          <w:lang w:val="es-ES"/>
        </w:rPr>
        <w:t>Se invita al SCCR a aprobar la representación de las organizaciones no gubernamentales mencionadas en el Anexo del presente documento en las sesiones del Comité.</w:t>
      </w:r>
    </w:p>
    <w:p w:rsidR="000D571B" w:rsidRPr="00390F3F" w:rsidRDefault="000D571B" w:rsidP="00BA5AAE"/>
    <w:p w:rsidR="000D571B" w:rsidRPr="00390F3F" w:rsidRDefault="000D571B" w:rsidP="00BA5AAE"/>
    <w:p w:rsidR="000D571B" w:rsidRPr="00390F3F" w:rsidRDefault="000D571B" w:rsidP="00BA5AAE"/>
    <w:p w:rsidR="00152CEA" w:rsidRPr="00390F3F" w:rsidRDefault="000D571B" w:rsidP="000D571B">
      <w:pPr>
        <w:pStyle w:val="Endofdocument-Annex"/>
        <w:rPr>
          <w:szCs w:val="22"/>
          <w:lang w:val="es-ES"/>
        </w:rPr>
      </w:pPr>
      <w:r w:rsidRPr="00390F3F">
        <w:rPr>
          <w:szCs w:val="22"/>
          <w:lang w:val="es-ES"/>
        </w:rPr>
        <w:t>[</w:t>
      </w:r>
      <w:r w:rsidR="003C3BBE" w:rsidRPr="00390F3F">
        <w:rPr>
          <w:szCs w:val="22"/>
          <w:lang w:val="es-ES"/>
        </w:rPr>
        <w:t>Siguen los Anexos</w:t>
      </w:r>
      <w:r w:rsidRPr="00390F3F">
        <w:rPr>
          <w:szCs w:val="22"/>
          <w:lang w:val="es-ES"/>
        </w:rPr>
        <w:t>]</w:t>
      </w:r>
    </w:p>
    <w:p w:rsidR="000D1D85" w:rsidRPr="00390F3F" w:rsidRDefault="000D1D85" w:rsidP="000D1D85">
      <w:pPr>
        <w:rPr>
          <w:szCs w:val="22"/>
        </w:rPr>
      </w:pPr>
    </w:p>
    <w:p w:rsidR="000D1D85" w:rsidRPr="00390F3F" w:rsidRDefault="000D1D85" w:rsidP="001F1025">
      <w:pPr>
        <w:sectPr w:rsidR="000D1D85" w:rsidRPr="00390F3F" w:rsidSect="00277BB9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D1D85" w:rsidRPr="00390F3F" w:rsidRDefault="00CF0290" w:rsidP="000D1D85">
      <w:pPr>
        <w:pStyle w:val="Heading2"/>
        <w:rPr>
          <w:szCs w:val="22"/>
        </w:rPr>
      </w:pPr>
      <w:r w:rsidRPr="00390F3F">
        <w:rPr>
          <w:szCs w:val="22"/>
        </w:rPr>
        <w:lastRenderedPageBreak/>
        <w:t>ORGANIZACIONES NO GUBERNAMENTALES QUE HAN SOLICITADO LA ACREDITACIÓN COMO OBSERVADOR EN LAS SESIONES DEL COMITÉ PERMANENTE DE DERECHO DE AUTOR Y DERECHOS CONEXOS (SCCR)</w:t>
      </w:r>
    </w:p>
    <w:p w:rsidR="000D1D85" w:rsidRPr="00390F3F" w:rsidRDefault="000D1D85" w:rsidP="000D1D85"/>
    <w:p w:rsidR="000D1D85" w:rsidRPr="00390F3F" w:rsidRDefault="000D1D85" w:rsidP="000D1D85"/>
    <w:p w:rsidR="000D1D85" w:rsidRPr="00F137DD" w:rsidRDefault="000D1D85" w:rsidP="000D1D85">
      <w:pPr>
        <w:pStyle w:val="Heading4"/>
        <w:spacing w:before="0" w:after="0"/>
        <w:rPr>
          <w:lang w:val="en-US"/>
        </w:rPr>
      </w:pPr>
      <w:r w:rsidRPr="00F137DD">
        <w:rPr>
          <w:lang w:val="en-US"/>
        </w:rPr>
        <w:t>African Library and Information Associations and Institutions (</w:t>
      </w:r>
      <w:proofErr w:type="spellStart"/>
      <w:r w:rsidRPr="00F137DD">
        <w:rPr>
          <w:lang w:val="en-US"/>
        </w:rPr>
        <w:t>AfLIA</w:t>
      </w:r>
      <w:proofErr w:type="spellEnd"/>
      <w:r w:rsidRPr="00F137DD">
        <w:rPr>
          <w:lang w:val="en-US"/>
        </w:rPr>
        <w:t>)</w:t>
      </w:r>
    </w:p>
    <w:p w:rsidR="000D1D85" w:rsidRPr="00F137DD" w:rsidRDefault="000D1D85" w:rsidP="000D1D85">
      <w:pPr>
        <w:rPr>
          <w:lang w:val="en-US"/>
        </w:rPr>
      </w:pPr>
    </w:p>
    <w:p w:rsidR="000D1D85" w:rsidRPr="00F137DD" w:rsidRDefault="000D1D85" w:rsidP="000D1D85">
      <w:pPr>
        <w:rPr>
          <w:lang w:val="en-US"/>
        </w:rPr>
      </w:pPr>
    </w:p>
    <w:p w:rsidR="000D1D85" w:rsidRPr="00390F3F" w:rsidRDefault="001816BA" w:rsidP="000D1D85">
      <w:pPr>
        <w:rPr>
          <w:rFonts w:eastAsiaTheme="minorEastAsia"/>
          <w:szCs w:val="22"/>
          <w:lang w:eastAsia="ja-JP"/>
        </w:rPr>
      </w:pPr>
      <w:r w:rsidRPr="00390F3F">
        <w:rPr>
          <w:rFonts w:eastAsiaTheme="minorEastAsia"/>
          <w:szCs w:val="22"/>
          <w:lang w:eastAsia="ja-JP"/>
        </w:rPr>
        <w:t>La</w:t>
      </w:r>
      <w:r w:rsidR="000D1D85" w:rsidRPr="00390F3F">
        <w:rPr>
          <w:rFonts w:eastAsiaTheme="minorEastAsia"/>
          <w:szCs w:val="22"/>
          <w:lang w:eastAsia="ja-JP"/>
        </w:rPr>
        <w:t xml:space="preserve"> </w:t>
      </w:r>
      <w:proofErr w:type="spellStart"/>
      <w:r w:rsidR="000D1D85" w:rsidRPr="002565E8">
        <w:rPr>
          <w:rFonts w:eastAsiaTheme="minorEastAsia"/>
          <w:i/>
          <w:iCs/>
          <w:szCs w:val="22"/>
          <w:lang w:eastAsia="ja-JP"/>
        </w:rPr>
        <w:t>African</w:t>
      </w:r>
      <w:proofErr w:type="spellEnd"/>
      <w:r w:rsidR="000D1D85" w:rsidRPr="002565E8">
        <w:rPr>
          <w:rFonts w:eastAsiaTheme="minorEastAsia"/>
          <w:i/>
          <w:iCs/>
          <w:szCs w:val="22"/>
          <w:lang w:eastAsia="ja-JP"/>
        </w:rPr>
        <w:t xml:space="preserve"> Library and </w:t>
      </w:r>
      <w:proofErr w:type="spellStart"/>
      <w:r w:rsidR="000D1D85" w:rsidRPr="002565E8">
        <w:rPr>
          <w:rFonts w:eastAsiaTheme="minorEastAsia"/>
          <w:i/>
          <w:iCs/>
          <w:szCs w:val="22"/>
          <w:lang w:eastAsia="ja-JP"/>
        </w:rPr>
        <w:t>Information</w:t>
      </w:r>
      <w:proofErr w:type="spellEnd"/>
      <w:r w:rsidR="000D1D85" w:rsidRPr="002565E8">
        <w:rPr>
          <w:rFonts w:eastAsiaTheme="minorEastAsia"/>
          <w:i/>
          <w:iCs/>
          <w:szCs w:val="22"/>
          <w:lang w:eastAsia="ja-JP"/>
        </w:rPr>
        <w:t xml:space="preserve"> Associations and Institutions</w:t>
      </w:r>
      <w:r w:rsidR="000D1D85" w:rsidRPr="00390F3F">
        <w:rPr>
          <w:rFonts w:eastAsiaTheme="minorEastAsia"/>
          <w:szCs w:val="22"/>
          <w:lang w:eastAsia="ja-JP"/>
        </w:rPr>
        <w:t xml:space="preserve"> (AfLIA) </w:t>
      </w:r>
      <w:r w:rsidRPr="00390F3F">
        <w:rPr>
          <w:rFonts w:eastAsiaTheme="minorEastAsia"/>
          <w:szCs w:val="22"/>
          <w:lang w:eastAsia="ja-JP"/>
        </w:rPr>
        <w:t xml:space="preserve">se creó en 2013 y fue </w:t>
      </w:r>
      <w:r w:rsidR="002565E8">
        <w:rPr>
          <w:rFonts w:eastAsiaTheme="minorEastAsia"/>
          <w:szCs w:val="22"/>
          <w:lang w:eastAsia="ja-JP"/>
        </w:rPr>
        <w:t>inscrita</w:t>
      </w:r>
      <w:r w:rsidRPr="00390F3F">
        <w:rPr>
          <w:rFonts w:eastAsiaTheme="minorEastAsia"/>
          <w:szCs w:val="22"/>
          <w:lang w:eastAsia="ja-JP"/>
        </w:rPr>
        <w:t xml:space="preserve"> como organización no gubernamental internacional</w:t>
      </w:r>
      <w:r w:rsidR="000D1D85" w:rsidRPr="00390F3F">
        <w:rPr>
          <w:rFonts w:eastAsiaTheme="minorEastAsia"/>
          <w:szCs w:val="22"/>
          <w:lang w:eastAsia="ja-JP"/>
        </w:rPr>
        <w:t xml:space="preserve"> </w:t>
      </w:r>
      <w:r w:rsidRPr="00390F3F">
        <w:rPr>
          <w:rFonts w:eastAsiaTheme="minorEastAsia"/>
          <w:szCs w:val="22"/>
          <w:lang w:eastAsia="ja-JP"/>
        </w:rPr>
        <w:t xml:space="preserve">en 2014 de conformidad con la legislación de </w:t>
      </w:r>
      <w:r w:rsidR="000D1D85" w:rsidRPr="00390F3F">
        <w:rPr>
          <w:rFonts w:eastAsiaTheme="minorEastAsia"/>
          <w:szCs w:val="22"/>
          <w:lang w:eastAsia="ja-JP"/>
        </w:rPr>
        <w:t xml:space="preserve">Ghana.  </w:t>
      </w:r>
      <w:r w:rsidR="00210707" w:rsidRPr="00390F3F">
        <w:rPr>
          <w:rFonts w:eastAsiaTheme="minorEastAsia"/>
          <w:szCs w:val="22"/>
          <w:lang w:eastAsia="ja-JP"/>
        </w:rPr>
        <w:t>Se dedica a</w:t>
      </w:r>
      <w:r w:rsidR="001B3481" w:rsidRPr="00390F3F">
        <w:rPr>
          <w:rFonts w:eastAsiaTheme="minorEastAsia"/>
          <w:szCs w:val="22"/>
          <w:lang w:eastAsia="ja-JP"/>
        </w:rPr>
        <w:t xml:space="preserve"> defender los intereses de las asociaciones </w:t>
      </w:r>
      <w:r w:rsidR="00210707" w:rsidRPr="00390F3F">
        <w:rPr>
          <w:rFonts w:eastAsiaTheme="minorEastAsia"/>
          <w:szCs w:val="22"/>
          <w:lang w:eastAsia="ja-JP"/>
        </w:rPr>
        <w:t>de bibliotecarios y bibliotecas y de profesionales de la información</w:t>
      </w:r>
      <w:r w:rsidR="002565E8">
        <w:rPr>
          <w:rFonts w:eastAsiaTheme="minorEastAsia"/>
          <w:szCs w:val="22"/>
          <w:lang w:eastAsia="ja-JP"/>
        </w:rPr>
        <w:t xml:space="preserve"> africanos</w:t>
      </w:r>
      <w:r w:rsidR="00210707" w:rsidRPr="00390F3F">
        <w:rPr>
          <w:rFonts w:eastAsiaTheme="minorEastAsia"/>
          <w:szCs w:val="22"/>
          <w:lang w:eastAsia="ja-JP"/>
        </w:rPr>
        <w:t xml:space="preserve">, los servicios </w:t>
      </w:r>
      <w:r w:rsidR="00DC5485" w:rsidRPr="00390F3F">
        <w:rPr>
          <w:rFonts w:eastAsiaTheme="minorEastAsia"/>
          <w:szCs w:val="22"/>
          <w:lang w:eastAsia="ja-JP"/>
        </w:rPr>
        <w:t>bibliotecarios</w:t>
      </w:r>
      <w:r w:rsidR="00210707" w:rsidRPr="00390F3F">
        <w:rPr>
          <w:rFonts w:eastAsiaTheme="minorEastAsia"/>
          <w:szCs w:val="22"/>
          <w:lang w:eastAsia="ja-JP"/>
        </w:rPr>
        <w:t xml:space="preserve"> y de información, los bibliotecarios y los profesionales de la información y las comunidades a las que prestan servicio.  Entre sus principales objetivos se encuentran los siguientes:  alentar a los bibliotecarios y los profesionales de la información a </w:t>
      </w:r>
      <w:r w:rsidR="00137F58" w:rsidRPr="00390F3F">
        <w:rPr>
          <w:rFonts w:eastAsiaTheme="minorEastAsia"/>
          <w:szCs w:val="22"/>
          <w:lang w:eastAsia="ja-JP"/>
        </w:rPr>
        <w:t>que prevean</w:t>
      </w:r>
      <w:r w:rsidR="00210707" w:rsidRPr="00390F3F">
        <w:rPr>
          <w:rFonts w:eastAsiaTheme="minorEastAsia"/>
          <w:szCs w:val="22"/>
          <w:lang w:eastAsia="ja-JP"/>
        </w:rPr>
        <w:t xml:space="preserve"> las necesidades de las comunidades de África y les </w:t>
      </w:r>
      <w:r w:rsidR="00137F58" w:rsidRPr="00390F3F">
        <w:rPr>
          <w:rFonts w:eastAsiaTheme="minorEastAsia"/>
          <w:szCs w:val="22"/>
          <w:lang w:eastAsia="ja-JP"/>
        </w:rPr>
        <w:t xml:space="preserve">den </w:t>
      </w:r>
      <w:r w:rsidR="00210707" w:rsidRPr="00390F3F">
        <w:rPr>
          <w:rFonts w:eastAsiaTheme="minorEastAsia"/>
          <w:szCs w:val="22"/>
          <w:lang w:eastAsia="ja-JP"/>
        </w:rPr>
        <w:t xml:space="preserve">respuesta;  </w:t>
      </w:r>
      <w:r w:rsidR="00DC5485" w:rsidRPr="00390F3F">
        <w:rPr>
          <w:rFonts w:eastAsiaTheme="minorEastAsia"/>
          <w:szCs w:val="22"/>
          <w:lang w:eastAsia="ja-JP"/>
        </w:rPr>
        <w:t>fomentar un conocimiento generalizado del valor y la importancia de la calidad de los servicios bibliotecarios y de información</w:t>
      </w:r>
      <w:r w:rsidR="000D1D85" w:rsidRPr="00390F3F">
        <w:rPr>
          <w:rFonts w:eastAsiaTheme="minorEastAsia"/>
          <w:szCs w:val="22"/>
          <w:lang w:eastAsia="ja-JP"/>
        </w:rPr>
        <w:t xml:space="preserve">;  </w:t>
      </w:r>
      <w:r w:rsidR="00DC5485" w:rsidRPr="00390F3F">
        <w:rPr>
          <w:rFonts w:eastAsiaTheme="minorEastAsia"/>
          <w:szCs w:val="22"/>
          <w:lang w:eastAsia="ja-JP"/>
        </w:rPr>
        <w:t>promover el reconocimiento de las bibliotecas y los centros de información como instituciones esenciales que mejoran la vida de las personas por medio del acceso equitativo a los conocimientos y la información,</w:t>
      </w:r>
      <w:r w:rsidR="000D1D85" w:rsidRPr="00390F3F">
        <w:rPr>
          <w:rFonts w:eastAsiaTheme="minorEastAsia"/>
          <w:szCs w:val="22"/>
          <w:lang w:eastAsia="ja-JP"/>
        </w:rPr>
        <w:t xml:space="preserve"> </w:t>
      </w:r>
      <w:r w:rsidR="001005AD" w:rsidRPr="00390F3F">
        <w:rPr>
          <w:rFonts w:eastAsiaTheme="minorEastAsia"/>
          <w:szCs w:val="22"/>
          <w:lang w:eastAsia="ja-JP"/>
        </w:rPr>
        <w:t>y potenciar la investigación y el desarrollo de los servicios pertinentes para los conocimientos indígenas y la información de las comunidades locales, y para la preservación del patrimonio cultural.</w:t>
      </w:r>
      <w:r w:rsidR="000D1D85" w:rsidRPr="00390F3F">
        <w:rPr>
          <w:rFonts w:eastAsiaTheme="minorEastAsia"/>
          <w:szCs w:val="22"/>
          <w:lang w:eastAsia="ja-JP"/>
        </w:rPr>
        <w:t xml:space="preserve">  </w:t>
      </w:r>
      <w:r w:rsidR="001005AD" w:rsidRPr="00390F3F">
        <w:rPr>
          <w:rFonts w:eastAsiaTheme="minorEastAsia"/>
          <w:szCs w:val="22"/>
          <w:lang w:eastAsia="ja-JP"/>
        </w:rPr>
        <w:t>La</w:t>
      </w:r>
      <w:r w:rsidR="000D1D85" w:rsidRPr="00390F3F">
        <w:rPr>
          <w:rFonts w:eastAsiaTheme="minorEastAsia"/>
          <w:szCs w:val="22"/>
          <w:lang w:eastAsia="ja-JP"/>
        </w:rPr>
        <w:t xml:space="preserve"> AfLIA </w:t>
      </w:r>
      <w:r w:rsidR="001005AD" w:rsidRPr="00390F3F">
        <w:rPr>
          <w:rFonts w:eastAsiaTheme="minorEastAsia"/>
          <w:szCs w:val="22"/>
          <w:lang w:eastAsia="ja-JP"/>
        </w:rPr>
        <w:t xml:space="preserve">quiere contribuir a los debates del SCCR y reconoce su responsabilidad de velar por el equilibrio entre la libertad de acceso a la información y la protección por </w:t>
      </w:r>
      <w:r w:rsidR="003764D2" w:rsidRPr="00390F3F">
        <w:rPr>
          <w:rFonts w:eastAsiaTheme="minorEastAsia"/>
          <w:szCs w:val="22"/>
          <w:lang w:eastAsia="ja-JP"/>
        </w:rPr>
        <w:t xml:space="preserve">el </w:t>
      </w:r>
      <w:r w:rsidR="001005AD" w:rsidRPr="00390F3F">
        <w:rPr>
          <w:rFonts w:eastAsiaTheme="minorEastAsia"/>
          <w:szCs w:val="22"/>
          <w:lang w:eastAsia="ja-JP"/>
        </w:rPr>
        <w:t>derecho de autor de las obras, incluidos los conocimientos indígenas de la comunidad africana.</w:t>
      </w:r>
    </w:p>
    <w:p w:rsidR="000D1D85" w:rsidRPr="00390F3F" w:rsidRDefault="000D1D85" w:rsidP="000D1D85">
      <w:pPr>
        <w:rPr>
          <w:rFonts w:eastAsiaTheme="minorEastAsia"/>
          <w:szCs w:val="22"/>
          <w:lang w:eastAsia="ja-JP"/>
        </w:rPr>
      </w:pPr>
    </w:p>
    <w:p w:rsidR="000D1D85" w:rsidRPr="00390F3F" w:rsidRDefault="000D1D85" w:rsidP="000D1D85">
      <w:pPr>
        <w:rPr>
          <w:rFonts w:eastAsiaTheme="minorEastAsia"/>
          <w:lang w:eastAsia="ja-JP"/>
        </w:rPr>
      </w:pPr>
    </w:p>
    <w:p w:rsidR="000D1D85" w:rsidRPr="00390F3F" w:rsidRDefault="000D1D85" w:rsidP="000D1D85">
      <w:pPr>
        <w:rPr>
          <w:rFonts w:eastAsiaTheme="minorEastAsia"/>
          <w:lang w:eastAsia="ja-JP"/>
        </w:rPr>
      </w:pPr>
    </w:p>
    <w:p w:rsidR="000D1D85" w:rsidRPr="00390F3F" w:rsidRDefault="00780483" w:rsidP="000D1D85">
      <w:pPr>
        <w:rPr>
          <w:i/>
        </w:rPr>
      </w:pPr>
      <w:r w:rsidRPr="00390F3F">
        <w:rPr>
          <w:i/>
        </w:rPr>
        <w:t>Información de contacto:</w:t>
      </w:r>
    </w:p>
    <w:p w:rsidR="000D1D85" w:rsidRPr="00390F3F" w:rsidRDefault="000D1D85" w:rsidP="000D1D85">
      <w:pPr>
        <w:rPr>
          <w:i/>
        </w:rPr>
      </w:pPr>
    </w:p>
    <w:p w:rsidR="000D1D85" w:rsidRPr="00390F3F" w:rsidRDefault="00780483" w:rsidP="000D1D85">
      <w:r w:rsidRPr="00390F3F">
        <w:t>Helena Asamoah-Hassan</w:t>
      </w:r>
    </w:p>
    <w:p w:rsidR="000D1D85" w:rsidRPr="00F137DD" w:rsidRDefault="000D1D85" w:rsidP="000D1D85">
      <w:pPr>
        <w:rPr>
          <w:lang w:val="en-US"/>
        </w:rPr>
      </w:pPr>
      <w:proofErr w:type="spellStart"/>
      <w:r w:rsidRPr="00F137DD">
        <w:rPr>
          <w:lang w:val="en-US"/>
        </w:rPr>
        <w:t>Director</w:t>
      </w:r>
      <w:r w:rsidR="00780483" w:rsidRPr="00F137DD">
        <w:rPr>
          <w:lang w:val="en-US"/>
        </w:rPr>
        <w:t>a</w:t>
      </w:r>
      <w:proofErr w:type="spellEnd"/>
      <w:r w:rsidRPr="00F137DD">
        <w:rPr>
          <w:lang w:val="en-US"/>
        </w:rPr>
        <w:t xml:space="preserve"> </w:t>
      </w:r>
      <w:proofErr w:type="spellStart"/>
      <w:r w:rsidR="00780483" w:rsidRPr="00F137DD">
        <w:rPr>
          <w:lang w:val="en-US"/>
        </w:rPr>
        <w:t>Ejecutiva</w:t>
      </w:r>
      <w:proofErr w:type="spellEnd"/>
    </w:p>
    <w:p w:rsidR="000D1D85" w:rsidRPr="00F137DD" w:rsidRDefault="000D1D85" w:rsidP="000D1D85">
      <w:pPr>
        <w:rPr>
          <w:lang w:val="en-US"/>
        </w:rPr>
      </w:pPr>
      <w:proofErr w:type="spellStart"/>
      <w:r w:rsidRPr="00F137DD">
        <w:rPr>
          <w:lang w:val="en-US"/>
        </w:rPr>
        <w:t>Csir</w:t>
      </w:r>
      <w:proofErr w:type="spellEnd"/>
      <w:r w:rsidRPr="00F137DD">
        <w:rPr>
          <w:lang w:val="en-US"/>
        </w:rPr>
        <w:t xml:space="preserve"> </w:t>
      </w:r>
      <w:proofErr w:type="spellStart"/>
      <w:r w:rsidRPr="00F137DD">
        <w:rPr>
          <w:lang w:val="en-US"/>
        </w:rPr>
        <w:t>Insti</w:t>
      </w:r>
      <w:proofErr w:type="spellEnd"/>
      <w:r w:rsidRPr="00F137DD">
        <w:rPr>
          <w:lang w:val="en-US"/>
        </w:rPr>
        <w:t xml:space="preserve"> Building, </w:t>
      </w:r>
      <w:proofErr w:type="spellStart"/>
      <w:r w:rsidRPr="00F137DD">
        <w:rPr>
          <w:lang w:val="en-US"/>
        </w:rPr>
        <w:t>Csir</w:t>
      </w:r>
      <w:proofErr w:type="spellEnd"/>
      <w:r w:rsidRPr="00F137DD">
        <w:rPr>
          <w:lang w:val="en-US"/>
        </w:rPr>
        <w:t xml:space="preserve"> </w:t>
      </w:r>
      <w:proofErr w:type="spellStart"/>
      <w:r w:rsidRPr="00F137DD">
        <w:rPr>
          <w:lang w:val="en-US"/>
        </w:rPr>
        <w:t>Headquaters</w:t>
      </w:r>
      <w:proofErr w:type="spellEnd"/>
    </w:p>
    <w:p w:rsidR="000D1D85" w:rsidRPr="00390F3F" w:rsidRDefault="003F3438" w:rsidP="000D1D85">
      <w:r w:rsidRPr="00390F3F">
        <w:t>Accra</w:t>
      </w:r>
      <w:r w:rsidR="000D1D85" w:rsidRPr="00390F3F">
        <w:t xml:space="preserve"> </w:t>
      </w:r>
      <w:r w:rsidRPr="00390F3F">
        <w:t>(</w:t>
      </w:r>
      <w:r w:rsidR="000D1D85" w:rsidRPr="00390F3F">
        <w:t>Ghana</w:t>
      </w:r>
      <w:r w:rsidRPr="00390F3F">
        <w:t>)</w:t>
      </w:r>
    </w:p>
    <w:p w:rsidR="000D1D85" w:rsidRPr="00390F3F" w:rsidRDefault="00780483" w:rsidP="000D1D85">
      <w:r w:rsidRPr="00390F3F">
        <w:t>Teléfono</w:t>
      </w:r>
      <w:r w:rsidR="000D1D85" w:rsidRPr="00390F3F">
        <w:t xml:space="preserve">: </w:t>
      </w:r>
      <w:r w:rsidRPr="00390F3F">
        <w:t xml:space="preserve"> </w:t>
      </w:r>
      <w:r w:rsidR="00390F3F" w:rsidRPr="00390F3F">
        <w:t>+</w:t>
      </w:r>
      <w:r w:rsidR="000D1D85" w:rsidRPr="00390F3F">
        <w:t>233 244 460529</w:t>
      </w:r>
    </w:p>
    <w:p w:rsidR="000D1D85" w:rsidRPr="00390F3F" w:rsidRDefault="00505E1C" w:rsidP="000D1D85">
      <w:r w:rsidRPr="00390F3F">
        <w:t>Correo-</w:t>
      </w:r>
      <w:r w:rsidR="00780483" w:rsidRPr="00390F3F">
        <w:t>e</w:t>
      </w:r>
      <w:r w:rsidR="000D1D85" w:rsidRPr="00390F3F">
        <w:t xml:space="preserve">: </w:t>
      </w:r>
      <w:r w:rsidR="00780483" w:rsidRPr="00390F3F">
        <w:t xml:space="preserve"> </w:t>
      </w:r>
      <w:hyperlink r:id="rId10" w:history="1">
        <w:r w:rsidR="000D1D85" w:rsidRPr="00390F3F">
          <w:rPr>
            <w:rStyle w:val="Hyperlink"/>
          </w:rPr>
          <w:t>secretariat@aflia.net</w:t>
        </w:r>
      </w:hyperlink>
    </w:p>
    <w:p w:rsidR="000D1D85" w:rsidRPr="00390F3F" w:rsidRDefault="00780483" w:rsidP="000D1D85">
      <w:r w:rsidRPr="00390F3F">
        <w:t>Sitio web</w:t>
      </w:r>
      <w:r w:rsidR="000D1D85" w:rsidRPr="00390F3F">
        <w:t xml:space="preserve">: </w:t>
      </w:r>
      <w:r w:rsidRPr="00390F3F">
        <w:t xml:space="preserve"> </w:t>
      </w:r>
      <w:hyperlink r:id="rId11" w:history="1">
        <w:r w:rsidR="000D1D85" w:rsidRPr="00390F3F">
          <w:rPr>
            <w:rStyle w:val="Hyperlink"/>
          </w:rPr>
          <w:t>www.aflia.net</w:t>
        </w:r>
      </w:hyperlink>
    </w:p>
    <w:p w:rsidR="000D1D85" w:rsidRPr="00390F3F" w:rsidRDefault="000D1D85" w:rsidP="000D1D85"/>
    <w:p w:rsidR="000D1D85" w:rsidRPr="00390F3F" w:rsidRDefault="000D1D85" w:rsidP="000D1D85"/>
    <w:p w:rsidR="000D1D85" w:rsidRPr="00390F3F" w:rsidRDefault="000D1D85" w:rsidP="000D1D85"/>
    <w:p w:rsidR="000D1D85" w:rsidRPr="00F137DD" w:rsidRDefault="000D1D85" w:rsidP="000D1D85">
      <w:pPr>
        <w:pStyle w:val="Endofdocument-Annex"/>
      </w:pPr>
      <w:r w:rsidRPr="00F137DD">
        <w:t>[</w:t>
      </w:r>
      <w:proofErr w:type="spellStart"/>
      <w:r w:rsidR="00D901D6" w:rsidRPr="00F137DD">
        <w:t>Sigue</w:t>
      </w:r>
      <w:proofErr w:type="spellEnd"/>
      <w:r w:rsidR="00D901D6" w:rsidRPr="00F137DD">
        <w:t xml:space="preserve"> el </w:t>
      </w:r>
      <w:proofErr w:type="spellStart"/>
      <w:r w:rsidR="00D901D6" w:rsidRPr="00F137DD">
        <w:t>A</w:t>
      </w:r>
      <w:r w:rsidRPr="00F137DD">
        <w:t>nex</w:t>
      </w:r>
      <w:r w:rsidR="00D901D6" w:rsidRPr="00F137DD">
        <w:t>o</w:t>
      </w:r>
      <w:proofErr w:type="spellEnd"/>
      <w:r w:rsidR="00D901D6" w:rsidRPr="00F137DD">
        <w:t xml:space="preserve"> II</w:t>
      </w:r>
      <w:r w:rsidRPr="00F137DD">
        <w:t>]</w:t>
      </w:r>
    </w:p>
    <w:p w:rsidR="007860DC" w:rsidRPr="00F137DD" w:rsidRDefault="007860DC" w:rsidP="001F1025">
      <w:pPr>
        <w:rPr>
          <w:lang w:val="en-US"/>
        </w:rPr>
      </w:pPr>
    </w:p>
    <w:p w:rsidR="00390F3F" w:rsidRPr="00F137DD" w:rsidRDefault="00390F3F" w:rsidP="001F1025">
      <w:pPr>
        <w:rPr>
          <w:lang w:val="en-US"/>
        </w:rPr>
        <w:sectPr w:rsidR="00390F3F" w:rsidRPr="00F137DD" w:rsidSect="00277BB9">
          <w:headerReference w:type="first" r:id="rId12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860DC" w:rsidRPr="00F137DD" w:rsidRDefault="007860DC" w:rsidP="007860DC">
      <w:pPr>
        <w:rPr>
          <w:rFonts w:eastAsia="Times New Roman"/>
          <w:i/>
          <w:szCs w:val="22"/>
          <w:lang w:val="en-US" w:eastAsia="en-US"/>
        </w:rPr>
      </w:pPr>
      <w:r w:rsidRPr="00F137DD">
        <w:rPr>
          <w:rFonts w:eastAsia="Times New Roman"/>
          <w:i/>
          <w:szCs w:val="22"/>
          <w:lang w:val="en-US" w:eastAsia="en-US"/>
        </w:rPr>
        <w:lastRenderedPageBreak/>
        <w:t>Canadian Federation of Library Associations (CFLA)</w:t>
      </w:r>
    </w:p>
    <w:p w:rsidR="007860DC" w:rsidRPr="00F137DD" w:rsidRDefault="007860DC" w:rsidP="007860DC">
      <w:pPr>
        <w:rPr>
          <w:rFonts w:eastAsia="Times New Roman"/>
          <w:i/>
          <w:szCs w:val="22"/>
          <w:lang w:val="en-US" w:eastAsia="en-US"/>
        </w:rPr>
      </w:pPr>
    </w:p>
    <w:p w:rsidR="007860DC" w:rsidRPr="00F137DD" w:rsidRDefault="007860DC" w:rsidP="007860DC">
      <w:pPr>
        <w:rPr>
          <w:rFonts w:eastAsia="Times New Roman"/>
          <w:i/>
          <w:szCs w:val="22"/>
          <w:lang w:val="en-US" w:eastAsia="en-US"/>
        </w:rPr>
      </w:pPr>
    </w:p>
    <w:p w:rsidR="007860DC" w:rsidRPr="00390F3F" w:rsidRDefault="0082177E" w:rsidP="007860DC">
      <w:pPr>
        <w:rPr>
          <w:rFonts w:eastAsia="Times New Roman"/>
          <w:szCs w:val="22"/>
          <w:lang w:eastAsia="en-US"/>
        </w:rPr>
      </w:pPr>
      <w:r w:rsidRPr="00390F3F">
        <w:rPr>
          <w:rFonts w:eastAsia="Times New Roman"/>
          <w:szCs w:val="22"/>
          <w:lang w:eastAsia="en-US"/>
        </w:rPr>
        <w:t>La</w:t>
      </w:r>
      <w:r w:rsidR="007860DC" w:rsidRPr="00390F3F">
        <w:rPr>
          <w:rFonts w:eastAsia="Times New Roman"/>
          <w:szCs w:val="22"/>
          <w:lang w:eastAsia="en-US"/>
        </w:rPr>
        <w:t xml:space="preserve"> </w:t>
      </w:r>
      <w:r w:rsidR="007860DC" w:rsidRPr="002565E8">
        <w:rPr>
          <w:rFonts w:eastAsia="Times New Roman"/>
          <w:i/>
          <w:iCs/>
          <w:szCs w:val="22"/>
          <w:lang w:eastAsia="en-US"/>
        </w:rPr>
        <w:t>Canadian Library Association</w:t>
      </w:r>
      <w:r w:rsidR="007860DC" w:rsidRPr="00390F3F">
        <w:rPr>
          <w:rFonts w:eastAsia="Times New Roman"/>
          <w:szCs w:val="22"/>
          <w:lang w:eastAsia="en-US"/>
        </w:rPr>
        <w:t xml:space="preserve"> (CLA) particip</w:t>
      </w:r>
      <w:r w:rsidRPr="00390F3F">
        <w:rPr>
          <w:rFonts w:eastAsia="Times New Roman"/>
          <w:szCs w:val="22"/>
          <w:lang w:eastAsia="en-US"/>
        </w:rPr>
        <w:t xml:space="preserve">ó durante muchos años en las reuniones del SCCR en calidad de observador </w:t>
      </w:r>
      <w:r w:rsidRPr="00390F3F">
        <w:rPr>
          <w:rFonts w:eastAsia="Times New Roman"/>
          <w:i/>
          <w:szCs w:val="22"/>
          <w:lang w:eastAsia="en-US"/>
        </w:rPr>
        <w:t xml:space="preserve">ad hoc. </w:t>
      </w:r>
      <w:r w:rsidRPr="00390F3F">
        <w:rPr>
          <w:rFonts w:eastAsia="Times New Roman"/>
          <w:szCs w:val="22"/>
          <w:lang w:eastAsia="en-US"/>
        </w:rPr>
        <w:t xml:space="preserve"> Tras su disolución, la </w:t>
      </w:r>
      <w:r w:rsidRPr="002565E8">
        <w:rPr>
          <w:rFonts w:eastAsia="Times New Roman"/>
          <w:i/>
          <w:iCs/>
          <w:szCs w:val="22"/>
          <w:lang w:eastAsia="en-US"/>
        </w:rPr>
        <w:t>Canadian Federation of Library Associations</w:t>
      </w:r>
      <w:r w:rsidRPr="00390F3F">
        <w:rPr>
          <w:rFonts w:eastAsia="Times New Roman"/>
          <w:szCs w:val="22"/>
          <w:lang w:eastAsia="en-US"/>
        </w:rPr>
        <w:t xml:space="preserve"> (CFLA) ocupó su lugar.</w:t>
      </w:r>
      <w:r w:rsidR="007860DC" w:rsidRPr="00390F3F">
        <w:rPr>
          <w:rFonts w:eastAsia="Times New Roman"/>
          <w:szCs w:val="22"/>
          <w:lang w:eastAsia="en-US"/>
        </w:rPr>
        <w:t xml:space="preserve">  </w:t>
      </w:r>
      <w:r w:rsidRPr="00390F3F">
        <w:rPr>
          <w:rFonts w:eastAsia="Times New Roman"/>
          <w:szCs w:val="22"/>
          <w:lang w:eastAsia="en-US"/>
        </w:rPr>
        <w:t xml:space="preserve">La </w:t>
      </w:r>
      <w:r w:rsidR="007860DC" w:rsidRPr="00390F3F">
        <w:rPr>
          <w:rFonts w:eastAsia="Times New Roman"/>
          <w:szCs w:val="22"/>
          <w:lang w:eastAsia="en-US"/>
        </w:rPr>
        <w:t xml:space="preserve">CFLA </w:t>
      </w:r>
      <w:r w:rsidRPr="00390F3F">
        <w:rPr>
          <w:rFonts w:eastAsia="Times New Roman"/>
          <w:szCs w:val="22"/>
          <w:lang w:eastAsia="en-US"/>
        </w:rPr>
        <w:t>representará a las bibliotecas del Canadá en los asuntos relacionados con el derecho de autor a nivel nacional e internacional, tal como hacía con anterioridad la CLA</w:t>
      </w:r>
      <w:r w:rsidR="007860DC" w:rsidRPr="00390F3F">
        <w:rPr>
          <w:rFonts w:eastAsia="Times New Roman"/>
          <w:szCs w:val="22"/>
          <w:lang w:eastAsia="en-US"/>
        </w:rPr>
        <w:t xml:space="preserve">.  </w:t>
      </w:r>
      <w:r w:rsidRPr="00390F3F">
        <w:rPr>
          <w:rFonts w:eastAsia="Times New Roman"/>
          <w:szCs w:val="22"/>
          <w:lang w:eastAsia="en-US"/>
        </w:rPr>
        <w:t xml:space="preserve">Entre los objetivos de la CFLA se incluyen los siguientes:  </w:t>
      </w:r>
      <w:r w:rsidR="007860DC" w:rsidRPr="00390F3F">
        <w:rPr>
          <w:rFonts w:eastAsia="Times New Roman"/>
          <w:szCs w:val="22"/>
          <w:lang w:eastAsia="en-US"/>
        </w:rPr>
        <w:t>promo</w:t>
      </w:r>
      <w:r w:rsidRPr="00390F3F">
        <w:rPr>
          <w:rFonts w:eastAsia="Times New Roman"/>
          <w:szCs w:val="22"/>
          <w:lang w:eastAsia="en-US"/>
        </w:rPr>
        <w:t xml:space="preserve">ver iniciativas en todo tipo de bibliotecas para impulsar la reconciliación con los pueblos indígenas del Canadá y fomentar la colaboración en estas cuestiones entre todas las comunidades de bibliotecas del país;  </w:t>
      </w:r>
      <w:r w:rsidR="001B333D" w:rsidRPr="00390F3F">
        <w:rPr>
          <w:rFonts w:eastAsia="Times New Roman"/>
          <w:szCs w:val="22"/>
          <w:lang w:eastAsia="en-US"/>
        </w:rPr>
        <w:t>desarrollar las pos</w:t>
      </w:r>
      <w:r w:rsidR="00F91A9C" w:rsidRPr="00390F3F">
        <w:rPr>
          <w:rFonts w:eastAsia="Times New Roman"/>
          <w:szCs w:val="22"/>
          <w:lang w:eastAsia="en-US"/>
        </w:rPr>
        <w:t>iciones</w:t>
      </w:r>
      <w:r w:rsidR="001B333D" w:rsidRPr="00390F3F">
        <w:rPr>
          <w:rFonts w:eastAsia="Times New Roman"/>
          <w:szCs w:val="22"/>
          <w:lang w:eastAsia="en-US"/>
        </w:rPr>
        <w:t xml:space="preserve"> de la comunidad de bibliotecas con respecto al derecho de autor y promoverlas:  propiciar un nivel óptimo de colaboración y convergencia entre las comunidades de bibliotecas del Canadá en relación con la defensa del derecho de autor, y </w:t>
      </w:r>
      <w:r w:rsidR="00F91A9C" w:rsidRPr="00390F3F">
        <w:rPr>
          <w:rFonts w:eastAsia="Times New Roman"/>
          <w:szCs w:val="22"/>
          <w:lang w:eastAsia="en-US"/>
        </w:rPr>
        <w:t>actualizar y mantener las directrices y los documentos de posición de las bibliotecas, y publicarlos regularmente para la comunidad de bibliotecas del país.</w:t>
      </w:r>
      <w:r w:rsidR="007860DC" w:rsidRPr="00390F3F">
        <w:rPr>
          <w:rFonts w:eastAsia="Times New Roman"/>
          <w:szCs w:val="22"/>
          <w:lang w:eastAsia="en-US"/>
        </w:rPr>
        <w:t xml:space="preserve">  </w:t>
      </w:r>
      <w:r w:rsidR="00F91A9C" w:rsidRPr="00390F3F">
        <w:rPr>
          <w:rFonts w:eastAsia="Times New Roman"/>
          <w:szCs w:val="22"/>
          <w:lang w:eastAsia="en-US"/>
        </w:rPr>
        <w:t>La CFLA reco</w:t>
      </w:r>
      <w:r w:rsidR="007860DC" w:rsidRPr="00390F3F">
        <w:rPr>
          <w:rFonts w:eastAsia="Times New Roman"/>
          <w:szCs w:val="22"/>
          <w:lang w:eastAsia="en-US"/>
        </w:rPr>
        <w:t>n</w:t>
      </w:r>
      <w:r w:rsidR="00F91A9C" w:rsidRPr="00390F3F">
        <w:rPr>
          <w:rFonts w:eastAsia="Times New Roman"/>
          <w:szCs w:val="22"/>
          <w:lang w:eastAsia="en-US"/>
        </w:rPr>
        <w:t>oce la función fundamental que desempeña el SCCR debido a su influencia en las políticas de derecho de autor a nivel nacional e internacional y ha establecido la participación continua en el Comité como una prioridad a fin de seguir contribuyendo al diálogo mundial para respaldar el derecho de autor en favor del desarrollo y el acceso a la información.</w:t>
      </w:r>
    </w:p>
    <w:p w:rsidR="007860DC" w:rsidRPr="00390F3F" w:rsidRDefault="007860DC" w:rsidP="007860DC">
      <w:pPr>
        <w:rPr>
          <w:rFonts w:eastAsia="Times New Roman"/>
          <w:i/>
          <w:szCs w:val="22"/>
          <w:lang w:eastAsia="en-US"/>
        </w:rPr>
      </w:pPr>
    </w:p>
    <w:p w:rsidR="007860DC" w:rsidRPr="00390F3F" w:rsidRDefault="007860DC" w:rsidP="007860DC">
      <w:pPr>
        <w:rPr>
          <w:rFonts w:eastAsia="Times New Roman"/>
          <w:i/>
          <w:szCs w:val="22"/>
          <w:lang w:eastAsia="en-US"/>
        </w:rPr>
      </w:pPr>
    </w:p>
    <w:p w:rsidR="007860DC" w:rsidRPr="00390F3F" w:rsidRDefault="007860DC" w:rsidP="007860DC">
      <w:pPr>
        <w:rPr>
          <w:rFonts w:eastAsia="Times New Roman"/>
          <w:i/>
          <w:szCs w:val="22"/>
          <w:lang w:eastAsia="en-US"/>
        </w:rPr>
      </w:pPr>
    </w:p>
    <w:p w:rsidR="007860DC" w:rsidRPr="00390F3F" w:rsidRDefault="00D901D6" w:rsidP="007860DC">
      <w:pPr>
        <w:rPr>
          <w:i/>
        </w:rPr>
      </w:pPr>
      <w:r w:rsidRPr="00390F3F">
        <w:rPr>
          <w:i/>
        </w:rPr>
        <w:t>Información de contacto</w:t>
      </w:r>
      <w:r w:rsidR="00DD2196" w:rsidRPr="00390F3F">
        <w:rPr>
          <w:i/>
        </w:rPr>
        <w:t>:</w:t>
      </w:r>
    </w:p>
    <w:p w:rsidR="007860DC" w:rsidRPr="00390F3F" w:rsidRDefault="007860DC" w:rsidP="007860DC"/>
    <w:p w:rsidR="007860DC" w:rsidRPr="00390F3F" w:rsidRDefault="007860DC" w:rsidP="007860DC">
      <w:r w:rsidRPr="00390F3F">
        <w:t>Kevin Brennan</w:t>
      </w:r>
    </w:p>
    <w:p w:rsidR="007860DC" w:rsidRPr="00390F3F" w:rsidRDefault="00F55B75" w:rsidP="007860DC">
      <w:r w:rsidRPr="00390F3F">
        <w:t>Director Principal de Proyectos</w:t>
      </w:r>
    </w:p>
    <w:p w:rsidR="007860DC" w:rsidRPr="00F137DD" w:rsidRDefault="007860DC" w:rsidP="007860DC">
      <w:pPr>
        <w:rPr>
          <w:lang w:val="en-US"/>
        </w:rPr>
      </w:pPr>
      <w:r w:rsidRPr="00F137DD">
        <w:rPr>
          <w:lang w:val="en-US"/>
        </w:rPr>
        <w:t>2 Toronto St., 3rd Floor</w:t>
      </w:r>
    </w:p>
    <w:p w:rsidR="007860DC" w:rsidRPr="00F137DD" w:rsidRDefault="003F3438" w:rsidP="007860DC">
      <w:pPr>
        <w:rPr>
          <w:lang w:val="en-US"/>
        </w:rPr>
      </w:pPr>
      <w:r w:rsidRPr="00F137DD">
        <w:rPr>
          <w:lang w:val="en-US"/>
        </w:rPr>
        <w:t>Toronto (Ontario)</w:t>
      </w:r>
      <w:r w:rsidR="007860DC" w:rsidRPr="00F137DD">
        <w:rPr>
          <w:lang w:val="en-US"/>
        </w:rPr>
        <w:t xml:space="preserve"> M5C 2B6</w:t>
      </w:r>
    </w:p>
    <w:p w:rsidR="007860DC" w:rsidRPr="00390F3F" w:rsidRDefault="00A863EB" w:rsidP="007860DC">
      <w:r w:rsidRPr="00390F3F">
        <w:t>Canadá</w:t>
      </w:r>
    </w:p>
    <w:p w:rsidR="007860DC" w:rsidRPr="00390F3F" w:rsidRDefault="00505E1C" w:rsidP="007860DC">
      <w:r w:rsidRPr="00390F3F">
        <w:t>Teléfono</w:t>
      </w:r>
      <w:r w:rsidR="007860DC" w:rsidRPr="00390F3F">
        <w:t xml:space="preserve">: </w:t>
      </w:r>
      <w:r w:rsidR="00DD2196" w:rsidRPr="00390F3F">
        <w:t xml:space="preserve"> </w:t>
      </w:r>
      <w:r w:rsidR="007860DC" w:rsidRPr="00390F3F">
        <w:t>+1 416 737 7871</w:t>
      </w:r>
    </w:p>
    <w:p w:rsidR="007860DC" w:rsidRPr="00390F3F" w:rsidRDefault="00505E1C" w:rsidP="007860DC">
      <w:r w:rsidRPr="00390F3F">
        <w:t>Correo-e</w:t>
      </w:r>
      <w:r w:rsidR="007860DC" w:rsidRPr="00390F3F">
        <w:t xml:space="preserve">: </w:t>
      </w:r>
      <w:r w:rsidR="00DD2196" w:rsidRPr="00390F3F">
        <w:t xml:space="preserve"> </w:t>
      </w:r>
      <w:hyperlink r:id="rId13" w:history="1">
        <w:r w:rsidR="007860DC" w:rsidRPr="00390F3F">
          <w:rPr>
            <w:rStyle w:val="Hyperlink"/>
            <w:szCs w:val="22"/>
          </w:rPr>
          <w:t>kbrennan@cfla-fcab.ca</w:t>
        </w:r>
      </w:hyperlink>
    </w:p>
    <w:p w:rsidR="007860DC" w:rsidRPr="00F137DD" w:rsidRDefault="00D901D6" w:rsidP="007860DC">
      <w:pPr>
        <w:rPr>
          <w:lang w:val="en-US"/>
        </w:rPr>
      </w:pPr>
      <w:proofErr w:type="spellStart"/>
      <w:r w:rsidRPr="00F137DD">
        <w:rPr>
          <w:lang w:val="en-US"/>
        </w:rPr>
        <w:t>Sitio</w:t>
      </w:r>
      <w:proofErr w:type="spellEnd"/>
      <w:r w:rsidRPr="00F137DD">
        <w:rPr>
          <w:lang w:val="en-US"/>
        </w:rPr>
        <w:t xml:space="preserve"> web</w:t>
      </w:r>
      <w:r w:rsidR="007860DC" w:rsidRPr="00F137DD">
        <w:rPr>
          <w:lang w:val="en-US"/>
        </w:rPr>
        <w:t>:</w:t>
      </w:r>
      <w:r w:rsidR="00DD2196" w:rsidRPr="00F137DD">
        <w:rPr>
          <w:lang w:val="en-US"/>
        </w:rPr>
        <w:t xml:space="preserve"> </w:t>
      </w:r>
      <w:r w:rsidR="007860DC" w:rsidRPr="00F137DD">
        <w:rPr>
          <w:lang w:val="en-US"/>
        </w:rPr>
        <w:t xml:space="preserve"> </w:t>
      </w:r>
      <w:hyperlink r:id="rId14" w:history="1">
        <w:r w:rsidR="007860DC" w:rsidRPr="00F137DD">
          <w:rPr>
            <w:rStyle w:val="Hyperlink"/>
            <w:lang w:val="en-US"/>
          </w:rPr>
          <w:t>www.cfla-fcab.ca</w:t>
        </w:r>
      </w:hyperlink>
    </w:p>
    <w:p w:rsidR="007860DC" w:rsidRPr="00F137DD" w:rsidRDefault="007860DC" w:rsidP="007860DC">
      <w:pPr>
        <w:rPr>
          <w:lang w:val="en-US"/>
        </w:rPr>
      </w:pPr>
    </w:p>
    <w:p w:rsidR="007860DC" w:rsidRPr="00F137DD" w:rsidRDefault="007860DC" w:rsidP="007860DC">
      <w:pPr>
        <w:rPr>
          <w:lang w:val="en-US"/>
        </w:rPr>
      </w:pPr>
    </w:p>
    <w:p w:rsidR="007860DC" w:rsidRPr="00F137DD" w:rsidRDefault="007860DC" w:rsidP="007860DC">
      <w:pPr>
        <w:rPr>
          <w:lang w:val="en-US"/>
        </w:rPr>
      </w:pPr>
    </w:p>
    <w:p w:rsidR="007860DC" w:rsidRPr="00390F3F" w:rsidRDefault="007860DC" w:rsidP="007860DC">
      <w:pPr>
        <w:pStyle w:val="Endofdocument-Annex"/>
        <w:rPr>
          <w:lang w:val="es-ES"/>
        </w:rPr>
      </w:pPr>
      <w:r w:rsidRPr="00390F3F">
        <w:rPr>
          <w:lang w:val="es-ES"/>
        </w:rPr>
        <w:t>[</w:t>
      </w:r>
      <w:r w:rsidR="006F716B" w:rsidRPr="00390F3F">
        <w:rPr>
          <w:lang w:val="es-ES"/>
        </w:rPr>
        <w:t>Sigue el A</w:t>
      </w:r>
      <w:r w:rsidRPr="00390F3F">
        <w:rPr>
          <w:lang w:val="es-ES"/>
        </w:rPr>
        <w:t>nex</w:t>
      </w:r>
      <w:r w:rsidR="006F716B" w:rsidRPr="00390F3F">
        <w:rPr>
          <w:lang w:val="es-ES"/>
        </w:rPr>
        <w:t>o</w:t>
      </w:r>
      <w:r w:rsidRPr="00390F3F">
        <w:rPr>
          <w:lang w:val="es-ES"/>
        </w:rPr>
        <w:t xml:space="preserve"> III]</w:t>
      </w:r>
    </w:p>
    <w:p w:rsidR="007860DC" w:rsidRPr="00390F3F" w:rsidRDefault="007860DC" w:rsidP="007860DC">
      <w:pPr>
        <w:rPr>
          <w:rFonts w:eastAsia="Times New Roman"/>
          <w:i/>
          <w:szCs w:val="22"/>
          <w:lang w:eastAsia="en-US"/>
        </w:rPr>
      </w:pPr>
    </w:p>
    <w:p w:rsidR="00804674" w:rsidRPr="00390F3F" w:rsidRDefault="00804674" w:rsidP="001F1025">
      <w:pPr>
        <w:sectPr w:rsidR="00804674" w:rsidRPr="00390F3F" w:rsidSect="00277BB9">
          <w:headerReference w:type="first" r:id="rId15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04674" w:rsidRPr="00390F3F" w:rsidRDefault="00804674" w:rsidP="00804674">
      <w:pPr>
        <w:rPr>
          <w:rFonts w:eastAsia="Times New Roman"/>
          <w:i/>
          <w:szCs w:val="22"/>
          <w:lang w:eastAsia="en-US"/>
        </w:rPr>
      </w:pPr>
      <w:r w:rsidRPr="00390F3F">
        <w:rPr>
          <w:rFonts w:eastAsia="Times New Roman"/>
          <w:i/>
          <w:szCs w:val="22"/>
          <w:lang w:eastAsia="en-US"/>
        </w:rPr>
        <w:t>European University Association (EUA)</w:t>
      </w:r>
    </w:p>
    <w:p w:rsidR="00804674" w:rsidRPr="00390F3F" w:rsidRDefault="00804674" w:rsidP="00804674">
      <w:pPr>
        <w:rPr>
          <w:i/>
        </w:rPr>
      </w:pPr>
    </w:p>
    <w:p w:rsidR="00804674" w:rsidRPr="00390F3F" w:rsidRDefault="00804674" w:rsidP="00804674">
      <w:pPr>
        <w:rPr>
          <w:i/>
        </w:rPr>
      </w:pPr>
    </w:p>
    <w:p w:rsidR="00804674" w:rsidRPr="00390F3F" w:rsidRDefault="001B7B49" w:rsidP="00804674">
      <w:r w:rsidRPr="00390F3F">
        <w:t>La</w:t>
      </w:r>
      <w:r w:rsidR="00804674" w:rsidRPr="00390F3F">
        <w:t xml:space="preserve"> </w:t>
      </w:r>
      <w:r w:rsidR="00804674" w:rsidRPr="00354B52">
        <w:rPr>
          <w:i/>
          <w:iCs/>
        </w:rPr>
        <w:t>European University Association</w:t>
      </w:r>
      <w:r w:rsidR="00804674" w:rsidRPr="00390F3F">
        <w:t xml:space="preserve"> (EUA) </w:t>
      </w:r>
      <w:r w:rsidRPr="00390F3F">
        <w:t xml:space="preserve">es una organización que representa a universidades de </w:t>
      </w:r>
      <w:r w:rsidR="00804674" w:rsidRPr="00390F3F">
        <w:t xml:space="preserve">47 </w:t>
      </w:r>
      <w:r w:rsidRPr="00390F3F">
        <w:t>países europeos.</w:t>
      </w:r>
      <w:r w:rsidR="00804674" w:rsidRPr="00390F3F">
        <w:t xml:space="preserve">  </w:t>
      </w:r>
      <w:r w:rsidR="00F43515" w:rsidRPr="00390F3F">
        <w:t>Es una de las instituciones más integradoras del sector universitario de Europa</w:t>
      </w:r>
      <w:r w:rsidR="00804674" w:rsidRPr="00390F3F">
        <w:t xml:space="preserve">.  </w:t>
      </w:r>
      <w:r w:rsidR="00F43515" w:rsidRPr="00390F3F">
        <w:t xml:space="preserve">Entre muchas otras actividades, ha sido miembro </w:t>
      </w:r>
      <w:r w:rsidR="00F3543A" w:rsidRPr="00390F3F">
        <w:t xml:space="preserve">durante muchos años </w:t>
      </w:r>
      <w:r w:rsidR="00F43515" w:rsidRPr="00390F3F">
        <w:t>d</w:t>
      </w:r>
      <w:r w:rsidR="00F3543A" w:rsidRPr="00390F3F">
        <w:t>e la P</w:t>
      </w:r>
      <w:r w:rsidR="00F43515" w:rsidRPr="00390F3F">
        <w:t xml:space="preserve">lataforma de la Comisión Europea de partes interesadas en el </w:t>
      </w:r>
      <w:r w:rsidR="00F43515" w:rsidRPr="00390F3F">
        <w:rPr>
          <w:bCs/>
        </w:rPr>
        <w:t>Espacio Europeo de Investigación</w:t>
      </w:r>
      <w:r w:rsidR="00804674" w:rsidRPr="00390F3F">
        <w:t xml:space="preserve">.  </w:t>
      </w:r>
      <w:r w:rsidR="00F3543A" w:rsidRPr="00390F3F">
        <w:t>Su visión de futuro de las universidades europeas es que sean instituciones académicas con perfiles muy diferenciados, que ofrezcan una gran variedad de titulaciones y que faciliten la movilidad del personal y los alumnos.</w:t>
      </w:r>
      <w:r w:rsidR="00804674" w:rsidRPr="00390F3F">
        <w:t xml:space="preserve"> </w:t>
      </w:r>
      <w:r w:rsidR="00F3543A" w:rsidRPr="00390F3F">
        <w:t xml:space="preserve">El objetivo de la </w:t>
      </w:r>
      <w:r w:rsidR="00804674" w:rsidRPr="00390F3F">
        <w:t xml:space="preserve">EUA </w:t>
      </w:r>
      <w:r w:rsidR="00F3543A" w:rsidRPr="00390F3F">
        <w:t>y sus miembros es respaldar el desarrollo continuo de la cultura, la sociedad, la tecnología y la economía de Europa.  A tal efecto, la organización apoya a las universidades</w:t>
      </w:r>
      <w:r w:rsidR="00061248" w:rsidRPr="00390F3F">
        <w:t>,</w:t>
      </w:r>
      <w:r w:rsidR="00F3543A" w:rsidRPr="00390F3F">
        <w:t xml:space="preserve"> </w:t>
      </w:r>
      <w:r w:rsidR="00E25D61" w:rsidRPr="00390F3F">
        <w:t>formulando y defendiendo</w:t>
      </w:r>
      <w:r w:rsidR="00F3543A" w:rsidRPr="00390F3F">
        <w:t xml:space="preserve"> políticas que fortalezcan la función de estas en el desarrollo de la sociedad </w:t>
      </w:r>
      <w:r w:rsidR="00E25D61" w:rsidRPr="00390F3F">
        <w:t xml:space="preserve">europea </w:t>
      </w:r>
      <w:r w:rsidR="00F3543A" w:rsidRPr="00390F3F">
        <w:t>del conocimiento</w:t>
      </w:r>
      <w:r w:rsidR="00804674" w:rsidRPr="00390F3F">
        <w:t xml:space="preserve">, </w:t>
      </w:r>
      <w:r w:rsidR="00E25D61" w:rsidRPr="00390F3F">
        <w:t xml:space="preserve">aumentando la visibilidad de las universidades europeas a escala mundial e influyendo en los principales encargados de adoptar decisiones </w:t>
      </w:r>
      <w:r w:rsidR="00864C6A" w:rsidRPr="00390F3F">
        <w:t>a nivel internacional, europeo, nacional y regional.</w:t>
      </w:r>
    </w:p>
    <w:p w:rsidR="00804674" w:rsidRPr="00390F3F" w:rsidRDefault="00804674" w:rsidP="00804674">
      <w:pPr>
        <w:autoSpaceDE w:val="0"/>
        <w:autoSpaceDN w:val="0"/>
        <w:adjustRightInd w:val="0"/>
        <w:rPr>
          <w:rFonts w:eastAsiaTheme="minorEastAsia"/>
          <w:szCs w:val="22"/>
          <w:lang w:eastAsia="en-US"/>
        </w:rPr>
      </w:pPr>
    </w:p>
    <w:p w:rsidR="00804674" w:rsidRPr="00390F3F" w:rsidRDefault="00804674" w:rsidP="00804674"/>
    <w:p w:rsidR="00804674" w:rsidRPr="00390F3F" w:rsidRDefault="00804674" w:rsidP="00804674"/>
    <w:p w:rsidR="00804674" w:rsidRPr="00390F3F" w:rsidRDefault="00D901D6" w:rsidP="00804674">
      <w:pPr>
        <w:rPr>
          <w:i/>
        </w:rPr>
      </w:pPr>
      <w:r w:rsidRPr="00390F3F">
        <w:rPr>
          <w:i/>
        </w:rPr>
        <w:t>Información de contacto</w:t>
      </w:r>
      <w:r w:rsidR="00804674" w:rsidRPr="00390F3F">
        <w:rPr>
          <w:i/>
        </w:rPr>
        <w:t>:</w:t>
      </w:r>
    </w:p>
    <w:p w:rsidR="00804674" w:rsidRPr="00390F3F" w:rsidRDefault="00804674" w:rsidP="00804674">
      <w:pPr>
        <w:rPr>
          <w:i/>
        </w:rPr>
      </w:pPr>
    </w:p>
    <w:p w:rsidR="00804674" w:rsidRPr="00390F3F" w:rsidRDefault="000E2A15" w:rsidP="00804674">
      <w:r w:rsidRPr="00390F3F">
        <w:t>Lidia Borrell-Damiá</w:t>
      </w:r>
      <w:r w:rsidR="00804674" w:rsidRPr="00390F3F">
        <w:t>n</w:t>
      </w:r>
    </w:p>
    <w:p w:rsidR="00804674" w:rsidRPr="00390F3F" w:rsidRDefault="00804674" w:rsidP="00804674">
      <w:r w:rsidRPr="00390F3F">
        <w:t>Dire</w:t>
      </w:r>
      <w:r w:rsidR="00864C6A" w:rsidRPr="00390F3F">
        <w:t>ctor</w:t>
      </w:r>
      <w:r w:rsidR="000E2A15" w:rsidRPr="00390F3F">
        <w:t>a de Investigación e Innovación</w:t>
      </w:r>
    </w:p>
    <w:p w:rsidR="00804674" w:rsidRPr="00390F3F" w:rsidRDefault="00804674" w:rsidP="00804674">
      <w:r w:rsidRPr="00390F3F">
        <w:t>Avenue de l’Yser 24</w:t>
      </w:r>
    </w:p>
    <w:p w:rsidR="00804674" w:rsidRPr="00390F3F" w:rsidRDefault="00804674" w:rsidP="00804674">
      <w:r w:rsidRPr="00390F3F">
        <w:t>1040 Brusel</w:t>
      </w:r>
      <w:r w:rsidR="00864C6A" w:rsidRPr="00390F3F">
        <w:t>a</w:t>
      </w:r>
      <w:r w:rsidRPr="00390F3F">
        <w:t>s</w:t>
      </w:r>
    </w:p>
    <w:p w:rsidR="00804674" w:rsidRPr="00390F3F" w:rsidRDefault="00804674" w:rsidP="00804674">
      <w:r w:rsidRPr="00390F3F">
        <w:t>B</w:t>
      </w:r>
      <w:r w:rsidR="00864C6A" w:rsidRPr="00390F3F">
        <w:t>élgica</w:t>
      </w:r>
    </w:p>
    <w:p w:rsidR="00804674" w:rsidRPr="00390F3F" w:rsidRDefault="00505E1C" w:rsidP="00804674">
      <w:r w:rsidRPr="00390F3F">
        <w:t>Teléfono</w:t>
      </w:r>
      <w:r w:rsidR="00804674" w:rsidRPr="00390F3F">
        <w:t xml:space="preserve">: </w:t>
      </w:r>
      <w:r w:rsidR="003F3438" w:rsidRPr="00390F3F">
        <w:t xml:space="preserve"> </w:t>
      </w:r>
      <w:r w:rsidR="00390F3F" w:rsidRPr="00390F3F">
        <w:t>+</w:t>
      </w:r>
      <w:r w:rsidR="008C472C" w:rsidRPr="00390F3F">
        <w:t>32 2 230 55 44</w:t>
      </w:r>
    </w:p>
    <w:p w:rsidR="00804674" w:rsidRPr="00390F3F" w:rsidRDefault="00804674" w:rsidP="00804674">
      <w:r w:rsidRPr="00390F3F">
        <w:t xml:space="preserve">Fax: </w:t>
      </w:r>
      <w:r w:rsidR="003F3438" w:rsidRPr="00390F3F">
        <w:t xml:space="preserve"> </w:t>
      </w:r>
      <w:r w:rsidRPr="00390F3F">
        <w:t>+32 2 230 57 51</w:t>
      </w:r>
    </w:p>
    <w:p w:rsidR="00804674" w:rsidRPr="00390F3F" w:rsidRDefault="00505E1C" w:rsidP="00804674">
      <w:r w:rsidRPr="00390F3F">
        <w:t>Correo-e</w:t>
      </w:r>
      <w:r w:rsidR="00804674" w:rsidRPr="00390F3F">
        <w:t xml:space="preserve">: </w:t>
      </w:r>
      <w:r w:rsidR="003F3438" w:rsidRPr="00390F3F">
        <w:t xml:space="preserve"> </w:t>
      </w:r>
      <w:hyperlink r:id="rId16" w:history="1">
        <w:r w:rsidR="00804674" w:rsidRPr="00390F3F">
          <w:rPr>
            <w:rStyle w:val="Hyperlink"/>
          </w:rPr>
          <w:t>minna.peltola@eua.be</w:t>
        </w:r>
      </w:hyperlink>
    </w:p>
    <w:p w:rsidR="00804674" w:rsidRPr="00390F3F" w:rsidRDefault="00D901D6" w:rsidP="00804674">
      <w:r w:rsidRPr="00390F3F">
        <w:t>Sitio web</w:t>
      </w:r>
      <w:r w:rsidR="00804674" w:rsidRPr="00390F3F">
        <w:t xml:space="preserve">: </w:t>
      </w:r>
      <w:r w:rsidR="003F3438" w:rsidRPr="00390F3F">
        <w:t xml:space="preserve"> </w:t>
      </w:r>
      <w:hyperlink r:id="rId17" w:history="1">
        <w:r w:rsidR="00804674" w:rsidRPr="00390F3F">
          <w:rPr>
            <w:rStyle w:val="Hyperlink"/>
          </w:rPr>
          <w:t>www.eua.be</w:t>
        </w:r>
      </w:hyperlink>
    </w:p>
    <w:p w:rsidR="00804674" w:rsidRPr="00390F3F" w:rsidRDefault="00804674" w:rsidP="00804674"/>
    <w:p w:rsidR="00804674" w:rsidRPr="00390F3F" w:rsidRDefault="00804674" w:rsidP="00804674"/>
    <w:p w:rsidR="00804674" w:rsidRPr="00390F3F" w:rsidRDefault="00804674" w:rsidP="00804674"/>
    <w:p w:rsidR="00804674" w:rsidRPr="00390F3F" w:rsidRDefault="00804674" w:rsidP="00804674">
      <w:pPr>
        <w:pStyle w:val="Endofdocument-Annex"/>
        <w:rPr>
          <w:lang w:val="es-ES"/>
        </w:rPr>
      </w:pPr>
      <w:r w:rsidRPr="00390F3F">
        <w:rPr>
          <w:lang w:val="es-ES"/>
        </w:rPr>
        <w:t>[</w:t>
      </w:r>
      <w:r w:rsidR="000E2A15" w:rsidRPr="00390F3F">
        <w:rPr>
          <w:lang w:val="es-ES"/>
        </w:rPr>
        <w:t>Sigue el A</w:t>
      </w:r>
      <w:r w:rsidRPr="00390F3F">
        <w:rPr>
          <w:lang w:val="es-ES"/>
        </w:rPr>
        <w:t>nex</w:t>
      </w:r>
      <w:r w:rsidR="000E2A15" w:rsidRPr="00390F3F">
        <w:rPr>
          <w:lang w:val="es-ES"/>
        </w:rPr>
        <w:t>o IV</w:t>
      </w:r>
      <w:r w:rsidRPr="00390F3F">
        <w:rPr>
          <w:lang w:val="es-ES"/>
        </w:rPr>
        <w:t>]</w:t>
      </w:r>
    </w:p>
    <w:p w:rsidR="00804674" w:rsidRPr="00390F3F" w:rsidRDefault="00804674" w:rsidP="00804674"/>
    <w:p w:rsidR="00CD647A" w:rsidRPr="00390F3F" w:rsidRDefault="00CD647A" w:rsidP="001F1025">
      <w:pPr>
        <w:sectPr w:rsidR="00CD647A" w:rsidRPr="00390F3F" w:rsidSect="00277BB9">
          <w:headerReference w:type="first" r:id="rId18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D647A" w:rsidRPr="00390F3F" w:rsidRDefault="00CD647A" w:rsidP="00CD647A">
      <w:pPr>
        <w:rPr>
          <w:i/>
        </w:rPr>
      </w:pPr>
      <w:r w:rsidRPr="00390F3F">
        <w:rPr>
          <w:i/>
        </w:rPr>
        <w:t>Federación de Músicos Asociados (FEMA)</w:t>
      </w:r>
    </w:p>
    <w:p w:rsidR="00CD647A" w:rsidRPr="00390F3F" w:rsidRDefault="00CD647A" w:rsidP="00CD647A"/>
    <w:p w:rsidR="00CD647A" w:rsidRPr="00390F3F" w:rsidRDefault="00CD647A" w:rsidP="00CD647A"/>
    <w:p w:rsidR="00CD647A" w:rsidRPr="00390F3F" w:rsidRDefault="002D4D02" w:rsidP="00CD647A">
      <w:pPr>
        <w:autoSpaceDE w:val="0"/>
        <w:autoSpaceDN w:val="0"/>
        <w:adjustRightInd w:val="0"/>
        <w:rPr>
          <w:rFonts w:ascii="Symbol" w:eastAsiaTheme="minorEastAsia" w:hAnsi="Symbol" w:cs="Symbol"/>
          <w:szCs w:val="22"/>
          <w:lang w:eastAsia="en-US"/>
        </w:rPr>
      </w:pPr>
      <w:r w:rsidRPr="00390F3F">
        <w:t>La</w:t>
      </w:r>
      <w:r w:rsidR="00CD647A" w:rsidRPr="00390F3F">
        <w:t xml:space="preserve"> Federación de Músicos Asociados (FEMA) </w:t>
      </w:r>
      <w:r w:rsidR="00FA44AF" w:rsidRPr="00390F3F">
        <w:t>es una asociación profesional con sede en España</w:t>
      </w:r>
      <w:r w:rsidR="00CD647A" w:rsidRPr="00390F3F">
        <w:t xml:space="preserve"> </w:t>
      </w:r>
      <w:r w:rsidR="00FA44AF" w:rsidRPr="00390F3F">
        <w:t>e integrada por músicos y autores.  La Federación se fundó en 2007</w:t>
      </w:r>
      <w:r w:rsidR="00CD647A" w:rsidRPr="00390F3F">
        <w:t xml:space="preserve"> </w:t>
      </w:r>
      <w:r w:rsidR="00FA44AF" w:rsidRPr="00390F3F">
        <w:t xml:space="preserve">y en la actualidad cuenta con </w:t>
      </w:r>
      <w:r w:rsidR="00CD647A" w:rsidRPr="00390F3F">
        <w:t xml:space="preserve">7000 </w:t>
      </w:r>
      <w:r w:rsidR="00FA44AF" w:rsidRPr="00390F3F">
        <w:t>miembros aproximadamente</w:t>
      </w:r>
      <w:r w:rsidR="00CD647A" w:rsidRPr="00390F3F">
        <w:t xml:space="preserve">. </w:t>
      </w:r>
      <w:r w:rsidR="00FA44AF" w:rsidRPr="00390F3F">
        <w:t xml:space="preserve"> Entre los objetivos principales de la FEMA se encuentra el de</w:t>
      </w:r>
      <w:r w:rsidR="00CD647A" w:rsidRPr="00390F3F">
        <w:t xml:space="preserve"> </w:t>
      </w:r>
      <w:r w:rsidRPr="00390F3F">
        <w:t>defender y promover los intereses sociales, culturales y profesionales de todos los afiliados</w:t>
      </w:r>
      <w:r w:rsidR="00CD647A" w:rsidRPr="00390F3F">
        <w:t xml:space="preserve"> </w:t>
      </w:r>
      <w:r w:rsidR="00FA44AF" w:rsidRPr="00390F3F">
        <w:t>por medio de instrumentos jurídicos internacionales y nacionales</w:t>
      </w:r>
      <w:r w:rsidR="00CD647A" w:rsidRPr="00390F3F">
        <w:t xml:space="preserve">.  </w:t>
      </w:r>
      <w:r w:rsidR="00FA44AF" w:rsidRPr="00390F3F">
        <w:t>Otro de sus fines es</w:t>
      </w:r>
      <w:r w:rsidR="00CD647A" w:rsidRPr="00390F3F">
        <w:t xml:space="preserve"> </w:t>
      </w:r>
      <w:r w:rsidRPr="00390F3F">
        <w:t>establecer y sostener contactos permanentes con los organismos, públicos y privados, que gestionan la cultura</w:t>
      </w:r>
      <w:r w:rsidR="00FA44AF" w:rsidRPr="00390F3F">
        <w:t>,</w:t>
      </w:r>
      <w:r w:rsidR="00CD647A" w:rsidRPr="00390F3F">
        <w:t xml:space="preserve"> </w:t>
      </w:r>
      <w:r w:rsidR="00FA44AF" w:rsidRPr="00390F3F">
        <w:t>a f</w:t>
      </w:r>
      <w:r w:rsidR="00CD647A" w:rsidRPr="00390F3F">
        <w:t xml:space="preserve">in </w:t>
      </w:r>
      <w:r w:rsidR="00FA44AF" w:rsidRPr="00390F3F">
        <w:t>de cooperar con ellos en beneficio de la música y los músicos</w:t>
      </w:r>
      <w:r w:rsidR="00CD647A" w:rsidRPr="00390F3F">
        <w:t xml:space="preserve">.  </w:t>
      </w:r>
      <w:r w:rsidR="00FA44AF" w:rsidRPr="00390F3F">
        <w:t>Esto incluye colaborar con las sociedades de gestión colectiva al objeto de</w:t>
      </w:r>
      <w:r w:rsidR="00CD647A" w:rsidRPr="00390F3F">
        <w:t xml:space="preserve"> </w:t>
      </w:r>
      <w:r w:rsidR="00FA44AF" w:rsidRPr="00390F3F">
        <w:t>defender el legítimo derecho de los autores e intérpretes de música</w:t>
      </w:r>
      <w:r w:rsidR="00CD647A" w:rsidRPr="00390F3F">
        <w:t xml:space="preserve">.  </w:t>
      </w:r>
      <w:r w:rsidR="00FA44AF" w:rsidRPr="00390F3F">
        <w:t xml:space="preserve">La </w:t>
      </w:r>
      <w:r w:rsidR="00CD647A" w:rsidRPr="00390F3F">
        <w:t xml:space="preserve">FEMA </w:t>
      </w:r>
      <w:r w:rsidR="00FA44AF" w:rsidRPr="00390F3F">
        <w:t xml:space="preserve">presta mucha atención a </w:t>
      </w:r>
      <w:r w:rsidR="005F4AF7" w:rsidRPr="00390F3F">
        <w:t xml:space="preserve">todo lo relacionado con </w:t>
      </w:r>
      <w:r w:rsidR="00FA44AF" w:rsidRPr="00390F3F">
        <w:t>el derecho de autor y la propiedad intelectual</w:t>
      </w:r>
      <w:r w:rsidR="00CD647A" w:rsidRPr="00390F3F">
        <w:t xml:space="preserve">.  </w:t>
      </w:r>
      <w:r w:rsidR="005F4AF7" w:rsidRPr="00390F3F">
        <w:t xml:space="preserve">Una de las actividades principales de la Federación en la actualidad es la elaboración de un proyecto de ley </w:t>
      </w:r>
      <w:r w:rsidR="005F4AF7" w:rsidRPr="00390F3F">
        <w:rPr>
          <w:rFonts w:eastAsiaTheme="minorEastAsia"/>
          <w:szCs w:val="22"/>
          <w:lang w:eastAsia="en-US"/>
        </w:rPr>
        <w:t>relativo a la situación de la música y los músicos</w:t>
      </w:r>
      <w:r w:rsidR="00CD647A" w:rsidRPr="00390F3F">
        <w:rPr>
          <w:rFonts w:eastAsiaTheme="minorEastAsia"/>
          <w:szCs w:val="22"/>
          <w:lang w:eastAsia="en-US"/>
        </w:rPr>
        <w:t xml:space="preserve"> </w:t>
      </w:r>
      <w:r w:rsidR="005F4AF7" w:rsidRPr="00390F3F">
        <w:rPr>
          <w:rFonts w:eastAsiaTheme="minorEastAsia"/>
          <w:szCs w:val="22"/>
          <w:lang w:eastAsia="en-US"/>
        </w:rPr>
        <w:t>para remitirlo al Ministerio de Cultura de España.</w:t>
      </w:r>
    </w:p>
    <w:p w:rsidR="00CD647A" w:rsidRPr="00390F3F" w:rsidRDefault="00CD647A" w:rsidP="00CD647A">
      <w:pPr>
        <w:autoSpaceDE w:val="0"/>
        <w:autoSpaceDN w:val="0"/>
        <w:adjustRightInd w:val="0"/>
        <w:rPr>
          <w:rFonts w:eastAsiaTheme="minorEastAsia"/>
          <w:szCs w:val="22"/>
          <w:lang w:eastAsia="en-US"/>
        </w:rPr>
      </w:pPr>
    </w:p>
    <w:p w:rsidR="00CD647A" w:rsidRPr="00390F3F" w:rsidRDefault="00CD647A" w:rsidP="00CD647A"/>
    <w:p w:rsidR="00CD647A" w:rsidRPr="00390F3F" w:rsidRDefault="00CD647A" w:rsidP="00CD647A"/>
    <w:p w:rsidR="00CD647A" w:rsidRPr="00390F3F" w:rsidRDefault="00D901D6" w:rsidP="00CD647A">
      <w:pPr>
        <w:rPr>
          <w:i/>
        </w:rPr>
      </w:pPr>
      <w:r w:rsidRPr="00390F3F">
        <w:rPr>
          <w:i/>
        </w:rPr>
        <w:t>Información de contacto</w:t>
      </w:r>
      <w:r w:rsidR="00CD647A" w:rsidRPr="00390F3F">
        <w:rPr>
          <w:i/>
        </w:rPr>
        <w:t>:</w:t>
      </w:r>
    </w:p>
    <w:p w:rsidR="00CD647A" w:rsidRPr="00390F3F" w:rsidRDefault="00CD647A" w:rsidP="00CD647A">
      <w:pPr>
        <w:rPr>
          <w:i/>
        </w:rPr>
      </w:pPr>
    </w:p>
    <w:p w:rsidR="00CD647A" w:rsidRPr="00390F3F" w:rsidRDefault="008C3CAB" w:rsidP="00CD647A">
      <w:r w:rsidRPr="00390F3F">
        <w:t>Iv</w:t>
      </w:r>
      <w:r w:rsidR="00B74128" w:rsidRPr="00390F3F">
        <w:t>á</w:t>
      </w:r>
      <w:r w:rsidRPr="00390F3F">
        <w:t>n G</w:t>
      </w:r>
      <w:r w:rsidR="00CD647A" w:rsidRPr="00390F3F">
        <w:t>a</w:t>
      </w:r>
      <w:r w:rsidRPr="00390F3F">
        <w:t>rcía-Pelayo</w:t>
      </w:r>
    </w:p>
    <w:p w:rsidR="00CD647A" w:rsidRPr="00390F3F" w:rsidRDefault="008C3CAB" w:rsidP="00CD647A">
      <w:r w:rsidRPr="00390F3F">
        <w:t>Respons</w:t>
      </w:r>
      <w:r w:rsidR="00B74128" w:rsidRPr="00390F3F">
        <w:t>a</w:t>
      </w:r>
      <w:r w:rsidRPr="00390F3F">
        <w:t>ble de Asuntos Internacionales</w:t>
      </w:r>
    </w:p>
    <w:p w:rsidR="00CD647A" w:rsidRPr="00390F3F" w:rsidRDefault="00CD647A" w:rsidP="00CD647A">
      <w:r w:rsidRPr="00390F3F">
        <w:t>Calle Abdón Terradas, 4, 2º Planta</w:t>
      </w:r>
    </w:p>
    <w:p w:rsidR="00CD647A" w:rsidRPr="00390F3F" w:rsidRDefault="00B74128" w:rsidP="00CD647A">
      <w:r w:rsidRPr="00390F3F">
        <w:t>28015</w:t>
      </w:r>
      <w:r w:rsidR="00CD647A" w:rsidRPr="00390F3F">
        <w:t xml:space="preserve"> Madrid</w:t>
      </w:r>
    </w:p>
    <w:p w:rsidR="00CD647A" w:rsidRPr="00390F3F" w:rsidRDefault="00B74128" w:rsidP="00CD647A">
      <w:r w:rsidRPr="00390F3F">
        <w:t>España</w:t>
      </w:r>
    </w:p>
    <w:p w:rsidR="00CD647A" w:rsidRPr="00390F3F" w:rsidRDefault="00505E1C" w:rsidP="00CD647A">
      <w:r w:rsidRPr="00390F3F">
        <w:t>Teléfono</w:t>
      </w:r>
      <w:r w:rsidR="00CD647A" w:rsidRPr="00390F3F">
        <w:t xml:space="preserve">: </w:t>
      </w:r>
      <w:r w:rsidR="00B74128" w:rsidRPr="00390F3F">
        <w:t xml:space="preserve"> </w:t>
      </w:r>
      <w:r w:rsidR="00390F3F" w:rsidRPr="00390F3F">
        <w:t>+</w:t>
      </w:r>
      <w:r w:rsidR="00CD647A" w:rsidRPr="00390F3F">
        <w:t>34 699 42 59 39</w:t>
      </w:r>
    </w:p>
    <w:p w:rsidR="00CD647A" w:rsidRPr="00390F3F" w:rsidRDefault="00505E1C" w:rsidP="00CD647A">
      <w:r w:rsidRPr="00390F3F">
        <w:t>Correo-e</w:t>
      </w:r>
      <w:r w:rsidR="00CD647A" w:rsidRPr="00390F3F">
        <w:t>:</w:t>
      </w:r>
      <w:r w:rsidR="00B74128" w:rsidRPr="00390F3F">
        <w:t xml:space="preserve"> </w:t>
      </w:r>
      <w:r w:rsidR="00CD647A" w:rsidRPr="00390F3F">
        <w:t xml:space="preserve"> </w:t>
      </w:r>
      <w:hyperlink r:id="rId19" w:history="1">
        <w:r w:rsidR="00CD647A" w:rsidRPr="00390F3F">
          <w:rPr>
            <w:rStyle w:val="Hyperlink"/>
          </w:rPr>
          <w:t>internacional@femamusicos.com</w:t>
        </w:r>
      </w:hyperlink>
    </w:p>
    <w:p w:rsidR="00CD647A" w:rsidRPr="00390F3F" w:rsidRDefault="00D901D6" w:rsidP="00CD647A">
      <w:r w:rsidRPr="00390F3F">
        <w:t>Sitio web</w:t>
      </w:r>
      <w:r w:rsidR="00CD647A" w:rsidRPr="00390F3F">
        <w:t xml:space="preserve">: </w:t>
      </w:r>
      <w:r w:rsidR="00B74128" w:rsidRPr="00390F3F">
        <w:t xml:space="preserve"> </w:t>
      </w:r>
      <w:hyperlink r:id="rId20" w:history="1">
        <w:r w:rsidR="00CD647A" w:rsidRPr="00390F3F">
          <w:rPr>
            <w:rStyle w:val="Hyperlink"/>
          </w:rPr>
          <w:t>http://www.femamusicos.com</w:t>
        </w:r>
      </w:hyperlink>
    </w:p>
    <w:p w:rsidR="00CD647A" w:rsidRPr="00390F3F" w:rsidRDefault="00CD647A" w:rsidP="00CD647A"/>
    <w:p w:rsidR="00CD647A" w:rsidRPr="00390F3F" w:rsidRDefault="00CD647A" w:rsidP="00CD647A"/>
    <w:p w:rsidR="00CD647A" w:rsidRPr="00390F3F" w:rsidRDefault="00CD647A" w:rsidP="00CD647A"/>
    <w:p w:rsidR="00CD647A" w:rsidRPr="00390F3F" w:rsidRDefault="00CD647A" w:rsidP="00CD647A">
      <w:pPr>
        <w:pStyle w:val="Endofdocument-Annex"/>
        <w:rPr>
          <w:lang w:val="es-ES" w:eastAsia="en-US"/>
        </w:rPr>
      </w:pPr>
      <w:r w:rsidRPr="00390F3F">
        <w:rPr>
          <w:lang w:val="es-ES"/>
        </w:rPr>
        <w:t>[</w:t>
      </w:r>
      <w:r w:rsidR="00877B32" w:rsidRPr="00390F3F">
        <w:rPr>
          <w:lang w:val="es-ES"/>
        </w:rPr>
        <w:t>Sigue el A</w:t>
      </w:r>
      <w:r w:rsidRPr="00390F3F">
        <w:rPr>
          <w:lang w:val="es-ES"/>
        </w:rPr>
        <w:t>nex</w:t>
      </w:r>
      <w:r w:rsidR="00877B32" w:rsidRPr="00390F3F">
        <w:rPr>
          <w:lang w:val="es-ES"/>
        </w:rPr>
        <w:t>o</w:t>
      </w:r>
      <w:r w:rsidRPr="00390F3F">
        <w:rPr>
          <w:lang w:val="es-ES"/>
        </w:rPr>
        <w:t xml:space="preserve"> </w:t>
      </w:r>
      <w:r w:rsidR="00877B32" w:rsidRPr="00390F3F">
        <w:rPr>
          <w:lang w:val="es-ES"/>
        </w:rPr>
        <w:t>V</w:t>
      </w:r>
      <w:r w:rsidRPr="00390F3F">
        <w:rPr>
          <w:lang w:val="es-ES"/>
        </w:rPr>
        <w:t>]</w:t>
      </w:r>
    </w:p>
    <w:p w:rsidR="004F449A" w:rsidRDefault="004F449A" w:rsidP="001F1025"/>
    <w:p w:rsidR="00390F3F" w:rsidRPr="00390F3F" w:rsidRDefault="00390F3F" w:rsidP="001F1025">
      <w:pPr>
        <w:sectPr w:rsidR="00390F3F" w:rsidRPr="00390F3F" w:rsidSect="00277BB9">
          <w:headerReference w:type="first" r:id="rId21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F449A" w:rsidRPr="00390F3F" w:rsidRDefault="002F763D" w:rsidP="004F449A">
      <w:pPr>
        <w:pStyle w:val="Heading4"/>
        <w:spacing w:before="0" w:after="0"/>
      </w:pPr>
      <w:r w:rsidRPr="00390F3F">
        <w:t>Biblioteca Nacional de Suecia</w:t>
      </w:r>
    </w:p>
    <w:p w:rsidR="004F449A" w:rsidRPr="00390F3F" w:rsidRDefault="004F449A" w:rsidP="004F449A"/>
    <w:p w:rsidR="004F449A" w:rsidRPr="00390F3F" w:rsidRDefault="004F449A" w:rsidP="004F449A"/>
    <w:p w:rsidR="004F449A" w:rsidRPr="00390F3F" w:rsidRDefault="002F763D" w:rsidP="004F449A">
      <w:pPr>
        <w:widowControl w:val="0"/>
        <w:autoSpaceDE w:val="0"/>
        <w:autoSpaceDN w:val="0"/>
        <w:adjustRightInd w:val="0"/>
        <w:rPr>
          <w:rFonts w:eastAsiaTheme="minorEastAsia"/>
          <w:color w:val="1E1E1E"/>
          <w:szCs w:val="22"/>
          <w:lang w:eastAsia="en-US"/>
        </w:rPr>
      </w:pPr>
      <w:r w:rsidRPr="00390F3F">
        <w:rPr>
          <w:rFonts w:eastAsiaTheme="minorEastAsia"/>
          <w:szCs w:val="22"/>
          <w:lang w:eastAsia="ja-JP"/>
        </w:rPr>
        <w:t>La Biblioteca Nacional de Suecia e</w:t>
      </w:r>
      <w:r w:rsidR="004F449A" w:rsidRPr="00390F3F">
        <w:rPr>
          <w:rFonts w:eastAsiaTheme="minorEastAsia"/>
          <w:szCs w:val="22"/>
          <w:lang w:eastAsia="ja-JP"/>
        </w:rPr>
        <w:t xml:space="preserve">s </w:t>
      </w:r>
      <w:r w:rsidR="000D5CDB" w:rsidRPr="00390F3F">
        <w:rPr>
          <w:rFonts w:eastAsiaTheme="minorEastAsia"/>
          <w:szCs w:val="22"/>
          <w:lang w:eastAsia="ja-JP"/>
        </w:rPr>
        <w:t>la biblioteca de depósito legal del país</w:t>
      </w:r>
      <w:r w:rsidR="004F449A" w:rsidRPr="00390F3F">
        <w:rPr>
          <w:rFonts w:eastAsiaTheme="minorEastAsia"/>
          <w:szCs w:val="22"/>
          <w:lang w:eastAsia="ja-JP"/>
        </w:rPr>
        <w:t xml:space="preserve">. </w:t>
      </w:r>
      <w:r w:rsidR="000D5CDB" w:rsidRPr="00390F3F">
        <w:rPr>
          <w:rFonts w:eastAsiaTheme="minorEastAsia"/>
          <w:szCs w:val="22"/>
          <w:lang w:eastAsia="ja-JP"/>
        </w:rPr>
        <w:t xml:space="preserve"> Tiene recopilado prácticamente todo el material que se ha imprimido en Su</w:t>
      </w:r>
      <w:r w:rsidR="00390F3F">
        <w:rPr>
          <w:rFonts w:eastAsiaTheme="minorEastAsia"/>
          <w:szCs w:val="22"/>
          <w:lang w:eastAsia="ja-JP"/>
        </w:rPr>
        <w:t>ecia o en el idioma sueco desde </w:t>
      </w:r>
      <w:r w:rsidR="004F449A" w:rsidRPr="00390F3F">
        <w:rPr>
          <w:rFonts w:eastAsiaTheme="minorEastAsia"/>
          <w:color w:val="1E1E1E"/>
          <w:szCs w:val="22"/>
          <w:lang w:eastAsia="en-US"/>
        </w:rPr>
        <w:t xml:space="preserve">1661.  </w:t>
      </w:r>
      <w:r w:rsidR="002565E8">
        <w:rPr>
          <w:rFonts w:eastAsiaTheme="minorEastAsia"/>
          <w:color w:val="1E1E1E"/>
          <w:szCs w:val="22"/>
          <w:lang w:eastAsia="en-US"/>
        </w:rPr>
        <w:t>La Biblioteca</w:t>
      </w:r>
      <w:r w:rsidR="000D5CDB" w:rsidRPr="00390F3F">
        <w:rPr>
          <w:rFonts w:eastAsiaTheme="minorEastAsia"/>
          <w:color w:val="1E1E1E"/>
          <w:szCs w:val="22"/>
          <w:lang w:eastAsia="en-US"/>
        </w:rPr>
        <w:t xml:space="preserve"> </w:t>
      </w:r>
      <w:r w:rsidR="009976EE" w:rsidRPr="00390F3F">
        <w:rPr>
          <w:rFonts w:eastAsiaTheme="minorEastAsia"/>
          <w:color w:val="1E1E1E"/>
          <w:szCs w:val="22"/>
          <w:lang w:eastAsia="en-US"/>
        </w:rPr>
        <w:t>también</w:t>
      </w:r>
      <w:r w:rsidR="004F449A" w:rsidRPr="00390F3F">
        <w:rPr>
          <w:rFonts w:eastAsiaTheme="minorEastAsia"/>
          <w:color w:val="1E1E1E"/>
          <w:szCs w:val="22"/>
          <w:lang w:eastAsia="en-US"/>
        </w:rPr>
        <w:t xml:space="preserve"> </w:t>
      </w:r>
      <w:r w:rsidR="002565E8">
        <w:rPr>
          <w:rFonts w:eastAsiaTheme="minorEastAsia"/>
          <w:color w:val="1E1E1E"/>
          <w:szCs w:val="22"/>
          <w:lang w:eastAsia="en-US"/>
        </w:rPr>
        <w:t xml:space="preserve">colecciona </w:t>
      </w:r>
      <w:r w:rsidR="000D5CDB" w:rsidRPr="00390F3F">
        <w:rPr>
          <w:rFonts w:eastAsiaTheme="minorEastAsia"/>
          <w:color w:val="1E1E1E"/>
          <w:szCs w:val="22"/>
          <w:lang w:eastAsia="en-US"/>
        </w:rPr>
        <w:t>programas de radio y televisión, películas y vídeos distribuidos en el país, música y juegos de ordenador suecos.</w:t>
      </w:r>
      <w:r w:rsidR="004F449A" w:rsidRPr="00390F3F">
        <w:rPr>
          <w:rFonts w:eastAsiaTheme="minorEastAsia"/>
          <w:color w:val="1E1E1E"/>
          <w:szCs w:val="22"/>
          <w:lang w:eastAsia="en-US"/>
        </w:rPr>
        <w:t xml:space="preserve">  </w:t>
      </w:r>
      <w:r w:rsidR="000D5CDB" w:rsidRPr="00390F3F">
        <w:rPr>
          <w:rFonts w:eastAsiaTheme="minorEastAsia"/>
          <w:color w:val="1E1E1E"/>
          <w:szCs w:val="22"/>
          <w:lang w:eastAsia="en-US"/>
        </w:rPr>
        <w:t>Se puede acceder a sus colecciones visitándola o, en algunos casos, utilizando los servicios en línea.</w:t>
      </w:r>
      <w:r w:rsidR="004F449A" w:rsidRPr="00390F3F">
        <w:rPr>
          <w:rFonts w:eastAsiaTheme="minorEastAsia"/>
          <w:color w:val="1E1E1E"/>
          <w:szCs w:val="22"/>
          <w:lang w:eastAsia="en-US"/>
        </w:rPr>
        <w:t xml:space="preserve">  </w:t>
      </w:r>
      <w:r w:rsidR="009976EE" w:rsidRPr="00390F3F">
        <w:rPr>
          <w:rFonts w:eastAsiaTheme="minorEastAsia"/>
          <w:color w:val="1E1E1E"/>
          <w:szCs w:val="22"/>
          <w:lang w:eastAsia="en-US"/>
        </w:rPr>
        <w:t>Es asimismo una biblioteca de investigación sobre humanidades que adquiere publicaciones académicas en varios idiomas</w:t>
      </w:r>
      <w:r w:rsidR="004F449A" w:rsidRPr="00390F3F">
        <w:rPr>
          <w:rFonts w:eastAsiaTheme="minorEastAsia"/>
          <w:color w:val="1E1E1E"/>
          <w:szCs w:val="22"/>
          <w:lang w:eastAsia="en-US"/>
        </w:rPr>
        <w:t xml:space="preserve">.  </w:t>
      </w:r>
      <w:r w:rsidR="009976EE" w:rsidRPr="00390F3F">
        <w:rPr>
          <w:rFonts w:eastAsiaTheme="minorEastAsia"/>
          <w:color w:val="1E1E1E"/>
          <w:szCs w:val="22"/>
          <w:lang w:eastAsia="en-US"/>
        </w:rPr>
        <w:t>Es la encargada de c</w:t>
      </w:r>
      <w:r w:rsidR="004F449A" w:rsidRPr="00390F3F">
        <w:rPr>
          <w:rFonts w:eastAsiaTheme="minorEastAsia"/>
          <w:color w:val="1E1E1E"/>
          <w:szCs w:val="22"/>
          <w:lang w:eastAsia="en-US"/>
        </w:rPr>
        <w:t>oordina</w:t>
      </w:r>
      <w:r w:rsidR="009976EE" w:rsidRPr="00390F3F">
        <w:rPr>
          <w:rFonts w:eastAsiaTheme="minorEastAsia"/>
          <w:color w:val="1E1E1E"/>
          <w:szCs w:val="22"/>
          <w:lang w:eastAsia="en-US"/>
        </w:rPr>
        <w:t>r los servicios y programas de todas las bibliotecas de Suecia financiadas con fondos públicos y de administrar y desarrollar el sistema nacional de catálogos de las bibliotecas, denominado Libris</w:t>
      </w:r>
      <w:r w:rsidR="004F449A" w:rsidRPr="00390F3F">
        <w:rPr>
          <w:rFonts w:eastAsiaTheme="minorEastAsia"/>
          <w:color w:val="1E1E1E"/>
          <w:szCs w:val="22"/>
          <w:lang w:eastAsia="en-US"/>
        </w:rPr>
        <w:t xml:space="preserve">.  </w:t>
      </w:r>
      <w:r w:rsidRPr="00390F3F">
        <w:rPr>
          <w:rFonts w:eastAsiaTheme="minorEastAsia"/>
          <w:szCs w:val="22"/>
          <w:lang w:eastAsia="ja-JP"/>
        </w:rPr>
        <w:t>En tanto que institución líder en el ámbito del derecho de autor y las colecciones de las bibliotecas, desea participar activamente en los debates sobre el derecho de autor, especialmente en lo que respecta a las cuestiones de derecho de autor que deben afrontar las bibliotecas.</w:t>
      </w:r>
      <w:r w:rsidR="004F449A" w:rsidRPr="00390F3F">
        <w:rPr>
          <w:rFonts w:eastAsiaTheme="minorEastAsia"/>
          <w:szCs w:val="22"/>
          <w:lang w:eastAsia="ja-JP"/>
        </w:rPr>
        <w:t xml:space="preserve">  </w:t>
      </w:r>
      <w:r w:rsidRPr="00390F3F">
        <w:rPr>
          <w:rFonts w:eastAsiaTheme="minorEastAsia"/>
          <w:szCs w:val="22"/>
          <w:lang w:eastAsia="ja-JP"/>
        </w:rPr>
        <w:t>Por conducto de la contribución que brinde al Comité, la Biblioteca pretende cerciorarse de que el enfoque dado a la gestión del derecho de autor sea estratégico y equilibrado, y que se dé plena realización a su mandato</w:t>
      </w:r>
      <w:r w:rsidR="004F449A" w:rsidRPr="00390F3F">
        <w:rPr>
          <w:rFonts w:eastAsiaTheme="minorEastAsia"/>
          <w:szCs w:val="22"/>
          <w:lang w:eastAsia="ja-JP"/>
        </w:rPr>
        <w:t xml:space="preserve">.  </w:t>
      </w:r>
      <w:r w:rsidRPr="00390F3F">
        <w:rPr>
          <w:rFonts w:eastAsiaTheme="minorEastAsia"/>
          <w:szCs w:val="22"/>
          <w:lang w:eastAsia="ja-JP"/>
        </w:rPr>
        <w:t xml:space="preserve">La Biblioteca Nacional de Suecia estima, además, que su participación en los debates </w:t>
      </w:r>
      <w:r w:rsidR="002565E8">
        <w:rPr>
          <w:rFonts w:eastAsiaTheme="minorEastAsia"/>
          <w:szCs w:val="22"/>
          <w:lang w:eastAsia="ja-JP"/>
        </w:rPr>
        <w:t>del Comité le permitirá conocer la manera en que</w:t>
      </w:r>
      <w:r w:rsidRPr="00390F3F">
        <w:rPr>
          <w:rFonts w:eastAsiaTheme="minorEastAsia"/>
          <w:szCs w:val="22"/>
          <w:lang w:eastAsia="ja-JP"/>
        </w:rPr>
        <w:t xml:space="preserve"> otras bibliotecas afrontan determinados desafíos y participan en los debates sobre derecho de autor con sus respectivos gobiernos.</w:t>
      </w:r>
    </w:p>
    <w:p w:rsidR="004F449A" w:rsidRPr="00390F3F" w:rsidRDefault="004F449A" w:rsidP="004F449A">
      <w:pPr>
        <w:rPr>
          <w:rFonts w:eastAsiaTheme="minorEastAsia"/>
          <w:szCs w:val="22"/>
          <w:lang w:eastAsia="ja-JP"/>
        </w:rPr>
      </w:pPr>
    </w:p>
    <w:p w:rsidR="004F449A" w:rsidRPr="00390F3F" w:rsidRDefault="004F449A" w:rsidP="004F449A">
      <w:pPr>
        <w:rPr>
          <w:szCs w:val="22"/>
        </w:rPr>
      </w:pPr>
    </w:p>
    <w:p w:rsidR="004F449A" w:rsidRPr="00390F3F" w:rsidRDefault="004F449A" w:rsidP="004F449A">
      <w:pPr>
        <w:rPr>
          <w:szCs w:val="22"/>
        </w:rPr>
      </w:pPr>
    </w:p>
    <w:p w:rsidR="004F449A" w:rsidRPr="00390F3F" w:rsidRDefault="00D901D6" w:rsidP="004F449A">
      <w:pPr>
        <w:rPr>
          <w:i/>
          <w:szCs w:val="22"/>
        </w:rPr>
      </w:pPr>
      <w:r w:rsidRPr="00390F3F">
        <w:rPr>
          <w:i/>
          <w:szCs w:val="22"/>
        </w:rPr>
        <w:t>Información de contacto</w:t>
      </w:r>
      <w:r w:rsidR="00305A8D" w:rsidRPr="00390F3F">
        <w:rPr>
          <w:i/>
          <w:szCs w:val="22"/>
        </w:rPr>
        <w:t>:</w:t>
      </w:r>
    </w:p>
    <w:p w:rsidR="004F449A" w:rsidRPr="00390F3F" w:rsidRDefault="004F449A" w:rsidP="004F449A">
      <w:pPr>
        <w:rPr>
          <w:i/>
          <w:szCs w:val="22"/>
        </w:rPr>
      </w:pPr>
    </w:p>
    <w:p w:rsidR="004F449A" w:rsidRPr="00390F3F" w:rsidRDefault="004F449A" w:rsidP="004F449A">
      <w:pPr>
        <w:rPr>
          <w:szCs w:val="22"/>
        </w:rPr>
      </w:pPr>
      <w:r w:rsidRPr="00390F3F">
        <w:rPr>
          <w:szCs w:val="22"/>
        </w:rPr>
        <w:t>Jerker Rydén</w:t>
      </w:r>
    </w:p>
    <w:p w:rsidR="004F449A" w:rsidRPr="00390F3F" w:rsidRDefault="00E07428" w:rsidP="004F449A">
      <w:pPr>
        <w:rPr>
          <w:szCs w:val="22"/>
        </w:rPr>
      </w:pPr>
      <w:r w:rsidRPr="00390F3F">
        <w:rPr>
          <w:szCs w:val="22"/>
        </w:rPr>
        <w:t>Asesor Jurídico Principal</w:t>
      </w:r>
    </w:p>
    <w:p w:rsidR="004F449A" w:rsidRPr="00390F3F" w:rsidRDefault="00305A8D" w:rsidP="004F449A">
      <w:pPr>
        <w:widowControl w:val="0"/>
        <w:autoSpaceDE w:val="0"/>
        <w:autoSpaceDN w:val="0"/>
        <w:adjustRightInd w:val="0"/>
        <w:rPr>
          <w:rFonts w:eastAsiaTheme="minorEastAsia"/>
          <w:color w:val="1E1E1E"/>
          <w:szCs w:val="22"/>
          <w:lang w:eastAsia="en-US"/>
        </w:rPr>
      </w:pPr>
      <w:r w:rsidRPr="00390F3F">
        <w:rPr>
          <w:rFonts w:eastAsiaTheme="minorEastAsia"/>
          <w:color w:val="1E1E1E"/>
          <w:szCs w:val="22"/>
          <w:lang w:eastAsia="en-US"/>
        </w:rPr>
        <w:t>Biblioteca Nacional de Suecia</w:t>
      </w:r>
      <w:r w:rsidR="004F449A" w:rsidRPr="00390F3F">
        <w:rPr>
          <w:rFonts w:eastAsiaTheme="minorEastAsia"/>
          <w:color w:val="1E1E1E"/>
          <w:szCs w:val="22"/>
          <w:lang w:eastAsia="en-US"/>
        </w:rPr>
        <w:t xml:space="preserve"> (Kungliga biblioteket)</w:t>
      </w:r>
    </w:p>
    <w:p w:rsidR="004F449A" w:rsidRPr="00390F3F" w:rsidRDefault="000955E5" w:rsidP="004F449A">
      <w:pPr>
        <w:widowControl w:val="0"/>
        <w:autoSpaceDE w:val="0"/>
        <w:autoSpaceDN w:val="0"/>
        <w:adjustRightInd w:val="0"/>
        <w:rPr>
          <w:rFonts w:eastAsiaTheme="minorEastAsia"/>
          <w:color w:val="1E1E1E"/>
          <w:szCs w:val="22"/>
          <w:lang w:eastAsia="en-US"/>
        </w:rPr>
      </w:pPr>
      <w:r w:rsidRPr="00390F3F">
        <w:rPr>
          <w:rFonts w:eastAsiaTheme="minorEastAsia"/>
          <w:color w:val="1E1E1E"/>
          <w:szCs w:val="22"/>
          <w:lang w:eastAsia="en-US"/>
        </w:rPr>
        <w:t>Box 5039</w:t>
      </w:r>
    </w:p>
    <w:p w:rsidR="004F449A" w:rsidRPr="00390F3F" w:rsidRDefault="004F449A" w:rsidP="004F449A">
      <w:pPr>
        <w:rPr>
          <w:rFonts w:eastAsiaTheme="minorEastAsia"/>
          <w:color w:val="1E1E1E"/>
          <w:szCs w:val="22"/>
          <w:lang w:eastAsia="en-US"/>
        </w:rPr>
      </w:pPr>
      <w:r w:rsidRPr="00390F3F">
        <w:rPr>
          <w:rFonts w:eastAsiaTheme="minorEastAsia"/>
          <w:color w:val="1E1E1E"/>
          <w:szCs w:val="22"/>
          <w:lang w:eastAsia="en-US"/>
        </w:rPr>
        <w:t xml:space="preserve">SE-102 41 </w:t>
      </w:r>
      <w:r w:rsidR="000955E5" w:rsidRPr="00390F3F">
        <w:rPr>
          <w:rFonts w:eastAsiaTheme="minorEastAsia"/>
          <w:color w:val="1E1E1E"/>
          <w:szCs w:val="22"/>
          <w:lang w:eastAsia="en-US"/>
        </w:rPr>
        <w:t>Estoc</w:t>
      </w:r>
      <w:r w:rsidRPr="00390F3F">
        <w:rPr>
          <w:rFonts w:eastAsiaTheme="minorEastAsia"/>
          <w:color w:val="1E1E1E"/>
          <w:szCs w:val="22"/>
          <w:lang w:eastAsia="en-US"/>
        </w:rPr>
        <w:t>olm</w:t>
      </w:r>
      <w:r w:rsidR="000955E5" w:rsidRPr="00390F3F">
        <w:rPr>
          <w:rFonts w:eastAsiaTheme="minorEastAsia"/>
          <w:color w:val="1E1E1E"/>
          <w:szCs w:val="22"/>
          <w:lang w:eastAsia="en-US"/>
        </w:rPr>
        <w:t>o</w:t>
      </w:r>
    </w:p>
    <w:p w:rsidR="004F449A" w:rsidRPr="00390F3F" w:rsidRDefault="004F449A" w:rsidP="004F449A">
      <w:pPr>
        <w:rPr>
          <w:szCs w:val="22"/>
        </w:rPr>
      </w:pPr>
      <w:r w:rsidRPr="00390F3F">
        <w:rPr>
          <w:szCs w:val="22"/>
        </w:rPr>
        <w:t>S</w:t>
      </w:r>
      <w:r w:rsidR="000955E5" w:rsidRPr="00390F3F">
        <w:rPr>
          <w:szCs w:val="22"/>
        </w:rPr>
        <w:t>u</w:t>
      </w:r>
      <w:r w:rsidRPr="00390F3F">
        <w:rPr>
          <w:szCs w:val="22"/>
        </w:rPr>
        <w:t>e</w:t>
      </w:r>
      <w:r w:rsidR="000955E5" w:rsidRPr="00390F3F">
        <w:rPr>
          <w:szCs w:val="22"/>
        </w:rPr>
        <w:t>cia</w:t>
      </w:r>
    </w:p>
    <w:p w:rsidR="004F449A" w:rsidRPr="00390F3F" w:rsidRDefault="00505E1C" w:rsidP="004F449A">
      <w:pPr>
        <w:rPr>
          <w:szCs w:val="22"/>
        </w:rPr>
      </w:pPr>
      <w:r w:rsidRPr="00390F3F">
        <w:rPr>
          <w:szCs w:val="22"/>
        </w:rPr>
        <w:t>Teléfono</w:t>
      </w:r>
      <w:r w:rsidR="004F449A" w:rsidRPr="00390F3F">
        <w:rPr>
          <w:szCs w:val="22"/>
        </w:rPr>
        <w:t xml:space="preserve">: </w:t>
      </w:r>
      <w:r w:rsidR="000955E5" w:rsidRPr="00390F3F">
        <w:rPr>
          <w:szCs w:val="22"/>
        </w:rPr>
        <w:t xml:space="preserve"> </w:t>
      </w:r>
      <w:r w:rsidR="004F449A" w:rsidRPr="00390F3F">
        <w:rPr>
          <w:szCs w:val="22"/>
        </w:rPr>
        <w:t>+46 70 007 31 10</w:t>
      </w:r>
    </w:p>
    <w:p w:rsidR="004F449A" w:rsidRPr="00390F3F" w:rsidRDefault="00505E1C" w:rsidP="004F449A">
      <w:pPr>
        <w:rPr>
          <w:szCs w:val="22"/>
        </w:rPr>
      </w:pPr>
      <w:r w:rsidRPr="00390F3F">
        <w:rPr>
          <w:szCs w:val="22"/>
        </w:rPr>
        <w:t>Correo-e</w:t>
      </w:r>
      <w:r w:rsidR="004F449A" w:rsidRPr="00390F3F">
        <w:rPr>
          <w:szCs w:val="22"/>
        </w:rPr>
        <w:t xml:space="preserve">: </w:t>
      </w:r>
      <w:r w:rsidR="000955E5" w:rsidRPr="00390F3F">
        <w:rPr>
          <w:szCs w:val="22"/>
        </w:rPr>
        <w:t xml:space="preserve"> </w:t>
      </w:r>
      <w:hyperlink r:id="rId22" w:history="1">
        <w:r w:rsidR="004F449A" w:rsidRPr="00390F3F">
          <w:rPr>
            <w:rStyle w:val="Hyperlink"/>
            <w:szCs w:val="22"/>
          </w:rPr>
          <w:t>jerker.ryden@kb.se</w:t>
        </w:r>
      </w:hyperlink>
    </w:p>
    <w:p w:rsidR="004F449A" w:rsidRPr="00F137DD" w:rsidRDefault="00D901D6" w:rsidP="004F449A">
      <w:pPr>
        <w:rPr>
          <w:szCs w:val="22"/>
          <w:lang w:val="en-US"/>
        </w:rPr>
      </w:pPr>
      <w:proofErr w:type="spellStart"/>
      <w:r w:rsidRPr="00F137DD">
        <w:rPr>
          <w:szCs w:val="22"/>
          <w:lang w:val="en-US"/>
        </w:rPr>
        <w:t>Sitio</w:t>
      </w:r>
      <w:proofErr w:type="spellEnd"/>
      <w:r w:rsidRPr="00F137DD">
        <w:rPr>
          <w:szCs w:val="22"/>
          <w:lang w:val="en-US"/>
        </w:rPr>
        <w:t xml:space="preserve"> web</w:t>
      </w:r>
      <w:r w:rsidR="004F449A" w:rsidRPr="00F137DD">
        <w:rPr>
          <w:szCs w:val="22"/>
          <w:lang w:val="en-US"/>
        </w:rPr>
        <w:t xml:space="preserve">: </w:t>
      </w:r>
      <w:r w:rsidR="000955E5" w:rsidRPr="00F137DD">
        <w:rPr>
          <w:szCs w:val="22"/>
          <w:lang w:val="en-US"/>
        </w:rPr>
        <w:t xml:space="preserve"> </w:t>
      </w:r>
      <w:hyperlink r:id="rId23" w:history="1">
        <w:r w:rsidR="004F449A" w:rsidRPr="00F137DD">
          <w:rPr>
            <w:rStyle w:val="Hyperlink"/>
            <w:szCs w:val="22"/>
            <w:lang w:val="en-US"/>
          </w:rPr>
          <w:t>http://www.kb.se/english</w:t>
        </w:r>
      </w:hyperlink>
    </w:p>
    <w:p w:rsidR="004F449A" w:rsidRPr="00F137DD" w:rsidRDefault="004F449A" w:rsidP="004F449A">
      <w:pPr>
        <w:rPr>
          <w:lang w:val="en-US"/>
        </w:rPr>
      </w:pPr>
    </w:p>
    <w:p w:rsidR="004F449A" w:rsidRPr="00F137DD" w:rsidRDefault="004F449A" w:rsidP="004F449A">
      <w:pPr>
        <w:rPr>
          <w:lang w:val="en-US"/>
        </w:rPr>
      </w:pPr>
    </w:p>
    <w:p w:rsidR="004F449A" w:rsidRPr="00F137DD" w:rsidRDefault="004F449A" w:rsidP="004F449A">
      <w:pPr>
        <w:rPr>
          <w:lang w:val="en-US"/>
        </w:rPr>
      </w:pPr>
    </w:p>
    <w:p w:rsidR="001F1025" w:rsidRPr="00390F3F" w:rsidRDefault="004F449A" w:rsidP="00390F3F">
      <w:pPr>
        <w:tabs>
          <w:tab w:val="left" w:pos="5245"/>
        </w:tabs>
        <w:ind w:left="5137"/>
        <w:rPr>
          <w:lang w:eastAsia="en-US"/>
        </w:rPr>
      </w:pPr>
      <w:r w:rsidRPr="00390F3F">
        <w:t>[</w:t>
      </w:r>
      <w:r w:rsidR="000955E5" w:rsidRPr="00390F3F">
        <w:t>Fin del Anexo y del documento</w:t>
      </w:r>
      <w:r w:rsidRPr="00390F3F">
        <w:t>]</w:t>
      </w:r>
    </w:p>
    <w:sectPr w:rsidR="001F1025" w:rsidRPr="00390F3F" w:rsidSect="00277BB9">
      <w:headerReference w:type="first" r:id="rId2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B9" w:rsidRDefault="00277BB9">
      <w:r>
        <w:separator/>
      </w:r>
    </w:p>
  </w:endnote>
  <w:endnote w:type="continuationSeparator" w:id="0">
    <w:p w:rsidR="00277BB9" w:rsidRPr="009D30E6" w:rsidRDefault="00277B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77BB9" w:rsidRPr="007E663E" w:rsidRDefault="00277B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77BB9" w:rsidRPr="007E663E" w:rsidRDefault="00277BB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B9" w:rsidRDefault="00277BB9">
      <w:r>
        <w:separator/>
      </w:r>
    </w:p>
  </w:footnote>
  <w:footnote w:type="continuationSeparator" w:id="0">
    <w:p w:rsidR="00277BB9" w:rsidRPr="009D30E6" w:rsidRDefault="00277B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77BB9" w:rsidRPr="007E663E" w:rsidRDefault="00277B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77BB9" w:rsidRPr="007E663E" w:rsidRDefault="00277BB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277BB9" w:rsidP="00477D6B">
    <w:pPr>
      <w:jc w:val="right"/>
    </w:pPr>
    <w:bookmarkStart w:id="6" w:name="Code2"/>
    <w:bookmarkEnd w:id="6"/>
    <w:r>
      <w:t>SCCR/33/2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77BB9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85" w:rsidRDefault="000D1D85" w:rsidP="000D1D85">
    <w:pPr>
      <w:pStyle w:val="Header"/>
      <w:jc w:val="right"/>
    </w:pPr>
    <w:r>
      <w:t>SCCR/33</w:t>
    </w:r>
    <w:r w:rsidRPr="00E00782">
      <w:t>/</w:t>
    </w:r>
    <w:r>
      <w:t>2</w:t>
    </w:r>
  </w:p>
  <w:p w:rsidR="000D1D85" w:rsidRDefault="000D1D85" w:rsidP="000D1D85">
    <w:pPr>
      <w:pStyle w:val="Header"/>
      <w:jc w:val="right"/>
    </w:pPr>
    <w:r>
      <w:t>ANEXO I</w:t>
    </w:r>
  </w:p>
  <w:p w:rsidR="000D1D85" w:rsidRDefault="000D1D85" w:rsidP="000D1D8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DC" w:rsidRDefault="007860DC" w:rsidP="000D1D85">
    <w:pPr>
      <w:pStyle w:val="Header"/>
      <w:jc w:val="right"/>
    </w:pPr>
    <w:r>
      <w:t>SCCR/33</w:t>
    </w:r>
    <w:r w:rsidRPr="00E00782">
      <w:t>/</w:t>
    </w:r>
    <w:r>
      <w:t>2</w:t>
    </w:r>
  </w:p>
  <w:p w:rsidR="007860DC" w:rsidRDefault="007860DC" w:rsidP="000D1D85">
    <w:pPr>
      <w:pStyle w:val="Header"/>
      <w:jc w:val="right"/>
    </w:pPr>
    <w:r>
      <w:t>ANEXO II</w:t>
    </w:r>
  </w:p>
  <w:p w:rsidR="007860DC" w:rsidRDefault="007860DC" w:rsidP="000D1D85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74" w:rsidRDefault="00804674" w:rsidP="000D1D85">
    <w:pPr>
      <w:pStyle w:val="Header"/>
      <w:jc w:val="right"/>
    </w:pPr>
    <w:r>
      <w:t>SCCR/33</w:t>
    </w:r>
    <w:r w:rsidRPr="00E00782">
      <w:t>/</w:t>
    </w:r>
    <w:r>
      <w:t>2</w:t>
    </w:r>
  </w:p>
  <w:p w:rsidR="00804674" w:rsidRDefault="00804674" w:rsidP="000D1D85">
    <w:pPr>
      <w:pStyle w:val="Header"/>
      <w:jc w:val="right"/>
    </w:pPr>
    <w:r>
      <w:t>ANEXO III</w:t>
    </w:r>
  </w:p>
  <w:p w:rsidR="00804674" w:rsidRDefault="00804674" w:rsidP="000D1D85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7A" w:rsidRDefault="00CD647A" w:rsidP="000D1D85">
    <w:pPr>
      <w:pStyle w:val="Header"/>
      <w:jc w:val="right"/>
    </w:pPr>
    <w:r>
      <w:t>SCCR/33</w:t>
    </w:r>
    <w:r w:rsidRPr="00E00782">
      <w:t>/</w:t>
    </w:r>
    <w:r>
      <w:t>2</w:t>
    </w:r>
  </w:p>
  <w:p w:rsidR="00CD647A" w:rsidRDefault="00CD647A" w:rsidP="000D1D85">
    <w:pPr>
      <w:pStyle w:val="Header"/>
      <w:jc w:val="right"/>
    </w:pPr>
    <w:r>
      <w:t>ANEXO IV</w:t>
    </w:r>
  </w:p>
  <w:p w:rsidR="00CD647A" w:rsidRDefault="00CD647A" w:rsidP="000D1D85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9A" w:rsidRDefault="004F449A" w:rsidP="000D1D85">
    <w:pPr>
      <w:pStyle w:val="Header"/>
      <w:jc w:val="right"/>
    </w:pPr>
    <w:r>
      <w:t>SCCR/33</w:t>
    </w:r>
    <w:r w:rsidRPr="00E00782">
      <w:t>/</w:t>
    </w:r>
    <w:r>
      <w:t>2</w:t>
    </w:r>
  </w:p>
  <w:p w:rsidR="004F449A" w:rsidRDefault="004F449A" w:rsidP="000D1D85">
    <w:pPr>
      <w:pStyle w:val="Header"/>
      <w:jc w:val="right"/>
    </w:pPr>
    <w:r>
      <w:t>ANEXO V</w:t>
    </w:r>
  </w:p>
  <w:p w:rsidR="004F449A" w:rsidRDefault="004F449A" w:rsidP="000D1D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9"/>
    <w:rsid w:val="00010686"/>
    <w:rsid w:val="00052915"/>
    <w:rsid w:val="00061248"/>
    <w:rsid w:val="000955E5"/>
    <w:rsid w:val="000D1D85"/>
    <w:rsid w:val="000D571B"/>
    <w:rsid w:val="000D5CDB"/>
    <w:rsid w:val="000E2A15"/>
    <w:rsid w:val="000E3BB3"/>
    <w:rsid w:val="000F5E56"/>
    <w:rsid w:val="001005AD"/>
    <w:rsid w:val="00131C56"/>
    <w:rsid w:val="001362EE"/>
    <w:rsid w:val="00137F58"/>
    <w:rsid w:val="00152CEA"/>
    <w:rsid w:val="00175D8F"/>
    <w:rsid w:val="001816BA"/>
    <w:rsid w:val="001832A6"/>
    <w:rsid w:val="001B333D"/>
    <w:rsid w:val="001B3481"/>
    <w:rsid w:val="001B7B49"/>
    <w:rsid w:val="001F1025"/>
    <w:rsid w:val="00210707"/>
    <w:rsid w:val="002565E8"/>
    <w:rsid w:val="002634C4"/>
    <w:rsid w:val="00277BB9"/>
    <w:rsid w:val="002D4D02"/>
    <w:rsid w:val="002E0F47"/>
    <w:rsid w:val="002F4E68"/>
    <w:rsid w:val="002F763D"/>
    <w:rsid w:val="00305A8D"/>
    <w:rsid w:val="00354647"/>
    <w:rsid w:val="00354B52"/>
    <w:rsid w:val="003764D2"/>
    <w:rsid w:val="00377273"/>
    <w:rsid w:val="003845C1"/>
    <w:rsid w:val="00387287"/>
    <w:rsid w:val="00390F3F"/>
    <w:rsid w:val="003B488E"/>
    <w:rsid w:val="003C3BBE"/>
    <w:rsid w:val="003E03A0"/>
    <w:rsid w:val="003E48F1"/>
    <w:rsid w:val="003F3438"/>
    <w:rsid w:val="003F347A"/>
    <w:rsid w:val="00423E3E"/>
    <w:rsid w:val="00427AF4"/>
    <w:rsid w:val="0043344C"/>
    <w:rsid w:val="0045231F"/>
    <w:rsid w:val="004647DA"/>
    <w:rsid w:val="0046793F"/>
    <w:rsid w:val="00477808"/>
    <w:rsid w:val="00477D6B"/>
    <w:rsid w:val="004A6C37"/>
    <w:rsid w:val="004B1632"/>
    <w:rsid w:val="004E297D"/>
    <w:rsid w:val="004F449A"/>
    <w:rsid w:val="00505E1C"/>
    <w:rsid w:val="0051650C"/>
    <w:rsid w:val="00531B02"/>
    <w:rsid w:val="005332F0"/>
    <w:rsid w:val="0055013B"/>
    <w:rsid w:val="00571B99"/>
    <w:rsid w:val="005F4AF7"/>
    <w:rsid w:val="00605827"/>
    <w:rsid w:val="00675021"/>
    <w:rsid w:val="006A06C6"/>
    <w:rsid w:val="006F716B"/>
    <w:rsid w:val="007224C8"/>
    <w:rsid w:val="00780483"/>
    <w:rsid w:val="007860DC"/>
    <w:rsid w:val="00794BE2"/>
    <w:rsid w:val="007B71FE"/>
    <w:rsid w:val="007D781E"/>
    <w:rsid w:val="007E663E"/>
    <w:rsid w:val="00804674"/>
    <w:rsid w:val="00815082"/>
    <w:rsid w:val="0082177E"/>
    <w:rsid w:val="00864C6A"/>
    <w:rsid w:val="00877B32"/>
    <w:rsid w:val="0088395E"/>
    <w:rsid w:val="008B2CC1"/>
    <w:rsid w:val="008C3CAB"/>
    <w:rsid w:val="008C472C"/>
    <w:rsid w:val="008E6BD6"/>
    <w:rsid w:val="0090731E"/>
    <w:rsid w:val="00966A22"/>
    <w:rsid w:val="00972F03"/>
    <w:rsid w:val="00981D76"/>
    <w:rsid w:val="009976EE"/>
    <w:rsid w:val="009A0C8B"/>
    <w:rsid w:val="009B6241"/>
    <w:rsid w:val="009D4326"/>
    <w:rsid w:val="009E1BC2"/>
    <w:rsid w:val="00A16FC0"/>
    <w:rsid w:val="00A32C9E"/>
    <w:rsid w:val="00A863EB"/>
    <w:rsid w:val="00AB613D"/>
    <w:rsid w:val="00AE7F20"/>
    <w:rsid w:val="00B06B23"/>
    <w:rsid w:val="00B5292D"/>
    <w:rsid w:val="00B65A0A"/>
    <w:rsid w:val="00B67CDC"/>
    <w:rsid w:val="00B70436"/>
    <w:rsid w:val="00B72D36"/>
    <w:rsid w:val="00B74128"/>
    <w:rsid w:val="00BA5AAE"/>
    <w:rsid w:val="00BC4164"/>
    <w:rsid w:val="00BD2DCC"/>
    <w:rsid w:val="00C90559"/>
    <w:rsid w:val="00CA2251"/>
    <w:rsid w:val="00CB2032"/>
    <w:rsid w:val="00CD647A"/>
    <w:rsid w:val="00CF0290"/>
    <w:rsid w:val="00D50094"/>
    <w:rsid w:val="00D56C7C"/>
    <w:rsid w:val="00D71B4D"/>
    <w:rsid w:val="00D901D6"/>
    <w:rsid w:val="00D90289"/>
    <w:rsid w:val="00D93D55"/>
    <w:rsid w:val="00DA7F74"/>
    <w:rsid w:val="00DC4C60"/>
    <w:rsid w:val="00DC5485"/>
    <w:rsid w:val="00DD2196"/>
    <w:rsid w:val="00E0079A"/>
    <w:rsid w:val="00E07428"/>
    <w:rsid w:val="00E25D61"/>
    <w:rsid w:val="00E444DA"/>
    <w:rsid w:val="00E45C84"/>
    <w:rsid w:val="00E504E5"/>
    <w:rsid w:val="00EB7A3E"/>
    <w:rsid w:val="00EC401A"/>
    <w:rsid w:val="00ED2834"/>
    <w:rsid w:val="00EF3DA6"/>
    <w:rsid w:val="00EF530A"/>
    <w:rsid w:val="00EF6622"/>
    <w:rsid w:val="00F137DD"/>
    <w:rsid w:val="00F3543A"/>
    <w:rsid w:val="00F43515"/>
    <w:rsid w:val="00F55408"/>
    <w:rsid w:val="00F55B75"/>
    <w:rsid w:val="00F66152"/>
    <w:rsid w:val="00F80845"/>
    <w:rsid w:val="00F84474"/>
    <w:rsid w:val="00F91A9C"/>
    <w:rsid w:val="00FA0F0D"/>
    <w:rsid w:val="00FA44AF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5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92D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cisionInvitingPara">
    <w:name w:val="Decision Inviting Para."/>
    <w:basedOn w:val="Normal"/>
    <w:rsid w:val="000D571B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0D571B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0D1D85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Hyperlink">
    <w:name w:val="Hyperlink"/>
    <w:basedOn w:val="DefaultParagraphFont"/>
    <w:rsid w:val="000D1D85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D1D85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5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92D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cisionInvitingPara">
    <w:name w:val="Decision Inviting Para."/>
    <w:basedOn w:val="Normal"/>
    <w:rsid w:val="000D571B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0D571B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0D1D85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Hyperlink">
    <w:name w:val="Hyperlink"/>
    <w:basedOn w:val="DefaultParagraphFont"/>
    <w:rsid w:val="000D1D85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D1D85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brennan@cfla-fcab.ca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eua.b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nna.peltola@eua.be" TargetMode="External"/><Relationship Id="rId20" Type="http://schemas.openxmlformats.org/officeDocument/2006/relationships/hyperlink" Target="http://www.femamusico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flia.net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kb.se/english" TargetMode="External"/><Relationship Id="rId10" Type="http://schemas.openxmlformats.org/officeDocument/2006/relationships/hyperlink" Target="mailto:secretariat@aflia.net" TargetMode="External"/><Relationship Id="rId19" Type="http://schemas.openxmlformats.org/officeDocument/2006/relationships/hyperlink" Target="mailto:internacional@femamusico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fla-fcab.ca" TargetMode="External"/><Relationship Id="rId22" Type="http://schemas.openxmlformats.org/officeDocument/2006/relationships/hyperlink" Target="mailto:jerker.ryden@kb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33 (S)</Template>
  <TotalTime>1</TotalTime>
  <Pages>6</Pages>
  <Words>1388</Words>
  <Characters>8351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SCCR/33/2</vt:lpstr>
    </vt:vector>
  </TitlesOfParts>
  <Company>WIPO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SCCR/33/2</dc:title>
  <dc:creator>CEVALLOS DUQUE Nilo</dc:creator>
  <dc:description>IS - 13/9/2016</dc:description>
  <cp:lastModifiedBy>HAIZEL Francesca</cp:lastModifiedBy>
  <cp:revision>2</cp:revision>
  <dcterms:created xsi:type="dcterms:W3CDTF">2016-09-16T14:01:00Z</dcterms:created>
  <dcterms:modified xsi:type="dcterms:W3CDTF">2016-09-16T14:01:00Z</dcterms:modified>
</cp:coreProperties>
</file>