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B33D0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B33D0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B33D0" w:rsidRDefault="00705C21" w:rsidP="00AB613D">
            <w:r w:rsidRPr="003B33D0">
              <w:rPr>
                <w:noProof/>
                <w:lang w:val="en-US" w:eastAsia="en-US"/>
              </w:rPr>
              <w:drawing>
                <wp:inline distT="0" distB="0" distL="0" distR="0" wp14:anchorId="67D61925" wp14:editId="1B8F91BC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B33D0" w:rsidRDefault="00E504E5" w:rsidP="00AB613D">
            <w:pPr>
              <w:jc w:val="right"/>
            </w:pPr>
            <w:r w:rsidRPr="003B33D0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B33D0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B33D0" w:rsidRDefault="008B2CC1" w:rsidP="00AB613D">
            <w:pPr>
              <w:jc w:val="right"/>
              <w:rPr>
                <w:caps/>
                <w:sz w:val="15"/>
              </w:rPr>
            </w:pPr>
            <w:bookmarkStart w:id="1" w:name="Code"/>
            <w:bookmarkEnd w:id="1"/>
          </w:p>
        </w:tc>
      </w:tr>
      <w:tr w:rsidR="008B2CC1" w:rsidRPr="003B33D0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B33D0" w:rsidRDefault="003B33D0" w:rsidP="003B33D0">
            <w:pPr>
              <w:jc w:val="right"/>
              <w:rPr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3B33D0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B33D0" w:rsidRDefault="003B33D0" w:rsidP="00996E44">
            <w:pPr>
              <w:jc w:val="right"/>
              <w:rPr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3 DE JULIO DE 2015</w:t>
            </w:r>
          </w:p>
        </w:tc>
      </w:tr>
    </w:tbl>
    <w:p w:rsidR="008B2CC1" w:rsidRPr="003B33D0" w:rsidRDefault="008B2CC1" w:rsidP="008B2CC1"/>
    <w:p w:rsidR="008B2CC1" w:rsidRPr="003B33D0" w:rsidRDefault="008B2CC1" w:rsidP="008B2CC1"/>
    <w:p w:rsidR="008B2CC1" w:rsidRPr="003B33D0" w:rsidRDefault="008B2CC1" w:rsidP="008B2CC1"/>
    <w:p w:rsidR="008B2CC1" w:rsidRPr="003B33D0" w:rsidRDefault="008B2CC1" w:rsidP="008B2CC1"/>
    <w:p w:rsidR="008B2CC1" w:rsidRPr="003B33D0" w:rsidRDefault="008B2CC1" w:rsidP="008B2CC1"/>
    <w:p w:rsidR="003845C1" w:rsidRPr="003B33D0" w:rsidRDefault="006442B0" w:rsidP="003845C1">
      <w:r w:rsidRPr="003B33D0">
        <w:rPr>
          <w:b/>
          <w:sz w:val="28"/>
          <w:szCs w:val="28"/>
        </w:rPr>
        <w:t>Comité Permanente de Derecho de Autor y Derechos Conexos</w:t>
      </w:r>
    </w:p>
    <w:p w:rsidR="003845C1" w:rsidRPr="003B33D0" w:rsidRDefault="003845C1" w:rsidP="003845C1"/>
    <w:p w:rsidR="006442B0" w:rsidRPr="003B33D0" w:rsidRDefault="006442B0" w:rsidP="00B67CDC">
      <w:pPr>
        <w:rPr>
          <w:b/>
          <w:sz w:val="24"/>
          <w:szCs w:val="24"/>
        </w:rPr>
      </w:pPr>
      <w:r w:rsidRPr="003B33D0">
        <w:rPr>
          <w:b/>
          <w:sz w:val="24"/>
          <w:szCs w:val="24"/>
        </w:rPr>
        <w:t>Trigésima sesión</w:t>
      </w:r>
    </w:p>
    <w:p w:rsidR="008B2CC1" w:rsidRPr="003B33D0" w:rsidRDefault="006442B0" w:rsidP="008B2CC1">
      <w:r w:rsidRPr="003B33D0">
        <w:rPr>
          <w:b/>
          <w:sz w:val="24"/>
          <w:szCs w:val="24"/>
        </w:rPr>
        <w:t>Ginebra, 29 de junio a 3 de julio de 2015</w:t>
      </w:r>
    </w:p>
    <w:p w:rsidR="008B2CC1" w:rsidRPr="003B33D0" w:rsidRDefault="008B2CC1" w:rsidP="008B2CC1"/>
    <w:p w:rsidR="008B2CC1" w:rsidRPr="003B33D0" w:rsidRDefault="008B2CC1" w:rsidP="008B2CC1"/>
    <w:p w:rsidR="008B2CC1" w:rsidRPr="00B13400" w:rsidRDefault="00660B6A" w:rsidP="008B2CC1">
      <w:pPr>
        <w:rPr>
          <w:caps/>
          <w:sz w:val="24"/>
        </w:rPr>
      </w:pPr>
      <w:bookmarkStart w:id="4" w:name="TitleOfDoc"/>
      <w:bookmarkEnd w:id="4"/>
      <w:r w:rsidRPr="00B13400">
        <w:rPr>
          <w:caps/>
          <w:sz w:val="24"/>
        </w:rPr>
        <w:t>RESUMEN DE LA PRESIDENCIA</w:t>
      </w:r>
    </w:p>
    <w:p w:rsidR="008B2CC1" w:rsidRPr="00B13400" w:rsidRDefault="008B2CC1" w:rsidP="008B2CC1">
      <w:bookmarkStart w:id="5" w:name="Prepared"/>
      <w:bookmarkEnd w:id="5"/>
    </w:p>
    <w:p w:rsidR="008B2CC1" w:rsidRPr="00B13400" w:rsidRDefault="008B2CC1" w:rsidP="003845C1"/>
    <w:p w:rsidR="000F5E56" w:rsidRPr="00B13400" w:rsidRDefault="000F5E56"/>
    <w:p w:rsidR="00F84474" w:rsidRPr="00B13400" w:rsidRDefault="00F84474"/>
    <w:p w:rsidR="006E315E" w:rsidRPr="003B33D0" w:rsidRDefault="006E315E" w:rsidP="006E315E">
      <w:pPr>
        <w:rPr>
          <w:b/>
          <w:szCs w:val="22"/>
          <w:lang w:val="es-ES_tradnl"/>
        </w:rPr>
      </w:pPr>
      <w:r w:rsidRPr="003B33D0">
        <w:rPr>
          <w:b/>
          <w:szCs w:val="22"/>
          <w:lang w:val="es-ES_tradnl"/>
        </w:rPr>
        <w:t>PUNTO 1 DEL ORDEN DEL DÍA:  APERTURA DE LA SESIÓN</w:t>
      </w:r>
    </w:p>
    <w:p w:rsidR="00660B6A" w:rsidRPr="003B33D0" w:rsidRDefault="00660B6A" w:rsidP="00660B6A">
      <w:pPr>
        <w:rPr>
          <w:szCs w:val="22"/>
          <w:lang w:val="es-ES_tradnl"/>
        </w:rPr>
      </w:pPr>
    </w:p>
    <w:p w:rsidR="00B44FE3" w:rsidRPr="003B33D0" w:rsidRDefault="00660B6A" w:rsidP="00B44FE3">
      <w:pPr>
        <w:rPr>
          <w:szCs w:val="22"/>
          <w:lang w:val="es-ES_tradnl"/>
        </w:rPr>
      </w:pPr>
      <w:r w:rsidRPr="003B33D0">
        <w:rPr>
          <w:szCs w:val="22"/>
        </w:rPr>
        <w:fldChar w:fldCharType="begin"/>
      </w:r>
      <w:r w:rsidRPr="003B33D0">
        <w:rPr>
          <w:szCs w:val="22"/>
          <w:lang w:val="es-ES_tradnl"/>
        </w:rPr>
        <w:instrText xml:space="preserve"> AUTONUM  </w:instrText>
      </w:r>
      <w:r w:rsidRPr="003B33D0">
        <w:rPr>
          <w:szCs w:val="22"/>
        </w:rPr>
        <w:fldChar w:fldCharType="end"/>
      </w:r>
      <w:r w:rsidRPr="003B33D0">
        <w:rPr>
          <w:szCs w:val="22"/>
          <w:lang w:val="es-ES_tradnl"/>
        </w:rPr>
        <w:tab/>
      </w:r>
      <w:r w:rsidR="00B44FE3" w:rsidRPr="003B33D0">
        <w:rPr>
          <w:szCs w:val="22"/>
          <w:lang w:val="es-ES_tradnl"/>
        </w:rPr>
        <w:t xml:space="preserve">La trigésima sesión del Comité Permanente de Derecho de Autor y Derechos Conexos (el SCCR o el Comité) fue abierta por </w:t>
      </w:r>
      <w:r w:rsidR="00784817" w:rsidRPr="003B33D0">
        <w:rPr>
          <w:szCs w:val="22"/>
          <w:lang w:val="es-ES_tradnl"/>
        </w:rPr>
        <w:t xml:space="preserve">el Director General de la OMPI, </w:t>
      </w:r>
      <w:r w:rsidR="00B44FE3" w:rsidRPr="003B33D0">
        <w:rPr>
          <w:szCs w:val="22"/>
          <w:lang w:val="es-ES_tradnl"/>
        </w:rPr>
        <w:t>Sr</w:t>
      </w:r>
      <w:r w:rsidRPr="003B33D0">
        <w:rPr>
          <w:szCs w:val="22"/>
          <w:lang w:val="es-ES_tradnl"/>
        </w:rPr>
        <w:t xml:space="preserve">. Francis Gurry, </w:t>
      </w:r>
      <w:r w:rsidR="00B44FE3" w:rsidRPr="003B33D0">
        <w:rPr>
          <w:szCs w:val="22"/>
          <w:lang w:val="es-ES_tradnl"/>
        </w:rPr>
        <w:t xml:space="preserve">quien dio la bienvenida a los participantes </w:t>
      </w:r>
      <w:r w:rsidR="00200DC5">
        <w:rPr>
          <w:szCs w:val="22"/>
          <w:lang w:val="es-ES_tradnl"/>
        </w:rPr>
        <w:t>abrió el debate sobre</w:t>
      </w:r>
      <w:r w:rsidR="00B44FE3" w:rsidRPr="003B33D0">
        <w:rPr>
          <w:szCs w:val="22"/>
          <w:lang w:val="es-ES_tradnl"/>
        </w:rPr>
        <w:t xml:space="preserve"> el punto 2 del orden día</w:t>
      </w:r>
      <w:r w:rsidRPr="003B33D0">
        <w:rPr>
          <w:szCs w:val="22"/>
          <w:lang w:val="es-ES_tradnl"/>
        </w:rPr>
        <w:t xml:space="preserve">.  </w:t>
      </w:r>
      <w:r w:rsidR="00B44FE3" w:rsidRPr="003B33D0">
        <w:rPr>
          <w:szCs w:val="22"/>
          <w:lang w:val="es-ES_tradnl"/>
        </w:rPr>
        <w:t>La Sra. Michele Woods (OMPI) se desempeñó como Secretaria.</w:t>
      </w:r>
    </w:p>
    <w:p w:rsidR="00660B6A" w:rsidRPr="003B33D0" w:rsidRDefault="00660B6A" w:rsidP="00660B6A">
      <w:pPr>
        <w:rPr>
          <w:szCs w:val="22"/>
          <w:lang w:val="es-ES_tradnl"/>
        </w:rPr>
      </w:pPr>
    </w:p>
    <w:p w:rsidR="00660B6A" w:rsidRPr="003B33D0" w:rsidRDefault="00660B6A" w:rsidP="00660B6A">
      <w:pPr>
        <w:rPr>
          <w:szCs w:val="22"/>
          <w:lang w:val="es-ES_tradnl"/>
        </w:rPr>
      </w:pPr>
    </w:p>
    <w:p w:rsidR="00660B6A" w:rsidRPr="003B33D0" w:rsidRDefault="006E315E" w:rsidP="00660B6A">
      <w:pPr>
        <w:rPr>
          <w:b/>
          <w:caps/>
          <w:szCs w:val="22"/>
          <w:lang w:val="es-ES_tradnl"/>
        </w:rPr>
      </w:pPr>
      <w:r w:rsidRPr="003B33D0">
        <w:rPr>
          <w:b/>
          <w:szCs w:val="22"/>
          <w:lang w:val="es-ES_tradnl"/>
        </w:rPr>
        <w:t>PUNTO 2 DEL ORDEN DEL DÍA</w:t>
      </w:r>
      <w:r w:rsidR="00660B6A" w:rsidRPr="003B33D0">
        <w:rPr>
          <w:b/>
          <w:szCs w:val="22"/>
          <w:lang w:val="es-ES_tradnl"/>
        </w:rPr>
        <w:t xml:space="preserve">:  </w:t>
      </w:r>
      <w:r w:rsidR="00B44FE3" w:rsidRPr="003B33D0">
        <w:rPr>
          <w:b/>
          <w:szCs w:val="22"/>
          <w:lang w:val="es-ES_tradnl"/>
        </w:rPr>
        <w:t>ELECCIÓN DEL PRESIDENTE Y DE DOS VICEPRESIDENTES</w:t>
      </w:r>
    </w:p>
    <w:p w:rsidR="00660B6A" w:rsidRPr="003B33D0" w:rsidRDefault="00660B6A" w:rsidP="00660B6A">
      <w:pPr>
        <w:rPr>
          <w:b/>
          <w:szCs w:val="22"/>
          <w:lang w:val="es-ES_tradnl"/>
        </w:rPr>
      </w:pPr>
    </w:p>
    <w:p w:rsidR="00660B6A" w:rsidRPr="003B33D0" w:rsidRDefault="00660B6A" w:rsidP="00660B6A">
      <w:pPr>
        <w:rPr>
          <w:szCs w:val="22"/>
          <w:lang w:val="es-ES_tradnl"/>
        </w:rPr>
      </w:pPr>
      <w:r w:rsidRPr="003B33D0">
        <w:rPr>
          <w:szCs w:val="22"/>
        </w:rPr>
        <w:fldChar w:fldCharType="begin"/>
      </w:r>
      <w:r w:rsidRPr="003B33D0">
        <w:rPr>
          <w:szCs w:val="22"/>
          <w:lang w:val="es-ES_tradnl"/>
        </w:rPr>
        <w:instrText xml:space="preserve"> AUTONUM  </w:instrText>
      </w:r>
      <w:r w:rsidRPr="003B33D0">
        <w:rPr>
          <w:szCs w:val="22"/>
        </w:rPr>
        <w:fldChar w:fldCharType="end"/>
      </w:r>
      <w:r w:rsidRPr="003B33D0">
        <w:rPr>
          <w:szCs w:val="22"/>
          <w:lang w:val="es-ES_tradnl"/>
        </w:rPr>
        <w:tab/>
      </w:r>
      <w:r w:rsidR="00B44FE3" w:rsidRPr="003B33D0">
        <w:rPr>
          <w:szCs w:val="22"/>
          <w:lang w:val="es-ES_tradnl"/>
        </w:rPr>
        <w:t>El Comité eligió al Sr. Martí</w:t>
      </w:r>
      <w:r w:rsidR="002B0DCF" w:rsidRPr="003B33D0">
        <w:rPr>
          <w:szCs w:val="22"/>
          <w:lang w:val="es-ES_tradnl"/>
        </w:rPr>
        <w:t xml:space="preserve">n Moscoso Villacorta </w:t>
      </w:r>
      <w:r w:rsidR="00B44FE3" w:rsidRPr="003B33D0">
        <w:rPr>
          <w:szCs w:val="22"/>
          <w:lang w:val="es-ES_tradnl"/>
        </w:rPr>
        <w:t>y al Sr.</w:t>
      </w:r>
      <w:r w:rsidR="002B0DCF" w:rsidRPr="003B33D0">
        <w:rPr>
          <w:szCs w:val="22"/>
          <w:lang w:val="es-ES_tradnl"/>
        </w:rPr>
        <w:t xml:space="preserve"> Santiago Cevallos Mena, Presidente y</w:t>
      </w:r>
      <w:r w:rsidR="00B44FE3" w:rsidRPr="003B33D0">
        <w:rPr>
          <w:szCs w:val="22"/>
          <w:lang w:val="es-ES_tradnl"/>
        </w:rPr>
        <w:t xml:space="preserve"> Vicepresidente</w:t>
      </w:r>
      <w:r w:rsidR="002B0DCF" w:rsidRPr="003B33D0">
        <w:rPr>
          <w:szCs w:val="22"/>
          <w:lang w:val="es-ES_tradnl"/>
        </w:rPr>
        <w:t xml:space="preserve">, respectivamente, </w:t>
      </w:r>
      <w:r w:rsidR="00B44FE3" w:rsidRPr="003B33D0">
        <w:rPr>
          <w:szCs w:val="22"/>
          <w:lang w:val="es-ES_tradnl"/>
        </w:rPr>
        <w:t>p</w:t>
      </w:r>
      <w:r w:rsidR="0014360C" w:rsidRPr="003B33D0">
        <w:rPr>
          <w:szCs w:val="22"/>
          <w:lang w:val="es-ES_tradnl"/>
        </w:rPr>
        <w:t>or</w:t>
      </w:r>
      <w:r w:rsidR="00B44FE3" w:rsidRPr="003B33D0">
        <w:rPr>
          <w:szCs w:val="22"/>
          <w:lang w:val="es-ES_tradnl"/>
        </w:rPr>
        <w:t xml:space="preserve"> el período</w:t>
      </w:r>
      <w:r w:rsidR="0014360C" w:rsidRPr="003B33D0">
        <w:rPr>
          <w:szCs w:val="22"/>
          <w:lang w:val="es-ES_tradnl"/>
        </w:rPr>
        <w:t xml:space="preserve"> comprendido </w:t>
      </w:r>
      <w:r w:rsidR="00B44FE3" w:rsidRPr="003B33D0">
        <w:rPr>
          <w:szCs w:val="22"/>
          <w:lang w:val="es-ES_tradnl"/>
        </w:rPr>
        <w:t xml:space="preserve">entre la apertura de la </w:t>
      </w:r>
      <w:r w:rsidR="002B0DCF" w:rsidRPr="003B33D0">
        <w:rPr>
          <w:szCs w:val="22"/>
          <w:lang w:val="es-ES_tradnl"/>
        </w:rPr>
        <w:t xml:space="preserve">30ª y </w:t>
      </w:r>
      <w:r w:rsidR="0014360C" w:rsidRPr="003B33D0">
        <w:rPr>
          <w:szCs w:val="22"/>
          <w:lang w:val="es-ES_tradnl"/>
        </w:rPr>
        <w:t xml:space="preserve">de </w:t>
      </w:r>
      <w:r w:rsidR="002B0DCF" w:rsidRPr="003B33D0">
        <w:rPr>
          <w:szCs w:val="22"/>
          <w:lang w:val="es-ES_tradnl"/>
        </w:rPr>
        <w:t>la</w:t>
      </w:r>
      <w:r w:rsidR="00B44FE3" w:rsidRPr="003B33D0">
        <w:rPr>
          <w:szCs w:val="22"/>
          <w:lang w:val="es-ES_tradnl"/>
        </w:rPr>
        <w:t xml:space="preserve"> </w:t>
      </w:r>
      <w:r w:rsidR="002B0DCF" w:rsidRPr="003B33D0">
        <w:rPr>
          <w:szCs w:val="22"/>
          <w:lang w:val="es-ES_tradnl"/>
        </w:rPr>
        <w:t xml:space="preserve">34ª </w:t>
      </w:r>
      <w:r w:rsidR="00B44FE3" w:rsidRPr="003B33D0">
        <w:rPr>
          <w:szCs w:val="22"/>
          <w:lang w:val="es-ES_tradnl"/>
        </w:rPr>
        <w:t>sesi</w:t>
      </w:r>
      <w:r w:rsidR="002B0DCF" w:rsidRPr="003B33D0">
        <w:rPr>
          <w:szCs w:val="22"/>
          <w:lang w:val="es-ES_tradnl"/>
        </w:rPr>
        <w:t>ones</w:t>
      </w:r>
      <w:r w:rsidR="00B44FE3" w:rsidRPr="003B33D0">
        <w:rPr>
          <w:szCs w:val="22"/>
          <w:lang w:val="es-ES_tradnl"/>
        </w:rPr>
        <w:t>.  Quedó vacante el otro cargo de vicepresidente</w:t>
      </w:r>
      <w:r w:rsidRPr="003B33D0">
        <w:rPr>
          <w:szCs w:val="22"/>
          <w:lang w:val="es-ES_tradnl"/>
        </w:rPr>
        <w:t xml:space="preserve">. </w:t>
      </w:r>
    </w:p>
    <w:p w:rsidR="00660B6A" w:rsidRPr="003B33D0" w:rsidRDefault="00660B6A" w:rsidP="00660B6A">
      <w:pPr>
        <w:rPr>
          <w:szCs w:val="22"/>
          <w:lang w:val="es-ES_tradnl"/>
        </w:rPr>
      </w:pPr>
    </w:p>
    <w:p w:rsidR="003B33D0" w:rsidRPr="003B33D0" w:rsidRDefault="003B33D0" w:rsidP="00660B6A">
      <w:pPr>
        <w:rPr>
          <w:szCs w:val="22"/>
          <w:lang w:val="es-ES_tradnl"/>
        </w:rPr>
      </w:pPr>
    </w:p>
    <w:p w:rsidR="00660B6A" w:rsidRPr="003B33D0" w:rsidRDefault="006E315E" w:rsidP="00660B6A">
      <w:pPr>
        <w:rPr>
          <w:b/>
          <w:caps/>
          <w:szCs w:val="22"/>
          <w:lang w:val="es-ES_tradnl"/>
        </w:rPr>
      </w:pPr>
      <w:r w:rsidRPr="003B33D0">
        <w:rPr>
          <w:b/>
          <w:szCs w:val="22"/>
          <w:lang w:val="es-ES_tradnl"/>
        </w:rPr>
        <w:t>PUNTO 3 DEL ORDEN DEL DÍA</w:t>
      </w:r>
      <w:r w:rsidR="00660B6A" w:rsidRPr="003B33D0">
        <w:rPr>
          <w:b/>
          <w:szCs w:val="22"/>
          <w:lang w:val="es-ES_tradnl"/>
        </w:rPr>
        <w:t xml:space="preserve">:  </w:t>
      </w:r>
      <w:r w:rsidRPr="003B33D0">
        <w:rPr>
          <w:b/>
          <w:szCs w:val="22"/>
          <w:lang w:val="es-ES_tradnl"/>
        </w:rPr>
        <w:t>APROBACIÓN DEL ORDEN DEL DÍA DE LA TRIGÉSIMA SESIÓN</w:t>
      </w:r>
    </w:p>
    <w:p w:rsidR="00660B6A" w:rsidRPr="003B33D0" w:rsidRDefault="00660B6A" w:rsidP="00660B6A">
      <w:pPr>
        <w:rPr>
          <w:szCs w:val="22"/>
          <w:lang w:val="es-ES_tradnl"/>
        </w:rPr>
      </w:pPr>
    </w:p>
    <w:p w:rsidR="00660B6A" w:rsidRPr="003B33D0" w:rsidRDefault="00660B6A" w:rsidP="00660B6A">
      <w:pPr>
        <w:rPr>
          <w:szCs w:val="22"/>
          <w:lang w:val="es-ES_tradnl"/>
        </w:rPr>
      </w:pPr>
      <w:r w:rsidRPr="003B33D0">
        <w:rPr>
          <w:szCs w:val="22"/>
        </w:rPr>
        <w:fldChar w:fldCharType="begin"/>
      </w:r>
      <w:r w:rsidRPr="003B33D0">
        <w:rPr>
          <w:szCs w:val="22"/>
          <w:lang w:val="es-ES_tradnl"/>
        </w:rPr>
        <w:instrText xml:space="preserve"> AUTONUM  </w:instrText>
      </w:r>
      <w:r w:rsidRPr="003B33D0">
        <w:rPr>
          <w:szCs w:val="22"/>
        </w:rPr>
        <w:fldChar w:fldCharType="end"/>
      </w:r>
      <w:r w:rsidRPr="003B33D0">
        <w:rPr>
          <w:szCs w:val="22"/>
          <w:lang w:val="es-ES_tradnl"/>
        </w:rPr>
        <w:tab/>
      </w:r>
      <w:r w:rsidR="00B44FE3" w:rsidRPr="003B33D0">
        <w:rPr>
          <w:szCs w:val="22"/>
          <w:lang w:val="es-ES_tradnl"/>
        </w:rPr>
        <w:t xml:space="preserve">El Comité aprobó el proyecto de orden del día (documento </w:t>
      </w:r>
      <w:r w:rsidRPr="003B33D0">
        <w:rPr>
          <w:szCs w:val="22"/>
          <w:lang w:val="es-ES_tradnl"/>
        </w:rPr>
        <w:t>SCCR/30/1 Prov.</w:t>
      </w:r>
      <w:r w:rsidR="003B33D0">
        <w:rPr>
          <w:szCs w:val="22"/>
          <w:lang w:val="es-ES_tradnl"/>
        </w:rPr>
        <w:t xml:space="preserve"> </w:t>
      </w:r>
      <w:r w:rsidRPr="003B33D0">
        <w:rPr>
          <w:szCs w:val="22"/>
          <w:lang w:val="es-ES_tradnl"/>
        </w:rPr>
        <w:t>Corr.).</w:t>
      </w:r>
    </w:p>
    <w:p w:rsidR="00660B6A" w:rsidRPr="003B33D0" w:rsidRDefault="00660B6A" w:rsidP="00660B6A">
      <w:pPr>
        <w:rPr>
          <w:szCs w:val="22"/>
          <w:lang w:val="es-ES_tradnl"/>
        </w:rPr>
      </w:pPr>
    </w:p>
    <w:p w:rsidR="003B33D0" w:rsidRPr="003B33D0" w:rsidRDefault="003B33D0" w:rsidP="00660B6A">
      <w:pPr>
        <w:rPr>
          <w:szCs w:val="22"/>
          <w:lang w:val="es-ES_tradnl"/>
        </w:rPr>
      </w:pPr>
    </w:p>
    <w:p w:rsidR="006E315E" w:rsidRPr="003B33D0" w:rsidRDefault="006E315E" w:rsidP="006E315E">
      <w:pPr>
        <w:rPr>
          <w:b/>
          <w:caps/>
          <w:szCs w:val="22"/>
          <w:lang w:val="es-ES_tradnl"/>
        </w:rPr>
      </w:pPr>
      <w:r w:rsidRPr="003B33D0">
        <w:rPr>
          <w:b/>
          <w:caps/>
          <w:szCs w:val="22"/>
          <w:lang w:val="es-ES_tradnl"/>
        </w:rPr>
        <w:t>PUNTO 4 DEL ORDEN DEL DÍA</w:t>
      </w:r>
      <w:r w:rsidR="0073720C" w:rsidRPr="003B33D0">
        <w:rPr>
          <w:b/>
          <w:caps/>
          <w:szCs w:val="22"/>
          <w:lang w:val="es-ES_tradnl"/>
        </w:rPr>
        <w:t>:  ACREDITACIóN</w:t>
      </w:r>
      <w:r w:rsidRPr="003B33D0">
        <w:rPr>
          <w:b/>
          <w:caps/>
          <w:szCs w:val="22"/>
          <w:lang w:val="es-ES_tradnl"/>
        </w:rPr>
        <w:t xml:space="preserve"> DE NUEVAS ORGANIZACIONES NO GUBERNAMENTALES</w:t>
      </w:r>
    </w:p>
    <w:p w:rsidR="00660B6A" w:rsidRPr="003B33D0" w:rsidRDefault="00660B6A" w:rsidP="00660B6A">
      <w:pPr>
        <w:rPr>
          <w:b/>
          <w:caps/>
          <w:szCs w:val="22"/>
          <w:lang w:val="es-ES_tradnl"/>
        </w:rPr>
      </w:pPr>
    </w:p>
    <w:p w:rsidR="00660B6A" w:rsidRPr="003B33D0" w:rsidRDefault="00660B6A" w:rsidP="00660B6A">
      <w:pPr>
        <w:pStyle w:val="DecisionInvitingPara"/>
        <w:ind w:left="0"/>
        <w:rPr>
          <w:rFonts w:cs="Arial"/>
          <w:sz w:val="22"/>
          <w:szCs w:val="22"/>
          <w:lang w:val="es-ES_tradnl"/>
        </w:rPr>
      </w:pPr>
      <w:r w:rsidRPr="003B33D0">
        <w:rPr>
          <w:rFonts w:cs="Arial"/>
          <w:i w:val="0"/>
          <w:sz w:val="22"/>
          <w:szCs w:val="22"/>
        </w:rPr>
        <w:fldChar w:fldCharType="begin"/>
      </w:r>
      <w:r w:rsidRPr="003B33D0">
        <w:rPr>
          <w:rFonts w:cs="Arial"/>
          <w:i w:val="0"/>
          <w:sz w:val="22"/>
          <w:szCs w:val="22"/>
          <w:lang w:val="es-ES_tradnl"/>
        </w:rPr>
        <w:instrText xml:space="preserve"> AUTONUM  </w:instrText>
      </w:r>
      <w:r w:rsidRPr="003B33D0">
        <w:rPr>
          <w:rFonts w:cs="Arial"/>
          <w:i w:val="0"/>
          <w:sz w:val="22"/>
          <w:szCs w:val="22"/>
        </w:rPr>
        <w:fldChar w:fldCharType="end"/>
      </w:r>
      <w:r w:rsidRPr="003B33D0">
        <w:rPr>
          <w:rFonts w:cs="Arial"/>
          <w:i w:val="0"/>
          <w:sz w:val="22"/>
          <w:szCs w:val="22"/>
          <w:lang w:val="es-ES_tradnl"/>
        </w:rPr>
        <w:tab/>
      </w:r>
      <w:r w:rsidR="0073720C" w:rsidRPr="003B33D0">
        <w:rPr>
          <w:rFonts w:cs="Arial"/>
          <w:i w:val="0"/>
          <w:sz w:val="22"/>
          <w:szCs w:val="22"/>
          <w:lang w:val="es-ES_tradnl"/>
        </w:rPr>
        <w:t>El Comité aprobó la acreditación</w:t>
      </w:r>
      <w:r w:rsidR="0014360C" w:rsidRPr="003B33D0">
        <w:rPr>
          <w:rFonts w:cs="Arial"/>
          <w:i w:val="0"/>
          <w:sz w:val="22"/>
          <w:szCs w:val="22"/>
          <w:lang w:val="es-ES_tradnl"/>
        </w:rPr>
        <w:t>, en calidad de o</w:t>
      </w:r>
      <w:r w:rsidR="0073720C" w:rsidRPr="003B33D0">
        <w:rPr>
          <w:rFonts w:cs="Arial"/>
          <w:i w:val="0"/>
          <w:sz w:val="22"/>
          <w:szCs w:val="22"/>
          <w:lang w:val="es-ES_tradnl"/>
        </w:rPr>
        <w:t>bservador en el SCCR</w:t>
      </w:r>
      <w:r w:rsidR="0014360C" w:rsidRPr="003B33D0">
        <w:rPr>
          <w:rFonts w:cs="Arial"/>
          <w:i w:val="0"/>
          <w:sz w:val="22"/>
          <w:szCs w:val="22"/>
          <w:lang w:val="es-ES_tradnl"/>
        </w:rPr>
        <w:t>,</w:t>
      </w:r>
      <w:r w:rsidR="0073720C" w:rsidRPr="003B33D0">
        <w:rPr>
          <w:rFonts w:cs="Arial"/>
          <w:i w:val="0"/>
          <w:sz w:val="22"/>
          <w:szCs w:val="22"/>
          <w:lang w:val="es-ES_tradnl"/>
        </w:rPr>
        <w:t xml:space="preserve"> de la organización no gubernamental mencionada en el Anexo del documento SCCR</w:t>
      </w:r>
      <w:r w:rsidRPr="003B33D0">
        <w:rPr>
          <w:rFonts w:cs="Arial"/>
          <w:i w:val="0"/>
          <w:sz w:val="22"/>
          <w:szCs w:val="22"/>
          <w:lang w:val="es-ES_tradnl"/>
        </w:rPr>
        <w:t>/30/4,</w:t>
      </w:r>
      <w:r w:rsidRPr="003B33D0">
        <w:rPr>
          <w:rFonts w:cs="Arial"/>
          <w:bCs/>
          <w:lang w:val="es-ES_tradnl"/>
        </w:rPr>
        <w:t xml:space="preserve"> </w:t>
      </w:r>
      <w:r w:rsidR="0073720C" w:rsidRPr="003B33D0">
        <w:rPr>
          <w:rFonts w:cs="Arial"/>
          <w:bCs/>
          <w:i w:val="0"/>
          <w:sz w:val="22"/>
          <w:szCs w:val="22"/>
          <w:lang w:val="es-ES_tradnl"/>
        </w:rPr>
        <w:t>a saber, la</w:t>
      </w:r>
      <w:r w:rsidR="00996E44">
        <w:rPr>
          <w:rFonts w:cs="Arial"/>
          <w:bCs/>
          <w:i w:val="0"/>
          <w:sz w:val="22"/>
          <w:szCs w:val="22"/>
          <w:lang w:val="es-ES_tradnl"/>
        </w:rPr>
        <w:t xml:space="preserve"> Sociedad Finlandesa de Derecho de Autor</w:t>
      </w:r>
      <w:r w:rsidR="003B33D0">
        <w:rPr>
          <w:rFonts w:cs="Arial"/>
          <w:sz w:val="22"/>
          <w:szCs w:val="22"/>
          <w:lang w:val="es-ES_tradnl"/>
        </w:rPr>
        <w:t>.</w:t>
      </w:r>
    </w:p>
    <w:p w:rsidR="00660B6A" w:rsidRPr="003B33D0" w:rsidRDefault="00660B6A" w:rsidP="00660B6A">
      <w:pPr>
        <w:pStyle w:val="DecisionInvitingPara"/>
        <w:ind w:left="0"/>
        <w:rPr>
          <w:rFonts w:cs="Arial"/>
          <w:i w:val="0"/>
          <w:sz w:val="22"/>
          <w:szCs w:val="22"/>
          <w:lang w:val="es-ES_tradnl"/>
        </w:rPr>
      </w:pPr>
    </w:p>
    <w:p w:rsidR="00660B6A" w:rsidRPr="003B33D0" w:rsidRDefault="006E315E" w:rsidP="003B33D0">
      <w:pPr>
        <w:keepNext/>
        <w:rPr>
          <w:b/>
          <w:caps/>
          <w:szCs w:val="22"/>
          <w:lang w:val="es-ES_tradnl"/>
        </w:rPr>
      </w:pPr>
      <w:r w:rsidRPr="003B33D0">
        <w:rPr>
          <w:b/>
          <w:caps/>
          <w:szCs w:val="22"/>
          <w:lang w:val="es-ES_tradnl"/>
        </w:rPr>
        <w:lastRenderedPageBreak/>
        <w:t>PUNTO 5 DEL ORDEN DEL DÍA</w:t>
      </w:r>
      <w:r w:rsidR="00660B6A" w:rsidRPr="003B33D0">
        <w:rPr>
          <w:b/>
          <w:caps/>
          <w:szCs w:val="22"/>
          <w:lang w:val="es-ES_tradnl"/>
        </w:rPr>
        <w:t xml:space="preserve">:  </w:t>
      </w:r>
      <w:r w:rsidRPr="003B33D0">
        <w:rPr>
          <w:b/>
          <w:caps/>
          <w:szCs w:val="22"/>
          <w:lang w:val="es-ES_tradnl"/>
        </w:rPr>
        <w:t xml:space="preserve">APROBACIÓN DEL </w:t>
      </w:r>
      <w:r w:rsidR="00F51AFC" w:rsidRPr="003B33D0">
        <w:rPr>
          <w:b/>
          <w:caps/>
          <w:szCs w:val="22"/>
          <w:lang w:val="es-ES_tradnl"/>
        </w:rPr>
        <w:t xml:space="preserve">PROYECTO DE </w:t>
      </w:r>
      <w:r w:rsidRPr="003B33D0">
        <w:rPr>
          <w:b/>
          <w:caps/>
          <w:szCs w:val="22"/>
          <w:lang w:val="es-ES_tradnl"/>
        </w:rPr>
        <w:t xml:space="preserve">INFORME DE LA </w:t>
      </w:r>
      <w:r w:rsidR="00F51AFC" w:rsidRPr="003B33D0">
        <w:rPr>
          <w:b/>
          <w:caps/>
          <w:szCs w:val="22"/>
          <w:lang w:val="es-ES_tradnl"/>
        </w:rPr>
        <w:t>VIGESIMONOVENA</w:t>
      </w:r>
      <w:r w:rsidR="003B33D0" w:rsidRPr="003B33D0">
        <w:rPr>
          <w:b/>
          <w:caps/>
          <w:szCs w:val="22"/>
          <w:lang w:val="es-ES_tradnl"/>
        </w:rPr>
        <w:t xml:space="preserve"> SESIÓN</w:t>
      </w:r>
    </w:p>
    <w:p w:rsidR="00660B6A" w:rsidRPr="003B33D0" w:rsidRDefault="00660B6A" w:rsidP="003B33D0">
      <w:pPr>
        <w:keepNext/>
        <w:rPr>
          <w:caps/>
          <w:szCs w:val="22"/>
          <w:lang w:val="es-ES_tradnl"/>
        </w:rPr>
      </w:pPr>
    </w:p>
    <w:p w:rsidR="00660B6A" w:rsidRPr="003B33D0" w:rsidRDefault="00660B6A" w:rsidP="00660B6A">
      <w:pPr>
        <w:rPr>
          <w:szCs w:val="22"/>
          <w:lang w:val="es-ES_tradnl"/>
        </w:rPr>
      </w:pPr>
      <w:r w:rsidRPr="003B33D0">
        <w:rPr>
          <w:szCs w:val="22"/>
        </w:rPr>
        <w:fldChar w:fldCharType="begin"/>
      </w:r>
      <w:r w:rsidRPr="003B33D0">
        <w:rPr>
          <w:szCs w:val="22"/>
          <w:lang w:val="es-ES_tradnl"/>
        </w:rPr>
        <w:instrText xml:space="preserve"> AUTONUM  </w:instrText>
      </w:r>
      <w:r w:rsidRPr="003B33D0">
        <w:rPr>
          <w:szCs w:val="22"/>
        </w:rPr>
        <w:fldChar w:fldCharType="end"/>
      </w:r>
      <w:r w:rsidRPr="003B33D0">
        <w:rPr>
          <w:szCs w:val="22"/>
          <w:lang w:val="es-ES_tradnl"/>
        </w:rPr>
        <w:tab/>
      </w:r>
      <w:r w:rsidR="0073720C" w:rsidRPr="003B33D0">
        <w:rPr>
          <w:szCs w:val="22"/>
          <w:lang w:val="es-ES_tradnl"/>
        </w:rPr>
        <w:t>El Comité aprobó el</w:t>
      </w:r>
      <w:r w:rsidR="00F51AFC" w:rsidRPr="003B33D0">
        <w:rPr>
          <w:szCs w:val="22"/>
          <w:lang w:val="es-ES_tradnl"/>
        </w:rPr>
        <w:t xml:space="preserve"> proyecto de informe</w:t>
      </w:r>
      <w:r w:rsidR="0073720C" w:rsidRPr="003B33D0">
        <w:rPr>
          <w:szCs w:val="22"/>
          <w:lang w:val="es-ES_tradnl"/>
        </w:rPr>
        <w:t xml:space="preserve"> de su </w:t>
      </w:r>
      <w:r w:rsidR="00F51AFC" w:rsidRPr="003B33D0">
        <w:rPr>
          <w:szCs w:val="22"/>
          <w:lang w:val="es-ES_tradnl"/>
        </w:rPr>
        <w:t>vigesimonovena</w:t>
      </w:r>
      <w:r w:rsidR="0073720C" w:rsidRPr="003B33D0">
        <w:rPr>
          <w:szCs w:val="22"/>
          <w:lang w:val="es-ES_tradnl"/>
        </w:rPr>
        <w:t xml:space="preserve"> sesión</w:t>
      </w:r>
      <w:r w:rsidR="0073720C" w:rsidRPr="003B33D0">
        <w:rPr>
          <w:color w:val="000000"/>
          <w:szCs w:val="22"/>
          <w:lang w:val="es-ES_tradnl"/>
        </w:rPr>
        <w:t xml:space="preserve"> </w:t>
      </w:r>
      <w:r w:rsidR="0073720C" w:rsidRPr="003B33D0">
        <w:rPr>
          <w:szCs w:val="22"/>
          <w:lang w:val="es-ES_tradnl"/>
        </w:rPr>
        <w:t>en la forma propuesta (documento SCCR/29/5).  Se invitó a las delegaciones</w:t>
      </w:r>
      <w:r w:rsidR="0014360C" w:rsidRPr="003B33D0">
        <w:rPr>
          <w:szCs w:val="22"/>
          <w:lang w:val="es-ES_tradnl"/>
        </w:rPr>
        <w:t xml:space="preserve"> </w:t>
      </w:r>
      <w:r w:rsidR="0073720C" w:rsidRPr="003B33D0">
        <w:rPr>
          <w:szCs w:val="22"/>
          <w:lang w:val="es-ES_tradnl"/>
        </w:rPr>
        <w:t xml:space="preserve">y observadores a enviar </w:t>
      </w:r>
      <w:r w:rsidR="008675E8" w:rsidRPr="003B33D0">
        <w:rPr>
          <w:szCs w:val="22"/>
          <w:lang w:val="es-ES_tradnl"/>
        </w:rPr>
        <w:t>a la Secretaría (</w:t>
      </w:r>
      <w:hyperlink r:id="rId9" w:history="1">
        <w:r w:rsidR="008675E8" w:rsidRPr="003B33D0">
          <w:rPr>
            <w:rStyle w:val="Hyperlink"/>
            <w:szCs w:val="22"/>
            <w:lang w:val="es-ES_tradnl"/>
          </w:rPr>
          <w:t>copyright.mail@wipo.int</w:t>
        </w:r>
      </w:hyperlink>
      <w:r w:rsidR="008675E8" w:rsidRPr="003B33D0">
        <w:rPr>
          <w:szCs w:val="22"/>
          <w:lang w:val="es-ES_tradnl"/>
        </w:rPr>
        <w:t xml:space="preserve">) </w:t>
      </w:r>
      <w:r w:rsidR="0014360C" w:rsidRPr="003B33D0">
        <w:rPr>
          <w:szCs w:val="22"/>
          <w:lang w:val="es-ES_tradnl"/>
        </w:rPr>
        <w:t xml:space="preserve">las observaciones eventuales que </w:t>
      </w:r>
      <w:r w:rsidR="003553E2">
        <w:rPr>
          <w:szCs w:val="22"/>
          <w:lang w:val="es-ES_tradnl"/>
        </w:rPr>
        <w:t>tengan</w:t>
      </w:r>
      <w:r w:rsidR="0014360C" w:rsidRPr="003B33D0">
        <w:rPr>
          <w:szCs w:val="22"/>
          <w:lang w:val="es-ES_tradnl"/>
        </w:rPr>
        <w:t xml:space="preserve"> </w:t>
      </w:r>
      <w:r w:rsidR="00F51AFC" w:rsidRPr="003B33D0">
        <w:rPr>
          <w:szCs w:val="22"/>
          <w:lang w:val="es-ES_tradnl"/>
        </w:rPr>
        <w:t>sobre sus declaraciones</w:t>
      </w:r>
      <w:r w:rsidR="008675E8" w:rsidRPr="003B33D0">
        <w:rPr>
          <w:szCs w:val="22"/>
          <w:lang w:val="es-ES_tradnl"/>
        </w:rPr>
        <w:t>,</w:t>
      </w:r>
      <w:r w:rsidR="00F51AFC" w:rsidRPr="003B33D0">
        <w:rPr>
          <w:szCs w:val="22"/>
          <w:lang w:val="es-ES_tradnl"/>
        </w:rPr>
        <w:t xml:space="preserve"> </w:t>
      </w:r>
      <w:r w:rsidR="0073720C" w:rsidRPr="003B33D0">
        <w:rPr>
          <w:szCs w:val="22"/>
          <w:lang w:val="es-ES_tradnl"/>
        </w:rPr>
        <w:t>a más</w:t>
      </w:r>
      <w:r w:rsidR="00F51AFC" w:rsidRPr="003B33D0">
        <w:rPr>
          <w:szCs w:val="22"/>
          <w:lang w:val="es-ES_tradnl"/>
        </w:rPr>
        <w:t xml:space="preserve"> tardar el 3</w:t>
      </w:r>
      <w:r w:rsidR="006B051B">
        <w:rPr>
          <w:szCs w:val="22"/>
          <w:lang w:val="es-ES_tradnl"/>
        </w:rPr>
        <w:t>1</w:t>
      </w:r>
      <w:r w:rsidR="00F51AFC" w:rsidRPr="003B33D0">
        <w:rPr>
          <w:szCs w:val="22"/>
          <w:lang w:val="es-ES_tradnl"/>
        </w:rPr>
        <w:t xml:space="preserve"> de julio de 2015</w:t>
      </w:r>
      <w:r w:rsidRPr="003B33D0">
        <w:rPr>
          <w:szCs w:val="22"/>
          <w:lang w:val="es-ES_tradnl"/>
        </w:rPr>
        <w:t>.</w:t>
      </w:r>
    </w:p>
    <w:p w:rsidR="00660B6A" w:rsidRPr="003B33D0" w:rsidRDefault="00660B6A" w:rsidP="00660B6A">
      <w:pPr>
        <w:rPr>
          <w:szCs w:val="22"/>
          <w:lang w:val="es-ES_tradnl"/>
        </w:rPr>
      </w:pPr>
    </w:p>
    <w:p w:rsidR="00660B6A" w:rsidRPr="003B33D0" w:rsidRDefault="00660B6A" w:rsidP="00660B6A">
      <w:pPr>
        <w:rPr>
          <w:szCs w:val="22"/>
          <w:lang w:val="es-ES_tradnl"/>
        </w:rPr>
      </w:pPr>
    </w:p>
    <w:p w:rsidR="006E315E" w:rsidRPr="003B33D0" w:rsidRDefault="006E315E" w:rsidP="006E315E">
      <w:pPr>
        <w:rPr>
          <w:b/>
          <w:caps/>
          <w:szCs w:val="22"/>
          <w:lang w:val="es-ES_tradnl"/>
        </w:rPr>
      </w:pPr>
      <w:r w:rsidRPr="003B33D0">
        <w:rPr>
          <w:b/>
          <w:caps/>
          <w:szCs w:val="22"/>
          <w:lang w:val="es-ES_tradnl"/>
        </w:rPr>
        <w:t>PUNTO 6 DEL ORDEN DEL DÍA</w:t>
      </w:r>
      <w:r w:rsidR="0073720C" w:rsidRPr="003B33D0">
        <w:rPr>
          <w:b/>
          <w:caps/>
          <w:szCs w:val="22"/>
          <w:lang w:val="es-ES_tradnl"/>
        </w:rPr>
        <w:t>:  PROTECCIÓN</w:t>
      </w:r>
      <w:r w:rsidRPr="003B33D0">
        <w:rPr>
          <w:b/>
          <w:caps/>
          <w:szCs w:val="22"/>
          <w:lang w:val="es-ES_tradnl"/>
        </w:rPr>
        <w:t xml:space="preserve"> DE LOS ORGANISMOS DE RADIODIFUSIÓN</w:t>
      </w:r>
    </w:p>
    <w:p w:rsidR="00660B6A" w:rsidRPr="003B33D0" w:rsidRDefault="00660B6A" w:rsidP="00660B6A">
      <w:pPr>
        <w:rPr>
          <w:b/>
          <w:caps/>
          <w:szCs w:val="22"/>
          <w:lang w:val="es-ES_tradnl"/>
        </w:rPr>
      </w:pPr>
    </w:p>
    <w:p w:rsidR="00660B6A" w:rsidRPr="003B33D0" w:rsidRDefault="00660B6A" w:rsidP="00660B6A">
      <w:pPr>
        <w:pStyle w:val="Default"/>
        <w:rPr>
          <w:sz w:val="22"/>
          <w:szCs w:val="22"/>
          <w:lang w:val="es-ES_tradnl"/>
        </w:rPr>
      </w:pPr>
      <w:r w:rsidRPr="003B33D0">
        <w:rPr>
          <w:sz w:val="22"/>
          <w:szCs w:val="22"/>
        </w:rPr>
        <w:fldChar w:fldCharType="begin"/>
      </w:r>
      <w:r w:rsidRPr="003B33D0">
        <w:rPr>
          <w:sz w:val="22"/>
          <w:szCs w:val="22"/>
          <w:lang w:val="es-ES_tradnl"/>
        </w:rPr>
        <w:instrText xml:space="preserve"> AUTONUM  </w:instrText>
      </w:r>
      <w:r w:rsidRPr="003B33D0">
        <w:rPr>
          <w:sz w:val="22"/>
          <w:szCs w:val="22"/>
        </w:rPr>
        <w:fldChar w:fldCharType="end"/>
      </w:r>
      <w:r w:rsidRPr="003B33D0">
        <w:rPr>
          <w:sz w:val="22"/>
          <w:szCs w:val="22"/>
          <w:lang w:val="es-ES_tradnl"/>
        </w:rPr>
        <w:tab/>
      </w:r>
      <w:r w:rsidR="006E315E" w:rsidRPr="003B33D0">
        <w:rPr>
          <w:sz w:val="22"/>
          <w:szCs w:val="22"/>
          <w:lang w:val="es-ES_tradnl"/>
        </w:rPr>
        <w:t>Los documentos relacionados con este punto del orden del día son</w:t>
      </w:r>
      <w:r w:rsidR="007F30C5">
        <w:rPr>
          <w:sz w:val="22"/>
          <w:szCs w:val="22"/>
          <w:lang w:val="es-ES_tradnl"/>
        </w:rPr>
        <w:t xml:space="preserve">:  SCCR/27/6, SCCR/27/2 </w:t>
      </w:r>
      <w:r w:rsidR="00996E44">
        <w:rPr>
          <w:sz w:val="22"/>
          <w:szCs w:val="22"/>
          <w:lang w:val="es-ES_tradnl"/>
        </w:rPr>
        <w:t>Rev</w:t>
      </w:r>
      <w:r w:rsidR="007F30C5">
        <w:rPr>
          <w:sz w:val="22"/>
          <w:szCs w:val="22"/>
          <w:lang w:val="es-ES_tradnl"/>
        </w:rPr>
        <w:t>. y SCCR/30/5</w:t>
      </w:r>
      <w:r w:rsidRPr="003B33D0">
        <w:rPr>
          <w:sz w:val="22"/>
          <w:szCs w:val="22"/>
          <w:lang w:val="es-ES_tradnl"/>
        </w:rPr>
        <w:t>.</w:t>
      </w:r>
    </w:p>
    <w:p w:rsidR="00660B6A" w:rsidRPr="003B33D0" w:rsidRDefault="00660B6A" w:rsidP="00660B6A">
      <w:pPr>
        <w:pStyle w:val="Default"/>
        <w:rPr>
          <w:sz w:val="22"/>
          <w:szCs w:val="22"/>
          <w:lang w:val="es-ES_tradnl"/>
        </w:rPr>
      </w:pPr>
    </w:p>
    <w:p w:rsidR="00660B6A" w:rsidRPr="003B33D0" w:rsidRDefault="00D53A83" w:rsidP="00660B6A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fldChar w:fldCharType="begin"/>
      </w:r>
      <w:r>
        <w:rPr>
          <w:sz w:val="22"/>
          <w:szCs w:val="22"/>
          <w:lang w:val="es-ES_tradnl"/>
        </w:rPr>
        <w:instrText xml:space="preserve"> AUTONUM  </w:instrText>
      </w:r>
      <w:r>
        <w:rPr>
          <w:sz w:val="22"/>
          <w:szCs w:val="22"/>
          <w:lang w:val="es-ES_tradnl"/>
        </w:rPr>
        <w:fldChar w:fldCharType="end"/>
      </w:r>
      <w:r>
        <w:rPr>
          <w:sz w:val="22"/>
          <w:szCs w:val="22"/>
          <w:lang w:val="es-ES_tradnl"/>
        </w:rPr>
        <w:tab/>
      </w:r>
      <w:r w:rsidR="00FB0C79" w:rsidRPr="003B33D0">
        <w:rPr>
          <w:sz w:val="22"/>
          <w:szCs w:val="22"/>
          <w:lang w:val="es-ES_tradnl"/>
        </w:rPr>
        <w:t xml:space="preserve">El Comité acogió con agrado la </w:t>
      </w:r>
      <w:r w:rsidR="003553E2">
        <w:rPr>
          <w:sz w:val="22"/>
          <w:szCs w:val="22"/>
          <w:lang w:val="es-ES_tradnl"/>
        </w:rPr>
        <w:t>presentación</w:t>
      </w:r>
      <w:r w:rsidR="00FB0C79" w:rsidRPr="003B33D0">
        <w:rPr>
          <w:sz w:val="22"/>
          <w:szCs w:val="22"/>
          <w:lang w:val="es-ES_tradnl"/>
        </w:rPr>
        <w:t xml:space="preserve"> del informe sobre las actuales tendencias del mercado y la tecnología en el sector de la radiodifusión, preparado por </w:t>
      </w:r>
      <w:r w:rsidR="00FB0C79" w:rsidRPr="003B33D0">
        <w:rPr>
          <w:i/>
          <w:sz w:val="22"/>
          <w:szCs w:val="22"/>
          <w:lang w:val="es-ES_tradnl"/>
        </w:rPr>
        <w:t>Information Analytics Expertise</w:t>
      </w:r>
      <w:r w:rsidR="00FB0C79" w:rsidRPr="003B33D0">
        <w:rPr>
          <w:sz w:val="22"/>
          <w:szCs w:val="22"/>
          <w:lang w:val="es-ES_tradnl"/>
        </w:rPr>
        <w:t xml:space="preserve"> (IHS)</w:t>
      </w:r>
      <w:r w:rsidR="00660B6A" w:rsidRPr="003B33D0">
        <w:rPr>
          <w:sz w:val="22"/>
          <w:szCs w:val="22"/>
          <w:lang w:val="es-ES_tradnl"/>
        </w:rPr>
        <w:t>.</w:t>
      </w:r>
      <w:r w:rsidR="007F30C5">
        <w:rPr>
          <w:sz w:val="22"/>
          <w:szCs w:val="22"/>
          <w:lang w:val="es-ES_tradnl"/>
        </w:rPr>
        <w:t xml:space="preserve">  Asimismo, tomó nota de</w:t>
      </w:r>
      <w:r w:rsidR="0014360C" w:rsidRPr="003B33D0">
        <w:rPr>
          <w:sz w:val="22"/>
          <w:szCs w:val="22"/>
          <w:lang w:val="es-ES_tradnl"/>
        </w:rPr>
        <w:t xml:space="preserve"> la </w:t>
      </w:r>
      <w:r w:rsidR="00992E73" w:rsidRPr="003B33D0">
        <w:rPr>
          <w:sz w:val="22"/>
          <w:szCs w:val="22"/>
          <w:lang w:val="es-ES_tradnl"/>
        </w:rPr>
        <w:t xml:space="preserve">sesión informativa </w:t>
      </w:r>
      <w:r w:rsidR="00FB0C79" w:rsidRPr="003B33D0">
        <w:rPr>
          <w:sz w:val="22"/>
          <w:szCs w:val="22"/>
          <w:lang w:val="es-ES_tradnl"/>
        </w:rPr>
        <w:t>sobre la radiodifusión</w:t>
      </w:r>
      <w:r w:rsidR="00992E73" w:rsidRPr="003B33D0">
        <w:rPr>
          <w:sz w:val="22"/>
          <w:szCs w:val="22"/>
          <w:lang w:val="es-ES_tradnl"/>
        </w:rPr>
        <w:t xml:space="preserve"> y</w:t>
      </w:r>
      <w:r w:rsidR="007F30C5">
        <w:rPr>
          <w:sz w:val="22"/>
          <w:szCs w:val="22"/>
          <w:lang w:val="es-ES_tradnl"/>
        </w:rPr>
        <w:t xml:space="preserve"> de</w:t>
      </w:r>
      <w:r w:rsidR="00DC627E" w:rsidRPr="003B33D0">
        <w:rPr>
          <w:sz w:val="22"/>
          <w:szCs w:val="22"/>
          <w:lang w:val="es-ES_tradnl"/>
        </w:rPr>
        <w:t xml:space="preserve"> </w:t>
      </w:r>
      <w:r w:rsidR="00FB0C79" w:rsidRPr="003B33D0">
        <w:rPr>
          <w:sz w:val="22"/>
          <w:szCs w:val="22"/>
          <w:lang w:val="es-ES_tradnl"/>
        </w:rPr>
        <w:t>las exposiciones</w:t>
      </w:r>
      <w:r w:rsidR="00DC627E" w:rsidRPr="003B33D0">
        <w:rPr>
          <w:sz w:val="22"/>
          <w:szCs w:val="22"/>
          <w:lang w:val="es-ES_tradnl"/>
        </w:rPr>
        <w:t xml:space="preserve"> y los debates </w:t>
      </w:r>
      <w:r w:rsidR="00992E73" w:rsidRPr="003B33D0">
        <w:rPr>
          <w:sz w:val="22"/>
          <w:szCs w:val="22"/>
          <w:lang w:val="es-ES_tradnl"/>
        </w:rPr>
        <w:t xml:space="preserve">de </w:t>
      </w:r>
      <w:r w:rsidR="00FB0C79" w:rsidRPr="003B33D0">
        <w:rPr>
          <w:sz w:val="22"/>
          <w:szCs w:val="22"/>
          <w:lang w:val="es-ES_tradnl"/>
        </w:rPr>
        <w:t xml:space="preserve">los expertos </w:t>
      </w:r>
      <w:r w:rsidR="007F30C5">
        <w:rPr>
          <w:sz w:val="22"/>
          <w:szCs w:val="22"/>
          <w:lang w:val="es-ES_tradnl"/>
        </w:rPr>
        <w:t>en radiodifusión</w:t>
      </w:r>
      <w:r w:rsidR="00FB0C79" w:rsidRPr="003B33D0">
        <w:rPr>
          <w:sz w:val="22"/>
          <w:szCs w:val="22"/>
          <w:lang w:val="es-ES_tradnl"/>
        </w:rPr>
        <w:t xml:space="preserve"> invitados para abordar algunas </w:t>
      </w:r>
      <w:r w:rsidR="00DC627E" w:rsidRPr="003B33D0">
        <w:rPr>
          <w:sz w:val="22"/>
          <w:szCs w:val="22"/>
          <w:lang w:val="es-ES_tradnl"/>
        </w:rPr>
        <w:t xml:space="preserve">de las </w:t>
      </w:r>
      <w:r w:rsidR="00FB0C79" w:rsidRPr="003B33D0">
        <w:rPr>
          <w:sz w:val="22"/>
          <w:szCs w:val="22"/>
          <w:lang w:val="es-ES_tradnl"/>
        </w:rPr>
        <w:t xml:space="preserve">cuestiones </w:t>
      </w:r>
      <w:r w:rsidR="00DC627E" w:rsidRPr="003B33D0">
        <w:rPr>
          <w:sz w:val="22"/>
          <w:szCs w:val="22"/>
          <w:lang w:val="es-ES_tradnl"/>
        </w:rPr>
        <w:t>técnica</w:t>
      </w:r>
      <w:r w:rsidR="00FB0C79" w:rsidRPr="003B33D0">
        <w:rPr>
          <w:sz w:val="22"/>
          <w:szCs w:val="22"/>
          <w:lang w:val="es-ES_tradnl"/>
        </w:rPr>
        <w:t xml:space="preserve">s examinadas en </w:t>
      </w:r>
      <w:r w:rsidR="00996E44">
        <w:rPr>
          <w:sz w:val="22"/>
          <w:szCs w:val="22"/>
          <w:lang w:val="es-ES_tradnl"/>
        </w:rPr>
        <w:t xml:space="preserve">las tres </w:t>
      </w:r>
      <w:r w:rsidR="00DC627E" w:rsidRPr="003B33D0">
        <w:rPr>
          <w:sz w:val="22"/>
          <w:szCs w:val="22"/>
          <w:lang w:val="es-ES_tradnl"/>
        </w:rPr>
        <w:t>sesiones</w:t>
      </w:r>
      <w:r w:rsidR="00FB0C79" w:rsidRPr="003B33D0">
        <w:rPr>
          <w:sz w:val="22"/>
          <w:szCs w:val="22"/>
          <w:lang w:val="es-ES_tradnl"/>
        </w:rPr>
        <w:t xml:space="preserve"> anteriores del Comité.</w:t>
      </w:r>
    </w:p>
    <w:p w:rsidR="00660B6A" w:rsidRPr="003B33D0" w:rsidRDefault="00660B6A" w:rsidP="00660B6A">
      <w:pPr>
        <w:pStyle w:val="Default"/>
        <w:rPr>
          <w:sz w:val="22"/>
          <w:szCs w:val="22"/>
          <w:lang w:val="es-ES_tradnl"/>
        </w:rPr>
      </w:pPr>
    </w:p>
    <w:p w:rsidR="00660B6A" w:rsidRPr="003B33D0" w:rsidRDefault="00D53A83" w:rsidP="00660B6A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fldChar w:fldCharType="begin"/>
      </w:r>
      <w:r>
        <w:rPr>
          <w:sz w:val="22"/>
          <w:szCs w:val="22"/>
          <w:lang w:val="es-ES_tradnl"/>
        </w:rPr>
        <w:instrText xml:space="preserve"> AUTONUM  </w:instrText>
      </w:r>
      <w:r>
        <w:rPr>
          <w:sz w:val="22"/>
          <w:szCs w:val="22"/>
          <w:lang w:val="es-ES_tradnl"/>
        </w:rPr>
        <w:fldChar w:fldCharType="end"/>
      </w:r>
      <w:r>
        <w:rPr>
          <w:sz w:val="22"/>
          <w:szCs w:val="22"/>
          <w:lang w:val="es-ES_tradnl"/>
        </w:rPr>
        <w:tab/>
      </w:r>
      <w:r w:rsidR="00992E73" w:rsidRPr="003B33D0">
        <w:rPr>
          <w:sz w:val="22"/>
          <w:szCs w:val="22"/>
          <w:lang w:val="es-ES_tradnl"/>
        </w:rPr>
        <w:t>El Comité prosiguió los debates sobre la protección de los organismos de radiodifusión y de difusión por cable tradicionales</w:t>
      </w:r>
      <w:r w:rsidR="000207CD" w:rsidRPr="003B33D0">
        <w:rPr>
          <w:sz w:val="22"/>
          <w:szCs w:val="22"/>
          <w:lang w:val="es-ES_tradnl"/>
        </w:rPr>
        <w:t>,</w:t>
      </w:r>
      <w:r w:rsidR="00660B6A" w:rsidRPr="003B33D0">
        <w:rPr>
          <w:sz w:val="22"/>
          <w:szCs w:val="22"/>
          <w:lang w:val="es-ES_tradnl"/>
        </w:rPr>
        <w:t xml:space="preserve"> </w:t>
      </w:r>
      <w:r w:rsidR="00992E73" w:rsidRPr="003B33D0">
        <w:rPr>
          <w:sz w:val="22"/>
          <w:szCs w:val="22"/>
          <w:lang w:val="es-ES_tradnl"/>
        </w:rPr>
        <w:t>siguiendo un enfoque basado en las señales</w:t>
      </w:r>
      <w:r w:rsidR="00123920" w:rsidRPr="003B33D0">
        <w:rPr>
          <w:sz w:val="22"/>
          <w:szCs w:val="22"/>
          <w:lang w:val="es-ES_tradnl"/>
        </w:rPr>
        <w:t xml:space="preserve"> y teniendo en cuenta</w:t>
      </w:r>
      <w:r w:rsidR="007F30C5">
        <w:rPr>
          <w:sz w:val="22"/>
          <w:szCs w:val="22"/>
          <w:lang w:val="es-ES_tradnl"/>
        </w:rPr>
        <w:t xml:space="preserve"> los</w:t>
      </w:r>
      <w:r w:rsidR="00123920" w:rsidRPr="003B33D0">
        <w:rPr>
          <w:sz w:val="22"/>
          <w:szCs w:val="22"/>
          <w:lang w:val="es-ES_tradnl"/>
        </w:rPr>
        <w:t xml:space="preserve"> </w:t>
      </w:r>
      <w:r w:rsidR="007F30C5">
        <w:rPr>
          <w:sz w:val="22"/>
          <w:szCs w:val="22"/>
          <w:lang w:val="es-ES_tradnl"/>
        </w:rPr>
        <w:t xml:space="preserve">documentos, </w:t>
      </w:r>
      <w:r w:rsidR="00123920" w:rsidRPr="003B33D0">
        <w:rPr>
          <w:sz w:val="22"/>
          <w:szCs w:val="22"/>
          <w:lang w:val="es-ES_tradnl"/>
        </w:rPr>
        <w:t xml:space="preserve">gráficos </w:t>
      </w:r>
      <w:r w:rsidR="000207CD" w:rsidRPr="003B33D0">
        <w:rPr>
          <w:sz w:val="22"/>
          <w:szCs w:val="22"/>
          <w:lang w:val="es-ES_tradnl"/>
        </w:rPr>
        <w:t>informales</w:t>
      </w:r>
      <w:r w:rsidR="00123920" w:rsidRPr="003B33D0">
        <w:rPr>
          <w:sz w:val="22"/>
          <w:szCs w:val="22"/>
          <w:lang w:val="es-ES_tradnl"/>
        </w:rPr>
        <w:t xml:space="preserve"> y documentos oficiosos examinados en las</w:t>
      </w:r>
      <w:r w:rsidR="007F30C5">
        <w:rPr>
          <w:sz w:val="22"/>
          <w:szCs w:val="22"/>
          <w:lang w:val="es-ES_tradnl"/>
        </w:rPr>
        <w:t xml:space="preserve"> </w:t>
      </w:r>
      <w:r w:rsidR="00996E44">
        <w:rPr>
          <w:sz w:val="22"/>
          <w:szCs w:val="22"/>
          <w:lang w:val="es-ES_tradnl"/>
        </w:rPr>
        <w:t>t</w:t>
      </w:r>
      <w:r w:rsidR="007F30C5">
        <w:rPr>
          <w:sz w:val="22"/>
          <w:szCs w:val="22"/>
          <w:lang w:val="es-ES_tradnl"/>
        </w:rPr>
        <w:t>res sesiones anteriores del</w:t>
      </w:r>
      <w:r w:rsidR="00123920" w:rsidRPr="003B33D0">
        <w:rPr>
          <w:sz w:val="22"/>
          <w:szCs w:val="22"/>
          <w:lang w:val="es-ES"/>
        </w:rPr>
        <w:t xml:space="preserve"> </w:t>
      </w:r>
      <w:r w:rsidR="00123920" w:rsidRPr="003B33D0">
        <w:rPr>
          <w:bCs/>
          <w:sz w:val="22"/>
          <w:szCs w:val="22"/>
          <w:lang w:val="es-ES"/>
        </w:rPr>
        <w:t>SCCR</w:t>
      </w:r>
      <w:r w:rsidR="00660B6A" w:rsidRPr="003B33D0">
        <w:rPr>
          <w:sz w:val="22"/>
          <w:szCs w:val="22"/>
          <w:lang w:val="es-ES_tradnl"/>
        </w:rPr>
        <w:t>.</w:t>
      </w:r>
    </w:p>
    <w:p w:rsidR="00660B6A" w:rsidRPr="003B33D0" w:rsidRDefault="00660B6A" w:rsidP="00660B6A">
      <w:pPr>
        <w:pStyle w:val="Default"/>
        <w:rPr>
          <w:sz w:val="22"/>
          <w:szCs w:val="22"/>
          <w:lang w:val="es-ES_tradnl"/>
        </w:rPr>
      </w:pPr>
    </w:p>
    <w:p w:rsidR="00660B6A" w:rsidRPr="003B33D0" w:rsidRDefault="00D53A83" w:rsidP="00660B6A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fldChar w:fldCharType="begin"/>
      </w:r>
      <w:r>
        <w:rPr>
          <w:sz w:val="22"/>
          <w:szCs w:val="22"/>
          <w:lang w:val="es-ES_tradnl"/>
        </w:rPr>
        <w:instrText xml:space="preserve"> AUTONUM  </w:instrText>
      </w:r>
      <w:r>
        <w:rPr>
          <w:sz w:val="22"/>
          <w:szCs w:val="22"/>
          <w:lang w:val="es-ES_tradnl"/>
        </w:rPr>
        <w:fldChar w:fldCharType="end"/>
      </w:r>
      <w:r>
        <w:rPr>
          <w:sz w:val="22"/>
          <w:szCs w:val="22"/>
          <w:lang w:val="es-ES_tradnl"/>
        </w:rPr>
        <w:tab/>
      </w:r>
      <w:r w:rsidR="00992E73" w:rsidRPr="003B33D0">
        <w:rPr>
          <w:sz w:val="22"/>
          <w:szCs w:val="22"/>
          <w:lang w:val="es-ES_tradnl"/>
        </w:rPr>
        <w:t>E</w:t>
      </w:r>
      <w:r w:rsidR="00216698" w:rsidRPr="003B33D0">
        <w:rPr>
          <w:sz w:val="22"/>
          <w:szCs w:val="22"/>
          <w:lang w:val="es-ES_tradnl"/>
        </w:rPr>
        <w:t xml:space="preserve">n </w:t>
      </w:r>
      <w:r w:rsidR="001C2E1A">
        <w:rPr>
          <w:sz w:val="22"/>
          <w:szCs w:val="22"/>
          <w:lang w:val="es-ES_tradnl"/>
        </w:rPr>
        <w:t xml:space="preserve">relación con el alcance y el </w:t>
      </w:r>
      <w:r w:rsidR="00216698" w:rsidRPr="003B33D0">
        <w:rPr>
          <w:sz w:val="22"/>
          <w:szCs w:val="22"/>
          <w:lang w:val="es-ES_tradnl"/>
        </w:rPr>
        <w:t xml:space="preserve">objeto de la protección, </w:t>
      </w:r>
      <w:r w:rsidR="001C2E1A">
        <w:rPr>
          <w:sz w:val="22"/>
          <w:szCs w:val="22"/>
          <w:lang w:val="es-ES_tradnl"/>
        </w:rPr>
        <w:t xml:space="preserve">a excepción de una delegación que dijo que necesita más tiempo para examinar la posibilidad de conceder protección mediante cualquier plataforma, el Comité </w:t>
      </w:r>
      <w:r w:rsidR="00216698" w:rsidRPr="003B33D0">
        <w:rPr>
          <w:sz w:val="22"/>
          <w:szCs w:val="22"/>
          <w:lang w:val="es-ES_tradnl"/>
        </w:rPr>
        <w:t>con</w:t>
      </w:r>
      <w:r w:rsidR="000207CD" w:rsidRPr="003B33D0">
        <w:rPr>
          <w:sz w:val="22"/>
          <w:szCs w:val="22"/>
          <w:lang w:val="es-ES_tradnl"/>
        </w:rPr>
        <w:t xml:space="preserve">sideró que se debe </w:t>
      </w:r>
      <w:r w:rsidR="00216698" w:rsidRPr="003B33D0">
        <w:rPr>
          <w:sz w:val="22"/>
          <w:szCs w:val="22"/>
          <w:lang w:val="es-ES_tradnl"/>
        </w:rPr>
        <w:t>conceder a los organismos de radiodifusión</w:t>
      </w:r>
      <w:r w:rsidR="000207CD" w:rsidRPr="003B33D0">
        <w:rPr>
          <w:sz w:val="22"/>
          <w:szCs w:val="22"/>
          <w:lang w:val="es-ES_tradnl"/>
        </w:rPr>
        <w:t xml:space="preserve"> </w:t>
      </w:r>
      <w:r w:rsidR="00216698" w:rsidRPr="003B33D0">
        <w:rPr>
          <w:sz w:val="22"/>
          <w:szCs w:val="22"/>
          <w:lang w:val="es-ES_tradnl"/>
        </w:rPr>
        <w:t>protección jurídica internacional</w:t>
      </w:r>
      <w:r w:rsidR="00996E44">
        <w:rPr>
          <w:sz w:val="22"/>
          <w:szCs w:val="22"/>
          <w:lang w:val="es-ES_tradnl"/>
        </w:rPr>
        <w:t xml:space="preserve"> y</w:t>
      </w:r>
      <w:r w:rsidR="00216698" w:rsidRPr="003B33D0">
        <w:rPr>
          <w:sz w:val="22"/>
          <w:szCs w:val="22"/>
          <w:lang w:val="es-ES_tradnl"/>
        </w:rPr>
        <w:t xml:space="preserve"> efectiva</w:t>
      </w:r>
      <w:r w:rsidR="000207CD" w:rsidRPr="003B33D0">
        <w:rPr>
          <w:sz w:val="22"/>
          <w:szCs w:val="22"/>
          <w:lang w:val="es-ES_tradnl"/>
        </w:rPr>
        <w:t xml:space="preserve"> </w:t>
      </w:r>
      <w:r w:rsidR="00216698" w:rsidRPr="003B33D0">
        <w:rPr>
          <w:sz w:val="22"/>
          <w:szCs w:val="22"/>
          <w:lang w:val="es-ES_tradnl"/>
        </w:rPr>
        <w:t xml:space="preserve">para </w:t>
      </w:r>
      <w:r w:rsidR="000207CD" w:rsidRPr="003B33D0">
        <w:rPr>
          <w:sz w:val="22"/>
          <w:szCs w:val="22"/>
          <w:lang w:val="es-ES_tradnl"/>
        </w:rPr>
        <w:t xml:space="preserve">que prohíban </w:t>
      </w:r>
      <w:r w:rsidR="00216698" w:rsidRPr="003B33D0">
        <w:rPr>
          <w:sz w:val="22"/>
          <w:szCs w:val="22"/>
          <w:lang w:val="es-ES_tradnl"/>
        </w:rPr>
        <w:t>el uso no autorizado de señales</w:t>
      </w:r>
      <w:r w:rsidR="00123920" w:rsidRPr="003B33D0">
        <w:rPr>
          <w:sz w:val="22"/>
          <w:szCs w:val="22"/>
          <w:lang w:val="es-ES_tradnl"/>
        </w:rPr>
        <w:t xml:space="preserve"> emitidas</w:t>
      </w:r>
      <w:r w:rsidR="00660B6A" w:rsidRPr="003B33D0">
        <w:rPr>
          <w:sz w:val="22"/>
          <w:szCs w:val="22"/>
          <w:lang w:val="es-ES_tradnl"/>
        </w:rPr>
        <w:t xml:space="preserve"> </w:t>
      </w:r>
      <w:r w:rsidR="00216698" w:rsidRPr="003B33D0">
        <w:rPr>
          <w:sz w:val="22"/>
          <w:szCs w:val="22"/>
          <w:lang w:val="es-ES_tradnl"/>
        </w:rPr>
        <w:t>en el curso de una transmisión por cualquier plataforma tecnológica</w:t>
      </w:r>
      <w:r w:rsidR="00660B6A" w:rsidRPr="003B33D0">
        <w:rPr>
          <w:sz w:val="22"/>
          <w:szCs w:val="22"/>
          <w:lang w:val="es-ES_tradnl"/>
        </w:rPr>
        <w:t>.</w:t>
      </w:r>
      <w:r w:rsidR="001C2E1A">
        <w:rPr>
          <w:sz w:val="22"/>
          <w:szCs w:val="22"/>
          <w:lang w:val="es-ES_tradnl"/>
        </w:rPr>
        <w:t xml:space="preserve">  Se plantearon también cuestiones relacionadas con la normativa nacional que se aplica al sector de la radiodifusión.</w:t>
      </w:r>
    </w:p>
    <w:p w:rsidR="00660B6A" w:rsidRPr="003B33D0" w:rsidRDefault="00660B6A" w:rsidP="00660B6A">
      <w:pPr>
        <w:pStyle w:val="Default"/>
        <w:rPr>
          <w:sz w:val="22"/>
          <w:szCs w:val="22"/>
          <w:lang w:val="es-ES_tradnl"/>
        </w:rPr>
      </w:pPr>
    </w:p>
    <w:p w:rsidR="00660B6A" w:rsidRPr="003B33D0" w:rsidRDefault="00D53A83" w:rsidP="00660B6A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fldChar w:fldCharType="begin"/>
      </w:r>
      <w:r>
        <w:rPr>
          <w:sz w:val="22"/>
          <w:szCs w:val="22"/>
          <w:lang w:val="es-ES_tradnl"/>
        </w:rPr>
        <w:instrText xml:space="preserve"> AUTONUM  </w:instrText>
      </w:r>
      <w:r>
        <w:rPr>
          <w:sz w:val="22"/>
          <w:szCs w:val="22"/>
          <w:lang w:val="es-ES_tradnl"/>
        </w:rPr>
        <w:fldChar w:fldCharType="end"/>
      </w:r>
      <w:r>
        <w:rPr>
          <w:sz w:val="22"/>
          <w:szCs w:val="22"/>
          <w:lang w:val="es-ES_tradnl"/>
        </w:rPr>
        <w:tab/>
      </w:r>
      <w:r w:rsidR="00992E73" w:rsidRPr="003B33D0">
        <w:rPr>
          <w:sz w:val="22"/>
          <w:szCs w:val="22"/>
          <w:lang w:val="es-ES_tradnl"/>
        </w:rPr>
        <w:t xml:space="preserve">El Comité </w:t>
      </w:r>
      <w:r w:rsidR="001C2E1A">
        <w:rPr>
          <w:sz w:val="22"/>
          <w:szCs w:val="22"/>
          <w:lang w:val="es-ES_tradnl"/>
        </w:rPr>
        <w:t>examinó también</w:t>
      </w:r>
      <w:r w:rsidR="00216698" w:rsidRPr="003B33D0">
        <w:rPr>
          <w:sz w:val="22"/>
          <w:szCs w:val="22"/>
          <w:lang w:val="es-ES_tradnl"/>
        </w:rPr>
        <w:t xml:space="preserve"> </w:t>
      </w:r>
      <w:r w:rsidR="008675E8" w:rsidRPr="003B33D0">
        <w:rPr>
          <w:sz w:val="22"/>
          <w:szCs w:val="22"/>
          <w:lang w:val="es-ES_tradnl"/>
        </w:rPr>
        <w:t>definiciones</w:t>
      </w:r>
      <w:r w:rsidR="00BB37AB" w:rsidRPr="003B33D0">
        <w:rPr>
          <w:sz w:val="22"/>
          <w:szCs w:val="22"/>
          <w:lang w:val="es-ES_tradnl"/>
        </w:rPr>
        <w:t xml:space="preserve"> </w:t>
      </w:r>
      <w:r w:rsidR="001C2E1A">
        <w:rPr>
          <w:sz w:val="22"/>
          <w:szCs w:val="22"/>
          <w:lang w:val="es-ES_tradnl"/>
        </w:rPr>
        <w:t>de</w:t>
      </w:r>
      <w:r w:rsidR="00216698" w:rsidRPr="003B33D0">
        <w:rPr>
          <w:sz w:val="22"/>
          <w:szCs w:val="22"/>
          <w:lang w:val="es-ES_tradnl"/>
        </w:rPr>
        <w:t xml:space="preserve"> </w:t>
      </w:r>
      <w:r w:rsidR="00216698" w:rsidRPr="003B33D0">
        <w:rPr>
          <w:i/>
          <w:sz w:val="22"/>
          <w:szCs w:val="22"/>
          <w:lang w:val="es-ES_tradnl"/>
        </w:rPr>
        <w:t>radiodifusión</w:t>
      </w:r>
      <w:r w:rsidR="001C2E1A">
        <w:rPr>
          <w:sz w:val="22"/>
          <w:szCs w:val="22"/>
          <w:lang w:val="es-ES_tradnl"/>
        </w:rPr>
        <w:t xml:space="preserve"> y de</w:t>
      </w:r>
      <w:r w:rsidR="00BB37AB" w:rsidRPr="003B33D0">
        <w:rPr>
          <w:sz w:val="22"/>
          <w:szCs w:val="22"/>
          <w:lang w:val="es-ES_tradnl"/>
        </w:rPr>
        <w:t xml:space="preserve"> </w:t>
      </w:r>
      <w:r w:rsidR="00216698" w:rsidRPr="003B33D0">
        <w:rPr>
          <w:i/>
          <w:sz w:val="22"/>
          <w:szCs w:val="22"/>
          <w:lang w:val="es-ES_tradnl"/>
        </w:rPr>
        <w:t>organismos de radiodifusión</w:t>
      </w:r>
      <w:r w:rsidR="001C2E1A">
        <w:rPr>
          <w:i/>
          <w:sz w:val="22"/>
          <w:szCs w:val="22"/>
          <w:lang w:val="es-ES_tradnl"/>
        </w:rPr>
        <w:t>.</w:t>
      </w:r>
      <w:r w:rsidR="001C2E1A">
        <w:rPr>
          <w:sz w:val="22"/>
          <w:szCs w:val="22"/>
          <w:lang w:val="es-ES_tradnl"/>
        </w:rPr>
        <w:t xml:space="preserve">  Esas definiciones deben elaborarse teniendo en cuenta las definiciones similares que se dan en tratados existentes. </w:t>
      </w:r>
      <w:r w:rsidR="00260928">
        <w:rPr>
          <w:sz w:val="22"/>
          <w:szCs w:val="22"/>
          <w:lang w:val="es-ES_tradnl"/>
        </w:rPr>
        <w:t xml:space="preserve"> </w:t>
      </w:r>
      <w:r w:rsidR="006B051B">
        <w:rPr>
          <w:sz w:val="22"/>
          <w:szCs w:val="22"/>
          <w:lang w:val="es-ES_tradnl"/>
        </w:rPr>
        <w:t>Se a</w:t>
      </w:r>
      <w:r w:rsidR="001C2E1A">
        <w:rPr>
          <w:sz w:val="22"/>
          <w:szCs w:val="22"/>
          <w:lang w:val="es-ES_tradnl"/>
        </w:rPr>
        <w:t xml:space="preserve">brió también </w:t>
      </w:r>
      <w:r w:rsidR="004D523B">
        <w:rPr>
          <w:sz w:val="22"/>
          <w:szCs w:val="22"/>
          <w:lang w:val="es-ES_tradnl"/>
        </w:rPr>
        <w:t xml:space="preserve">el </w:t>
      </w:r>
      <w:r w:rsidR="001C2E1A">
        <w:rPr>
          <w:sz w:val="22"/>
          <w:szCs w:val="22"/>
          <w:lang w:val="es-ES_tradnl"/>
        </w:rPr>
        <w:t>debate acerca de la definición de</w:t>
      </w:r>
      <w:r w:rsidR="00216698" w:rsidRPr="003B33D0">
        <w:rPr>
          <w:sz w:val="22"/>
          <w:szCs w:val="22"/>
          <w:lang w:val="es-ES_tradnl"/>
        </w:rPr>
        <w:t xml:space="preserve"> </w:t>
      </w:r>
      <w:r w:rsidR="00216698" w:rsidRPr="003B33D0">
        <w:rPr>
          <w:i/>
          <w:sz w:val="22"/>
          <w:szCs w:val="22"/>
          <w:lang w:val="es-ES_tradnl"/>
        </w:rPr>
        <w:t>señal</w:t>
      </w:r>
      <w:r w:rsidR="00660B6A" w:rsidRPr="003B33D0">
        <w:rPr>
          <w:sz w:val="22"/>
          <w:szCs w:val="22"/>
          <w:lang w:val="es-ES_tradnl"/>
        </w:rPr>
        <w:t>.</w:t>
      </w:r>
    </w:p>
    <w:p w:rsidR="00660B6A" w:rsidRPr="003B33D0" w:rsidRDefault="00660B6A" w:rsidP="00660B6A">
      <w:pPr>
        <w:pStyle w:val="Default"/>
        <w:rPr>
          <w:sz w:val="22"/>
          <w:szCs w:val="22"/>
          <w:lang w:val="es-ES_tradnl"/>
        </w:rPr>
      </w:pPr>
    </w:p>
    <w:p w:rsidR="00660B6A" w:rsidRDefault="00D53A83" w:rsidP="00660B6A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fldChar w:fldCharType="begin"/>
      </w:r>
      <w:r>
        <w:rPr>
          <w:sz w:val="22"/>
          <w:szCs w:val="22"/>
          <w:lang w:val="es-ES_tradnl"/>
        </w:rPr>
        <w:instrText xml:space="preserve"> AUTONUM  </w:instrText>
      </w:r>
      <w:r>
        <w:rPr>
          <w:sz w:val="22"/>
          <w:szCs w:val="22"/>
          <w:lang w:val="es-ES_tradnl"/>
        </w:rPr>
        <w:fldChar w:fldCharType="end"/>
      </w:r>
      <w:r>
        <w:rPr>
          <w:sz w:val="22"/>
          <w:szCs w:val="22"/>
          <w:lang w:val="es-ES_tradnl"/>
        </w:rPr>
        <w:tab/>
      </w:r>
      <w:r w:rsidR="00992E73" w:rsidRPr="003B33D0">
        <w:rPr>
          <w:sz w:val="22"/>
          <w:szCs w:val="22"/>
          <w:lang w:val="es-ES_tradnl"/>
        </w:rPr>
        <w:t xml:space="preserve">El Comité </w:t>
      </w:r>
      <w:r w:rsidR="00216698" w:rsidRPr="003B33D0">
        <w:rPr>
          <w:sz w:val="22"/>
          <w:szCs w:val="22"/>
          <w:lang w:val="es-ES_tradnl"/>
        </w:rPr>
        <w:t>pidi</w:t>
      </w:r>
      <w:r w:rsidR="00342EAC" w:rsidRPr="003B33D0">
        <w:rPr>
          <w:sz w:val="22"/>
          <w:szCs w:val="22"/>
          <w:lang w:val="es-ES_tradnl"/>
        </w:rPr>
        <w:t xml:space="preserve">ó al Presidente que, para </w:t>
      </w:r>
      <w:r w:rsidR="00BB37AB" w:rsidRPr="003B33D0">
        <w:rPr>
          <w:sz w:val="22"/>
          <w:szCs w:val="22"/>
          <w:lang w:val="es-ES_tradnl"/>
        </w:rPr>
        <w:t xml:space="preserve">la </w:t>
      </w:r>
      <w:r w:rsidR="00342EAC" w:rsidRPr="003B33D0">
        <w:rPr>
          <w:sz w:val="22"/>
          <w:szCs w:val="22"/>
          <w:lang w:val="es-ES_tradnl"/>
        </w:rPr>
        <w:t xml:space="preserve">próxima sesión, </w:t>
      </w:r>
      <w:r w:rsidR="00216698" w:rsidRPr="003B33D0">
        <w:rPr>
          <w:sz w:val="22"/>
          <w:szCs w:val="22"/>
          <w:lang w:val="es-ES_tradnl"/>
        </w:rPr>
        <w:t>prepar</w:t>
      </w:r>
      <w:r w:rsidR="003553E2">
        <w:rPr>
          <w:sz w:val="22"/>
          <w:szCs w:val="22"/>
          <w:lang w:val="es-ES_tradnl"/>
        </w:rPr>
        <w:t>e</w:t>
      </w:r>
      <w:r w:rsidR="00216698" w:rsidRPr="003B33D0">
        <w:rPr>
          <w:sz w:val="22"/>
          <w:szCs w:val="22"/>
          <w:lang w:val="es-ES_tradnl"/>
        </w:rPr>
        <w:t xml:space="preserve"> un texto </w:t>
      </w:r>
      <w:r w:rsidR="00804D26" w:rsidRPr="003B33D0">
        <w:rPr>
          <w:sz w:val="22"/>
          <w:szCs w:val="22"/>
          <w:lang w:val="es-ES_tradnl"/>
        </w:rPr>
        <w:t>consolidado</w:t>
      </w:r>
      <w:r w:rsidR="00216698" w:rsidRPr="003B33D0">
        <w:rPr>
          <w:sz w:val="22"/>
          <w:szCs w:val="22"/>
          <w:lang w:val="es-ES_tradnl"/>
        </w:rPr>
        <w:t xml:space="preserve"> </w:t>
      </w:r>
      <w:r w:rsidR="00BB37AB" w:rsidRPr="003B33D0">
        <w:rPr>
          <w:sz w:val="22"/>
          <w:szCs w:val="22"/>
          <w:lang w:val="es-ES_tradnl"/>
        </w:rPr>
        <w:t>sobre l</w:t>
      </w:r>
      <w:r w:rsidR="00342EAC" w:rsidRPr="003B33D0">
        <w:rPr>
          <w:sz w:val="22"/>
          <w:szCs w:val="22"/>
          <w:lang w:val="es-ES_tradnl"/>
        </w:rPr>
        <w:t xml:space="preserve">as </w:t>
      </w:r>
      <w:r w:rsidR="00216698" w:rsidRPr="003B33D0">
        <w:rPr>
          <w:sz w:val="22"/>
          <w:szCs w:val="22"/>
          <w:lang w:val="es-ES_tradnl"/>
        </w:rPr>
        <w:t>definiciones</w:t>
      </w:r>
      <w:r w:rsidR="003553E2">
        <w:rPr>
          <w:sz w:val="22"/>
          <w:szCs w:val="22"/>
          <w:lang w:val="es-ES_tradnl"/>
        </w:rPr>
        <w:t>,</w:t>
      </w:r>
      <w:r w:rsidR="00216698" w:rsidRPr="003B33D0">
        <w:rPr>
          <w:sz w:val="22"/>
          <w:szCs w:val="22"/>
          <w:lang w:val="es-ES_tradnl"/>
        </w:rPr>
        <w:t xml:space="preserve"> </w:t>
      </w:r>
      <w:r w:rsidR="00342EAC" w:rsidRPr="003B33D0">
        <w:rPr>
          <w:sz w:val="22"/>
          <w:szCs w:val="22"/>
          <w:lang w:val="es-ES_tradnl"/>
        </w:rPr>
        <w:t>el objeto de la protección y</w:t>
      </w:r>
      <w:r w:rsidR="00BB37AB" w:rsidRPr="003B33D0">
        <w:rPr>
          <w:sz w:val="22"/>
          <w:szCs w:val="22"/>
          <w:lang w:val="es-ES_tradnl"/>
        </w:rPr>
        <w:t xml:space="preserve"> </w:t>
      </w:r>
      <w:r w:rsidR="003553E2">
        <w:rPr>
          <w:sz w:val="22"/>
          <w:szCs w:val="22"/>
          <w:lang w:val="es-ES_tradnl"/>
        </w:rPr>
        <w:t xml:space="preserve">los </w:t>
      </w:r>
      <w:r w:rsidR="00123920" w:rsidRPr="003B33D0">
        <w:rPr>
          <w:sz w:val="22"/>
          <w:szCs w:val="22"/>
          <w:lang w:val="es-ES_tradnl"/>
        </w:rPr>
        <w:t>derechos que han de concederse</w:t>
      </w:r>
      <w:r w:rsidR="00660B6A" w:rsidRPr="003B33D0">
        <w:rPr>
          <w:sz w:val="22"/>
          <w:szCs w:val="22"/>
          <w:lang w:val="es-ES_tradnl"/>
        </w:rPr>
        <w:t>.</w:t>
      </w:r>
      <w:r w:rsidR="00342EAC" w:rsidRPr="003B33D0">
        <w:rPr>
          <w:sz w:val="22"/>
          <w:szCs w:val="22"/>
          <w:lang w:val="es-ES_tradnl"/>
        </w:rPr>
        <w:t xml:space="preserve">  En esa sesión</w:t>
      </w:r>
      <w:r w:rsidR="00BB37AB" w:rsidRPr="003B33D0">
        <w:rPr>
          <w:sz w:val="22"/>
          <w:szCs w:val="22"/>
          <w:lang w:val="es-ES_tradnl"/>
        </w:rPr>
        <w:t>,</w:t>
      </w:r>
      <w:r w:rsidR="00342EAC" w:rsidRPr="003B33D0">
        <w:rPr>
          <w:sz w:val="22"/>
          <w:szCs w:val="22"/>
          <w:lang w:val="es-ES_tradnl"/>
        </w:rPr>
        <w:t xml:space="preserve"> el Comité </w:t>
      </w:r>
      <w:r w:rsidR="00BB37AB" w:rsidRPr="003B33D0">
        <w:rPr>
          <w:sz w:val="22"/>
          <w:szCs w:val="22"/>
          <w:lang w:val="es-ES_tradnl"/>
        </w:rPr>
        <w:t xml:space="preserve">también </w:t>
      </w:r>
      <w:r w:rsidR="00342EAC" w:rsidRPr="003B33D0">
        <w:rPr>
          <w:sz w:val="22"/>
          <w:szCs w:val="22"/>
          <w:lang w:val="es-ES_tradnl"/>
        </w:rPr>
        <w:t xml:space="preserve">intercambiará opiniones y aclarará otras cuestiones con </w:t>
      </w:r>
      <w:r w:rsidR="00BB37AB" w:rsidRPr="003B33D0">
        <w:rPr>
          <w:sz w:val="22"/>
          <w:szCs w:val="22"/>
          <w:lang w:val="es-ES_tradnl"/>
        </w:rPr>
        <w:t xml:space="preserve">miras a lograr una interpretación </w:t>
      </w:r>
      <w:r w:rsidR="00342EAC" w:rsidRPr="003B33D0">
        <w:rPr>
          <w:sz w:val="22"/>
          <w:szCs w:val="22"/>
          <w:lang w:val="es-ES_tradnl"/>
        </w:rPr>
        <w:t>común</w:t>
      </w:r>
      <w:r w:rsidR="00660B6A" w:rsidRPr="003B33D0">
        <w:rPr>
          <w:sz w:val="22"/>
          <w:szCs w:val="22"/>
          <w:lang w:val="es-ES_tradnl"/>
        </w:rPr>
        <w:t>.</w:t>
      </w:r>
    </w:p>
    <w:p w:rsidR="00BD3B73" w:rsidRDefault="00BD3B73" w:rsidP="00660B6A">
      <w:pPr>
        <w:pStyle w:val="Default"/>
        <w:rPr>
          <w:sz w:val="22"/>
          <w:szCs w:val="22"/>
          <w:lang w:val="es-ES_tradnl"/>
        </w:rPr>
      </w:pPr>
    </w:p>
    <w:p w:rsidR="00BD3B73" w:rsidRPr="003B33D0" w:rsidRDefault="00BD3B73" w:rsidP="00660B6A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12.</w:t>
      </w:r>
      <w:r>
        <w:rPr>
          <w:sz w:val="22"/>
          <w:szCs w:val="22"/>
          <w:lang w:val="es-ES_tradnl"/>
        </w:rPr>
        <w:tab/>
        <w:t>No se llegó a un acuerdo para formular recomendaciones a la Asamblea General de la OMPI (WIPO/GA/47).</w:t>
      </w:r>
    </w:p>
    <w:p w:rsidR="00660B6A" w:rsidRPr="003B33D0" w:rsidRDefault="00660B6A" w:rsidP="00660B6A">
      <w:pPr>
        <w:pStyle w:val="Default"/>
        <w:rPr>
          <w:sz w:val="22"/>
          <w:szCs w:val="22"/>
          <w:lang w:val="es-ES_tradnl"/>
        </w:rPr>
      </w:pPr>
    </w:p>
    <w:p w:rsidR="00660B6A" w:rsidRPr="003B33D0" w:rsidRDefault="00BD3B73" w:rsidP="00660B6A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13.</w:t>
      </w:r>
      <w:r w:rsidR="00D53A83">
        <w:rPr>
          <w:sz w:val="22"/>
          <w:szCs w:val="22"/>
          <w:lang w:val="es-ES_tradnl"/>
        </w:rPr>
        <w:tab/>
      </w:r>
      <w:r w:rsidR="00216698" w:rsidRPr="003B33D0">
        <w:rPr>
          <w:sz w:val="22"/>
          <w:szCs w:val="22"/>
          <w:lang w:val="es-ES_tradnl"/>
        </w:rPr>
        <w:t>Este punto se mantendrá en el orden del día de la trigésima primera sesión del SCCR</w:t>
      </w:r>
      <w:r w:rsidR="00660B6A" w:rsidRPr="003B33D0">
        <w:rPr>
          <w:sz w:val="22"/>
          <w:szCs w:val="22"/>
          <w:lang w:val="es-ES_tradnl"/>
        </w:rPr>
        <w:t>.</w:t>
      </w:r>
    </w:p>
    <w:p w:rsidR="00660B6A" w:rsidRPr="003B33D0" w:rsidRDefault="00660B6A" w:rsidP="00660B6A">
      <w:pPr>
        <w:pStyle w:val="Default"/>
        <w:rPr>
          <w:sz w:val="22"/>
          <w:szCs w:val="22"/>
          <w:lang w:val="es-ES_tradnl"/>
        </w:rPr>
      </w:pPr>
    </w:p>
    <w:p w:rsidR="00660B6A" w:rsidRPr="003B33D0" w:rsidRDefault="00660B6A" w:rsidP="00660B6A">
      <w:pPr>
        <w:rPr>
          <w:szCs w:val="22"/>
          <w:lang w:val="es-ES_tradnl"/>
        </w:rPr>
      </w:pPr>
    </w:p>
    <w:p w:rsidR="006E315E" w:rsidRPr="003B33D0" w:rsidRDefault="006E315E" w:rsidP="006E315E">
      <w:pPr>
        <w:rPr>
          <w:b/>
          <w:caps/>
          <w:szCs w:val="22"/>
          <w:lang w:val="es-ES_tradnl"/>
        </w:rPr>
      </w:pPr>
      <w:r w:rsidRPr="003B33D0">
        <w:rPr>
          <w:b/>
          <w:caps/>
          <w:szCs w:val="22"/>
          <w:lang w:val="es-ES_tradnl"/>
        </w:rPr>
        <w:t>punto 7 DEL ORDEN DEL DÍA</w:t>
      </w:r>
      <w:r w:rsidR="00660B6A" w:rsidRPr="003B33D0">
        <w:rPr>
          <w:b/>
          <w:caps/>
          <w:szCs w:val="22"/>
          <w:lang w:val="es-ES_tradnl"/>
        </w:rPr>
        <w:t xml:space="preserve">:  </w:t>
      </w:r>
      <w:r w:rsidRPr="003B33D0">
        <w:rPr>
          <w:b/>
          <w:caps/>
          <w:szCs w:val="22"/>
          <w:lang w:val="es-ES_tradnl"/>
        </w:rPr>
        <w:t>LIMITAciones y excepciones para bibliotecas y archivos</w:t>
      </w:r>
    </w:p>
    <w:p w:rsidR="00660B6A" w:rsidRPr="003B33D0" w:rsidRDefault="00660B6A" w:rsidP="00660B6A">
      <w:pPr>
        <w:pStyle w:val="Default"/>
        <w:rPr>
          <w:color w:val="auto"/>
          <w:sz w:val="22"/>
          <w:szCs w:val="22"/>
          <w:lang w:val="es-ES_tradnl"/>
        </w:rPr>
      </w:pPr>
    </w:p>
    <w:p w:rsidR="00660B6A" w:rsidRDefault="00BD3B73" w:rsidP="00660B6A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14.</w:t>
      </w:r>
      <w:r w:rsidR="00260928">
        <w:rPr>
          <w:sz w:val="22"/>
          <w:szCs w:val="22"/>
          <w:lang w:val="es-ES_tradnl"/>
        </w:rPr>
        <w:tab/>
      </w:r>
      <w:r w:rsidR="006E315E" w:rsidRPr="003B33D0">
        <w:rPr>
          <w:sz w:val="22"/>
          <w:szCs w:val="22"/>
          <w:lang w:val="es-ES_tradnl"/>
        </w:rPr>
        <w:t>Los documentos relacionados con este punto del orden del día son</w:t>
      </w:r>
      <w:r w:rsidR="00044589">
        <w:rPr>
          <w:sz w:val="22"/>
          <w:szCs w:val="22"/>
          <w:lang w:val="es-ES_tradnl"/>
        </w:rPr>
        <w:t xml:space="preserve">: </w:t>
      </w:r>
      <w:r w:rsidR="006E315E" w:rsidRPr="003B33D0">
        <w:rPr>
          <w:sz w:val="22"/>
          <w:szCs w:val="22"/>
          <w:lang w:val="es-ES_tradnl"/>
        </w:rPr>
        <w:t xml:space="preserve"> </w:t>
      </w:r>
      <w:r w:rsidR="00044589" w:rsidRPr="00C246E8">
        <w:rPr>
          <w:sz w:val="22"/>
          <w:szCs w:val="22"/>
          <w:lang w:val="es-ES_tradnl"/>
        </w:rPr>
        <w:t>SCCR/26/3, SCCR/26/8, SCCR/29/3, SCCR/29/4, SCCR/30/2 y SCCR/30/3</w:t>
      </w:r>
      <w:r w:rsidR="00660B6A" w:rsidRPr="003B33D0">
        <w:rPr>
          <w:sz w:val="22"/>
          <w:szCs w:val="22"/>
          <w:lang w:val="es-ES_tradnl"/>
        </w:rPr>
        <w:t>.</w:t>
      </w:r>
    </w:p>
    <w:p w:rsidR="00044589" w:rsidRDefault="00044589" w:rsidP="00660B6A">
      <w:pPr>
        <w:pStyle w:val="Default"/>
        <w:rPr>
          <w:sz w:val="22"/>
          <w:szCs w:val="22"/>
          <w:lang w:val="es-ES_tradnl"/>
        </w:rPr>
      </w:pPr>
    </w:p>
    <w:p w:rsidR="00546A55" w:rsidRDefault="00BD3B73" w:rsidP="00660B6A">
      <w:pPr>
        <w:pStyle w:val="Default"/>
        <w:rPr>
          <w:sz w:val="22"/>
          <w:szCs w:val="22"/>
          <w:lang w:val="es-ES"/>
        </w:rPr>
      </w:pPr>
      <w:r>
        <w:rPr>
          <w:sz w:val="22"/>
          <w:szCs w:val="22"/>
          <w:lang w:val="es-ES_tradnl"/>
        </w:rPr>
        <w:lastRenderedPageBreak/>
        <w:t>15.</w:t>
      </w:r>
      <w:r w:rsidR="00044589">
        <w:rPr>
          <w:sz w:val="22"/>
          <w:szCs w:val="22"/>
          <w:lang w:val="es-ES_tradnl"/>
        </w:rPr>
        <w:tab/>
        <w:t xml:space="preserve">El Comité acogió con agrado el </w:t>
      </w:r>
      <w:r w:rsidR="000100B5" w:rsidRPr="000100B5">
        <w:rPr>
          <w:i/>
          <w:sz w:val="22"/>
          <w:szCs w:val="22"/>
          <w:lang w:val="es-ES_tradnl"/>
        </w:rPr>
        <w:t>E</w:t>
      </w:r>
      <w:r w:rsidR="00044589" w:rsidRPr="000100B5">
        <w:rPr>
          <w:i/>
          <w:sz w:val="22"/>
          <w:szCs w:val="22"/>
          <w:lang w:val="es-ES"/>
        </w:rPr>
        <w:t>studio sobre limitaciones y excepciones en materia de derecho de autor en favor de bibliotecas y archivos:  versión actualizada y revisada</w:t>
      </w:r>
      <w:r w:rsidR="000100B5">
        <w:rPr>
          <w:sz w:val="22"/>
          <w:szCs w:val="22"/>
          <w:lang w:val="es-ES"/>
        </w:rPr>
        <w:t>, preparado por el Profesor Kenneth Crews (documento SCCR/30/3)</w:t>
      </w:r>
      <w:r w:rsidR="006B051B">
        <w:rPr>
          <w:sz w:val="22"/>
          <w:szCs w:val="22"/>
          <w:lang w:val="es-ES"/>
        </w:rPr>
        <w:t>.</w:t>
      </w:r>
    </w:p>
    <w:p w:rsidR="00546A55" w:rsidRDefault="00546A55" w:rsidP="00660B6A">
      <w:pPr>
        <w:pStyle w:val="Default"/>
        <w:rPr>
          <w:sz w:val="22"/>
          <w:szCs w:val="22"/>
          <w:lang w:val="es-ES"/>
        </w:rPr>
      </w:pPr>
    </w:p>
    <w:p w:rsidR="00044589" w:rsidRDefault="005F1287" w:rsidP="00660B6A">
      <w:pPr>
        <w:pStyle w:val="Defaul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16.</w:t>
      </w:r>
      <w:r w:rsidR="006B051B">
        <w:rPr>
          <w:sz w:val="22"/>
          <w:szCs w:val="22"/>
          <w:lang w:val="es-ES"/>
        </w:rPr>
        <w:tab/>
      </w:r>
      <w:r w:rsidR="00044589">
        <w:rPr>
          <w:sz w:val="22"/>
          <w:szCs w:val="22"/>
          <w:lang w:val="es-ES"/>
        </w:rPr>
        <w:t xml:space="preserve">El Comité fue informado de que se ha finalizado el </w:t>
      </w:r>
      <w:r w:rsidR="000100B5" w:rsidRPr="000100B5">
        <w:rPr>
          <w:i/>
          <w:sz w:val="22"/>
          <w:szCs w:val="22"/>
          <w:lang w:val="es-ES"/>
        </w:rPr>
        <w:t xml:space="preserve">Estudio </w:t>
      </w:r>
      <w:r w:rsidR="00044589" w:rsidRPr="000100B5">
        <w:rPr>
          <w:i/>
          <w:sz w:val="22"/>
          <w:szCs w:val="22"/>
          <w:lang w:val="es-ES"/>
        </w:rPr>
        <w:t>sobre las limitaciones y excepciones en beneficio de los museos</w:t>
      </w:r>
      <w:r w:rsidR="00044589">
        <w:rPr>
          <w:sz w:val="22"/>
          <w:szCs w:val="22"/>
          <w:lang w:val="es-ES"/>
        </w:rPr>
        <w:t>, preparado por el Sr. Jean François Canat y la Profesora Lucie Guibault (documento SCCR/30/2), el cual fue distribuido en la presente sesión y será presentado en la sesión siguiente del Comité.</w:t>
      </w:r>
    </w:p>
    <w:p w:rsidR="00044589" w:rsidRDefault="00044589" w:rsidP="00660B6A">
      <w:pPr>
        <w:pStyle w:val="Default"/>
        <w:rPr>
          <w:sz w:val="22"/>
          <w:szCs w:val="22"/>
          <w:lang w:val="es-ES"/>
        </w:rPr>
      </w:pPr>
    </w:p>
    <w:p w:rsidR="00044589" w:rsidRDefault="005F1287" w:rsidP="00660B6A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17.</w:t>
      </w:r>
      <w:r w:rsidR="00044589">
        <w:rPr>
          <w:sz w:val="22"/>
          <w:szCs w:val="22"/>
          <w:lang w:val="es-ES_tradnl"/>
        </w:rPr>
        <w:tab/>
        <w:t xml:space="preserve">El Comité </w:t>
      </w:r>
      <w:r w:rsidR="006B051B">
        <w:rPr>
          <w:sz w:val="22"/>
          <w:szCs w:val="22"/>
          <w:lang w:val="es-ES_tradnl"/>
        </w:rPr>
        <w:t>examinó</w:t>
      </w:r>
      <w:r w:rsidR="00044589">
        <w:rPr>
          <w:sz w:val="22"/>
          <w:szCs w:val="22"/>
          <w:lang w:val="es-ES_tradnl"/>
        </w:rPr>
        <w:t xml:space="preserve"> la utilización del documento oficioso sobre “excepciones y limitaciones para las bibliotecas y archivos” presentado por el Presidente en la vigesimonovena sesión del SCCR</w:t>
      </w:r>
      <w:r w:rsidR="006B051B">
        <w:rPr>
          <w:sz w:val="22"/>
          <w:szCs w:val="22"/>
          <w:lang w:val="es-ES_tradnl"/>
        </w:rPr>
        <w:t xml:space="preserve"> y dio su visto bueno</w:t>
      </w:r>
      <w:r w:rsidR="00044589">
        <w:rPr>
          <w:sz w:val="22"/>
          <w:szCs w:val="22"/>
          <w:lang w:val="es-ES_tradnl"/>
        </w:rPr>
        <w:t xml:space="preserve">.  Dicho documento oficioso consiste en un gráfico cuyo cometido es servir de herramienta </w:t>
      </w:r>
      <w:r w:rsidR="00DD56F0">
        <w:rPr>
          <w:sz w:val="22"/>
          <w:szCs w:val="22"/>
          <w:lang w:val="es-ES_tradnl"/>
        </w:rPr>
        <w:t xml:space="preserve">útil </w:t>
      </w:r>
      <w:r w:rsidR="00044589">
        <w:rPr>
          <w:sz w:val="22"/>
          <w:szCs w:val="22"/>
          <w:lang w:val="es-ES_tradnl"/>
        </w:rPr>
        <w:t xml:space="preserve">para dar estructura </w:t>
      </w:r>
      <w:r w:rsidR="00DD56F0">
        <w:rPr>
          <w:sz w:val="22"/>
          <w:szCs w:val="22"/>
          <w:lang w:val="es-ES_tradnl"/>
        </w:rPr>
        <w:t>al debate sustantivo de cada tema, inspirado del cúmulo de fuentes que tiene ante sí el Comité.  Con ello el Comité podrá debatir con base empírica y manteniéndose en el respeto de las diversas opiniones, sabiendo que la meta no es orientar el debate hacia un resultado concreto o no deseado, sino encauzarlo hacia una mejor comprensión de los temas y de su real importancia para los debates y el resultado al que se pretende llegar.</w:t>
      </w:r>
    </w:p>
    <w:p w:rsidR="00DD56F0" w:rsidRDefault="00DD56F0" w:rsidP="00660B6A">
      <w:pPr>
        <w:pStyle w:val="Default"/>
        <w:rPr>
          <w:sz w:val="22"/>
          <w:szCs w:val="22"/>
          <w:lang w:val="es-ES_tradnl"/>
        </w:rPr>
      </w:pPr>
    </w:p>
    <w:p w:rsidR="00DD56F0" w:rsidRDefault="005F1287" w:rsidP="00660B6A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18.</w:t>
      </w:r>
      <w:r w:rsidR="00DD56F0">
        <w:rPr>
          <w:sz w:val="22"/>
          <w:szCs w:val="22"/>
          <w:lang w:val="es-ES_tradnl"/>
        </w:rPr>
        <w:tab/>
        <w:t xml:space="preserve">En relación con el tema de la </w:t>
      </w:r>
      <w:r w:rsidR="000100B5">
        <w:rPr>
          <w:sz w:val="22"/>
          <w:szCs w:val="22"/>
          <w:lang w:val="es-ES_tradnl"/>
        </w:rPr>
        <w:t>con</w:t>
      </w:r>
      <w:r w:rsidR="00DD56F0">
        <w:rPr>
          <w:sz w:val="22"/>
          <w:szCs w:val="22"/>
          <w:lang w:val="es-ES_tradnl"/>
        </w:rPr>
        <w:t>servación, el Comité subrayó la importancia que reviste y se intercambiaron opiniones</w:t>
      </w:r>
      <w:r w:rsidR="006B051B">
        <w:rPr>
          <w:sz w:val="22"/>
          <w:szCs w:val="22"/>
          <w:lang w:val="es-ES_tradnl"/>
        </w:rPr>
        <w:t>, así como información sobre legislación y prácticas nacionales,</w:t>
      </w:r>
      <w:r w:rsidR="000100B5">
        <w:rPr>
          <w:sz w:val="22"/>
          <w:szCs w:val="22"/>
          <w:lang w:val="es-ES_tradnl"/>
        </w:rPr>
        <w:t xml:space="preserve"> en relación con los objetivos, los principios, las condiciones y otros factores que han de contemplarse a la hora de adoptar una excepción con fines de conservación.</w:t>
      </w:r>
    </w:p>
    <w:p w:rsidR="000100B5" w:rsidRDefault="000100B5" w:rsidP="00660B6A">
      <w:pPr>
        <w:pStyle w:val="Default"/>
        <w:rPr>
          <w:sz w:val="22"/>
          <w:szCs w:val="22"/>
          <w:lang w:val="es-ES_tradnl"/>
        </w:rPr>
      </w:pPr>
    </w:p>
    <w:p w:rsidR="000100B5" w:rsidRDefault="005F1287" w:rsidP="00660B6A">
      <w:pPr>
        <w:pStyle w:val="Default"/>
        <w:rPr>
          <w:sz w:val="22"/>
          <w:szCs w:val="22"/>
          <w:lang w:val="es-ES"/>
        </w:rPr>
      </w:pPr>
      <w:r>
        <w:rPr>
          <w:sz w:val="22"/>
          <w:szCs w:val="22"/>
          <w:lang w:val="es-ES_tradnl"/>
        </w:rPr>
        <w:t>19.</w:t>
      </w:r>
      <w:r w:rsidR="000100B5">
        <w:rPr>
          <w:sz w:val="22"/>
          <w:szCs w:val="22"/>
          <w:lang w:val="es-ES_tradnl"/>
        </w:rPr>
        <w:tab/>
        <w:t>El Comité decidió continuar el debate</w:t>
      </w:r>
      <w:r w:rsidR="006B051B">
        <w:rPr>
          <w:sz w:val="22"/>
          <w:szCs w:val="22"/>
          <w:lang w:val="es-ES_tradnl"/>
        </w:rPr>
        <w:t xml:space="preserve"> sobre la cuestión de las limitaciones y excepciones para las bibliotecas y los archivos,</w:t>
      </w:r>
      <w:r w:rsidR="000100B5">
        <w:rPr>
          <w:sz w:val="22"/>
          <w:szCs w:val="22"/>
          <w:lang w:val="es-ES_tradnl"/>
        </w:rPr>
        <w:t xml:space="preserve"> en el marco del documento oficioso del Presidente, complementado por toda información adicional procedente de fuentes tales como herramientas de fácil manejo basadas en el </w:t>
      </w:r>
      <w:r w:rsidR="000100B5" w:rsidRPr="000100B5">
        <w:rPr>
          <w:i/>
          <w:sz w:val="22"/>
          <w:szCs w:val="22"/>
          <w:lang w:val="es-ES_tradnl"/>
        </w:rPr>
        <w:t xml:space="preserve">Estudio sobre </w:t>
      </w:r>
      <w:r w:rsidR="000100B5" w:rsidRPr="000100B5">
        <w:rPr>
          <w:i/>
          <w:sz w:val="22"/>
          <w:szCs w:val="22"/>
          <w:lang w:val="es-ES"/>
        </w:rPr>
        <w:t>limitaciones y excepciones en materia de derecho de autor en favor de bibliotecas y archivos:  versión actualizada y revisada</w:t>
      </w:r>
      <w:r w:rsidR="000100B5">
        <w:rPr>
          <w:sz w:val="22"/>
          <w:szCs w:val="22"/>
          <w:lang w:val="es-ES"/>
        </w:rPr>
        <w:t>, del Profesor Kenneth Crews, presentaciones técnicas de las ONG</w:t>
      </w:r>
      <w:r w:rsidR="006B051B">
        <w:rPr>
          <w:sz w:val="22"/>
          <w:szCs w:val="22"/>
          <w:lang w:val="es-ES"/>
        </w:rPr>
        <w:t>,</w:t>
      </w:r>
      <w:r w:rsidR="000100B5">
        <w:rPr>
          <w:sz w:val="22"/>
          <w:szCs w:val="22"/>
          <w:lang w:val="es-ES"/>
        </w:rPr>
        <w:t xml:space="preserve"> bases de</w:t>
      </w:r>
      <w:r w:rsidR="006B051B">
        <w:rPr>
          <w:sz w:val="22"/>
          <w:szCs w:val="22"/>
          <w:lang w:val="es-ES"/>
        </w:rPr>
        <w:t xml:space="preserve"> datos susceptibles de búsqueda y seminarios regionales,</w:t>
      </w:r>
      <w:r w:rsidR="000100B5">
        <w:rPr>
          <w:sz w:val="22"/>
          <w:szCs w:val="22"/>
          <w:lang w:val="es-ES"/>
        </w:rPr>
        <w:t xml:space="preserve"> entre otras.</w:t>
      </w:r>
    </w:p>
    <w:p w:rsidR="009F37A9" w:rsidRDefault="009F37A9" w:rsidP="00660B6A">
      <w:pPr>
        <w:pStyle w:val="Default"/>
        <w:rPr>
          <w:sz w:val="22"/>
          <w:szCs w:val="22"/>
          <w:lang w:val="es-ES"/>
        </w:rPr>
      </w:pPr>
    </w:p>
    <w:p w:rsidR="009F37A9" w:rsidRDefault="005F1287" w:rsidP="00660B6A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20.</w:t>
      </w:r>
      <w:r w:rsidR="009F37A9">
        <w:rPr>
          <w:sz w:val="22"/>
          <w:szCs w:val="22"/>
          <w:lang w:val="es-ES_tradnl"/>
        </w:rPr>
        <w:tab/>
        <w:t>Varias delegaciones señalaron que sería conveniente dedicar al examen de esa cuestión el mismo tiempo que se dedicará a las tres cuestiones sustantivas del orden del día.</w:t>
      </w:r>
    </w:p>
    <w:p w:rsidR="005F1287" w:rsidRDefault="005F1287" w:rsidP="00660B6A">
      <w:pPr>
        <w:pStyle w:val="Default"/>
        <w:rPr>
          <w:sz w:val="22"/>
          <w:szCs w:val="22"/>
          <w:lang w:val="es-ES_tradnl"/>
        </w:rPr>
      </w:pPr>
    </w:p>
    <w:p w:rsidR="005F1287" w:rsidRPr="003B33D0" w:rsidRDefault="005F1287" w:rsidP="00660B6A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21.</w:t>
      </w:r>
      <w:r>
        <w:rPr>
          <w:sz w:val="22"/>
          <w:szCs w:val="22"/>
          <w:lang w:val="es-ES_tradnl"/>
        </w:rPr>
        <w:tab/>
        <w:t>No se llegó a un acuerdo para formular recomendaciones a la Asamblea General de la OMPI (WIPO/GA/47).</w:t>
      </w:r>
    </w:p>
    <w:p w:rsidR="00660B6A" w:rsidRDefault="00660B6A" w:rsidP="00660B6A">
      <w:pPr>
        <w:rPr>
          <w:rFonts w:eastAsiaTheme="minorHAnsi"/>
          <w:color w:val="000000"/>
          <w:szCs w:val="22"/>
          <w:lang w:val="es-ES_tradnl" w:eastAsia="en-US"/>
        </w:rPr>
      </w:pPr>
    </w:p>
    <w:p w:rsidR="000100B5" w:rsidRPr="003B33D0" w:rsidRDefault="005F1287" w:rsidP="000100B5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22.</w:t>
      </w:r>
      <w:r w:rsidR="000100B5">
        <w:rPr>
          <w:sz w:val="22"/>
          <w:szCs w:val="22"/>
          <w:lang w:val="es-ES_tradnl"/>
        </w:rPr>
        <w:tab/>
      </w:r>
      <w:r w:rsidR="000100B5" w:rsidRPr="003B33D0">
        <w:rPr>
          <w:sz w:val="22"/>
          <w:szCs w:val="22"/>
          <w:lang w:val="es-ES_tradnl"/>
        </w:rPr>
        <w:t>Este punto se mantendrá en el orden del día de la trigésima primera sesión del SCCR.</w:t>
      </w:r>
    </w:p>
    <w:p w:rsidR="000100B5" w:rsidRPr="003B33D0" w:rsidRDefault="000100B5" w:rsidP="000100B5">
      <w:pPr>
        <w:pStyle w:val="Default"/>
        <w:rPr>
          <w:sz w:val="22"/>
          <w:szCs w:val="22"/>
          <w:lang w:val="es-ES_tradnl"/>
        </w:rPr>
      </w:pPr>
    </w:p>
    <w:p w:rsidR="003B33D0" w:rsidRPr="003B33D0" w:rsidRDefault="003B33D0" w:rsidP="006E315E">
      <w:pPr>
        <w:rPr>
          <w:b/>
          <w:caps/>
          <w:szCs w:val="22"/>
          <w:lang w:val="es-ES_tradnl"/>
        </w:rPr>
      </w:pPr>
    </w:p>
    <w:p w:rsidR="006E315E" w:rsidRPr="003B33D0" w:rsidRDefault="006E315E" w:rsidP="006E315E">
      <w:pPr>
        <w:rPr>
          <w:b/>
          <w:caps/>
          <w:szCs w:val="22"/>
          <w:lang w:val="es-ES_tradnl"/>
        </w:rPr>
      </w:pPr>
      <w:r w:rsidRPr="003B33D0">
        <w:rPr>
          <w:b/>
          <w:caps/>
          <w:szCs w:val="22"/>
          <w:lang w:val="es-ES_tradnl"/>
        </w:rPr>
        <w:t xml:space="preserve">PUNTO 8 DEL ORDEN DEL DÍA:  LIMITAciones y exCEpciones para instituciones </w:t>
      </w:r>
      <w:r w:rsidR="000100B5">
        <w:rPr>
          <w:b/>
          <w:caps/>
          <w:szCs w:val="22"/>
          <w:lang w:val="es-ES_tradnl"/>
        </w:rPr>
        <w:t>DOCENTES</w:t>
      </w:r>
      <w:r w:rsidRPr="003B33D0">
        <w:rPr>
          <w:b/>
          <w:caps/>
          <w:szCs w:val="22"/>
          <w:lang w:val="es-ES_tradnl"/>
        </w:rPr>
        <w:t xml:space="preserve"> y de investigación y para personas con otras discapacidades</w:t>
      </w:r>
    </w:p>
    <w:p w:rsidR="00660B6A" w:rsidRPr="003B33D0" w:rsidRDefault="00660B6A" w:rsidP="00660B6A">
      <w:pPr>
        <w:rPr>
          <w:szCs w:val="22"/>
          <w:lang w:val="es-ES_tradnl"/>
        </w:rPr>
      </w:pPr>
    </w:p>
    <w:p w:rsidR="00660B6A" w:rsidRDefault="005F1287" w:rsidP="00660B6A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23.</w:t>
      </w:r>
      <w:r w:rsidR="00C246E8">
        <w:rPr>
          <w:sz w:val="22"/>
          <w:szCs w:val="22"/>
          <w:lang w:val="es-ES_tradnl"/>
        </w:rPr>
        <w:tab/>
      </w:r>
      <w:r w:rsidR="006E315E" w:rsidRPr="003B33D0">
        <w:rPr>
          <w:sz w:val="22"/>
          <w:szCs w:val="22"/>
          <w:lang w:val="es-ES_tradnl"/>
        </w:rPr>
        <w:t>Los documentos relacionados con este punto del orden del día son</w:t>
      </w:r>
      <w:r w:rsidR="00077A29" w:rsidRPr="003B33D0">
        <w:rPr>
          <w:sz w:val="22"/>
          <w:szCs w:val="22"/>
          <w:lang w:val="es-ES_tradnl"/>
        </w:rPr>
        <w:t>:</w:t>
      </w:r>
      <w:r w:rsidR="006E315E" w:rsidRPr="003B33D0">
        <w:rPr>
          <w:sz w:val="22"/>
          <w:szCs w:val="22"/>
          <w:lang w:val="es-ES_tradnl"/>
        </w:rPr>
        <w:t xml:space="preserve"> </w:t>
      </w:r>
      <w:r w:rsidR="00286DFC">
        <w:rPr>
          <w:sz w:val="22"/>
          <w:szCs w:val="22"/>
          <w:lang w:val="es-ES_tradnl"/>
        </w:rPr>
        <w:t xml:space="preserve"> </w:t>
      </w:r>
      <w:r w:rsidR="00660B6A" w:rsidRPr="003B33D0">
        <w:rPr>
          <w:sz w:val="22"/>
          <w:szCs w:val="22"/>
          <w:lang w:val="es-ES_tradnl"/>
        </w:rPr>
        <w:t>SCCR/26/4 P</w:t>
      </w:r>
      <w:r w:rsidR="006E315E" w:rsidRPr="003B33D0">
        <w:rPr>
          <w:sz w:val="22"/>
          <w:szCs w:val="22"/>
          <w:lang w:val="es-ES_tradnl"/>
        </w:rPr>
        <w:t>rov.</w:t>
      </w:r>
      <w:r w:rsidR="00660B6A" w:rsidRPr="003B33D0">
        <w:rPr>
          <w:sz w:val="22"/>
          <w:szCs w:val="22"/>
          <w:lang w:val="es-ES_tradnl"/>
        </w:rPr>
        <w:t xml:space="preserve"> </w:t>
      </w:r>
      <w:r w:rsidR="006E315E" w:rsidRPr="003B33D0">
        <w:rPr>
          <w:sz w:val="22"/>
          <w:szCs w:val="22"/>
          <w:lang w:val="es-ES_tradnl"/>
        </w:rPr>
        <w:t>y</w:t>
      </w:r>
      <w:r w:rsidR="00660B6A" w:rsidRPr="003B33D0">
        <w:rPr>
          <w:sz w:val="22"/>
          <w:szCs w:val="22"/>
          <w:lang w:val="es-ES_tradnl"/>
        </w:rPr>
        <w:t xml:space="preserve"> SCCR/27/8.</w:t>
      </w:r>
    </w:p>
    <w:p w:rsidR="008B183E" w:rsidRDefault="008B183E" w:rsidP="00660B6A">
      <w:pPr>
        <w:pStyle w:val="Default"/>
        <w:rPr>
          <w:sz w:val="22"/>
          <w:szCs w:val="22"/>
          <w:lang w:val="es-ES_tradnl"/>
        </w:rPr>
      </w:pPr>
    </w:p>
    <w:p w:rsidR="008B183E" w:rsidRDefault="005F1287" w:rsidP="00660B6A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24.</w:t>
      </w:r>
      <w:r w:rsidR="008B183E">
        <w:rPr>
          <w:sz w:val="22"/>
          <w:szCs w:val="22"/>
          <w:lang w:val="es-ES_tradnl"/>
        </w:rPr>
        <w:tab/>
      </w:r>
      <w:r w:rsidR="009F37A9">
        <w:rPr>
          <w:sz w:val="22"/>
          <w:szCs w:val="22"/>
          <w:lang w:val="es-ES_tradnl"/>
        </w:rPr>
        <w:t xml:space="preserve">El Comité destacó la importancia de las limitaciones y </w:t>
      </w:r>
      <w:r w:rsidR="009F37A9" w:rsidRPr="009F37A9">
        <w:rPr>
          <w:sz w:val="22"/>
          <w:szCs w:val="22"/>
          <w:lang w:val="es-ES_tradnl"/>
        </w:rPr>
        <w:t>excepciones para instituciones docentes</w:t>
      </w:r>
      <w:r w:rsidR="009F37A9">
        <w:rPr>
          <w:sz w:val="22"/>
          <w:szCs w:val="22"/>
          <w:lang w:val="es-ES_tradnl"/>
        </w:rPr>
        <w:t>,</w:t>
      </w:r>
      <w:r w:rsidR="009F37A9" w:rsidRPr="009F37A9">
        <w:rPr>
          <w:sz w:val="22"/>
          <w:szCs w:val="22"/>
          <w:lang w:val="es-ES_tradnl"/>
        </w:rPr>
        <w:t xml:space="preserve"> educativas y de investigación debido a la función fundamental de</w:t>
      </w:r>
      <w:r w:rsidR="009F37A9">
        <w:rPr>
          <w:sz w:val="22"/>
          <w:szCs w:val="22"/>
          <w:lang w:val="es-ES_tradnl"/>
        </w:rPr>
        <w:t xml:space="preserve"> la educación en la sociedad.  E</w:t>
      </w:r>
      <w:r w:rsidR="009F37A9" w:rsidRPr="009F37A9">
        <w:rPr>
          <w:sz w:val="22"/>
          <w:szCs w:val="22"/>
          <w:lang w:val="es-ES_tradnl"/>
        </w:rPr>
        <w:t>l Comité mantuvo debates sobre el tema, con la debida consideración de los documentos existentes</w:t>
      </w:r>
      <w:r w:rsidR="009F37A9">
        <w:rPr>
          <w:sz w:val="22"/>
          <w:szCs w:val="22"/>
          <w:lang w:val="es-ES_tradnl"/>
        </w:rPr>
        <w:t>.</w:t>
      </w:r>
    </w:p>
    <w:p w:rsidR="009F37A9" w:rsidRDefault="009F37A9" w:rsidP="00660B6A">
      <w:pPr>
        <w:pStyle w:val="Default"/>
        <w:rPr>
          <w:sz w:val="22"/>
          <w:szCs w:val="22"/>
          <w:lang w:val="es-ES_tradnl"/>
        </w:rPr>
      </w:pPr>
    </w:p>
    <w:p w:rsidR="009F37A9" w:rsidRPr="003B33D0" w:rsidRDefault="005F1287" w:rsidP="00660B6A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25.</w:t>
      </w:r>
      <w:r w:rsidR="009F37A9">
        <w:rPr>
          <w:sz w:val="22"/>
          <w:szCs w:val="22"/>
          <w:lang w:val="es-ES_tradnl"/>
        </w:rPr>
        <w:tab/>
      </w:r>
      <w:r w:rsidR="009F37A9" w:rsidRPr="009F37A9">
        <w:rPr>
          <w:sz w:val="22"/>
          <w:szCs w:val="22"/>
          <w:lang w:val="es-ES_tradnl"/>
        </w:rPr>
        <w:t>El Comité solicitó a la Secretaría que proceda a actualizar los diversos estudios sobre limitaciones y excepciones para instituciones docentes</w:t>
      </w:r>
      <w:r w:rsidR="009F37A9">
        <w:rPr>
          <w:sz w:val="22"/>
          <w:szCs w:val="22"/>
          <w:lang w:val="es-ES_tradnl"/>
        </w:rPr>
        <w:t>,</w:t>
      </w:r>
      <w:r w:rsidR="009F37A9" w:rsidRPr="009F37A9">
        <w:rPr>
          <w:sz w:val="22"/>
          <w:szCs w:val="22"/>
          <w:lang w:val="es-ES_tradnl"/>
        </w:rPr>
        <w:t xml:space="preserve"> educativas y de investigación publicado</w:t>
      </w:r>
      <w:r>
        <w:rPr>
          <w:sz w:val="22"/>
          <w:szCs w:val="22"/>
          <w:lang w:val="es-ES_tradnl"/>
        </w:rPr>
        <w:t>s</w:t>
      </w:r>
      <w:r w:rsidR="009F37A9" w:rsidRPr="009F37A9">
        <w:rPr>
          <w:sz w:val="22"/>
          <w:szCs w:val="22"/>
          <w:lang w:val="es-ES_tradnl"/>
        </w:rPr>
        <w:t xml:space="preserve"> para la decimonovena sesión del SCCR en 2009 y </w:t>
      </w:r>
      <w:r w:rsidR="009F37A9">
        <w:rPr>
          <w:sz w:val="22"/>
          <w:szCs w:val="22"/>
          <w:lang w:val="es-ES_tradnl"/>
        </w:rPr>
        <w:t>tratar de</w:t>
      </w:r>
      <w:r w:rsidR="009F37A9" w:rsidRPr="009F37A9">
        <w:rPr>
          <w:sz w:val="22"/>
          <w:szCs w:val="22"/>
          <w:lang w:val="es-ES_tradnl"/>
        </w:rPr>
        <w:t xml:space="preserve"> abarcar a todos los Estados Miembros de la OMPI. </w:t>
      </w:r>
      <w:r w:rsidR="009F37A9">
        <w:rPr>
          <w:sz w:val="22"/>
          <w:szCs w:val="22"/>
          <w:lang w:val="es-ES_tradnl"/>
        </w:rPr>
        <w:t xml:space="preserve"> </w:t>
      </w:r>
      <w:r w:rsidR="009F37A9" w:rsidRPr="009F37A9">
        <w:rPr>
          <w:sz w:val="22"/>
          <w:szCs w:val="22"/>
          <w:lang w:val="es-ES_tradnl"/>
        </w:rPr>
        <w:t>Se pidi</w:t>
      </w:r>
      <w:r w:rsidR="009F37A9">
        <w:rPr>
          <w:sz w:val="22"/>
          <w:szCs w:val="22"/>
          <w:lang w:val="es-ES_tradnl"/>
        </w:rPr>
        <w:t>ó a la Secretaría que consolide</w:t>
      </w:r>
      <w:r w:rsidR="009F37A9" w:rsidRPr="009F37A9">
        <w:rPr>
          <w:sz w:val="22"/>
          <w:szCs w:val="22"/>
          <w:lang w:val="es-ES_tradnl"/>
        </w:rPr>
        <w:t xml:space="preserve"> toda la información de esos estudios en un único estudio. </w:t>
      </w:r>
      <w:r w:rsidR="009F37A9">
        <w:rPr>
          <w:sz w:val="22"/>
          <w:szCs w:val="22"/>
          <w:lang w:val="es-ES_tradnl"/>
        </w:rPr>
        <w:t xml:space="preserve"> </w:t>
      </w:r>
      <w:r w:rsidR="009F37A9" w:rsidRPr="009F37A9">
        <w:rPr>
          <w:sz w:val="22"/>
          <w:szCs w:val="22"/>
          <w:lang w:val="es-ES_tradnl"/>
        </w:rPr>
        <w:t>Algunas delegaciones pidieron que los estudios incluy</w:t>
      </w:r>
      <w:r w:rsidR="009F37A9">
        <w:rPr>
          <w:sz w:val="22"/>
          <w:szCs w:val="22"/>
          <w:lang w:val="es-ES_tradnl"/>
        </w:rPr>
        <w:t>a</w:t>
      </w:r>
      <w:r w:rsidR="009F37A9" w:rsidRPr="009F37A9">
        <w:rPr>
          <w:sz w:val="22"/>
          <w:szCs w:val="22"/>
          <w:lang w:val="es-ES_tradnl"/>
        </w:rPr>
        <w:t xml:space="preserve">n información sobre </w:t>
      </w:r>
      <w:r w:rsidR="001826D2">
        <w:rPr>
          <w:sz w:val="22"/>
          <w:szCs w:val="22"/>
          <w:lang w:val="es-ES_tradnl"/>
        </w:rPr>
        <w:t xml:space="preserve">las </w:t>
      </w:r>
      <w:r w:rsidR="009F37A9" w:rsidRPr="009F37A9">
        <w:rPr>
          <w:sz w:val="22"/>
          <w:szCs w:val="22"/>
          <w:lang w:val="es-ES_tradnl"/>
        </w:rPr>
        <w:t>limitaciones los medios de recurso por infracción aplicables a las instituciones docentes</w:t>
      </w:r>
      <w:r w:rsidR="001826D2">
        <w:rPr>
          <w:sz w:val="22"/>
          <w:szCs w:val="22"/>
          <w:lang w:val="es-ES_tradnl"/>
        </w:rPr>
        <w:t xml:space="preserve">, </w:t>
      </w:r>
      <w:r w:rsidR="001826D2" w:rsidRPr="001826D2">
        <w:rPr>
          <w:sz w:val="22"/>
          <w:szCs w:val="22"/>
          <w:lang w:val="es-ES_tradnl"/>
        </w:rPr>
        <w:t>educativas</w:t>
      </w:r>
      <w:r w:rsidR="009F37A9" w:rsidRPr="009F37A9">
        <w:rPr>
          <w:sz w:val="22"/>
          <w:szCs w:val="22"/>
          <w:lang w:val="es-ES_tradnl"/>
        </w:rPr>
        <w:t xml:space="preserve"> y de investigación, sin perjuicio de la introducción de otros temas relacionados con este punto del orden del día.</w:t>
      </w:r>
      <w:r w:rsidR="001826D2">
        <w:rPr>
          <w:sz w:val="22"/>
          <w:szCs w:val="22"/>
          <w:lang w:val="es-ES_tradnl"/>
        </w:rPr>
        <w:t xml:space="preserve"> </w:t>
      </w:r>
      <w:r w:rsidR="009F37A9" w:rsidRPr="009F37A9">
        <w:rPr>
          <w:sz w:val="22"/>
          <w:szCs w:val="22"/>
          <w:lang w:val="es-ES_tradnl"/>
        </w:rPr>
        <w:t xml:space="preserve"> </w:t>
      </w:r>
      <w:r w:rsidR="001826D2" w:rsidRPr="009F37A9">
        <w:rPr>
          <w:sz w:val="22"/>
          <w:szCs w:val="22"/>
          <w:lang w:val="es-ES_tradnl"/>
        </w:rPr>
        <w:t xml:space="preserve">El </w:t>
      </w:r>
      <w:r w:rsidR="009F37A9" w:rsidRPr="009F37A9">
        <w:rPr>
          <w:sz w:val="22"/>
          <w:szCs w:val="22"/>
          <w:lang w:val="es-ES_tradnl"/>
        </w:rPr>
        <w:t>Comité también pidió a la Secretaría que proceda a encargar un estudio exploratorio sobre las limitaciones y excepciones en favor de las per</w:t>
      </w:r>
      <w:r w:rsidR="001826D2">
        <w:rPr>
          <w:sz w:val="22"/>
          <w:szCs w:val="22"/>
          <w:lang w:val="es-ES_tradnl"/>
        </w:rPr>
        <w:t>sonas con otras discapacidades.</w:t>
      </w:r>
    </w:p>
    <w:p w:rsidR="00660B6A" w:rsidRPr="003B33D0" w:rsidRDefault="00660B6A" w:rsidP="00660B6A">
      <w:pPr>
        <w:pStyle w:val="Default"/>
        <w:rPr>
          <w:sz w:val="22"/>
          <w:szCs w:val="22"/>
          <w:lang w:val="es-ES_tradnl"/>
        </w:rPr>
      </w:pPr>
    </w:p>
    <w:p w:rsidR="003B33D0" w:rsidRDefault="005F1287" w:rsidP="00660B6A">
      <w:pPr>
        <w:rPr>
          <w:szCs w:val="22"/>
          <w:lang w:val="es-ES_tradnl"/>
        </w:rPr>
      </w:pPr>
      <w:r>
        <w:rPr>
          <w:szCs w:val="22"/>
          <w:lang w:val="es-ES_tradnl"/>
        </w:rPr>
        <w:t>26.</w:t>
      </w:r>
      <w:r w:rsidR="001826D2">
        <w:rPr>
          <w:szCs w:val="22"/>
          <w:lang w:val="es-ES_tradnl"/>
        </w:rPr>
        <w:tab/>
      </w:r>
      <w:r w:rsidR="001826D2" w:rsidRPr="001826D2">
        <w:rPr>
          <w:szCs w:val="22"/>
          <w:lang w:val="es-ES_tradnl"/>
        </w:rPr>
        <w:t>Varias delegaciones señalaron que sería conveniente dedicar al examen de esa cuestión el mismo tiempo que se dedicará a las tres cuestiones sustantivas del orden del día.</w:t>
      </w:r>
    </w:p>
    <w:p w:rsidR="005F1287" w:rsidRDefault="005F1287" w:rsidP="00660B6A">
      <w:pPr>
        <w:rPr>
          <w:szCs w:val="22"/>
          <w:lang w:val="es-ES_tradnl"/>
        </w:rPr>
      </w:pPr>
    </w:p>
    <w:p w:rsidR="005F1287" w:rsidRDefault="005F1287" w:rsidP="00660B6A">
      <w:pPr>
        <w:rPr>
          <w:szCs w:val="22"/>
          <w:lang w:val="es-ES_tradnl"/>
        </w:rPr>
      </w:pPr>
      <w:r>
        <w:rPr>
          <w:szCs w:val="22"/>
          <w:lang w:val="es-ES_tradnl"/>
        </w:rPr>
        <w:t>27.</w:t>
      </w:r>
      <w:r>
        <w:rPr>
          <w:szCs w:val="22"/>
          <w:lang w:val="es-ES_tradnl"/>
        </w:rPr>
        <w:tab/>
        <w:t>No se llegó a un acuerdo para formular recomendaciones a la Asamblea General de la OMPI (WIPO/GA/47).</w:t>
      </w:r>
    </w:p>
    <w:p w:rsidR="001826D2" w:rsidRDefault="001826D2" w:rsidP="00660B6A">
      <w:pPr>
        <w:rPr>
          <w:szCs w:val="22"/>
          <w:lang w:val="es-ES_tradnl"/>
        </w:rPr>
      </w:pPr>
    </w:p>
    <w:p w:rsidR="001826D2" w:rsidRDefault="005F1287" w:rsidP="00660B6A">
      <w:pPr>
        <w:rPr>
          <w:szCs w:val="22"/>
          <w:lang w:val="es-ES_tradnl"/>
        </w:rPr>
      </w:pPr>
      <w:r>
        <w:rPr>
          <w:szCs w:val="22"/>
          <w:lang w:val="es-ES_tradnl"/>
        </w:rPr>
        <w:t>28.</w:t>
      </w:r>
      <w:r w:rsidR="001826D2" w:rsidRPr="004F7133">
        <w:rPr>
          <w:szCs w:val="22"/>
          <w:lang w:val="es-ES_tradnl"/>
        </w:rPr>
        <w:tab/>
        <w:t>Este punto se mantendrá en el orden del día de la trigésima primera sesión del SCCR.</w:t>
      </w:r>
    </w:p>
    <w:p w:rsidR="001826D2" w:rsidRDefault="001826D2" w:rsidP="00660B6A">
      <w:pPr>
        <w:rPr>
          <w:szCs w:val="22"/>
          <w:lang w:val="es-ES_tradnl"/>
        </w:rPr>
      </w:pPr>
    </w:p>
    <w:p w:rsidR="001826D2" w:rsidRDefault="001826D2" w:rsidP="00660B6A">
      <w:pPr>
        <w:rPr>
          <w:szCs w:val="22"/>
          <w:lang w:val="es-ES_tradnl"/>
        </w:rPr>
      </w:pPr>
    </w:p>
    <w:p w:rsidR="00660B6A" w:rsidRPr="003B33D0" w:rsidRDefault="006E315E" w:rsidP="00660B6A">
      <w:pPr>
        <w:rPr>
          <w:b/>
          <w:caps/>
          <w:szCs w:val="22"/>
          <w:lang w:val="es-ES_tradnl"/>
        </w:rPr>
      </w:pPr>
      <w:r w:rsidRPr="003B33D0">
        <w:rPr>
          <w:b/>
          <w:caps/>
          <w:szCs w:val="22"/>
          <w:lang w:val="es-ES_tradnl"/>
        </w:rPr>
        <w:t>PUNTO 9 DEL ORDEN DEL DÍA</w:t>
      </w:r>
      <w:r w:rsidR="00660B6A" w:rsidRPr="003B33D0">
        <w:rPr>
          <w:b/>
          <w:caps/>
          <w:szCs w:val="22"/>
          <w:lang w:val="es-ES_tradnl"/>
        </w:rPr>
        <w:t xml:space="preserve">:  </w:t>
      </w:r>
      <w:r w:rsidRPr="003B33D0">
        <w:rPr>
          <w:b/>
          <w:caps/>
          <w:szCs w:val="22"/>
          <w:lang w:val="es-ES_tradnl"/>
        </w:rPr>
        <w:t>OTROS ASUNTOS</w:t>
      </w:r>
    </w:p>
    <w:p w:rsidR="00660B6A" w:rsidRDefault="00660B6A" w:rsidP="00660B6A">
      <w:pPr>
        <w:rPr>
          <w:caps/>
          <w:szCs w:val="22"/>
          <w:lang w:val="es-ES_tradnl"/>
        </w:rPr>
      </w:pPr>
    </w:p>
    <w:p w:rsidR="004F7133" w:rsidRDefault="005F1287" w:rsidP="00660B6A">
      <w:pPr>
        <w:rPr>
          <w:caps/>
          <w:szCs w:val="22"/>
          <w:lang w:val="es-ES_tradnl"/>
        </w:rPr>
      </w:pPr>
      <w:r>
        <w:rPr>
          <w:caps/>
          <w:szCs w:val="22"/>
          <w:lang w:val="es-ES_tradnl"/>
        </w:rPr>
        <w:t>29.</w:t>
      </w:r>
      <w:r w:rsidR="004F7133">
        <w:rPr>
          <w:caps/>
          <w:szCs w:val="22"/>
          <w:lang w:val="es-ES_tradnl"/>
        </w:rPr>
        <w:tab/>
      </w:r>
      <w:r w:rsidR="004F7133" w:rsidRPr="004F7133">
        <w:rPr>
          <w:szCs w:val="22"/>
          <w:lang w:val="es-ES_tradnl"/>
        </w:rPr>
        <w:t xml:space="preserve">Un Estado miembro destacó la necesidad de velar por la adecuada compensación </w:t>
      </w:r>
      <w:r w:rsidR="004F7133">
        <w:rPr>
          <w:szCs w:val="22"/>
          <w:lang w:val="es-ES_tradnl"/>
        </w:rPr>
        <w:t>de</w:t>
      </w:r>
      <w:r w:rsidR="004F7133" w:rsidRPr="004F7133">
        <w:rPr>
          <w:szCs w:val="22"/>
          <w:lang w:val="es-ES_tradnl"/>
        </w:rPr>
        <w:t xml:space="preserve"> los artistas visuales y sugirió que el Comité </w:t>
      </w:r>
      <w:r w:rsidR="004F7133">
        <w:rPr>
          <w:szCs w:val="22"/>
          <w:lang w:val="es-ES_tradnl"/>
        </w:rPr>
        <w:t>añada</w:t>
      </w:r>
      <w:r w:rsidR="004F7133" w:rsidRPr="004F7133">
        <w:rPr>
          <w:szCs w:val="22"/>
          <w:lang w:val="es-ES_tradnl"/>
        </w:rPr>
        <w:t xml:space="preserve"> a su orden del día el tema del derecho de reventa y </w:t>
      </w:r>
      <w:r w:rsidR="004F7133">
        <w:rPr>
          <w:szCs w:val="22"/>
          <w:lang w:val="es-ES_tradnl"/>
        </w:rPr>
        <w:t>prosiga</w:t>
      </w:r>
      <w:r w:rsidR="004F7133" w:rsidRPr="004F7133">
        <w:rPr>
          <w:szCs w:val="22"/>
          <w:lang w:val="es-ES_tradnl"/>
        </w:rPr>
        <w:t xml:space="preserve"> los debates sobre la cuestión. </w:t>
      </w:r>
      <w:r w:rsidR="004F7133">
        <w:rPr>
          <w:szCs w:val="22"/>
          <w:lang w:val="es-ES_tradnl"/>
        </w:rPr>
        <w:t xml:space="preserve"> </w:t>
      </w:r>
      <w:r w:rsidR="004F7133" w:rsidRPr="004F7133">
        <w:rPr>
          <w:szCs w:val="22"/>
          <w:lang w:val="es-ES_tradnl"/>
        </w:rPr>
        <w:t xml:space="preserve">Muchos Estados miembros expresaron su apoyo a la inclusión de este punto en el orden del día de la reunión, </w:t>
      </w:r>
      <w:r w:rsidR="004F7133">
        <w:rPr>
          <w:szCs w:val="22"/>
          <w:lang w:val="es-ES_tradnl"/>
        </w:rPr>
        <w:t>aunque</w:t>
      </w:r>
      <w:r w:rsidR="004F7133" w:rsidRPr="004F7133">
        <w:rPr>
          <w:szCs w:val="22"/>
          <w:lang w:val="es-ES_tradnl"/>
        </w:rPr>
        <w:t xml:space="preserve"> algunos </w:t>
      </w:r>
      <w:r w:rsidR="004F7133">
        <w:rPr>
          <w:szCs w:val="22"/>
          <w:lang w:val="es-ES_tradnl"/>
        </w:rPr>
        <w:t>expresaron</w:t>
      </w:r>
      <w:r w:rsidR="004F7133" w:rsidRPr="004F7133">
        <w:rPr>
          <w:szCs w:val="22"/>
          <w:lang w:val="es-ES_tradnl"/>
        </w:rPr>
        <w:t xml:space="preserve"> algunas </w:t>
      </w:r>
      <w:r w:rsidR="004F7133">
        <w:rPr>
          <w:szCs w:val="22"/>
          <w:lang w:val="es-ES_tradnl"/>
        </w:rPr>
        <w:t>reservas</w:t>
      </w:r>
      <w:r w:rsidR="004F7133" w:rsidRPr="004F7133">
        <w:rPr>
          <w:szCs w:val="22"/>
          <w:lang w:val="es-ES_tradnl"/>
        </w:rPr>
        <w:t xml:space="preserve">. </w:t>
      </w:r>
      <w:r w:rsidR="004F7133">
        <w:rPr>
          <w:szCs w:val="22"/>
          <w:lang w:val="es-ES_tradnl"/>
        </w:rPr>
        <w:t xml:space="preserve"> </w:t>
      </w:r>
      <w:r w:rsidR="004F7133" w:rsidRPr="004F7133">
        <w:rPr>
          <w:szCs w:val="22"/>
          <w:lang w:val="es-ES_tradnl"/>
        </w:rPr>
        <w:t>Se propuso analizar las cuestiones más detenidamente en la próxima reunión</w:t>
      </w:r>
      <w:r w:rsidR="004F7133">
        <w:rPr>
          <w:caps/>
          <w:szCs w:val="22"/>
          <w:lang w:val="es-ES_tradnl"/>
        </w:rPr>
        <w:t>.</w:t>
      </w:r>
    </w:p>
    <w:p w:rsidR="004F7133" w:rsidRDefault="004F7133" w:rsidP="00660B6A">
      <w:pPr>
        <w:rPr>
          <w:caps/>
          <w:szCs w:val="22"/>
          <w:lang w:val="es-ES_tradnl"/>
        </w:rPr>
      </w:pPr>
    </w:p>
    <w:p w:rsidR="00546A55" w:rsidRPr="003B33D0" w:rsidRDefault="00546A55" w:rsidP="00660B6A">
      <w:pPr>
        <w:rPr>
          <w:caps/>
          <w:szCs w:val="22"/>
          <w:lang w:val="es-ES_tradnl"/>
        </w:rPr>
      </w:pPr>
    </w:p>
    <w:p w:rsidR="006E315E" w:rsidRPr="003B33D0" w:rsidRDefault="006E315E" w:rsidP="006E315E">
      <w:pPr>
        <w:rPr>
          <w:b/>
          <w:caps/>
          <w:szCs w:val="22"/>
          <w:lang w:val="es-ES_tradnl"/>
        </w:rPr>
      </w:pPr>
      <w:r w:rsidRPr="003B33D0">
        <w:rPr>
          <w:b/>
          <w:caps/>
          <w:szCs w:val="22"/>
          <w:lang w:val="es-ES_tradnl"/>
        </w:rPr>
        <w:t>RESUMEN DE LA PRESIDENCIA</w:t>
      </w:r>
    </w:p>
    <w:p w:rsidR="00660B6A" w:rsidRPr="003B33D0" w:rsidRDefault="00660B6A" w:rsidP="00660B6A">
      <w:pPr>
        <w:rPr>
          <w:b/>
          <w:caps/>
          <w:szCs w:val="22"/>
          <w:lang w:val="es-ES_tradnl"/>
        </w:rPr>
      </w:pPr>
    </w:p>
    <w:p w:rsidR="006E315E" w:rsidRPr="003B33D0" w:rsidRDefault="005F1287" w:rsidP="006E315E">
      <w:pPr>
        <w:pStyle w:val="Default"/>
        <w:rPr>
          <w:szCs w:val="22"/>
          <w:lang w:val="es-ES_tradnl"/>
        </w:rPr>
      </w:pPr>
      <w:r>
        <w:rPr>
          <w:sz w:val="22"/>
          <w:szCs w:val="22"/>
          <w:lang w:val="es-ES_tradnl"/>
        </w:rPr>
        <w:t>30.</w:t>
      </w:r>
      <w:r w:rsidR="00C246E8">
        <w:rPr>
          <w:sz w:val="22"/>
          <w:szCs w:val="22"/>
          <w:lang w:val="es-ES_tradnl"/>
        </w:rPr>
        <w:tab/>
      </w:r>
      <w:r w:rsidR="006E315E" w:rsidRPr="003B33D0">
        <w:rPr>
          <w:szCs w:val="22"/>
          <w:lang w:val="es-ES_tradnl"/>
        </w:rPr>
        <w:t xml:space="preserve">El Comité tomó nota del contenido del presente resumen de la Presidencia. </w:t>
      </w:r>
      <w:r>
        <w:rPr>
          <w:szCs w:val="22"/>
          <w:lang w:val="es-ES_tradnl"/>
        </w:rPr>
        <w:t xml:space="preserve"> El Presidente aclaró que el presente resumen refleja el punto de vista de la presidencia sobre los resultados de la trigésima sesión del SCCR y, por consiguiente, no debe someterse a aprobación del Comité.</w:t>
      </w:r>
    </w:p>
    <w:p w:rsidR="00660B6A" w:rsidRPr="00767213" w:rsidRDefault="00660B6A" w:rsidP="00660B6A">
      <w:pPr>
        <w:pStyle w:val="Default"/>
        <w:rPr>
          <w:b/>
          <w:caps/>
          <w:sz w:val="22"/>
          <w:szCs w:val="22"/>
          <w:lang w:val="es-ES_tradnl"/>
        </w:rPr>
      </w:pPr>
    </w:p>
    <w:p w:rsidR="003B33D0" w:rsidRPr="00767213" w:rsidRDefault="003B33D0" w:rsidP="00660B6A">
      <w:pPr>
        <w:pStyle w:val="Default"/>
        <w:rPr>
          <w:b/>
          <w:caps/>
          <w:sz w:val="22"/>
          <w:szCs w:val="22"/>
          <w:lang w:val="es-ES_tradnl"/>
        </w:rPr>
      </w:pPr>
    </w:p>
    <w:p w:rsidR="006E315E" w:rsidRPr="00767213" w:rsidRDefault="006E315E" w:rsidP="006E315E">
      <w:pPr>
        <w:rPr>
          <w:b/>
          <w:caps/>
          <w:szCs w:val="22"/>
          <w:lang w:val="es-ES_tradnl"/>
        </w:rPr>
      </w:pPr>
      <w:r w:rsidRPr="00767213">
        <w:rPr>
          <w:b/>
          <w:caps/>
          <w:szCs w:val="22"/>
          <w:lang w:val="es-ES_tradnl"/>
        </w:rPr>
        <w:t>PUNTO 10 DEL ORDEN DEL DÍA</w:t>
      </w:r>
      <w:r w:rsidR="00660B6A" w:rsidRPr="00767213">
        <w:rPr>
          <w:b/>
          <w:caps/>
          <w:szCs w:val="22"/>
          <w:lang w:val="es-ES_tradnl"/>
        </w:rPr>
        <w:t xml:space="preserve">:  </w:t>
      </w:r>
      <w:r w:rsidRPr="00767213">
        <w:rPr>
          <w:b/>
          <w:caps/>
          <w:szCs w:val="22"/>
          <w:lang w:val="es-ES_tradnl"/>
        </w:rPr>
        <w:t>CLAUSURA DE LA SESIÓN</w:t>
      </w:r>
    </w:p>
    <w:p w:rsidR="00660B6A" w:rsidRPr="003B33D0" w:rsidRDefault="00660B6A" w:rsidP="006E315E">
      <w:pPr>
        <w:rPr>
          <w:szCs w:val="22"/>
          <w:lang w:val="es-ES_tradnl"/>
        </w:rPr>
      </w:pPr>
    </w:p>
    <w:p w:rsidR="00660B6A" w:rsidRPr="003B33D0" w:rsidRDefault="005F1287" w:rsidP="00660B6A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31.</w:t>
      </w:r>
      <w:r w:rsidR="00C246E8">
        <w:rPr>
          <w:sz w:val="22"/>
          <w:szCs w:val="22"/>
          <w:lang w:val="es-ES_tradnl"/>
        </w:rPr>
        <w:tab/>
      </w:r>
      <w:r w:rsidR="006E315E" w:rsidRPr="003B33D0">
        <w:rPr>
          <w:sz w:val="22"/>
          <w:szCs w:val="22"/>
          <w:lang w:val="es-ES_tradnl"/>
        </w:rPr>
        <w:t xml:space="preserve">La próxima sesión del Comité tendrá lugar del 7 al 11 de diciembre de </w:t>
      </w:r>
      <w:r w:rsidR="00660B6A" w:rsidRPr="003B33D0">
        <w:rPr>
          <w:sz w:val="22"/>
          <w:szCs w:val="22"/>
          <w:lang w:val="es-ES_tradnl"/>
        </w:rPr>
        <w:t>2015.</w:t>
      </w:r>
    </w:p>
    <w:p w:rsidR="00660B6A" w:rsidRPr="003B33D0" w:rsidRDefault="00660B6A" w:rsidP="00660B6A">
      <w:pPr>
        <w:rPr>
          <w:lang w:val="es-ES_tradnl"/>
        </w:rPr>
      </w:pPr>
    </w:p>
    <w:p w:rsidR="00660B6A" w:rsidRPr="003B33D0" w:rsidRDefault="00660B6A" w:rsidP="00660B6A">
      <w:pPr>
        <w:rPr>
          <w:lang w:val="es-ES_tradnl"/>
        </w:rPr>
      </w:pPr>
    </w:p>
    <w:p w:rsidR="00660B6A" w:rsidRPr="003B33D0" w:rsidRDefault="00660B6A" w:rsidP="00660B6A">
      <w:pPr>
        <w:rPr>
          <w:lang w:val="es-ES_tradnl"/>
        </w:rPr>
      </w:pPr>
    </w:p>
    <w:p w:rsidR="00152CEA" w:rsidRPr="003B33D0" w:rsidRDefault="00660B6A" w:rsidP="00660B6A">
      <w:pPr>
        <w:pStyle w:val="Endofdocument"/>
        <w:rPr>
          <w:rFonts w:cs="Arial"/>
        </w:rPr>
      </w:pPr>
      <w:r w:rsidRPr="003B33D0">
        <w:rPr>
          <w:rFonts w:cs="Arial"/>
          <w:sz w:val="22"/>
          <w:szCs w:val="22"/>
        </w:rPr>
        <w:t>[</w:t>
      </w:r>
      <w:r w:rsidR="006E315E" w:rsidRPr="003B33D0">
        <w:rPr>
          <w:rFonts w:cs="Arial"/>
          <w:sz w:val="22"/>
          <w:szCs w:val="22"/>
          <w:lang w:val="es-ES_tradnl"/>
        </w:rPr>
        <w:t>Fin del documento</w:t>
      </w:r>
      <w:r w:rsidRPr="003B33D0">
        <w:rPr>
          <w:rFonts w:cs="Arial"/>
          <w:sz w:val="22"/>
          <w:szCs w:val="22"/>
        </w:rPr>
        <w:t>]</w:t>
      </w:r>
    </w:p>
    <w:sectPr w:rsidR="00152CEA" w:rsidRPr="003B33D0" w:rsidSect="00660B6A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6A" w:rsidRDefault="00660B6A">
      <w:r>
        <w:separator/>
      </w:r>
    </w:p>
  </w:endnote>
  <w:endnote w:type="continuationSeparator" w:id="0">
    <w:p w:rsidR="00660B6A" w:rsidRPr="009D30E6" w:rsidRDefault="00660B6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60B6A" w:rsidRPr="007E663E" w:rsidRDefault="00660B6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60B6A" w:rsidRPr="007E663E" w:rsidRDefault="00660B6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6A" w:rsidRDefault="00660B6A">
      <w:r>
        <w:separator/>
      </w:r>
    </w:p>
  </w:footnote>
  <w:footnote w:type="continuationSeparator" w:id="0">
    <w:p w:rsidR="00660B6A" w:rsidRPr="009D30E6" w:rsidRDefault="00660B6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60B6A" w:rsidRPr="007E663E" w:rsidRDefault="00660B6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60B6A" w:rsidRPr="007E663E" w:rsidRDefault="00660B6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DF" w:rsidRDefault="002F1DDF" w:rsidP="00477D6B">
    <w:pPr>
      <w:jc w:val="right"/>
    </w:pP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61472">
      <w:rPr>
        <w:noProof/>
      </w:rPr>
      <w:t>4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ransmlp.wipo.int\TextBase TMs\Administrative\Meetings|transmlp.wipo.int\TextBase TMs\Administrative\Other|transmlp.wipo.int\TextBase TMs\Administrative\Publications|transmlp.wipo.int\TextBase TMs\Budget and Finance\Meetings|transmlp.wipo.int\TextBase TMs\Budget and Finance\Other|transmlp.wipo.int\TextBase TMs\Budget and Finance\Publications|transmlp.wipo.int\TextBase TMs\Copyright\Meetings|transmlp.wipo.int\TextBase TMs\Copyright\Other|transmlp.wipo.int\TextBase TMs\Copyright\Publications|transmlp.wipo.int\TextBase TMs\Glossaries\EN-FR|transmlp.wipo.int\TextBase TMs\IP in General\Academy|transmlp.wipo.int\TextBase TMs\IP in General\Arbitration and Mediation|transmlp.wipo.int\TextBase TMs\IP in General\Meetings|transmlp.wipo.int\TextBase TMs\IP in General\Other|transmlp.wipo.int\TextBase TMs\IP in General\Press Room|transmlp.wipo.int\TextBase TMs\IP in General\Publications|transmlp.wipo.int\TextBase TMs\IP in General\SpeechDG2014|transmlp.wipo.int\TextBase TMs\Patents\Meetings|transmlp.wipo.int\TextBase TMs\Patents\Other|transmlp.wipo.int\TextBase TMs\Patents\Publications|transmlp.wipo.int\TextBase TMs\Trademarks\Meetings|transmlp.wipo.int\TextBase TMs\Trademarks\Other|transmlp.wipo.int\TextBase TMs\Trademarks\Publications|transmlp.wipo.int\TextBase TMs\Treaties\Model Laws|transmlp.wipo.int\TextBase TMs\Treaties\Other Laws and Agreements|transmlp.wipo.int\TextBase TMs\Treaties\WIPO-administered|transmlp.wipo.int\TextBase TMs\UPOV\Meetings|transmlp.wipo.int\TextBase TMs\UPOV\Other|transmlp.wipo.int\TextBase TMs\UPOV\Publications|transmlp.wipo.int\TextBase TMs\UPOV\Technical Guidelines|transmlp.wipo.int\TextBase TMs\WorkspaceCTS\Test|transmlp.wipo.int\TextBase TMs\WorkspaceETS\FR-EN\Test|transmlp.wipo.int\TextBase TMs\WorkspaceETS\Test|transmlp.wipo.int\TextBase TMs\WorkspaceFTS\EN-FR\ACE|transmlp.wipo.int\TextBase TMs\WorkspaceFTS\EN-FR\Administratif|transmlp.wipo.int\TextBase TMs\WorkspaceFTS\EN-FR\AMC|transmlp.wipo.int\TextBase TMs\WorkspaceFTS\EN-FR\Assemblées|transmlp.wipo.int\TextBase TMs\WorkspaceFTS\EN-FR\Budapest|transmlp.wipo.int\TextBase TMs\WorkspaceFTS\EN-FR\CDIP|transmlp.wipo.int\TextBase TMs\WorkspaceFTS\EN-FR\CWS|transmlp.wipo.int\TextBase TMs\WorkspaceFTS\EN-FR\Divers|transmlp.wipo.int\TextBase TMs\WorkspaceFTS\EN-FR\GRTKF|transmlp.wipo.int\TextBase TMs\WorkspaceFTS\EN-FR\Hague|transmlp.wipo.int\TextBase TMs\WorkspaceFTS\EN-FR\IPC|transmlp.wipo.int\TextBase TMs\WorkspaceFTS\EN-FR\Lisbonne|transmlp.wipo.int\TextBase TMs\WorkspaceFTS\EN-FR\Madrid|transmlp.wipo.int\TextBase TMs\WorkspaceFTS\EN-FR\PCT|transmlp.wipo.int\TextBase TMs\WorkspaceFTS\EN-FR\PLT|transmlp.wipo.int\TextBase TMs\WorkspaceFTS\EN-FR\SCCR|transmlp.wipo.int\TextBase TMs\WorkspaceFTS\EN-FR\SCP|transmlp.wipo.int\TextBase TMs\WorkspaceFTS\EN-FR\SCT|transmlp.wipo.int\TextBase TMs\WorkspaceFTS\EN-FR\UPOV|transmlp.wipo.int\TextBase TMs\WorkspaceFTS\EN-FR\WO_CC|transmlp.wipo.int\TextBase TMs\WorkspaceFTS\EN-FR\WO_GA|transmlp.wipo.int\TextBase TMs\WorkspaceFTS\EN-FR\WO_PBC|transmlp.wipo.int\TextBase TMs\WorkspaceRTS\Test"/>
    <w:docVar w:name="TextBaseURL" w:val="empty"/>
    <w:docVar w:name="UILng" w:val="en"/>
  </w:docVars>
  <w:rsids>
    <w:rsidRoot w:val="00660B6A"/>
    <w:rsid w:val="000100B5"/>
    <w:rsid w:val="00010686"/>
    <w:rsid w:val="000207CD"/>
    <w:rsid w:val="00044589"/>
    <w:rsid w:val="00052915"/>
    <w:rsid w:val="00077A29"/>
    <w:rsid w:val="000E3BB3"/>
    <w:rsid w:val="000F5E56"/>
    <w:rsid w:val="00123920"/>
    <w:rsid w:val="001362EE"/>
    <w:rsid w:val="00140622"/>
    <w:rsid w:val="0014360C"/>
    <w:rsid w:val="00152CEA"/>
    <w:rsid w:val="001826D2"/>
    <w:rsid w:val="001832A6"/>
    <w:rsid w:val="001C2E1A"/>
    <w:rsid w:val="00200DC5"/>
    <w:rsid w:val="00216698"/>
    <w:rsid w:val="00260928"/>
    <w:rsid w:val="002634C4"/>
    <w:rsid w:val="00286DFC"/>
    <w:rsid w:val="002B0DCF"/>
    <w:rsid w:val="002E0F47"/>
    <w:rsid w:val="002F1DDF"/>
    <w:rsid w:val="002F4E68"/>
    <w:rsid w:val="00342EAC"/>
    <w:rsid w:val="00353D0C"/>
    <w:rsid w:val="00354647"/>
    <w:rsid w:val="003553E2"/>
    <w:rsid w:val="00377273"/>
    <w:rsid w:val="003845C1"/>
    <w:rsid w:val="00387287"/>
    <w:rsid w:val="003B33D0"/>
    <w:rsid w:val="003E48F1"/>
    <w:rsid w:val="003F347A"/>
    <w:rsid w:val="004143ED"/>
    <w:rsid w:val="00423E3E"/>
    <w:rsid w:val="00427AF4"/>
    <w:rsid w:val="0045231F"/>
    <w:rsid w:val="004647DA"/>
    <w:rsid w:val="00477808"/>
    <w:rsid w:val="00477D6B"/>
    <w:rsid w:val="00492BE2"/>
    <w:rsid w:val="004A6C37"/>
    <w:rsid w:val="004C7436"/>
    <w:rsid w:val="004D523B"/>
    <w:rsid w:val="004E297D"/>
    <w:rsid w:val="004F7133"/>
    <w:rsid w:val="005332F0"/>
    <w:rsid w:val="00546A55"/>
    <w:rsid w:val="0055013B"/>
    <w:rsid w:val="00571B99"/>
    <w:rsid w:val="005F1287"/>
    <w:rsid w:val="00605827"/>
    <w:rsid w:val="00620559"/>
    <w:rsid w:val="00624BC9"/>
    <w:rsid w:val="006442B0"/>
    <w:rsid w:val="00660B6A"/>
    <w:rsid w:val="00675021"/>
    <w:rsid w:val="006A06C6"/>
    <w:rsid w:val="006B051B"/>
    <w:rsid w:val="006E315E"/>
    <w:rsid w:val="00705C21"/>
    <w:rsid w:val="007224C8"/>
    <w:rsid w:val="0073720C"/>
    <w:rsid w:val="00767213"/>
    <w:rsid w:val="00784817"/>
    <w:rsid w:val="00794BE2"/>
    <w:rsid w:val="007B71FE"/>
    <w:rsid w:val="007D781E"/>
    <w:rsid w:val="007E663E"/>
    <w:rsid w:val="007F30C5"/>
    <w:rsid w:val="00804D26"/>
    <w:rsid w:val="00815082"/>
    <w:rsid w:val="00860A77"/>
    <w:rsid w:val="00864EEE"/>
    <w:rsid w:val="008675E8"/>
    <w:rsid w:val="0088395E"/>
    <w:rsid w:val="008B183E"/>
    <w:rsid w:val="008B2CC1"/>
    <w:rsid w:val="008E6BD6"/>
    <w:rsid w:val="0090731E"/>
    <w:rsid w:val="00966A22"/>
    <w:rsid w:val="00972F03"/>
    <w:rsid w:val="00992E73"/>
    <w:rsid w:val="00996E44"/>
    <w:rsid w:val="009A0C8B"/>
    <w:rsid w:val="009B6241"/>
    <w:rsid w:val="009F37A9"/>
    <w:rsid w:val="00A16FC0"/>
    <w:rsid w:val="00A32C9E"/>
    <w:rsid w:val="00AB613D"/>
    <w:rsid w:val="00AE7F20"/>
    <w:rsid w:val="00B13400"/>
    <w:rsid w:val="00B44FE3"/>
    <w:rsid w:val="00B65A0A"/>
    <w:rsid w:val="00B67CDC"/>
    <w:rsid w:val="00B72D36"/>
    <w:rsid w:val="00BB37AB"/>
    <w:rsid w:val="00BC4164"/>
    <w:rsid w:val="00BD2DCC"/>
    <w:rsid w:val="00BD3B73"/>
    <w:rsid w:val="00BE2851"/>
    <w:rsid w:val="00C246E8"/>
    <w:rsid w:val="00C503B3"/>
    <w:rsid w:val="00C90559"/>
    <w:rsid w:val="00CA2251"/>
    <w:rsid w:val="00D53A83"/>
    <w:rsid w:val="00D56C7C"/>
    <w:rsid w:val="00D61472"/>
    <w:rsid w:val="00D71B4D"/>
    <w:rsid w:val="00D90289"/>
    <w:rsid w:val="00D93D55"/>
    <w:rsid w:val="00DC4C60"/>
    <w:rsid w:val="00DC627E"/>
    <w:rsid w:val="00DD56F0"/>
    <w:rsid w:val="00E0079A"/>
    <w:rsid w:val="00E444DA"/>
    <w:rsid w:val="00E45C84"/>
    <w:rsid w:val="00E504E5"/>
    <w:rsid w:val="00EB7A3E"/>
    <w:rsid w:val="00EC401A"/>
    <w:rsid w:val="00EF530A"/>
    <w:rsid w:val="00EF6622"/>
    <w:rsid w:val="00F51AFC"/>
    <w:rsid w:val="00F55408"/>
    <w:rsid w:val="00F66152"/>
    <w:rsid w:val="00F80845"/>
    <w:rsid w:val="00F84474"/>
    <w:rsid w:val="00FA0F0D"/>
    <w:rsid w:val="00FB0C79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64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2B0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660B6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60B6A"/>
    <w:pPr>
      <w:ind w:left="720"/>
      <w:contextualSpacing/>
    </w:pPr>
    <w:rPr>
      <w:lang w:val="en-US"/>
    </w:rPr>
  </w:style>
  <w:style w:type="paragraph" w:customStyle="1" w:styleId="DecisionInvitingPara">
    <w:name w:val="Decision Inviting Para."/>
    <w:basedOn w:val="Normal"/>
    <w:rsid w:val="00660B6A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Default">
    <w:name w:val="Default"/>
    <w:rsid w:val="00660B6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60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64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2B0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660B6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60B6A"/>
    <w:pPr>
      <w:ind w:left="720"/>
      <w:contextualSpacing/>
    </w:pPr>
    <w:rPr>
      <w:lang w:val="en-US"/>
    </w:rPr>
  </w:style>
  <w:style w:type="paragraph" w:customStyle="1" w:styleId="DecisionInvitingPara">
    <w:name w:val="Decision Inviting Para."/>
    <w:basedOn w:val="Normal"/>
    <w:rsid w:val="00660B6A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Default">
    <w:name w:val="Default"/>
    <w:rsid w:val="00660B6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60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pyright.mail@wipo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30 (S)</Template>
  <TotalTime>1</TotalTime>
  <Pages>4</Pages>
  <Words>1473</Words>
  <Characters>8400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SCCR/30 - Resumen de la Presidencia</vt:lpstr>
    </vt:vector>
  </TitlesOfParts>
  <Company>WIPO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SCCR/30 - Resumen de la Presidencia</dc:title>
  <dc:creator>HAIZEL Francesca</dc:creator>
  <dc:description>MM - 2/7/2015</dc:description>
  <cp:lastModifiedBy>HAIZEL Francesca</cp:lastModifiedBy>
  <cp:revision>2</cp:revision>
  <cp:lastPrinted>2015-07-03T08:06:00Z</cp:lastPrinted>
  <dcterms:created xsi:type="dcterms:W3CDTF">2015-07-13T14:47:00Z</dcterms:created>
  <dcterms:modified xsi:type="dcterms:W3CDTF">2015-07-13T14:47:00Z</dcterms:modified>
</cp:coreProperties>
</file>