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ED" w:rsidRPr="004D2665" w:rsidRDefault="00BC1912" w:rsidP="00F810ED">
      <w:pPr>
        <w:rPr>
          <w:lang w:val="es-ES"/>
        </w:rPr>
      </w:pPr>
      <w:bookmarkStart w:id="0" w:name="_GoBack"/>
      <w:bookmarkEnd w:id="0"/>
      <w:r w:rsidRPr="004D2665">
        <w:rPr>
          <w:lang w:val="es-ES"/>
        </w:rPr>
        <w:t>RESUMEN</w:t>
      </w:r>
      <w:r w:rsidR="00F810ED" w:rsidRPr="004D2665">
        <w:rPr>
          <w:lang w:val="es-ES"/>
        </w:rPr>
        <w:t xml:space="preserve"> </w:t>
      </w:r>
    </w:p>
    <w:p w:rsidR="00F810ED" w:rsidRPr="004D2665" w:rsidRDefault="000B696C" w:rsidP="00F810ED">
      <w:pPr>
        <w:rPr>
          <w:lang w:val="es-ES"/>
        </w:rPr>
      </w:pPr>
      <w:r w:rsidRPr="004D2665">
        <w:rPr>
          <w:lang w:val="es-ES"/>
        </w:rPr>
        <w:t>ESTUDIO SOBRE LAS</w:t>
      </w:r>
      <w:r w:rsidR="00A22C46" w:rsidRPr="004D2665">
        <w:rPr>
          <w:lang w:val="es-ES"/>
        </w:rPr>
        <w:t xml:space="preserve"> LIMITACIONES Y EXCEPCIONES EN BENEFICIO DE LOS</w:t>
      </w:r>
      <w:r w:rsidRPr="004D2665">
        <w:rPr>
          <w:lang w:val="es-ES"/>
        </w:rPr>
        <w:t xml:space="preserve"> MUSEOS </w:t>
      </w:r>
      <w:r w:rsidR="00C215EB" w:rsidRPr="004D2665">
        <w:rPr>
          <w:lang w:val="es-ES"/>
        </w:rPr>
        <w:t>(SCCR/30/2)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AF4D9C" w:rsidP="00F810ED">
      <w:pPr>
        <w:rPr>
          <w:i/>
          <w:lang w:val="es-ES"/>
        </w:rPr>
      </w:pPr>
      <w:r w:rsidRPr="004D2665">
        <w:rPr>
          <w:i/>
          <w:lang w:val="es-ES"/>
        </w:rPr>
        <w:t>preparado por Jean-François Canat y Lucie Guibault, en colaboración con</w:t>
      </w:r>
      <w:r w:rsidR="00F810ED" w:rsidRPr="004D2665">
        <w:rPr>
          <w:i/>
          <w:lang w:val="es-ES"/>
        </w:rPr>
        <w:t xml:space="preserve"> Elisabeth Logeais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167105" w:rsidP="00F810ED">
      <w:pPr>
        <w:rPr>
          <w:lang w:val="es-ES"/>
        </w:rPr>
      </w:pPr>
      <w:r w:rsidRPr="004D2665">
        <w:rPr>
          <w:lang w:val="es-ES"/>
        </w:rPr>
        <w:t>En este estudio se examina</w:t>
      </w:r>
      <w:r w:rsidR="00BC1912" w:rsidRPr="004D2665">
        <w:rPr>
          <w:lang w:val="es-ES"/>
        </w:rPr>
        <w:t xml:space="preserve"> </w:t>
      </w:r>
      <w:r w:rsidR="000B696C" w:rsidRPr="004D2665">
        <w:rPr>
          <w:lang w:val="es-ES"/>
        </w:rPr>
        <w:t xml:space="preserve">la cuestión de las limitaciones y excepciones </w:t>
      </w:r>
      <w:r w:rsidR="00C325FF" w:rsidRPr="004D2665">
        <w:rPr>
          <w:lang w:val="es-ES"/>
        </w:rPr>
        <w:t>al derecho de autor en beneficio de los museos</w:t>
      </w:r>
      <w:r w:rsidR="00F810ED" w:rsidRPr="004D2665">
        <w:rPr>
          <w:lang w:val="es-ES"/>
        </w:rPr>
        <w:t xml:space="preserve"> </w:t>
      </w:r>
      <w:r w:rsidR="00C325FF" w:rsidRPr="004D2665">
        <w:rPr>
          <w:lang w:val="es-ES"/>
        </w:rPr>
        <w:t xml:space="preserve">con miras a mejorar el entendimiento internacional </w:t>
      </w:r>
      <w:r w:rsidR="001C357C" w:rsidRPr="004D2665">
        <w:rPr>
          <w:lang w:val="es-ES"/>
        </w:rPr>
        <w:t xml:space="preserve">sobre </w:t>
      </w:r>
      <w:r w:rsidR="00C325FF" w:rsidRPr="004D2665">
        <w:rPr>
          <w:lang w:val="es-ES"/>
        </w:rPr>
        <w:t>la necesidad de disponer de limitaciones adecuadas</w:t>
      </w:r>
      <w:r w:rsidR="00F60AE9" w:rsidRPr="004D2665">
        <w:rPr>
          <w:lang w:val="es-ES"/>
        </w:rPr>
        <w:t xml:space="preserve">, examinar los modelos de protección propuestos y los ya existentes, y avanzar hacia un acuerdo en relación con determinadas excepciones o </w:t>
      </w:r>
      <w:r w:rsidR="00F810ED" w:rsidRPr="004D2665">
        <w:rPr>
          <w:lang w:val="es-ES"/>
        </w:rPr>
        <w:t>limita</w:t>
      </w:r>
      <w:r w:rsidR="00F60AE9" w:rsidRPr="004D2665">
        <w:rPr>
          <w:lang w:val="es-ES"/>
        </w:rPr>
        <w:t>ciones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344AFF" w:rsidP="00F810ED">
      <w:pPr>
        <w:rPr>
          <w:lang w:val="es-ES"/>
        </w:rPr>
      </w:pPr>
      <w:r w:rsidRPr="004D2665">
        <w:rPr>
          <w:lang w:val="es-ES"/>
        </w:rPr>
        <w:t>Desde hace siglos</w:t>
      </w:r>
      <w:r w:rsidR="008D16BC" w:rsidRPr="004D2665">
        <w:rPr>
          <w:lang w:val="es-ES"/>
        </w:rPr>
        <w:t xml:space="preserve"> existen en todo el mundo</w:t>
      </w:r>
      <w:r w:rsidR="00A50919" w:rsidRPr="004D2665">
        <w:rPr>
          <w:lang w:val="es-ES"/>
        </w:rPr>
        <w:t xml:space="preserve"> </w:t>
      </w:r>
      <w:r w:rsidR="00775357" w:rsidRPr="004D2665">
        <w:rPr>
          <w:lang w:val="es-ES"/>
        </w:rPr>
        <w:t xml:space="preserve">los </w:t>
      </w:r>
      <w:r w:rsidR="00A50919" w:rsidRPr="004D2665">
        <w:rPr>
          <w:lang w:val="es-ES"/>
        </w:rPr>
        <w:t>museos</w:t>
      </w:r>
      <w:r w:rsidR="00775357" w:rsidRPr="004D2665">
        <w:rPr>
          <w:lang w:val="es-ES"/>
        </w:rPr>
        <w:t>,</w:t>
      </w:r>
      <w:r w:rsidR="00A50919" w:rsidRPr="004D2665">
        <w:rPr>
          <w:lang w:val="es-ES"/>
        </w:rPr>
        <w:t xml:space="preserve"> </w:t>
      </w:r>
      <w:r w:rsidR="00775357" w:rsidRPr="004D2665">
        <w:rPr>
          <w:lang w:val="es-ES"/>
        </w:rPr>
        <w:t>tal como se los conoce hoy en día</w:t>
      </w:r>
      <w:r w:rsidR="005336EC" w:rsidRPr="004D2665">
        <w:rPr>
          <w:lang w:val="es-ES"/>
        </w:rPr>
        <w:t>.  L</w:t>
      </w:r>
      <w:r w:rsidR="00F60AE9" w:rsidRPr="004D2665">
        <w:rPr>
          <w:lang w:val="es-ES"/>
        </w:rPr>
        <w:t>os hay de todos los tipos y tamaños</w:t>
      </w:r>
      <w:r w:rsidR="00A50919" w:rsidRPr="004D2665">
        <w:rPr>
          <w:lang w:val="es-ES"/>
        </w:rPr>
        <w:t xml:space="preserve"> y r</w:t>
      </w:r>
      <w:r w:rsidR="001F157B" w:rsidRPr="004D2665">
        <w:rPr>
          <w:lang w:val="es-ES"/>
        </w:rPr>
        <w:t>eúnen</w:t>
      </w:r>
      <w:r w:rsidR="00F60AE9" w:rsidRPr="004D2665">
        <w:rPr>
          <w:lang w:val="es-ES"/>
        </w:rPr>
        <w:t xml:space="preserve"> en sus colecciones </w:t>
      </w:r>
      <w:r w:rsidR="001F157B" w:rsidRPr="004D2665">
        <w:rPr>
          <w:lang w:val="es-ES"/>
        </w:rPr>
        <w:t>muchos conocimientos y un gran acervo cultural para el beneficio de sus visitantes.</w:t>
      </w:r>
      <w:r w:rsidR="00F810ED" w:rsidRPr="004D2665">
        <w:rPr>
          <w:lang w:val="es-ES"/>
        </w:rPr>
        <w:t xml:space="preserve">  </w:t>
      </w:r>
      <w:r w:rsidR="00A50919" w:rsidRPr="004D2665">
        <w:rPr>
          <w:lang w:val="es-ES"/>
        </w:rPr>
        <w:t>Son los custodios del patrimonio cultural de las naciones</w:t>
      </w:r>
      <w:r w:rsidR="00F810ED" w:rsidRPr="004D2665">
        <w:rPr>
          <w:lang w:val="es-ES"/>
        </w:rPr>
        <w:t xml:space="preserve">.  </w:t>
      </w:r>
      <w:r w:rsidR="00A50919" w:rsidRPr="004D2665">
        <w:rPr>
          <w:lang w:val="es-ES"/>
        </w:rPr>
        <w:t>Los objetos que se reúnen en ellos son tan heterogéneos como los objetivos que persiguen</w:t>
      </w:r>
      <w:r w:rsidR="005336EC" w:rsidRPr="004D2665">
        <w:rPr>
          <w:lang w:val="es-ES"/>
        </w:rPr>
        <w:t>:  o</w:t>
      </w:r>
      <w:r w:rsidR="005D3932" w:rsidRPr="004D2665">
        <w:rPr>
          <w:lang w:val="es-ES"/>
        </w:rPr>
        <w:t>bras de arte u objetos técnicos</w:t>
      </w:r>
      <w:r w:rsidR="00F810ED" w:rsidRPr="004D2665">
        <w:rPr>
          <w:lang w:val="es-ES"/>
        </w:rPr>
        <w:t>, text</w:t>
      </w:r>
      <w:r w:rsidR="00A50919" w:rsidRPr="004D2665">
        <w:rPr>
          <w:lang w:val="es-ES"/>
        </w:rPr>
        <w:t>o</w:t>
      </w:r>
      <w:r w:rsidR="00F810ED" w:rsidRPr="004D2665">
        <w:rPr>
          <w:lang w:val="es-ES"/>
        </w:rPr>
        <w:t xml:space="preserve">s, </w:t>
      </w:r>
      <w:r w:rsidR="005D3932" w:rsidRPr="004D2665">
        <w:rPr>
          <w:lang w:val="es-ES"/>
        </w:rPr>
        <w:t>dibujos, pinturas</w:t>
      </w:r>
      <w:r w:rsidR="00F810ED" w:rsidRPr="004D2665">
        <w:rPr>
          <w:lang w:val="es-ES"/>
        </w:rPr>
        <w:t xml:space="preserve">, </w:t>
      </w:r>
      <w:r w:rsidR="005D3932" w:rsidRPr="004D2665">
        <w:rPr>
          <w:lang w:val="es-ES"/>
        </w:rPr>
        <w:t>fotografías, mapas</w:t>
      </w:r>
      <w:r w:rsidR="00B10894" w:rsidRPr="004D2665">
        <w:rPr>
          <w:lang w:val="es-ES"/>
        </w:rPr>
        <w:t>,</w:t>
      </w:r>
      <w:r w:rsidR="005D3932" w:rsidRPr="004D2665">
        <w:rPr>
          <w:lang w:val="es-ES"/>
        </w:rPr>
        <w:t xml:space="preserve"> películas y grabaciones sonoras</w:t>
      </w:r>
      <w:r w:rsidR="00F810ED" w:rsidRPr="004D2665">
        <w:rPr>
          <w:lang w:val="es-ES"/>
        </w:rPr>
        <w:t xml:space="preserve">.  </w:t>
      </w:r>
      <w:r w:rsidR="005D3932" w:rsidRPr="004D2665">
        <w:rPr>
          <w:lang w:val="es-ES"/>
        </w:rPr>
        <w:t>Todo esto se recoge y organiza a fin de promover el arte, la antropología, la arqueología, la ciencia,</w:t>
      </w:r>
      <w:r w:rsidR="00F810ED" w:rsidRPr="004D2665">
        <w:rPr>
          <w:lang w:val="es-ES"/>
        </w:rPr>
        <w:t xml:space="preserve"> </w:t>
      </w:r>
      <w:r w:rsidR="005336EC" w:rsidRPr="004D2665">
        <w:rPr>
          <w:lang w:val="es-ES"/>
        </w:rPr>
        <w:t>etcétera.  P</w:t>
      </w:r>
      <w:r w:rsidR="005D3932" w:rsidRPr="004D2665">
        <w:rPr>
          <w:lang w:val="es-ES"/>
        </w:rPr>
        <w:t>ara hacerlo</w:t>
      </w:r>
      <w:r w:rsidR="001C357C" w:rsidRPr="004D2665">
        <w:rPr>
          <w:lang w:val="es-ES"/>
        </w:rPr>
        <w:t>,</w:t>
      </w:r>
      <w:r w:rsidR="005D3932" w:rsidRPr="004D2665">
        <w:rPr>
          <w:lang w:val="es-ES"/>
        </w:rPr>
        <w:t xml:space="preserve"> los museos realizan diversos tipos de actividades en relación con los objetos que preservan</w:t>
      </w:r>
      <w:r w:rsidR="00F810ED" w:rsidRPr="004D2665">
        <w:rPr>
          <w:lang w:val="es-ES"/>
        </w:rPr>
        <w:t xml:space="preserve">, </w:t>
      </w:r>
      <w:r w:rsidR="001C357C" w:rsidRPr="004D2665">
        <w:rPr>
          <w:lang w:val="es-ES"/>
        </w:rPr>
        <w:t>pero lo fundamental es la</w:t>
      </w:r>
      <w:r w:rsidR="00935226" w:rsidRPr="004D2665">
        <w:rPr>
          <w:lang w:val="es-ES"/>
        </w:rPr>
        <w:t xml:space="preserve"> adquisición y conservación</w:t>
      </w:r>
      <w:r w:rsidR="001C357C" w:rsidRPr="004D2665">
        <w:rPr>
          <w:lang w:val="es-ES"/>
        </w:rPr>
        <w:t xml:space="preserve"> de éstos, así como su</w:t>
      </w:r>
      <w:r w:rsidR="00167105" w:rsidRPr="004D2665">
        <w:rPr>
          <w:lang w:val="es-ES"/>
        </w:rPr>
        <w:t xml:space="preserve"> divulgación</w:t>
      </w:r>
      <w:r w:rsidR="00935226" w:rsidRPr="004D2665">
        <w:rPr>
          <w:lang w:val="es-ES"/>
        </w:rPr>
        <w:t xml:space="preserve"> entre el público y la promoción de su uso para apoyar la educación y la investigación</w:t>
      </w:r>
      <w:r w:rsidR="00F810ED" w:rsidRPr="004D2665">
        <w:rPr>
          <w:lang w:val="es-ES"/>
        </w:rPr>
        <w:t xml:space="preserve">.  </w:t>
      </w:r>
      <w:r w:rsidR="0008710A" w:rsidRPr="004D2665">
        <w:rPr>
          <w:lang w:val="es-ES"/>
        </w:rPr>
        <w:t xml:space="preserve">Actualmente los museos se ven obligados a adaptar sus prácticas a </w:t>
      </w:r>
      <w:r w:rsidR="00935226" w:rsidRPr="004D2665">
        <w:rPr>
          <w:lang w:val="es-ES"/>
        </w:rPr>
        <w:t xml:space="preserve">los importantes cambios técnicos y sociales </w:t>
      </w:r>
      <w:r w:rsidR="001C357C" w:rsidRPr="004D2665">
        <w:rPr>
          <w:lang w:val="es-ES"/>
        </w:rPr>
        <w:t>que ha propiciado</w:t>
      </w:r>
      <w:r w:rsidR="00935226" w:rsidRPr="004D2665">
        <w:rPr>
          <w:lang w:val="es-ES"/>
        </w:rPr>
        <w:t xml:space="preserve"> la aparición de las tecnologías de la información</w:t>
      </w:r>
      <w:r w:rsidR="00775357" w:rsidRPr="004D2665">
        <w:rPr>
          <w:lang w:val="es-ES"/>
        </w:rPr>
        <w:t>,</w:t>
      </w:r>
      <w:r w:rsidR="00946D75" w:rsidRPr="004D2665">
        <w:rPr>
          <w:lang w:val="es-ES"/>
        </w:rPr>
        <w:t xml:space="preserve"> y </w:t>
      </w:r>
      <w:r w:rsidR="00167105" w:rsidRPr="004D2665">
        <w:rPr>
          <w:lang w:val="es-ES"/>
        </w:rPr>
        <w:t xml:space="preserve">a plantearse </w:t>
      </w:r>
      <w:r w:rsidR="00946D75" w:rsidRPr="004D2665">
        <w:rPr>
          <w:lang w:val="es-ES"/>
        </w:rPr>
        <w:t>la necesidad de digitalizar y difundir sus colecciones</w:t>
      </w:r>
      <w:r w:rsidR="00167105" w:rsidRPr="004D2665">
        <w:rPr>
          <w:lang w:val="es-ES"/>
        </w:rPr>
        <w:t xml:space="preserve"> a través de Internet para</w:t>
      </w:r>
      <w:r w:rsidR="00946D75" w:rsidRPr="004D2665">
        <w:rPr>
          <w:lang w:val="es-ES"/>
        </w:rPr>
        <w:t xml:space="preserve"> seguir </w:t>
      </w:r>
      <w:r w:rsidR="00775357" w:rsidRPr="004D2665">
        <w:rPr>
          <w:lang w:val="es-ES"/>
        </w:rPr>
        <w:t>manteniendo su utilidad social y cultural</w:t>
      </w:r>
      <w:r w:rsidR="00946D75" w:rsidRPr="004D2665">
        <w:rPr>
          <w:lang w:val="es-ES"/>
        </w:rPr>
        <w:t xml:space="preserve"> en el siglo XXI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775357" w:rsidP="00F810ED">
      <w:pPr>
        <w:rPr>
          <w:lang w:val="es-ES"/>
        </w:rPr>
      </w:pPr>
      <w:r w:rsidRPr="004D2665">
        <w:rPr>
          <w:lang w:val="es-ES"/>
        </w:rPr>
        <w:t>Para cumplir su</w:t>
      </w:r>
      <w:r w:rsidR="00946D75" w:rsidRPr="004D2665">
        <w:rPr>
          <w:lang w:val="es-ES"/>
        </w:rPr>
        <w:t xml:space="preserve"> mandato</w:t>
      </w:r>
      <w:r w:rsidRPr="004D2665">
        <w:rPr>
          <w:lang w:val="es-ES"/>
        </w:rPr>
        <w:t>,</w:t>
      </w:r>
      <w:r w:rsidR="00167105" w:rsidRPr="004D2665">
        <w:rPr>
          <w:lang w:val="es-ES"/>
        </w:rPr>
        <w:t xml:space="preserve"> a menudo </w:t>
      </w:r>
      <w:r w:rsidRPr="004D2665">
        <w:rPr>
          <w:lang w:val="es-ES"/>
        </w:rPr>
        <w:t>los museos reproducen</w:t>
      </w:r>
      <w:r w:rsidR="00167105" w:rsidRPr="004D2665">
        <w:rPr>
          <w:lang w:val="es-ES"/>
        </w:rPr>
        <w:t xml:space="preserve"> y </w:t>
      </w:r>
      <w:r w:rsidRPr="004D2665">
        <w:rPr>
          <w:lang w:val="es-ES"/>
        </w:rPr>
        <w:t>comunican</w:t>
      </w:r>
      <w:r w:rsidR="00B10894" w:rsidRPr="004D2665">
        <w:rPr>
          <w:lang w:val="es-ES"/>
        </w:rPr>
        <w:t xml:space="preserve"> al </w:t>
      </w:r>
      <w:r w:rsidR="006D5F66" w:rsidRPr="004D2665">
        <w:rPr>
          <w:lang w:val="es-ES"/>
        </w:rPr>
        <w:t>público las obras de sus colecciones</w:t>
      </w:r>
      <w:r w:rsidR="00F810ED" w:rsidRPr="004D2665">
        <w:rPr>
          <w:lang w:val="es-ES"/>
        </w:rPr>
        <w:t xml:space="preserve">.  </w:t>
      </w:r>
      <w:r w:rsidR="008D16BC" w:rsidRPr="004D2665">
        <w:rPr>
          <w:lang w:val="es-ES"/>
        </w:rPr>
        <w:t>C</w:t>
      </w:r>
      <w:r w:rsidR="00167105" w:rsidRPr="004D2665">
        <w:rPr>
          <w:lang w:val="es-ES"/>
        </w:rPr>
        <w:t>uando se trata de</w:t>
      </w:r>
      <w:r w:rsidR="006D5F66" w:rsidRPr="004D2665">
        <w:rPr>
          <w:lang w:val="es-ES"/>
        </w:rPr>
        <w:t xml:space="preserve"> obras protegidas por derecho de autor</w:t>
      </w:r>
      <w:r w:rsidR="00F810ED" w:rsidRPr="004D2665">
        <w:rPr>
          <w:lang w:val="es-ES"/>
        </w:rPr>
        <w:t xml:space="preserve">, </w:t>
      </w:r>
      <w:r w:rsidR="006D5F66" w:rsidRPr="004D2665">
        <w:rPr>
          <w:lang w:val="es-ES"/>
        </w:rPr>
        <w:t>en principio, los museos necesitan la autorización del titular de los derechos</w:t>
      </w:r>
      <w:r w:rsidR="00F810ED" w:rsidRPr="004D2665">
        <w:rPr>
          <w:lang w:val="es-ES"/>
        </w:rPr>
        <w:t xml:space="preserve">, </w:t>
      </w:r>
      <w:r w:rsidR="00344AFF" w:rsidRPr="004D2665">
        <w:rPr>
          <w:lang w:val="es-ES"/>
        </w:rPr>
        <w:t>a menos que se</w:t>
      </w:r>
      <w:r w:rsidR="00FA6055" w:rsidRPr="004D2665">
        <w:rPr>
          <w:lang w:val="es-ES"/>
        </w:rPr>
        <w:t xml:space="preserve"> aplique una limitación</w:t>
      </w:r>
      <w:r w:rsidR="00096B40" w:rsidRPr="00096B40">
        <w:rPr>
          <w:lang w:val="es-ES"/>
        </w:rPr>
        <w:t xml:space="preserve"> </w:t>
      </w:r>
      <w:r w:rsidR="00096B40" w:rsidRPr="004D2665">
        <w:rPr>
          <w:lang w:val="es-ES"/>
        </w:rPr>
        <w:t>o excepción</w:t>
      </w:r>
      <w:r w:rsidR="00096B40">
        <w:rPr>
          <w:lang w:val="es-ES"/>
        </w:rPr>
        <w:t xml:space="preserve"> al derecho de autor</w:t>
      </w:r>
      <w:r w:rsidR="00F810ED" w:rsidRPr="004D2665">
        <w:rPr>
          <w:lang w:val="es-ES"/>
        </w:rPr>
        <w:t xml:space="preserve">.  </w:t>
      </w:r>
      <w:r w:rsidR="00FA6055" w:rsidRPr="004D2665">
        <w:rPr>
          <w:lang w:val="es-ES"/>
        </w:rPr>
        <w:t xml:space="preserve">Por consiguiente, la articulación entre el derecho de autor y las actividades de los museos puede plantear </w:t>
      </w:r>
      <w:r w:rsidR="00D90983" w:rsidRPr="004D2665">
        <w:rPr>
          <w:lang w:val="es-ES"/>
        </w:rPr>
        <w:t>un reto para el funcionamiento de estos últimos</w:t>
      </w:r>
      <w:r w:rsidRPr="004D2665">
        <w:rPr>
          <w:lang w:val="es-ES"/>
        </w:rPr>
        <w:t>,</w:t>
      </w:r>
      <w:r w:rsidR="00F810ED" w:rsidRPr="004D2665">
        <w:rPr>
          <w:lang w:val="es-ES"/>
        </w:rPr>
        <w:t xml:space="preserve"> </w:t>
      </w:r>
      <w:r w:rsidR="00D90983" w:rsidRPr="004D2665">
        <w:rPr>
          <w:lang w:val="es-ES"/>
        </w:rPr>
        <w:t>como es el caso para la mayoría de los usuarios potenciales de obras protegidas por derecho de autor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D90983" w:rsidP="00F810ED">
      <w:pPr>
        <w:rPr>
          <w:lang w:val="es-ES"/>
        </w:rPr>
      </w:pPr>
      <w:r w:rsidRPr="004D2665">
        <w:rPr>
          <w:lang w:val="es-ES"/>
        </w:rPr>
        <w:t>Sin embargo, no todos los museos se</w:t>
      </w:r>
      <w:r w:rsidR="001C357C" w:rsidRPr="004D2665">
        <w:rPr>
          <w:lang w:val="es-ES"/>
        </w:rPr>
        <w:t xml:space="preserve"> enfrentan en la misma medida con problemas relacionado</w:t>
      </w:r>
      <w:r w:rsidRPr="004D2665">
        <w:rPr>
          <w:lang w:val="es-ES"/>
        </w:rPr>
        <w:t>s con el derecho de autor</w:t>
      </w:r>
      <w:r w:rsidR="00F810ED" w:rsidRPr="004D2665">
        <w:rPr>
          <w:lang w:val="es-ES"/>
        </w:rPr>
        <w:t xml:space="preserve">.  </w:t>
      </w:r>
      <w:r w:rsidR="006D5F66" w:rsidRPr="004D2665">
        <w:rPr>
          <w:lang w:val="es-ES"/>
        </w:rPr>
        <w:t>En primer lugar</w:t>
      </w:r>
      <w:r w:rsidR="00F810ED" w:rsidRPr="004D2665">
        <w:rPr>
          <w:lang w:val="es-ES"/>
        </w:rPr>
        <w:t xml:space="preserve">, </w:t>
      </w:r>
      <w:r w:rsidRPr="004D2665">
        <w:rPr>
          <w:lang w:val="es-ES"/>
        </w:rPr>
        <w:t xml:space="preserve">no todos los objetos reunidos en la colección de un museo </w:t>
      </w:r>
      <w:r w:rsidR="00344AFF" w:rsidRPr="004D2665">
        <w:rPr>
          <w:lang w:val="es-ES"/>
        </w:rPr>
        <w:t>disfrutan necesariamente de la protección que brinda el derecho de autor</w:t>
      </w:r>
      <w:r w:rsidR="005336EC" w:rsidRPr="004D2665">
        <w:rPr>
          <w:lang w:val="es-ES"/>
        </w:rPr>
        <w:t>:  e</w:t>
      </w:r>
      <w:r w:rsidR="00167105" w:rsidRPr="004D2665">
        <w:rPr>
          <w:lang w:val="es-ES"/>
        </w:rPr>
        <w:t>n</w:t>
      </w:r>
      <w:r w:rsidR="00344AFF" w:rsidRPr="004D2665">
        <w:rPr>
          <w:lang w:val="es-ES"/>
        </w:rPr>
        <w:t xml:space="preserve"> algunos casos</w:t>
      </w:r>
      <w:r w:rsidR="00F810ED" w:rsidRPr="004D2665">
        <w:rPr>
          <w:lang w:val="es-ES"/>
        </w:rPr>
        <w:t xml:space="preserve">, </w:t>
      </w:r>
      <w:r w:rsidR="00344AFF" w:rsidRPr="004D2665">
        <w:rPr>
          <w:lang w:val="es-ES"/>
        </w:rPr>
        <w:t xml:space="preserve">los objetos no pueden considerarse </w:t>
      </w:r>
      <w:r w:rsidR="0008710A" w:rsidRPr="004D2665">
        <w:rPr>
          <w:lang w:val="es-ES"/>
        </w:rPr>
        <w:t>como obras protegida</w:t>
      </w:r>
      <w:r w:rsidR="00C14D35" w:rsidRPr="004D2665">
        <w:rPr>
          <w:lang w:val="es-ES"/>
        </w:rPr>
        <w:t xml:space="preserve">s por el derecho de autor </w:t>
      </w:r>
      <w:r w:rsidR="00FA6055" w:rsidRPr="004D2665">
        <w:rPr>
          <w:lang w:val="es-ES"/>
        </w:rPr>
        <w:t>(por ejemplo,</w:t>
      </w:r>
      <w:r w:rsidR="00344AFF" w:rsidRPr="004D2665">
        <w:rPr>
          <w:lang w:val="es-ES"/>
        </w:rPr>
        <w:t xml:space="preserve"> </w:t>
      </w:r>
      <w:r w:rsidR="00C14D35" w:rsidRPr="004D2665">
        <w:rPr>
          <w:lang w:val="es-ES"/>
        </w:rPr>
        <w:t>una bicicleta que se encuentre en un museo de historia</w:t>
      </w:r>
      <w:r w:rsidR="00F810ED" w:rsidRPr="004D2665">
        <w:rPr>
          <w:lang w:val="es-ES"/>
        </w:rPr>
        <w:t>)</w:t>
      </w:r>
      <w:r w:rsidR="005336EC" w:rsidRPr="004D2665">
        <w:rPr>
          <w:lang w:val="es-ES"/>
        </w:rPr>
        <w:t>;  y</w:t>
      </w:r>
      <w:r w:rsidR="00C14D35" w:rsidRPr="004D2665">
        <w:rPr>
          <w:lang w:val="es-ES"/>
        </w:rPr>
        <w:t xml:space="preserve"> en la mayor parte de los casos</w:t>
      </w:r>
      <w:r w:rsidR="00F566DC" w:rsidRPr="004D2665">
        <w:rPr>
          <w:lang w:val="es-ES"/>
        </w:rPr>
        <w:t xml:space="preserve">, el plazo en que el objeto está protegido por el derecho de autor habrá finalizado </w:t>
      </w:r>
      <w:r w:rsidR="00F810ED" w:rsidRPr="004D2665">
        <w:rPr>
          <w:lang w:val="es-ES"/>
        </w:rPr>
        <w:t>(</w:t>
      </w:r>
      <w:r w:rsidR="00FA6055" w:rsidRPr="004D2665">
        <w:rPr>
          <w:lang w:val="es-ES"/>
        </w:rPr>
        <w:t xml:space="preserve">por ejemplo, </w:t>
      </w:r>
      <w:r w:rsidR="00C14D35" w:rsidRPr="004D2665">
        <w:rPr>
          <w:lang w:val="es-ES"/>
        </w:rPr>
        <w:t>utensilios</w:t>
      </w:r>
      <w:r w:rsidR="00344AFF" w:rsidRPr="004D2665">
        <w:rPr>
          <w:lang w:val="es-ES"/>
        </w:rPr>
        <w:t xml:space="preserve"> egipcio</w:t>
      </w:r>
      <w:r w:rsidR="00C14D35" w:rsidRPr="004D2665">
        <w:rPr>
          <w:lang w:val="es-ES"/>
        </w:rPr>
        <w:t>s</w:t>
      </w:r>
      <w:r w:rsidR="00344AFF" w:rsidRPr="004D2665">
        <w:rPr>
          <w:lang w:val="es-ES"/>
        </w:rPr>
        <w:t xml:space="preserve"> o</w:t>
      </w:r>
      <w:r w:rsidR="00F810ED" w:rsidRPr="004D2665">
        <w:rPr>
          <w:lang w:val="es-ES"/>
        </w:rPr>
        <w:t xml:space="preserve"> </w:t>
      </w:r>
      <w:r w:rsidR="00344AFF" w:rsidRPr="004D2665">
        <w:rPr>
          <w:lang w:val="es-ES"/>
        </w:rPr>
        <w:t xml:space="preserve">manuscritos de </w:t>
      </w:r>
      <w:r w:rsidR="00F810ED" w:rsidRPr="004D2665">
        <w:rPr>
          <w:lang w:val="es-ES"/>
        </w:rPr>
        <w:t xml:space="preserve">Shakespeare).  </w:t>
      </w:r>
      <w:r w:rsidR="00663068" w:rsidRPr="004D2665">
        <w:rPr>
          <w:lang w:val="es-ES"/>
        </w:rPr>
        <w:t>Por consiguiente, d</w:t>
      </w:r>
      <w:r w:rsidR="00C14D35" w:rsidRPr="004D2665">
        <w:rPr>
          <w:lang w:val="es-ES"/>
        </w:rPr>
        <w:t>esde el pun</w:t>
      </w:r>
      <w:r w:rsidR="00663068" w:rsidRPr="004D2665">
        <w:rPr>
          <w:lang w:val="es-ES"/>
        </w:rPr>
        <w:t xml:space="preserve">to de vista de la legislación </w:t>
      </w:r>
      <w:r w:rsidR="00775357" w:rsidRPr="004D2665">
        <w:rPr>
          <w:lang w:val="es-ES"/>
        </w:rPr>
        <w:t>sobre</w:t>
      </w:r>
      <w:r w:rsidR="00C14D35" w:rsidRPr="004D2665">
        <w:rPr>
          <w:lang w:val="es-ES"/>
        </w:rPr>
        <w:t xml:space="preserve"> derecho de autor</w:t>
      </w:r>
      <w:r w:rsidR="00F810ED" w:rsidRPr="004D2665">
        <w:rPr>
          <w:lang w:val="es-ES"/>
        </w:rPr>
        <w:t xml:space="preserve"> </w:t>
      </w:r>
      <w:r w:rsidR="00663068" w:rsidRPr="004D2665">
        <w:rPr>
          <w:lang w:val="es-ES"/>
        </w:rPr>
        <w:t>esos objetos podrán</w:t>
      </w:r>
      <w:r w:rsidR="00F566DC" w:rsidRPr="004D2665">
        <w:rPr>
          <w:lang w:val="es-ES"/>
        </w:rPr>
        <w:t xml:space="preserve"> </w:t>
      </w:r>
      <w:r w:rsidR="00663068" w:rsidRPr="004D2665">
        <w:rPr>
          <w:lang w:val="es-ES"/>
        </w:rPr>
        <w:t>utilizarse sin restricción</w:t>
      </w:r>
      <w:r w:rsidR="00F566DC" w:rsidRPr="004D2665">
        <w:rPr>
          <w:lang w:val="es-ES"/>
        </w:rPr>
        <w:t xml:space="preserve"> alguna</w:t>
      </w:r>
      <w:r w:rsidR="00F810ED" w:rsidRPr="004D2665">
        <w:rPr>
          <w:lang w:val="es-ES"/>
        </w:rPr>
        <w:t xml:space="preserve">.  </w:t>
      </w:r>
      <w:r w:rsidR="0088475D" w:rsidRPr="004D2665">
        <w:rPr>
          <w:lang w:val="es-ES"/>
        </w:rPr>
        <w:t xml:space="preserve">En segundo lugar, en la medida de lo posible </w:t>
      </w:r>
      <w:r w:rsidR="00663068" w:rsidRPr="004D2665">
        <w:rPr>
          <w:lang w:val="es-ES"/>
        </w:rPr>
        <w:t xml:space="preserve">los museos intentan </w:t>
      </w:r>
      <w:r w:rsidR="0088475D" w:rsidRPr="004D2665">
        <w:rPr>
          <w:lang w:val="es-ES"/>
        </w:rPr>
        <w:t xml:space="preserve">obtener </w:t>
      </w:r>
      <w:r w:rsidR="006F744F" w:rsidRPr="004D2665">
        <w:rPr>
          <w:lang w:val="es-ES"/>
        </w:rPr>
        <w:t>a través de acuerdo</w:t>
      </w:r>
      <w:r w:rsidR="00663068" w:rsidRPr="004D2665">
        <w:rPr>
          <w:lang w:val="es-ES"/>
        </w:rPr>
        <w:t>s</w:t>
      </w:r>
      <w:r w:rsidR="006F744F" w:rsidRPr="004D2665">
        <w:rPr>
          <w:lang w:val="es-ES"/>
        </w:rPr>
        <w:t xml:space="preserve"> contractual</w:t>
      </w:r>
      <w:r w:rsidR="00663068" w:rsidRPr="004D2665">
        <w:rPr>
          <w:lang w:val="es-ES"/>
        </w:rPr>
        <w:t>es</w:t>
      </w:r>
      <w:r w:rsidR="006F744F" w:rsidRPr="004D2665">
        <w:rPr>
          <w:lang w:val="es-ES"/>
        </w:rPr>
        <w:t xml:space="preserve"> </w:t>
      </w:r>
      <w:r w:rsidR="00663068" w:rsidRPr="004D2665">
        <w:rPr>
          <w:lang w:val="es-ES"/>
        </w:rPr>
        <w:t>la cesión los</w:t>
      </w:r>
      <w:r w:rsidR="0088475D" w:rsidRPr="004D2665">
        <w:rPr>
          <w:lang w:val="es-ES"/>
        </w:rPr>
        <w:t xml:space="preserve"> derecho</w:t>
      </w:r>
      <w:r w:rsidR="00663068" w:rsidRPr="004D2665">
        <w:rPr>
          <w:lang w:val="es-ES"/>
        </w:rPr>
        <w:t>s</w:t>
      </w:r>
      <w:r w:rsidR="0088475D" w:rsidRPr="004D2665">
        <w:rPr>
          <w:lang w:val="es-ES"/>
        </w:rPr>
        <w:t xml:space="preserve"> de autor</w:t>
      </w:r>
      <w:r w:rsidR="006F744F" w:rsidRPr="004D2665">
        <w:rPr>
          <w:lang w:val="es-ES"/>
        </w:rPr>
        <w:t xml:space="preserve">, o al menos </w:t>
      </w:r>
      <w:r w:rsidR="00663068" w:rsidRPr="004D2665">
        <w:rPr>
          <w:lang w:val="es-ES"/>
        </w:rPr>
        <w:t>una licencia en relación con esos</w:t>
      </w:r>
      <w:r w:rsidR="006F744F" w:rsidRPr="004D2665">
        <w:rPr>
          <w:lang w:val="es-ES"/>
        </w:rPr>
        <w:t xml:space="preserve"> derechos</w:t>
      </w:r>
      <w:r w:rsidR="00F810ED" w:rsidRPr="004D2665">
        <w:rPr>
          <w:lang w:val="es-ES"/>
        </w:rPr>
        <w:t xml:space="preserve">, </w:t>
      </w:r>
      <w:r w:rsidR="006F744F" w:rsidRPr="004D2665">
        <w:rPr>
          <w:lang w:val="es-ES"/>
        </w:rPr>
        <w:t>junto con la propiedad física de las obras que figuran en su colección</w:t>
      </w:r>
      <w:r w:rsidR="00F810ED" w:rsidRPr="004D2665">
        <w:rPr>
          <w:lang w:val="es-ES"/>
        </w:rPr>
        <w:t xml:space="preserve">.  </w:t>
      </w:r>
      <w:r w:rsidR="006F744F" w:rsidRPr="004D2665">
        <w:rPr>
          <w:lang w:val="es-ES"/>
        </w:rPr>
        <w:t>Los museos tendrán dificultades para cumplir con su mandato a no ser que estén legalmente autorizados</w:t>
      </w:r>
      <w:r w:rsidR="00F810ED" w:rsidRPr="004D2665">
        <w:rPr>
          <w:lang w:val="es-ES"/>
        </w:rPr>
        <w:t xml:space="preserve"> </w:t>
      </w:r>
      <w:r w:rsidR="006F744F" w:rsidRPr="004D2665">
        <w:rPr>
          <w:lang w:val="es-ES"/>
        </w:rPr>
        <w:t>para llevar a cabo las acciones necesarias para ello</w:t>
      </w:r>
      <w:r w:rsidR="00F810ED" w:rsidRPr="004D2665">
        <w:rPr>
          <w:lang w:val="es-ES"/>
        </w:rPr>
        <w:t xml:space="preserve">.  </w:t>
      </w:r>
      <w:r w:rsidR="00D948C5" w:rsidRPr="004D2665">
        <w:rPr>
          <w:lang w:val="es-ES"/>
        </w:rPr>
        <w:t xml:space="preserve">Pero los museos no siempre están en condiciones de </w:t>
      </w:r>
      <w:r w:rsidR="009121D3" w:rsidRPr="004D2665">
        <w:rPr>
          <w:lang w:val="es-ES"/>
        </w:rPr>
        <w:t xml:space="preserve">conseguir </w:t>
      </w:r>
      <w:r w:rsidR="00D17F72" w:rsidRPr="004D2665">
        <w:rPr>
          <w:lang w:val="es-ES"/>
        </w:rPr>
        <w:t>los</w:t>
      </w:r>
      <w:r w:rsidR="00D948C5" w:rsidRPr="004D2665">
        <w:rPr>
          <w:lang w:val="es-ES"/>
        </w:rPr>
        <w:t xml:space="preserve"> derechos</w:t>
      </w:r>
      <w:r w:rsidR="00D17F72" w:rsidRPr="004D2665">
        <w:rPr>
          <w:lang w:val="es-ES"/>
        </w:rPr>
        <w:t xml:space="preserve"> de autor</w:t>
      </w:r>
      <w:r w:rsidR="006D5F66" w:rsidRPr="004D2665">
        <w:rPr>
          <w:lang w:val="es-ES"/>
        </w:rPr>
        <w:t>.  Además</w:t>
      </w:r>
      <w:r w:rsidR="00F810ED" w:rsidRPr="004D2665">
        <w:rPr>
          <w:lang w:val="es-ES"/>
        </w:rPr>
        <w:t xml:space="preserve">, </w:t>
      </w:r>
      <w:r w:rsidR="00D948C5" w:rsidRPr="004D2665">
        <w:rPr>
          <w:lang w:val="es-ES"/>
        </w:rPr>
        <w:t>puede que la situación no esté tan clara en lo que respecta a objetos adquiridos antes de la llegada del entorno de red digital</w:t>
      </w:r>
      <w:r w:rsidR="005336EC" w:rsidRPr="004D2665">
        <w:rPr>
          <w:lang w:val="es-ES"/>
        </w:rPr>
        <w:t>:  ¿</w:t>
      </w:r>
      <w:r w:rsidR="00D948C5" w:rsidRPr="004D2665">
        <w:rPr>
          <w:lang w:val="es-ES"/>
        </w:rPr>
        <w:t xml:space="preserve">a quién pertenecen los “derechos digitales” sobre esos objetos? </w:t>
      </w:r>
      <w:r w:rsidR="00775357" w:rsidRPr="004D2665">
        <w:rPr>
          <w:lang w:val="es-ES"/>
        </w:rPr>
        <w:t xml:space="preserve"> </w:t>
      </w:r>
      <w:r w:rsidR="00D948C5" w:rsidRPr="004D2665">
        <w:rPr>
          <w:lang w:val="es-ES"/>
        </w:rPr>
        <w:t>¿</w:t>
      </w:r>
      <w:r w:rsidR="00775357" w:rsidRPr="004D2665">
        <w:rPr>
          <w:lang w:val="es-ES"/>
        </w:rPr>
        <w:t xml:space="preserve">Al </w:t>
      </w:r>
      <w:r w:rsidR="00E055DF" w:rsidRPr="004D2665">
        <w:rPr>
          <w:lang w:val="es-ES"/>
        </w:rPr>
        <w:t xml:space="preserve">autor inicial o al museo? </w:t>
      </w:r>
      <w:r w:rsidR="00F810ED" w:rsidRPr="004D2665">
        <w:rPr>
          <w:lang w:val="es-ES"/>
        </w:rPr>
        <w:t xml:space="preserve"> </w:t>
      </w:r>
      <w:r w:rsidR="00E055DF" w:rsidRPr="004D2665">
        <w:rPr>
          <w:lang w:val="es-ES"/>
        </w:rPr>
        <w:t>¿</w:t>
      </w:r>
      <w:r w:rsidR="00775357" w:rsidRPr="004D2665">
        <w:rPr>
          <w:lang w:val="es-ES"/>
        </w:rPr>
        <w:t xml:space="preserve">Qué </w:t>
      </w:r>
      <w:r w:rsidR="00E055DF" w:rsidRPr="004D2665">
        <w:rPr>
          <w:lang w:val="es-ES"/>
        </w:rPr>
        <w:t>ocurre si ya no se puede identificar o localizar al autor</w:t>
      </w:r>
      <w:r w:rsidR="00F810ED" w:rsidRPr="004D2665">
        <w:rPr>
          <w:lang w:val="es-ES"/>
        </w:rPr>
        <w:t xml:space="preserve">, </w:t>
      </w:r>
      <w:r w:rsidR="00E055DF" w:rsidRPr="004D2665">
        <w:rPr>
          <w:lang w:val="es-ES"/>
        </w:rPr>
        <w:t>en cuyo caso la obra es “huérfana”?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C14D35" w:rsidP="00F810ED">
      <w:pPr>
        <w:rPr>
          <w:lang w:val="es-ES"/>
        </w:rPr>
      </w:pPr>
      <w:r w:rsidRPr="004D2665">
        <w:rPr>
          <w:lang w:val="es-ES"/>
        </w:rPr>
        <w:lastRenderedPageBreak/>
        <w:t>La cuestión que se a</w:t>
      </w:r>
      <w:r w:rsidR="00F566DC" w:rsidRPr="004D2665">
        <w:rPr>
          <w:lang w:val="es-ES"/>
        </w:rPr>
        <w:t>b</w:t>
      </w:r>
      <w:r w:rsidRPr="004D2665">
        <w:rPr>
          <w:lang w:val="es-ES"/>
        </w:rPr>
        <w:t xml:space="preserve">orda en este estudio </w:t>
      </w:r>
      <w:r w:rsidR="0088475D" w:rsidRPr="004D2665">
        <w:rPr>
          <w:lang w:val="es-ES"/>
        </w:rPr>
        <w:t xml:space="preserve">es si </w:t>
      </w:r>
      <w:r w:rsidR="001F7727" w:rsidRPr="004D2665">
        <w:rPr>
          <w:lang w:val="es-ES"/>
        </w:rPr>
        <w:t>el estado actual de las excepciones y limitaciones a</w:t>
      </w:r>
      <w:r w:rsidR="00096B40">
        <w:rPr>
          <w:lang w:val="es-ES"/>
        </w:rPr>
        <w:t xml:space="preserve"> </w:t>
      </w:r>
      <w:r w:rsidR="001F7727" w:rsidRPr="004D2665">
        <w:rPr>
          <w:lang w:val="es-ES"/>
        </w:rPr>
        <w:t>l</w:t>
      </w:r>
      <w:r w:rsidR="00096B40">
        <w:rPr>
          <w:lang w:val="es-ES"/>
        </w:rPr>
        <w:t>as normas sobre</w:t>
      </w:r>
      <w:r w:rsidR="001F7727" w:rsidRPr="004D2665">
        <w:rPr>
          <w:lang w:val="es-ES"/>
        </w:rPr>
        <w:t xml:space="preserve"> derecho </w:t>
      </w:r>
      <w:r w:rsidR="00D17F72" w:rsidRPr="004D2665">
        <w:rPr>
          <w:lang w:val="es-ES"/>
        </w:rPr>
        <w:t xml:space="preserve">de autor </w:t>
      </w:r>
      <w:r w:rsidR="005A3288">
        <w:rPr>
          <w:lang w:val="es-ES"/>
        </w:rPr>
        <w:t>es adecuado para</w:t>
      </w:r>
      <w:r w:rsidR="009121D3" w:rsidRPr="004D2665">
        <w:rPr>
          <w:lang w:val="es-ES"/>
        </w:rPr>
        <w:t xml:space="preserve"> </w:t>
      </w:r>
      <w:r w:rsidR="001F7727" w:rsidRPr="004D2665">
        <w:rPr>
          <w:lang w:val="es-ES"/>
        </w:rPr>
        <w:t>que los museos cumplan con sus mandatos y</w:t>
      </w:r>
      <w:r w:rsidR="00663068" w:rsidRPr="004D2665">
        <w:rPr>
          <w:lang w:val="es-ES"/>
        </w:rPr>
        <w:t>,</w:t>
      </w:r>
      <w:r w:rsidR="00F810ED" w:rsidRPr="004D2665">
        <w:rPr>
          <w:lang w:val="es-ES"/>
        </w:rPr>
        <w:t xml:space="preserve"> </w:t>
      </w:r>
      <w:r w:rsidR="001F7727" w:rsidRPr="004D2665">
        <w:rPr>
          <w:lang w:val="es-ES"/>
        </w:rPr>
        <w:t xml:space="preserve">de no ser así, </w:t>
      </w:r>
      <w:r w:rsidR="00241C80" w:rsidRPr="004D2665">
        <w:rPr>
          <w:lang w:val="es-ES"/>
        </w:rPr>
        <w:t>cómo garantizar que</w:t>
      </w:r>
      <w:r w:rsidR="00F810ED" w:rsidRPr="004D2665">
        <w:rPr>
          <w:lang w:val="es-ES"/>
        </w:rPr>
        <w:t xml:space="preserve"> </w:t>
      </w:r>
      <w:r w:rsidR="00241C80" w:rsidRPr="004D2665">
        <w:rPr>
          <w:lang w:val="es-ES"/>
        </w:rPr>
        <w:t>la prestación de servicios por parte de los museos en cumplimiento de sus mandatos no se ve</w:t>
      </w:r>
      <w:r w:rsidR="009121D3" w:rsidRPr="004D2665">
        <w:rPr>
          <w:lang w:val="es-ES"/>
        </w:rPr>
        <w:t>a</w:t>
      </w:r>
      <w:r w:rsidR="00241C80" w:rsidRPr="004D2665">
        <w:rPr>
          <w:lang w:val="es-ES"/>
        </w:rPr>
        <w:t xml:space="preserve"> obstaculizada </w:t>
      </w:r>
      <w:r w:rsidR="00663068" w:rsidRPr="004D2665">
        <w:rPr>
          <w:lang w:val="es-ES"/>
        </w:rPr>
        <w:t>por</w:t>
      </w:r>
      <w:r w:rsidR="00D17F72" w:rsidRPr="004D2665">
        <w:rPr>
          <w:lang w:val="es-ES"/>
        </w:rPr>
        <w:t xml:space="preserve"> el hecho de respetar</w:t>
      </w:r>
      <w:r w:rsidR="009121D3" w:rsidRPr="004D2665">
        <w:rPr>
          <w:lang w:val="es-ES"/>
        </w:rPr>
        <w:t xml:space="preserve"> los </w:t>
      </w:r>
      <w:r w:rsidR="00241C80" w:rsidRPr="004D2665">
        <w:rPr>
          <w:lang w:val="es-ES"/>
        </w:rPr>
        <w:t>intereses de todas las partes interesadas</w:t>
      </w:r>
      <w:r w:rsidR="00F810ED" w:rsidRPr="004D2665">
        <w:rPr>
          <w:lang w:val="es-ES"/>
        </w:rPr>
        <w:t xml:space="preserve">.  </w:t>
      </w:r>
      <w:r w:rsidR="00241C80" w:rsidRPr="004D2665">
        <w:rPr>
          <w:lang w:val="es-ES"/>
        </w:rPr>
        <w:t>¿C</w:t>
      </w:r>
      <w:r w:rsidR="0073131C" w:rsidRPr="004D2665">
        <w:rPr>
          <w:lang w:val="es-ES"/>
        </w:rPr>
        <w:t>uál es la mejor manera de</w:t>
      </w:r>
      <w:r w:rsidR="00241C80" w:rsidRPr="004D2665">
        <w:rPr>
          <w:lang w:val="es-ES"/>
        </w:rPr>
        <w:t xml:space="preserve"> </w:t>
      </w:r>
      <w:r w:rsidR="0073131C" w:rsidRPr="004D2665">
        <w:rPr>
          <w:lang w:val="es-ES"/>
        </w:rPr>
        <w:t>asegurarse</w:t>
      </w:r>
      <w:r w:rsidR="00241C80" w:rsidRPr="004D2665">
        <w:rPr>
          <w:lang w:val="es-ES"/>
        </w:rPr>
        <w:t xml:space="preserve"> la autorización de los titulares de derechos</w:t>
      </w:r>
      <w:r w:rsidR="00F810ED" w:rsidRPr="004D2665">
        <w:rPr>
          <w:lang w:val="es-ES"/>
        </w:rPr>
        <w:t xml:space="preserve">, </w:t>
      </w:r>
      <w:r w:rsidR="0073131C" w:rsidRPr="004D2665">
        <w:rPr>
          <w:lang w:val="es-ES"/>
        </w:rPr>
        <w:t xml:space="preserve">mediante la aplicación </w:t>
      </w:r>
      <w:r w:rsidR="00241C80" w:rsidRPr="004D2665">
        <w:rPr>
          <w:lang w:val="es-ES"/>
        </w:rPr>
        <w:t xml:space="preserve">de la ley o </w:t>
      </w:r>
      <w:r w:rsidR="0073131C" w:rsidRPr="004D2665">
        <w:rPr>
          <w:lang w:val="es-ES"/>
        </w:rPr>
        <w:t xml:space="preserve">por </w:t>
      </w:r>
      <w:r w:rsidR="00241C80" w:rsidRPr="004D2665">
        <w:rPr>
          <w:lang w:val="es-ES"/>
        </w:rPr>
        <w:t>contrato</w:t>
      </w:r>
      <w:r w:rsidR="00F810ED" w:rsidRPr="004D2665">
        <w:rPr>
          <w:lang w:val="es-ES"/>
        </w:rPr>
        <w:t xml:space="preserve">? </w:t>
      </w:r>
      <w:r w:rsidR="0073131C" w:rsidRPr="004D2665">
        <w:rPr>
          <w:lang w:val="es-ES"/>
        </w:rPr>
        <w:t xml:space="preserve"> </w:t>
      </w:r>
      <w:r w:rsidR="000E5F7E" w:rsidRPr="004D2665">
        <w:rPr>
          <w:lang w:val="es-ES"/>
        </w:rPr>
        <w:t>¿Pueden modificarse l</w:t>
      </w:r>
      <w:r w:rsidR="009121D3" w:rsidRPr="004D2665">
        <w:rPr>
          <w:lang w:val="es-ES"/>
        </w:rPr>
        <w:t xml:space="preserve">as excepciones y limitaciones contempladas en la legislación sobre </w:t>
      </w:r>
      <w:r w:rsidR="000E5F7E" w:rsidRPr="004D2665">
        <w:rPr>
          <w:lang w:val="es-ES"/>
        </w:rPr>
        <w:t xml:space="preserve">propiedad intelectual de los miembros de la Unión de Berna a fin de atenuar los problemas de </w:t>
      </w:r>
      <w:r w:rsidR="0073131C" w:rsidRPr="004D2665">
        <w:rPr>
          <w:lang w:val="es-ES"/>
        </w:rPr>
        <w:t>inseguridad</w:t>
      </w:r>
      <w:r w:rsidR="000E5F7E" w:rsidRPr="004D2665">
        <w:rPr>
          <w:lang w:val="es-ES"/>
        </w:rPr>
        <w:t xml:space="preserve"> jurídica?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AF4D9C" w:rsidP="00F810ED">
      <w:pPr>
        <w:rPr>
          <w:lang w:val="es-ES"/>
        </w:rPr>
      </w:pPr>
      <w:r w:rsidRPr="004D2665">
        <w:rPr>
          <w:lang w:val="es-ES"/>
        </w:rPr>
        <w:t>ESTRUCTURA Y</w:t>
      </w:r>
      <w:r w:rsidR="00F810ED" w:rsidRPr="004D2665">
        <w:rPr>
          <w:lang w:val="es-ES"/>
        </w:rPr>
        <w:t xml:space="preserve"> MET</w:t>
      </w:r>
      <w:r w:rsidR="0073131C" w:rsidRPr="004D2665">
        <w:rPr>
          <w:lang w:val="es-ES"/>
        </w:rPr>
        <w:t>ODOLOGÍA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D341DD" w:rsidP="00F810ED">
      <w:pPr>
        <w:rPr>
          <w:lang w:val="es-ES"/>
        </w:rPr>
      </w:pPr>
      <w:r w:rsidRPr="004D2665">
        <w:rPr>
          <w:lang w:val="es-ES"/>
        </w:rPr>
        <w:t>Con este</w:t>
      </w:r>
      <w:r w:rsidR="00E74DA9" w:rsidRPr="004D2665">
        <w:rPr>
          <w:lang w:val="es-ES"/>
        </w:rPr>
        <w:t xml:space="preserve"> estudio se pretende alcanzar un doble objetivo</w:t>
      </w:r>
      <w:r w:rsidR="005336EC" w:rsidRPr="004D2665">
        <w:rPr>
          <w:lang w:val="es-ES"/>
        </w:rPr>
        <w:t>:  e</w:t>
      </w:r>
      <w:r w:rsidR="00E74DA9" w:rsidRPr="004D2665">
        <w:rPr>
          <w:lang w:val="es-ES"/>
        </w:rPr>
        <w:t>n primer lugar</w:t>
      </w:r>
      <w:r w:rsidR="0073131C" w:rsidRPr="004D2665">
        <w:rPr>
          <w:lang w:val="es-ES"/>
        </w:rPr>
        <w:t>,</w:t>
      </w:r>
      <w:r w:rsidR="00E74DA9" w:rsidRPr="004D2665">
        <w:rPr>
          <w:lang w:val="es-ES"/>
        </w:rPr>
        <w:t xml:space="preserve"> descri</w:t>
      </w:r>
      <w:r w:rsidR="0073131C" w:rsidRPr="004D2665">
        <w:rPr>
          <w:lang w:val="es-ES"/>
        </w:rPr>
        <w:t>bir</w:t>
      </w:r>
      <w:r w:rsidR="00E74DA9" w:rsidRPr="004D2665">
        <w:rPr>
          <w:lang w:val="es-ES"/>
        </w:rPr>
        <w:t xml:space="preserve"> el estado actual de la legislación </w:t>
      </w:r>
      <w:r w:rsidR="0073131C" w:rsidRPr="004D2665">
        <w:rPr>
          <w:lang w:val="es-ES"/>
        </w:rPr>
        <w:t>sobre</w:t>
      </w:r>
      <w:r w:rsidR="00E74DA9" w:rsidRPr="004D2665">
        <w:rPr>
          <w:lang w:val="es-ES"/>
        </w:rPr>
        <w:t xml:space="preserve"> derecho de autor y </w:t>
      </w:r>
      <w:r w:rsidRPr="004D2665">
        <w:rPr>
          <w:lang w:val="es-ES"/>
        </w:rPr>
        <w:t xml:space="preserve">de </w:t>
      </w:r>
      <w:r w:rsidR="00D17F72" w:rsidRPr="004D2665">
        <w:rPr>
          <w:lang w:val="es-ES"/>
        </w:rPr>
        <w:t xml:space="preserve">las </w:t>
      </w:r>
      <w:r w:rsidR="00E74DA9" w:rsidRPr="004D2665">
        <w:rPr>
          <w:lang w:val="es-ES"/>
        </w:rPr>
        <w:t xml:space="preserve">excepciones y limitaciones </w:t>
      </w:r>
      <w:r w:rsidR="00D17F72" w:rsidRPr="004D2665">
        <w:rPr>
          <w:lang w:val="es-ES"/>
        </w:rPr>
        <w:t xml:space="preserve">relativas al </w:t>
      </w:r>
      <w:r w:rsidR="00E74DA9" w:rsidRPr="004D2665">
        <w:rPr>
          <w:lang w:val="es-ES"/>
        </w:rPr>
        <w:t xml:space="preserve">uso </w:t>
      </w:r>
      <w:r w:rsidRPr="004D2665">
        <w:rPr>
          <w:lang w:val="es-ES"/>
        </w:rPr>
        <w:t xml:space="preserve">por parte de los museos y sus usuarios </w:t>
      </w:r>
      <w:r w:rsidR="00B10894" w:rsidRPr="004D2665">
        <w:rPr>
          <w:lang w:val="es-ES"/>
        </w:rPr>
        <w:t xml:space="preserve">de obras protegidas por </w:t>
      </w:r>
      <w:r w:rsidR="00E74DA9" w:rsidRPr="004D2665">
        <w:rPr>
          <w:lang w:val="es-ES"/>
        </w:rPr>
        <w:t>derecho de autor</w:t>
      </w:r>
      <w:r w:rsidR="00F810ED" w:rsidRPr="004D2665">
        <w:rPr>
          <w:lang w:val="es-ES"/>
        </w:rPr>
        <w:t xml:space="preserve">;  </w:t>
      </w:r>
      <w:r w:rsidR="008C3B79" w:rsidRPr="004D2665">
        <w:rPr>
          <w:lang w:val="es-ES"/>
        </w:rPr>
        <w:t>en segundo lugar, en base a las conclusiones de la primera parte</w:t>
      </w:r>
      <w:r w:rsidR="00F810ED" w:rsidRPr="004D2665">
        <w:rPr>
          <w:lang w:val="es-ES"/>
        </w:rPr>
        <w:t xml:space="preserve">, </w:t>
      </w:r>
      <w:r w:rsidR="008C3B79" w:rsidRPr="004D2665">
        <w:rPr>
          <w:lang w:val="es-ES"/>
        </w:rPr>
        <w:t xml:space="preserve">se examinan desde una perspectiva normativa </w:t>
      </w:r>
      <w:r w:rsidR="0073131C" w:rsidRPr="004D2665">
        <w:rPr>
          <w:lang w:val="es-ES"/>
        </w:rPr>
        <w:t xml:space="preserve">las </w:t>
      </w:r>
      <w:r w:rsidR="00F810ED" w:rsidRPr="004D2665">
        <w:rPr>
          <w:lang w:val="es-ES"/>
        </w:rPr>
        <w:t>pos</w:t>
      </w:r>
      <w:r w:rsidR="008C3B79" w:rsidRPr="004D2665">
        <w:rPr>
          <w:lang w:val="es-ES"/>
        </w:rPr>
        <w:t xml:space="preserve">ibles maneras de facilitar </w:t>
      </w:r>
      <w:r w:rsidR="0073131C" w:rsidRPr="004D2665">
        <w:rPr>
          <w:lang w:val="es-ES"/>
        </w:rPr>
        <w:t>la tarea de</w:t>
      </w:r>
      <w:r w:rsidR="00B10894" w:rsidRPr="004D2665">
        <w:rPr>
          <w:lang w:val="es-ES"/>
        </w:rPr>
        <w:t xml:space="preserve"> </w:t>
      </w:r>
      <w:r w:rsidR="008C3B79" w:rsidRPr="004D2665">
        <w:rPr>
          <w:lang w:val="es-ES"/>
        </w:rPr>
        <w:t>los museos</w:t>
      </w:r>
      <w:r w:rsidR="0073131C" w:rsidRPr="004D2665">
        <w:rPr>
          <w:lang w:val="es-ES"/>
        </w:rPr>
        <w:t xml:space="preserve">, para que presten sus servicios </w:t>
      </w:r>
      <w:r w:rsidR="003A7E72" w:rsidRPr="004D2665">
        <w:rPr>
          <w:lang w:val="es-ES"/>
        </w:rPr>
        <w:t xml:space="preserve">ateniéndose a las </w:t>
      </w:r>
      <w:r w:rsidR="009121D3" w:rsidRPr="004D2665">
        <w:rPr>
          <w:lang w:val="es-ES"/>
        </w:rPr>
        <w:t xml:space="preserve">normas </w:t>
      </w:r>
      <w:r w:rsidR="0073131C" w:rsidRPr="004D2665">
        <w:rPr>
          <w:lang w:val="es-ES"/>
        </w:rPr>
        <w:t>sobre</w:t>
      </w:r>
      <w:r w:rsidR="006E4848" w:rsidRPr="004D2665">
        <w:rPr>
          <w:lang w:val="es-ES"/>
        </w:rPr>
        <w:t xml:space="preserve"> </w:t>
      </w:r>
      <w:r w:rsidR="008C3B79" w:rsidRPr="004D2665">
        <w:rPr>
          <w:lang w:val="es-ES"/>
        </w:rPr>
        <w:t>derecho de autor</w:t>
      </w:r>
      <w:r w:rsidR="00F810ED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3A7E72" w:rsidP="00F810ED">
      <w:pPr>
        <w:rPr>
          <w:lang w:val="es-ES"/>
        </w:rPr>
      </w:pPr>
      <w:r w:rsidRPr="004D2665">
        <w:rPr>
          <w:lang w:val="es-ES"/>
        </w:rPr>
        <w:t>Antes de describir</w:t>
      </w:r>
      <w:r w:rsidR="00D341DD" w:rsidRPr="004D2665">
        <w:rPr>
          <w:lang w:val="es-ES"/>
        </w:rPr>
        <w:t>,</w:t>
      </w:r>
      <w:r w:rsidR="006E4848" w:rsidRPr="004D2665">
        <w:rPr>
          <w:lang w:val="es-ES"/>
        </w:rPr>
        <w:t xml:space="preserve"> </w:t>
      </w:r>
      <w:r w:rsidR="00D341DD" w:rsidRPr="004D2665">
        <w:rPr>
          <w:lang w:val="es-ES"/>
        </w:rPr>
        <w:t>en el capítul</w:t>
      </w:r>
      <w:r w:rsidR="005336EC" w:rsidRPr="004D2665">
        <w:rPr>
          <w:lang w:val="es-ES"/>
        </w:rPr>
        <w:t>o 3</w:t>
      </w:r>
      <w:r w:rsidR="00D341DD" w:rsidRPr="004D2665">
        <w:rPr>
          <w:lang w:val="es-ES"/>
        </w:rPr>
        <w:t xml:space="preserve">, </w:t>
      </w:r>
      <w:r w:rsidR="006E4848" w:rsidRPr="004D2665">
        <w:rPr>
          <w:lang w:val="es-ES"/>
        </w:rPr>
        <w:t>las limitaciones y excepciones legales adoptadas a favor de los museos y después de la presente introducción del</w:t>
      </w:r>
      <w:r w:rsidR="00F810ED" w:rsidRPr="004D2665">
        <w:rPr>
          <w:lang w:val="es-ES"/>
        </w:rPr>
        <w:t xml:space="preserve"> </w:t>
      </w:r>
      <w:r w:rsidR="00241C80" w:rsidRPr="004D2665">
        <w:rPr>
          <w:b/>
          <w:lang w:val="es-ES"/>
        </w:rPr>
        <w:t>capítul</w:t>
      </w:r>
      <w:r w:rsidR="005336EC" w:rsidRPr="004D2665">
        <w:rPr>
          <w:b/>
          <w:lang w:val="es-ES"/>
        </w:rPr>
        <w:t>o 1</w:t>
      </w:r>
      <w:r w:rsidR="00F810ED" w:rsidRPr="004D2665">
        <w:rPr>
          <w:lang w:val="es-ES"/>
        </w:rPr>
        <w:t xml:space="preserve">, </w:t>
      </w:r>
      <w:r w:rsidR="006E4848" w:rsidRPr="004D2665">
        <w:rPr>
          <w:lang w:val="es-ES"/>
        </w:rPr>
        <w:t xml:space="preserve">en el </w:t>
      </w:r>
      <w:r w:rsidR="00241C80" w:rsidRPr="004D2665">
        <w:rPr>
          <w:b/>
          <w:lang w:val="es-ES"/>
        </w:rPr>
        <w:t>capítul</w:t>
      </w:r>
      <w:r w:rsidR="005336EC" w:rsidRPr="004D2665">
        <w:rPr>
          <w:b/>
          <w:lang w:val="es-ES"/>
        </w:rPr>
        <w:t>o 2</w:t>
      </w:r>
      <w:r w:rsidR="006E4848" w:rsidRPr="004D2665">
        <w:rPr>
          <w:b/>
          <w:lang w:val="es-ES"/>
        </w:rPr>
        <w:t xml:space="preserve"> </w:t>
      </w:r>
      <w:r w:rsidR="00D341DD" w:rsidRPr="004D2665">
        <w:rPr>
          <w:lang w:val="es-ES"/>
        </w:rPr>
        <w:t>se examinan</w:t>
      </w:r>
      <w:r w:rsidR="006E4848" w:rsidRPr="004D2665">
        <w:rPr>
          <w:lang w:val="es-ES"/>
        </w:rPr>
        <w:t xml:space="preserve"> los museos en sus contextos global</w:t>
      </w:r>
      <w:r w:rsidRPr="004D2665">
        <w:rPr>
          <w:lang w:val="es-ES"/>
        </w:rPr>
        <w:t>, teórico</w:t>
      </w:r>
      <w:r w:rsidR="006E4848" w:rsidRPr="004D2665">
        <w:rPr>
          <w:lang w:val="es-ES"/>
        </w:rPr>
        <w:t xml:space="preserve"> y </w:t>
      </w:r>
      <w:r w:rsidR="0073131C" w:rsidRPr="004D2665">
        <w:rPr>
          <w:lang w:val="es-ES"/>
        </w:rPr>
        <w:t>jurídico</w:t>
      </w:r>
      <w:r w:rsidR="00F810ED" w:rsidRPr="004D2665">
        <w:rPr>
          <w:lang w:val="es-ES"/>
        </w:rPr>
        <w:t xml:space="preserve">.  </w:t>
      </w:r>
      <w:r w:rsidR="006E4848" w:rsidRPr="004D2665">
        <w:rPr>
          <w:lang w:val="es-ES"/>
        </w:rPr>
        <w:t xml:space="preserve">En </w:t>
      </w:r>
      <w:r w:rsidR="00D341DD" w:rsidRPr="004D2665">
        <w:rPr>
          <w:lang w:val="es-ES"/>
        </w:rPr>
        <w:t>e</w:t>
      </w:r>
      <w:r w:rsidR="0073131C" w:rsidRPr="004D2665">
        <w:rPr>
          <w:lang w:val="es-ES"/>
        </w:rPr>
        <w:t>se</w:t>
      </w:r>
      <w:r w:rsidR="006E4848" w:rsidRPr="004D2665">
        <w:rPr>
          <w:lang w:val="es-ES"/>
        </w:rPr>
        <w:t xml:space="preserve"> capítul</w:t>
      </w:r>
      <w:r w:rsidR="0073131C" w:rsidRPr="004D2665">
        <w:rPr>
          <w:lang w:val="es-ES"/>
        </w:rPr>
        <w:t>o</w:t>
      </w:r>
      <w:r w:rsidR="001C357C" w:rsidRPr="004D2665">
        <w:rPr>
          <w:lang w:val="es-ES"/>
        </w:rPr>
        <w:t xml:space="preserve">, </w:t>
      </w:r>
      <w:r w:rsidRPr="004D2665">
        <w:rPr>
          <w:lang w:val="es-ES"/>
        </w:rPr>
        <w:t xml:space="preserve">en </w:t>
      </w:r>
      <w:r w:rsidR="001C357C" w:rsidRPr="004D2665">
        <w:rPr>
          <w:lang w:val="es-ES"/>
        </w:rPr>
        <w:t>primer lugar</w:t>
      </w:r>
      <w:r w:rsidR="0073131C" w:rsidRPr="004D2665">
        <w:rPr>
          <w:lang w:val="es-ES"/>
        </w:rPr>
        <w:t>,</w:t>
      </w:r>
      <w:r w:rsidR="006E4848" w:rsidRPr="004D2665">
        <w:rPr>
          <w:lang w:val="es-ES"/>
        </w:rPr>
        <w:t xml:space="preserve"> </w:t>
      </w:r>
      <w:r w:rsidRPr="004D2665">
        <w:rPr>
          <w:lang w:val="es-ES"/>
        </w:rPr>
        <w:t>se</w:t>
      </w:r>
      <w:r w:rsidR="00D17F72" w:rsidRPr="004D2665">
        <w:rPr>
          <w:lang w:val="es-ES"/>
        </w:rPr>
        <w:t xml:space="preserve"> resume brevemente la evolución</w:t>
      </w:r>
      <w:r w:rsidR="006E4848" w:rsidRPr="004D2665">
        <w:rPr>
          <w:lang w:val="es-ES"/>
        </w:rPr>
        <w:t xml:space="preserve"> de los m</w:t>
      </w:r>
      <w:r w:rsidR="00EF3C3B" w:rsidRPr="004D2665">
        <w:rPr>
          <w:lang w:val="es-ES"/>
        </w:rPr>
        <w:t>u</w:t>
      </w:r>
      <w:r w:rsidRPr="004D2665">
        <w:rPr>
          <w:lang w:val="es-ES"/>
        </w:rPr>
        <w:t>seos a través de la historia</w:t>
      </w:r>
      <w:r w:rsidR="006E4848" w:rsidRPr="004D2665">
        <w:rPr>
          <w:lang w:val="es-ES"/>
        </w:rPr>
        <w:t xml:space="preserve"> (secció</w:t>
      </w:r>
      <w:r w:rsidR="005336EC" w:rsidRPr="004D2665">
        <w:rPr>
          <w:lang w:val="es-ES"/>
        </w:rPr>
        <w:t>n 2</w:t>
      </w:r>
      <w:r w:rsidR="00F810ED" w:rsidRPr="004D2665">
        <w:rPr>
          <w:lang w:val="es-ES"/>
        </w:rPr>
        <w:t xml:space="preserve">.1), </w:t>
      </w:r>
      <w:r w:rsidR="00EF3C3B" w:rsidRPr="004D2665">
        <w:rPr>
          <w:lang w:val="es-ES"/>
        </w:rPr>
        <w:t xml:space="preserve">y </w:t>
      </w:r>
      <w:r w:rsidRPr="004D2665">
        <w:rPr>
          <w:lang w:val="es-ES"/>
        </w:rPr>
        <w:t xml:space="preserve">se define </w:t>
      </w:r>
      <w:r w:rsidR="00EF3C3B" w:rsidRPr="004D2665">
        <w:rPr>
          <w:lang w:val="es-ES"/>
        </w:rPr>
        <w:t>la noción de</w:t>
      </w:r>
      <w:r w:rsidR="00F810ED" w:rsidRPr="004D2665">
        <w:rPr>
          <w:lang w:val="es-ES"/>
        </w:rPr>
        <w:t xml:space="preserve"> “muse</w:t>
      </w:r>
      <w:r w:rsidR="00EF3C3B" w:rsidRPr="004D2665">
        <w:rPr>
          <w:lang w:val="es-ES"/>
        </w:rPr>
        <w:t>o</w:t>
      </w:r>
      <w:r w:rsidR="00F810ED" w:rsidRPr="004D2665">
        <w:rPr>
          <w:lang w:val="es-ES"/>
        </w:rPr>
        <w:t xml:space="preserve">” </w:t>
      </w:r>
      <w:r w:rsidR="00EF3C3B" w:rsidRPr="004D2665">
        <w:rPr>
          <w:lang w:val="es-ES"/>
        </w:rPr>
        <w:t xml:space="preserve">tal como se usa en el resto del informe.  </w:t>
      </w:r>
      <w:r w:rsidR="00E87AE4" w:rsidRPr="004D2665">
        <w:rPr>
          <w:lang w:val="es-ES"/>
        </w:rPr>
        <w:t xml:space="preserve">A continuación se ofrece una descripción de los principales mandatos de los museos </w:t>
      </w:r>
      <w:r w:rsidR="00EF3C3B" w:rsidRPr="004D2665">
        <w:rPr>
          <w:lang w:val="es-ES"/>
        </w:rPr>
        <w:t>(secció</w:t>
      </w:r>
      <w:r w:rsidR="005336EC" w:rsidRPr="004D2665">
        <w:rPr>
          <w:lang w:val="es-ES"/>
        </w:rPr>
        <w:t>n 2</w:t>
      </w:r>
      <w:r w:rsidR="00F810ED" w:rsidRPr="004D2665">
        <w:rPr>
          <w:lang w:val="es-ES"/>
        </w:rPr>
        <w:t xml:space="preserve">.2), </w:t>
      </w:r>
      <w:r w:rsidR="00E87AE4" w:rsidRPr="004D2665">
        <w:rPr>
          <w:lang w:val="es-ES"/>
        </w:rPr>
        <w:t xml:space="preserve">que incluyen </w:t>
      </w:r>
      <w:r w:rsidRPr="004D2665">
        <w:rPr>
          <w:lang w:val="es-ES"/>
        </w:rPr>
        <w:t xml:space="preserve">la adquisición y </w:t>
      </w:r>
      <w:r w:rsidR="00E87AE4" w:rsidRPr="004D2665">
        <w:rPr>
          <w:lang w:val="es-ES"/>
        </w:rPr>
        <w:t>protección del patrimonio cultural y su comunicación y exhibición</w:t>
      </w:r>
      <w:r w:rsidR="00F810ED" w:rsidRPr="004D2665">
        <w:rPr>
          <w:lang w:val="es-ES"/>
        </w:rPr>
        <w:t>, as</w:t>
      </w:r>
      <w:r w:rsidR="00E87AE4" w:rsidRPr="004D2665">
        <w:rPr>
          <w:lang w:val="es-ES"/>
        </w:rPr>
        <w:t xml:space="preserve">í </w:t>
      </w:r>
      <w:r w:rsidRPr="004D2665">
        <w:rPr>
          <w:lang w:val="es-ES"/>
        </w:rPr>
        <w:t xml:space="preserve">como el apoyo a la educación, </w:t>
      </w:r>
      <w:r w:rsidR="00E44CCB" w:rsidRPr="004D2665">
        <w:rPr>
          <w:lang w:val="es-ES"/>
        </w:rPr>
        <w:t>el</w:t>
      </w:r>
      <w:r w:rsidR="00E87AE4" w:rsidRPr="004D2665">
        <w:rPr>
          <w:lang w:val="es-ES"/>
        </w:rPr>
        <w:t xml:space="preserve"> estudio y la</w:t>
      </w:r>
      <w:r w:rsidR="00E44CCB" w:rsidRPr="004D2665">
        <w:rPr>
          <w:lang w:val="es-ES"/>
        </w:rPr>
        <w:t xml:space="preserve"> investigación</w:t>
      </w:r>
      <w:r w:rsidR="00F810ED" w:rsidRPr="004D2665">
        <w:rPr>
          <w:lang w:val="es-ES"/>
        </w:rPr>
        <w:t xml:space="preserve">.  </w:t>
      </w:r>
      <w:r w:rsidR="00E87AE4" w:rsidRPr="004D2665">
        <w:rPr>
          <w:lang w:val="es-ES"/>
        </w:rPr>
        <w:t>En la secció</w:t>
      </w:r>
      <w:r w:rsidR="005336EC" w:rsidRPr="004D2665">
        <w:rPr>
          <w:lang w:val="es-ES"/>
        </w:rPr>
        <w:t>n 2</w:t>
      </w:r>
      <w:r w:rsidR="00F810ED" w:rsidRPr="004D2665">
        <w:rPr>
          <w:lang w:val="es-ES"/>
        </w:rPr>
        <w:t xml:space="preserve">.3 </w:t>
      </w:r>
      <w:r w:rsidR="008F4B64" w:rsidRPr="004D2665">
        <w:rPr>
          <w:lang w:val="es-ES"/>
        </w:rPr>
        <w:t xml:space="preserve">se </w:t>
      </w:r>
      <w:r w:rsidR="00E44CCB" w:rsidRPr="004D2665">
        <w:rPr>
          <w:lang w:val="es-ES"/>
        </w:rPr>
        <w:t>examinan breve</w:t>
      </w:r>
      <w:r w:rsidR="008F4B64" w:rsidRPr="004D2665">
        <w:rPr>
          <w:lang w:val="es-ES"/>
        </w:rPr>
        <w:t>men</w:t>
      </w:r>
      <w:r w:rsidR="00E44CCB" w:rsidRPr="004D2665">
        <w:rPr>
          <w:lang w:val="es-ES"/>
        </w:rPr>
        <w:t>t</w:t>
      </w:r>
      <w:r w:rsidR="008F4B64" w:rsidRPr="004D2665">
        <w:rPr>
          <w:lang w:val="es-ES"/>
        </w:rPr>
        <w:t xml:space="preserve">e </w:t>
      </w:r>
      <w:r w:rsidRPr="004D2665">
        <w:rPr>
          <w:lang w:val="es-ES"/>
        </w:rPr>
        <w:t xml:space="preserve">los fundamentos </w:t>
      </w:r>
      <w:r w:rsidR="00E44CCB" w:rsidRPr="004D2665">
        <w:rPr>
          <w:lang w:val="es-ES"/>
        </w:rPr>
        <w:t>de</w:t>
      </w:r>
      <w:r w:rsidRPr="004D2665">
        <w:rPr>
          <w:lang w:val="es-ES"/>
        </w:rPr>
        <w:t xml:space="preserve"> la </w:t>
      </w:r>
      <w:r w:rsidR="008F4B64" w:rsidRPr="004D2665">
        <w:rPr>
          <w:lang w:val="es-ES"/>
        </w:rPr>
        <w:t>adopción de excepciones y limitaciones legales</w:t>
      </w:r>
      <w:r w:rsidR="00F810ED" w:rsidRPr="004D2665">
        <w:rPr>
          <w:lang w:val="es-ES"/>
        </w:rPr>
        <w:t xml:space="preserve"> </w:t>
      </w:r>
      <w:r w:rsidR="00E2286C" w:rsidRPr="004D2665">
        <w:rPr>
          <w:lang w:val="es-ES"/>
        </w:rPr>
        <w:t>al derecho de autor en beneficio de los museos y sus usuarios</w:t>
      </w:r>
      <w:r w:rsidR="005336EC" w:rsidRPr="004D2665">
        <w:rPr>
          <w:lang w:val="es-ES"/>
        </w:rPr>
        <w:t>.  A</w:t>
      </w:r>
      <w:r w:rsidR="00E44CCB" w:rsidRPr="004D2665">
        <w:rPr>
          <w:lang w:val="es-ES"/>
        </w:rPr>
        <w:t>lgunos de es</w:t>
      </w:r>
      <w:r w:rsidR="0008493D" w:rsidRPr="004D2665">
        <w:rPr>
          <w:lang w:val="es-ES"/>
        </w:rPr>
        <w:t xml:space="preserve">os fundamentos son </w:t>
      </w:r>
      <w:r w:rsidR="00E2286C" w:rsidRPr="004D2665">
        <w:rPr>
          <w:lang w:val="es-ES"/>
        </w:rPr>
        <w:t>el derecho de los ciudadanos a la autorrealización y a participar en la vida cultural</w:t>
      </w:r>
      <w:r w:rsidR="00F810ED" w:rsidRPr="004D2665">
        <w:rPr>
          <w:lang w:val="es-ES"/>
        </w:rPr>
        <w:t>,</w:t>
      </w:r>
      <w:r w:rsidR="00E2286C" w:rsidRPr="004D2665">
        <w:rPr>
          <w:lang w:val="es-ES"/>
        </w:rPr>
        <w:t xml:space="preserve"> la educación y la investigación</w:t>
      </w:r>
      <w:r w:rsidR="001A48CE" w:rsidRPr="004D2665">
        <w:rPr>
          <w:lang w:val="es-ES"/>
        </w:rPr>
        <w:t>,</w:t>
      </w:r>
      <w:r w:rsidR="00E2286C" w:rsidRPr="004D2665">
        <w:rPr>
          <w:lang w:val="es-ES"/>
        </w:rPr>
        <w:t xml:space="preserve"> así como la promoción de la política estatal en materia de patrimonio cultural</w:t>
      </w:r>
      <w:r w:rsidR="00F810ED" w:rsidRPr="004D2665">
        <w:rPr>
          <w:lang w:val="es-ES"/>
        </w:rPr>
        <w:t xml:space="preserve">.  </w:t>
      </w:r>
      <w:r w:rsidR="00E2286C" w:rsidRPr="004D2665">
        <w:rPr>
          <w:lang w:val="es-ES"/>
        </w:rPr>
        <w:t>En la secció</w:t>
      </w:r>
      <w:r w:rsidR="005336EC" w:rsidRPr="004D2665">
        <w:rPr>
          <w:lang w:val="es-ES"/>
        </w:rPr>
        <w:t>n 2</w:t>
      </w:r>
      <w:r w:rsidR="00D17F72" w:rsidRPr="004D2665">
        <w:rPr>
          <w:lang w:val="es-ES"/>
        </w:rPr>
        <w:t>.3</w:t>
      </w:r>
      <w:r w:rsidR="00F810ED" w:rsidRPr="004D2665">
        <w:rPr>
          <w:lang w:val="es-ES"/>
        </w:rPr>
        <w:t xml:space="preserve"> </w:t>
      </w:r>
      <w:r w:rsidR="006D7D36" w:rsidRPr="004D2665">
        <w:rPr>
          <w:lang w:val="es-ES"/>
        </w:rPr>
        <w:t xml:space="preserve">también se </w:t>
      </w:r>
      <w:r w:rsidR="00B10894" w:rsidRPr="004D2665">
        <w:rPr>
          <w:lang w:val="es-ES"/>
        </w:rPr>
        <w:t xml:space="preserve">examina </w:t>
      </w:r>
      <w:r w:rsidR="006D7D36" w:rsidRPr="004D2665">
        <w:rPr>
          <w:lang w:val="es-ES"/>
        </w:rPr>
        <w:t>el logro de los</w:t>
      </w:r>
      <w:r w:rsidR="00BA4579" w:rsidRPr="004D2665">
        <w:rPr>
          <w:lang w:val="es-ES"/>
        </w:rPr>
        <w:t xml:space="preserve"> objetivos</w:t>
      </w:r>
      <w:r w:rsidR="006D7D36" w:rsidRPr="004D2665">
        <w:rPr>
          <w:lang w:val="es-ES"/>
        </w:rPr>
        <w:t xml:space="preserve"> de los museos</w:t>
      </w:r>
      <w:r w:rsidR="00BA4579" w:rsidRPr="004D2665">
        <w:rPr>
          <w:lang w:val="es-ES"/>
        </w:rPr>
        <w:t xml:space="preserve"> en el</w:t>
      </w:r>
      <w:r w:rsidR="00F810ED" w:rsidRPr="004D2665">
        <w:rPr>
          <w:lang w:val="es-ES"/>
        </w:rPr>
        <w:t xml:space="preserve"> </w:t>
      </w:r>
      <w:r w:rsidR="00A86D8C" w:rsidRPr="004D2665">
        <w:rPr>
          <w:lang w:val="es-ES"/>
        </w:rPr>
        <w:t>marco jurídico internacional en materia de derecho de autor</w:t>
      </w:r>
      <w:r w:rsidR="00F810ED" w:rsidRPr="004D2665">
        <w:rPr>
          <w:lang w:val="es-ES"/>
        </w:rPr>
        <w:t xml:space="preserve">, </w:t>
      </w:r>
      <w:r w:rsidR="006D7D36" w:rsidRPr="004D2665">
        <w:rPr>
          <w:lang w:val="es-ES"/>
        </w:rPr>
        <w:t>habida</w:t>
      </w:r>
      <w:r w:rsidR="00A86D8C" w:rsidRPr="004D2665">
        <w:rPr>
          <w:lang w:val="es-ES"/>
        </w:rPr>
        <w:t xml:space="preserve"> cuenta </w:t>
      </w:r>
      <w:r w:rsidR="006D7D36" w:rsidRPr="004D2665">
        <w:rPr>
          <w:lang w:val="es-ES"/>
        </w:rPr>
        <w:t xml:space="preserve">de </w:t>
      </w:r>
      <w:r w:rsidR="00A86D8C" w:rsidRPr="004D2665">
        <w:rPr>
          <w:lang w:val="es-ES"/>
        </w:rPr>
        <w:t xml:space="preserve">los tratados administrados </w:t>
      </w:r>
      <w:r w:rsidR="00E87AE4" w:rsidRPr="004D2665">
        <w:rPr>
          <w:lang w:val="es-ES"/>
        </w:rPr>
        <w:t>por la</w:t>
      </w:r>
      <w:r w:rsidR="00F810ED" w:rsidRPr="004D2665">
        <w:rPr>
          <w:lang w:val="es-ES"/>
        </w:rPr>
        <w:t xml:space="preserve"> </w:t>
      </w:r>
      <w:r w:rsidR="00E87AE4" w:rsidRPr="004D2665">
        <w:rPr>
          <w:lang w:val="es-ES"/>
        </w:rPr>
        <w:t>Organización Mundial de la Propiedad Intelectual (OMPI</w:t>
      </w:r>
      <w:r w:rsidR="00F810ED" w:rsidRPr="004D2665">
        <w:rPr>
          <w:lang w:val="es-ES"/>
        </w:rPr>
        <w:t xml:space="preserve">), </w:t>
      </w:r>
      <w:r w:rsidR="00E87AE4" w:rsidRPr="004D2665">
        <w:rPr>
          <w:lang w:val="es-ES"/>
        </w:rPr>
        <w:t>a saber el Convenio de Berna y</w:t>
      </w:r>
      <w:r w:rsidR="00F810ED" w:rsidRPr="004D2665">
        <w:rPr>
          <w:lang w:val="es-ES"/>
        </w:rPr>
        <w:t xml:space="preserve"> </w:t>
      </w:r>
      <w:r w:rsidR="00E87AE4" w:rsidRPr="004D2665">
        <w:rPr>
          <w:lang w:val="es-ES"/>
        </w:rPr>
        <w:t>el Tratado de la OMPI sobre Derecho de Autor</w:t>
      </w:r>
      <w:r w:rsidR="005336EC" w:rsidRPr="004D2665">
        <w:rPr>
          <w:lang w:val="es-ES"/>
        </w:rPr>
        <w:t>;  e</w:t>
      </w:r>
      <w:r w:rsidR="00A81D65" w:rsidRPr="004D2665">
        <w:rPr>
          <w:lang w:val="es-ES"/>
        </w:rPr>
        <w:t>l Acuerdo sobre los Aspectos de los Derechos de Propiedad Intelectual relacionados con el Comercio (ADPIC),</w:t>
      </w:r>
      <w:r w:rsidR="00F810ED" w:rsidRPr="004D2665">
        <w:rPr>
          <w:lang w:val="es-ES"/>
        </w:rPr>
        <w:t xml:space="preserve"> </w:t>
      </w:r>
      <w:r w:rsidR="00A81D65" w:rsidRPr="004D2665">
        <w:rPr>
          <w:lang w:val="es-ES"/>
        </w:rPr>
        <w:t>administrado por la Organización Mundial del Comercio (OMC)</w:t>
      </w:r>
      <w:r w:rsidR="005336EC" w:rsidRPr="004D2665">
        <w:rPr>
          <w:lang w:val="es-ES"/>
        </w:rPr>
        <w:t>;  l</w:t>
      </w:r>
      <w:r w:rsidR="00EB346E" w:rsidRPr="004D2665">
        <w:rPr>
          <w:lang w:val="es-ES"/>
        </w:rPr>
        <w:t>as Convenciones de la</w:t>
      </w:r>
      <w:r w:rsidR="00F810ED" w:rsidRPr="004D2665">
        <w:rPr>
          <w:lang w:val="es-ES"/>
        </w:rPr>
        <w:t xml:space="preserve"> UNESCO </w:t>
      </w:r>
      <w:r w:rsidR="00EB346E" w:rsidRPr="004D2665">
        <w:rPr>
          <w:lang w:val="es-ES"/>
        </w:rPr>
        <w:t>para la salvaguardia del patrimonio cultural inmaterial (2003) y</w:t>
      </w:r>
      <w:r w:rsidR="00F810ED" w:rsidRPr="004D2665">
        <w:rPr>
          <w:lang w:val="es-ES"/>
        </w:rPr>
        <w:t xml:space="preserve"> </w:t>
      </w:r>
      <w:r w:rsidR="00EB346E" w:rsidRPr="004D2665">
        <w:rPr>
          <w:lang w:val="es-ES"/>
        </w:rPr>
        <w:t>sobre la protección y la promoción de la diversidad de las expresiones culturales (2005)</w:t>
      </w:r>
      <w:r w:rsidR="005336EC" w:rsidRPr="004D2665">
        <w:rPr>
          <w:lang w:val="es-ES"/>
        </w:rPr>
        <w:t>;  y</w:t>
      </w:r>
      <w:r w:rsidR="00EB346E" w:rsidRPr="004D2665">
        <w:rPr>
          <w:lang w:val="es-ES"/>
        </w:rPr>
        <w:t xml:space="preserve"> los convenios regionales pertinentes sobre propiedad intelectual y preservación del patrimonio cultural</w:t>
      </w:r>
      <w:r w:rsidR="00F810ED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E2286C" w:rsidP="00F810ED">
      <w:pPr>
        <w:rPr>
          <w:lang w:val="es-ES"/>
        </w:rPr>
      </w:pPr>
      <w:r w:rsidRPr="004D2665">
        <w:rPr>
          <w:b/>
          <w:lang w:val="es-ES"/>
        </w:rPr>
        <w:t>El capítul</w:t>
      </w:r>
      <w:r w:rsidR="005336EC" w:rsidRPr="004D2665">
        <w:rPr>
          <w:b/>
          <w:lang w:val="es-ES"/>
        </w:rPr>
        <w:t>o 3</w:t>
      </w:r>
      <w:r w:rsidR="00F810ED" w:rsidRPr="004D2665">
        <w:rPr>
          <w:lang w:val="es-ES"/>
        </w:rPr>
        <w:t xml:space="preserve"> </w:t>
      </w:r>
      <w:r w:rsidR="00A86D8C" w:rsidRPr="004D2665">
        <w:rPr>
          <w:lang w:val="es-ES"/>
        </w:rPr>
        <w:t>se inicia con</w:t>
      </w:r>
      <w:r w:rsidR="00853113" w:rsidRPr="004D2665">
        <w:rPr>
          <w:lang w:val="es-ES"/>
        </w:rPr>
        <w:t xml:space="preserve"> una breve descripción de la protección de los </w:t>
      </w:r>
      <w:r w:rsidR="006D7D36" w:rsidRPr="004D2665">
        <w:rPr>
          <w:lang w:val="es-ES"/>
        </w:rPr>
        <w:t xml:space="preserve">derechos morales y de </w:t>
      </w:r>
      <w:r w:rsidR="00853113" w:rsidRPr="004D2665">
        <w:rPr>
          <w:lang w:val="es-ES"/>
        </w:rPr>
        <w:t xml:space="preserve">la manera en que </w:t>
      </w:r>
      <w:r w:rsidR="002F3AD9" w:rsidRPr="004D2665">
        <w:rPr>
          <w:lang w:val="es-ES"/>
        </w:rPr>
        <w:t xml:space="preserve">ésta </w:t>
      </w:r>
      <w:r w:rsidR="00853113" w:rsidRPr="004D2665">
        <w:rPr>
          <w:lang w:val="es-ES"/>
        </w:rPr>
        <w:t>puede</w:t>
      </w:r>
      <w:r w:rsidR="006D7D36" w:rsidRPr="004D2665">
        <w:rPr>
          <w:lang w:val="es-ES"/>
        </w:rPr>
        <w:t xml:space="preserve"> repercutir</w:t>
      </w:r>
      <w:r w:rsidR="00B10894" w:rsidRPr="004D2665">
        <w:rPr>
          <w:lang w:val="es-ES"/>
        </w:rPr>
        <w:t xml:space="preserve"> en</w:t>
      </w:r>
      <w:r w:rsidR="00853113" w:rsidRPr="004D2665">
        <w:rPr>
          <w:lang w:val="es-ES"/>
        </w:rPr>
        <w:t xml:space="preserve"> las actividades de los museos</w:t>
      </w:r>
      <w:r w:rsidR="00F810ED" w:rsidRPr="004D2665">
        <w:rPr>
          <w:lang w:val="es-ES"/>
        </w:rPr>
        <w:t xml:space="preserve">.  </w:t>
      </w:r>
      <w:r w:rsidR="00853113" w:rsidRPr="004D2665">
        <w:rPr>
          <w:lang w:val="es-ES"/>
        </w:rPr>
        <w:t>En las seccione</w:t>
      </w:r>
      <w:r w:rsidR="005336EC" w:rsidRPr="004D2665">
        <w:rPr>
          <w:lang w:val="es-ES"/>
        </w:rPr>
        <w:t>s 3</w:t>
      </w:r>
      <w:r w:rsidR="00853113" w:rsidRPr="004D2665">
        <w:rPr>
          <w:lang w:val="es-ES"/>
        </w:rPr>
        <w:t xml:space="preserve">.2 </w:t>
      </w:r>
      <w:r w:rsidR="005336EC" w:rsidRPr="004D2665">
        <w:rPr>
          <w:lang w:val="es-ES"/>
        </w:rPr>
        <w:t>y 3</w:t>
      </w:r>
      <w:r w:rsidR="00F810ED" w:rsidRPr="004D2665">
        <w:rPr>
          <w:lang w:val="es-ES"/>
        </w:rPr>
        <w:t>.3</w:t>
      </w:r>
      <w:r w:rsidR="00853113" w:rsidRPr="004D2665">
        <w:rPr>
          <w:lang w:val="es-ES"/>
        </w:rPr>
        <w:t xml:space="preserve"> se examinan las excepciones y limitaciones que son </w:t>
      </w:r>
      <w:r w:rsidR="000A4E6A" w:rsidRPr="004D2665">
        <w:rPr>
          <w:lang w:val="es-ES"/>
        </w:rPr>
        <w:t>pertinentes</w:t>
      </w:r>
      <w:r w:rsidR="00853113" w:rsidRPr="004D2665">
        <w:rPr>
          <w:lang w:val="es-ES"/>
        </w:rPr>
        <w:t xml:space="preserve"> a</w:t>
      </w:r>
      <w:r w:rsidR="007428B8" w:rsidRPr="004D2665">
        <w:rPr>
          <w:lang w:val="es-ES"/>
        </w:rPr>
        <w:t>l cumplimiento de los mandatos de los museos</w:t>
      </w:r>
      <w:r w:rsidR="00F810ED" w:rsidRPr="004D2665">
        <w:rPr>
          <w:lang w:val="es-ES"/>
        </w:rPr>
        <w:t xml:space="preserve">, </w:t>
      </w:r>
      <w:r w:rsidR="007428B8" w:rsidRPr="004D2665">
        <w:rPr>
          <w:lang w:val="es-ES"/>
        </w:rPr>
        <w:t xml:space="preserve">a saber las excepciones y limitaciones </w:t>
      </w:r>
      <w:r w:rsidR="00E12FEE" w:rsidRPr="004D2665">
        <w:rPr>
          <w:lang w:val="es-ES"/>
        </w:rPr>
        <w:t>generales y específicas, y</w:t>
      </w:r>
      <w:r w:rsidR="00F810ED" w:rsidRPr="004D2665">
        <w:rPr>
          <w:lang w:val="es-ES"/>
        </w:rPr>
        <w:t xml:space="preserve"> </w:t>
      </w:r>
      <w:r w:rsidR="00E12FEE" w:rsidRPr="004D2665">
        <w:rPr>
          <w:lang w:val="es-ES"/>
        </w:rPr>
        <w:t>el derecho de reventa</w:t>
      </w:r>
      <w:r w:rsidR="006D7D36" w:rsidRPr="004D2665">
        <w:rPr>
          <w:lang w:val="es-ES"/>
        </w:rPr>
        <w:t>,</w:t>
      </w:r>
      <w:r w:rsidR="00E12FEE" w:rsidRPr="004D2665">
        <w:rPr>
          <w:lang w:val="es-ES"/>
        </w:rPr>
        <w:t xml:space="preserve"> habida cuenta de que este derecho se invoca en relación con las actividades de los museos</w:t>
      </w:r>
      <w:r w:rsidR="00F810ED" w:rsidRPr="004D2665">
        <w:rPr>
          <w:lang w:val="es-ES"/>
        </w:rPr>
        <w:t xml:space="preserve">.  </w:t>
      </w:r>
      <w:r w:rsidR="00E12FEE" w:rsidRPr="004D2665">
        <w:rPr>
          <w:lang w:val="es-ES"/>
        </w:rPr>
        <w:t>Las excepciones específicas incluyen la posibilidad de que los museos realicen reproducciones con</w:t>
      </w:r>
      <w:r w:rsidR="002F3AD9" w:rsidRPr="004D2665">
        <w:rPr>
          <w:lang w:val="es-ES"/>
        </w:rPr>
        <w:t xml:space="preserve"> fines de preservación, el uso de </w:t>
      </w:r>
      <w:r w:rsidR="00E12FEE" w:rsidRPr="004D2665">
        <w:rPr>
          <w:lang w:val="es-ES"/>
        </w:rPr>
        <w:t>obras en los catálogos de las exposiciones</w:t>
      </w:r>
      <w:r w:rsidR="002F3AD9" w:rsidRPr="004D2665">
        <w:rPr>
          <w:lang w:val="es-ES"/>
        </w:rPr>
        <w:t xml:space="preserve">, la exposición de obras y su puesta </w:t>
      </w:r>
      <w:r w:rsidR="00E12FEE" w:rsidRPr="004D2665">
        <w:rPr>
          <w:lang w:val="es-ES"/>
        </w:rPr>
        <w:t xml:space="preserve">a disposición </w:t>
      </w:r>
      <w:r w:rsidR="00792576" w:rsidRPr="004D2665">
        <w:rPr>
          <w:lang w:val="es-ES"/>
        </w:rPr>
        <w:t>del</w:t>
      </w:r>
      <w:r w:rsidR="00E12FEE" w:rsidRPr="004D2665">
        <w:rPr>
          <w:lang w:val="es-ES"/>
        </w:rPr>
        <w:t xml:space="preserve"> público </w:t>
      </w:r>
      <w:r w:rsidR="00792576" w:rsidRPr="004D2665">
        <w:rPr>
          <w:lang w:val="es-ES"/>
        </w:rPr>
        <w:t>en las instalaciones de los museos</w:t>
      </w:r>
      <w:r w:rsidR="0008493D" w:rsidRPr="004D2665">
        <w:rPr>
          <w:lang w:val="es-ES"/>
        </w:rPr>
        <w:t xml:space="preserve"> para que se puedan realizar estudios o investigaciones</w:t>
      </w:r>
      <w:r w:rsidR="00F810ED" w:rsidRPr="004D2665">
        <w:rPr>
          <w:lang w:val="es-ES"/>
        </w:rPr>
        <w:t xml:space="preserve">, </w:t>
      </w:r>
      <w:r w:rsidR="00792576" w:rsidRPr="004D2665">
        <w:rPr>
          <w:lang w:val="es-ES"/>
        </w:rPr>
        <w:t xml:space="preserve">y determinados usos de las obras huérfanas </w:t>
      </w:r>
      <w:r w:rsidRPr="004D2665">
        <w:rPr>
          <w:lang w:val="es-ES"/>
        </w:rPr>
        <w:t>(secció</w:t>
      </w:r>
      <w:r w:rsidR="005336EC" w:rsidRPr="004D2665">
        <w:rPr>
          <w:lang w:val="es-ES"/>
        </w:rPr>
        <w:t>n 3</w:t>
      </w:r>
      <w:r w:rsidR="00F810ED" w:rsidRPr="004D2665">
        <w:rPr>
          <w:lang w:val="es-ES"/>
        </w:rPr>
        <w:t xml:space="preserve">.2).  </w:t>
      </w:r>
      <w:r w:rsidR="00792576" w:rsidRPr="004D2665">
        <w:rPr>
          <w:lang w:val="es-ES"/>
        </w:rPr>
        <w:t>Las excepciones ge</w:t>
      </w:r>
      <w:r w:rsidR="00372E78" w:rsidRPr="004D2665">
        <w:rPr>
          <w:lang w:val="es-ES"/>
        </w:rPr>
        <w:t xml:space="preserve">nerales que son </w:t>
      </w:r>
      <w:r w:rsidR="000A4E6A" w:rsidRPr="004D2665">
        <w:rPr>
          <w:lang w:val="es-ES"/>
        </w:rPr>
        <w:t xml:space="preserve">pertinentes </w:t>
      </w:r>
      <w:r w:rsidR="00792576" w:rsidRPr="004D2665">
        <w:rPr>
          <w:lang w:val="es-ES"/>
        </w:rPr>
        <w:t>al ejercicio de las actividades de los museos incluyen el derecho a</w:t>
      </w:r>
      <w:r w:rsidR="005336EC" w:rsidRPr="004D2665">
        <w:rPr>
          <w:lang w:val="es-ES"/>
        </w:rPr>
        <w:t>:  r</w:t>
      </w:r>
      <w:r w:rsidR="00792576" w:rsidRPr="004D2665">
        <w:rPr>
          <w:lang w:val="es-ES"/>
        </w:rPr>
        <w:t xml:space="preserve">ealizar reproducciones </w:t>
      </w:r>
      <w:r w:rsidR="00372E78" w:rsidRPr="004D2665">
        <w:rPr>
          <w:lang w:val="es-ES"/>
        </w:rPr>
        <w:t xml:space="preserve">para </w:t>
      </w:r>
      <w:r w:rsidR="00792576" w:rsidRPr="004D2665">
        <w:rPr>
          <w:lang w:val="es-ES"/>
        </w:rPr>
        <w:t>uso privado</w:t>
      </w:r>
      <w:r w:rsidR="00F810ED" w:rsidRPr="004D2665">
        <w:rPr>
          <w:lang w:val="es-ES"/>
        </w:rPr>
        <w:t xml:space="preserve">, </w:t>
      </w:r>
      <w:r w:rsidR="00792576" w:rsidRPr="004D2665">
        <w:rPr>
          <w:lang w:val="es-ES"/>
        </w:rPr>
        <w:t xml:space="preserve">realizar </w:t>
      </w:r>
      <w:r w:rsidR="000D41D3" w:rsidRPr="004D2665">
        <w:rPr>
          <w:lang w:val="es-ES"/>
        </w:rPr>
        <w:t>reproducciones reprográ</w:t>
      </w:r>
      <w:r w:rsidR="00792576" w:rsidRPr="004D2665">
        <w:rPr>
          <w:lang w:val="es-ES"/>
        </w:rPr>
        <w:t>ficas</w:t>
      </w:r>
      <w:r w:rsidR="00372E78" w:rsidRPr="004D2665">
        <w:rPr>
          <w:lang w:val="es-ES"/>
        </w:rPr>
        <w:t xml:space="preserve"> y </w:t>
      </w:r>
      <w:r w:rsidR="000D41D3" w:rsidRPr="004D2665">
        <w:rPr>
          <w:lang w:val="es-ES"/>
        </w:rPr>
        <w:t xml:space="preserve">utilizar las obras con fines educativos y de investigación científica </w:t>
      </w:r>
      <w:r w:rsidRPr="004D2665">
        <w:rPr>
          <w:lang w:val="es-ES"/>
        </w:rPr>
        <w:lastRenderedPageBreak/>
        <w:t>(secció</w:t>
      </w:r>
      <w:r w:rsidR="005336EC" w:rsidRPr="004D2665">
        <w:rPr>
          <w:lang w:val="es-ES"/>
        </w:rPr>
        <w:t>n 3</w:t>
      </w:r>
      <w:r w:rsidR="00F810ED" w:rsidRPr="004D2665">
        <w:rPr>
          <w:lang w:val="es-ES"/>
        </w:rPr>
        <w:t xml:space="preserve">.3).  </w:t>
      </w:r>
      <w:r w:rsidR="000D41D3" w:rsidRPr="004D2665">
        <w:rPr>
          <w:lang w:val="es-ES"/>
        </w:rPr>
        <w:t>En la secció</w:t>
      </w:r>
      <w:r w:rsidR="005336EC" w:rsidRPr="004D2665">
        <w:rPr>
          <w:lang w:val="es-ES"/>
        </w:rPr>
        <w:t>n 3</w:t>
      </w:r>
      <w:r w:rsidR="00F810ED" w:rsidRPr="004D2665">
        <w:rPr>
          <w:lang w:val="es-ES"/>
        </w:rPr>
        <w:t xml:space="preserve">.4 </w:t>
      </w:r>
      <w:r w:rsidR="00B10894" w:rsidRPr="004D2665">
        <w:rPr>
          <w:lang w:val="es-ES"/>
        </w:rPr>
        <w:t>se describe la</w:t>
      </w:r>
      <w:r w:rsidR="0008493D" w:rsidRPr="004D2665">
        <w:rPr>
          <w:lang w:val="es-ES"/>
        </w:rPr>
        <w:t xml:space="preserve"> manera</w:t>
      </w:r>
      <w:r w:rsidR="000D41D3" w:rsidRPr="004D2665">
        <w:rPr>
          <w:lang w:val="es-ES"/>
        </w:rPr>
        <w:t xml:space="preserve"> </w:t>
      </w:r>
      <w:r w:rsidR="00B10894" w:rsidRPr="004D2665">
        <w:rPr>
          <w:lang w:val="es-ES"/>
        </w:rPr>
        <w:t xml:space="preserve">en que </w:t>
      </w:r>
      <w:r w:rsidR="009220E8" w:rsidRPr="004D2665">
        <w:rPr>
          <w:lang w:val="es-ES"/>
        </w:rPr>
        <w:t>el régimen de derecho de reventa establecido en diversas regiones del mundo puede tener un impacto sobre las actividades de los museos</w:t>
      </w:r>
      <w:r w:rsidR="00F810ED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9220E8" w:rsidP="00F810ED">
      <w:pPr>
        <w:rPr>
          <w:lang w:val="es-ES"/>
        </w:rPr>
      </w:pPr>
      <w:r w:rsidRPr="004D2665">
        <w:rPr>
          <w:lang w:val="es-ES"/>
        </w:rPr>
        <w:t xml:space="preserve">Habida cuenta de los </w:t>
      </w:r>
      <w:r w:rsidR="00F810ED" w:rsidRPr="004D2665">
        <w:rPr>
          <w:lang w:val="es-ES"/>
        </w:rPr>
        <w:t>limit</w:t>
      </w:r>
      <w:r w:rsidRPr="004D2665">
        <w:rPr>
          <w:lang w:val="es-ES"/>
        </w:rPr>
        <w:t>ados recursos disponibles para este estudio</w:t>
      </w:r>
      <w:r w:rsidR="00F810ED" w:rsidRPr="004D2665">
        <w:rPr>
          <w:lang w:val="es-ES"/>
        </w:rPr>
        <w:t xml:space="preserve">, </w:t>
      </w:r>
      <w:r w:rsidR="00DB344F" w:rsidRPr="004D2665">
        <w:rPr>
          <w:lang w:val="es-ES"/>
        </w:rPr>
        <w:t>el examen</w:t>
      </w:r>
      <w:r w:rsidRPr="004D2665">
        <w:rPr>
          <w:lang w:val="es-ES"/>
        </w:rPr>
        <w:t xml:space="preserve"> de las excepciones y limitaciones contempladas en las legislaciones nacionales de los miembros de la Unión de Berna </w:t>
      </w:r>
      <w:r w:rsidR="00DB344F" w:rsidRPr="004D2665">
        <w:rPr>
          <w:lang w:val="es-ES"/>
        </w:rPr>
        <w:t xml:space="preserve">que son </w:t>
      </w:r>
      <w:r w:rsidRPr="004D2665">
        <w:rPr>
          <w:lang w:val="es-ES"/>
        </w:rPr>
        <w:t>aplicables a los museos</w:t>
      </w:r>
      <w:r w:rsidR="00F810ED" w:rsidRPr="004D2665">
        <w:rPr>
          <w:lang w:val="es-ES"/>
        </w:rPr>
        <w:t xml:space="preserve"> </w:t>
      </w:r>
      <w:r w:rsidR="00D974E3" w:rsidRPr="004D2665">
        <w:rPr>
          <w:lang w:val="es-ES"/>
        </w:rPr>
        <w:t>se basa en gran medida en el</w:t>
      </w:r>
      <w:r w:rsidR="00F810ED" w:rsidRPr="004D2665">
        <w:rPr>
          <w:lang w:val="es-ES"/>
        </w:rPr>
        <w:t xml:space="preserve"> </w:t>
      </w:r>
      <w:r w:rsidR="00D974E3" w:rsidRPr="004D2665">
        <w:rPr>
          <w:lang w:val="es-ES"/>
        </w:rPr>
        <w:t xml:space="preserve">amplio estudio de la OMPI sobre </w:t>
      </w:r>
      <w:r w:rsidR="003A3012" w:rsidRPr="004D2665">
        <w:rPr>
          <w:lang w:val="es-ES"/>
        </w:rPr>
        <w:t xml:space="preserve">las bibliotecas y archivos </w:t>
      </w:r>
      <w:r w:rsidR="00D974E3" w:rsidRPr="004D2665">
        <w:rPr>
          <w:lang w:val="es-ES"/>
        </w:rPr>
        <w:t>preparado e</w:t>
      </w:r>
      <w:r w:rsidR="005336EC" w:rsidRPr="004D2665">
        <w:rPr>
          <w:lang w:val="es-ES"/>
        </w:rPr>
        <w:t>n 2</w:t>
      </w:r>
      <w:r w:rsidR="00F810ED" w:rsidRPr="004D2665">
        <w:rPr>
          <w:lang w:val="es-ES"/>
        </w:rPr>
        <w:t xml:space="preserve">008, </w:t>
      </w:r>
      <w:r w:rsidR="00D974E3" w:rsidRPr="004D2665">
        <w:rPr>
          <w:lang w:val="es-ES"/>
        </w:rPr>
        <w:t>y actualizado e</w:t>
      </w:r>
      <w:r w:rsidR="005336EC" w:rsidRPr="004D2665">
        <w:rPr>
          <w:lang w:val="es-ES"/>
        </w:rPr>
        <w:t>n 2</w:t>
      </w:r>
      <w:r w:rsidR="00792576" w:rsidRPr="004D2665">
        <w:rPr>
          <w:lang w:val="es-ES"/>
        </w:rPr>
        <w:t>014, por</w:t>
      </w:r>
      <w:r w:rsidR="00F810ED" w:rsidRPr="004D2665">
        <w:rPr>
          <w:lang w:val="es-ES"/>
        </w:rPr>
        <w:t xml:space="preserve"> Kenneth Crews</w:t>
      </w:r>
      <w:r w:rsidR="004D2665" w:rsidRPr="004D2665">
        <w:rPr>
          <w:lang w:val="es-ES"/>
        </w:rPr>
        <w:t>.</w:t>
      </w:r>
      <w:r w:rsidR="004D2665" w:rsidRPr="004D2665">
        <w:rPr>
          <w:vertAlign w:val="superscript"/>
          <w:lang w:val="es-ES"/>
        </w:rPr>
        <w:footnoteReference w:id="1"/>
      </w:r>
      <w:r w:rsidR="00F810ED" w:rsidRPr="004D2665">
        <w:rPr>
          <w:lang w:val="es-ES"/>
        </w:rPr>
        <w:t xml:space="preserve">  </w:t>
      </w:r>
      <w:r w:rsidR="00DB344F" w:rsidRPr="004D2665">
        <w:rPr>
          <w:lang w:val="es-ES"/>
        </w:rPr>
        <w:t xml:space="preserve">Los dos estudios sobre </w:t>
      </w:r>
      <w:r w:rsidR="00B82F80" w:rsidRPr="004D2665">
        <w:rPr>
          <w:lang w:val="es-ES"/>
        </w:rPr>
        <w:t xml:space="preserve">bibliotecas y archivos son el punto de partida para identificar los países </w:t>
      </w:r>
      <w:r w:rsidR="00DB344F" w:rsidRPr="004D2665">
        <w:rPr>
          <w:lang w:val="es-ES"/>
        </w:rPr>
        <w:t>en cuya</w:t>
      </w:r>
      <w:r w:rsidR="00712E58" w:rsidRPr="004D2665">
        <w:rPr>
          <w:lang w:val="es-ES"/>
        </w:rPr>
        <w:t xml:space="preserve"> legislación </w:t>
      </w:r>
      <w:r w:rsidR="009D093C" w:rsidRPr="004D2665">
        <w:rPr>
          <w:lang w:val="es-ES"/>
        </w:rPr>
        <w:t>sobre</w:t>
      </w:r>
      <w:r w:rsidR="00712E58" w:rsidRPr="004D2665">
        <w:rPr>
          <w:lang w:val="es-ES"/>
        </w:rPr>
        <w:t xml:space="preserve"> derecho de autor </w:t>
      </w:r>
      <w:r w:rsidR="00DB344F" w:rsidRPr="004D2665">
        <w:rPr>
          <w:lang w:val="es-ES"/>
        </w:rPr>
        <w:t xml:space="preserve">se hace mención expresa de </w:t>
      </w:r>
      <w:r w:rsidR="00712E58" w:rsidRPr="004D2665">
        <w:rPr>
          <w:lang w:val="es-ES"/>
        </w:rPr>
        <w:t xml:space="preserve">los museos como beneficiarios de </w:t>
      </w:r>
      <w:r w:rsidR="00F810ED" w:rsidRPr="004D2665">
        <w:rPr>
          <w:lang w:val="es-ES"/>
        </w:rPr>
        <w:t>excep</w:t>
      </w:r>
      <w:r w:rsidR="00FD3CB6" w:rsidRPr="004D2665">
        <w:rPr>
          <w:lang w:val="es-ES"/>
        </w:rPr>
        <w:t>ciones y limitaciones</w:t>
      </w:r>
      <w:r w:rsidR="00F810ED" w:rsidRPr="004D2665">
        <w:rPr>
          <w:lang w:val="es-ES"/>
        </w:rPr>
        <w:t xml:space="preserve">, </w:t>
      </w:r>
      <w:r w:rsidR="009D093C" w:rsidRPr="004D2665">
        <w:rPr>
          <w:lang w:val="es-ES"/>
        </w:rPr>
        <w:t>partiendo de la base de</w:t>
      </w:r>
      <w:r w:rsidR="00B10894" w:rsidRPr="004D2665">
        <w:rPr>
          <w:lang w:val="es-ES"/>
        </w:rPr>
        <w:t xml:space="preserve"> que en los casos en</w:t>
      </w:r>
      <w:r w:rsidR="00DB344F" w:rsidRPr="004D2665">
        <w:rPr>
          <w:lang w:val="es-ES"/>
        </w:rPr>
        <w:t xml:space="preserve"> que los legisladores han</w:t>
      </w:r>
      <w:r w:rsidR="00FD3CB6" w:rsidRPr="004D2665">
        <w:rPr>
          <w:lang w:val="es-ES"/>
        </w:rPr>
        <w:t xml:space="preserve"> considerado conveniente</w:t>
      </w:r>
      <w:r w:rsidR="00F810ED" w:rsidRPr="004D2665">
        <w:rPr>
          <w:lang w:val="es-ES"/>
        </w:rPr>
        <w:t xml:space="preserve"> regula</w:t>
      </w:r>
      <w:r w:rsidR="00FD3CB6" w:rsidRPr="004D2665">
        <w:rPr>
          <w:lang w:val="es-ES"/>
        </w:rPr>
        <w:t xml:space="preserve">r el uso de las obras por parte </w:t>
      </w:r>
      <w:r w:rsidR="00B10894" w:rsidRPr="004D2665">
        <w:rPr>
          <w:lang w:val="es-ES"/>
        </w:rPr>
        <w:t xml:space="preserve">de </w:t>
      </w:r>
      <w:r w:rsidR="00FD3CB6" w:rsidRPr="004D2665">
        <w:rPr>
          <w:lang w:val="es-ES"/>
        </w:rPr>
        <w:t xml:space="preserve">las bibliotecas también pueden haber regulado el uso </w:t>
      </w:r>
      <w:r w:rsidR="00714FA3" w:rsidRPr="004D2665">
        <w:rPr>
          <w:lang w:val="es-ES"/>
        </w:rPr>
        <w:t xml:space="preserve">por parte de los museos </w:t>
      </w:r>
      <w:r w:rsidR="00FD3CB6" w:rsidRPr="004D2665">
        <w:rPr>
          <w:lang w:val="es-ES"/>
        </w:rPr>
        <w:t xml:space="preserve">de </w:t>
      </w:r>
      <w:r w:rsidR="00DB344F" w:rsidRPr="004D2665">
        <w:rPr>
          <w:lang w:val="es-ES"/>
        </w:rPr>
        <w:t xml:space="preserve">las </w:t>
      </w:r>
      <w:r w:rsidR="00FD3CB6" w:rsidRPr="004D2665">
        <w:rPr>
          <w:lang w:val="es-ES"/>
        </w:rPr>
        <w:t>obras protegidas por derecho de autor</w:t>
      </w:r>
      <w:r w:rsidR="00F810ED" w:rsidRPr="004D2665">
        <w:rPr>
          <w:lang w:val="es-ES"/>
        </w:rPr>
        <w:t xml:space="preserve">.  </w:t>
      </w:r>
      <w:r w:rsidR="009D093C" w:rsidRPr="004D2665">
        <w:rPr>
          <w:lang w:val="es-ES"/>
        </w:rPr>
        <w:t>Es</w:t>
      </w:r>
      <w:r w:rsidR="00C73C30" w:rsidRPr="004D2665">
        <w:rPr>
          <w:lang w:val="es-ES"/>
        </w:rPr>
        <w:t xml:space="preserve">a investigación se completó con una búsqueda por palabra </w:t>
      </w:r>
      <w:r w:rsidR="009D093C" w:rsidRPr="004D2665">
        <w:rPr>
          <w:lang w:val="es-ES"/>
        </w:rPr>
        <w:t xml:space="preserve">clave </w:t>
      </w:r>
      <w:r w:rsidR="00C73C30" w:rsidRPr="004D2665">
        <w:rPr>
          <w:lang w:val="es-ES"/>
        </w:rPr>
        <w:t xml:space="preserve">en </w:t>
      </w:r>
      <w:r w:rsidR="006834C4" w:rsidRPr="004D2665">
        <w:rPr>
          <w:lang w:val="es-ES"/>
        </w:rPr>
        <w:t xml:space="preserve">la base de datos WIPO Lex de legislación </w:t>
      </w:r>
      <w:r w:rsidR="00562D1E" w:rsidRPr="004D2665">
        <w:rPr>
          <w:lang w:val="es-ES"/>
        </w:rPr>
        <w:t>sobre</w:t>
      </w:r>
      <w:r w:rsidR="006834C4" w:rsidRPr="004D2665">
        <w:rPr>
          <w:lang w:val="es-ES"/>
        </w:rPr>
        <w:t xml:space="preserve"> propiedad intelectual</w:t>
      </w:r>
      <w:r w:rsidR="00F810ED" w:rsidRPr="004D2665">
        <w:rPr>
          <w:lang w:val="es-ES"/>
        </w:rPr>
        <w:t xml:space="preserve">.  </w:t>
      </w:r>
      <w:r w:rsidR="00DB344F" w:rsidRPr="004D2665">
        <w:rPr>
          <w:lang w:val="es-ES"/>
        </w:rPr>
        <w:t>La información que figura</w:t>
      </w:r>
      <w:r w:rsidR="006834C4" w:rsidRPr="004D2665">
        <w:rPr>
          <w:lang w:val="es-ES"/>
        </w:rPr>
        <w:t xml:space="preserve"> en estudios anteriores de la </w:t>
      </w:r>
      <w:r w:rsidR="00DB344F" w:rsidRPr="004D2665">
        <w:rPr>
          <w:lang w:val="es-ES"/>
        </w:rPr>
        <w:t>OMPI se completó</w:t>
      </w:r>
      <w:r w:rsidR="006834C4" w:rsidRPr="004D2665">
        <w:rPr>
          <w:lang w:val="es-ES"/>
        </w:rPr>
        <w:t xml:space="preserve"> </w:t>
      </w:r>
      <w:r w:rsidR="00562D1E" w:rsidRPr="004D2665">
        <w:rPr>
          <w:lang w:val="es-ES"/>
        </w:rPr>
        <w:t xml:space="preserve">luego </w:t>
      </w:r>
      <w:r w:rsidR="00386FF3" w:rsidRPr="004D2665">
        <w:rPr>
          <w:lang w:val="es-ES"/>
        </w:rPr>
        <w:t xml:space="preserve">con las referencias directas </w:t>
      </w:r>
      <w:r w:rsidR="00562D1E" w:rsidRPr="004D2665">
        <w:rPr>
          <w:lang w:val="es-ES"/>
        </w:rPr>
        <w:t>a</w:t>
      </w:r>
      <w:r w:rsidR="00386FF3" w:rsidRPr="004D2665">
        <w:rPr>
          <w:lang w:val="es-ES"/>
        </w:rPr>
        <w:t xml:space="preserve"> las </w:t>
      </w:r>
      <w:r w:rsidR="005955A0" w:rsidRPr="004D2665">
        <w:rPr>
          <w:lang w:val="es-ES"/>
        </w:rPr>
        <w:t>disposiciones legales de las legislaciones nacionales</w:t>
      </w:r>
      <w:r w:rsidR="005336EC" w:rsidRPr="004D2665">
        <w:rPr>
          <w:lang w:val="es-ES"/>
        </w:rPr>
        <w:t>.  P</w:t>
      </w:r>
      <w:r w:rsidR="005955A0" w:rsidRPr="004D2665">
        <w:rPr>
          <w:lang w:val="es-ES"/>
        </w:rPr>
        <w:t xml:space="preserve">or lo tanto, </w:t>
      </w:r>
      <w:r w:rsidR="00714FA3" w:rsidRPr="004D2665">
        <w:rPr>
          <w:lang w:val="es-ES"/>
        </w:rPr>
        <w:t xml:space="preserve">en </w:t>
      </w:r>
      <w:r w:rsidR="005955A0" w:rsidRPr="004D2665">
        <w:rPr>
          <w:lang w:val="es-ES"/>
        </w:rPr>
        <w:t xml:space="preserve">la lista resultante de leyes nacionales solo </w:t>
      </w:r>
      <w:r w:rsidR="00714FA3" w:rsidRPr="004D2665">
        <w:rPr>
          <w:lang w:val="es-ES"/>
        </w:rPr>
        <w:t xml:space="preserve">se </w:t>
      </w:r>
      <w:r w:rsidR="005955A0" w:rsidRPr="004D2665">
        <w:rPr>
          <w:lang w:val="es-ES"/>
        </w:rPr>
        <w:t>incluye</w:t>
      </w:r>
      <w:r w:rsidR="00714FA3" w:rsidRPr="004D2665">
        <w:rPr>
          <w:lang w:val="es-ES"/>
        </w:rPr>
        <w:t>n</w:t>
      </w:r>
      <w:r w:rsidR="005955A0" w:rsidRPr="004D2665">
        <w:rPr>
          <w:lang w:val="es-ES"/>
        </w:rPr>
        <w:t xml:space="preserve"> los países en los que la legislación se refiere expresamente a </w:t>
      </w:r>
      <w:r w:rsidR="00F810ED" w:rsidRPr="004D2665">
        <w:rPr>
          <w:lang w:val="es-ES"/>
        </w:rPr>
        <w:t xml:space="preserve"> “</w:t>
      </w:r>
      <w:r w:rsidR="005955A0" w:rsidRPr="004D2665">
        <w:rPr>
          <w:lang w:val="es-ES"/>
        </w:rPr>
        <w:t>museo</w:t>
      </w:r>
      <w:r w:rsidR="00562D1E" w:rsidRPr="004D2665">
        <w:rPr>
          <w:lang w:val="es-ES"/>
        </w:rPr>
        <w:t>” o “museos</w:t>
      </w:r>
      <w:r w:rsidR="00F810ED" w:rsidRPr="004D2665">
        <w:rPr>
          <w:lang w:val="es-ES"/>
        </w:rPr>
        <w:t xml:space="preserve">”.  </w:t>
      </w:r>
      <w:r w:rsidR="00714FA3" w:rsidRPr="004D2665">
        <w:rPr>
          <w:lang w:val="es-ES"/>
        </w:rPr>
        <w:t xml:space="preserve">Unos pocos países, como </w:t>
      </w:r>
      <w:r w:rsidR="00F810ED" w:rsidRPr="004D2665">
        <w:rPr>
          <w:lang w:val="es-ES"/>
        </w:rPr>
        <w:t xml:space="preserve">Austria, </w:t>
      </w:r>
      <w:r w:rsidR="00714FA3" w:rsidRPr="004D2665">
        <w:rPr>
          <w:lang w:val="es-ES"/>
        </w:rPr>
        <w:t>se incluyen</w:t>
      </w:r>
      <w:r w:rsidR="00575F4F" w:rsidRPr="004D2665">
        <w:rPr>
          <w:lang w:val="es-ES"/>
        </w:rPr>
        <w:t xml:space="preserve"> en la lista </w:t>
      </w:r>
      <w:r w:rsidR="001A48CE" w:rsidRPr="004D2665">
        <w:rPr>
          <w:lang w:val="es-ES"/>
        </w:rPr>
        <w:t>porque existen</w:t>
      </w:r>
      <w:r w:rsidR="00D17F72" w:rsidRPr="004D2665">
        <w:rPr>
          <w:lang w:val="es-ES"/>
        </w:rPr>
        <w:t xml:space="preserve"> </w:t>
      </w:r>
      <w:r w:rsidR="00575F4F" w:rsidRPr="004D2665">
        <w:rPr>
          <w:lang w:val="es-ES"/>
        </w:rPr>
        <w:t>motivos razonables para</w:t>
      </w:r>
      <w:r w:rsidR="00547C09" w:rsidRPr="004D2665">
        <w:rPr>
          <w:lang w:val="es-ES"/>
        </w:rPr>
        <w:t xml:space="preserve"> suponer</w:t>
      </w:r>
      <w:r w:rsidR="00575F4F" w:rsidRPr="004D2665">
        <w:rPr>
          <w:lang w:val="es-ES"/>
        </w:rPr>
        <w:t xml:space="preserve"> que una ley que se considera aplicable a las </w:t>
      </w:r>
      <w:r w:rsidR="00F810ED" w:rsidRPr="004D2665">
        <w:rPr>
          <w:lang w:val="es-ES"/>
        </w:rPr>
        <w:t>“</w:t>
      </w:r>
      <w:r w:rsidR="00575F4F" w:rsidRPr="004D2665">
        <w:rPr>
          <w:lang w:val="es-ES"/>
        </w:rPr>
        <w:t>colecciones públicas</w:t>
      </w:r>
      <w:r w:rsidR="00F810ED" w:rsidRPr="004D2665">
        <w:rPr>
          <w:lang w:val="es-ES"/>
        </w:rPr>
        <w:t xml:space="preserve">” </w:t>
      </w:r>
      <w:r w:rsidR="00386FF3" w:rsidRPr="004D2665">
        <w:rPr>
          <w:lang w:val="es-ES"/>
        </w:rPr>
        <w:t>también resulta aplicable</w:t>
      </w:r>
      <w:r w:rsidR="00575F4F" w:rsidRPr="004D2665">
        <w:rPr>
          <w:lang w:val="es-ES"/>
        </w:rPr>
        <w:t xml:space="preserve"> a las colecciones de los museos</w:t>
      </w:r>
      <w:r w:rsidR="00F810ED" w:rsidRPr="004D2665">
        <w:rPr>
          <w:lang w:val="es-ES"/>
        </w:rPr>
        <w:t xml:space="preserve">.  </w:t>
      </w:r>
      <w:r w:rsidR="00575F4F" w:rsidRPr="004D2665">
        <w:rPr>
          <w:lang w:val="es-ES"/>
        </w:rPr>
        <w:t>Por otra parte,</w:t>
      </w:r>
      <w:r w:rsidR="00F810ED" w:rsidRPr="004D2665">
        <w:rPr>
          <w:lang w:val="es-ES"/>
        </w:rPr>
        <w:t xml:space="preserve"> </w:t>
      </w:r>
      <w:r w:rsidR="00575F4F" w:rsidRPr="004D2665">
        <w:rPr>
          <w:lang w:val="es-ES"/>
        </w:rPr>
        <w:t xml:space="preserve">no hemos incluido en la lista países, como los Estados Unidos </w:t>
      </w:r>
      <w:r w:rsidR="00547C09" w:rsidRPr="004D2665">
        <w:rPr>
          <w:lang w:val="es-ES"/>
        </w:rPr>
        <w:t xml:space="preserve">de América </w:t>
      </w:r>
      <w:r w:rsidR="00575F4F" w:rsidRPr="004D2665">
        <w:rPr>
          <w:lang w:val="es-ES"/>
        </w:rPr>
        <w:t xml:space="preserve">y Suecia, </w:t>
      </w:r>
      <w:r w:rsidR="006B4B13" w:rsidRPr="004D2665">
        <w:rPr>
          <w:lang w:val="es-ES"/>
        </w:rPr>
        <w:t xml:space="preserve">cuyas </w:t>
      </w:r>
      <w:r w:rsidR="00575F4F" w:rsidRPr="004D2665">
        <w:rPr>
          <w:lang w:val="es-ES"/>
        </w:rPr>
        <w:t>leyes se refieren expresamente solo a las bibliotecas y los archivos</w:t>
      </w:r>
      <w:r w:rsidR="00F810ED" w:rsidRPr="004D2665">
        <w:rPr>
          <w:lang w:val="es-ES"/>
        </w:rPr>
        <w:t xml:space="preserve">, </w:t>
      </w:r>
      <w:r w:rsidR="001F0D76" w:rsidRPr="004D2665">
        <w:rPr>
          <w:lang w:val="es-ES"/>
        </w:rPr>
        <w:t>sin mencionar nunca los museos</w:t>
      </w:r>
      <w:r w:rsidR="00F810ED" w:rsidRPr="004D2665">
        <w:rPr>
          <w:lang w:val="es-ES"/>
        </w:rPr>
        <w:t xml:space="preserve">.  </w:t>
      </w:r>
      <w:r w:rsidR="001F0D76" w:rsidRPr="004D2665">
        <w:rPr>
          <w:lang w:val="es-ES"/>
        </w:rPr>
        <w:t xml:space="preserve">Sin embargo, </w:t>
      </w:r>
      <w:r w:rsidR="005E1703" w:rsidRPr="004D2665">
        <w:rPr>
          <w:lang w:val="es-ES"/>
        </w:rPr>
        <w:t xml:space="preserve">cabe la posibilidad de que se nos hayan escapado </w:t>
      </w:r>
      <w:r w:rsidR="001F0D76" w:rsidRPr="004D2665">
        <w:rPr>
          <w:lang w:val="es-ES"/>
        </w:rPr>
        <w:t>alguna</w:t>
      </w:r>
      <w:r w:rsidR="005E1703" w:rsidRPr="004D2665">
        <w:rPr>
          <w:lang w:val="es-ES"/>
        </w:rPr>
        <w:t>s</w:t>
      </w:r>
      <w:r w:rsidR="001F0D76" w:rsidRPr="004D2665">
        <w:rPr>
          <w:lang w:val="es-ES"/>
        </w:rPr>
        <w:t xml:space="preserve"> ley</w:t>
      </w:r>
      <w:r w:rsidR="005E1703" w:rsidRPr="004D2665">
        <w:rPr>
          <w:lang w:val="es-ES"/>
        </w:rPr>
        <w:t>es</w:t>
      </w:r>
      <w:r w:rsidR="001F0D76" w:rsidRPr="004D2665">
        <w:rPr>
          <w:lang w:val="es-ES"/>
        </w:rPr>
        <w:t xml:space="preserve"> nacional</w:t>
      </w:r>
      <w:r w:rsidR="005E1703" w:rsidRPr="004D2665">
        <w:rPr>
          <w:lang w:val="es-ES"/>
        </w:rPr>
        <w:t>es</w:t>
      </w:r>
      <w:r w:rsidR="001F0D76" w:rsidRPr="004D2665">
        <w:rPr>
          <w:lang w:val="es-ES"/>
        </w:rPr>
        <w:t xml:space="preserve"> que cubre</w:t>
      </w:r>
      <w:r w:rsidR="005E1703" w:rsidRPr="004D2665">
        <w:rPr>
          <w:lang w:val="es-ES"/>
        </w:rPr>
        <w:t>n</w:t>
      </w:r>
      <w:r w:rsidR="001F0D76" w:rsidRPr="004D2665">
        <w:rPr>
          <w:lang w:val="es-ES"/>
        </w:rPr>
        <w:t xml:space="preserve"> las actividades de los museos</w:t>
      </w:r>
      <w:r w:rsidR="00F810ED" w:rsidRPr="004D2665">
        <w:rPr>
          <w:lang w:val="es-ES"/>
        </w:rPr>
        <w:t xml:space="preserve">.  </w:t>
      </w:r>
      <w:r w:rsidR="001F0D76" w:rsidRPr="004D2665">
        <w:rPr>
          <w:lang w:val="es-ES"/>
        </w:rPr>
        <w:t>También es importante observar que el análisis de los resultados no constituye un análisis de derecho comparado</w:t>
      </w:r>
      <w:r w:rsidR="00F810ED" w:rsidRPr="004D2665">
        <w:rPr>
          <w:lang w:val="es-ES"/>
        </w:rPr>
        <w:t xml:space="preserve"> </w:t>
      </w:r>
      <w:r w:rsidR="001F0D76" w:rsidRPr="004D2665">
        <w:rPr>
          <w:lang w:val="es-ES"/>
        </w:rPr>
        <w:t>en el sentido tradicional de la expresión</w:t>
      </w:r>
      <w:r w:rsidR="00F810ED" w:rsidRPr="004D2665">
        <w:rPr>
          <w:lang w:val="es-ES"/>
        </w:rPr>
        <w:t xml:space="preserve">.  </w:t>
      </w:r>
      <w:r w:rsidR="00603EFC" w:rsidRPr="004D2665">
        <w:rPr>
          <w:lang w:val="es-ES"/>
        </w:rPr>
        <w:t>Para realizar un análisis de derecho comparado</w:t>
      </w:r>
      <w:r w:rsidR="00F810ED" w:rsidRPr="004D2665">
        <w:rPr>
          <w:lang w:val="es-ES"/>
        </w:rPr>
        <w:t xml:space="preserve"> </w:t>
      </w:r>
      <w:r w:rsidR="00D17F72" w:rsidRPr="004D2665">
        <w:rPr>
          <w:lang w:val="es-ES"/>
        </w:rPr>
        <w:t>tendríamos que conocer</w:t>
      </w:r>
      <w:r w:rsidR="00603EFC" w:rsidRPr="004D2665">
        <w:rPr>
          <w:lang w:val="es-ES"/>
        </w:rPr>
        <w:t xml:space="preserve"> mejor las tradiciones jurídicas, la legislación, la jurisprudencia y los comentarios de cada país</w:t>
      </w:r>
      <w:r w:rsidR="00F810ED" w:rsidRPr="004D2665">
        <w:rPr>
          <w:lang w:val="es-ES"/>
        </w:rPr>
        <w:t xml:space="preserve">.  </w:t>
      </w:r>
      <w:r w:rsidR="00603EFC" w:rsidRPr="004D2665">
        <w:rPr>
          <w:lang w:val="es-ES"/>
        </w:rPr>
        <w:t>Por consiguiente, el análisis que se realiza en el capítul</w:t>
      </w:r>
      <w:r w:rsidR="005336EC" w:rsidRPr="004D2665">
        <w:rPr>
          <w:lang w:val="es-ES"/>
        </w:rPr>
        <w:t>o 3</w:t>
      </w:r>
      <w:r w:rsidR="00F810ED" w:rsidRPr="004D2665">
        <w:rPr>
          <w:lang w:val="es-ES"/>
        </w:rPr>
        <w:t xml:space="preserve"> </w:t>
      </w:r>
      <w:r w:rsidR="00603EFC" w:rsidRPr="004D2665">
        <w:rPr>
          <w:lang w:val="es-ES"/>
        </w:rPr>
        <w:t>tiene</w:t>
      </w:r>
      <w:r w:rsidR="005E1703" w:rsidRPr="004D2665">
        <w:rPr>
          <w:lang w:val="es-ES"/>
        </w:rPr>
        <w:t xml:space="preserve"> simplemente</w:t>
      </w:r>
      <w:r w:rsidR="00B10894" w:rsidRPr="004D2665">
        <w:rPr>
          <w:lang w:val="es-ES"/>
        </w:rPr>
        <w:t xml:space="preserve"> por objet</w:t>
      </w:r>
      <w:r w:rsidR="00603EFC" w:rsidRPr="004D2665">
        <w:rPr>
          <w:lang w:val="es-ES"/>
        </w:rPr>
        <w:t xml:space="preserve">o ofrecer una panorámica general </w:t>
      </w:r>
      <w:r w:rsidR="00674115" w:rsidRPr="004D2665">
        <w:rPr>
          <w:lang w:val="es-ES"/>
        </w:rPr>
        <w:t>de las disposiciones legislativas pertinentes de cada país y compararlas entre ellas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9F3C15" w:rsidP="00F810ED">
      <w:pPr>
        <w:rPr>
          <w:lang w:val="es-ES"/>
        </w:rPr>
      </w:pPr>
      <w:r w:rsidRPr="004D2665">
        <w:rPr>
          <w:lang w:val="es-ES"/>
        </w:rPr>
        <w:t xml:space="preserve">Solo la legislación de cuarenta y cinco de </w:t>
      </w:r>
      <w:r w:rsidR="00603EFC" w:rsidRPr="004D2665">
        <w:rPr>
          <w:lang w:val="es-ES"/>
        </w:rPr>
        <w:t>lo</w:t>
      </w:r>
      <w:r w:rsidR="005336EC" w:rsidRPr="004D2665">
        <w:rPr>
          <w:lang w:val="es-ES"/>
        </w:rPr>
        <w:t>s 1</w:t>
      </w:r>
      <w:r w:rsidR="00F810ED" w:rsidRPr="004D2665">
        <w:rPr>
          <w:lang w:val="es-ES"/>
        </w:rPr>
        <w:t xml:space="preserve">88 </w:t>
      </w:r>
      <w:r w:rsidR="00603EFC" w:rsidRPr="004D2665">
        <w:rPr>
          <w:lang w:val="es-ES"/>
        </w:rPr>
        <w:t>países miembros de la OMPI</w:t>
      </w:r>
      <w:r w:rsidRPr="004D2665">
        <w:rPr>
          <w:lang w:val="es-ES"/>
        </w:rPr>
        <w:t xml:space="preserve"> contiene disposiciones </w:t>
      </w:r>
      <w:r w:rsidR="006B4B13" w:rsidRPr="004D2665">
        <w:rPr>
          <w:lang w:val="es-ES"/>
        </w:rPr>
        <w:t xml:space="preserve">específicas </w:t>
      </w:r>
      <w:r w:rsidRPr="004D2665">
        <w:rPr>
          <w:lang w:val="es-ES"/>
        </w:rPr>
        <w:t xml:space="preserve">que </w:t>
      </w:r>
      <w:r w:rsidR="005E1703" w:rsidRPr="004D2665">
        <w:rPr>
          <w:lang w:val="es-ES"/>
        </w:rPr>
        <w:t xml:space="preserve">permiten </w:t>
      </w:r>
      <w:r w:rsidR="00CF5233" w:rsidRPr="004D2665">
        <w:rPr>
          <w:lang w:val="es-ES"/>
        </w:rPr>
        <w:t>que los museos hagan</w:t>
      </w:r>
      <w:r w:rsidRPr="004D2665">
        <w:rPr>
          <w:lang w:val="es-ES"/>
        </w:rPr>
        <w:t xml:space="preserve"> ciertos usos de las obras de sus colecciones sin autorización previa de los titulares de los derechos</w:t>
      </w:r>
      <w:r w:rsidR="00F810ED" w:rsidRPr="004D2665">
        <w:rPr>
          <w:lang w:val="es-ES"/>
        </w:rPr>
        <w:t xml:space="preserve">.  </w:t>
      </w:r>
      <w:r w:rsidRPr="004D2665">
        <w:rPr>
          <w:lang w:val="es-ES"/>
        </w:rPr>
        <w:t>Las</w:t>
      </w:r>
      <w:r w:rsidR="00F810ED" w:rsidRPr="004D2665">
        <w:rPr>
          <w:lang w:val="es-ES"/>
        </w:rPr>
        <w:t xml:space="preserve"> </w:t>
      </w:r>
      <w:r w:rsidRPr="004D2665">
        <w:rPr>
          <w:lang w:val="es-ES"/>
        </w:rPr>
        <w:t xml:space="preserve">fichas de los países pueden consultarse en el </w:t>
      </w:r>
      <w:r w:rsidR="00712E58" w:rsidRPr="004D2665">
        <w:rPr>
          <w:b/>
          <w:lang w:val="es-ES"/>
        </w:rPr>
        <w:t>Apéndice</w:t>
      </w:r>
      <w:r w:rsidR="00F810ED" w:rsidRPr="004D2665">
        <w:rPr>
          <w:b/>
          <w:lang w:val="es-ES"/>
        </w:rPr>
        <w:t xml:space="preserve"> II</w:t>
      </w:r>
      <w:r w:rsidR="004D2665" w:rsidRPr="004D2665">
        <w:rPr>
          <w:lang w:val="es-ES"/>
        </w:rPr>
        <w:t>.</w:t>
      </w:r>
      <w:r w:rsidR="004D2665" w:rsidRPr="004D2665">
        <w:rPr>
          <w:vertAlign w:val="superscript"/>
          <w:lang w:val="es-ES"/>
        </w:rPr>
        <w:footnoteReference w:id="2"/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674115" w:rsidP="00F810ED">
      <w:pPr>
        <w:rPr>
          <w:lang w:val="es-ES"/>
        </w:rPr>
      </w:pPr>
      <w:r w:rsidRPr="004D2665">
        <w:rPr>
          <w:lang w:val="es-ES"/>
        </w:rPr>
        <w:t xml:space="preserve">Se realizó una encuesta entre los miembros del </w:t>
      </w:r>
      <w:r w:rsidR="00E2286C" w:rsidRPr="004D2665">
        <w:rPr>
          <w:lang w:val="es-ES"/>
        </w:rPr>
        <w:t xml:space="preserve">Consejo Internacional de Museos </w:t>
      </w:r>
      <w:r w:rsidR="00F810ED" w:rsidRPr="004D2665">
        <w:rPr>
          <w:lang w:val="es-ES"/>
        </w:rPr>
        <w:t>(ICOM)</w:t>
      </w:r>
      <w:r w:rsidR="00F810ED" w:rsidRPr="004D2665">
        <w:rPr>
          <w:vertAlign w:val="superscript"/>
          <w:lang w:val="es-ES"/>
        </w:rPr>
        <w:footnoteReference w:id="3"/>
      </w:r>
      <w:r w:rsidR="00F810ED" w:rsidRPr="004D2665">
        <w:rPr>
          <w:lang w:val="es-ES"/>
        </w:rPr>
        <w:t xml:space="preserve"> </w:t>
      </w:r>
      <w:r w:rsidR="00B10894" w:rsidRPr="004D2665">
        <w:rPr>
          <w:lang w:val="es-ES"/>
        </w:rPr>
        <w:t>para preguntar sobre</w:t>
      </w:r>
      <w:r w:rsidR="009F3C15" w:rsidRPr="004D2665">
        <w:rPr>
          <w:lang w:val="es-ES"/>
        </w:rPr>
        <w:t xml:space="preserve"> de la naturaleza de su</w:t>
      </w:r>
      <w:r w:rsidR="00CF5233" w:rsidRPr="004D2665">
        <w:rPr>
          <w:lang w:val="es-ES"/>
        </w:rPr>
        <w:t>s</w:t>
      </w:r>
      <w:r w:rsidR="009F3C15" w:rsidRPr="004D2665">
        <w:rPr>
          <w:lang w:val="es-ES"/>
        </w:rPr>
        <w:t xml:space="preserve"> mandato</w:t>
      </w:r>
      <w:r w:rsidR="00CF5233" w:rsidRPr="004D2665">
        <w:rPr>
          <w:lang w:val="es-ES"/>
        </w:rPr>
        <w:t>s</w:t>
      </w:r>
      <w:r w:rsidR="009F3C15" w:rsidRPr="004D2665">
        <w:rPr>
          <w:lang w:val="es-ES"/>
        </w:rPr>
        <w:t xml:space="preserve"> y la composición de su</w:t>
      </w:r>
      <w:r w:rsidR="00CF5233" w:rsidRPr="004D2665">
        <w:rPr>
          <w:lang w:val="es-ES"/>
        </w:rPr>
        <w:t>s colecciones</w:t>
      </w:r>
      <w:r w:rsidR="00F810ED" w:rsidRPr="004D2665">
        <w:rPr>
          <w:lang w:val="es-ES"/>
        </w:rPr>
        <w:t xml:space="preserve">, </w:t>
      </w:r>
      <w:r w:rsidR="009F3C15" w:rsidRPr="004D2665">
        <w:rPr>
          <w:lang w:val="es-ES"/>
        </w:rPr>
        <w:t>pero sobre todo acerca del tipo de actividades que llevan a cabo en lo que respecta a las obras de sus colecciones</w:t>
      </w:r>
      <w:r w:rsidR="00F810ED" w:rsidRPr="004D2665">
        <w:rPr>
          <w:lang w:val="es-ES"/>
        </w:rPr>
        <w:t xml:space="preserve">.  </w:t>
      </w:r>
      <w:r w:rsidR="009F3C15" w:rsidRPr="004D2665">
        <w:rPr>
          <w:lang w:val="es-ES"/>
        </w:rPr>
        <w:t xml:space="preserve">El cuestionario se reproduce en el </w:t>
      </w:r>
      <w:r w:rsidR="00712E58" w:rsidRPr="004D2665">
        <w:rPr>
          <w:b/>
          <w:lang w:val="es-ES"/>
        </w:rPr>
        <w:t>Apéndice</w:t>
      </w:r>
      <w:r w:rsidR="00F810ED" w:rsidRPr="004D2665">
        <w:rPr>
          <w:b/>
          <w:lang w:val="es-ES"/>
        </w:rPr>
        <w:t xml:space="preserve"> I</w:t>
      </w:r>
      <w:r w:rsidR="00F810ED" w:rsidRPr="004D2665">
        <w:rPr>
          <w:lang w:val="es-ES"/>
        </w:rPr>
        <w:t xml:space="preserve">.  </w:t>
      </w:r>
      <w:r w:rsidR="005734DA" w:rsidRPr="004D2665">
        <w:rPr>
          <w:lang w:val="es-ES"/>
        </w:rPr>
        <w:t>Se</w:t>
      </w:r>
      <w:r w:rsidR="00CF5233" w:rsidRPr="004D2665">
        <w:rPr>
          <w:lang w:val="es-ES"/>
        </w:rPr>
        <w:t xml:space="preserve"> preguntó</w:t>
      </w:r>
      <w:r w:rsidR="005734DA" w:rsidRPr="004D2665">
        <w:rPr>
          <w:lang w:val="es-ES"/>
        </w:rPr>
        <w:t xml:space="preserve"> a los encuestados si hacen repro</w:t>
      </w:r>
      <w:r w:rsidR="00CF5233" w:rsidRPr="004D2665">
        <w:rPr>
          <w:lang w:val="es-ES"/>
        </w:rPr>
        <w:t>ducciones de obras y las comunican</w:t>
      </w:r>
      <w:r w:rsidR="005734DA" w:rsidRPr="004D2665">
        <w:rPr>
          <w:lang w:val="es-ES"/>
        </w:rPr>
        <w:t xml:space="preserve"> </w:t>
      </w:r>
      <w:r w:rsidR="004F5C89" w:rsidRPr="004D2665">
        <w:rPr>
          <w:lang w:val="es-ES"/>
        </w:rPr>
        <w:t>o d</w:t>
      </w:r>
      <w:r w:rsidR="005734DA" w:rsidRPr="004D2665">
        <w:rPr>
          <w:lang w:val="es-ES"/>
        </w:rPr>
        <w:t>istribuyen</w:t>
      </w:r>
      <w:r w:rsidR="00CF5233" w:rsidRPr="004D2665">
        <w:rPr>
          <w:lang w:val="es-ES"/>
        </w:rPr>
        <w:t xml:space="preserve"> al público</w:t>
      </w:r>
      <w:r w:rsidR="005734DA" w:rsidRPr="004D2665">
        <w:rPr>
          <w:lang w:val="es-ES"/>
        </w:rPr>
        <w:t>, ya sea de forma</w:t>
      </w:r>
      <w:r w:rsidR="00F810ED" w:rsidRPr="004D2665">
        <w:rPr>
          <w:lang w:val="es-ES"/>
        </w:rPr>
        <w:t xml:space="preserve"> </w:t>
      </w:r>
      <w:r w:rsidR="005734DA" w:rsidRPr="004D2665">
        <w:rPr>
          <w:lang w:val="es-ES"/>
        </w:rPr>
        <w:t>analógica o digital</w:t>
      </w:r>
      <w:r w:rsidR="00F810ED" w:rsidRPr="004D2665">
        <w:rPr>
          <w:lang w:val="es-ES"/>
        </w:rPr>
        <w:t>.  T</w:t>
      </w:r>
      <w:r w:rsidR="005734DA" w:rsidRPr="004D2665">
        <w:rPr>
          <w:lang w:val="es-ES"/>
        </w:rPr>
        <w:t xml:space="preserve">ambién se les pidió que </w:t>
      </w:r>
      <w:r w:rsidR="00714FA3" w:rsidRPr="004D2665">
        <w:rPr>
          <w:lang w:val="es-ES"/>
        </w:rPr>
        <w:t xml:space="preserve">opinaran </w:t>
      </w:r>
      <w:r w:rsidR="0075118C" w:rsidRPr="004D2665">
        <w:rPr>
          <w:lang w:val="es-ES"/>
        </w:rPr>
        <w:t>sobre hasta qué punto las normas en materia de derecho de autor de sus países permiten que los museos cumplan su misión</w:t>
      </w:r>
      <w:r w:rsidR="00F810ED" w:rsidRPr="004D2665">
        <w:rPr>
          <w:lang w:val="es-ES"/>
        </w:rPr>
        <w:t xml:space="preserve">.  </w:t>
      </w:r>
      <w:r w:rsidR="001128CF" w:rsidRPr="004D2665">
        <w:rPr>
          <w:lang w:val="es-ES"/>
        </w:rPr>
        <w:t xml:space="preserve">Los resultados de este estudio se examinan en el </w:t>
      </w:r>
      <w:r w:rsidR="001128CF" w:rsidRPr="004D2665">
        <w:rPr>
          <w:b/>
          <w:lang w:val="es-ES"/>
        </w:rPr>
        <w:t>capítul</w:t>
      </w:r>
      <w:r w:rsidR="005336EC" w:rsidRPr="004D2665">
        <w:rPr>
          <w:b/>
          <w:lang w:val="es-ES"/>
        </w:rPr>
        <w:t>o 4</w:t>
      </w:r>
      <w:r w:rsidR="00F810ED" w:rsidRPr="004D2665">
        <w:rPr>
          <w:lang w:val="es-ES"/>
        </w:rPr>
        <w:t xml:space="preserve"> </w:t>
      </w:r>
      <w:r w:rsidR="001128CF" w:rsidRPr="004D2665">
        <w:rPr>
          <w:lang w:val="es-ES"/>
        </w:rPr>
        <w:t>y</w:t>
      </w:r>
      <w:r w:rsidR="0075118C" w:rsidRPr="004D2665">
        <w:rPr>
          <w:lang w:val="es-ES"/>
        </w:rPr>
        <w:t xml:space="preserve"> sientan las bases para los</w:t>
      </w:r>
      <w:r w:rsidR="00F810ED" w:rsidRPr="004D2665">
        <w:rPr>
          <w:lang w:val="es-ES"/>
        </w:rPr>
        <w:t xml:space="preserve"> </w:t>
      </w:r>
      <w:r w:rsidR="0075118C" w:rsidRPr="004D2665">
        <w:rPr>
          <w:lang w:val="es-ES"/>
        </w:rPr>
        <w:t>estudios</w:t>
      </w:r>
      <w:r w:rsidR="00CF5233" w:rsidRPr="004D2665">
        <w:rPr>
          <w:lang w:val="es-ES"/>
        </w:rPr>
        <w:t xml:space="preserve"> de casos que se presentan en ese</w:t>
      </w:r>
      <w:r w:rsidR="0075118C" w:rsidRPr="004D2665">
        <w:rPr>
          <w:lang w:val="es-ES"/>
        </w:rPr>
        <w:t xml:space="preserve"> mismo capítulo</w:t>
      </w:r>
      <w:r w:rsidR="004D2665" w:rsidRPr="004D2665">
        <w:rPr>
          <w:lang w:val="es-ES"/>
        </w:rPr>
        <w:t>.</w:t>
      </w:r>
      <w:r w:rsidR="004D2665" w:rsidRPr="004D2665">
        <w:rPr>
          <w:vertAlign w:val="superscript"/>
          <w:lang w:val="es-ES"/>
        </w:rPr>
        <w:footnoteReference w:id="4"/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A33E19" w:rsidP="00F810ED">
      <w:pPr>
        <w:rPr>
          <w:lang w:val="es-ES"/>
        </w:rPr>
      </w:pPr>
      <w:r w:rsidRPr="004D2665">
        <w:rPr>
          <w:lang w:val="es-ES"/>
        </w:rPr>
        <w:t>E</w:t>
      </w:r>
      <w:r w:rsidR="00B25762" w:rsidRPr="004D2665">
        <w:rPr>
          <w:lang w:val="es-ES"/>
        </w:rPr>
        <w:t>l</w:t>
      </w:r>
      <w:r w:rsidR="00B25762" w:rsidRPr="004D2665">
        <w:rPr>
          <w:b/>
          <w:lang w:val="es-ES"/>
        </w:rPr>
        <w:t xml:space="preserve"> capítul</w:t>
      </w:r>
      <w:r w:rsidR="005336EC" w:rsidRPr="004D2665">
        <w:rPr>
          <w:b/>
          <w:lang w:val="es-ES"/>
        </w:rPr>
        <w:t>o 5</w:t>
      </w:r>
      <w:r w:rsidR="00F810ED" w:rsidRPr="004D2665">
        <w:rPr>
          <w:b/>
          <w:lang w:val="es-ES"/>
        </w:rPr>
        <w:t xml:space="preserve"> </w:t>
      </w:r>
      <w:r w:rsidR="00F810ED" w:rsidRPr="004D2665">
        <w:rPr>
          <w:lang w:val="es-ES"/>
        </w:rPr>
        <w:t>conclu</w:t>
      </w:r>
      <w:r w:rsidRPr="004D2665">
        <w:rPr>
          <w:lang w:val="es-ES"/>
        </w:rPr>
        <w:t>ye resumiendo las principa</w:t>
      </w:r>
      <w:r w:rsidR="00A22C46" w:rsidRPr="004D2665">
        <w:rPr>
          <w:lang w:val="es-ES"/>
        </w:rPr>
        <w:t>les conclusiones del estudio y examinando</w:t>
      </w:r>
      <w:r w:rsidRPr="004D2665">
        <w:rPr>
          <w:lang w:val="es-ES"/>
        </w:rPr>
        <w:t xml:space="preserve"> formas alternativas de abordar </w:t>
      </w:r>
      <w:r w:rsidR="006C2F96" w:rsidRPr="004D2665">
        <w:rPr>
          <w:lang w:val="es-ES"/>
        </w:rPr>
        <w:t>los problemas en materia de derecho de autor que se han detectado</w:t>
      </w:r>
      <w:r w:rsidR="00F810ED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712E58" w:rsidP="00F810ED">
      <w:pPr>
        <w:rPr>
          <w:lang w:val="es-ES"/>
        </w:rPr>
      </w:pPr>
      <w:r w:rsidRPr="004D2665">
        <w:rPr>
          <w:lang w:val="es-ES"/>
        </w:rPr>
        <w:t>Por último</w:t>
      </w:r>
      <w:r w:rsidR="00F810ED" w:rsidRPr="004D2665">
        <w:rPr>
          <w:lang w:val="es-ES"/>
        </w:rPr>
        <w:t xml:space="preserve">, </w:t>
      </w:r>
      <w:r w:rsidR="00A22C46" w:rsidRPr="004D2665">
        <w:rPr>
          <w:lang w:val="es-ES"/>
        </w:rPr>
        <w:t xml:space="preserve">cabe señalar que </w:t>
      </w:r>
      <w:r w:rsidR="006B4B13" w:rsidRPr="004D2665">
        <w:rPr>
          <w:lang w:val="es-ES"/>
        </w:rPr>
        <w:t xml:space="preserve">dado el limitado </w:t>
      </w:r>
      <w:r w:rsidR="00A22C46" w:rsidRPr="004D2665">
        <w:rPr>
          <w:lang w:val="es-ES"/>
        </w:rPr>
        <w:t xml:space="preserve">alcance de este estudio hay </w:t>
      </w:r>
      <w:r w:rsidR="006C2F96" w:rsidRPr="004D2665">
        <w:rPr>
          <w:lang w:val="es-ES"/>
        </w:rPr>
        <w:t xml:space="preserve">una serie de cuestiones </w:t>
      </w:r>
      <w:r w:rsidR="00A22C46" w:rsidRPr="004D2665">
        <w:rPr>
          <w:lang w:val="es-ES"/>
        </w:rPr>
        <w:t xml:space="preserve">que </w:t>
      </w:r>
      <w:r w:rsidR="006C2F96" w:rsidRPr="004D2665">
        <w:rPr>
          <w:lang w:val="es-ES"/>
        </w:rPr>
        <w:t>no se examinan detalladamente</w:t>
      </w:r>
      <w:r w:rsidR="00F810ED" w:rsidRPr="004D2665">
        <w:rPr>
          <w:lang w:val="es-ES"/>
        </w:rPr>
        <w:t xml:space="preserve">.  </w:t>
      </w:r>
      <w:r w:rsidR="00F13FF3" w:rsidRPr="004D2665">
        <w:rPr>
          <w:lang w:val="es-ES"/>
        </w:rPr>
        <w:t>Entre</w:t>
      </w:r>
      <w:r w:rsidR="006C2F96" w:rsidRPr="004D2665">
        <w:rPr>
          <w:lang w:val="es-ES"/>
        </w:rPr>
        <w:t xml:space="preserve"> esas cuestiones </w:t>
      </w:r>
      <w:r w:rsidR="00F13FF3" w:rsidRPr="004D2665">
        <w:rPr>
          <w:lang w:val="es-ES"/>
        </w:rPr>
        <w:t xml:space="preserve">figuran </w:t>
      </w:r>
      <w:r w:rsidR="00E81FD2" w:rsidRPr="004D2665">
        <w:rPr>
          <w:lang w:val="es-ES"/>
        </w:rPr>
        <w:t>las disposiciones legis</w:t>
      </w:r>
      <w:r w:rsidR="00F13FF3" w:rsidRPr="004D2665">
        <w:rPr>
          <w:lang w:val="es-ES"/>
        </w:rPr>
        <w:t>lativas especí</w:t>
      </w:r>
      <w:r w:rsidR="00E81FD2" w:rsidRPr="004D2665">
        <w:rPr>
          <w:lang w:val="es-ES"/>
        </w:rPr>
        <w:t xml:space="preserve">ficas de los países </w:t>
      </w:r>
      <w:r w:rsidR="00190A47" w:rsidRPr="004D2665">
        <w:rPr>
          <w:lang w:val="es-ES"/>
        </w:rPr>
        <w:t xml:space="preserve">en las </w:t>
      </w:r>
      <w:r w:rsidR="00E81FD2" w:rsidRPr="004D2665">
        <w:rPr>
          <w:lang w:val="es-ES"/>
        </w:rPr>
        <w:t xml:space="preserve">que </w:t>
      </w:r>
      <w:r w:rsidR="00190A47" w:rsidRPr="004D2665">
        <w:rPr>
          <w:lang w:val="es-ES"/>
        </w:rPr>
        <w:t xml:space="preserve">se </w:t>
      </w:r>
      <w:r w:rsidR="00E81FD2" w:rsidRPr="004D2665">
        <w:rPr>
          <w:lang w:val="es-ES"/>
        </w:rPr>
        <w:t>establecen los mandatos de los museos</w:t>
      </w:r>
      <w:r w:rsidR="00F810ED" w:rsidRPr="004D2665">
        <w:rPr>
          <w:lang w:val="es-ES"/>
        </w:rPr>
        <w:t xml:space="preserve">, </w:t>
      </w:r>
      <w:r w:rsidR="00F13FF3" w:rsidRPr="004D2665">
        <w:rPr>
          <w:lang w:val="es-ES"/>
        </w:rPr>
        <w:t>las disposiciones nacionales sobre la protección del patrimonio cultural o nac</w:t>
      </w:r>
      <w:r w:rsidR="00F810ED" w:rsidRPr="004D2665">
        <w:rPr>
          <w:lang w:val="es-ES"/>
        </w:rPr>
        <w:t xml:space="preserve">ional, </w:t>
      </w:r>
      <w:r w:rsidR="00D76288" w:rsidRPr="004D2665">
        <w:rPr>
          <w:lang w:val="es-ES"/>
        </w:rPr>
        <w:t xml:space="preserve">los servicios de los museos para </w:t>
      </w:r>
      <w:r w:rsidR="00A22C46" w:rsidRPr="004D2665">
        <w:rPr>
          <w:lang w:val="es-ES"/>
        </w:rPr>
        <w:t xml:space="preserve">las </w:t>
      </w:r>
      <w:r w:rsidR="00D76288" w:rsidRPr="004D2665">
        <w:rPr>
          <w:lang w:val="es-ES"/>
        </w:rPr>
        <w:t xml:space="preserve">personas </w:t>
      </w:r>
      <w:r w:rsidR="00A22C46" w:rsidRPr="004D2665">
        <w:rPr>
          <w:lang w:val="es-ES"/>
        </w:rPr>
        <w:t>con discapacidad visual</w:t>
      </w:r>
      <w:r w:rsidR="00F810ED" w:rsidRPr="004D2665">
        <w:rPr>
          <w:lang w:val="es-ES"/>
        </w:rPr>
        <w:t xml:space="preserve">, </w:t>
      </w:r>
      <w:r w:rsidR="001A48CE" w:rsidRPr="004D2665">
        <w:rPr>
          <w:lang w:val="es-ES"/>
        </w:rPr>
        <w:t xml:space="preserve">los derechos conexos, </w:t>
      </w:r>
      <w:r w:rsidR="00F13FF3" w:rsidRPr="004D2665">
        <w:rPr>
          <w:lang w:val="es-ES"/>
        </w:rPr>
        <w:t>l</w:t>
      </w:r>
      <w:r w:rsidR="00D76288" w:rsidRPr="004D2665">
        <w:rPr>
          <w:lang w:val="es-ES"/>
        </w:rPr>
        <w:t>a legislación sobre el acceso a</w:t>
      </w:r>
      <w:r w:rsidR="00F13FF3" w:rsidRPr="004D2665">
        <w:rPr>
          <w:lang w:val="es-ES"/>
        </w:rPr>
        <w:t xml:space="preserve"> los datos de carácter público</w:t>
      </w:r>
      <w:r w:rsidR="00F810ED" w:rsidRPr="004D2665">
        <w:rPr>
          <w:lang w:val="es-ES"/>
        </w:rPr>
        <w:t>, la</w:t>
      </w:r>
      <w:r w:rsidR="00F13FF3" w:rsidRPr="004D2665">
        <w:rPr>
          <w:lang w:val="es-ES"/>
        </w:rPr>
        <w:t xml:space="preserve">s leyes que rigen la elusión de las medidas tecnológicas de protección </w:t>
      </w:r>
      <w:r w:rsidR="00DC10CA" w:rsidRPr="004D2665">
        <w:rPr>
          <w:lang w:val="es-ES"/>
        </w:rPr>
        <w:t>y la definición de dominio público.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AF4D9C" w:rsidP="00F810ED">
      <w:pPr>
        <w:rPr>
          <w:lang w:val="es-ES"/>
        </w:rPr>
      </w:pPr>
      <w:r w:rsidRPr="004D2665">
        <w:rPr>
          <w:lang w:val="es-ES"/>
        </w:rPr>
        <w:t>RECOMENDACIONES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712E58" w:rsidP="00F810ED">
      <w:pPr>
        <w:rPr>
          <w:lang w:val="es-ES"/>
        </w:rPr>
      </w:pPr>
      <w:r w:rsidRPr="004D2665">
        <w:rPr>
          <w:lang w:val="es-ES"/>
        </w:rPr>
        <w:t xml:space="preserve">Habida cuenta de que la </w:t>
      </w:r>
      <w:r w:rsidR="000969DD" w:rsidRPr="004D2665">
        <w:rPr>
          <w:lang w:val="es-ES"/>
        </w:rPr>
        <w:t>seguridad</w:t>
      </w:r>
      <w:r w:rsidRPr="004D2665">
        <w:rPr>
          <w:lang w:val="es-ES"/>
        </w:rPr>
        <w:t xml:space="preserve"> jurídica es </w:t>
      </w:r>
      <w:r w:rsidR="00DC10CA" w:rsidRPr="004D2665">
        <w:rPr>
          <w:lang w:val="es-ES"/>
        </w:rPr>
        <w:t>el pilar para el desarrollo de actividades, los museos</w:t>
      </w:r>
      <w:r w:rsidR="00F810ED" w:rsidRPr="004D2665">
        <w:rPr>
          <w:lang w:val="es-ES"/>
        </w:rPr>
        <w:t xml:space="preserve"> </w:t>
      </w:r>
      <w:r w:rsidR="00DC10CA" w:rsidRPr="004D2665">
        <w:rPr>
          <w:lang w:val="es-ES"/>
        </w:rPr>
        <w:t xml:space="preserve">necesitan tener claras cuáles son las normas </w:t>
      </w:r>
      <w:r w:rsidR="004638FB" w:rsidRPr="004D2665">
        <w:rPr>
          <w:lang w:val="es-ES"/>
        </w:rPr>
        <w:t xml:space="preserve">que se aplican o se </w:t>
      </w:r>
      <w:r w:rsidR="00DC10CA" w:rsidRPr="004D2665">
        <w:rPr>
          <w:lang w:val="es-ES"/>
        </w:rPr>
        <w:t>deberían aplica</w:t>
      </w:r>
      <w:r w:rsidR="007D1F95" w:rsidRPr="004D2665">
        <w:rPr>
          <w:lang w:val="es-ES"/>
        </w:rPr>
        <w:t>r para cumplir sus mandatos</w:t>
      </w:r>
      <w:r w:rsidR="00D17F72" w:rsidRPr="004D2665">
        <w:rPr>
          <w:lang w:val="es-ES"/>
        </w:rPr>
        <w:t>,</w:t>
      </w:r>
      <w:r w:rsidR="007D1F95" w:rsidRPr="004D2665">
        <w:rPr>
          <w:lang w:val="es-ES"/>
        </w:rPr>
        <w:t xml:space="preserve"> que</w:t>
      </w:r>
      <w:r w:rsidR="00DC10CA" w:rsidRPr="004D2665">
        <w:rPr>
          <w:lang w:val="es-ES"/>
        </w:rPr>
        <w:t xml:space="preserve"> </w:t>
      </w:r>
      <w:r w:rsidR="001E3B6D" w:rsidRPr="004D2665">
        <w:rPr>
          <w:lang w:val="es-ES"/>
        </w:rPr>
        <w:t xml:space="preserve">por definición del </w:t>
      </w:r>
      <w:r w:rsidR="00F810ED" w:rsidRPr="004D2665">
        <w:rPr>
          <w:lang w:val="es-ES"/>
        </w:rPr>
        <w:t>ICOM</w:t>
      </w:r>
      <w:r w:rsidR="007D1F95" w:rsidRPr="004D2665">
        <w:rPr>
          <w:lang w:val="es-ES"/>
        </w:rPr>
        <w:t xml:space="preserve"> y</w:t>
      </w:r>
      <w:r w:rsidR="004638FB" w:rsidRPr="004D2665">
        <w:rPr>
          <w:lang w:val="es-ES"/>
        </w:rPr>
        <w:t xml:space="preserve"> </w:t>
      </w:r>
      <w:r w:rsidR="001E3B6D" w:rsidRPr="004D2665">
        <w:rPr>
          <w:lang w:val="es-ES"/>
        </w:rPr>
        <w:t xml:space="preserve">para el propósito de este estudio </w:t>
      </w:r>
      <w:r w:rsidR="004638FB" w:rsidRPr="004D2665">
        <w:rPr>
          <w:lang w:val="es-ES"/>
        </w:rPr>
        <w:t>no son comerciales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8732EA" w:rsidP="00F810ED">
      <w:pPr>
        <w:rPr>
          <w:i/>
          <w:lang w:val="es-ES"/>
        </w:rPr>
      </w:pPr>
      <w:r w:rsidRPr="004D2665">
        <w:rPr>
          <w:i/>
          <w:lang w:val="es-ES"/>
        </w:rPr>
        <w:t xml:space="preserve">Recomendaciones a los </w:t>
      </w:r>
      <w:r w:rsidR="000969DD" w:rsidRPr="004D2665">
        <w:rPr>
          <w:i/>
          <w:lang w:val="es-ES"/>
        </w:rPr>
        <w:t>legisladores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F810ED" w:rsidP="00F810ED">
      <w:pPr>
        <w:rPr>
          <w:lang w:val="es-ES"/>
        </w:rPr>
      </w:pPr>
      <w:r w:rsidRPr="004D2665">
        <w:rPr>
          <w:lang w:val="es-ES"/>
        </w:rPr>
        <w:t>1.</w:t>
      </w:r>
      <w:r w:rsidRPr="004D2665">
        <w:rPr>
          <w:lang w:val="es-ES"/>
        </w:rPr>
        <w:tab/>
      </w:r>
      <w:r w:rsidR="004638FB" w:rsidRPr="004D2665">
        <w:rPr>
          <w:lang w:val="es-ES"/>
        </w:rPr>
        <w:t>La digitalización de las colecciones parece ser un paso ineludible para que los museos puedan cumplir sus mandatos principa</w:t>
      </w:r>
      <w:r w:rsidR="00A32E74" w:rsidRPr="004D2665">
        <w:rPr>
          <w:lang w:val="es-ES"/>
        </w:rPr>
        <w:t>l</w:t>
      </w:r>
      <w:r w:rsidR="00D17F72" w:rsidRPr="004D2665">
        <w:rPr>
          <w:lang w:val="es-ES"/>
        </w:rPr>
        <w:t>es de preservación y comunicación</w:t>
      </w:r>
      <w:r w:rsidR="004638FB" w:rsidRPr="004D2665">
        <w:rPr>
          <w:lang w:val="es-ES"/>
        </w:rPr>
        <w:t xml:space="preserve"> al público</w:t>
      </w:r>
      <w:r w:rsidR="00A32E74" w:rsidRPr="004D2665">
        <w:rPr>
          <w:lang w:val="es-ES"/>
        </w:rPr>
        <w:t xml:space="preserve"> </w:t>
      </w:r>
      <w:r w:rsidR="00CF1F7B" w:rsidRPr="004D2665">
        <w:rPr>
          <w:lang w:val="es-ES"/>
        </w:rPr>
        <w:t>proporcionando</w:t>
      </w:r>
      <w:r w:rsidR="00D17F72" w:rsidRPr="004D2665">
        <w:rPr>
          <w:lang w:val="es-ES"/>
        </w:rPr>
        <w:t xml:space="preserve"> información sobre los recursos patrimoniales </w:t>
      </w:r>
      <w:r w:rsidR="006E4693" w:rsidRPr="004D2665">
        <w:rPr>
          <w:lang w:val="es-ES"/>
        </w:rPr>
        <w:t>expuestos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F13FF3" w:rsidP="00F810ED">
      <w:pPr>
        <w:rPr>
          <w:lang w:val="es-ES"/>
        </w:rPr>
      </w:pPr>
      <w:r w:rsidRPr="004D2665">
        <w:rPr>
          <w:lang w:val="es-ES"/>
        </w:rPr>
        <w:t>A este respecto</w:t>
      </w:r>
      <w:r w:rsidR="00F810ED" w:rsidRPr="004D2665">
        <w:rPr>
          <w:lang w:val="es-ES"/>
        </w:rPr>
        <w:t xml:space="preserve">, </w:t>
      </w:r>
      <w:r w:rsidR="001E3B6D" w:rsidRPr="004D2665">
        <w:rPr>
          <w:lang w:val="es-ES"/>
        </w:rPr>
        <w:t xml:space="preserve">con fines de preservación podrían esclarecerse y armonizarse como excepciones o limitaciones </w:t>
      </w:r>
      <w:r w:rsidR="008E7CA8" w:rsidRPr="004D2665">
        <w:rPr>
          <w:lang w:val="es-ES"/>
        </w:rPr>
        <w:t xml:space="preserve">las normas sobre digitalización de </w:t>
      </w:r>
      <w:r w:rsidR="00E06A71" w:rsidRPr="004D2665">
        <w:rPr>
          <w:lang w:val="es-ES"/>
        </w:rPr>
        <w:t>las obras de arte de una colección permanente de un museo</w:t>
      </w:r>
      <w:r w:rsidR="00F810ED" w:rsidRPr="004D2665">
        <w:rPr>
          <w:lang w:val="es-ES"/>
        </w:rPr>
        <w:t xml:space="preserve">, </w:t>
      </w:r>
      <w:r w:rsidR="00A13BEE" w:rsidRPr="004D2665">
        <w:rPr>
          <w:lang w:val="es-ES"/>
        </w:rPr>
        <w:t>tanto si está compuesta por obras huérfanas como si no lo está</w:t>
      </w:r>
      <w:r w:rsidR="00F810ED" w:rsidRPr="004D2665">
        <w:rPr>
          <w:lang w:val="es-ES"/>
        </w:rPr>
        <w:t xml:space="preserve">.  </w:t>
      </w:r>
      <w:r w:rsidR="00457304" w:rsidRPr="004D2665">
        <w:rPr>
          <w:lang w:val="es-ES"/>
        </w:rPr>
        <w:t>Para l</w:t>
      </w:r>
      <w:r w:rsidR="00A13BEE" w:rsidRPr="004D2665">
        <w:rPr>
          <w:lang w:val="es-ES"/>
        </w:rPr>
        <w:t xml:space="preserve">a digitalización de </w:t>
      </w:r>
      <w:r w:rsidR="009E0E50" w:rsidRPr="004D2665">
        <w:rPr>
          <w:lang w:val="es-ES"/>
        </w:rPr>
        <w:t xml:space="preserve">las </w:t>
      </w:r>
      <w:r w:rsidR="00457304" w:rsidRPr="004D2665">
        <w:rPr>
          <w:lang w:val="es-ES"/>
        </w:rPr>
        <w:t>obras no publicadas podrían seguirse las mismas pautas que se utilizan para las obras huérfanas, a saber diligencia debida previa para encontrar a los titulares de derechos y tratar de conseguir su consentimiento</w:t>
      </w:r>
      <w:r w:rsidR="009E0E50" w:rsidRPr="004D2665">
        <w:rPr>
          <w:lang w:val="es-ES"/>
        </w:rPr>
        <w:t>,</w:t>
      </w:r>
      <w:r w:rsidR="006A700D" w:rsidRPr="004D2665">
        <w:rPr>
          <w:lang w:val="es-ES"/>
        </w:rPr>
        <w:t xml:space="preserve"> y</w:t>
      </w:r>
      <w:r w:rsidR="00F810ED" w:rsidRPr="004D2665">
        <w:rPr>
          <w:lang w:val="es-ES"/>
        </w:rPr>
        <w:t xml:space="preserve"> di</w:t>
      </w:r>
      <w:r w:rsidR="006A700D" w:rsidRPr="004D2665">
        <w:rPr>
          <w:lang w:val="es-ES"/>
        </w:rPr>
        <w:t>vulgación solo por motivos legítimos de interés público</w:t>
      </w:r>
      <w:r w:rsidR="00F810ED" w:rsidRPr="004D2665">
        <w:rPr>
          <w:lang w:val="es-ES"/>
        </w:rPr>
        <w:t xml:space="preserve">.  </w:t>
      </w:r>
      <w:r w:rsidR="000E744C" w:rsidRPr="004D2665">
        <w:rPr>
          <w:lang w:val="es-ES"/>
        </w:rPr>
        <w:t>L</w:t>
      </w:r>
      <w:r w:rsidR="006A700D" w:rsidRPr="004D2665">
        <w:rPr>
          <w:lang w:val="es-ES"/>
        </w:rPr>
        <w:t xml:space="preserve">as consultas a los sitios Web </w:t>
      </w:r>
      <w:r w:rsidR="003404EF" w:rsidRPr="004D2665">
        <w:rPr>
          <w:lang w:val="es-ES"/>
        </w:rPr>
        <w:t xml:space="preserve">de las colecciones permanentes </w:t>
      </w:r>
      <w:r w:rsidR="009E0E50" w:rsidRPr="004D2665">
        <w:rPr>
          <w:lang w:val="es-ES"/>
        </w:rPr>
        <w:t>(con descargas limitadas) y</w:t>
      </w:r>
      <w:r w:rsidR="003404EF" w:rsidRPr="004D2665">
        <w:rPr>
          <w:lang w:val="es-ES"/>
        </w:rPr>
        <w:t xml:space="preserve"> los catálogos y archivos de los museos </w:t>
      </w:r>
      <w:r w:rsidR="000E744C" w:rsidRPr="004D2665">
        <w:rPr>
          <w:lang w:val="es-ES"/>
        </w:rPr>
        <w:t xml:space="preserve">también podrían abordarse </w:t>
      </w:r>
      <w:r w:rsidR="003404EF" w:rsidRPr="004D2665">
        <w:rPr>
          <w:lang w:val="es-ES"/>
        </w:rPr>
        <w:t>como limitaci</w:t>
      </w:r>
      <w:r w:rsidR="000E744C" w:rsidRPr="004D2665">
        <w:rPr>
          <w:lang w:val="es-ES"/>
        </w:rPr>
        <w:t>ones,</w:t>
      </w:r>
      <w:r w:rsidR="003404EF" w:rsidRPr="004D2665">
        <w:rPr>
          <w:lang w:val="es-ES"/>
        </w:rPr>
        <w:t xml:space="preserve"> </w:t>
      </w:r>
      <w:r w:rsidR="00F810ED" w:rsidRPr="004D2665">
        <w:rPr>
          <w:lang w:val="es-ES"/>
        </w:rPr>
        <w:t>su</w:t>
      </w:r>
      <w:r w:rsidR="003404EF" w:rsidRPr="004D2665">
        <w:rPr>
          <w:lang w:val="es-ES"/>
        </w:rPr>
        <w:t>peditada</w:t>
      </w:r>
      <w:r w:rsidR="000E744C" w:rsidRPr="004D2665">
        <w:rPr>
          <w:lang w:val="es-ES"/>
        </w:rPr>
        <w:t>s</w:t>
      </w:r>
      <w:r w:rsidR="003404EF" w:rsidRPr="004D2665">
        <w:rPr>
          <w:lang w:val="es-ES"/>
        </w:rPr>
        <w:t xml:space="preserve"> al consentimiento del titular de los derechos y </w:t>
      </w:r>
      <w:r w:rsidR="001A713D" w:rsidRPr="004D2665">
        <w:rPr>
          <w:lang w:val="es-ES"/>
        </w:rPr>
        <w:t>al pago de una compensación estándar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B16E03" w:rsidP="00F810ED">
      <w:pPr>
        <w:rPr>
          <w:lang w:val="es-ES"/>
        </w:rPr>
      </w:pPr>
      <w:r w:rsidRPr="004D2665">
        <w:rPr>
          <w:lang w:val="es-ES"/>
        </w:rPr>
        <w:t>2.</w:t>
      </w:r>
      <w:r w:rsidRPr="004D2665">
        <w:rPr>
          <w:lang w:val="es-ES"/>
        </w:rPr>
        <w:tab/>
      </w:r>
      <w:r w:rsidR="00343A12" w:rsidRPr="004D2665">
        <w:rPr>
          <w:lang w:val="es-ES"/>
        </w:rPr>
        <w:t>Las entidades de gestión colectiva de los derechos de autor conocen bien la situación de larga data caracterizada por l</w:t>
      </w:r>
      <w:r w:rsidRPr="004D2665">
        <w:rPr>
          <w:lang w:val="es-ES"/>
        </w:rPr>
        <w:t>a</w:t>
      </w:r>
      <w:r w:rsidR="00F810ED" w:rsidRPr="004D2665">
        <w:rPr>
          <w:lang w:val="es-ES"/>
        </w:rPr>
        <w:t xml:space="preserve"> territoriali</w:t>
      </w:r>
      <w:r w:rsidRPr="004D2665">
        <w:rPr>
          <w:lang w:val="es-ES"/>
        </w:rPr>
        <w:t xml:space="preserve">dad de los derechos y las </w:t>
      </w:r>
      <w:r w:rsidR="00F810ED" w:rsidRPr="004D2665">
        <w:rPr>
          <w:lang w:val="es-ES"/>
        </w:rPr>
        <w:t>dif</w:t>
      </w:r>
      <w:r w:rsidRPr="004D2665">
        <w:rPr>
          <w:lang w:val="es-ES"/>
        </w:rPr>
        <w:t>icultades asociadas con las autorizaciones para el ejercicio de los derec</w:t>
      </w:r>
      <w:r w:rsidR="00343A12" w:rsidRPr="004D2665">
        <w:rPr>
          <w:lang w:val="es-ES"/>
        </w:rPr>
        <w:t>hos en diferentes territorios</w:t>
      </w:r>
      <w:r w:rsidR="005336EC" w:rsidRPr="004D2665">
        <w:rPr>
          <w:lang w:val="es-ES"/>
        </w:rPr>
        <w:t>.  E</w:t>
      </w:r>
      <w:r w:rsidR="000E744C" w:rsidRPr="004D2665">
        <w:rPr>
          <w:lang w:val="es-ES"/>
        </w:rPr>
        <w:t>s</w:t>
      </w:r>
      <w:r w:rsidR="005928CF" w:rsidRPr="004D2665">
        <w:rPr>
          <w:lang w:val="es-ES"/>
        </w:rPr>
        <w:t>as</w:t>
      </w:r>
      <w:r w:rsidR="009E0E50" w:rsidRPr="004D2665">
        <w:rPr>
          <w:lang w:val="es-ES"/>
        </w:rPr>
        <w:t xml:space="preserve"> </w:t>
      </w:r>
      <w:r w:rsidR="00343A12" w:rsidRPr="004D2665">
        <w:rPr>
          <w:lang w:val="es-ES"/>
        </w:rPr>
        <w:t xml:space="preserve">entidades </w:t>
      </w:r>
      <w:r w:rsidR="009E0E50" w:rsidRPr="004D2665">
        <w:rPr>
          <w:lang w:val="es-ES"/>
        </w:rPr>
        <w:t>h</w:t>
      </w:r>
      <w:r w:rsidR="007C1DF2" w:rsidRPr="004D2665">
        <w:rPr>
          <w:lang w:val="es-ES"/>
        </w:rPr>
        <w:t>an alcanzado</w:t>
      </w:r>
      <w:r w:rsidR="009E0E50" w:rsidRPr="004D2665">
        <w:rPr>
          <w:lang w:val="es-ES"/>
        </w:rPr>
        <w:t xml:space="preserve"> </w:t>
      </w:r>
      <w:r w:rsidR="00610741" w:rsidRPr="004D2665">
        <w:rPr>
          <w:lang w:val="es-ES"/>
        </w:rPr>
        <w:t>acuerdos de reciprocidad con entidades homólogas para facilitar la concesión de licencias de derecho de autor</w:t>
      </w:r>
      <w:r w:rsidR="00F810ED" w:rsidRPr="004D2665">
        <w:rPr>
          <w:lang w:val="es-ES"/>
        </w:rPr>
        <w:t xml:space="preserve">.  </w:t>
      </w:r>
      <w:r w:rsidR="00285091" w:rsidRPr="004D2665">
        <w:rPr>
          <w:lang w:val="es-ES"/>
        </w:rPr>
        <w:t xml:space="preserve">Todavía no existe un </w:t>
      </w:r>
      <w:r w:rsidR="0012374F" w:rsidRPr="004D2665">
        <w:rPr>
          <w:lang w:val="es-ES"/>
        </w:rPr>
        <w:t>marco general de concesión de licencias para las</w:t>
      </w:r>
      <w:r w:rsidR="00F810ED" w:rsidRPr="004D2665">
        <w:rPr>
          <w:lang w:val="es-ES"/>
        </w:rPr>
        <w:t xml:space="preserve"> </w:t>
      </w:r>
      <w:r w:rsidR="0012374F" w:rsidRPr="004D2665">
        <w:rPr>
          <w:lang w:val="es-ES"/>
        </w:rPr>
        <w:t xml:space="preserve">exposiciones internacionales y el alcance de las autorizaciones necesarias para las transmisiones </w:t>
      </w:r>
      <w:r w:rsidR="00F810ED" w:rsidRPr="004D2665">
        <w:rPr>
          <w:lang w:val="es-ES"/>
        </w:rPr>
        <w:t>digital</w:t>
      </w:r>
      <w:r w:rsidR="0012374F" w:rsidRPr="004D2665">
        <w:rPr>
          <w:lang w:val="es-ES"/>
        </w:rPr>
        <w:t>es</w:t>
      </w:r>
      <w:r w:rsidR="00F810ED" w:rsidRPr="004D2665">
        <w:rPr>
          <w:lang w:val="es-ES"/>
        </w:rPr>
        <w:t xml:space="preserve"> </w:t>
      </w:r>
      <w:r w:rsidR="0012374F" w:rsidRPr="004D2665">
        <w:rPr>
          <w:lang w:val="es-ES"/>
        </w:rPr>
        <w:t>no está demasiado claro</w:t>
      </w:r>
      <w:r w:rsidR="005336EC" w:rsidRPr="004D2665">
        <w:rPr>
          <w:lang w:val="es-ES"/>
        </w:rPr>
        <w:t>:  d</w:t>
      </w:r>
      <w:r w:rsidR="0012374F" w:rsidRPr="004D2665">
        <w:rPr>
          <w:lang w:val="es-ES"/>
        </w:rPr>
        <w:t>istinguir entre los actos de reproducción y de comunicación al público no resulta fácil</w:t>
      </w:r>
      <w:r w:rsidR="0029514B" w:rsidRPr="004D2665">
        <w:rPr>
          <w:lang w:val="es-ES"/>
        </w:rPr>
        <w:t xml:space="preserve">.  </w:t>
      </w:r>
      <w:r w:rsidR="0012374F" w:rsidRPr="004D2665">
        <w:rPr>
          <w:lang w:val="es-ES"/>
        </w:rPr>
        <w:t xml:space="preserve">Además, </w:t>
      </w:r>
      <w:r w:rsidR="000E744C" w:rsidRPr="004D2665">
        <w:rPr>
          <w:lang w:val="es-ES"/>
        </w:rPr>
        <w:t xml:space="preserve">el concepto de “comunicación al público/puesta a disposición”, </w:t>
      </w:r>
      <w:r w:rsidR="007C1DF2" w:rsidRPr="004D2665">
        <w:rPr>
          <w:lang w:val="es-ES"/>
        </w:rPr>
        <w:t xml:space="preserve">no </w:t>
      </w:r>
      <w:r w:rsidR="000E744C" w:rsidRPr="004D2665">
        <w:rPr>
          <w:lang w:val="es-ES"/>
        </w:rPr>
        <w:t>está definido expresamente en lo que atañe</w:t>
      </w:r>
      <w:r w:rsidR="007C1DF2" w:rsidRPr="004D2665">
        <w:rPr>
          <w:lang w:val="es-ES"/>
        </w:rPr>
        <w:t xml:space="preserve"> </w:t>
      </w:r>
      <w:r w:rsidR="000E744C" w:rsidRPr="004D2665">
        <w:rPr>
          <w:lang w:val="es-ES"/>
        </w:rPr>
        <w:t>a</w:t>
      </w:r>
      <w:r w:rsidR="007C1DF2" w:rsidRPr="004D2665">
        <w:rPr>
          <w:lang w:val="es-ES"/>
        </w:rPr>
        <w:t>l cont</w:t>
      </w:r>
      <w:r w:rsidR="000E744C" w:rsidRPr="004D2665">
        <w:rPr>
          <w:lang w:val="es-ES"/>
        </w:rPr>
        <w:t>enido, la localización o</w:t>
      </w:r>
      <w:r w:rsidR="007C1DF2" w:rsidRPr="004D2665">
        <w:rPr>
          <w:lang w:val="es-ES"/>
        </w:rPr>
        <w:t xml:space="preserve"> l</w:t>
      </w:r>
      <w:r w:rsidR="000E744C" w:rsidRPr="004D2665">
        <w:rPr>
          <w:lang w:val="es-ES"/>
        </w:rPr>
        <w:t>os</w:t>
      </w:r>
      <w:r w:rsidR="007C1DF2" w:rsidRPr="004D2665">
        <w:rPr>
          <w:lang w:val="es-ES"/>
        </w:rPr>
        <w:t xml:space="preserve"> efecto</w:t>
      </w:r>
      <w:r w:rsidR="000E744C" w:rsidRPr="004D2665">
        <w:rPr>
          <w:lang w:val="es-ES"/>
        </w:rPr>
        <w:t>s</w:t>
      </w:r>
      <w:r w:rsidR="00F810ED" w:rsidRPr="004D2665">
        <w:rPr>
          <w:lang w:val="es-ES"/>
        </w:rPr>
        <w:t xml:space="preserve">, </w:t>
      </w:r>
      <w:r w:rsidR="00AE02AF" w:rsidRPr="004D2665">
        <w:rPr>
          <w:lang w:val="es-ES"/>
        </w:rPr>
        <w:t xml:space="preserve">especialmente en </w:t>
      </w:r>
      <w:r w:rsidR="003A6FCA" w:rsidRPr="004D2665">
        <w:rPr>
          <w:lang w:val="es-ES"/>
        </w:rPr>
        <w:t>cuanto</w:t>
      </w:r>
      <w:r w:rsidR="00AE02AF" w:rsidRPr="004D2665">
        <w:rPr>
          <w:lang w:val="es-ES"/>
        </w:rPr>
        <w:t xml:space="preserve"> a los efectos </w:t>
      </w:r>
      <w:r w:rsidR="004A3C58" w:rsidRPr="004D2665">
        <w:rPr>
          <w:lang w:val="es-ES"/>
        </w:rPr>
        <w:t xml:space="preserve">indirectos </w:t>
      </w:r>
      <w:r w:rsidR="003A6FCA" w:rsidRPr="004D2665">
        <w:rPr>
          <w:lang w:val="es-ES"/>
        </w:rPr>
        <w:t xml:space="preserve">en relación con los </w:t>
      </w:r>
      <w:r w:rsidR="004A3C58" w:rsidRPr="004D2665">
        <w:rPr>
          <w:lang w:val="es-ES"/>
        </w:rPr>
        <w:t>servicios de búsqueda de imágenes que</w:t>
      </w:r>
      <w:r w:rsidR="003A6FCA" w:rsidRPr="004D2665">
        <w:rPr>
          <w:lang w:val="es-ES"/>
        </w:rPr>
        <w:t>, de algún modo,</w:t>
      </w:r>
      <w:r w:rsidR="004A3C58" w:rsidRPr="004D2665">
        <w:rPr>
          <w:lang w:val="es-ES"/>
        </w:rPr>
        <w:t xml:space="preserve"> funcionan como bancos de imágenes</w:t>
      </w:r>
      <w:r w:rsidR="003A6FCA" w:rsidRPr="004D2665">
        <w:rPr>
          <w:lang w:val="es-ES"/>
        </w:rPr>
        <w:t>,</w:t>
      </w:r>
      <w:r w:rsidR="004A3C58" w:rsidRPr="004D2665">
        <w:rPr>
          <w:lang w:val="es-ES"/>
        </w:rPr>
        <w:t xml:space="preserve"> y </w:t>
      </w:r>
      <w:r w:rsidR="00714FA3" w:rsidRPr="004D2665">
        <w:rPr>
          <w:lang w:val="es-ES"/>
        </w:rPr>
        <w:t>a</w:t>
      </w:r>
      <w:r w:rsidR="003A6FCA" w:rsidRPr="004D2665">
        <w:rPr>
          <w:lang w:val="es-ES"/>
        </w:rPr>
        <w:t xml:space="preserve"> las consecuencias </w:t>
      </w:r>
      <w:r w:rsidR="00427BFF" w:rsidRPr="004D2665">
        <w:rPr>
          <w:lang w:val="es-ES"/>
        </w:rPr>
        <w:t xml:space="preserve">de la creación de hiperenlaces </w:t>
      </w:r>
      <w:r w:rsidR="000E744C" w:rsidRPr="004D2665">
        <w:rPr>
          <w:lang w:val="es-ES"/>
        </w:rPr>
        <w:t>hacia</w:t>
      </w:r>
      <w:r w:rsidR="00F810ED" w:rsidRPr="004D2665">
        <w:rPr>
          <w:lang w:val="es-ES"/>
        </w:rPr>
        <w:t xml:space="preserve"> </w:t>
      </w:r>
      <w:r w:rsidR="00427BFF" w:rsidRPr="004D2665">
        <w:rPr>
          <w:lang w:val="es-ES"/>
        </w:rPr>
        <w:t>obras protegidas por derecho de autor</w:t>
      </w:r>
      <w:r w:rsidR="004F5C89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F810ED" w:rsidP="00F810ED">
      <w:pPr>
        <w:rPr>
          <w:lang w:val="es-ES"/>
        </w:rPr>
      </w:pPr>
      <w:r w:rsidRPr="004D2665">
        <w:rPr>
          <w:lang w:val="es-ES"/>
        </w:rPr>
        <w:t>3.</w:t>
      </w:r>
      <w:r w:rsidRPr="004D2665">
        <w:rPr>
          <w:lang w:val="es-ES"/>
        </w:rPr>
        <w:tab/>
      </w:r>
      <w:r w:rsidR="00FA270E" w:rsidRPr="004D2665">
        <w:rPr>
          <w:lang w:val="es-ES"/>
        </w:rPr>
        <w:t>Con frecuencia, la educació</w:t>
      </w:r>
      <w:r w:rsidR="007C1DF2" w:rsidRPr="004D2665">
        <w:rPr>
          <w:lang w:val="es-ES"/>
        </w:rPr>
        <w:t>n, la investigación y la realización de estudios</w:t>
      </w:r>
      <w:r w:rsidR="00FA270E" w:rsidRPr="004D2665">
        <w:rPr>
          <w:lang w:val="es-ES"/>
        </w:rPr>
        <w:t xml:space="preserve"> son actividades de colaboración y transfronterizas</w:t>
      </w:r>
      <w:r w:rsidRPr="004D2665">
        <w:rPr>
          <w:lang w:val="es-ES"/>
        </w:rPr>
        <w:t xml:space="preserve">.  </w:t>
      </w:r>
      <w:r w:rsidR="00FA270E" w:rsidRPr="004D2665">
        <w:rPr>
          <w:lang w:val="es-ES"/>
        </w:rPr>
        <w:t xml:space="preserve">Existen licencias </w:t>
      </w:r>
      <w:r w:rsidRPr="004D2665">
        <w:rPr>
          <w:i/>
          <w:lang w:val="es-ES"/>
        </w:rPr>
        <w:t>Creative Common</w:t>
      </w:r>
      <w:r w:rsidR="003A6FCA" w:rsidRPr="004D2665">
        <w:rPr>
          <w:i/>
          <w:lang w:val="es-ES"/>
        </w:rPr>
        <w:t>s</w:t>
      </w:r>
      <w:r w:rsidRPr="004D2665">
        <w:rPr>
          <w:lang w:val="es-ES"/>
        </w:rPr>
        <w:t xml:space="preserve"> </w:t>
      </w:r>
      <w:r w:rsidR="001659B0" w:rsidRPr="004D2665">
        <w:rPr>
          <w:lang w:val="es-ES"/>
        </w:rPr>
        <w:t xml:space="preserve">para estos fines que los museos pueden utilizar para </w:t>
      </w:r>
      <w:r w:rsidR="00667429" w:rsidRPr="004D2665">
        <w:rPr>
          <w:lang w:val="es-ES"/>
        </w:rPr>
        <w:t xml:space="preserve">difundir </w:t>
      </w:r>
      <w:r w:rsidR="003A6FCA" w:rsidRPr="004D2665">
        <w:rPr>
          <w:lang w:val="es-ES"/>
        </w:rPr>
        <w:t>la</w:t>
      </w:r>
      <w:r w:rsidR="00667429" w:rsidRPr="004D2665">
        <w:rPr>
          <w:lang w:val="es-ES"/>
        </w:rPr>
        <w:t>s obras protegidas por derecho de autor</w:t>
      </w:r>
      <w:r w:rsidRPr="004D2665">
        <w:rPr>
          <w:lang w:val="es-ES"/>
        </w:rPr>
        <w:t xml:space="preserve">.  </w:t>
      </w:r>
      <w:r w:rsidR="00667429" w:rsidRPr="004D2665">
        <w:rPr>
          <w:lang w:val="es-ES"/>
        </w:rPr>
        <w:t>Además, los museos deberían elaborar sus propias pol</w:t>
      </w:r>
      <w:r w:rsidR="00DB645F" w:rsidRPr="004D2665">
        <w:rPr>
          <w:lang w:val="es-ES"/>
        </w:rPr>
        <w:t>íticas</w:t>
      </w:r>
      <w:r w:rsidR="005A3288" w:rsidRPr="005A3288">
        <w:rPr>
          <w:lang w:val="es-ES"/>
        </w:rPr>
        <w:t>, por ejemplo</w:t>
      </w:r>
      <w:r w:rsidR="005A3288">
        <w:rPr>
          <w:lang w:val="es-ES"/>
        </w:rPr>
        <w:t>,</w:t>
      </w:r>
      <w:r w:rsidR="00DB645F" w:rsidRPr="004D2665">
        <w:rPr>
          <w:lang w:val="es-ES"/>
        </w:rPr>
        <w:t xml:space="preserve"> </w:t>
      </w:r>
      <w:r w:rsidR="00594A2E" w:rsidRPr="004D2665">
        <w:rPr>
          <w:lang w:val="es-ES"/>
        </w:rPr>
        <w:t>para determinar las condiciones de la comunicación de sus colecciones con fines de investigación y estudio conforme a su estrategia, al requisito de ausencia de fines de lucro y desarrollo de extracción de datos y análisis de textos</w:t>
      </w:r>
      <w:r w:rsidR="005336EC" w:rsidRPr="004D2665">
        <w:rPr>
          <w:lang w:val="es-ES"/>
        </w:rPr>
        <w:t>.  E</w:t>
      </w:r>
      <w:r w:rsidR="00CA009D" w:rsidRPr="004D2665">
        <w:rPr>
          <w:lang w:val="es-ES"/>
        </w:rPr>
        <w:t>l ICOM o un grupo de museo</w:t>
      </w:r>
      <w:r w:rsidR="00594A2E" w:rsidRPr="004D2665">
        <w:rPr>
          <w:lang w:val="es-ES"/>
        </w:rPr>
        <w:t>s deseosos de hacer frente a es</w:t>
      </w:r>
      <w:r w:rsidR="00CA009D" w:rsidRPr="004D2665">
        <w:rPr>
          <w:lang w:val="es-ES"/>
        </w:rPr>
        <w:t xml:space="preserve">e reto </w:t>
      </w:r>
      <w:r w:rsidR="007C1DF2" w:rsidRPr="004D2665">
        <w:rPr>
          <w:lang w:val="es-ES"/>
        </w:rPr>
        <w:t>pueden establecer</w:t>
      </w:r>
      <w:r w:rsidR="00CA009D" w:rsidRPr="004D2665">
        <w:rPr>
          <w:lang w:val="es-ES"/>
        </w:rPr>
        <w:t xml:space="preserve"> un conjunto mínimo de principios</w:t>
      </w:r>
      <w:r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F810ED" w:rsidP="00F810ED">
      <w:pPr>
        <w:rPr>
          <w:i/>
          <w:lang w:val="es-ES"/>
        </w:rPr>
      </w:pPr>
    </w:p>
    <w:p w:rsidR="00F810ED" w:rsidRPr="004D2665" w:rsidRDefault="00EB1C74" w:rsidP="00F810ED">
      <w:pPr>
        <w:rPr>
          <w:i/>
          <w:lang w:val="es-ES"/>
        </w:rPr>
      </w:pPr>
      <w:r w:rsidRPr="004D2665">
        <w:rPr>
          <w:i/>
          <w:lang w:val="es-ES"/>
        </w:rPr>
        <w:t>Recomendaciones</w:t>
      </w:r>
      <w:r w:rsidR="00F810ED" w:rsidRPr="004D2665">
        <w:rPr>
          <w:i/>
          <w:lang w:val="es-ES"/>
        </w:rPr>
        <w:t xml:space="preserve"> </w:t>
      </w:r>
      <w:r w:rsidR="003A6FCA" w:rsidRPr="004D2665">
        <w:rPr>
          <w:i/>
          <w:lang w:val="es-ES"/>
        </w:rPr>
        <w:t>a los museos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CA009D" w:rsidP="00F810ED">
      <w:pPr>
        <w:rPr>
          <w:lang w:val="es-ES"/>
        </w:rPr>
      </w:pPr>
      <w:r w:rsidRPr="004D2665">
        <w:rPr>
          <w:lang w:val="es-ES"/>
        </w:rPr>
        <w:t xml:space="preserve">Los museos y los titulares de derechos deberían colaborar a fin de garantizar que obtienen una contrapartida justa </w:t>
      </w:r>
      <w:r w:rsidR="00D024AF" w:rsidRPr="004D2665">
        <w:rPr>
          <w:lang w:val="es-ES"/>
        </w:rPr>
        <w:t>por la explotación de obras de arte por tercero</w:t>
      </w:r>
      <w:r w:rsidR="007C1DF2" w:rsidRPr="004D2665">
        <w:rPr>
          <w:lang w:val="es-ES"/>
        </w:rPr>
        <w:t>s</w:t>
      </w:r>
      <w:r w:rsidR="00F810ED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F810ED" w:rsidRPr="004D2665" w:rsidRDefault="00DD04D8" w:rsidP="00F810ED">
      <w:pPr>
        <w:rPr>
          <w:lang w:val="es-ES"/>
        </w:rPr>
      </w:pPr>
      <w:r w:rsidRPr="004D2665">
        <w:rPr>
          <w:lang w:val="es-ES"/>
        </w:rPr>
        <w:t>Los museos también deberían negociar con las diversas partes interesadas y especialmente con personas del ámbito académico</w:t>
      </w:r>
      <w:r w:rsidR="00F810ED" w:rsidRPr="004D2665">
        <w:rPr>
          <w:lang w:val="es-ES"/>
        </w:rPr>
        <w:t>, artist</w:t>
      </w:r>
      <w:r w:rsidRPr="004D2665">
        <w:rPr>
          <w:lang w:val="es-ES"/>
        </w:rPr>
        <w:t>as y</w:t>
      </w:r>
      <w:r w:rsidR="0044708C" w:rsidRPr="004D2665">
        <w:rPr>
          <w:lang w:val="es-ES"/>
        </w:rPr>
        <w:t xml:space="preserve"> organizaciones de gestión colectiva a fin de actualizar licencias y tarifas</w:t>
      </w:r>
      <w:r w:rsidR="00F810ED" w:rsidRPr="004D2665">
        <w:rPr>
          <w:lang w:val="es-ES"/>
        </w:rPr>
        <w:t xml:space="preserve">, </w:t>
      </w:r>
      <w:r w:rsidR="0044708C" w:rsidRPr="004D2665">
        <w:rPr>
          <w:lang w:val="es-ES"/>
        </w:rPr>
        <w:t>facilitar la consecución de permisos y anticipar nuevos usos que pued</w:t>
      </w:r>
      <w:r w:rsidR="00D024AF" w:rsidRPr="004D2665">
        <w:rPr>
          <w:lang w:val="es-ES"/>
        </w:rPr>
        <w:t>a</w:t>
      </w:r>
      <w:r w:rsidR="0044708C" w:rsidRPr="004D2665">
        <w:rPr>
          <w:lang w:val="es-ES"/>
        </w:rPr>
        <w:t>n requerir autorización</w:t>
      </w:r>
      <w:r w:rsidR="00F810ED" w:rsidRPr="004D2665">
        <w:rPr>
          <w:lang w:val="es-ES"/>
        </w:rPr>
        <w:t xml:space="preserve">.  </w:t>
      </w:r>
      <w:r w:rsidR="0044708C" w:rsidRPr="004D2665">
        <w:rPr>
          <w:lang w:val="es-ES"/>
        </w:rPr>
        <w:t xml:space="preserve">La acción conjunta de los museos mejorará </w:t>
      </w:r>
      <w:r w:rsidR="006F16F6" w:rsidRPr="004D2665">
        <w:rPr>
          <w:lang w:val="es-ES"/>
        </w:rPr>
        <w:t xml:space="preserve">su posición negociadora y ayudará a </w:t>
      </w:r>
      <w:r w:rsidR="00FB7177" w:rsidRPr="004D2665">
        <w:rPr>
          <w:lang w:val="es-ES"/>
        </w:rPr>
        <w:t xml:space="preserve">elaborar un plan para colmar las lagunas en los casos en que </w:t>
      </w:r>
      <w:r w:rsidR="001F429B" w:rsidRPr="004D2665">
        <w:rPr>
          <w:lang w:val="es-ES"/>
        </w:rPr>
        <w:t xml:space="preserve">los legisladores </w:t>
      </w:r>
      <w:r w:rsidR="0049501C" w:rsidRPr="004D2665">
        <w:rPr>
          <w:lang w:val="es-ES"/>
        </w:rPr>
        <w:t xml:space="preserve">quizá </w:t>
      </w:r>
      <w:r w:rsidR="001F429B" w:rsidRPr="004D2665">
        <w:rPr>
          <w:lang w:val="es-ES"/>
        </w:rPr>
        <w:t>no hayan establecido normas aplicables</w:t>
      </w:r>
      <w:r w:rsidR="00FB7177" w:rsidRPr="004D2665">
        <w:rPr>
          <w:lang w:val="es-ES"/>
        </w:rPr>
        <w:t>,</w:t>
      </w:r>
      <w:r w:rsidR="001F429B" w:rsidRPr="004D2665">
        <w:rPr>
          <w:lang w:val="es-ES"/>
        </w:rPr>
        <w:t xml:space="preserve"> </w:t>
      </w:r>
      <w:r w:rsidR="00DB5364" w:rsidRPr="004D2665">
        <w:rPr>
          <w:lang w:val="es-ES"/>
        </w:rPr>
        <w:t xml:space="preserve">ni </w:t>
      </w:r>
      <w:r w:rsidR="00FB7177" w:rsidRPr="004D2665">
        <w:rPr>
          <w:lang w:val="es-ES"/>
        </w:rPr>
        <w:t xml:space="preserve">siquiera imaginado </w:t>
      </w:r>
      <w:r w:rsidR="00DB5364" w:rsidRPr="004D2665">
        <w:rPr>
          <w:lang w:val="es-ES"/>
        </w:rPr>
        <w:t>lo que hay en juego</w:t>
      </w:r>
      <w:r w:rsidR="005336EC" w:rsidRPr="004D2665">
        <w:rPr>
          <w:lang w:val="es-ES"/>
        </w:rPr>
        <w:t>.  L</w:t>
      </w:r>
      <w:r w:rsidR="00DB5364" w:rsidRPr="004D2665">
        <w:rPr>
          <w:lang w:val="es-ES"/>
        </w:rPr>
        <w:t xml:space="preserve">as declaraciones de la comunidad de museos sobre las </w:t>
      </w:r>
      <w:r w:rsidR="00FB7177" w:rsidRPr="004D2665">
        <w:rPr>
          <w:lang w:val="es-ES"/>
        </w:rPr>
        <w:t>fotos</w:t>
      </w:r>
      <w:r w:rsidR="00DB5364" w:rsidRPr="004D2665">
        <w:rPr>
          <w:lang w:val="es-ES"/>
        </w:rPr>
        <w:t xml:space="preserve"> </w:t>
      </w:r>
      <w:r w:rsidR="007A435E" w:rsidRPr="004D2665">
        <w:rPr>
          <w:lang w:val="es-ES"/>
        </w:rPr>
        <w:t xml:space="preserve">en miniatura </w:t>
      </w:r>
      <w:r w:rsidR="00DB5364" w:rsidRPr="004D2665">
        <w:rPr>
          <w:lang w:val="es-ES"/>
        </w:rPr>
        <w:t xml:space="preserve">podrían </w:t>
      </w:r>
      <w:r w:rsidR="00FB7177" w:rsidRPr="004D2665">
        <w:rPr>
          <w:lang w:val="es-ES"/>
        </w:rPr>
        <w:t>servir de</w:t>
      </w:r>
      <w:r w:rsidR="00DB5364" w:rsidRPr="004D2665">
        <w:rPr>
          <w:lang w:val="es-ES"/>
        </w:rPr>
        <w:t xml:space="preserve"> orientación</w:t>
      </w:r>
      <w:r w:rsidR="00FB7177" w:rsidRPr="004D2665">
        <w:rPr>
          <w:lang w:val="es-ES"/>
        </w:rPr>
        <w:t>;</w:t>
      </w:r>
      <w:r w:rsidR="00F810ED" w:rsidRPr="004D2665">
        <w:rPr>
          <w:lang w:val="es-ES"/>
        </w:rPr>
        <w:t xml:space="preserve"> </w:t>
      </w:r>
      <w:r w:rsidR="00FB7177" w:rsidRPr="004D2665">
        <w:rPr>
          <w:lang w:val="es-ES"/>
        </w:rPr>
        <w:t xml:space="preserve"> </w:t>
      </w:r>
      <w:r w:rsidR="00DB5364" w:rsidRPr="004D2665">
        <w:rPr>
          <w:lang w:val="es-ES"/>
        </w:rPr>
        <w:t>se necesitará</w:t>
      </w:r>
      <w:r w:rsidR="00031B76" w:rsidRPr="004D2665">
        <w:rPr>
          <w:lang w:val="es-ES"/>
        </w:rPr>
        <w:t>n</w:t>
      </w:r>
      <w:r w:rsidR="00DB5364" w:rsidRPr="004D2665">
        <w:rPr>
          <w:lang w:val="es-ES"/>
        </w:rPr>
        <w:t xml:space="preserve"> más </w:t>
      </w:r>
      <w:r w:rsidR="00031B76" w:rsidRPr="004D2665">
        <w:rPr>
          <w:lang w:val="es-ES"/>
        </w:rPr>
        <w:t xml:space="preserve">directrices en relación </w:t>
      </w:r>
      <w:r w:rsidR="00DB5364" w:rsidRPr="004D2665">
        <w:rPr>
          <w:lang w:val="es-ES"/>
        </w:rPr>
        <w:t xml:space="preserve">con las humanidades </w:t>
      </w:r>
      <w:r w:rsidR="00F810ED" w:rsidRPr="004D2665">
        <w:rPr>
          <w:lang w:val="es-ES"/>
        </w:rPr>
        <w:t>digital</w:t>
      </w:r>
      <w:r w:rsidR="00DB5364" w:rsidRPr="004D2665">
        <w:rPr>
          <w:lang w:val="es-ES"/>
        </w:rPr>
        <w:t>es y la impresió</w:t>
      </w:r>
      <w:r w:rsidR="005336EC" w:rsidRPr="004D2665">
        <w:rPr>
          <w:lang w:val="es-ES"/>
        </w:rPr>
        <w:t>n</w:t>
      </w:r>
      <w:r w:rsidR="007A435E" w:rsidRPr="004D2665">
        <w:rPr>
          <w:lang w:val="es-ES"/>
        </w:rPr>
        <w:t xml:space="preserve"> en</w:t>
      </w:r>
      <w:r w:rsidR="005336EC" w:rsidRPr="004D2665">
        <w:rPr>
          <w:lang w:val="es-ES"/>
        </w:rPr>
        <w:t> 3</w:t>
      </w:r>
      <w:r w:rsidR="00F810ED" w:rsidRPr="004D2665">
        <w:rPr>
          <w:lang w:val="es-ES"/>
        </w:rPr>
        <w:t>D as</w:t>
      </w:r>
      <w:r w:rsidR="00E8132F" w:rsidRPr="004D2665">
        <w:rPr>
          <w:lang w:val="es-ES"/>
        </w:rPr>
        <w:t xml:space="preserve">í como con </w:t>
      </w:r>
      <w:r w:rsidR="00031B76" w:rsidRPr="004D2665">
        <w:rPr>
          <w:lang w:val="es-ES"/>
        </w:rPr>
        <w:t xml:space="preserve">la </w:t>
      </w:r>
      <w:r w:rsidR="00E8132F" w:rsidRPr="004D2665">
        <w:rPr>
          <w:lang w:val="es-ES"/>
        </w:rPr>
        <w:t>financiación colectiva (</w:t>
      </w:r>
      <w:r w:rsidR="00F810ED" w:rsidRPr="004D2665">
        <w:rPr>
          <w:i/>
          <w:lang w:val="es-ES"/>
        </w:rPr>
        <w:t>crowdfunding</w:t>
      </w:r>
      <w:r w:rsidR="00E8132F" w:rsidRPr="004D2665">
        <w:rPr>
          <w:lang w:val="es-ES"/>
        </w:rPr>
        <w:t>)</w:t>
      </w:r>
      <w:r w:rsidR="00F810ED" w:rsidRPr="004D2665">
        <w:rPr>
          <w:lang w:val="es-ES"/>
        </w:rPr>
        <w:t>.</w:t>
      </w:r>
    </w:p>
    <w:p w:rsidR="00F810ED" w:rsidRPr="004D2665" w:rsidRDefault="00F810ED" w:rsidP="00F810ED">
      <w:pPr>
        <w:rPr>
          <w:lang w:val="es-ES"/>
        </w:rPr>
      </w:pPr>
    </w:p>
    <w:p w:rsidR="004F5C89" w:rsidRPr="004D2665" w:rsidRDefault="00FB7177" w:rsidP="00F810ED">
      <w:pPr>
        <w:rPr>
          <w:lang w:val="es-ES"/>
        </w:rPr>
      </w:pPr>
      <w:r w:rsidRPr="004D2665">
        <w:rPr>
          <w:lang w:val="es-ES"/>
        </w:rPr>
        <w:t xml:space="preserve">La </w:t>
      </w:r>
      <w:r w:rsidR="00E8132F" w:rsidRPr="004D2665">
        <w:rPr>
          <w:lang w:val="es-ES"/>
        </w:rPr>
        <w:t xml:space="preserve">cooperación entre museos </w:t>
      </w:r>
      <w:r w:rsidRPr="004D2665">
        <w:rPr>
          <w:lang w:val="es-ES"/>
        </w:rPr>
        <w:t xml:space="preserve">debería alentarse </w:t>
      </w:r>
      <w:r w:rsidR="00E8132F" w:rsidRPr="004D2665">
        <w:rPr>
          <w:lang w:val="es-ES"/>
        </w:rPr>
        <w:t xml:space="preserve">y los que tengan más experiencia podrían </w:t>
      </w:r>
      <w:r w:rsidR="00F810ED" w:rsidRPr="004D2665">
        <w:rPr>
          <w:lang w:val="es-ES"/>
        </w:rPr>
        <w:t>pro</w:t>
      </w:r>
      <w:r w:rsidR="00E8132F" w:rsidRPr="004D2665">
        <w:rPr>
          <w:lang w:val="es-ES"/>
        </w:rPr>
        <w:t xml:space="preserve">porcionar orientaciones útiles a los </w:t>
      </w:r>
      <w:r w:rsidR="00031B76" w:rsidRPr="004D2665">
        <w:rPr>
          <w:lang w:val="es-ES"/>
        </w:rPr>
        <w:t>demás</w:t>
      </w:r>
      <w:r w:rsidRPr="004D2665">
        <w:rPr>
          <w:lang w:val="es-ES"/>
        </w:rPr>
        <w:t>,</w:t>
      </w:r>
      <w:r w:rsidR="00031B76" w:rsidRPr="004D2665">
        <w:rPr>
          <w:lang w:val="es-ES"/>
        </w:rPr>
        <w:t xml:space="preserve"> bajo la égida de</w:t>
      </w:r>
      <w:r w:rsidRPr="004D2665">
        <w:rPr>
          <w:lang w:val="es-ES"/>
        </w:rPr>
        <w:t>l</w:t>
      </w:r>
      <w:r w:rsidR="00031B76" w:rsidRPr="004D2665">
        <w:rPr>
          <w:lang w:val="es-ES"/>
        </w:rPr>
        <w:t xml:space="preserve"> ICOM y</w:t>
      </w:r>
      <w:r w:rsidR="00E8132F" w:rsidRPr="004D2665">
        <w:rPr>
          <w:lang w:val="es-ES"/>
        </w:rPr>
        <w:t xml:space="preserve"> </w:t>
      </w:r>
      <w:r w:rsidRPr="004D2665">
        <w:rPr>
          <w:lang w:val="es-ES"/>
        </w:rPr>
        <w:t>estableciendo alianzas para la ejecución de proyectos</w:t>
      </w:r>
      <w:r w:rsidR="004F5C89" w:rsidRPr="004D2665">
        <w:rPr>
          <w:lang w:val="es-ES"/>
        </w:rPr>
        <w:t>.</w:t>
      </w:r>
    </w:p>
    <w:p w:rsidR="002F4A2B" w:rsidRPr="004D2665" w:rsidRDefault="002F4A2B" w:rsidP="00F810ED">
      <w:pPr>
        <w:rPr>
          <w:lang w:val="es-ES"/>
        </w:rPr>
      </w:pPr>
    </w:p>
    <w:p w:rsidR="005336EC" w:rsidRPr="004D2665" w:rsidRDefault="005336EC" w:rsidP="00F810ED">
      <w:pPr>
        <w:rPr>
          <w:lang w:val="es-ES"/>
        </w:rPr>
      </w:pPr>
    </w:p>
    <w:p w:rsidR="002F4A2B" w:rsidRPr="00D250EA" w:rsidRDefault="002F4A2B" w:rsidP="002F4A2B">
      <w:pPr>
        <w:ind w:left="6480"/>
        <w:rPr>
          <w:lang w:val="es-ES"/>
        </w:rPr>
      </w:pPr>
      <w:r w:rsidRPr="004D2665">
        <w:rPr>
          <w:lang w:val="es-ES"/>
        </w:rPr>
        <w:t>[</w:t>
      </w:r>
      <w:r w:rsidR="00EB1C74" w:rsidRPr="004D2665">
        <w:rPr>
          <w:lang w:val="es-ES"/>
        </w:rPr>
        <w:t xml:space="preserve">Fin del </w:t>
      </w:r>
      <w:r w:rsidRPr="004D2665">
        <w:rPr>
          <w:lang w:val="es-ES"/>
        </w:rPr>
        <w:t>document</w:t>
      </w:r>
      <w:r w:rsidR="00EB1C74" w:rsidRPr="004D2665">
        <w:rPr>
          <w:lang w:val="es-ES"/>
        </w:rPr>
        <w:t>o</w:t>
      </w:r>
      <w:r w:rsidRPr="004D2665">
        <w:rPr>
          <w:lang w:val="es-ES"/>
        </w:rPr>
        <w:t>]</w:t>
      </w:r>
    </w:p>
    <w:sectPr w:rsidR="002F4A2B" w:rsidRPr="00D250EA" w:rsidSect="00804DB7">
      <w:headerReference w:type="defaul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AF" w:rsidRDefault="00D409AF" w:rsidP="00F810ED">
      <w:r>
        <w:separator/>
      </w:r>
    </w:p>
  </w:endnote>
  <w:endnote w:type="continuationSeparator" w:id="0">
    <w:p w:rsidR="00D409AF" w:rsidRDefault="00D409AF" w:rsidP="00F8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AF" w:rsidRDefault="00D409AF" w:rsidP="00F810ED">
      <w:r>
        <w:separator/>
      </w:r>
    </w:p>
  </w:footnote>
  <w:footnote w:type="continuationSeparator" w:id="0">
    <w:p w:rsidR="00D409AF" w:rsidRDefault="00D409AF" w:rsidP="00F810ED">
      <w:r>
        <w:continuationSeparator/>
      </w:r>
    </w:p>
  </w:footnote>
  <w:footnote w:id="1">
    <w:p w:rsidR="004D2665" w:rsidRPr="003A3012" w:rsidRDefault="004D2665" w:rsidP="00D250EA">
      <w:pPr>
        <w:pStyle w:val="FootnoteText"/>
        <w:tabs>
          <w:tab w:val="left" w:pos="567"/>
        </w:tabs>
        <w:rPr>
          <w:lang w:val="es-ES"/>
        </w:rPr>
      </w:pPr>
      <w:r>
        <w:rPr>
          <w:rStyle w:val="FootnoteReference"/>
        </w:rPr>
        <w:footnoteRef/>
      </w:r>
      <w:r w:rsidRPr="003A3012">
        <w:rPr>
          <w:lang w:val="es-ES"/>
        </w:rPr>
        <w:t xml:space="preserve"> </w:t>
      </w:r>
      <w:r w:rsidRPr="003A3012">
        <w:rPr>
          <w:lang w:val="es-ES"/>
        </w:rPr>
        <w:tab/>
        <w:t>E</w:t>
      </w:r>
      <w:r>
        <w:rPr>
          <w:lang w:val="es-ES"/>
        </w:rPr>
        <w:t>studio sobre las limitaciones y excepciones al derecho de autor en beneficio de bibliotecas y archivos</w:t>
      </w:r>
      <w:r w:rsidRPr="00096CBC">
        <w:rPr>
          <w:lang w:val="es-ES"/>
        </w:rPr>
        <w:t xml:space="preserve">, </w:t>
      </w:r>
      <w:r w:rsidRPr="00096CBC">
        <w:rPr>
          <w:iCs/>
          <w:lang w:val="es-ES"/>
        </w:rPr>
        <w:t xml:space="preserve">preparado por Kenneth Crews, </w:t>
      </w:r>
      <w:r w:rsidRPr="00A22C46">
        <w:rPr>
          <w:iCs/>
          <w:lang w:val="es-ES"/>
        </w:rPr>
        <w:t>Doctor en Derecho y Biblioteconomía y Abogado</w:t>
      </w:r>
      <w:r w:rsidRPr="00096CBC">
        <w:rPr>
          <w:iCs/>
          <w:lang w:val="es-ES"/>
        </w:rPr>
        <w:t>,</w:t>
      </w:r>
      <w:r w:rsidRPr="00096CBC">
        <w:rPr>
          <w:lang w:val="es-ES"/>
        </w:rPr>
        <w:t xml:space="preserve"> SCCR/29/3,</w:t>
      </w:r>
      <w:r>
        <w:rPr>
          <w:lang w:val="es-ES"/>
        </w:rPr>
        <w:t xml:space="preserve"> 5 de noviembre de </w:t>
      </w:r>
      <w:r w:rsidRPr="00096CBC">
        <w:rPr>
          <w:lang w:val="es-ES"/>
        </w:rPr>
        <w:t xml:space="preserve">2014; </w:t>
      </w:r>
      <w:r>
        <w:rPr>
          <w:lang w:val="es-ES"/>
        </w:rPr>
        <w:t xml:space="preserve"> </w:t>
      </w:r>
      <w:r w:rsidRPr="00096CBC">
        <w:rPr>
          <w:lang w:val="es-ES"/>
        </w:rPr>
        <w:t xml:space="preserve">Estudio sobre las limitaciones y excepciones al derecho de autor en beneficio de bibliotecas y archivos </w:t>
      </w:r>
      <w:r>
        <w:rPr>
          <w:lang w:val="es-ES"/>
        </w:rPr>
        <w:t>preparado por</w:t>
      </w:r>
      <w:r w:rsidRPr="00096CBC">
        <w:rPr>
          <w:lang w:val="es-ES"/>
        </w:rPr>
        <w:t xml:space="preserve"> Kenneth Crews, Director, Oficina Asesora de Derecho de Autor, Universidad de Columbia</w:t>
      </w:r>
      <w:r>
        <w:rPr>
          <w:lang w:val="es-ES"/>
        </w:rPr>
        <w:t>,</w:t>
      </w:r>
      <w:r w:rsidRPr="00096CBC">
        <w:rPr>
          <w:lang w:val="es-ES"/>
        </w:rPr>
        <w:t xml:space="preserve"> SCCR/17/2, </w:t>
      </w:r>
      <w:r>
        <w:rPr>
          <w:lang w:val="es-ES"/>
        </w:rPr>
        <w:t>26 de agosto de 2008.</w:t>
      </w:r>
    </w:p>
  </w:footnote>
  <w:footnote w:id="2">
    <w:p w:rsidR="004D2665" w:rsidRPr="00D57DEC" w:rsidRDefault="004D2665" w:rsidP="00D250EA">
      <w:pPr>
        <w:pStyle w:val="FootnoteText"/>
        <w:tabs>
          <w:tab w:val="left" w:pos="567"/>
        </w:tabs>
        <w:rPr>
          <w:lang w:val="es-ES"/>
        </w:rPr>
      </w:pPr>
      <w:r>
        <w:rPr>
          <w:rStyle w:val="FootnoteReference"/>
        </w:rPr>
        <w:footnoteRef/>
      </w:r>
      <w:r w:rsidRPr="00D57DEC">
        <w:rPr>
          <w:lang w:val="es-ES"/>
        </w:rPr>
        <w:t xml:space="preserve"> </w:t>
      </w:r>
      <w:r w:rsidRPr="00D57DEC">
        <w:rPr>
          <w:lang w:val="es-ES"/>
        </w:rPr>
        <w:tab/>
        <w:t>Merecen especial reconocimiento Emilie Kannekens y Svetlana Iakovleva</w:t>
      </w:r>
      <w:r w:rsidRPr="000A4E6A">
        <w:rPr>
          <w:lang w:val="es-ES"/>
        </w:rPr>
        <w:t>, estudiantes de maestría en investigación en el Instituto de Derecho de la Información de la Universidad de</w:t>
      </w:r>
      <w:r>
        <w:rPr>
          <w:lang w:val="es-ES"/>
        </w:rPr>
        <w:t xml:space="preserve"> Á</w:t>
      </w:r>
      <w:r w:rsidRPr="00D57DEC">
        <w:rPr>
          <w:lang w:val="es-ES"/>
        </w:rPr>
        <w:t xml:space="preserve">msterdam, </w:t>
      </w:r>
      <w:r>
        <w:rPr>
          <w:lang w:val="es-ES"/>
        </w:rPr>
        <w:t xml:space="preserve">por su ayuda en la compilación de la información que figura en los cuadros del Apéndice </w:t>
      </w:r>
      <w:r w:rsidRPr="00D57DEC">
        <w:rPr>
          <w:lang w:val="es-ES"/>
        </w:rPr>
        <w:t>II.</w:t>
      </w:r>
    </w:p>
  </w:footnote>
  <w:footnote w:id="3">
    <w:p w:rsidR="00F810ED" w:rsidRPr="005D393B" w:rsidRDefault="00F810ED" w:rsidP="00F810ED">
      <w:pPr>
        <w:pStyle w:val="FootnoteText"/>
        <w:rPr>
          <w:lang w:val="es-ES"/>
        </w:rPr>
      </w:pPr>
      <w:r w:rsidRPr="00B55E68">
        <w:rPr>
          <w:rStyle w:val="FootnoteReference"/>
        </w:rPr>
        <w:footnoteRef/>
      </w:r>
      <w:r w:rsidRPr="001128CF">
        <w:rPr>
          <w:lang w:val="es-ES"/>
        </w:rPr>
        <w:t xml:space="preserve"> </w:t>
      </w:r>
      <w:r w:rsidRPr="001128CF">
        <w:rPr>
          <w:lang w:val="es-ES"/>
        </w:rPr>
        <w:tab/>
      </w:r>
      <w:r w:rsidR="00A22C46">
        <w:rPr>
          <w:lang w:val="es-ES"/>
        </w:rPr>
        <w:t xml:space="preserve">El </w:t>
      </w:r>
      <w:r w:rsidRPr="001128CF">
        <w:rPr>
          <w:lang w:val="es-ES"/>
        </w:rPr>
        <w:t xml:space="preserve">ICOM </w:t>
      </w:r>
      <w:r w:rsidR="00473834">
        <w:rPr>
          <w:lang w:val="es-ES"/>
        </w:rPr>
        <w:t>e</w:t>
      </w:r>
      <w:r w:rsidR="001128CF" w:rsidRPr="001128CF">
        <w:rPr>
          <w:lang w:val="es-ES"/>
        </w:rPr>
        <w:t xml:space="preserve">s una organización internacional que representa a más de </w:t>
      </w:r>
      <w:r w:rsidRPr="001128CF">
        <w:rPr>
          <w:lang w:val="es-ES"/>
        </w:rPr>
        <w:t>20</w:t>
      </w:r>
      <w:r w:rsidR="001128CF" w:rsidRPr="001128CF">
        <w:rPr>
          <w:lang w:val="es-ES"/>
        </w:rPr>
        <w:t xml:space="preserve">.000 museos y </w:t>
      </w:r>
      <w:r w:rsidR="00473834">
        <w:rPr>
          <w:lang w:val="es-ES"/>
        </w:rPr>
        <w:t>alrededor de</w:t>
      </w:r>
      <w:r w:rsidR="005336EC">
        <w:rPr>
          <w:lang w:val="es-ES"/>
        </w:rPr>
        <w:t> </w:t>
      </w:r>
      <w:r w:rsidRPr="001128CF">
        <w:rPr>
          <w:lang w:val="es-ES"/>
        </w:rPr>
        <w:t>32</w:t>
      </w:r>
      <w:r w:rsidR="00473834">
        <w:rPr>
          <w:lang w:val="es-ES"/>
        </w:rPr>
        <w:t>.</w:t>
      </w:r>
      <w:r w:rsidRPr="001128CF">
        <w:rPr>
          <w:lang w:val="es-ES"/>
        </w:rPr>
        <w:t>000</w:t>
      </w:r>
      <w:r w:rsidR="005D393B">
        <w:rPr>
          <w:lang w:val="es-ES"/>
        </w:rPr>
        <w:t xml:space="preserve"> </w:t>
      </w:r>
      <w:r w:rsidR="00A22C46">
        <w:rPr>
          <w:lang w:val="es-ES"/>
        </w:rPr>
        <w:t>profesionales</w:t>
      </w:r>
      <w:r w:rsidR="00B82F80">
        <w:rPr>
          <w:lang w:val="es-ES"/>
        </w:rPr>
        <w:t xml:space="preserve"> de </w:t>
      </w:r>
      <w:r w:rsidR="005D393B">
        <w:rPr>
          <w:lang w:val="es-ES"/>
        </w:rPr>
        <w:t>muse</w:t>
      </w:r>
      <w:r w:rsidR="00B82F80">
        <w:rPr>
          <w:lang w:val="es-ES"/>
        </w:rPr>
        <w:t>os</w:t>
      </w:r>
      <w:r w:rsidRPr="001128CF">
        <w:rPr>
          <w:lang w:val="es-ES"/>
        </w:rPr>
        <w:t xml:space="preserve">.  </w:t>
      </w:r>
      <w:r w:rsidR="00A22C46">
        <w:rPr>
          <w:lang w:val="es-ES"/>
        </w:rPr>
        <w:t>Fue creado</w:t>
      </w:r>
      <w:r w:rsidR="005D393B" w:rsidRPr="005D393B">
        <w:rPr>
          <w:lang w:val="es-ES"/>
        </w:rPr>
        <w:t xml:space="preserve"> en </w:t>
      </w:r>
      <w:r w:rsidRPr="005D393B">
        <w:rPr>
          <w:lang w:val="es-ES"/>
        </w:rPr>
        <w:t xml:space="preserve">1946 </w:t>
      </w:r>
      <w:r w:rsidR="005D393B">
        <w:rPr>
          <w:lang w:val="es-ES"/>
        </w:rPr>
        <w:t>como iniciativa de la UNESCO</w:t>
      </w:r>
      <w:r w:rsidRPr="005D393B">
        <w:rPr>
          <w:lang w:val="es-ES"/>
        </w:rPr>
        <w:t xml:space="preserve"> </w:t>
      </w:r>
      <w:r w:rsidR="00B82F80">
        <w:rPr>
          <w:lang w:val="es-ES"/>
        </w:rPr>
        <w:t xml:space="preserve">para reemplazar a la antigua </w:t>
      </w:r>
      <w:r w:rsidRPr="00674115">
        <w:rPr>
          <w:i/>
          <w:lang w:val="es-ES"/>
        </w:rPr>
        <w:t>Office International des Musées</w:t>
      </w:r>
      <w:r w:rsidRPr="005D393B">
        <w:rPr>
          <w:lang w:val="es-ES"/>
        </w:rPr>
        <w:t xml:space="preserve"> establ</w:t>
      </w:r>
      <w:r w:rsidR="00B82F80">
        <w:rPr>
          <w:lang w:val="es-ES"/>
        </w:rPr>
        <w:t xml:space="preserve">ecida en 1926 por la </w:t>
      </w:r>
      <w:r w:rsidRPr="005D393B">
        <w:rPr>
          <w:lang w:val="es-ES"/>
        </w:rPr>
        <w:t>SDN (Soci</w:t>
      </w:r>
      <w:r w:rsidR="00B82F80">
        <w:rPr>
          <w:lang w:val="es-ES"/>
        </w:rPr>
        <w:t>edad de Naciones</w:t>
      </w:r>
      <w:r w:rsidR="00702DF3">
        <w:rPr>
          <w:lang w:val="es-ES"/>
        </w:rPr>
        <w:t>).</w:t>
      </w:r>
    </w:p>
  </w:footnote>
  <w:footnote w:id="4">
    <w:p w:rsidR="004D2665" w:rsidRPr="00B82F80" w:rsidRDefault="004D2665" w:rsidP="00F810E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82F80">
        <w:rPr>
          <w:lang w:val="es-ES"/>
        </w:rPr>
        <w:t xml:space="preserve"> </w:t>
      </w:r>
      <w:r w:rsidRPr="00B82F80">
        <w:rPr>
          <w:lang w:val="es-ES"/>
        </w:rPr>
        <w:tab/>
        <w:t xml:space="preserve">También merecen especial reconocimiento Charlotte Poivre y Anne-Laure Duthoit, </w:t>
      </w:r>
      <w:r>
        <w:rPr>
          <w:lang w:val="es-ES"/>
        </w:rPr>
        <w:t>estudiantes de derecho,</w:t>
      </w:r>
      <w:r w:rsidRPr="00B82F80">
        <w:rPr>
          <w:lang w:val="es-ES"/>
        </w:rPr>
        <w:t xml:space="preserve"> por su ayuda en la realización del estudio, </w:t>
      </w:r>
      <w:r>
        <w:rPr>
          <w:lang w:val="es-ES"/>
        </w:rPr>
        <w:t xml:space="preserve">y en </w:t>
      </w:r>
      <w:r w:rsidRPr="00B82F80">
        <w:rPr>
          <w:lang w:val="es-ES"/>
        </w:rPr>
        <w:t>la compilaci</w:t>
      </w:r>
      <w:r>
        <w:rPr>
          <w:lang w:val="es-ES"/>
        </w:rPr>
        <w:t>ón y presentación de las respuestas al cuestionario.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ED" w:rsidRDefault="007F1FAC" w:rsidP="00F810ED">
    <w:pPr>
      <w:pStyle w:val="Header"/>
      <w:jc w:val="right"/>
    </w:pPr>
    <w:sdt>
      <w:sdtPr>
        <w:id w:val="12937152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F49B5">
          <w:t>página</w:t>
        </w:r>
        <w:r w:rsidR="00F810ED">
          <w:t xml:space="preserve"> </w:t>
        </w:r>
        <w:r w:rsidR="00F810ED">
          <w:fldChar w:fldCharType="begin"/>
        </w:r>
        <w:r w:rsidR="00F810ED">
          <w:instrText xml:space="preserve"> PAGE   \* MERGEFORMAT </w:instrText>
        </w:r>
        <w:r w:rsidR="00F810ED">
          <w:fldChar w:fldCharType="separate"/>
        </w:r>
        <w:r>
          <w:rPr>
            <w:noProof/>
          </w:rPr>
          <w:t>5</w:t>
        </w:r>
        <w:r w:rsidR="00F810ED">
          <w:rPr>
            <w:noProof/>
          </w:rPr>
          <w:fldChar w:fldCharType="end"/>
        </w:r>
      </w:sdtContent>
    </w:sdt>
  </w:p>
  <w:p w:rsidR="00F810ED" w:rsidRDefault="00F81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F141760"/>
    <w:multiLevelType w:val="multilevel"/>
    <w:tmpl w:val="BCDA8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7C16BA"/>
    <w:multiLevelType w:val="hybridMultilevel"/>
    <w:tmpl w:val="E60CDB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11922AD"/>
    <w:multiLevelType w:val="hybridMultilevel"/>
    <w:tmpl w:val="91F4CEAC"/>
    <w:lvl w:ilvl="0" w:tplc="50982D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9E469B7"/>
    <w:multiLevelType w:val="multilevel"/>
    <w:tmpl w:val="E93EAEF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position w:val="0"/>
        <w:vertAlign w:val="baseli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ED"/>
    <w:rsid w:val="00031B76"/>
    <w:rsid w:val="0008493D"/>
    <w:rsid w:val="0008710A"/>
    <w:rsid w:val="000969DD"/>
    <w:rsid w:val="00096B40"/>
    <w:rsid w:val="00096CBC"/>
    <w:rsid w:val="000A4E6A"/>
    <w:rsid w:val="000B2C1D"/>
    <w:rsid w:val="000B3837"/>
    <w:rsid w:val="000B696C"/>
    <w:rsid w:val="000D41D3"/>
    <w:rsid w:val="000E228B"/>
    <w:rsid w:val="000E5F7E"/>
    <w:rsid w:val="000E744C"/>
    <w:rsid w:val="000F5E56"/>
    <w:rsid w:val="001128CF"/>
    <w:rsid w:val="0012374F"/>
    <w:rsid w:val="001659B0"/>
    <w:rsid w:val="00167105"/>
    <w:rsid w:val="00190A47"/>
    <w:rsid w:val="001A48CE"/>
    <w:rsid w:val="001A713D"/>
    <w:rsid w:val="001C357C"/>
    <w:rsid w:val="001E3B6D"/>
    <w:rsid w:val="001F0D76"/>
    <w:rsid w:val="001F157B"/>
    <w:rsid w:val="001F429B"/>
    <w:rsid w:val="001F7727"/>
    <w:rsid w:val="00241C80"/>
    <w:rsid w:val="0024465C"/>
    <w:rsid w:val="00285091"/>
    <w:rsid w:val="0029514B"/>
    <w:rsid w:val="002C0C1D"/>
    <w:rsid w:val="002F3AD9"/>
    <w:rsid w:val="002F4A2B"/>
    <w:rsid w:val="003404EF"/>
    <w:rsid w:val="00343A12"/>
    <w:rsid w:val="00344AFF"/>
    <w:rsid w:val="00372E78"/>
    <w:rsid w:val="00386FF3"/>
    <w:rsid w:val="003A3012"/>
    <w:rsid w:val="003A6FCA"/>
    <w:rsid w:val="003A7E72"/>
    <w:rsid w:val="003D1351"/>
    <w:rsid w:val="00427BFF"/>
    <w:rsid w:val="00431118"/>
    <w:rsid w:val="0044708C"/>
    <w:rsid w:val="00457304"/>
    <w:rsid w:val="004638FB"/>
    <w:rsid w:val="00471FCE"/>
    <w:rsid w:val="00473834"/>
    <w:rsid w:val="0049501C"/>
    <w:rsid w:val="004A0801"/>
    <w:rsid w:val="004A3C58"/>
    <w:rsid w:val="004C4214"/>
    <w:rsid w:val="004D2665"/>
    <w:rsid w:val="004F5C89"/>
    <w:rsid w:val="005336EC"/>
    <w:rsid w:val="00547C09"/>
    <w:rsid w:val="00562D1E"/>
    <w:rsid w:val="005734DA"/>
    <w:rsid w:val="00574EC6"/>
    <w:rsid w:val="00575F4F"/>
    <w:rsid w:val="005928CF"/>
    <w:rsid w:val="00594A2E"/>
    <w:rsid w:val="005955A0"/>
    <w:rsid w:val="005A3288"/>
    <w:rsid w:val="005C790E"/>
    <w:rsid w:val="005D3932"/>
    <w:rsid w:val="005D393B"/>
    <w:rsid w:val="005E1703"/>
    <w:rsid w:val="00601D8A"/>
    <w:rsid w:val="00603EFC"/>
    <w:rsid w:val="00610741"/>
    <w:rsid w:val="00644F27"/>
    <w:rsid w:val="00663068"/>
    <w:rsid w:val="0066593F"/>
    <w:rsid w:val="00667429"/>
    <w:rsid w:val="00674115"/>
    <w:rsid w:val="006834C4"/>
    <w:rsid w:val="006A700D"/>
    <w:rsid w:val="006B4B13"/>
    <w:rsid w:val="006C2F96"/>
    <w:rsid w:val="006D5F66"/>
    <w:rsid w:val="006D7D36"/>
    <w:rsid w:val="006E4693"/>
    <w:rsid w:val="006E4848"/>
    <w:rsid w:val="006F16F6"/>
    <w:rsid w:val="006F744F"/>
    <w:rsid w:val="00702DF3"/>
    <w:rsid w:val="00702EE8"/>
    <w:rsid w:val="00712E58"/>
    <w:rsid w:val="00714FA3"/>
    <w:rsid w:val="0073131C"/>
    <w:rsid w:val="007428B8"/>
    <w:rsid w:val="0075118C"/>
    <w:rsid w:val="00775357"/>
    <w:rsid w:val="00792576"/>
    <w:rsid w:val="007A435E"/>
    <w:rsid w:val="007B240C"/>
    <w:rsid w:val="007C1DF2"/>
    <w:rsid w:val="007D1F95"/>
    <w:rsid w:val="007D53C7"/>
    <w:rsid w:val="007F1FAC"/>
    <w:rsid w:val="00804DB7"/>
    <w:rsid w:val="00853113"/>
    <w:rsid w:val="008732EA"/>
    <w:rsid w:val="00874D21"/>
    <w:rsid w:val="0088475D"/>
    <w:rsid w:val="008C3B79"/>
    <w:rsid w:val="008D16BC"/>
    <w:rsid w:val="008D7B06"/>
    <w:rsid w:val="008E7CA8"/>
    <w:rsid w:val="008F4B64"/>
    <w:rsid w:val="009121D3"/>
    <w:rsid w:val="009220E8"/>
    <w:rsid w:val="00935226"/>
    <w:rsid w:val="00946D75"/>
    <w:rsid w:val="0099312A"/>
    <w:rsid w:val="009D093C"/>
    <w:rsid w:val="009D4A70"/>
    <w:rsid w:val="009E0E50"/>
    <w:rsid w:val="009F2CFC"/>
    <w:rsid w:val="009F3C15"/>
    <w:rsid w:val="00A13BEE"/>
    <w:rsid w:val="00A22C46"/>
    <w:rsid w:val="00A32E74"/>
    <w:rsid w:val="00A33E19"/>
    <w:rsid w:val="00A50919"/>
    <w:rsid w:val="00A81D65"/>
    <w:rsid w:val="00A86D8C"/>
    <w:rsid w:val="00AA17EC"/>
    <w:rsid w:val="00AC12E4"/>
    <w:rsid w:val="00AE02AF"/>
    <w:rsid w:val="00AF4D9C"/>
    <w:rsid w:val="00AF573A"/>
    <w:rsid w:val="00B10894"/>
    <w:rsid w:val="00B16E03"/>
    <w:rsid w:val="00B25762"/>
    <w:rsid w:val="00B82F80"/>
    <w:rsid w:val="00BA4579"/>
    <w:rsid w:val="00BA57C8"/>
    <w:rsid w:val="00BC1912"/>
    <w:rsid w:val="00C14D35"/>
    <w:rsid w:val="00C215EB"/>
    <w:rsid w:val="00C236CE"/>
    <w:rsid w:val="00C325FF"/>
    <w:rsid w:val="00C44753"/>
    <w:rsid w:val="00C554EC"/>
    <w:rsid w:val="00C73C30"/>
    <w:rsid w:val="00C929E3"/>
    <w:rsid w:val="00CA009D"/>
    <w:rsid w:val="00CF1D1E"/>
    <w:rsid w:val="00CF1F7B"/>
    <w:rsid w:val="00CF5233"/>
    <w:rsid w:val="00D024AF"/>
    <w:rsid w:val="00D17F72"/>
    <w:rsid w:val="00D250EA"/>
    <w:rsid w:val="00D341DD"/>
    <w:rsid w:val="00D409AF"/>
    <w:rsid w:val="00D57DEC"/>
    <w:rsid w:val="00D76288"/>
    <w:rsid w:val="00D90983"/>
    <w:rsid w:val="00D948C5"/>
    <w:rsid w:val="00D974E3"/>
    <w:rsid w:val="00DB344F"/>
    <w:rsid w:val="00DB5364"/>
    <w:rsid w:val="00DB645F"/>
    <w:rsid w:val="00DC10CA"/>
    <w:rsid w:val="00DD04D8"/>
    <w:rsid w:val="00E055DF"/>
    <w:rsid w:val="00E06A71"/>
    <w:rsid w:val="00E12FEE"/>
    <w:rsid w:val="00E22792"/>
    <w:rsid w:val="00E2286C"/>
    <w:rsid w:val="00E44CCB"/>
    <w:rsid w:val="00E74DA9"/>
    <w:rsid w:val="00E8132F"/>
    <w:rsid w:val="00E81FD2"/>
    <w:rsid w:val="00E87AE4"/>
    <w:rsid w:val="00EA560E"/>
    <w:rsid w:val="00EB1C74"/>
    <w:rsid w:val="00EB346E"/>
    <w:rsid w:val="00EF3C3B"/>
    <w:rsid w:val="00F13FF3"/>
    <w:rsid w:val="00F36414"/>
    <w:rsid w:val="00F457AB"/>
    <w:rsid w:val="00F566DC"/>
    <w:rsid w:val="00F60AE9"/>
    <w:rsid w:val="00F810ED"/>
    <w:rsid w:val="00FA270E"/>
    <w:rsid w:val="00FA42F3"/>
    <w:rsid w:val="00FA6055"/>
    <w:rsid w:val="00FB2C99"/>
    <w:rsid w:val="00FB7177"/>
    <w:rsid w:val="00FD3CB6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ootnotetext41,ftx31"/>
    <w:basedOn w:val="Normal"/>
    <w:link w:val="FootnoteTextChar"/>
    <w:qFormat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link w:val="Heading2"/>
    <w:uiPriority w:val="9"/>
    <w:rsid w:val="00F810ED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F810ED"/>
    <w:rPr>
      <w:rFonts w:ascii="Arial" w:eastAsia="SimSun" w:hAnsi="Arial" w:cs="Arial"/>
      <w:bCs/>
      <w:sz w:val="22"/>
      <w:szCs w:val="26"/>
      <w:u w:val="single"/>
    </w:rPr>
  </w:style>
  <w:style w:type="paragraph" w:customStyle="1" w:styleId="Standard">
    <w:name w:val="Standard"/>
    <w:rsid w:val="00F810ED"/>
    <w:pPr>
      <w:suppressAutoHyphens/>
      <w:autoSpaceDN w:val="0"/>
      <w:textAlignment w:val="baseline"/>
    </w:pPr>
    <w:rPr>
      <w:rFonts w:ascii="Calibri" w:eastAsia="SimSun" w:hAnsi="Calibri" w:cs="Cambria"/>
      <w:kern w:val="3"/>
      <w:sz w:val="22"/>
      <w:szCs w:val="22"/>
    </w:rPr>
  </w:style>
  <w:style w:type="paragraph" w:customStyle="1" w:styleId="Textbody">
    <w:name w:val="Text body"/>
    <w:basedOn w:val="Standard"/>
    <w:rsid w:val="00F810ED"/>
    <w:pPr>
      <w:spacing w:after="120"/>
    </w:p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link w:val="FootnoteText"/>
    <w:rsid w:val="00F810ED"/>
    <w:rPr>
      <w:rFonts w:ascii="Arial" w:hAnsi="Arial" w:cs="Arial"/>
      <w:sz w:val="18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"/>
    <w:rsid w:val="00F810ED"/>
    <w:rPr>
      <w:position w:val="0"/>
      <w:vertAlign w:val="superscript"/>
    </w:rPr>
  </w:style>
  <w:style w:type="character" w:customStyle="1" w:styleId="HeaderChar">
    <w:name w:val="Header Char"/>
    <w:link w:val="Header"/>
    <w:uiPriority w:val="99"/>
    <w:rsid w:val="00F810E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10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ootnotetext41,ftx31"/>
    <w:basedOn w:val="Normal"/>
    <w:link w:val="FootnoteTextChar"/>
    <w:qFormat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link w:val="Heading2"/>
    <w:uiPriority w:val="9"/>
    <w:rsid w:val="00F810ED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F810ED"/>
    <w:rPr>
      <w:rFonts w:ascii="Arial" w:eastAsia="SimSun" w:hAnsi="Arial" w:cs="Arial"/>
      <w:bCs/>
      <w:sz w:val="22"/>
      <w:szCs w:val="26"/>
      <w:u w:val="single"/>
    </w:rPr>
  </w:style>
  <w:style w:type="paragraph" w:customStyle="1" w:styleId="Standard">
    <w:name w:val="Standard"/>
    <w:rsid w:val="00F810ED"/>
    <w:pPr>
      <w:suppressAutoHyphens/>
      <w:autoSpaceDN w:val="0"/>
      <w:textAlignment w:val="baseline"/>
    </w:pPr>
    <w:rPr>
      <w:rFonts w:ascii="Calibri" w:eastAsia="SimSun" w:hAnsi="Calibri" w:cs="Cambria"/>
      <w:kern w:val="3"/>
      <w:sz w:val="22"/>
      <w:szCs w:val="22"/>
    </w:rPr>
  </w:style>
  <w:style w:type="paragraph" w:customStyle="1" w:styleId="Textbody">
    <w:name w:val="Text body"/>
    <w:basedOn w:val="Standard"/>
    <w:rsid w:val="00F810ED"/>
    <w:pPr>
      <w:spacing w:after="120"/>
    </w:p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link w:val="FootnoteText"/>
    <w:rsid w:val="00F810ED"/>
    <w:rPr>
      <w:rFonts w:ascii="Arial" w:hAnsi="Arial" w:cs="Arial"/>
      <w:sz w:val="18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"/>
    <w:rsid w:val="00F810ED"/>
    <w:rPr>
      <w:position w:val="0"/>
      <w:vertAlign w:val="superscript"/>
    </w:rPr>
  </w:style>
  <w:style w:type="character" w:customStyle="1" w:styleId="HeaderChar">
    <w:name w:val="Header Char"/>
    <w:link w:val="Header"/>
    <w:uiPriority w:val="99"/>
    <w:rsid w:val="00F810E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10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1F78-C6A3-453A-8055-FC1DF31F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2187</Words>
  <Characters>15228</Characters>
  <Application>Microsoft Office Word</Application>
  <DocSecurity>4</DocSecurity>
  <Lines>276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LUNG Geidy</dc:creator>
  <cp:keywords>Resumen - Estudio sobre las limitaciones y excepciones en beneficio de los museos (SCCR/30/2)</cp:keywords>
  <dc:description>LM - 14/5/2015 (cambios)</dc:description>
  <cp:lastModifiedBy>HAIZEL Francesca</cp:lastModifiedBy>
  <cp:revision>2</cp:revision>
  <cp:lastPrinted>2015-05-12T07:50:00Z</cp:lastPrinted>
  <dcterms:created xsi:type="dcterms:W3CDTF">2015-05-20T13:49:00Z</dcterms:created>
  <dcterms:modified xsi:type="dcterms:W3CDTF">2015-05-20T13:49:00Z</dcterms:modified>
</cp:coreProperties>
</file>