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8B2CC1" w:rsidRDefault="00176FC1"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C0341D" w:rsidP="00AB613D">
            <w:pPr>
              <w:jc w:val="right"/>
              <w:rPr>
                <w:rFonts w:ascii="Arial Black" w:hAnsi="Arial Black"/>
                <w:caps/>
                <w:sz w:val="15"/>
              </w:rPr>
            </w:pPr>
            <w:r w:rsidRPr="00943769">
              <w:rPr>
                <w:rFonts w:ascii="Arial Black" w:hAnsi="Arial Black"/>
                <w:sz w:val="15"/>
              </w:rPr>
              <w:t>SCCR/2</w:t>
            </w:r>
            <w:r>
              <w:rPr>
                <w:rFonts w:ascii="Arial Black" w:hAnsi="Arial Black"/>
                <w:sz w:val="15"/>
              </w:rPr>
              <w:t>6</w:t>
            </w:r>
            <w:bookmarkStart w:id="1" w:name="Code"/>
            <w:bookmarkEnd w:id="1"/>
            <w:r>
              <w:rPr>
                <w:rFonts w:ascii="Arial Black" w:hAnsi="Arial Black"/>
                <w:sz w:val="15"/>
              </w:rPr>
              <w:t>/6</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C0341D" w:rsidP="00AB613D">
            <w:pPr>
              <w:jc w:val="right"/>
              <w:rPr>
                <w:rFonts w:ascii="Arial Black" w:hAnsi="Arial Black"/>
                <w:caps/>
                <w:sz w:val="15"/>
              </w:rPr>
            </w:pPr>
            <w:r w:rsidRPr="0090731E">
              <w:rPr>
                <w:rFonts w:ascii="Arial Black" w:hAnsi="Arial Black"/>
                <w:sz w:val="15"/>
              </w:rPr>
              <w:t>ORIGINAL:</w:t>
            </w:r>
            <w:r>
              <w:rPr>
                <w:rFonts w:ascii="Arial Black" w:hAnsi="Arial Black"/>
                <w:sz w:val="15"/>
              </w:rPr>
              <w:t xml:space="preserve"> </w:t>
            </w:r>
            <w:r w:rsidRPr="0090731E">
              <w:rPr>
                <w:rFonts w:ascii="Arial Black" w:hAnsi="Arial Black"/>
                <w:sz w:val="15"/>
              </w:rPr>
              <w:t xml:space="preserve"> </w:t>
            </w:r>
            <w:bookmarkStart w:id="2" w:name="Original"/>
            <w:bookmarkEnd w:id="2"/>
            <w:r>
              <w:rPr>
                <w:rFonts w:ascii="Arial Black" w:hAnsi="Arial Black"/>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C0341D" w:rsidP="00AB613D">
            <w:pPr>
              <w:jc w:val="right"/>
              <w:rPr>
                <w:rFonts w:ascii="Arial Black" w:hAnsi="Arial Black"/>
                <w:caps/>
                <w:sz w:val="15"/>
              </w:rPr>
            </w:pPr>
            <w:r>
              <w:rPr>
                <w:rFonts w:ascii="Arial Black" w:hAnsi="Arial Black"/>
                <w:sz w:val="15"/>
              </w:rPr>
              <w:t>FECHA</w:t>
            </w:r>
            <w:r w:rsidRPr="0090731E">
              <w:rPr>
                <w:rFonts w:ascii="Arial Black" w:hAnsi="Arial Black"/>
                <w:sz w:val="15"/>
              </w:rPr>
              <w:t>:</w:t>
            </w:r>
            <w:r>
              <w:rPr>
                <w:rFonts w:ascii="Arial Black" w:hAnsi="Arial Black"/>
                <w:sz w:val="15"/>
              </w:rPr>
              <w:t xml:space="preserve"> </w:t>
            </w:r>
            <w:r w:rsidRPr="0090731E">
              <w:rPr>
                <w:rFonts w:ascii="Arial Black" w:hAnsi="Arial Black"/>
                <w:sz w:val="15"/>
              </w:rPr>
              <w:t xml:space="preserve"> </w:t>
            </w:r>
            <w:bookmarkStart w:id="3" w:name="Date"/>
            <w:bookmarkEnd w:id="3"/>
            <w:r>
              <w:rPr>
                <w:rFonts w:ascii="Arial Black" w:hAnsi="Arial Black"/>
                <w:sz w:val="15"/>
              </w:rPr>
              <w:t>28 DE NOVIEMBRE DE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B765D4" w:rsidP="003845C1">
      <w:r w:rsidRPr="00B765D4">
        <w:rPr>
          <w:b/>
          <w:sz w:val="28"/>
          <w:szCs w:val="28"/>
        </w:rPr>
        <w:t>Comité Permanente de Derecho de Autor y Derechos Conexos</w:t>
      </w:r>
    </w:p>
    <w:p w:rsidR="003845C1" w:rsidRDefault="003845C1" w:rsidP="003845C1"/>
    <w:p w:rsidR="00B67CDC" w:rsidRPr="00B67CDC" w:rsidRDefault="00B765D4" w:rsidP="00B67CDC">
      <w:pPr>
        <w:rPr>
          <w:b/>
          <w:sz w:val="24"/>
          <w:szCs w:val="24"/>
        </w:rPr>
      </w:pPr>
      <w:r w:rsidRPr="00B765D4">
        <w:rPr>
          <w:b/>
          <w:sz w:val="24"/>
          <w:szCs w:val="24"/>
        </w:rPr>
        <w:t>Vigésima sexta sesión</w:t>
      </w:r>
    </w:p>
    <w:p w:rsidR="008B2CC1" w:rsidRPr="008B2CC1" w:rsidRDefault="00550DAB" w:rsidP="008B2CC1">
      <w:r>
        <w:rPr>
          <w:b/>
          <w:sz w:val="24"/>
          <w:szCs w:val="24"/>
        </w:rPr>
        <w:t>Ginebra, 16 a 20</w:t>
      </w:r>
      <w:r w:rsidR="00B765D4" w:rsidRPr="00B765D4">
        <w:rPr>
          <w:b/>
          <w:sz w:val="24"/>
          <w:szCs w:val="24"/>
        </w:rPr>
        <w:t xml:space="preserve"> </w:t>
      </w:r>
      <w:r>
        <w:rPr>
          <w:b/>
          <w:sz w:val="24"/>
          <w:szCs w:val="24"/>
        </w:rPr>
        <w:t>de</w:t>
      </w:r>
      <w:r w:rsidRPr="00550DAB">
        <w:rPr>
          <w:b/>
          <w:sz w:val="24"/>
          <w:szCs w:val="24"/>
        </w:rPr>
        <w:t xml:space="preserve"> diciembre</w:t>
      </w:r>
      <w:r w:rsidR="00B765D4" w:rsidRPr="00B765D4">
        <w:rPr>
          <w:b/>
          <w:sz w:val="24"/>
          <w:szCs w:val="24"/>
        </w:rPr>
        <w:t xml:space="preserve"> 2013</w:t>
      </w:r>
    </w:p>
    <w:p w:rsidR="008B2CC1" w:rsidRPr="008B2CC1" w:rsidRDefault="008B2CC1" w:rsidP="008B2CC1"/>
    <w:p w:rsidR="008B2CC1" w:rsidRPr="008B2CC1" w:rsidRDefault="008B2CC1" w:rsidP="008B2CC1"/>
    <w:p w:rsidR="008B2CC1" w:rsidRPr="003845C1" w:rsidRDefault="00C0341D" w:rsidP="008B2CC1">
      <w:pPr>
        <w:rPr>
          <w:caps/>
          <w:sz w:val="24"/>
        </w:rPr>
      </w:pPr>
      <w:bookmarkStart w:id="4" w:name="TitleOfDoc"/>
      <w:bookmarkEnd w:id="4"/>
      <w:r>
        <w:rPr>
          <w:sz w:val="24"/>
        </w:rPr>
        <w:t>PROYECTO DE TRATADO SOBRE LA PROTECCIÓN DE LOS ORGANISMOS DE RADIODIFUSIÓN</w:t>
      </w:r>
    </w:p>
    <w:p w:rsidR="008B2CC1" w:rsidRPr="008B2CC1" w:rsidRDefault="008B2CC1" w:rsidP="008B2CC1"/>
    <w:p w:rsidR="008B2CC1" w:rsidRPr="008B2CC1" w:rsidRDefault="00176FC1" w:rsidP="008B2CC1">
      <w:pPr>
        <w:rPr>
          <w:i/>
        </w:rPr>
      </w:pPr>
      <w:bookmarkStart w:id="5" w:name="Prepared"/>
      <w:bookmarkEnd w:id="5"/>
      <w:r>
        <w:rPr>
          <w:i/>
        </w:rPr>
        <w:t>propuesta del Gobierno del Japón</w:t>
      </w:r>
    </w:p>
    <w:p w:rsidR="008B2CC1" w:rsidRDefault="008B2CC1" w:rsidP="003845C1"/>
    <w:p w:rsidR="000F5E56" w:rsidRDefault="000F5E56"/>
    <w:p w:rsidR="00F84474" w:rsidRDefault="00F84474"/>
    <w:p w:rsidR="00F84474" w:rsidRDefault="00F84474"/>
    <w:p w:rsidR="00811322" w:rsidRDefault="00811322">
      <w:r>
        <w:br w:type="page"/>
      </w:r>
    </w:p>
    <w:p w:rsidR="00152CEA" w:rsidRDefault="00811322" w:rsidP="0073133E">
      <w:pPr>
        <w:rPr>
          <w:b/>
        </w:rPr>
      </w:pPr>
      <w:r>
        <w:rPr>
          <w:b/>
        </w:rPr>
        <w:lastRenderedPageBreak/>
        <w:t>Nota introductoria de la nueva propuesta</w:t>
      </w:r>
    </w:p>
    <w:p w:rsidR="00811322" w:rsidRDefault="00811322" w:rsidP="0073133E">
      <w:pPr>
        <w:rPr>
          <w:b/>
        </w:rPr>
      </w:pPr>
    </w:p>
    <w:p w:rsidR="00811322" w:rsidRDefault="00811322" w:rsidP="0073133E">
      <w:pPr>
        <w:pStyle w:val="ONUMFS"/>
        <w:numPr>
          <w:ilvl w:val="0"/>
          <w:numId w:val="0"/>
        </w:numPr>
      </w:pPr>
      <w:r>
        <w:t>La nueva propuesta de protección de los organismos de radiodifusión constituye una propuesta adicional del Japón que debe integrarse en la versión actual del documento SCCR/24/10 Corr.</w:t>
      </w:r>
    </w:p>
    <w:p w:rsidR="00811322" w:rsidRDefault="00811322" w:rsidP="0073133E">
      <w:pPr>
        <w:pStyle w:val="ONUMFS"/>
        <w:numPr>
          <w:ilvl w:val="0"/>
          <w:numId w:val="0"/>
        </w:numPr>
        <w:rPr>
          <w:u w:val="single"/>
        </w:rPr>
      </w:pPr>
      <w:r>
        <w:rPr>
          <w:u w:val="single"/>
        </w:rPr>
        <w:t xml:space="preserve">La finalidad principal de la presente propuesta es </w:t>
      </w:r>
      <w:r w:rsidR="00C6190C">
        <w:rPr>
          <w:u w:val="single"/>
        </w:rPr>
        <w:t xml:space="preserve">dar con una solución a </w:t>
      </w:r>
      <w:r>
        <w:rPr>
          <w:u w:val="single"/>
        </w:rPr>
        <w:t xml:space="preserve">nuestro prolongado debate </w:t>
      </w:r>
      <w:r w:rsidR="006A7C08">
        <w:rPr>
          <w:u w:val="single"/>
        </w:rPr>
        <w:t>acerca d</w:t>
      </w:r>
      <w:r>
        <w:rPr>
          <w:u w:val="single"/>
        </w:rPr>
        <w:t xml:space="preserve">el ámbito de aplicación y avanzar </w:t>
      </w:r>
      <w:r w:rsidR="003E2DE0">
        <w:rPr>
          <w:u w:val="single"/>
        </w:rPr>
        <w:t xml:space="preserve">hacia </w:t>
      </w:r>
      <w:r>
        <w:rPr>
          <w:u w:val="single"/>
        </w:rPr>
        <w:t>la adopción del nuevo tratado.  Por consiguiente</w:t>
      </w:r>
      <w:r w:rsidR="00323636">
        <w:rPr>
          <w:u w:val="single"/>
        </w:rPr>
        <w:t>,</w:t>
      </w:r>
      <w:r>
        <w:rPr>
          <w:u w:val="single"/>
        </w:rPr>
        <w:t xml:space="preserve"> la propuesta se centra exclusivamente en la cuestión de determinar si las señales que se transmiten por redes informáticas están o no contempladas en el Tratado.  En nuestra propuesta se introduce un nuevo Artículo 6</w:t>
      </w:r>
      <w:r>
        <w:rPr>
          <w:i/>
          <w:u w:val="single"/>
        </w:rPr>
        <w:t>bis</w:t>
      </w:r>
      <w:r w:rsidR="005D2733">
        <w:rPr>
          <w:u w:val="single"/>
        </w:rPr>
        <w:t>,</w:t>
      </w:r>
      <w:r>
        <w:rPr>
          <w:u w:val="single"/>
        </w:rPr>
        <w:t xml:space="preserve"> en el que se estipula que las señales transmitidas </w:t>
      </w:r>
      <w:r w:rsidR="005D2733">
        <w:rPr>
          <w:u w:val="single"/>
        </w:rPr>
        <w:t xml:space="preserve">por </w:t>
      </w:r>
      <w:r w:rsidR="003A7DF6">
        <w:rPr>
          <w:u w:val="single"/>
        </w:rPr>
        <w:t xml:space="preserve">redes informáticas </w:t>
      </w:r>
      <w:r w:rsidR="005D2733">
        <w:rPr>
          <w:u w:val="single"/>
        </w:rPr>
        <w:t>entran dentro d</w:t>
      </w:r>
      <w:r w:rsidR="003A7DF6">
        <w:rPr>
          <w:u w:val="single"/>
        </w:rPr>
        <w:t>el ámbito de aplicación del Tratado.</w:t>
      </w:r>
    </w:p>
    <w:p w:rsidR="003A7DF6" w:rsidRDefault="003A7DF6" w:rsidP="0073133E">
      <w:pPr>
        <w:pStyle w:val="ONUMFS"/>
        <w:numPr>
          <w:ilvl w:val="0"/>
          <w:numId w:val="0"/>
        </w:numPr>
      </w:pPr>
      <w:r>
        <w:t xml:space="preserve">Hemos examinado el </w:t>
      </w:r>
      <w:r w:rsidR="00490F84">
        <w:t xml:space="preserve">proyecto </w:t>
      </w:r>
      <w:r>
        <w:t xml:space="preserve">de Tratado sobre la Protección de los Organismos de Radiodifusión sobre la base de un único texto, el documento SCCR/24/10 Corr., propuesto en la vigésima cuarta sesión del SCCR, celebrada en 2012.  No obstante, todavía quedan cuestiones pendientes por resolver.  El ámbito de aplicación del Tratado ha sido, muy particularmente, una de las cuestiones más difíciles.  Sería un gran placer para nosotros que la propuesta que hoy presentamos constituya una solución </w:t>
      </w:r>
      <w:r w:rsidR="00702B46">
        <w:t xml:space="preserve">y contribuya a </w:t>
      </w:r>
      <w:r w:rsidR="00667878">
        <w:t xml:space="preserve">que </w:t>
      </w:r>
      <w:r w:rsidR="00702B46">
        <w:t>los debates</w:t>
      </w:r>
      <w:r w:rsidR="00667878">
        <w:t xml:space="preserve"> avancen</w:t>
      </w:r>
      <w:r w:rsidR="00702B46">
        <w:t xml:space="preserve">.  Huelga decir que estamos abiertos a la presentación de otras alternativas y aguardamos con impaciencia los debates que tendrán lugar entre los Estados miembros en la próxima sesión del SCCR.  Además, el Gobierno del Japón se reserva el derecho </w:t>
      </w:r>
      <w:r w:rsidR="00323636">
        <w:t>a</w:t>
      </w:r>
      <w:r w:rsidR="00702B46">
        <w:t xml:space="preserve"> realizar modificaciones de la propuesta o formular propuestas adicionales sobre la base de ulteriores debates que tengan lugar en el plano internacional o nacional.  Confiamos en que esto sea de utilidad para que pronto pueda adaptarse el nuevo tratado sobre los organismos de radiodifusión.</w:t>
      </w:r>
    </w:p>
    <w:p w:rsidR="00851F32" w:rsidRDefault="00851F32">
      <w:pPr>
        <w:rPr>
          <w:b/>
          <w:bCs/>
        </w:rPr>
      </w:pPr>
      <w:r>
        <w:rPr>
          <w:b/>
          <w:bCs/>
        </w:rPr>
        <w:br w:type="page"/>
      </w:r>
    </w:p>
    <w:p w:rsidR="00D62D3D" w:rsidRPr="003E7674" w:rsidRDefault="00D62D3D" w:rsidP="0073133E">
      <w:pPr>
        <w:pStyle w:val="ONUMFS"/>
        <w:numPr>
          <w:ilvl w:val="0"/>
          <w:numId w:val="0"/>
        </w:numPr>
        <w:rPr>
          <w:b/>
          <w:bCs/>
          <w:lang w:eastAsia="ja-JP"/>
        </w:rPr>
      </w:pPr>
      <w:r w:rsidRPr="003E7674">
        <w:rPr>
          <w:b/>
          <w:bCs/>
        </w:rPr>
        <w:lastRenderedPageBreak/>
        <w:t>Nota explicativa sobre el Artículo </w:t>
      </w:r>
      <w:r w:rsidRPr="003E7674">
        <w:rPr>
          <w:b/>
          <w:bCs/>
          <w:lang w:eastAsia="ja-JP"/>
        </w:rPr>
        <w:t xml:space="preserve">6 </w:t>
      </w:r>
      <w:r w:rsidRPr="00D12F17">
        <w:rPr>
          <w:b/>
          <w:bCs/>
          <w:i/>
          <w:lang w:eastAsia="ja-JP"/>
        </w:rPr>
        <w:t>bis</w:t>
      </w:r>
      <w:r w:rsidRPr="003E7674">
        <w:rPr>
          <w:b/>
          <w:bCs/>
          <w:lang w:eastAsia="ja-JP"/>
        </w:rPr>
        <w:t xml:space="preserve"> (</w:t>
      </w:r>
      <w:r w:rsidRPr="003E7674">
        <w:rPr>
          <w:b/>
          <w:bCs/>
        </w:rPr>
        <w:t>Protección de las señales transmitidas por redes informáticas</w:t>
      </w:r>
      <w:r w:rsidRPr="003E7674">
        <w:rPr>
          <w:b/>
          <w:bCs/>
          <w:lang w:eastAsia="ja-JP"/>
        </w:rPr>
        <w:t>)</w:t>
      </w:r>
    </w:p>
    <w:p w:rsidR="00D62D3D" w:rsidRPr="002E1371" w:rsidRDefault="00D62D3D" w:rsidP="0073133E">
      <w:pPr>
        <w:pStyle w:val="ONUMFS"/>
        <w:numPr>
          <w:ilvl w:val="0"/>
          <w:numId w:val="0"/>
        </w:numPr>
        <w:rPr>
          <w:lang w:eastAsia="ja-JP"/>
        </w:rPr>
      </w:pPr>
      <w:r w:rsidRPr="002E1371">
        <w:rPr>
          <w:iCs/>
        </w:rPr>
        <w:t>E</w:t>
      </w:r>
      <w:r w:rsidR="00867B10">
        <w:rPr>
          <w:iCs/>
        </w:rPr>
        <w:t>n e</w:t>
      </w:r>
      <w:r w:rsidRPr="002E1371">
        <w:rPr>
          <w:iCs/>
        </w:rPr>
        <w:t xml:space="preserve">l </w:t>
      </w:r>
      <w:r w:rsidRPr="002E1371">
        <w:rPr>
          <w:i/>
        </w:rPr>
        <w:t>párrafo 1)</w:t>
      </w:r>
      <w:r w:rsidRPr="002E1371">
        <w:t xml:space="preserve"> </w:t>
      </w:r>
      <w:r w:rsidRPr="002E1371">
        <w:rPr>
          <w:lang w:eastAsia="ja-JP"/>
        </w:rPr>
        <w:t xml:space="preserve">se establece claramente que en </w:t>
      </w:r>
      <w:r w:rsidR="00867B10">
        <w:rPr>
          <w:lang w:eastAsia="ja-JP"/>
        </w:rPr>
        <w:t xml:space="preserve">el </w:t>
      </w:r>
      <w:r w:rsidRPr="002E1371">
        <w:rPr>
          <w:lang w:eastAsia="ja-JP"/>
        </w:rPr>
        <w:t xml:space="preserve">ámbito de </w:t>
      </w:r>
      <w:r w:rsidR="00867B10">
        <w:rPr>
          <w:lang w:eastAsia="ja-JP"/>
        </w:rPr>
        <w:t xml:space="preserve">aplicación </w:t>
      </w:r>
      <w:r>
        <w:rPr>
          <w:lang w:eastAsia="ja-JP"/>
        </w:rPr>
        <w:t xml:space="preserve">del tratado queda incluida la protección de las señales transmitidas </w:t>
      </w:r>
      <w:r w:rsidR="007039CD">
        <w:rPr>
          <w:lang w:eastAsia="ja-JP"/>
        </w:rPr>
        <w:t xml:space="preserve">por </w:t>
      </w:r>
      <w:r>
        <w:rPr>
          <w:lang w:eastAsia="ja-JP"/>
        </w:rPr>
        <w:t xml:space="preserve">redes informáticas. </w:t>
      </w:r>
    </w:p>
    <w:p w:rsidR="00D62D3D" w:rsidRPr="00B34D33" w:rsidRDefault="00D62D3D" w:rsidP="0073133E">
      <w:pPr>
        <w:pStyle w:val="ONUMFS"/>
        <w:numPr>
          <w:ilvl w:val="0"/>
          <w:numId w:val="0"/>
        </w:numPr>
        <w:rPr>
          <w:szCs w:val="22"/>
          <w:lang w:val="es-ES_tradnl" w:eastAsia="ja-JP"/>
        </w:rPr>
      </w:pPr>
      <w:r w:rsidRPr="00B34D33">
        <w:rPr>
          <w:iCs/>
          <w:szCs w:val="22"/>
          <w:lang w:val="es-ES_tradnl"/>
        </w:rPr>
        <w:t xml:space="preserve">El </w:t>
      </w:r>
      <w:r w:rsidRPr="00B34D33">
        <w:rPr>
          <w:i/>
          <w:szCs w:val="22"/>
          <w:lang w:val="es-ES_tradnl"/>
        </w:rPr>
        <w:t>párrafo </w:t>
      </w:r>
      <w:r w:rsidRPr="00B34D33">
        <w:rPr>
          <w:i/>
          <w:szCs w:val="22"/>
          <w:lang w:val="es-ES_tradnl" w:eastAsia="ja-JP"/>
        </w:rPr>
        <w:t>2</w:t>
      </w:r>
      <w:r w:rsidRPr="00B34D33">
        <w:rPr>
          <w:i/>
          <w:szCs w:val="22"/>
          <w:lang w:val="es-ES_tradnl"/>
        </w:rPr>
        <w:t>)</w:t>
      </w:r>
      <w:r w:rsidRPr="00B34D33">
        <w:rPr>
          <w:szCs w:val="22"/>
          <w:lang w:val="es-ES_tradnl"/>
        </w:rPr>
        <w:t xml:space="preserve"> </w:t>
      </w:r>
      <w:r w:rsidRPr="00B34D33">
        <w:rPr>
          <w:szCs w:val="22"/>
          <w:lang w:val="es-ES_tradnl" w:eastAsia="ja-JP"/>
        </w:rPr>
        <w:t>se ajusta al concepto del Artículo 14</w:t>
      </w:r>
      <w:r w:rsidRPr="00B34D33">
        <w:rPr>
          <w:i/>
          <w:iCs/>
          <w:szCs w:val="22"/>
          <w:lang w:val="es-ES_tradnl" w:eastAsia="ja-JP"/>
        </w:rPr>
        <w:t>te</w:t>
      </w:r>
      <w:r w:rsidRPr="00B34D33">
        <w:rPr>
          <w:szCs w:val="22"/>
          <w:lang w:val="es-ES_tradnl" w:eastAsia="ja-JP"/>
        </w:rPr>
        <w:t xml:space="preserve">r.2) del Convenio de Berna, que por lo general se considera </w:t>
      </w:r>
      <w:r w:rsidR="00B34D33" w:rsidRPr="00B34D33">
        <w:rPr>
          <w:szCs w:val="22"/>
          <w:lang w:val="es-ES_tradnl"/>
        </w:rPr>
        <w:t>una disposición de aplicación exclusiva en la</w:t>
      </w:r>
      <w:r w:rsidR="00130AE2">
        <w:rPr>
          <w:szCs w:val="22"/>
          <w:lang w:val="es-ES_tradnl"/>
        </w:rPr>
        <w:t>s</w:t>
      </w:r>
      <w:r w:rsidR="00B34D33" w:rsidRPr="00B34D33">
        <w:rPr>
          <w:szCs w:val="22"/>
          <w:lang w:val="es-ES_tradnl"/>
        </w:rPr>
        <w:t xml:space="preserve"> Parte</w:t>
      </w:r>
      <w:r w:rsidR="00130AE2">
        <w:rPr>
          <w:szCs w:val="22"/>
          <w:lang w:val="es-ES_tradnl"/>
        </w:rPr>
        <w:t>s</w:t>
      </w:r>
      <w:r w:rsidR="00B34D33" w:rsidRPr="00B34D33">
        <w:rPr>
          <w:szCs w:val="22"/>
          <w:lang w:val="es-ES_tradnl"/>
        </w:rPr>
        <w:t xml:space="preserve"> Contratante</w:t>
      </w:r>
      <w:r w:rsidR="00130AE2">
        <w:rPr>
          <w:szCs w:val="22"/>
          <w:lang w:val="es-ES_tradnl"/>
        </w:rPr>
        <w:t>s</w:t>
      </w:r>
      <w:r w:rsidR="00B34D33" w:rsidRPr="00B34D33">
        <w:rPr>
          <w:szCs w:val="22"/>
          <w:lang w:val="es-ES_tradnl"/>
        </w:rPr>
        <w:t xml:space="preserve"> que también la prevea</w:t>
      </w:r>
      <w:r w:rsidR="00130AE2">
        <w:rPr>
          <w:szCs w:val="22"/>
          <w:lang w:val="es-ES_tradnl"/>
        </w:rPr>
        <w:t>n</w:t>
      </w:r>
      <w:r w:rsidR="00B34D33" w:rsidRPr="00B34D33">
        <w:rPr>
          <w:szCs w:val="22"/>
          <w:lang w:val="es-ES_tradnl"/>
        </w:rPr>
        <w:t xml:space="preserve"> en su legislación</w:t>
      </w:r>
      <w:r w:rsidRPr="00B34D33">
        <w:rPr>
          <w:szCs w:val="22"/>
          <w:lang w:val="es-ES_tradnl" w:eastAsia="ja-JP"/>
        </w:rPr>
        <w:t xml:space="preserve">.  En dicho párrafo se estipula que los organismos de radiodifusión y los organismos de difusión por cable de una Parte Contratante pueden </w:t>
      </w:r>
      <w:r w:rsidR="00ED0685">
        <w:rPr>
          <w:szCs w:val="22"/>
          <w:lang w:val="es-ES_tradnl" w:eastAsia="ja-JP"/>
        </w:rPr>
        <w:t>reivindicar</w:t>
      </w:r>
      <w:r w:rsidRPr="00B34D33">
        <w:rPr>
          <w:szCs w:val="22"/>
          <w:lang w:val="es-ES_tradnl" w:eastAsia="ja-JP"/>
        </w:rPr>
        <w:t xml:space="preserve"> la protección de las señales transmitidas </w:t>
      </w:r>
      <w:r w:rsidR="00ED0685">
        <w:rPr>
          <w:szCs w:val="22"/>
          <w:lang w:val="es-ES_tradnl" w:eastAsia="ja-JP"/>
        </w:rPr>
        <w:t xml:space="preserve">por </w:t>
      </w:r>
      <w:r w:rsidRPr="00B34D33">
        <w:rPr>
          <w:szCs w:val="22"/>
          <w:lang w:val="es-ES_tradnl" w:eastAsia="ja-JP"/>
        </w:rPr>
        <w:t xml:space="preserve">redes informáticas en otra Parte Contratante con </w:t>
      </w:r>
      <w:r w:rsidR="00ED0685">
        <w:rPr>
          <w:szCs w:val="22"/>
          <w:lang w:val="es-ES_tradnl" w:eastAsia="ja-JP"/>
        </w:rPr>
        <w:t xml:space="preserve">sujeción </w:t>
      </w:r>
      <w:r w:rsidRPr="00B34D33">
        <w:rPr>
          <w:szCs w:val="22"/>
          <w:lang w:val="es-ES_tradnl" w:eastAsia="ja-JP"/>
        </w:rPr>
        <w:t xml:space="preserve">a las siguientes condiciones:  i) que la Parte Contratante a la que pertenecen los organismos de radiodifusión y los organismos de difusión por cable también contemple la protección de las señales transmitidas </w:t>
      </w:r>
      <w:r w:rsidR="002A0A73">
        <w:rPr>
          <w:szCs w:val="22"/>
          <w:lang w:val="es-ES_tradnl" w:eastAsia="ja-JP"/>
        </w:rPr>
        <w:t xml:space="preserve">por </w:t>
      </w:r>
      <w:r w:rsidRPr="00B34D33">
        <w:rPr>
          <w:szCs w:val="22"/>
          <w:lang w:val="es-ES_tradnl" w:eastAsia="ja-JP"/>
        </w:rPr>
        <w:t>redes informáticas y ii) que la protección se conceda al mismo nivel que la protección que se contemple en la Parte Contratante en la que se reivindica la protección.</w:t>
      </w:r>
    </w:p>
    <w:p w:rsidR="00D62D3D" w:rsidRPr="002E1371" w:rsidRDefault="00D62D3D" w:rsidP="0073133E">
      <w:pPr>
        <w:pStyle w:val="ONUMFS"/>
        <w:numPr>
          <w:ilvl w:val="0"/>
          <w:numId w:val="0"/>
        </w:numPr>
        <w:rPr>
          <w:lang w:val="es-ES_tradnl" w:eastAsia="ja-JP"/>
        </w:rPr>
      </w:pPr>
      <w:r w:rsidRPr="002E1371">
        <w:rPr>
          <w:iCs/>
          <w:lang w:val="es-ES_tradnl"/>
        </w:rPr>
        <w:t>En el</w:t>
      </w:r>
      <w:r w:rsidRPr="002E1371">
        <w:rPr>
          <w:i/>
          <w:lang w:val="es-ES_tradnl"/>
        </w:rPr>
        <w:t xml:space="preserve"> párrafo </w:t>
      </w:r>
      <w:r w:rsidRPr="002E1371">
        <w:rPr>
          <w:i/>
          <w:lang w:val="es-ES_tradnl" w:eastAsia="ja-JP"/>
        </w:rPr>
        <w:t>3</w:t>
      </w:r>
      <w:r w:rsidRPr="002E1371">
        <w:rPr>
          <w:i/>
          <w:lang w:val="es-ES_tradnl"/>
        </w:rPr>
        <w:t>)</w:t>
      </w:r>
      <w:r w:rsidRPr="002E1371">
        <w:rPr>
          <w:i/>
          <w:lang w:val="es-ES_tradnl" w:eastAsia="ja-JP"/>
        </w:rPr>
        <w:t xml:space="preserve"> </w:t>
      </w:r>
      <w:r w:rsidRPr="002E1371">
        <w:rPr>
          <w:lang w:val="es-ES_tradnl" w:eastAsia="ja-JP"/>
        </w:rPr>
        <w:t xml:space="preserve">se estipula que </w:t>
      </w:r>
      <w:r w:rsidR="002A0A73">
        <w:rPr>
          <w:lang w:val="es-ES_tradnl" w:eastAsia="ja-JP"/>
        </w:rPr>
        <w:t xml:space="preserve">en </w:t>
      </w:r>
      <w:r w:rsidRPr="002E1371">
        <w:rPr>
          <w:lang w:val="es-ES_tradnl" w:eastAsia="ja-JP"/>
        </w:rPr>
        <w:t>la legislaci</w:t>
      </w:r>
      <w:r>
        <w:rPr>
          <w:lang w:val="es-ES_tradnl" w:eastAsia="ja-JP"/>
        </w:rPr>
        <w:t xml:space="preserve">ón de cada </w:t>
      </w:r>
      <w:r w:rsidRPr="002E1371">
        <w:rPr>
          <w:szCs w:val="24"/>
          <w:lang w:val="es-ES_tradnl" w:eastAsia="ja-JP"/>
        </w:rPr>
        <w:t>Parte Contratante</w:t>
      </w:r>
      <w:r>
        <w:rPr>
          <w:lang w:val="es-ES_tradnl" w:eastAsia="ja-JP"/>
        </w:rPr>
        <w:t xml:space="preserve"> </w:t>
      </w:r>
      <w:r w:rsidR="002A0A73">
        <w:rPr>
          <w:lang w:val="es-ES_tradnl" w:eastAsia="ja-JP"/>
        </w:rPr>
        <w:t xml:space="preserve">se determinarán </w:t>
      </w:r>
      <w:r>
        <w:rPr>
          <w:lang w:val="es-ES_tradnl" w:eastAsia="ja-JP"/>
        </w:rPr>
        <w:t>el alcance y las medidas específicas para la protección que se contempla en el</w:t>
      </w:r>
      <w:r w:rsidRPr="002E1371">
        <w:rPr>
          <w:lang w:val="es-ES_tradnl" w:eastAsia="ja-JP"/>
        </w:rPr>
        <w:t xml:space="preserve"> Artículo 6 </w:t>
      </w:r>
      <w:r w:rsidRPr="002E1371">
        <w:rPr>
          <w:i/>
          <w:iCs/>
          <w:lang w:val="es-ES_tradnl" w:eastAsia="ja-JP"/>
        </w:rPr>
        <w:t>bis</w:t>
      </w:r>
      <w:r w:rsidRPr="002E1371">
        <w:rPr>
          <w:lang w:val="es-ES_tradnl" w:eastAsia="ja-JP"/>
        </w:rPr>
        <w:t xml:space="preserve">.1). </w:t>
      </w:r>
    </w:p>
    <w:p w:rsidR="00D62D3D" w:rsidRPr="002E1371" w:rsidRDefault="00D62D3D" w:rsidP="0073133E">
      <w:pPr>
        <w:pStyle w:val="ONUMFS"/>
        <w:numPr>
          <w:ilvl w:val="0"/>
          <w:numId w:val="0"/>
        </w:numPr>
        <w:rPr>
          <w:lang w:val="es-ES_tradnl"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3"/>
      </w:tblGrid>
      <w:tr w:rsidR="00D62D3D" w:rsidRPr="002E1371" w:rsidTr="005B1A1D">
        <w:tc>
          <w:tcPr>
            <w:tcW w:w="9553" w:type="dxa"/>
          </w:tcPr>
          <w:p w:rsidR="00D62D3D" w:rsidRPr="002E1371" w:rsidRDefault="00D62D3D" w:rsidP="0073133E">
            <w:pPr>
              <w:pStyle w:val="OtsikkoArtiklat"/>
              <w:spacing w:before="0" w:line="240" w:lineRule="auto"/>
              <w:rPr>
                <w:rFonts w:ascii="Arial" w:hAnsi="Arial" w:cs="Arial"/>
                <w:sz w:val="22"/>
                <w:szCs w:val="22"/>
                <w:lang w:val="es-ES_tradnl"/>
              </w:rPr>
            </w:pPr>
          </w:p>
          <w:p w:rsidR="00D62D3D" w:rsidRPr="002E1371" w:rsidRDefault="00D62D3D" w:rsidP="0073133E">
            <w:pPr>
              <w:pStyle w:val="OtsikkoArtiklat"/>
              <w:spacing w:before="0" w:line="240" w:lineRule="auto"/>
              <w:rPr>
                <w:rFonts w:ascii="Arial" w:hAnsi="Arial" w:cs="Arial"/>
                <w:sz w:val="22"/>
                <w:szCs w:val="22"/>
                <w:lang w:val="es-ES_tradnl"/>
              </w:rPr>
            </w:pPr>
            <w:r w:rsidRPr="002E1371">
              <w:rPr>
                <w:rFonts w:ascii="Arial" w:hAnsi="Arial" w:cs="Arial"/>
                <w:sz w:val="22"/>
                <w:szCs w:val="22"/>
                <w:lang w:val="es-ES_tradnl"/>
              </w:rPr>
              <w:t>Articulo 6</w:t>
            </w:r>
            <w:r w:rsidRPr="002E1371">
              <w:rPr>
                <w:rFonts w:ascii="Arial" w:hAnsi="Arial" w:cs="Arial"/>
                <w:i/>
                <w:iCs/>
                <w:sz w:val="22"/>
                <w:szCs w:val="22"/>
                <w:lang w:val="es-ES_tradnl"/>
              </w:rPr>
              <w:t>bis</w:t>
            </w:r>
          </w:p>
          <w:p w:rsidR="00D62D3D" w:rsidRPr="002E1371" w:rsidRDefault="00D62D3D" w:rsidP="0073133E">
            <w:pPr>
              <w:jc w:val="center"/>
              <w:rPr>
                <w:b/>
                <w:szCs w:val="22"/>
                <w:lang w:val="es-ES_tradnl"/>
              </w:rPr>
            </w:pPr>
            <w:r w:rsidRPr="002E1371">
              <w:rPr>
                <w:b/>
                <w:szCs w:val="22"/>
                <w:lang w:val="es-ES_tradnl"/>
              </w:rPr>
              <w:t xml:space="preserve">Protección </w:t>
            </w:r>
            <w:r>
              <w:rPr>
                <w:b/>
                <w:szCs w:val="22"/>
                <w:lang w:val="es-ES_tradnl"/>
              </w:rPr>
              <w:t xml:space="preserve">de las señales transmitidas </w:t>
            </w:r>
            <w:r w:rsidR="002A0A73">
              <w:rPr>
                <w:b/>
                <w:szCs w:val="22"/>
                <w:lang w:val="es-ES_tradnl"/>
              </w:rPr>
              <w:t xml:space="preserve">por </w:t>
            </w:r>
            <w:r>
              <w:rPr>
                <w:b/>
                <w:szCs w:val="22"/>
                <w:lang w:val="es-ES_tradnl"/>
              </w:rPr>
              <w:t>redes informáticas</w:t>
            </w:r>
          </w:p>
          <w:p w:rsidR="00D62D3D" w:rsidRPr="002E1371" w:rsidRDefault="00D62D3D" w:rsidP="0073133E">
            <w:pPr>
              <w:rPr>
                <w:szCs w:val="22"/>
                <w:lang w:val="es-ES_tradnl" w:eastAsia="ja-JP"/>
              </w:rPr>
            </w:pPr>
          </w:p>
          <w:p w:rsidR="00D62D3D" w:rsidRPr="00A3251B" w:rsidRDefault="00D62D3D" w:rsidP="00A3251B">
            <w:pPr>
              <w:pStyle w:val="ListParagraph"/>
              <w:numPr>
                <w:ilvl w:val="0"/>
                <w:numId w:val="7"/>
              </w:numPr>
              <w:ind w:left="0" w:firstLine="0"/>
              <w:rPr>
                <w:szCs w:val="22"/>
                <w:lang w:val="es-ES_tradnl" w:eastAsia="ja-JP"/>
              </w:rPr>
            </w:pPr>
            <w:r w:rsidRPr="00A3251B">
              <w:rPr>
                <w:szCs w:val="22"/>
                <w:lang w:val="es-ES_tradnl"/>
              </w:rPr>
              <w:t>Los organismos de radiodifusión y los organismos de difusión por cable gozarán de protección para [sus señales de transmisión, con exclusión d</w:t>
            </w:r>
            <w:r w:rsidR="00E420F0" w:rsidRPr="00A3251B">
              <w:rPr>
                <w:szCs w:val="22"/>
                <w:lang w:val="es-ES_tradnl"/>
              </w:rPr>
              <w:t xml:space="preserve">e las señales de transmisión a </w:t>
            </w:r>
            <w:r w:rsidRPr="00A3251B">
              <w:rPr>
                <w:szCs w:val="22"/>
                <w:lang w:val="es-ES_tradnl"/>
              </w:rPr>
              <w:t xml:space="preserve">la carta / </w:t>
            </w:r>
            <w:r w:rsidR="005F28C5" w:rsidRPr="00A3251B">
              <w:rPr>
                <w:szCs w:val="22"/>
                <w:lang w:val="es-ES_tradnl"/>
              </w:rPr>
              <w:t xml:space="preserve">las </w:t>
            </w:r>
            <w:r w:rsidRPr="00A3251B">
              <w:rPr>
                <w:szCs w:val="22"/>
                <w:lang w:val="es-ES_tradnl"/>
              </w:rPr>
              <w:t>señales de transmisión simultánea e inalterada de su</w:t>
            </w:r>
            <w:r w:rsidR="002A0A73" w:rsidRPr="00A3251B">
              <w:rPr>
                <w:szCs w:val="22"/>
                <w:lang w:val="es-ES_tradnl"/>
              </w:rPr>
              <w:t>s emisiones</w:t>
            </w:r>
            <w:r w:rsidRPr="00A3251B">
              <w:rPr>
                <w:szCs w:val="22"/>
                <w:lang w:val="es-ES_tradnl"/>
              </w:rPr>
              <w:t>] por redes informáticas.</w:t>
            </w:r>
          </w:p>
          <w:p w:rsidR="00D62D3D" w:rsidRPr="002E1371" w:rsidRDefault="00D62D3D" w:rsidP="00A3251B">
            <w:pPr>
              <w:rPr>
                <w:szCs w:val="22"/>
                <w:lang w:val="es-ES_tradnl" w:eastAsia="ja-JP"/>
              </w:rPr>
            </w:pPr>
          </w:p>
          <w:p w:rsidR="00D62D3D" w:rsidRPr="002E1371" w:rsidRDefault="00D62D3D" w:rsidP="00A3251B">
            <w:pPr>
              <w:pStyle w:val="Artiklat"/>
              <w:numPr>
                <w:ilvl w:val="0"/>
                <w:numId w:val="7"/>
              </w:numPr>
              <w:spacing w:line="240" w:lineRule="auto"/>
              <w:ind w:left="0" w:firstLine="0"/>
              <w:rPr>
                <w:rFonts w:ascii="Arial" w:hAnsi="Arial" w:cs="Arial"/>
                <w:sz w:val="22"/>
                <w:szCs w:val="22"/>
                <w:lang w:val="es-ES_tradnl"/>
              </w:rPr>
            </w:pPr>
            <w:r>
              <w:rPr>
                <w:rFonts w:ascii="Arial" w:hAnsi="Arial" w:cs="Arial"/>
                <w:sz w:val="22"/>
                <w:szCs w:val="22"/>
                <w:lang w:val="es-ES_tradnl"/>
              </w:rPr>
              <w:t>La</w:t>
            </w:r>
            <w:r w:rsidRPr="002E1371">
              <w:rPr>
                <w:rFonts w:ascii="Arial" w:hAnsi="Arial" w:cs="Arial"/>
                <w:sz w:val="22"/>
                <w:szCs w:val="22"/>
                <w:lang w:val="es-ES_tradnl"/>
              </w:rPr>
              <w:t xml:space="preserve"> protección </w:t>
            </w:r>
            <w:r>
              <w:rPr>
                <w:rFonts w:ascii="Arial" w:hAnsi="Arial" w:cs="Arial"/>
                <w:sz w:val="22"/>
                <w:szCs w:val="22"/>
                <w:lang w:val="es-ES_tradnl"/>
              </w:rPr>
              <w:t>prevista en el párrafo </w:t>
            </w:r>
            <w:r w:rsidRPr="002E1371">
              <w:rPr>
                <w:rFonts w:ascii="Arial" w:hAnsi="Arial" w:cs="Arial"/>
                <w:sz w:val="22"/>
                <w:szCs w:val="22"/>
                <w:lang w:val="es-ES_tradnl"/>
              </w:rPr>
              <w:t xml:space="preserve">1) </w:t>
            </w:r>
            <w:r>
              <w:rPr>
                <w:rFonts w:ascii="Arial" w:hAnsi="Arial" w:cs="Arial"/>
                <w:sz w:val="22"/>
                <w:szCs w:val="22"/>
                <w:lang w:val="es-ES_tradnl"/>
              </w:rPr>
              <w:t xml:space="preserve">sólo podrá reivindicarse en una </w:t>
            </w:r>
            <w:r w:rsidRPr="003E7674">
              <w:rPr>
                <w:rFonts w:ascii="Arial" w:hAnsi="Arial" w:cs="Arial"/>
                <w:sz w:val="22"/>
                <w:szCs w:val="24"/>
                <w:lang w:val="es-ES_tradnl"/>
              </w:rPr>
              <w:t>Parte Contratante</w:t>
            </w:r>
            <w:r>
              <w:rPr>
                <w:rFonts w:ascii="Arial" w:hAnsi="Arial" w:cs="Arial"/>
                <w:sz w:val="22"/>
                <w:szCs w:val="22"/>
                <w:lang w:val="es-ES_tradnl"/>
              </w:rPr>
              <w:t xml:space="preserve"> si la legislación de la </w:t>
            </w:r>
            <w:r w:rsidRPr="003E7674">
              <w:rPr>
                <w:rFonts w:ascii="Arial" w:hAnsi="Arial" w:cs="Arial"/>
                <w:sz w:val="22"/>
                <w:szCs w:val="24"/>
                <w:lang w:val="es-ES_tradnl"/>
              </w:rPr>
              <w:t>Parte Contratante</w:t>
            </w:r>
            <w:r>
              <w:rPr>
                <w:rFonts w:ascii="Arial" w:hAnsi="Arial" w:cs="Arial"/>
                <w:sz w:val="22"/>
                <w:szCs w:val="24"/>
                <w:lang w:val="es-ES_tradnl"/>
              </w:rPr>
              <w:t xml:space="preserve"> a la que pertenecen los </w:t>
            </w:r>
            <w:r w:rsidRPr="003E7674">
              <w:rPr>
                <w:rFonts w:ascii="Arial" w:hAnsi="Arial" w:cs="Arial"/>
                <w:sz w:val="22"/>
                <w:szCs w:val="24"/>
                <w:lang w:val="es-ES_tradnl"/>
              </w:rPr>
              <w:t>organismos de radiodifusión</w:t>
            </w:r>
            <w:r>
              <w:rPr>
                <w:rFonts w:ascii="Arial" w:hAnsi="Arial" w:cs="Arial"/>
                <w:sz w:val="22"/>
                <w:szCs w:val="24"/>
                <w:lang w:val="es-ES_tradnl"/>
              </w:rPr>
              <w:t xml:space="preserve"> y los </w:t>
            </w:r>
            <w:r w:rsidRPr="003E7674">
              <w:rPr>
                <w:rFonts w:ascii="Arial" w:hAnsi="Arial" w:cs="Arial"/>
                <w:sz w:val="22"/>
                <w:szCs w:val="24"/>
                <w:lang w:val="es-ES_tradnl"/>
              </w:rPr>
              <w:t>organismos de difusión por cable</w:t>
            </w:r>
            <w:r>
              <w:rPr>
                <w:rFonts w:ascii="Arial" w:hAnsi="Arial" w:cs="Arial"/>
                <w:sz w:val="22"/>
                <w:szCs w:val="24"/>
                <w:lang w:val="es-ES_tradnl"/>
              </w:rPr>
              <w:t xml:space="preserve"> lo permite y en la medida permitida por la </w:t>
            </w:r>
            <w:r w:rsidRPr="003E7674">
              <w:rPr>
                <w:rFonts w:ascii="Arial" w:hAnsi="Arial" w:cs="Arial"/>
                <w:sz w:val="22"/>
                <w:szCs w:val="24"/>
                <w:lang w:val="es-ES_tradnl"/>
              </w:rPr>
              <w:t>Parte Contratante</w:t>
            </w:r>
            <w:r>
              <w:rPr>
                <w:rFonts w:ascii="Arial" w:hAnsi="Arial" w:cs="Arial"/>
                <w:sz w:val="22"/>
                <w:szCs w:val="24"/>
                <w:lang w:val="es-ES_tradnl"/>
              </w:rPr>
              <w:t xml:space="preserve"> en la que se reivindi</w:t>
            </w:r>
            <w:r w:rsidR="00C72513">
              <w:rPr>
                <w:rFonts w:ascii="Arial" w:hAnsi="Arial" w:cs="Arial"/>
                <w:sz w:val="22"/>
                <w:szCs w:val="24"/>
                <w:lang w:val="es-ES_tradnl"/>
              </w:rPr>
              <w:t>que</w:t>
            </w:r>
            <w:r>
              <w:rPr>
                <w:rFonts w:ascii="Arial" w:hAnsi="Arial" w:cs="Arial"/>
                <w:sz w:val="22"/>
                <w:szCs w:val="24"/>
                <w:lang w:val="es-ES_tradnl"/>
              </w:rPr>
              <w:t xml:space="preserve"> la protección.</w:t>
            </w:r>
          </w:p>
          <w:p w:rsidR="00D62D3D" w:rsidRPr="002E1371" w:rsidRDefault="00D62D3D" w:rsidP="00A3251B">
            <w:pPr>
              <w:pStyle w:val="Artiklat"/>
              <w:spacing w:line="240" w:lineRule="auto"/>
              <w:rPr>
                <w:rFonts w:ascii="Arial" w:hAnsi="Arial" w:cs="Arial"/>
                <w:sz w:val="22"/>
                <w:szCs w:val="22"/>
                <w:lang w:val="es-ES_tradnl"/>
              </w:rPr>
            </w:pPr>
          </w:p>
          <w:p w:rsidR="00D62D3D" w:rsidRPr="002E1371" w:rsidRDefault="00D62D3D" w:rsidP="00A3251B">
            <w:pPr>
              <w:pStyle w:val="Artiklat"/>
              <w:numPr>
                <w:ilvl w:val="0"/>
                <w:numId w:val="7"/>
              </w:numPr>
              <w:spacing w:line="240" w:lineRule="auto"/>
              <w:ind w:left="0" w:firstLine="0"/>
              <w:rPr>
                <w:rFonts w:ascii="Arial" w:hAnsi="Arial" w:cs="Arial"/>
                <w:sz w:val="22"/>
                <w:szCs w:val="22"/>
                <w:lang w:val="es-ES_tradnl"/>
              </w:rPr>
            </w:pPr>
            <w:r>
              <w:rPr>
                <w:rFonts w:ascii="Arial" w:hAnsi="Arial" w:cs="Arial"/>
                <w:sz w:val="22"/>
                <w:szCs w:val="22"/>
                <w:lang w:val="es-ES_tradnl"/>
              </w:rPr>
              <w:t>El alcance y las medidas específicas de la protección contemplada en el párrafo </w:t>
            </w:r>
            <w:r w:rsidRPr="002E1371">
              <w:rPr>
                <w:rFonts w:ascii="Arial" w:hAnsi="Arial" w:cs="Arial"/>
                <w:sz w:val="22"/>
                <w:szCs w:val="22"/>
                <w:lang w:val="es-ES_tradnl"/>
              </w:rPr>
              <w:t xml:space="preserve">1) </w:t>
            </w:r>
            <w:r>
              <w:rPr>
                <w:rFonts w:ascii="Arial" w:hAnsi="Arial" w:cs="Arial"/>
                <w:sz w:val="22"/>
                <w:szCs w:val="22"/>
                <w:lang w:val="es-ES_tradnl"/>
              </w:rPr>
              <w:t xml:space="preserve">se regirán por la legislación de la </w:t>
            </w:r>
            <w:r w:rsidRPr="003E7674">
              <w:rPr>
                <w:rFonts w:ascii="Arial" w:hAnsi="Arial" w:cs="Arial"/>
                <w:sz w:val="22"/>
                <w:szCs w:val="24"/>
                <w:lang w:val="es-ES_tradnl"/>
              </w:rPr>
              <w:t>Parte Contratante</w:t>
            </w:r>
            <w:r>
              <w:rPr>
                <w:rFonts w:ascii="Arial" w:hAnsi="Arial" w:cs="Arial"/>
                <w:sz w:val="22"/>
                <w:szCs w:val="22"/>
                <w:lang w:val="es-ES_tradnl"/>
              </w:rPr>
              <w:t xml:space="preserve"> en la que se reivindique la protección.</w:t>
            </w:r>
          </w:p>
          <w:p w:rsidR="00D62D3D" w:rsidRPr="002E1371" w:rsidRDefault="00D62D3D" w:rsidP="0073133E">
            <w:pPr>
              <w:rPr>
                <w:szCs w:val="22"/>
                <w:lang w:val="es-ES_tradnl" w:eastAsia="ja-JP"/>
              </w:rPr>
            </w:pPr>
          </w:p>
        </w:tc>
      </w:tr>
    </w:tbl>
    <w:p w:rsidR="00D62D3D" w:rsidRPr="00D62D3D" w:rsidRDefault="00D62D3D" w:rsidP="0073133E">
      <w:pPr>
        <w:pStyle w:val="Endofdocument"/>
        <w:ind w:left="0" w:right="480"/>
        <w:jc w:val="left"/>
        <w:rPr>
          <w:rFonts w:ascii="Arial" w:hAnsi="Arial" w:cs="Arial"/>
          <w:sz w:val="22"/>
          <w:szCs w:val="22"/>
          <w:lang w:val="es-ES"/>
        </w:rPr>
      </w:pPr>
    </w:p>
    <w:p w:rsidR="00D62D3D" w:rsidRPr="00D62D3D" w:rsidRDefault="00D62D3D" w:rsidP="0073133E">
      <w:pPr>
        <w:pStyle w:val="Endofdocument"/>
        <w:ind w:left="0" w:right="480"/>
        <w:jc w:val="left"/>
        <w:rPr>
          <w:rFonts w:ascii="Arial" w:hAnsi="Arial" w:cs="Arial"/>
          <w:sz w:val="22"/>
          <w:szCs w:val="22"/>
          <w:lang w:val="es-ES"/>
        </w:rPr>
      </w:pPr>
    </w:p>
    <w:p w:rsidR="00D62D3D" w:rsidRPr="00D62D3D" w:rsidRDefault="00D62D3D" w:rsidP="0073133E">
      <w:pPr>
        <w:pStyle w:val="Endofdocument"/>
        <w:ind w:left="0" w:right="480"/>
        <w:jc w:val="left"/>
        <w:rPr>
          <w:rFonts w:ascii="Arial" w:hAnsi="Arial" w:cs="Arial"/>
          <w:sz w:val="22"/>
          <w:szCs w:val="22"/>
          <w:lang w:val="es-ES"/>
        </w:rPr>
      </w:pPr>
    </w:p>
    <w:p w:rsidR="00D62D3D" w:rsidRPr="002E1371" w:rsidRDefault="00D62D3D" w:rsidP="0073133E">
      <w:pPr>
        <w:pStyle w:val="Endofdocument"/>
        <w:ind w:left="5387" w:right="480"/>
        <w:jc w:val="left"/>
        <w:rPr>
          <w:rFonts w:ascii="Arial" w:hAnsi="Arial" w:cs="Arial"/>
          <w:sz w:val="22"/>
          <w:szCs w:val="22"/>
          <w:lang w:val="es-ES_tradnl" w:eastAsia="ja-JP"/>
        </w:rPr>
      </w:pPr>
      <w:r w:rsidRPr="002E1371">
        <w:rPr>
          <w:rFonts w:ascii="Arial" w:hAnsi="Arial" w:cs="Arial"/>
          <w:sz w:val="22"/>
          <w:szCs w:val="22"/>
          <w:lang w:val="es-ES_tradnl"/>
        </w:rPr>
        <w:t>[</w:t>
      </w:r>
      <w:r>
        <w:rPr>
          <w:rFonts w:ascii="Arial" w:hAnsi="Arial" w:cs="Arial"/>
          <w:sz w:val="22"/>
          <w:szCs w:val="22"/>
          <w:lang w:val="es-ES_tradnl"/>
        </w:rPr>
        <w:t>Fin del documento</w:t>
      </w:r>
      <w:r w:rsidRPr="002E1371">
        <w:rPr>
          <w:rFonts w:ascii="Arial" w:hAnsi="Arial" w:cs="Arial"/>
          <w:sz w:val="22"/>
          <w:szCs w:val="22"/>
          <w:lang w:val="es-ES_tradnl"/>
        </w:rPr>
        <w:t>]</w:t>
      </w:r>
    </w:p>
    <w:p w:rsidR="00D62D3D" w:rsidRPr="003A7DF6" w:rsidRDefault="00D62D3D" w:rsidP="0073133E">
      <w:pPr>
        <w:pStyle w:val="ONUMFS"/>
        <w:numPr>
          <w:ilvl w:val="0"/>
          <w:numId w:val="0"/>
        </w:numPr>
      </w:pPr>
    </w:p>
    <w:sectPr w:rsidR="00D62D3D" w:rsidRPr="003A7DF6" w:rsidSect="00176FC1">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FC1" w:rsidRDefault="00176FC1">
      <w:r>
        <w:separator/>
      </w:r>
    </w:p>
  </w:endnote>
  <w:endnote w:type="continuationSeparator" w:id="0">
    <w:p w:rsidR="00176FC1" w:rsidRPr="009D30E6" w:rsidRDefault="00176FC1" w:rsidP="007E663E">
      <w:pPr>
        <w:rPr>
          <w:sz w:val="17"/>
          <w:szCs w:val="17"/>
        </w:rPr>
      </w:pPr>
      <w:r w:rsidRPr="009D30E6">
        <w:rPr>
          <w:sz w:val="17"/>
          <w:szCs w:val="17"/>
        </w:rPr>
        <w:separator/>
      </w:r>
    </w:p>
    <w:p w:rsidR="00176FC1" w:rsidRPr="007E663E" w:rsidRDefault="00176FC1" w:rsidP="007E663E">
      <w:pPr>
        <w:spacing w:after="60"/>
        <w:rPr>
          <w:sz w:val="17"/>
          <w:szCs w:val="17"/>
        </w:rPr>
      </w:pPr>
      <w:r>
        <w:rPr>
          <w:sz w:val="17"/>
        </w:rPr>
        <w:t>[Continuación de la nota de la página anterior]</w:t>
      </w:r>
    </w:p>
  </w:endnote>
  <w:endnote w:type="continuationNotice" w:id="1">
    <w:p w:rsidR="00176FC1" w:rsidRPr="007E663E" w:rsidRDefault="00176FC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FC1" w:rsidRDefault="00176FC1">
      <w:r>
        <w:separator/>
      </w:r>
    </w:p>
  </w:footnote>
  <w:footnote w:type="continuationSeparator" w:id="0">
    <w:p w:rsidR="00176FC1" w:rsidRPr="009D30E6" w:rsidRDefault="00176FC1" w:rsidP="007E663E">
      <w:pPr>
        <w:rPr>
          <w:sz w:val="17"/>
          <w:szCs w:val="17"/>
        </w:rPr>
      </w:pPr>
      <w:r w:rsidRPr="009D30E6">
        <w:rPr>
          <w:sz w:val="17"/>
          <w:szCs w:val="17"/>
        </w:rPr>
        <w:separator/>
      </w:r>
    </w:p>
    <w:p w:rsidR="00176FC1" w:rsidRPr="007E663E" w:rsidRDefault="00176FC1" w:rsidP="007E663E">
      <w:pPr>
        <w:spacing w:after="60"/>
        <w:rPr>
          <w:sz w:val="17"/>
          <w:szCs w:val="17"/>
        </w:rPr>
      </w:pPr>
      <w:r>
        <w:rPr>
          <w:sz w:val="17"/>
        </w:rPr>
        <w:t>[Continuación de la nota de la página anterior]</w:t>
      </w:r>
    </w:p>
  </w:footnote>
  <w:footnote w:type="continuationNotice" w:id="1">
    <w:p w:rsidR="00176FC1" w:rsidRPr="007E663E" w:rsidRDefault="00176FC1"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176FC1" w:rsidP="00477D6B">
    <w:pPr>
      <w:jc w:val="right"/>
    </w:pPr>
    <w:bookmarkStart w:id="6" w:name="Code2"/>
    <w:bookmarkEnd w:id="6"/>
    <w:r>
      <w:t>SCCR/26/6</w:t>
    </w:r>
  </w:p>
  <w:p w:rsidR="00AE7F20" w:rsidRDefault="00AE7F20" w:rsidP="00477D6B">
    <w:pPr>
      <w:jc w:val="right"/>
    </w:pPr>
    <w:r>
      <w:t xml:space="preserve">página </w:t>
    </w:r>
    <w:r>
      <w:fldChar w:fldCharType="begin"/>
    </w:r>
    <w:r>
      <w:instrText xml:space="preserve"> PAGE  \* MERGEFORMAT </w:instrText>
    </w:r>
    <w:r>
      <w:fldChar w:fldCharType="separate"/>
    </w:r>
    <w:r w:rsidR="005926E5">
      <w:rPr>
        <w:noProof/>
      </w:rPr>
      <w:t>3</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69B6041"/>
    <w:multiLevelType w:val="hybridMultilevel"/>
    <w:tmpl w:val="B18CBA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0FC7154"/>
    <w:multiLevelType w:val="hybridMultilevel"/>
    <w:tmpl w:val="486A72D6"/>
    <w:lvl w:ilvl="0" w:tplc="6D302FA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FC1"/>
    <w:rsid w:val="00010686"/>
    <w:rsid w:val="00011CE1"/>
    <w:rsid w:val="00052915"/>
    <w:rsid w:val="0006006E"/>
    <w:rsid w:val="000E3BB3"/>
    <w:rsid w:val="000F5E56"/>
    <w:rsid w:val="00130AE2"/>
    <w:rsid w:val="001362EE"/>
    <w:rsid w:val="00152CEA"/>
    <w:rsid w:val="00176FC1"/>
    <w:rsid w:val="001770E3"/>
    <w:rsid w:val="001832A6"/>
    <w:rsid w:val="001853F5"/>
    <w:rsid w:val="001B61DC"/>
    <w:rsid w:val="002212AF"/>
    <w:rsid w:val="002634C4"/>
    <w:rsid w:val="0028188A"/>
    <w:rsid w:val="002A0A73"/>
    <w:rsid w:val="002C7CBD"/>
    <w:rsid w:val="002E0F47"/>
    <w:rsid w:val="002F4E68"/>
    <w:rsid w:val="003067C9"/>
    <w:rsid w:val="00323636"/>
    <w:rsid w:val="00354647"/>
    <w:rsid w:val="00377273"/>
    <w:rsid w:val="003845C1"/>
    <w:rsid w:val="00387287"/>
    <w:rsid w:val="003A7DF6"/>
    <w:rsid w:val="003D5015"/>
    <w:rsid w:val="003E2DE0"/>
    <w:rsid w:val="003E48F1"/>
    <w:rsid w:val="003F347A"/>
    <w:rsid w:val="00404AE9"/>
    <w:rsid w:val="00423E3E"/>
    <w:rsid w:val="00427AF4"/>
    <w:rsid w:val="0045231F"/>
    <w:rsid w:val="004647DA"/>
    <w:rsid w:val="00477745"/>
    <w:rsid w:val="00477808"/>
    <w:rsid w:val="00477D6B"/>
    <w:rsid w:val="00490F84"/>
    <w:rsid w:val="004A6C37"/>
    <w:rsid w:val="004E297D"/>
    <w:rsid w:val="00506862"/>
    <w:rsid w:val="005332F0"/>
    <w:rsid w:val="0055013B"/>
    <w:rsid w:val="00550DAB"/>
    <w:rsid w:val="00571B99"/>
    <w:rsid w:val="005828C0"/>
    <w:rsid w:val="005926E5"/>
    <w:rsid w:val="005D2733"/>
    <w:rsid w:val="005F28C5"/>
    <w:rsid w:val="00605827"/>
    <w:rsid w:val="00620920"/>
    <w:rsid w:val="00667878"/>
    <w:rsid w:val="00675021"/>
    <w:rsid w:val="006A06C6"/>
    <w:rsid w:val="006A7C08"/>
    <w:rsid w:val="00702B46"/>
    <w:rsid w:val="007039CD"/>
    <w:rsid w:val="007224C8"/>
    <w:rsid w:val="0073133E"/>
    <w:rsid w:val="00765473"/>
    <w:rsid w:val="00794BE2"/>
    <w:rsid w:val="007B71FE"/>
    <w:rsid w:val="007D781E"/>
    <w:rsid w:val="007E663E"/>
    <w:rsid w:val="00811322"/>
    <w:rsid w:val="00815082"/>
    <w:rsid w:val="00851F32"/>
    <w:rsid w:val="00867B10"/>
    <w:rsid w:val="00882C35"/>
    <w:rsid w:val="0088395E"/>
    <w:rsid w:val="008B2CC1"/>
    <w:rsid w:val="008E6BD6"/>
    <w:rsid w:val="0090731E"/>
    <w:rsid w:val="00954502"/>
    <w:rsid w:val="009605CB"/>
    <w:rsid w:val="00960EFC"/>
    <w:rsid w:val="00966A22"/>
    <w:rsid w:val="00972F03"/>
    <w:rsid w:val="009A0C8B"/>
    <w:rsid w:val="009B6241"/>
    <w:rsid w:val="009F738E"/>
    <w:rsid w:val="00A16FC0"/>
    <w:rsid w:val="00A3251B"/>
    <w:rsid w:val="00A32C9E"/>
    <w:rsid w:val="00AA32B4"/>
    <w:rsid w:val="00AB613D"/>
    <w:rsid w:val="00AE7F20"/>
    <w:rsid w:val="00B34D33"/>
    <w:rsid w:val="00B65A0A"/>
    <w:rsid w:val="00B67CDC"/>
    <w:rsid w:val="00B72D36"/>
    <w:rsid w:val="00B765D4"/>
    <w:rsid w:val="00BC4164"/>
    <w:rsid w:val="00BD2DCC"/>
    <w:rsid w:val="00BE7950"/>
    <w:rsid w:val="00C0341D"/>
    <w:rsid w:val="00C17033"/>
    <w:rsid w:val="00C43F95"/>
    <w:rsid w:val="00C6190C"/>
    <w:rsid w:val="00C72513"/>
    <w:rsid w:val="00C90559"/>
    <w:rsid w:val="00CA2251"/>
    <w:rsid w:val="00D05933"/>
    <w:rsid w:val="00D12F17"/>
    <w:rsid w:val="00D56C7C"/>
    <w:rsid w:val="00D62D3D"/>
    <w:rsid w:val="00D71B4D"/>
    <w:rsid w:val="00D90289"/>
    <w:rsid w:val="00D93D55"/>
    <w:rsid w:val="00DC4C60"/>
    <w:rsid w:val="00E0079A"/>
    <w:rsid w:val="00E420F0"/>
    <w:rsid w:val="00E444DA"/>
    <w:rsid w:val="00E45C84"/>
    <w:rsid w:val="00E504E5"/>
    <w:rsid w:val="00E95EDE"/>
    <w:rsid w:val="00EB7A3E"/>
    <w:rsid w:val="00EC401A"/>
    <w:rsid w:val="00ED0685"/>
    <w:rsid w:val="00EF4459"/>
    <w:rsid w:val="00EF530A"/>
    <w:rsid w:val="00EF6622"/>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D62D3D"/>
    <w:pPr>
      <w:ind w:left="4536"/>
      <w:jc w:val="center"/>
    </w:pPr>
    <w:rPr>
      <w:rFonts w:ascii="Times New Roman" w:eastAsia="MS Mincho" w:hAnsi="Times New Roman" w:cs="Times New Roman"/>
      <w:sz w:val="24"/>
      <w:lang w:val="en-US"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OtsikkoArtiklat">
    <w:name w:val="Otsikko Artiklat"/>
    <w:basedOn w:val="Normal"/>
    <w:next w:val="Artiklat"/>
    <w:rsid w:val="00D62D3D"/>
    <w:pPr>
      <w:spacing w:before="240" w:line="480" w:lineRule="auto"/>
      <w:jc w:val="center"/>
    </w:pPr>
    <w:rPr>
      <w:rFonts w:ascii="Times New Roman" w:eastAsia="MS Mincho" w:hAnsi="Times New Roman" w:cs="Times New Roman"/>
      <w:b/>
      <w:sz w:val="24"/>
      <w:lang w:val="en-US" w:eastAsia="ja-JP"/>
    </w:rPr>
  </w:style>
  <w:style w:type="paragraph" w:customStyle="1" w:styleId="Artiklat">
    <w:name w:val="Artiklat"/>
    <w:basedOn w:val="Normal"/>
    <w:rsid w:val="00D62D3D"/>
    <w:pPr>
      <w:spacing w:line="480" w:lineRule="auto"/>
    </w:pPr>
    <w:rPr>
      <w:rFonts w:ascii="Times New Roman" w:eastAsia="MS Mincho" w:hAnsi="Times New Roman" w:cs="Times New Roman"/>
      <w:sz w:val="24"/>
      <w:lang w:val="en-US" w:eastAsia="ja-JP"/>
    </w:rPr>
  </w:style>
  <w:style w:type="paragraph" w:styleId="ListParagraph">
    <w:name w:val="List Paragraph"/>
    <w:basedOn w:val="Normal"/>
    <w:uiPriority w:val="34"/>
    <w:qFormat/>
    <w:rsid w:val="00A3251B"/>
    <w:pPr>
      <w:ind w:left="720"/>
      <w:contextualSpacing/>
    </w:pPr>
  </w:style>
  <w:style w:type="paragraph" w:styleId="BalloonText">
    <w:name w:val="Balloon Text"/>
    <w:basedOn w:val="Normal"/>
    <w:link w:val="BalloonTextChar"/>
    <w:rsid w:val="002C7CBD"/>
    <w:rPr>
      <w:rFonts w:ascii="Tahoma" w:hAnsi="Tahoma" w:cs="Tahoma"/>
      <w:sz w:val="16"/>
      <w:szCs w:val="16"/>
    </w:rPr>
  </w:style>
  <w:style w:type="character" w:customStyle="1" w:styleId="BalloonTextChar">
    <w:name w:val="Balloon Text Char"/>
    <w:basedOn w:val="DefaultParagraphFont"/>
    <w:link w:val="BalloonText"/>
    <w:rsid w:val="002C7CBD"/>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D62D3D"/>
    <w:pPr>
      <w:ind w:left="4536"/>
      <w:jc w:val="center"/>
    </w:pPr>
    <w:rPr>
      <w:rFonts w:ascii="Times New Roman" w:eastAsia="MS Mincho" w:hAnsi="Times New Roman" w:cs="Times New Roman"/>
      <w:sz w:val="24"/>
      <w:lang w:val="en-US"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OtsikkoArtiklat">
    <w:name w:val="Otsikko Artiklat"/>
    <w:basedOn w:val="Normal"/>
    <w:next w:val="Artiklat"/>
    <w:rsid w:val="00D62D3D"/>
    <w:pPr>
      <w:spacing w:before="240" w:line="480" w:lineRule="auto"/>
      <w:jc w:val="center"/>
    </w:pPr>
    <w:rPr>
      <w:rFonts w:ascii="Times New Roman" w:eastAsia="MS Mincho" w:hAnsi="Times New Roman" w:cs="Times New Roman"/>
      <w:b/>
      <w:sz w:val="24"/>
      <w:lang w:val="en-US" w:eastAsia="ja-JP"/>
    </w:rPr>
  </w:style>
  <w:style w:type="paragraph" w:customStyle="1" w:styleId="Artiklat">
    <w:name w:val="Artiklat"/>
    <w:basedOn w:val="Normal"/>
    <w:rsid w:val="00D62D3D"/>
    <w:pPr>
      <w:spacing w:line="480" w:lineRule="auto"/>
    </w:pPr>
    <w:rPr>
      <w:rFonts w:ascii="Times New Roman" w:eastAsia="MS Mincho" w:hAnsi="Times New Roman" w:cs="Times New Roman"/>
      <w:sz w:val="24"/>
      <w:lang w:val="en-US" w:eastAsia="ja-JP"/>
    </w:rPr>
  </w:style>
  <w:style w:type="paragraph" w:styleId="ListParagraph">
    <w:name w:val="List Paragraph"/>
    <w:basedOn w:val="Normal"/>
    <w:uiPriority w:val="34"/>
    <w:qFormat/>
    <w:rsid w:val="00A3251B"/>
    <w:pPr>
      <w:ind w:left="720"/>
      <w:contextualSpacing/>
    </w:pPr>
  </w:style>
  <w:style w:type="paragraph" w:styleId="BalloonText">
    <w:name w:val="Balloon Text"/>
    <w:basedOn w:val="Normal"/>
    <w:link w:val="BalloonTextChar"/>
    <w:rsid w:val="002C7CBD"/>
    <w:rPr>
      <w:rFonts w:ascii="Tahoma" w:hAnsi="Tahoma" w:cs="Tahoma"/>
      <w:sz w:val="16"/>
      <w:szCs w:val="16"/>
    </w:rPr>
  </w:style>
  <w:style w:type="character" w:customStyle="1" w:styleId="BalloonTextChar">
    <w:name w:val="Balloon Text Char"/>
    <w:basedOn w:val="DefaultParagraphFont"/>
    <w:link w:val="BalloonText"/>
    <w:rsid w:val="002C7CBD"/>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26%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 26 (S)</Template>
  <TotalTime>1</TotalTime>
  <Pages>3</Pages>
  <Words>683</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Proyecto de tratado sobre la protección de los organismos de radiodifusión</vt:lpstr>
    </vt:vector>
  </TitlesOfParts>
  <Company>WIPO</Company>
  <LinksUpToDate>false</LinksUpToDate>
  <CharactersWithSpaces>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tratado sobre la protección de los organismos de radiodifusión</dc:title>
  <dc:subject>SCCR/26/6</dc:subject>
  <dc:creator>CEVALLOS DUQUE Nilo</dc:creator>
  <dc:description>KP/nc_x000d_
10/12/2013</dc:description>
  <cp:lastModifiedBy>HAIZEL Francesca</cp:lastModifiedBy>
  <cp:revision>3</cp:revision>
  <cp:lastPrinted>2013-12-11T08:53:00Z</cp:lastPrinted>
  <dcterms:created xsi:type="dcterms:W3CDTF">2013-12-11T08:53:00Z</dcterms:created>
  <dcterms:modified xsi:type="dcterms:W3CDTF">2013-12-11T08:54:00Z</dcterms:modified>
</cp:coreProperties>
</file>