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2B03" w14:textId="77777777" w:rsidR="008B2CC1" w:rsidRPr="008B2CC1" w:rsidRDefault="00873EE5" w:rsidP="00F11D94">
      <w:pPr>
        <w:spacing w:after="120"/>
        <w:jc w:val="right"/>
      </w:pPr>
      <w:r>
        <w:rPr>
          <w:noProof/>
          <w:sz w:val="28"/>
          <w:szCs w:val="28"/>
          <w:lang w:eastAsia="en-US"/>
        </w:rPr>
        <w:drawing>
          <wp:inline distT="0" distB="0" distL="0" distR="0" wp14:anchorId="6EBF7A16" wp14:editId="42BB982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1C7E076" wp14:editId="5BFAEAB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CAC65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7930D20" w14:textId="69519425"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FC5970">
        <w:rPr>
          <w:rFonts w:ascii="Arial Black" w:hAnsi="Arial Black"/>
          <w:caps/>
          <w:sz w:val="15"/>
          <w:szCs w:val="15"/>
        </w:rPr>
        <w:t>8</w:t>
      </w:r>
    </w:p>
    <w:p w14:paraId="2F6B41FE" w14:textId="79AD4C6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C5970">
        <w:rPr>
          <w:rFonts w:ascii="Arial Black" w:hAnsi="Arial Black"/>
          <w:caps/>
          <w:sz w:val="15"/>
          <w:szCs w:val="15"/>
        </w:rPr>
        <w:t>English</w:t>
      </w:r>
    </w:p>
    <w:bookmarkEnd w:id="1"/>
    <w:p w14:paraId="40CF7E0C" w14:textId="721E8F5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FC5970">
        <w:rPr>
          <w:rFonts w:ascii="Arial Black" w:hAnsi="Arial Black"/>
          <w:caps/>
          <w:sz w:val="15"/>
          <w:szCs w:val="15"/>
        </w:rPr>
        <w:t xml:space="preserve">november </w:t>
      </w:r>
      <w:r w:rsidR="00A25338">
        <w:rPr>
          <w:rFonts w:ascii="Arial Black" w:hAnsi="Arial Black"/>
          <w:caps/>
          <w:sz w:val="15"/>
          <w:szCs w:val="15"/>
        </w:rPr>
        <w:t>10</w:t>
      </w:r>
      <w:r w:rsidR="00FC5970">
        <w:rPr>
          <w:rFonts w:ascii="Arial Black" w:hAnsi="Arial Black"/>
          <w:caps/>
          <w:sz w:val="15"/>
          <w:szCs w:val="15"/>
        </w:rPr>
        <w:t>, 2025</w:t>
      </w:r>
    </w:p>
    <w:bookmarkEnd w:id="2"/>
    <w:p w14:paraId="732364DA"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2FE0FEE0"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659E9EA1"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11387CBA" w14:textId="57D4B1AB" w:rsidR="008B2CC1" w:rsidRPr="009F3BF9" w:rsidRDefault="00A305EF" w:rsidP="00CE65D4">
      <w:pPr>
        <w:spacing w:after="360"/>
        <w:rPr>
          <w:caps/>
          <w:sz w:val="24"/>
        </w:rPr>
      </w:pPr>
      <w:bookmarkStart w:id="3" w:name="TitleOfDoc"/>
      <w:r>
        <w:rPr>
          <w:caps/>
          <w:sz w:val="24"/>
        </w:rPr>
        <w:t xml:space="preserve">TEXT PROPOSED IN THE FRAMEWORK OF </w:t>
      </w:r>
      <w:r w:rsidR="00161551">
        <w:rPr>
          <w:caps/>
          <w:sz w:val="24"/>
        </w:rPr>
        <w:t>WORK</w:t>
      </w:r>
      <w:r>
        <w:rPr>
          <w:caps/>
          <w:sz w:val="24"/>
        </w:rPr>
        <w:t xml:space="preserve"> TOWARDS AN APPROPRIATE INTERNATIONAL LEGAL INSTRUMENT OR INSTRUMENTS ON LIMITATIONS AND EXCEPTIONS</w:t>
      </w:r>
    </w:p>
    <w:p w14:paraId="3F15B72C" w14:textId="5F03E063" w:rsidR="008B2CC1" w:rsidRDefault="00A305EF" w:rsidP="00CE65D4">
      <w:pPr>
        <w:spacing w:after="960"/>
        <w:rPr>
          <w:i/>
        </w:rPr>
      </w:pPr>
      <w:bookmarkStart w:id="4" w:name="Prepared"/>
      <w:bookmarkEnd w:id="3"/>
      <w:r>
        <w:rPr>
          <w:i/>
        </w:rPr>
        <w:t>Proposal by the SCCR Chair and Vice-Chair</w:t>
      </w:r>
    </w:p>
    <w:p w14:paraId="28990CC0" w14:textId="7C76D199" w:rsidR="00A305EF" w:rsidRDefault="00A305EF">
      <w:pPr>
        <w:rPr>
          <w:i/>
        </w:rPr>
      </w:pPr>
      <w:r>
        <w:rPr>
          <w:i/>
        </w:rPr>
        <w:br w:type="page"/>
      </w:r>
    </w:p>
    <w:p w14:paraId="7553C74D" w14:textId="77777777" w:rsidR="00A305EF" w:rsidRPr="004D39C4" w:rsidRDefault="00A305EF" w:rsidP="00CE65D4">
      <w:pPr>
        <w:spacing w:after="960"/>
        <w:rPr>
          <w:i/>
        </w:rPr>
      </w:pPr>
    </w:p>
    <w:bookmarkEnd w:id="4"/>
    <w:p w14:paraId="11593943" w14:textId="77777777" w:rsidR="00A25338" w:rsidRDefault="00A25338" w:rsidP="00A25338">
      <w:pPr>
        <w:rPr>
          <w:u w:val="single"/>
        </w:rPr>
      </w:pPr>
      <w:r w:rsidRPr="00E82783">
        <w:rPr>
          <w:u w:val="single"/>
        </w:rPr>
        <w:t>Introduct</w:t>
      </w:r>
      <w:r>
        <w:rPr>
          <w:u w:val="single"/>
        </w:rPr>
        <w:t xml:space="preserve">ory Statement from the Chair and </w:t>
      </w:r>
      <w:proofErr w:type="gramStart"/>
      <w:r>
        <w:rPr>
          <w:u w:val="single"/>
        </w:rPr>
        <w:t>Vice-Chair</w:t>
      </w:r>
      <w:proofErr w:type="gramEnd"/>
    </w:p>
    <w:p w14:paraId="5D9BFD03" w14:textId="77777777" w:rsidR="00A25338" w:rsidRDefault="00A25338" w:rsidP="00A25338">
      <w:pPr>
        <w:rPr>
          <w:u w:val="single"/>
        </w:rPr>
      </w:pPr>
    </w:p>
    <w:p w14:paraId="26F68121" w14:textId="77777777" w:rsidR="00A25338" w:rsidRDefault="00A25338" w:rsidP="00A25338">
      <w:r>
        <w:t>T</w:t>
      </w:r>
      <w:r w:rsidRPr="00E82783">
        <w:t xml:space="preserve">his text was drafted in line with the undertaking </w:t>
      </w:r>
      <w:r>
        <w:t xml:space="preserve">given to us </w:t>
      </w:r>
      <w:r w:rsidRPr="00E82783">
        <w:t xml:space="preserve">during </w:t>
      </w:r>
      <w:proofErr w:type="spellStart"/>
      <w:r w:rsidRPr="00E82783">
        <w:t>SCCR</w:t>
      </w:r>
      <w:proofErr w:type="spellEnd"/>
      <w:r>
        <w:t xml:space="preserve">/46, the previous session held in April 2025.  It aims to build on the earlier progress related to this agenda item, </w:t>
      </w:r>
      <w:proofErr w:type="gramStart"/>
      <w:r>
        <w:t>taking into account</w:t>
      </w:r>
      <w:proofErr w:type="gramEnd"/>
      <w:r>
        <w:t xml:space="preserve"> the common ground identified by </w:t>
      </w:r>
      <w:proofErr w:type="spellStart"/>
      <w:r>
        <w:t>SCCR</w:t>
      </w:r>
      <w:proofErr w:type="spellEnd"/>
      <w:r>
        <w:t xml:space="preserve"> Members during discussions, including with reference to the documents previously submitted under this item.</w:t>
      </w:r>
    </w:p>
    <w:p w14:paraId="554A94BA" w14:textId="77777777" w:rsidR="00A25338" w:rsidRDefault="00A25338" w:rsidP="00A25338"/>
    <w:p w14:paraId="59C494E5" w14:textId="77777777" w:rsidR="00A25338" w:rsidRPr="00E82783" w:rsidRDefault="00A25338" w:rsidP="00A25338">
      <w:r>
        <w:t>This draft is a baseline proposal, and the current form is without prejudice to the legal nature and form of the outcome of this process.</w:t>
      </w:r>
    </w:p>
    <w:p w14:paraId="288A0044" w14:textId="29387DA3" w:rsidR="00A25338" w:rsidRPr="00A25338" w:rsidRDefault="00A25338" w:rsidP="00A25338">
      <w:pPr>
        <w:rPr>
          <w:u w:val="single"/>
        </w:rPr>
      </w:pPr>
      <w:r w:rsidRPr="00E82783">
        <w:rPr>
          <w:u w:val="single"/>
        </w:rPr>
        <w:br w:type="page"/>
      </w:r>
      <w:r>
        <w:rPr>
          <w:rFonts w:eastAsia="MS Gothic"/>
          <w:b/>
          <w:bCs/>
        </w:rPr>
        <w:lastRenderedPageBreak/>
        <w:t xml:space="preserve">CORE </w:t>
      </w:r>
      <w:r w:rsidRPr="00280283">
        <w:rPr>
          <w:rFonts w:eastAsia="MS Mincho"/>
          <w:b/>
          <w:bCs/>
        </w:rPr>
        <w:t>GUIDING CONSIDERATIONS</w:t>
      </w:r>
    </w:p>
    <w:p w14:paraId="5138E873" w14:textId="77777777" w:rsidR="00A25338" w:rsidRDefault="00A25338" w:rsidP="00A25338">
      <w:pPr>
        <w:spacing w:line="360" w:lineRule="auto"/>
        <w:rPr>
          <w:rFonts w:eastAsia="MS Mincho"/>
        </w:rPr>
      </w:pPr>
      <w:r w:rsidRPr="00582F97">
        <w:rPr>
          <w:rFonts w:eastAsia="MS Mincho"/>
        </w:rPr>
        <w:br/>
      </w:r>
      <w:r>
        <w:rPr>
          <w:rFonts w:eastAsia="MS Mincho"/>
        </w:rPr>
        <w:t>E</w:t>
      </w:r>
      <w:r w:rsidRPr="00582F97">
        <w:rPr>
          <w:rFonts w:eastAsia="MS Mincho"/>
        </w:rPr>
        <w:t xml:space="preserve">nsuring an appropriate balance between the rights of </w:t>
      </w:r>
      <w:r>
        <w:rPr>
          <w:rFonts w:eastAsia="MS Mincho"/>
        </w:rPr>
        <w:t xml:space="preserve">creators </w:t>
      </w:r>
      <w:r w:rsidRPr="00582F97">
        <w:rPr>
          <w:rFonts w:eastAsia="MS Mincho"/>
        </w:rPr>
        <w:t xml:space="preserve">and other rightsholders, and the public interest in </w:t>
      </w:r>
      <w:r>
        <w:rPr>
          <w:rFonts w:eastAsia="MS Mincho"/>
        </w:rPr>
        <w:t xml:space="preserve">preservation, access, </w:t>
      </w:r>
      <w:r w:rsidRPr="00582F97">
        <w:rPr>
          <w:rFonts w:eastAsia="MS Mincho"/>
        </w:rPr>
        <w:t xml:space="preserve">education </w:t>
      </w:r>
      <w:r>
        <w:rPr>
          <w:rFonts w:eastAsia="MS Mincho"/>
        </w:rPr>
        <w:t>and</w:t>
      </w:r>
      <w:r w:rsidRPr="00582F97">
        <w:rPr>
          <w:rFonts w:eastAsia="MS Mincho"/>
        </w:rPr>
        <w:t xml:space="preserve"> </w:t>
      </w:r>
      <w:r>
        <w:rPr>
          <w:rFonts w:eastAsia="MS Mincho"/>
        </w:rPr>
        <w:t xml:space="preserve">research </w:t>
      </w:r>
      <w:proofErr w:type="gramStart"/>
      <w:r>
        <w:rPr>
          <w:rFonts w:eastAsia="MS Mincho"/>
        </w:rPr>
        <w:t>vis-à-vis</w:t>
      </w:r>
      <w:proofErr w:type="gramEnd"/>
      <w:r>
        <w:rPr>
          <w:rFonts w:eastAsia="MS Mincho"/>
        </w:rPr>
        <w:t xml:space="preserve"> creative content is an element intrinsic to copyright</w:t>
      </w:r>
      <w:r w:rsidRPr="00F5558F">
        <w:rPr>
          <w:rStyle w:val="FootnoteReference"/>
          <w:rFonts w:eastAsia="MS Mincho"/>
          <w:i/>
          <w:iCs/>
        </w:rPr>
        <w:footnoteReference w:id="2"/>
      </w:r>
      <w:r w:rsidRPr="00582F97">
        <w:rPr>
          <w:rFonts w:eastAsia="MS Mincho"/>
        </w:rPr>
        <w:t xml:space="preserve">; </w:t>
      </w:r>
    </w:p>
    <w:p w14:paraId="0F3A6304" w14:textId="77777777" w:rsidR="00A25338" w:rsidRDefault="00A25338" w:rsidP="00A25338">
      <w:pPr>
        <w:spacing w:line="360" w:lineRule="auto"/>
        <w:rPr>
          <w:rFonts w:eastAsia="MS Mincho"/>
        </w:rPr>
      </w:pPr>
    </w:p>
    <w:p w14:paraId="4DF53EC2" w14:textId="77777777" w:rsidR="00A25338" w:rsidRDefault="00A25338" w:rsidP="00A25338">
      <w:pPr>
        <w:spacing w:line="360" w:lineRule="auto"/>
        <w:rPr>
          <w:rFonts w:eastAsia="MS Mincho"/>
        </w:rPr>
      </w:pPr>
      <w:r>
        <w:rPr>
          <w:rFonts w:eastAsia="MS Mincho"/>
        </w:rPr>
        <w:t>While taking this balance into account, cultural heritage institutions, such as</w:t>
      </w:r>
      <w:r w:rsidRPr="00582F97">
        <w:rPr>
          <w:rFonts w:eastAsia="MS Mincho"/>
        </w:rPr>
        <w:t xml:space="preserve"> libraries, archives </w:t>
      </w:r>
      <w:r>
        <w:rPr>
          <w:rFonts w:eastAsia="MS Mincho"/>
        </w:rPr>
        <w:t xml:space="preserve">and </w:t>
      </w:r>
      <w:r w:rsidRPr="00582F97">
        <w:rPr>
          <w:rFonts w:eastAsia="MS Mincho"/>
        </w:rPr>
        <w:t>museums</w:t>
      </w:r>
      <w:r>
        <w:rPr>
          <w:rFonts w:eastAsia="MS Mincho"/>
        </w:rPr>
        <w:t>,</w:t>
      </w:r>
      <w:r w:rsidRPr="00582F97">
        <w:rPr>
          <w:rFonts w:eastAsia="MS Mincho"/>
        </w:rPr>
        <w:t xml:space="preserve"> </w:t>
      </w:r>
      <w:r>
        <w:rPr>
          <w:rFonts w:eastAsia="MS Mincho"/>
        </w:rPr>
        <w:t xml:space="preserve">and </w:t>
      </w:r>
      <w:r w:rsidRPr="00582F97">
        <w:rPr>
          <w:rFonts w:eastAsia="MS Mincho"/>
        </w:rPr>
        <w:t xml:space="preserve">educational </w:t>
      </w:r>
      <w:r>
        <w:rPr>
          <w:rFonts w:eastAsia="MS Mincho"/>
        </w:rPr>
        <w:t xml:space="preserve">and research </w:t>
      </w:r>
      <w:r w:rsidRPr="00582F97">
        <w:rPr>
          <w:rFonts w:eastAsia="MS Mincho"/>
        </w:rPr>
        <w:t>institutions</w:t>
      </w:r>
      <w:r>
        <w:rPr>
          <w:rFonts w:eastAsia="MS Mincho"/>
        </w:rPr>
        <w:t>,</w:t>
      </w:r>
      <w:r w:rsidRPr="00582F97">
        <w:rPr>
          <w:rFonts w:eastAsia="MS Mincho"/>
        </w:rPr>
        <w:t xml:space="preserve"> </w:t>
      </w:r>
      <w:r>
        <w:rPr>
          <w:rFonts w:eastAsia="MS Mincho"/>
        </w:rPr>
        <w:t xml:space="preserve">have a fundamental role </w:t>
      </w:r>
      <w:r w:rsidRPr="00582F97">
        <w:rPr>
          <w:rFonts w:eastAsia="MS Mincho"/>
        </w:rPr>
        <w:t xml:space="preserve">in </w:t>
      </w:r>
      <w:r>
        <w:rPr>
          <w:rFonts w:eastAsia="MS Mincho"/>
        </w:rPr>
        <w:t xml:space="preserve">preservation; </w:t>
      </w:r>
      <w:r w:rsidRPr="00582F97">
        <w:rPr>
          <w:rFonts w:eastAsia="MS Mincho"/>
        </w:rPr>
        <w:t>access to knowledge, information</w:t>
      </w:r>
      <w:r>
        <w:rPr>
          <w:rFonts w:eastAsia="MS Mincho"/>
        </w:rPr>
        <w:t>,</w:t>
      </w:r>
      <w:r w:rsidRPr="00582F97">
        <w:rPr>
          <w:rFonts w:eastAsia="MS Mincho"/>
        </w:rPr>
        <w:t xml:space="preserve"> and </w:t>
      </w:r>
      <w:r>
        <w:rPr>
          <w:rFonts w:eastAsia="MS Mincho"/>
        </w:rPr>
        <w:t>memory</w:t>
      </w:r>
      <w:r w:rsidRPr="00582F97">
        <w:rPr>
          <w:rFonts w:eastAsia="MS Mincho"/>
        </w:rPr>
        <w:t xml:space="preserve"> of people</w:t>
      </w:r>
      <w:r>
        <w:rPr>
          <w:rFonts w:eastAsia="MS Mincho"/>
        </w:rPr>
        <w:t xml:space="preserve">s; </w:t>
      </w:r>
      <w:r w:rsidRPr="004475C4">
        <w:rPr>
          <w:rFonts w:eastAsia="MS Mincho"/>
        </w:rPr>
        <w:t>as well as offering the possibility for all persons with disabilities to fully participate in the cultural life of the community, to enjoy the arts, and to benefit from scientific progress</w:t>
      </w:r>
      <w:r>
        <w:rPr>
          <w:rFonts w:eastAsia="MS Mincho"/>
        </w:rPr>
        <w:t>;</w:t>
      </w:r>
    </w:p>
    <w:p w14:paraId="54757C0E" w14:textId="77777777" w:rsidR="00A25338" w:rsidRDefault="00A25338" w:rsidP="00A25338">
      <w:pPr>
        <w:spacing w:line="360" w:lineRule="auto"/>
        <w:rPr>
          <w:rFonts w:eastAsia="MS Mincho"/>
        </w:rPr>
      </w:pPr>
      <w:r w:rsidRPr="00582F97">
        <w:rPr>
          <w:rFonts w:eastAsia="MS Mincho"/>
        </w:rPr>
        <w:br/>
      </w:r>
      <w:r>
        <w:rPr>
          <w:rFonts w:eastAsia="MS Mincho"/>
        </w:rPr>
        <w:t>T</w:t>
      </w:r>
      <w:r w:rsidRPr="00582F97">
        <w:rPr>
          <w:rFonts w:eastAsia="MS Mincho"/>
        </w:rPr>
        <w:t>he Standing Committee on Copyright and Related Rights (</w:t>
      </w:r>
      <w:proofErr w:type="spellStart"/>
      <w:r w:rsidRPr="00582F97">
        <w:rPr>
          <w:rFonts w:eastAsia="MS Mincho"/>
        </w:rPr>
        <w:t>SCCR</w:t>
      </w:r>
      <w:proofErr w:type="spellEnd"/>
      <w:r w:rsidRPr="00582F97">
        <w:rPr>
          <w:rFonts w:eastAsia="MS Mincho"/>
        </w:rPr>
        <w:t xml:space="preserve">), </w:t>
      </w:r>
      <w:r>
        <w:rPr>
          <w:rFonts w:eastAsia="MS Mincho"/>
        </w:rPr>
        <w:t xml:space="preserve">has undertaken substantial work, including in regional seminars and </w:t>
      </w:r>
      <w:proofErr w:type="gramStart"/>
      <w:r>
        <w:rPr>
          <w:rFonts w:eastAsia="MS Mincho"/>
        </w:rPr>
        <w:t>an international conference</w:t>
      </w:r>
      <w:proofErr w:type="gramEnd"/>
      <w:r>
        <w:rPr>
          <w:rFonts w:eastAsia="MS Mincho"/>
        </w:rPr>
        <w:t xml:space="preserve">, identifying as priority areas </w:t>
      </w:r>
      <w:r w:rsidRPr="00582F97">
        <w:rPr>
          <w:rFonts w:eastAsia="MS Mincho"/>
        </w:rPr>
        <w:t>preservation, access, adaptation to the digital environment</w:t>
      </w:r>
      <w:r>
        <w:rPr>
          <w:rFonts w:eastAsia="MS Mincho"/>
        </w:rPr>
        <w:t>, and cross-border matters</w:t>
      </w:r>
      <w:r w:rsidRPr="00582F97">
        <w:rPr>
          <w:rFonts w:eastAsia="MS Mincho"/>
        </w:rPr>
        <w:t xml:space="preserve"> </w:t>
      </w:r>
      <w:proofErr w:type="gramStart"/>
      <w:r>
        <w:rPr>
          <w:rFonts w:eastAsia="MS Mincho"/>
        </w:rPr>
        <w:t>with regard to</w:t>
      </w:r>
      <w:proofErr w:type="gramEnd"/>
      <w:r>
        <w:rPr>
          <w:rFonts w:eastAsia="MS Mincho"/>
        </w:rPr>
        <w:t xml:space="preserve"> cultural heritage as well as educational and research</w:t>
      </w:r>
      <w:r w:rsidRPr="005711DB">
        <w:rPr>
          <w:rFonts w:eastAsia="MS Mincho"/>
        </w:rPr>
        <w:t xml:space="preserve"> </w:t>
      </w:r>
      <w:r>
        <w:rPr>
          <w:rFonts w:eastAsia="MS Mincho"/>
        </w:rPr>
        <w:t>institutions.</w:t>
      </w:r>
      <w:r w:rsidRPr="00582F97">
        <w:rPr>
          <w:rFonts w:eastAsia="MS Mincho"/>
        </w:rPr>
        <w:t xml:space="preserve"> </w:t>
      </w:r>
      <w:r w:rsidRPr="00385A38">
        <w:rPr>
          <w:rFonts w:eastAsia="MS Mincho"/>
        </w:rPr>
        <w:t xml:space="preserve">The </w:t>
      </w:r>
      <w:proofErr w:type="spellStart"/>
      <w:r w:rsidRPr="00385A38">
        <w:rPr>
          <w:rFonts w:eastAsia="MS Mincho"/>
        </w:rPr>
        <w:t>SCCR</w:t>
      </w:r>
      <w:proofErr w:type="spellEnd"/>
      <w:r w:rsidRPr="00385A38">
        <w:rPr>
          <w:rFonts w:eastAsia="MS Mincho"/>
        </w:rPr>
        <w:t xml:space="preserve"> has also placed particular focus on facilitating access to copyright-protected works for </w:t>
      </w:r>
      <w:proofErr w:type="gramStart"/>
      <w:r w:rsidRPr="00385A38">
        <w:rPr>
          <w:rFonts w:eastAsia="MS Mincho"/>
        </w:rPr>
        <w:t>persons</w:t>
      </w:r>
      <w:proofErr w:type="gramEnd"/>
      <w:r w:rsidRPr="00385A38">
        <w:rPr>
          <w:rFonts w:eastAsia="MS Mincho"/>
        </w:rPr>
        <w:t xml:space="preserve"> with </w:t>
      </w:r>
      <w:proofErr w:type="gramStart"/>
      <w:r w:rsidRPr="00385A38">
        <w:rPr>
          <w:rFonts w:eastAsia="MS Mincho"/>
        </w:rPr>
        <w:t>disabilities</w:t>
      </w:r>
      <w:r>
        <w:rPr>
          <w:rFonts w:eastAsia="MS Mincho"/>
        </w:rPr>
        <w:t>;</w:t>
      </w:r>
      <w:proofErr w:type="gramEnd"/>
      <w:r w:rsidRPr="00F41959">
        <w:t xml:space="preserve"> </w:t>
      </w:r>
      <w:r>
        <w:t xml:space="preserve"> </w:t>
      </w:r>
    </w:p>
    <w:p w14:paraId="3A250E49" w14:textId="77777777" w:rsidR="00A25338" w:rsidRDefault="00A25338" w:rsidP="00A25338">
      <w:pPr>
        <w:spacing w:line="360" w:lineRule="auto"/>
        <w:rPr>
          <w:rFonts w:eastAsia="MS Mincho"/>
        </w:rPr>
      </w:pPr>
    </w:p>
    <w:p w14:paraId="3AA1E142" w14:textId="77777777" w:rsidR="00A25338" w:rsidRDefault="00A25338" w:rsidP="00A25338">
      <w:pPr>
        <w:spacing w:line="360" w:lineRule="auto"/>
        <w:rPr>
          <w:rFonts w:eastAsia="MS Mincho"/>
        </w:rPr>
      </w:pPr>
      <w:r>
        <w:rPr>
          <w:rFonts w:eastAsia="MS Mincho"/>
        </w:rPr>
        <w:t>T</w:t>
      </w:r>
      <w:r w:rsidRPr="00582F97">
        <w:rPr>
          <w:rFonts w:eastAsia="MS Mincho"/>
        </w:rPr>
        <w:t>he international copyright framework, including the Berne Convention and the WIPO Copyright Treaty (</w:t>
      </w:r>
      <w:proofErr w:type="spellStart"/>
      <w:r w:rsidRPr="00582F97">
        <w:rPr>
          <w:rFonts w:eastAsia="MS Mincho"/>
        </w:rPr>
        <w:t>WCT</w:t>
      </w:r>
      <w:proofErr w:type="spellEnd"/>
      <w:r w:rsidRPr="00582F97">
        <w:rPr>
          <w:rFonts w:eastAsia="MS Mincho"/>
        </w:rPr>
        <w:t xml:space="preserve">), </w:t>
      </w:r>
      <w:r>
        <w:rPr>
          <w:rFonts w:eastAsia="MS Mincho"/>
        </w:rPr>
        <w:t>the WIPO Performances and Phonograms Treaty (</w:t>
      </w:r>
      <w:proofErr w:type="spellStart"/>
      <w:r>
        <w:rPr>
          <w:rFonts w:eastAsia="MS Mincho"/>
        </w:rPr>
        <w:t>WPPT</w:t>
      </w:r>
      <w:proofErr w:type="spellEnd"/>
      <w:r>
        <w:rPr>
          <w:rFonts w:eastAsia="MS Mincho"/>
        </w:rPr>
        <w:t>), the Beijing Treaty on Audiovisual Performances (</w:t>
      </w:r>
      <w:proofErr w:type="spellStart"/>
      <w:r>
        <w:rPr>
          <w:rFonts w:eastAsia="MS Mincho"/>
        </w:rPr>
        <w:t>BTAP</w:t>
      </w:r>
      <w:proofErr w:type="spellEnd"/>
      <w:r>
        <w:rPr>
          <w:rFonts w:eastAsia="MS Mincho"/>
        </w:rPr>
        <w:t>), and the</w:t>
      </w:r>
      <w:r w:rsidRPr="00AA1B2F">
        <w:rPr>
          <w:rFonts w:eastAsia="MS Mincho"/>
        </w:rPr>
        <w:t xml:space="preserve"> Marrakesh Treaty to Facilitate Access to Published Works for Persons Who Are Blind, Visually Impaired, or </w:t>
      </w:r>
      <w:r w:rsidRPr="007A2AF9">
        <w:rPr>
          <w:rFonts w:eastAsia="MS Mincho"/>
        </w:rPr>
        <w:t xml:space="preserve">Otherwise Print Disabled </w:t>
      </w:r>
      <w:r>
        <w:rPr>
          <w:rFonts w:eastAsia="MS Mincho"/>
        </w:rPr>
        <w:t>(</w:t>
      </w:r>
      <w:proofErr w:type="spellStart"/>
      <w:r>
        <w:rPr>
          <w:rFonts w:eastAsia="MS Mincho"/>
        </w:rPr>
        <w:t>MVT</w:t>
      </w:r>
      <w:proofErr w:type="spellEnd"/>
      <w:r>
        <w:rPr>
          <w:rFonts w:eastAsia="MS Mincho"/>
        </w:rPr>
        <w:t xml:space="preserve">),  </w:t>
      </w:r>
      <w:r w:rsidRPr="007A2AF9">
        <w:rPr>
          <w:rFonts w:eastAsia="MS Mincho"/>
        </w:rPr>
        <w:t>allow</w:t>
      </w:r>
      <w:r>
        <w:rPr>
          <w:rFonts w:eastAsia="MS Mincho"/>
        </w:rPr>
        <w:t>s</w:t>
      </w:r>
      <w:r w:rsidRPr="007A2AF9">
        <w:rPr>
          <w:rFonts w:eastAsia="MS Mincho"/>
        </w:rPr>
        <w:t xml:space="preserve"> Member States to adopt limitations and exceptions </w:t>
      </w:r>
      <w:r w:rsidRPr="004475C4">
        <w:rPr>
          <w:rFonts w:eastAsia="MS Mincho"/>
        </w:rPr>
        <w:t>well</w:t>
      </w:r>
      <w:r>
        <w:rPr>
          <w:rFonts w:eastAsia="MS Mincho"/>
        </w:rPr>
        <w:t>-</w:t>
      </w:r>
      <w:r w:rsidRPr="004475C4">
        <w:rPr>
          <w:rFonts w:eastAsia="MS Mincho"/>
        </w:rPr>
        <w:t>adapted to their respective systems</w:t>
      </w:r>
      <w:r w:rsidRPr="00EF7ACE">
        <w:rPr>
          <w:rFonts w:eastAsia="MS Mincho"/>
        </w:rPr>
        <w:t xml:space="preserve">, </w:t>
      </w:r>
      <w:r>
        <w:rPr>
          <w:rFonts w:eastAsia="MS Mincho"/>
        </w:rPr>
        <w:t>in accordance</w:t>
      </w:r>
      <w:r w:rsidRPr="00EF7ACE">
        <w:rPr>
          <w:rFonts w:eastAsia="MS Mincho"/>
        </w:rPr>
        <w:t xml:space="preserve"> wit</w:t>
      </w:r>
      <w:r w:rsidRPr="00582F97">
        <w:rPr>
          <w:rFonts w:eastAsia="MS Mincho"/>
        </w:rPr>
        <w:t xml:space="preserve">h the three-step test, in order to </w:t>
      </w:r>
      <w:r>
        <w:rPr>
          <w:rFonts w:eastAsia="MS Mincho"/>
        </w:rPr>
        <w:t>meet</w:t>
      </w:r>
      <w:r w:rsidRPr="00582F97">
        <w:rPr>
          <w:rFonts w:eastAsia="MS Mincho"/>
        </w:rPr>
        <w:t xml:space="preserve"> cultural, educational and scientific needs</w:t>
      </w:r>
      <w:r>
        <w:rPr>
          <w:rFonts w:eastAsia="MS Mincho"/>
        </w:rPr>
        <w:t>, among others</w:t>
      </w:r>
      <w:r w:rsidRPr="00582F97">
        <w:rPr>
          <w:rFonts w:eastAsia="MS Mincho"/>
        </w:rPr>
        <w:t xml:space="preserve">; </w:t>
      </w:r>
    </w:p>
    <w:p w14:paraId="6F4B798A" w14:textId="77777777" w:rsidR="00A25338" w:rsidRDefault="00A25338" w:rsidP="00A25338">
      <w:pPr>
        <w:spacing w:line="360" w:lineRule="auto"/>
        <w:rPr>
          <w:rFonts w:eastAsia="MS Mincho"/>
        </w:rPr>
      </w:pPr>
      <w:r w:rsidRPr="00582F97">
        <w:rPr>
          <w:rFonts w:eastAsia="MS Mincho"/>
        </w:rPr>
        <w:br/>
      </w:r>
      <w:r>
        <w:rPr>
          <w:rFonts w:eastAsia="MS Mincho"/>
        </w:rPr>
        <w:t>C</w:t>
      </w:r>
      <w:r w:rsidRPr="00385A38">
        <w:rPr>
          <w:rFonts w:eastAsia="MS Mincho"/>
        </w:rPr>
        <w:t>opyright</w:t>
      </w:r>
      <w:r>
        <w:rPr>
          <w:rFonts w:eastAsia="MS Mincho"/>
        </w:rPr>
        <w:t xml:space="preserve"> </w:t>
      </w:r>
      <w:r w:rsidRPr="00385A38">
        <w:rPr>
          <w:rFonts w:eastAsia="MS Mincho"/>
        </w:rPr>
        <w:t xml:space="preserve">can play a key role in facilitating legitimate access to knowledge and culture, while ensuring the recognition and protection of creators and other rights holders. </w:t>
      </w:r>
      <w:r>
        <w:rPr>
          <w:rFonts w:eastAsia="MS Mincho"/>
        </w:rPr>
        <w:t xml:space="preserve"> </w:t>
      </w:r>
      <w:r w:rsidRPr="00385A38">
        <w:rPr>
          <w:rFonts w:eastAsia="MS Mincho"/>
        </w:rPr>
        <w:t xml:space="preserve">To this end, there are various models that allow interests to be reconciled, whether through unpaid uses, uses subject to remuneration, or uses under licensing schemes, offering flexibility to Member States according to their needs and </w:t>
      </w:r>
      <w:proofErr w:type="gramStart"/>
      <w:r w:rsidRPr="00385A38">
        <w:rPr>
          <w:rFonts w:eastAsia="MS Mincho"/>
        </w:rPr>
        <w:t>contexts</w:t>
      </w:r>
      <w:r>
        <w:rPr>
          <w:rFonts w:eastAsia="MS Mincho"/>
        </w:rPr>
        <w:t>;</w:t>
      </w:r>
      <w:proofErr w:type="gramEnd"/>
    </w:p>
    <w:p w14:paraId="3D8297CC" w14:textId="77777777" w:rsidR="00A25338" w:rsidRDefault="00A25338" w:rsidP="00A25338">
      <w:pPr>
        <w:spacing w:line="360" w:lineRule="auto"/>
        <w:rPr>
          <w:rFonts w:eastAsia="MS Mincho"/>
        </w:rPr>
      </w:pPr>
      <w:r w:rsidRPr="00582F97">
        <w:rPr>
          <w:rFonts w:eastAsia="MS Mincho"/>
        </w:rPr>
        <w:br/>
      </w:r>
      <w:r>
        <w:rPr>
          <w:rFonts w:eastAsia="MS Mincho"/>
        </w:rPr>
        <w:t xml:space="preserve">Given the profound impact of </w:t>
      </w:r>
      <w:proofErr w:type="gramStart"/>
      <w:r>
        <w:rPr>
          <w:rFonts w:eastAsia="MS Mincho"/>
        </w:rPr>
        <w:t>rapid</w:t>
      </w:r>
      <w:proofErr w:type="gramEnd"/>
      <w:r>
        <w:rPr>
          <w:rFonts w:eastAsia="MS Mincho"/>
        </w:rPr>
        <w:t xml:space="preserve"> evolving digital</w:t>
      </w:r>
      <w:r w:rsidRPr="00F41959">
        <w:rPr>
          <w:rFonts w:eastAsia="MS Mincho"/>
        </w:rPr>
        <w:t xml:space="preserve"> technologies </w:t>
      </w:r>
      <w:r w:rsidRPr="007A2AF9">
        <w:rPr>
          <w:rFonts w:eastAsia="MS Mincho"/>
        </w:rPr>
        <w:t>on both the creation and use of literary, artistic, and scientific works</w:t>
      </w:r>
      <w:r>
        <w:rPr>
          <w:rStyle w:val="FootnoteReference"/>
          <w:rFonts w:eastAsia="MS Mincho"/>
        </w:rPr>
        <w:footnoteReference w:id="3"/>
      </w:r>
      <w:r w:rsidRPr="007A2AF9">
        <w:rPr>
          <w:rFonts w:eastAsia="MS Mincho"/>
        </w:rPr>
        <w:t>, the prop</w:t>
      </w:r>
      <w:r w:rsidRPr="00F41959">
        <w:rPr>
          <w:rFonts w:eastAsia="MS Mincho"/>
        </w:rPr>
        <w:t xml:space="preserve">osed text focuses on cultural heritage, educational </w:t>
      </w:r>
      <w:r w:rsidRPr="00F41959">
        <w:rPr>
          <w:rFonts w:eastAsia="MS Mincho"/>
        </w:rPr>
        <w:lastRenderedPageBreak/>
        <w:t xml:space="preserve">and research institutions, as well as on </w:t>
      </w:r>
      <w:proofErr w:type="gramStart"/>
      <w:r w:rsidRPr="00F41959">
        <w:rPr>
          <w:rFonts w:eastAsia="MS Mincho"/>
        </w:rPr>
        <w:t>persons</w:t>
      </w:r>
      <w:proofErr w:type="gramEnd"/>
      <w:r w:rsidRPr="00F41959">
        <w:rPr>
          <w:rFonts w:eastAsia="MS Mincho"/>
        </w:rPr>
        <w:t xml:space="preserve"> with disabilities, within the broader framework of work towards an appropriate international legal instrument or instruments on limitations and exception</w:t>
      </w:r>
      <w:r>
        <w:rPr>
          <w:rFonts w:eastAsia="MS Mincho"/>
        </w:rPr>
        <w:t>s:</w:t>
      </w:r>
    </w:p>
    <w:p w14:paraId="56063FE7" w14:textId="77777777" w:rsidR="00A25338" w:rsidRDefault="00A25338" w:rsidP="00A25338">
      <w:pPr>
        <w:spacing w:line="360" w:lineRule="auto"/>
        <w:rPr>
          <w:rFonts w:eastAsia="MS Mincho"/>
        </w:rPr>
      </w:pPr>
    </w:p>
    <w:p w14:paraId="48CE761B" w14:textId="77777777" w:rsidR="00A25338" w:rsidRDefault="00A25338" w:rsidP="00A25338">
      <w:pPr>
        <w:rPr>
          <w:rFonts w:eastAsia="MS Mincho"/>
          <w:i/>
          <w:iCs/>
          <w:sz w:val="18"/>
          <w:szCs w:val="18"/>
          <w:lang w:val="en-GB"/>
        </w:rPr>
      </w:pPr>
    </w:p>
    <w:p w14:paraId="3395C6F2" w14:textId="77777777" w:rsidR="00A25338" w:rsidRPr="00B26F1D" w:rsidRDefault="00A25338" w:rsidP="00A25338">
      <w:pPr>
        <w:rPr>
          <w:rFonts w:eastAsia="MS Mincho"/>
          <w:b/>
          <w:bCs/>
          <w:i/>
          <w:iCs/>
        </w:rPr>
      </w:pPr>
      <w:r>
        <w:rPr>
          <w:rFonts w:eastAsia="MS Gothic"/>
          <w:b/>
          <w:bCs/>
        </w:rPr>
        <w:t>A. Definitions</w:t>
      </w:r>
    </w:p>
    <w:p w14:paraId="13FE034A" w14:textId="77777777" w:rsidR="00A25338" w:rsidRPr="00AA1B2F" w:rsidRDefault="00A25338" w:rsidP="00A25338">
      <w:pPr>
        <w:rPr>
          <w:rFonts w:eastAsia="MS Mincho"/>
        </w:rPr>
      </w:pPr>
    </w:p>
    <w:p w14:paraId="12D0EB67" w14:textId="77777777" w:rsidR="00A25338" w:rsidRDefault="00A25338" w:rsidP="00A25338">
      <w:pPr>
        <w:spacing w:line="360" w:lineRule="auto"/>
        <w:rPr>
          <w:rFonts w:eastAsia="MS Mincho"/>
        </w:rPr>
      </w:pPr>
      <w:r w:rsidRPr="00582F97">
        <w:rPr>
          <w:rFonts w:eastAsia="MS Mincho"/>
        </w:rPr>
        <w:t xml:space="preserve">For the purposes of this </w:t>
      </w:r>
      <w:r>
        <w:rPr>
          <w:rFonts w:eastAsia="MS Mincho"/>
        </w:rPr>
        <w:t>text</w:t>
      </w:r>
      <w:r w:rsidRPr="00582F97">
        <w:rPr>
          <w:rFonts w:eastAsia="MS Mincho"/>
        </w:rPr>
        <w:t>:</w:t>
      </w:r>
    </w:p>
    <w:p w14:paraId="73E386C3" w14:textId="77777777" w:rsidR="00A25338" w:rsidRDefault="00A25338" w:rsidP="00A25338">
      <w:pPr>
        <w:spacing w:line="360" w:lineRule="auto"/>
        <w:rPr>
          <w:rFonts w:eastAsia="MS Mincho"/>
        </w:rPr>
      </w:pPr>
    </w:p>
    <w:p w14:paraId="7AB5D774" w14:textId="77777777" w:rsidR="00A25338" w:rsidRPr="004475C4" w:rsidRDefault="00A25338" w:rsidP="00A25338">
      <w:pPr>
        <w:pStyle w:val="ListParagraph"/>
        <w:numPr>
          <w:ilvl w:val="0"/>
          <w:numId w:val="10"/>
        </w:numPr>
        <w:spacing w:before="0" w:after="0" w:line="360" w:lineRule="auto"/>
        <w:ind w:left="360"/>
        <w:rPr>
          <w:rFonts w:eastAsia="MS Mincho" w:cs="Arial"/>
          <w:kern w:val="0"/>
          <w14:ligatures w14:val="none"/>
        </w:rPr>
      </w:pPr>
      <w:r w:rsidRPr="004475C4">
        <w:rPr>
          <w:rFonts w:eastAsia="MS Mincho" w:cs="Arial"/>
          <w:b/>
          <w:bCs/>
          <w:kern w:val="0"/>
          <w14:ligatures w14:val="none"/>
        </w:rPr>
        <w:t>Cultural heritage institutions</w:t>
      </w:r>
      <w:r w:rsidRPr="004475C4">
        <w:rPr>
          <w:rFonts w:eastAsia="MS Mincho" w:cs="Arial"/>
          <w:kern w:val="0"/>
          <w14:ligatures w14:val="none"/>
        </w:rPr>
        <w:t>: libraries, archives, museums and other not-for-profit entities performing equivalent functions.</w:t>
      </w:r>
    </w:p>
    <w:p w14:paraId="2D177DA5" w14:textId="77777777" w:rsidR="00A25338" w:rsidRDefault="00A25338" w:rsidP="00A25338">
      <w:pPr>
        <w:spacing w:line="360" w:lineRule="auto"/>
        <w:rPr>
          <w:rFonts w:eastAsia="MS Mincho"/>
        </w:rPr>
      </w:pPr>
    </w:p>
    <w:p w14:paraId="793BEA32" w14:textId="77777777" w:rsidR="00A25338" w:rsidRPr="004475C4" w:rsidRDefault="00A25338" w:rsidP="00A25338">
      <w:pPr>
        <w:pStyle w:val="ListParagraph"/>
        <w:numPr>
          <w:ilvl w:val="0"/>
          <w:numId w:val="10"/>
        </w:numPr>
        <w:spacing w:before="0" w:after="0" w:line="360" w:lineRule="auto"/>
        <w:ind w:left="360"/>
        <w:rPr>
          <w:rFonts w:eastAsia="MS Mincho" w:cs="Arial"/>
          <w:kern w:val="0"/>
          <w14:ligatures w14:val="none"/>
        </w:rPr>
      </w:pPr>
      <w:r w:rsidRPr="004475C4">
        <w:rPr>
          <w:rFonts w:eastAsia="MS Mincho" w:cs="Arial"/>
          <w:b/>
          <w:bCs/>
          <w:kern w:val="0"/>
          <w14:ligatures w14:val="none"/>
        </w:rPr>
        <w:t>Educational and research institutions</w:t>
      </w:r>
      <w:r w:rsidRPr="004475C4">
        <w:rPr>
          <w:rFonts w:eastAsia="MS Mincho" w:cs="Arial"/>
          <w:kern w:val="0"/>
          <w14:ligatures w14:val="none"/>
        </w:rPr>
        <w:t>: schools, universities, and other entities of a similar nature furthering educational or research purposes.</w:t>
      </w:r>
      <w:r w:rsidRPr="004475C4">
        <w:rPr>
          <w:rFonts w:eastAsia="MS Mincho" w:cs="Arial"/>
          <w:kern w:val="0"/>
          <w14:ligatures w14:val="none"/>
        </w:rPr>
        <w:br/>
      </w:r>
    </w:p>
    <w:p w14:paraId="0A947668" w14:textId="77777777" w:rsidR="00A25338" w:rsidRPr="004475C4" w:rsidRDefault="00A25338" w:rsidP="00A25338">
      <w:pPr>
        <w:pStyle w:val="ListParagraph"/>
        <w:numPr>
          <w:ilvl w:val="0"/>
          <w:numId w:val="10"/>
        </w:numPr>
        <w:spacing w:before="0" w:after="0" w:line="360" w:lineRule="auto"/>
        <w:ind w:left="360"/>
        <w:rPr>
          <w:rFonts w:eastAsia="MS Mincho" w:cs="Arial"/>
          <w:kern w:val="0"/>
          <w14:ligatures w14:val="none"/>
        </w:rPr>
      </w:pPr>
      <w:proofErr w:type="gramStart"/>
      <w:r w:rsidRPr="004475C4">
        <w:rPr>
          <w:rFonts w:eastAsia="MS Mincho" w:cs="Arial"/>
          <w:b/>
          <w:bCs/>
          <w:kern w:val="0"/>
          <w14:ligatures w14:val="none"/>
        </w:rPr>
        <w:t>Persons</w:t>
      </w:r>
      <w:proofErr w:type="gramEnd"/>
      <w:r w:rsidRPr="004475C4">
        <w:rPr>
          <w:rFonts w:eastAsia="MS Mincho" w:cs="Arial"/>
          <w:b/>
          <w:bCs/>
          <w:kern w:val="0"/>
          <w14:ligatures w14:val="none"/>
        </w:rPr>
        <w:t xml:space="preserve"> with disabilities</w:t>
      </w:r>
      <w:r>
        <w:rPr>
          <w:rStyle w:val="FootnoteReference"/>
          <w:rFonts w:eastAsia="MS Mincho" w:cs="Arial"/>
          <w:kern w:val="0"/>
          <w14:ligatures w14:val="none"/>
        </w:rPr>
        <w:footnoteReference w:id="4"/>
      </w:r>
      <w:r w:rsidRPr="004475C4">
        <w:rPr>
          <w:rFonts w:eastAsia="MS Mincho" w:cs="Arial"/>
          <w:kern w:val="0"/>
          <w14:ligatures w14:val="none"/>
        </w:rPr>
        <w:t>: includes those who have long-term physical, mental, intellectual, or sensory impairments which, in interaction with various barriers, may hinder their full and effective participation in society on an equal basis with others.</w:t>
      </w:r>
      <w:r w:rsidRPr="004475C4">
        <w:rPr>
          <w:rFonts w:eastAsia="MS Mincho" w:cs="Arial"/>
          <w:kern w:val="0"/>
          <w14:ligatures w14:val="none"/>
        </w:rPr>
        <w:br/>
      </w:r>
    </w:p>
    <w:p w14:paraId="7C8F192B" w14:textId="77777777" w:rsidR="00A25338" w:rsidRPr="004475C4" w:rsidRDefault="00A25338" w:rsidP="00A25338">
      <w:pPr>
        <w:pStyle w:val="ListParagraph"/>
        <w:numPr>
          <w:ilvl w:val="0"/>
          <w:numId w:val="10"/>
        </w:numPr>
        <w:spacing w:before="0" w:after="0" w:line="360" w:lineRule="auto"/>
        <w:ind w:left="360"/>
        <w:rPr>
          <w:rFonts w:eastAsia="MS Mincho" w:cs="Arial"/>
          <w:kern w:val="0"/>
          <w14:ligatures w14:val="none"/>
        </w:rPr>
      </w:pPr>
      <w:r w:rsidRPr="004475C4">
        <w:rPr>
          <w:rFonts w:eastAsia="MS Mincho" w:cs="Arial"/>
          <w:b/>
          <w:bCs/>
          <w:kern w:val="0"/>
          <w14:ligatures w14:val="none"/>
        </w:rPr>
        <w:t>Preservation</w:t>
      </w:r>
      <w:r w:rsidRPr="004475C4">
        <w:rPr>
          <w:rFonts w:eastAsia="MS Mincho" w:cs="Arial"/>
          <w:kern w:val="0"/>
          <w14:ligatures w14:val="none"/>
        </w:rPr>
        <w:t>: activities aimed at maintaining, stabilizing, restoring or migrating works, whether published or unpublished, to prevent their loss or deterioration, including the conversion of analog to digital formats and migration to stable technological formats.</w:t>
      </w:r>
      <w:r w:rsidRPr="004475C4">
        <w:rPr>
          <w:rFonts w:eastAsia="MS Mincho" w:cs="Arial"/>
          <w:kern w:val="0"/>
          <w14:ligatures w14:val="none"/>
        </w:rPr>
        <w:br/>
      </w:r>
    </w:p>
    <w:p w14:paraId="18C578F7" w14:textId="77777777" w:rsidR="00A25338" w:rsidRPr="004475C4" w:rsidRDefault="00A25338" w:rsidP="00A25338">
      <w:pPr>
        <w:pStyle w:val="ListParagraph"/>
        <w:numPr>
          <w:ilvl w:val="0"/>
          <w:numId w:val="10"/>
        </w:numPr>
        <w:spacing w:before="0" w:after="0" w:line="360" w:lineRule="auto"/>
        <w:ind w:left="360"/>
        <w:rPr>
          <w:rFonts w:eastAsia="MS Mincho" w:cs="Arial"/>
          <w:kern w:val="0"/>
          <w14:ligatures w14:val="none"/>
        </w:rPr>
      </w:pPr>
      <w:r w:rsidRPr="004475C4">
        <w:rPr>
          <w:rFonts w:eastAsia="MS Mincho" w:cs="Arial"/>
          <w:b/>
          <w:bCs/>
          <w:kern w:val="0"/>
          <w14:ligatures w14:val="none"/>
        </w:rPr>
        <w:t>Access</w:t>
      </w:r>
      <w:r w:rsidRPr="004475C4">
        <w:rPr>
          <w:rFonts w:eastAsia="MS Mincho" w:cs="Arial"/>
          <w:kern w:val="0"/>
          <w14:ligatures w14:val="none"/>
        </w:rPr>
        <w:t>: on-site or remote availability to use works for the purposes of private study, cultural enjoyment, and education or research.</w:t>
      </w:r>
      <w:r w:rsidRPr="004475C4">
        <w:rPr>
          <w:rFonts w:eastAsia="MS Mincho" w:cs="Arial"/>
          <w:kern w:val="0"/>
          <w14:ligatures w14:val="none"/>
        </w:rPr>
        <w:br/>
      </w:r>
    </w:p>
    <w:p w14:paraId="6ABE5666" w14:textId="77777777" w:rsidR="00A25338" w:rsidRPr="004475C4" w:rsidRDefault="00A25338" w:rsidP="00A25338">
      <w:pPr>
        <w:pStyle w:val="ListParagraph"/>
        <w:numPr>
          <w:ilvl w:val="0"/>
          <w:numId w:val="10"/>
        </w:numPr>
        <w:spacing w:before="0" w:after="0" w:line="360" w:lineRule="auto"/>
        <w:ind w:left="360"/>
        <w:rPr>
          <w:rFonts w:eastAsia="MS Mincho" w:cs="Arial"/>
          <w:kern w:val="0"/>
          <w14:ligatures w14:val="none"/>
        </w:rPr>
      </w:pPr>
      <w:r w:rsidRPr="004475C4">
        <w:rPr>
          <w:rFonts w:eastAsia="MS Mincho" w:cs="Arial"/>
          <w:b/>
          <w:bCs/>
          <w:kern w:val="0"/>
          <w14:ligatures w14:val="none"/>
        </w:rPr>
        <w:t>Cross-border</w:t>
      </w:r>
      <w:r w:rsidRPr="004475C4">
        <w:rPr>
          <w:rFonts w:eastAsia="MS Mincho" w:cs="Arial"/>
          <w:kern w:val="0"/>
          <w14:ligatures w14:val="none"/>
        </w:rPr>
        <w:t xml:space="preserve">: the provision or distribution, communication, or making </w:t>
      </w:r>
      <w:proofErr w:type="gramStart"/>
      <w:r w:rsidRPr="004475C4">
        <w:rPr>
          <w:rFonts w:eastAsia="MS Mincho" w:cs="Arial"/>
          <w:kern w:val="0"/>
          <w14:ligatures w14:val="none"/>
        </w:rPr>
        <w:t>available of</w:t>
      </w:r>
      <w:proofErr w:type="gramEnd"/>
      <w:r w:rsidRPr="004475C4">
        <w:rPr>
          <w:rFonts w:eastAsia="MS Mincho" w:cs="Arial"/>
          <w:kern w:val="0"/>
          <w14:ligatures w14:val="none"/>
        </w:rPr>
        <w:t xml:space="preserve"> a copy of a work or other protected subject matter, in physical or digital form, from one country to users located in another country.</w:t>
      </w:r>
    </w:p>
    <w:p w14:paraId="23056983" w14:textId="77777777" w:rsidR="00A25338" w:rsidRDefault="00A25338" w:rsidP="00A25338">
      <w:pPr>
        <w:rPr>
          <w:rFonts w:eastAsia="MS Mincho"/>
        </w:rPr>
      </w:pPr>
    </w:p>
    <w:p w14:paraId="21AD93FE" w14:textId="77777777" w:rsidR="00A25338" w:rsidRPr="004475C4" w:rsidRDefault="00A25338" w:rsidP="00A25338">
      <w:pPr>
        <w:rPr>
          <w:rFonts w:eastAsia="MS Mincho"/>
        </w:rPr>
      </w:pPr>
      <w:r w:rsidRPr="004475C4">
        <w:rPr>
          <w:rFonts w:eastAsia="MS Gothic"/>
          <w:b/>
          <w:bCs/>
        </w:rPr>
        <w:t>B. Objectives</w:t>
      </w:r>
    </w:p>
    <w:p w14:paraId="1B13431A" w14:textId="77777777" w:rsidR="00A25338" w:rsidRPr="00A613BB" w:rsidRDefault="00A25338" w:rsidP="00A25338">
      <w:pPr>
        <w:pStyle w:val="ListParagraph"/>
        <w:numPr>
          <w:ilvl w:val="0"/>
          <w:numId w:val="7"/>
        </w:numPr>
        <w:spacing w:line="360" w:lineRule="auto"/>
      </w:pPr>
      <w:r w:rsidRPr="00A613BB">
        <w:t xml:space="preserve">Support the preservation of cultural heritage by libraries, archives and museums and other not-for-profit entities performing equivalent </w:t>
      </w:r>
      <w:proofErr w:type="gramStart"/>
      <w:r w:rsidRPr="00A613BB">
        <w:t>functions;</w:t>
      </w:r>
      <w:proofErr w:type="gramEnd"/>
    </w:p>
    <w:p w14:paraId="4D020F64" w14:textId="77777777" w:rsidR="00A25338" w:rsidRPr="004475C4" w:rsidRDefault="00A25338" w:rsidP="00A25338">
      <w:pPr>
        <w:pStyle w:val="ListParagraph"/>
        <w:spacing w:line="360" w:lineRule="auto"/>
        <w:ind w:left="360"/>
      </w:pPr>
    </w:p>
    <w:p w14:paraId="63154C16" w14:textId="77777777" w:rsidR="00A25338" w:rsidRPr="004475C4" w:rsidRDefault="00A25338" w:rsidP="00A25338">
      <w:pPr>
        <w:pStyle w:val="ListParagraph"/>
        <w:numPr>
          <w:ilvl w:val="0"/>
          <w:numId w:val="7"/>
        </w:numPr>
        <w:spacing w:line="360" w:lineRule="auto"/>
      </w:pPr>
      <w:r w:rsidRPr="004475C4">
        <w:rPr>
          <w:rFonts w:eastAsia="MS Mincho" w:cs="Arial"/>
          <w:kern w:val="0"/>
          <w14:ligatures w14:val="none"/>
        </w:rPr>
        <w:t xml:space="preserve">Enable cultural heritage institutions to make copies of works, whether published or unpublished, for the purposes of preservation or replacement, including highly ephemeral </w:t>
      </w:r>
      <w:r w:rsidRPr="004475C4">
        <w:rPr>
          <w:rFonts w:eastAsia="MS Mincho" w:cs="Arial"/>
          <w:kern w:val="0"/>
          <w14:ligatures w14:val="none"/>
        </w:rPr>
        <w:lastRenderedPageBreak/>
        <w:t xml:space="preserve">materials.  Such copies may be made in analog or digital formats, and during technological migration, provided they are necessary and incidental to a specific preservation </w:t>
      </w:r>
      <w:proofErr w:type="gramStart"/>
      <w:r w:rsidRPr="004475C4">
        <w:rPr>
          <w:rFonts w:eastAsia="MS Mincho" w:cs="Arial"/>
          <w:kern w:val="0"/>
          <w14:ligatures w14:val="none"/>
        </w:rPr>
        <w:t>purpose</w:t>
      </w:r>
      <w:r>
        <w:rPr>
          <w:rFonts w:eastAsia="MS Mincho" w:cs="Arial"/>
          <w:kern w:val="0"/>
          <w14:ligatures w14:val="none"/>
        </w:rPr>
        <w:t>;</w:t>
      </w:r>
      <w:proofErr w:type="gramEnd"/>
    </w:p>
    <w:p w14:paraId="4314E340" w14:textId="77777777" w:rsidR="00A25338" w:rsidRPr="004475C4" w:rsidRDefault="00A25338" w:rsidP="00A25338">
      <w:pPr>
        <w:pStyle w:val="ListParagraph"/>
        <w:spacing w:line="360" w:lineRule="auto"/>
        <w:ind w:left="360"/>
      </w:pPr>
    </w:p>
    <w:p w14:paraId="135EE060" w14:textId="77777777" w:rsidR="00A25338" w:rsidRPr="004475C4" w:rsidRDefault="00A25338" w:rsidP="00A25338">
      <w:pPr>
        <w:pStyle w:val="ListParagraph"/>
        <w:numPr>
          <w:ilvl w:val="0"/>
          <w:numId w:val="7"/>
        </w:numPr>
        <w:spacing w:line="360" w:lineRule="auto"/>
      </w:pPr>
      <w:r w:rsidRPr="004475C4">
        <w:rPr>
          <w:rFonts w:eastAsia="MS Mincho" w:cs="Arial"/>
          <w:kern w:val="0"/>
          <w14:ligatures w14:val="none"/>
        </w:rPr>
        <w:t xml:space="preserve">Facilitate access to works for cultural, educational and research purposes, including through digital and online tools, and across </w:t>
      </w:r>
      <w:proofErr w:type="gramStart"/>
      <w:r w:rsidRPr="004475C4">
        <w:rPr>
          <w:rFonts w:eastAsia="MS Mincho" w:cs="Arial"/>
          <w:kern w:val="0"/>
          <w14:ligatures w14:val="none"/>
        </w:rPr>
        <w:t>borders;</w:t>
      </w:r>
      <w:proofErr w:type="gramEnd"/>
    </w:p>
    <w:p w14:paraId="39D27959" w14:textId="77777777" w:rsidR="00A25338" w:rsidRPr="004475C4" w:rsidRDefault="00A25338" w:rsidP="00A25338">
      <w:pPr>
        <w:pStyle w:val="ListParagraph"/>
        <w:rPr>
          <w:rFonts w:eastAsia="MS Mincho" w:cs="Arial"/>
          <w:kern w:val="0"/>
          <w14:ligatures w14:val="none"/>
        </w:rPr>
      </w:pPr>
    </w:p>
    <w:p w14:paraId="5A862731" w14:textId="77777777" w:rsidR="00A25338" w:rsidRDefault="00A25338" w:rsidP="00A25338">
      <w:pPr>
        <w:pStyle w:val="ListParagraph"/>
        <w:numPr>
          <w:ilvl w:val="0"/>
          <w:numId w:val="7"/>
        </w:numPr>
        <w:spacing w:line="360" w:lineRule="auto"/>
      </w:pPr>
      <w:r w:rsidRPr="004475C4">
        <w:rPr>
          <w:rFonts w:eastAsia="MS Mincho" w:cs="Arial"/>
          <w:kern w:val="0"/>
          <w14:ligatures w14:val="none"/>
        </w:rPr>
        <w:t xml:space="preserve">Enable cultural heritage institutions as well as educational and research institutions to provide copies and enable access to </w:t>
      </w:r>
      <w:proofErr w:type="gramStart"/>
      <w:r w:rsidRPr="004475C4">
        <w:rPr>
          <w:rFonts w:eastAsia="MS Mincho" w:cs="Arial"/>
          <w:kern w:val="0"/>
          <w14:ligatures w14:val="none"/>
        </w:rPr>
        <w:t>works</w:t>
      </w:r>
      <w:proofErr w:type="gramEnd"/>
      <w:r w:rsidRPr="004475C4">
        <w:rPr>
          <w:rFonts w:eastAsia="MS Mincho" w:cs="Arial"/>
          <w:kern w:val="0"/>
          <w14:ligatures w14:val="none"/>
        </w:rPr>
        <w:t xml:space="preserve"> to researchers, teachers, students and the public, under appropriate </w:t>
      </w:r>
      <w:proofErr w:type="gramStart"/>
      <w:r w:rsidRPr="004475C4">
        <w:rPr>
          <w:rFonts w:eastAsia="MS Mincho" w:cs="Arial"/>
          <w:kern w:val="0"/>
          <w14:ligatures w14:val="none"/>
        </w:rPr>
        <w:t>conditions</w:t>
      </w:r>
      <w:r>
        <w:t>;</w:t>
      </w:r>
      <w:proofErr w:type="gramEnd"/>
    </w:p>
    <w:p w14:paraId="679A772A" w14:textId="77777777" w:rsidR="00A25338" w:rsidRDefault="00A25338" w:rsidP="00A25338">
      <w:pPr>
        <w:pStyle w:val="ListParagraph"/>
        <w:spacing w:before="0" w:after="0" w:line="360" w:lineRule="auto"/>
        <w:ind w:left="360"/>
      </w:pPr>
    </w:p>
    <w:p w14:paraId="2BDA6378" w14:textId="77777777" w:rsidR="00A25338" w:rsidRDefault="00A25338" w:rsidP="00A25338">
      <w:pPr>
        <w:pStyle w:val="ListParagraph"/>
        <w:numPr>
          <w:ilvl w:val="0"/>
          <w:numId w:val="7"/>
        </w:numPr>
        <w:spacing w:line="360" w:lineRule="auto"/>
      </w:pPr>
      <w:r w:rsidRPr="0032026F">
        <w:t xml:space="preserve">Facilitate </w:t>
      </w:r>
      <w:r w:rsidRPr="006F5FCB">
        <w:t>access to published works in accessible formats</w:t>
      </w:r>
      <w:r w:rsidRPr="0032026F">
        <w:t xml:space="preserve"> for </w:t>
      </w:r>
      <w:proofErr w:type="gramStart"/>
      <w:r w:rsidRPr="0032026F">
        <w:t>persons</w:t>
      </w:r>
      <w:proofErr w:type="gramEnd"/>
      <w:r w:rsidRPr="0032026F">
        <w:t xml:space="preserve"> with disabilities</w:t>
      </w:r>
      <w:r>
        <w:t xml:space="preserve"> other than those covered by the Marrakesh </w:t>
      </w:r>
      <w:proofErr w:type="gramStart"/>
      <w:r>
        <w:t>Treaty</w:t>
      </w:r>
      <w:r w:rsidRPr="0032026F">
        <w:t>;</w:t>
      </w:r>
      <w:proofErr w:type="gramEnd"/>
    </w:p>
    <w:p w14:paraId="7426CAEE" w14:textId="77777777" w:rsidR="00A25338" w:rsidRPr="004475C4" w:rsidRDefault="00A25338" w:rsidP="00A25338">
      <w:pPr>
        <w:pStyle w:val="ListParagraph"/>
        <w:spacing w:line="360" w:lineRule="auto"/>
        <w:ind w:left="360"/>
      </w:pPr>
    </w:p>
    <w:p w14:paraId="0F441296" w14:textId="77777777" w:rsidR="00A25338" w:rsidRDefault="00A25338" w:rsidP="00A25338">
      <w:pPr>
        <w:pStyle w:val="ListParagraph"/>
        <w:numPr>
          <w:ilvl w:val="0"/>
          <w:numId w:val="7"/>
        </w:numPr>
        <w:spacing w:line="360" w:lineRule="auto"/>
      </w:pPr>
      <w:r w:rsidRPr="004475C4">
        <w:rPr>
          <w:rFonts w:eastAsia="MS Mincho" w:cs="Arial"/>
          <w:kern w:val="0"/>
          <w14:ligatures w14:val="none"/>
        </w:rPr>
        <w:t>Enable the preservation of and remote digital access to works, including cross-border, under secure conditions and p</w:t>
      </w:r>
      <w:r>
        <w:t xml:space="preserve">romote </w:t>
      </w:r>
      <w:proofErr w:type="gramStart"/>
      <w:r w:rsidRPr="00972456">
        <w:t>the respect</w:t>
      </w:r>
      <w:proofErr w:type="gramEnd"/>
      <w:r w:rsidRPr="00972456">
        <w:t xml:space="preserve"> </w:t>
      </w:r>
      <w:proofErr w:type="gramStart"/>
      <w:r w:rsidRPr="00972456">
        <w:t>of</w:t>
      </w:r>
      <w:proofErr w:type="gramEnd"/>
      <w:r w:rsidRPr="00972456">
        <w:t xml:space="preserve"> </w:t>
      </w:r>
      <w:r>
        <w:t>adequate and effective</w:t>
      </w:r>
      <w:r w:rsidRPr="00972456">
        <w:t xml:space="preserve"> digital security </w:t>
      </w:r>
      <w:proofErr w:type="gramStart"/>
      <w:r w:rsidRPr="00972456">
        <w:t>measures</w:t>
      </w:r>
      <w:r>
        <w:t>;</w:t>
      </w:r>
      <w:proofErr w:type="gramEnd"/>
    </w:p>
    <w:p w14:paraId="4189BD5D" w14:textId="77777777" w:rsidR="00A25338" w:rsidRDefault="00A25338" w:rsidP="00A25338">
      <w:pPr>
        <w:pStyle w:val="ListParagraph"/>
        <w:spacing w:line="360" w:lineRule="auto"/>
        <w:ind w:left="360"/>
      </w:pPr>
    </w:p>
    <w:p w14:paraId="5C326D74" w14:textId="77777777" w:rsidR="00A25338" w:rsidRPr="00D774D0" w:rsidRDefault="00A25338" w:rsidP="00A25338">
      <w:pPr>
        <w:pStyle w:val="ListParagraph"/>
        <w:numPr>
          <w:ilvl w:val="0"/>
          <w:numId w:val="7"/>
        </w:numPr>
        <w:spacing w:line="360" w:lineRule="auto"/>
      </w:pPr>
      <w:r w:rsidRPr="004475C4">
        <w:rPr>
          <w:rFonts w:eastAsia="MS Mincho" w:cs="Arial"/>
          <w:kern w:val="0"/>
          <w14:ligatures w14:val="none"/>
        </w:rPr>
        <w:t>Ensure that appropriate measures provide adequate legal protection and effective remedies against the circumvention of technological protection measures, while such protection does not prevent beneficiaries from enjoying the limitations and exceptions provided.</w:t>
      </w:r>
    </w:p>
    <w:p w14:paraId="159DDEB9" w14:textId="77777777" w:rsidR="00A25338" w:rsidRDefault="00A25338" w:rsidP="00A25338">
      <w:pPr>
        <w:rPr>
          <w:rFonts w:eastAsia="MS Gothic"/>
          <w:b/>
          <w:bCs/>
        </w:rPr>
      </w:pPr>
      <w:r>
        <w:rPr>
          <w:rFonts w:eastAsia="MS Gothic"/>
          <w:b/>
          <w:bCs/>
        </w:rPr>
        <w:br w:type="page"/>
      </w:r>
    </w:p>
    <w:p w14:paraId="6476220B" w14:textId="77777777" w:rsidR="00A25338" w:rsidRDefault="00A25338" w:rsidP="00A25338">
      <w:pPr>
        <w:keepNext/>
        <w:keepLines/>
        <w:outlineLvl w:val="0"/>
        <w:rPr>
          <w:rFonts w:eastAsia="MS Gothic"/>
          <w:b/>
          <w:bCs/>
        </w:rPr>
      </w:pPr>
      <w:r>
        <w:rPr>
          <w:rFonts w:eastAsia="MS Gothic"/>
          <w:b/>
          <w:bCs/>
        </w:rPr>
        <w:lastRenderedPageBreak/>
        <w:t xml:space="preserve">C. </w:t>
      </w:r>
      <w:r w:rsidRPr="00B26F1D">
        <w:rPr>
          <w:rFonts w:eastAsia="MS Gothic"/>
          <w:b/>
          <w:bCs/>
        </w:rPr>
        <w:t>Principles</w:t>
      </w:r>
    </w:p>
    <w:p w14:paraId="2304DABD" w14:textId="77777777" w:rsidR="00A25338" w:rsidRDefault="00A25338" w:rsidP="00A25338">
      <w:pPr>
        <w:keepNext/>
        <w:keepLines/>
        <w:outlineLvl w:val="0"/>
        <w:rPr>
          <w:rFonts w:eastAsia="MS Gothic"/>
          <w:b/>
          <w:bCs/>
        </w:rPr>
      </w:pPr>
    </w:p>
    <w:p w14:paraId="0C4836DE" w14:textId="77777777" w:rsidR="00A25338" w:rsidRPr="004475C4" w:rsidRDefault="00A25338" w:rsidP="00A25338">
      <w:pPr>
        <w:pStyle w:val="ListParagraph"/>
        <w:spacing w:line="360" w:lineRule="auto"/>
        <w:ind w:left="360"/>
        <w:rPr>
          <w:i/>
          <w:iCs/>
        </w:rPr>
      </w:pPr>
      <w:bookmarkStart w:id="5" w:name="_Hlk210152812"/>
      <w:r w:rsidRPr="004475C4">
        <w:rPr>
          <w:i/>
          <w:iCs/>
        </w:rPr>
        <w:t>FRAMEWORK PRINCIPLES</w:t>
      </w:r>
    </w:p>
    <w:p w14:paraId="496D8A96" w14:textId="77777777" w:rsidR="00A25338" w:rsidRDefault="00A25338" w:rsidP="00A25338">
      <w:pPr>
        <w:pStyle w:val="ListParagraph"/>
        <w:spacing w:line="360" w:lineRule="auto"/>
        <w:ind w:left="360"/>
      </w:pPr>
    </w:p>
    <w:p w14:paraId="0A6A6F37" w14:textId="77777777" w:rsidR="00A25338" w:rsidRDefault="00A25338" w:rsidP="00A25338">
      <w:pPr>
        <w:pStyle w:val="ListParagraph"/>
        <w:numPr>
          <w:ilvl w:val="0"/>
          <w:numId w:val="9"/>
        </w:numPr>
        <w:spacing w:line="360" w:lineRule="auto"/>
      </w:pPr>
      <w:r w:rsidRPr="00D2707D">
        <w:t xml:space="preserve">Limitations and exceptions are an integral part of a balanced copyright system and should contribute to quality preservation, access, education and research, as well as </w:t>
      </w:r>
      <w:r>
        <w:t xml:space="preserve">to expand opportunities for all </w:t>
      </w:r>
      <w:proofErr w:type="gramStart"/>
      <w:r>
        <w:t>persons</w:t>
      </w:r>
      <w:proofErr w:type="gramEnd"/>
      <w:r>
        <w:t xml:space="preserve"> with disabilities to fully participate in the cultural life of the community, to enjoy the arts, and to benefit from scientific progress.</w:t>
      </w:r>
    </w:p>
    <w:p w14:paraId="303958D7" w14:textId="77777777" w:rsidR="00A25338" w:rsidRDefault="00A25338" w:rsidP="00A25338">
      <w:pPr>
        <w:pStyle w:val="ListParagraph"/>
        <w:spacing w:line="360" w:lineRule="auto"/>
        <w:ind w:left="360"/>
      </w:pPr>
    </w:p>
    <w:p w14:paraId="2311EB00" w14:textId="77777777" w:rsidR="00A25338" w:rsidRPr="004475C4" w:rsidRDefault="00A25338" w:rsidP="00A25338">
      <w:pPr>
        <w:pStyle w:val="ListParagraph"/>
        <w:numPr>
          <w:ilvl w:val="0"/>
          <w:numId w:val="9"/>
        </w:numPr>
        <w:spacing w:line="360" w:lineRule="auto"/>
      </w:pPr>
      <w:r w:rsidRPr="004475C4">
        <w:t>Limitations and exceptions should apply solely in certain special cases that do not conflict with a normal exploitation of the works and do not unreasonably prejudice the legitimate interests of the rightsholders.</w:t>
      </w:r>
    </w:p>
    <w:p w14:paraId="01713000" w14:textId="77777777" w:rsidR="00A25338" w:rsidRDefault="00A25338" w:rsidP="00A25338">
      <w:pPr>
        <w:pStyle w:val="ListParagraph"/>
        <w:spacing w:line="360" w:lineRule="auto"/>
        <w:ind w:left="360"/>
      </w:pPr>
    </w:p>
    <w:p w14:paraId="6E4B3109" w14:textId="77777777" w:rsidR="00A25338" w:rsidRDefault="00A25338" w:rsidP="00A25338">
      <w:pPr>
        <w:pStyle w:val="ListParagraph"/>
        <w:numPr>
          <w:ilvl w:val="0"/>
          <w:numId w:val="9"/>
        </w:numPr>
        <w:spacing w:line="360" w:lineRule="auto"/>
      </w:pPr>
      <w:r>
        <w:t>Consider, as appropriate, conditions to limitations and exceptions</w:t>
      </w:r>
      <w:r w:rsidRPr="00972456">
        <w:t xml:space="preserve"> </w:t>
      </w:r>
      <w:r>
        <w:t>such as</w:t>
      </w:r>
      <w:r w:rsidRPr="00972456">
        <w:t xml:space="preserve"> remuneration or licensing</w:t>
      </w:r>
      <w:r>
        <w:t>.</w:t>
      </w:r>
      <w:r w:rsidRPr="00972456">
        <w:t xml:space="preserve"> </w:t>
      </w:r>
    </w:p>
    <w:p w14:paraId="55A51996" w14:textId="77777777" w:rsidR="00A25338" w:rsidRDefault="00A25338" w:rsidP="00A25338">
      <w:pPr>
        <w:pStyle w:val="ListParagraph"/>
        <w:spacing w:line="360" w:lineRule="auto"/>
        <w:ind w:left="360"/>
      </w:pPr>
    </w:p>
    <w:p w14:paraId="39D3637D" w14:textId="77777777" w:rsidR="00A25338" w:rsidRPr="00D2707D" w:rsidRDefault="00A25338" w:rsidP="00A25338">
      <w:pPr>
        <w:pStyle w:val="ListParagraph"/>
        <w:numPr>
          <w:ilvl w:val="0"/>
          <w:numId w:val="9"/>
        </w:numPr>
        <w:spacing w:line="360" w:lineRule="auto"/>
      </w:pPr>
      <w:r>
        <w:t>Promote c</w:t>
      </w:r>
      <w:r w:rsidRPr="00D2707D">
        <w:t>ooperation among institutions at national, regional and international levels.</w:t>
      </w:r>
    </w:p>
    <w:p w14:paraId="7D9C7DA2" w14:textId="77777777" w:rsidR="00A25338" w:rsidRPr="00D2707D" w:rsidRDefault="00A25338" w:rsidP="00A25338">
      <w:pPr>
        <w:pStyle w:val="ListParagraph"/>
        <w:spacing w:line="360" w:lineRule="auto"/>
        <w:ind w:left="360"/>
      </w:pPr>
    </w:p>
    <w:p w14:paraId="778CBE23" w14:textId="77777777" w:rsidR="00A25338" w:rsidRPr="004475C4" w:rsidRDefault="00A25338" w:rsidP="00A25338">
      <w:pPr>
        <w:pStyle w:val="ListParagraph"/>
        <w:spacing w:line="360" w:lineRule="auto"/>
        <w:ind w:left="360"/>
        <w:rPr>
          <w:i/>
          <w:iCs/>
        </w:rPr>
      </w:pPr>
      <w:r w:rsidRPr="004475C4">
        <w:rPr>
          <w:i/>
          <w:iCs/>
        </w:rPr>
        <w:t>CULTURAL HERITAGE INSTITUTIONS</w:t>
      </w:r>
    </w:p>
    <w:p w14:paraId="6D674284" w14:textId="77777777" w:rsidR="00A25338" w:rsidRPr="004475C4" w:rsidRDefault="00A25338" w:rsidP="00A25338">
      <w:pPr>
        <w:pStyle w:val="ListParagraph"/>
        <w:spacing w:line="360" w:lineRule="auto"/>
        <w:ind w:left="360"/>
      </w:pPr>
    </w:p>
    <w:p w14:paraId="2D6FC142" w14:textId="77777777" w:rsidR="00A25338" w:rsidRPr="004475C4" w:rsidRDefault="00A25338" w:rsidP="00A25338">
      <w:pPr>
        <w:pStyle w:val="ListParagraph"/>
        <w:numPr>
          <w:ilvl w:val="0"/>
          <w:numId w:val="9"/>
        </w:numPr>
        <w:spacing w:line="360" w:lineRule="auto"/>
      </w:pPr>
      <w:r w:rsidRPr="004475C4">
        <w:t>Enable libraries, archives, and museums to fulfill their public service mission of preserving the cumulative knowledge and heritage of nations and people.</w:t>
      </w:r>
    </w:p>
    <w:p w14:paraId="3355CBD5" w14:textId="77777777" w:rsidR="00A25338" w:rsidRPr="004475C4" w:rsidRDefault="00A25338" w:rsidP="00A25338">
      <w:pPr>
        <w:pStyle w:val="ListParagraph"/>
        <w:spacing w:line="360" w:lineRule="auto"/>
        <w:ind w:left="360"/>
      </w:pPr>
    </w:p>
    <w:p w14:paraId="7D796F76" w14:textId="77777777" w:rsidR="00A25338" w:rsidRDefault="00A25338" w:rsidP="00A25338">
      <w:pPr>
        <w:pStyle w:val="ListParagraph"/>
        <w:numPr>
          <w:ilvl w:val="0"/>
          <w:numId w:val="9"/>
        </w:numPr>
        <w:spacing w:line="360" w:lineRule="auto"/>
      </w:pPr>
      <w:r>
        <w:t>Allow</w:t>
      </w:r>
      <w:r w:rsidRPr="00D2707D">
        <w:t xml:space="preserve"> cultural heritage </w:t>
      </w:r>
      <w:r w:rsidRPr="004475C4">
        <w:t>institutions</w:t>
      </w:r>
      <w:r w:rsidRPr="00D2707D">
        <w:t xml:space="preserve"> to proactively preserve materials at risk of deterioration, obsolescence and damage, as reasonably necessary for the </w:t>
      </w:r>
      <w:r>
        <w:t xml:space="preserve">purpose of </w:t>
      </w:r>
      <w:r w:rsidRPr="00D2707D">
        <w:t>preservation.</w:t>
      </w:r>
    </w:p>
    <w:p w14:paraId="36B5EDD7" w14:textId="77777777" w:rsidR="00A25338" w:rsidRDefault="00A25338" w:rsidP="00A25338">
      <w:pPr>
        <w:pStyle w:val="ListParagraph"/>
      </w:pPr>
    </w:p>
    <w:p w14:paraId="7C722133" w14:textId="77777777" w:rsidR="00A25338" w:rsidRDefault="00A25338" w:rsidP="00A25338">
      <w:pPr>
        <w:pStyle w:val="ListParagraph"/>
        <w:numPr>
          <w:ilvl w:val="0"/>
          <w:numId w:val="9"/>
        </w:numPr>
        <w:spacing w:line="360" w:lineRule="auto"/>
      </w:pPr>
      <w:r>
        <w:t xml:space="preserve">Apply </w:t>
      </w:r>
      <w:r w:rsidRPr="00D2707D">
        <w:t xml:space="preserve">exceptions and limitations for libraries, archives, and museums solely to noncommercial activities, and not to </w:t>
      </w:r>
      <w:r>
        <w:t xml:space="preserve">activities </w:t>
      </w:r>
      <w:r w:rsidRPr="00D2707D">
        <w:t>undertaken for direct or indirect commercial advantage.</w:t>
      </w:r>
    </w:p>
    <w:p w14:paraId="4170A866" w14:textId="77777777" w:rsidR="00A25338" w:rsidRDefault="00A25338" w:rsidP="00A25338">
      <w:pPr>
        <w:pStyle w:val="ListParagraph"/>
      </w:pPr>
    </w:p>
    <w:p w14:paraId="19F92919" w14:textId="77777777" w:rsidR="00A25338" w:rsidRPr="004475C4" w:rsidRDefault="00A25338" w:rsidP="00A25338">
      <w:pPr>
        <w:pStyle w:val="ListParagraph"/>
        <w:spacing w:line="360" w:lineRule="auto"/>
        <w:ind w:left="360"/>
      </w:pPr>
    </w:p>
    <w:p w14:paraId="06AA67F9" w14:textId="77777777" w:rsidR="00A25338" w:rsidRPr="004475C4" w:rsidRDefault="00A25338" w:rsidP="00A25338">
      <w:pPr>
        <w:pStyle w:val="ListParagraph"/>
        <w:spacing w:line="360" w:lineRule="auto"/>
        <w:ind w:left="360"/>
        <w:rPr>
          <w:i/>
          <w:iCs/>
        </w:rPr>
      </w:pPr>
      <w:r w:rsidRPr="004475C4">
        <w:rPr>
          <w:i/>
          <w:iCs/>
        </w:rPr>
        <w:t>PRESERVATION</w:t>
      </w:r>
    </w:p>
    <w:p w14:paraId="52635E4C" w14:textId="77777777" w:rsidR="00A25338" w:rsidRPr="004475C4" w:rsidRDefault="00A25338" w:rsidP="00A25338">
      <w:pPr>
        <w:pStyle w:val="ListParagraph"/>
        <w:spacing w:line="360" w:lineRule="auto"/>
        <w:ind w:left="360"/>
      </w:pPr>
    </w:p>
    <w:p w14:paraId="49257535" w14:textId="77777777" w:rsidR="00A25338" w:rsidRPr="004475C4" w:rsidRDefault="00A25338" w:rsidP="00A25338">
      <w:pPr>
        <w:pStyle w:val="ListParagraph"/>
        <w:numPr>
          <w:ilvl w:val="0"/>
          <w:numId w:val="9"/>
        </w:numPr>
        <w:spacing w:line="360" w:lineRule="auto"/>
      </w:pPr>
      <w:r>
        <w:t>E</w:t>
      </w:r>
      <w:r w:rsidRPr="004475C4">
        <w:t>nable the preservation and migration of content</w:t>
      </w:r>
      <w:r>
        <w:t>, including</w:t>
      </w:r>
      <w:r w:rsidRPr="004475C4">
        <w:t xml:space="preserve"> from obsolete formats to new ones. Permit the making of copies of works for preservation and replacement, under certain appropriate circumstances, including digital conversion and format shifting.</w:t>
      </w:r>
    </w:p>
    <w:p w14:paraId="3D0E45CD" w14:textId="77777777" w:rsidR="00A25338" w:rsidRPr="004475C4" w:rsidRDefault="00A25338" w:rsidP="00A25338">
      <w:pPr>
        <w:pStyle w:val="ListParagraph"/>
        <w:spacing w:line="360" w:lineRule="auto"/>
        <w:ind w:left="360"/>
      </w:pPr>
    </w:p>
    <w:p w14:paraId="67989140" w14:textId="77777777" w:rsidR="00A25338" w:rsidRPr="004475C4" w:rsidRDefault="00A25338" w:rsidP="00A25338">
      <w:pPr>
        <w:pStyle w:val="ListParagraph"/>
        <w:spacing w:line="360" w:lineRule="auto"/>
        <w:ind w:left="360"/>
        <w:rPr>
          <w:i/>
          <w:iCs/>
        </w:rPr>
      </w:pPr>
      <w:r w:rsidRPr="004475C4">
        <w:rPr>
          <w:i/>
          <w:iCs/>
        </w:rPr>
        <w:lastRenderedPageBreak/>
        <w:t>ACCESSIBILITY FOR PERSONS WITH DISABILITIES</w:t>
      </w:r>
    </w:p>
    <w:p w14:paraId="630944E6" w14:textId="77777777" w:rsidR="00A25338" w:rsidRPr="004475C4" w:rsidRDefault="00A25338" w:rsidP="00A25338">
      <w:pPr>
        <w:pStyle w:val="ListParagraph"/>
        <w:spacing w:line="360" w:lineRule="auto"/>
        <w:ind w:left="360"/>
      </w:pPr>
    </w:p>
    <w:p w14:paraId="75A52709" w14:textId="77777777" w:rsidR="00A25338" w:rsidRPr="00D2707D" w:rsidRDefault="00A25338" w:rsidP="00A25338">
      <w:pPr>
        <w:pStyle w:val="ListParagraph"/>
        <w:numPr>
          <w:ilvl w:val="0"/>
          <w:numId w:val="9"/>
        </w:numPr>
        <w:spacing w:line="360" w:lineRule="auto"/>
      </w:pPr>
      <w:r>
        <w:t xml:space="preserve">Facilitate </w:t>
      </w:r>
      <w:r w:rsidRPr="00D2707D">
        <w:t xml:space="preserve">access to published works in accessible formats for </w:t>
      </w:r>
      <w:proofErr w:type="gramStart"/>
      <w:r w:rsidRPr="00D2707D">
        <w:t>persons</w:t>
      </w:r>
      <w:proofErr w:type="gramEnd"/>
      <w:r w:rsidRPr="00D2707D">
        <w:t xml:space="preserve"> with disabilities other than those covered by the Marrakesh Treaty, under appropriate conditions that may include:</w:t>
      </w:r>
    </w:p>
    <w:p w14:paraId="5BD76B4B" w14:textId="77777777" w:rsidR="00A25338" w:rsidRPr="00D2707D" w:rsidRDefault="00A25338" w:rsidP="00A25338">
      <w:pPr>
        <w:pStyle w:val="ListParagraph"/>
        <w:numPr>
          <w:ilvl w:val="0"/>
          <w:numId w:val="8"/>
        </w:numPr>
        <w:spacing w:line="360" w:lineRule="auto"/>
      </w:pPr>
      <w:r w:rsidRPr="00D2707D">
        <w:t xml:space="preserve">use solely for the purpose of producing material in accessible </w:t>
      </w:r>
      <w:proofErr w:type="gramStart"/>
      <w:r w:rsidRPr="00D2707D">
        <w:t>formats;</w:t>
      </w:r>
      <w:proofErr w:type="gramEnd"/>
    </w:p>
    <w:p w14:paraId="723C1328" w14:textId="77777777" w:rsidR="00A25338" w:rsidRPr="004475C4" w:rsidRDefault="00A25338" w:rsidP="00A25338">
      <w:pPr>
        <w:pStyle w:val="ListParagraph"/>
        <w:numPr>
          <w:ilvl w:val="0"/>
          <w:numId w:val="8"/>
        </w:numPr>
        <w:spacing w:line="360" w:lineRule="auto"/>
      </w:pPr>
      <w:r w:rsidRPr="00D2707D">
        <w:t>the respect of adequate and effective digital security measures.</w:t>
      </w:r>
    </w:p>
    <w:p w14:paraId="05B7C97D" w14:textId="77777777" w:rsidR="00A25338" w:rsidRPr="00D2707D" w:rsidRDefault="00A25338" w:rsidP="00A25338">
      <w:pPr>
        <w:pStyle w:val="ListParagraph"/>
        <w:spacing w:line="360" w:lineRule="auto"/>
        <w:ind w:left="360"/>
      </w:pPr>
    </w:p>
    <w:p w14:paraId="76B97FDF" w14:textId="77777777" w:rsidR="00A25338" w:rsidRPr="004475C4" w:rsidRDefault="00A25338" w:rsidP="00A25338">
      <w:pPr>
        <w:pStyle w:val="ListParagraph"/>
        <w:spacing w:line="360" w:lineRule="auto"/>
        <w:ind w:left="360"/>
        <w:rPr>
          <w:i/>
          <w:iCs/>
        </w:rPr>
      </w:pPr>
      <w:r w:rsidRPr="004475C4">
        <w:rPr>
          <w:i/>
          <w:iCs/>
        </w:rPr>
        <w:t>CROSS-CUTTING PRINCIPLES</w:t>
      </w:r>
    </w:p>
    <w:p w14:paraId="456B8872" w14:textId="77777777" w:rsidR="00A25338" w:rsidRPr="004475C4" w:rsidRDefault="00A25338" w:rsidP="00A25338">
      <w:pPr>
        <w:pStyle w:val="ListParagraph"/>
        <w:spacing w:line="360" w:lineRule="auto"/>
        <w:ind w:left="360"/>
      </w:pPr>
    </w:p>
    <w:p w14:paraId="495E4FC3" w14:textId="77777777" w:rsidR="00A25338" w:rsidRPr="004475C4" w:rsidRDefault="00A25338" w:rsidP="00A25338">
      <w:pPr>
        <w:pStyle w:val="ListParagraph"/>
        <w:numPr>
          <w:ilvl w:val="0"/>
          <w:numId w:val="9"/>
        </w:numPr>
        <w:spacing w:line="360" w:lineRule="auto"/>
      </w:pPr>
      <w:r>
        <w:t>Exceptions and limitations sh</w:t>
      </w:r>
      <w:r w:rsidRPr="004475C4">
        <w:t>ould apply equally to all copyrighted works, regardless of format.</w:t>
      </w:r>
    </w:p>
    <w:p w14:paraId="4226B738" w14:textId="77777777" w:rsidR="00A25338" w:rsidRPr="004475C4" w:rsidRDefault="00A25338" w:rsidP="00A25338">
      <w:pPr>
        <w:pStyle w:val="ListParagraph"/>
        <w:spacing w:line="360" w:lineRule="auto"/>
        <w:ind w:left="360"/>
      </w:pPr>
    </w:p>
    <w:p w14:paraId="624FAED7" w14:textId="77777777" w:rsidR="00A25338" w:rsidRPr="004475C4" w:rsidRDefault="00A25338" w:rsidP="00A25338">
      <w:pPr>
        <w:pStyle w:val="ListParagraph"/>
        <w:numPr>
          <w:ilvl w:val="0"/>
          <w:numId w:val="9"/>
        </w:numPr>
        <w:spacing w:line="360" w:lineRule="auto"/>
      </w:pPr>
      <w:r>
        <w:t>A</w:t>
      </w:r>
      <w:r w:rsidRPr="004475C4">
        <w:t>ppropriate limitations</w:t>
      </w:r>
      <w:r>
        <w:t xml:space="preserve"> should be provided</w:t>
      </w:r>
      <w:r w:rsidRPr="004475C4">
        <w:t xml:space="preserve"> to prevent the misuse of </w:t>
      </w:r>
      <w:r w:rsidRPr="0012503A">
        <w:t>these exceptions</w:t>
      </w:r>
      <w:r w:rsidRPr="004475C4">
        <w:t xml:space="preserve"> for other purposes, ensuring a balanced approach.</w:t>
      </w:r>
    </w:p>
    <w:p w14:paraId="25F36398" w14:textId="77777777" w:rsidR="00A25338" w:rsidRPr="00D2707D" w:rsidRDefault="00A25338" w:rsidP="00A25338">
      <w:pPr>
        <w:pStyle w:val="ListParagraph"/>
        <w:spacing w:line="360" w:lineRule="auto"/>
        <w:ind w:left="360"/>
      </w:pPr>
    </w:p>
    <w:p w14:paraId="054090DE" w14:textId="77777777" w:rsidR="00A25338" w:rsidRPr="004475C4" w:rsidRDefault="00A25338" w:rsidP="00A25338">
      <w:pPr>
        <w:pStyle w:val="ListParagraph"/>
        <w:numPr>
          <w:ilvl w:val="0"/>
          <w:numId w:val="9"/>
        </w:numPr>
        <w:spacing w:line="360" w:lineRule="auto"/>
      </w:pPr>
      <w:r w:rsidRPr="004475C4">
        <w:t>Digital and cross-border uses should become normal</w:t>
      </w:r>
      <w:r>
        <w:t xml:space="preserve"> and standard</w:t>
      </w:r>
      <w:r w:rsidRPr="004475C4">
        <w:t>, subject to conditions ensuring respect for rights and digital security.</w:t>
      </w:r>
    </w:p>
    <w:p w14:paraId="1902558A" w14:textId="77777777" w:rsidR="00A25338" w:rsidRPr="00D2707D" w:rsidRDefault="00A25338" w:rsidP="00A25338">
      <w:pPr>
        <w:pStyle w:val="ListParagraph"/>
        <w:spacing w:line="360" w:lineRule="auto"/>
        <w:ind w:left="360"/>
      </w:pPr>
    </w:p>
    <w:p w14:paraId="09984E27" w14:textId="77777777" w:rsidR="00A25338" w:rsidRPr="00AA1B2F" w:rsidRDefault="00A25338" w:rsidP="00A25338">
      <w:pPr>
        <w:pStyle w:val="ListParagraph"/>
        <w:numPr>
          <w:ilvl w:val="0"/>
          <w:numId w:val="9"/>
        </w:numPr>
        <w:spacing w:line="360" w:lineRule="auto"/>
      </w:pPr>
      <w:r>
        <w:t>I</w:t>
      </w:r>
      <w:r w:rsidRPr="00972456">
        <w:t xml:space="preserve">nteroperability of systems should be encouraged to </w:t>
      </w:r>
      <w:r>
        <w:t xml:space="preserve">facilitate (i) access to </w:t>
      </w:r>
      <w:proofErr w:type="gramStart"/>
      <w:r>
        <w:t>works</w:t>
      </w:r>
      <w:proofErr w:type="gramEnd"/>
      <w:r>
        <w:t xml:space="preserve"> for </w:t>
      </w:r>
      <w:proofErr w:type="gramStart"/>
      <w:r>
        <w:t>persons</w:t>
      </w:r>
      <w:proofErr w:type="gramEnd"/>
      <w:r>
        <w:t xml:space="preserve"> with disabilities and</w:t>
      </w:r>
      <w:r w:rsidRPr="00972456">
        <w:t xml:space="preserve"> </w:t>
      </w:r>
      <w:r>
        <w:t xml:space="preserve">(ii) </w:t>
      </w:r>
      <w:r w:rsidRPr="00972456">
        <w:t>controlled cross-border uses.</w:t>
      </w:r>
    </w:p>
    <w:p w14:paraId="32FAD86E" w14:textId="77777777" w:rsidR="00A25338" w:rsidRPr="00D2707D" w:rsidRDefault="00A25338" w:rsidP="00A25338">
      <w:pPr>
        <w:pStyle w:val="ListParagraph"/>
        <w:spacing w:line="360" w:lineRule="auto"/>
        <w:ind w:left="360"/>
      </w:pPr>
    </w:p>
    <w:p w14:paraId="5C4DB885" w14:textId="77777777" w:rsidR="00A25338" w:rsidRDefault="00A25338" w:rsidP="00A25338">
      <w:pPr>
        <w:pStyle w:val="ListParagraph"/>
        <w:numPr>
          <w:ilvl w:val="0"/>
          <w:numId w:val="9"/>
        </w:numPr>
        <w:spacing w:line="360" w:lineRule="auto"/>
      </w:pPr>
      <w:r w:rsidRPr="004475C4">
        <w:t>Legal solutions should be crafted to be as technologically neutral as possible.</w:t>
      </w:r>
    </w:p>
    <w:p w14:paraId="2CACA7E0" w14:textId="77777777" w:rsidR="00A25338" w:rsidRPr="004475C4" w:rsidRDefault="00A25338" w:rsidP="00A25338">
      <w:pPr>
        <w:pStyle w:val="ListParagraph"/>
        <w:spacing w:line="360" w:lineRule="auto"/>
        <w:ind w:left="360"/>
      </w:pPr>
    </w:p>
    <w:bookmarkEnd w:id="5"/>
    <w:p w14:paraId="76B102E1" w14:textId="77777777" w:rsidR="00A25338" w:rsidRPr="00DC455C" w:rsidRDefault="00A25338" w:rsidP="00A25338">
      <w:pPr>
        <w:pStyle w:val="ListParagraph"/>
        <w:keepNext/>
        <w:keepLines/>
        <w:numPr>
          <w:ilvl w:val="0"/>
          <w:numId w:val="9"/>
        </w:numPr>
        <w:spacing w:before="0" w:after="0" w:line="360" w:lineRule="auto"/>
        <w:outlineLvl w:val="0"/>
        <w:rPr>
          <w:rFonts w:eastAsia="MS Gothic" w:cs="Arial"/>
          <w:kern w:val="0"/>
          <w14:ligatures w14:val="none"/>
        </w:rPr>
      </w:pPr>
      <w:r w:rsidRPr="00F96EFA">
        <w:t>The</w:t>
      </w:r>
      <w:r w:rsidRPr="00510563">
        <w:t xml:space="preserve"> </w:t>
      </w:r>
      <w:r>
        <w:t>relev</w:t>
      </w:r>
      <w:r w:rsidRPr="00510563">
        <w:t xml:space="preserve">ance of good faith should be considered when </w:t>
      </w:r>
      <w:r>
        <w:t xml:space="preserve">assessing liability for the application of </w:t>
      </w:r>
      <w:r w:rsidRPr="00510563">
        <w:t>limitations and exceptions</w:t>
      </w:r>
      <w:r>
        <w:t xml:space="preserve"> by institutional beneficiaries</w:t>
      </w:r>
      <w:r w:rsidRPr="00510563">
        <w:t>.</w:t>
      </w:r>
    </w:p>
    <w:p w14:paraId="7FC86F04" w14:textId="77777777" w:rsidR="00A25338" w:rsidRPr="00F96EFA" w:rsidRDefault="00A25338" w:rsidP="00A25338">
      <w:pPr>
        <w:pStyle w:val="ListParagraph"/>
        <w:keepNext/>
        <w:keepLines/>
        <w:spacing w:before="0" w:after="0" w:line="360" w:lineRule="auto"/>
        <w:ind w:left="360"/>
        <w:outlineLvl w:val="0"/>
        <w:rPr>
          <w:rFonts w:eastAsia="MS Gothic" w:cs="Arial"/>
          <w:kern w:val="0"/>
          <w14:ligatures w14:val="none"/>
        </w:rPr>
      </w:pPr>
    </w:p>
    <w:p w14:paraId="4757E144" w14:textId="77777777" w:rsidR="00A25338" w:rsidRPr="00DC455C" w:rsidRDefault="00A25338" w:rsidP="00A25338">
      <w:pPr>
        <w:pStyle w:val="ListParagraph"/>
        <w:keepNext/>
        <w:keepLines/>
        <w:numPr>
          <w:ilvl w:val="0"/>
          <w:numId w:val="9"/>
        </w:numPr>
        <w:spacing w:before="0" w:after="0" w:line="360" w:lineRule="auto"/>
        <w:outlineLvl w:val="0"/>
      </w:pPr>
      <w:r w:rsidRPr="00DC455C">
        <w:t>Alternative dispute resolution mechanisms should be implemented as an option to resolve disputes concerning the use of works under limitations and exceptions.</w:t>
      </w:r>
    </w:p>
    <w:p w14:paraId="1169CE70" w14:textId="77777777" w:rsidR="00A25338" w:rsidRPr="00694AD5" w:rsidRDefault="00A25338" w:rsidP="00A25338">
      <w:pPr>
        <w:spacing w:line="360" w:lineRule="auto"/>
        <w:rPr>
          <w:rFonts w:eastAsia="MS Mincho"/>
        </w:rPr>
      </w:pPr>
    </w:p>
    <w:p w14:paraId="23216546" w14:textId="77777777" w:rsidR="00A25338" w:rsidRDefault="00A25338" w:rsidP="00A25338">
      <w:pPr>
        <w:rPr>
          <w:rFonts w:eastAsia="MS Mincho"/>
          <w:b/>
          <w:bCs/>
        </w:rPr>
      </w:pPr>
      <w:r>
        <w:rPr>
          <w:rFonts w:eastAsia="MS Mincho"/>
          <w:b/>
          <w:bCs/>
        </w:rPr>
        <w:br w:type="page"/>
      </w:r>
    </w:p>
    <w:p w14:paraId="5336E5F3" w14:textId="77777777" w:rsidR="00A25338" w:rsidRPr="00D81CF2" w:rsidRDefault="00A25338" w:rsidP="00A25338">
      <w:pPr>
        <w:spacing w:line="360" w:lineRule="auto"/>
        <w:rPr>
          <w:rFonts w:eastAsia="MS Gothic"/>
          <w:b/>
          <w:bCs/>
        </w:rPr>
      </w:pPr>
      <w:r>
        <w:rPr>
          <w:rFonts w:eastAsia="MS Mincho"/>
          <w:b/>
          <w:bCs/>
        </w:rPr>
        <w:lastRenderedPageBreak/>
        <w:t>D</w:t>
      </w:r>
      <w:r w:rsidRPr="00DB1FD7">
        <w:rPr>
          <w:rFonts w:eastAsia="MS Mincho"/>
          <w:b/>
          <w:bCs/>
        </w:rPr>
        <w:t xml:space="preserve">. </w:t>
      </w:r>
      <w:r w:rsidRPr="00D81CF2">
        <w:rPr>
          <w:rFonts w:eastAsia="MS Gothic"/>
          <w:b/>
          <w:bCs/>
        </w:rPr>
        <w:t xml:space="preserve">Cooperation, Capacity Building </w:t>
      </w:r>
      <w:proofErr w:type="gramStart"/>
      <w:r w:rsidRPr="00D81CF2">
        <w:rPr>
          <w:rFonts w:eastAsia="MS Gothic"/>
          <w:b/>
          <w:bCs/>
        </w:rPr>
        <w:t>And</w:t>
      </w:r>
      <w:proofErr w:type="gramEnd"/>
      <w:r w:rsidRPr="00D81CF2">
        <w:rPr>
          <w:rFonts w:eastAsia="MS Gothic"/>
          <w:b/>
          <w:bCs/>
        </w:rPr>
        <w:t xml:space="preserve"> Technical Assistance</w:t>
      </w:r>
    </w:p>
    <w:p w14:paraId="7C208BF7" w14:textId="77777777" w:rsidR="00A25338" w:rsidRPr="004475C4" w:rsidRDefault="00A25338" w:rsidP="00A25338">
      <w:pPr>
        <w:spacing w:line="360" w:lineRule="auto"/>
        <w:rPr>
          <w:rFonts w:eastAsia="MS Mincho"/>
        </w:rPr>
      </w:pPr>
    </w:p>
    <w:p w14:paraId="07A68A21" w14:textId="77777777" w:rsidR="00A25338" w:rsidRPr="004475C4" w:rsidRDefault="00A25338" w:rsidP="00A25338">
      <w:pPr>
        <w:pStyle w:val="ListParagraph"/>
        <w:numPr>
          <w:ilvl w:val="0"/>
          <w:numId w:val="11"/>
        </w:numPr>
        <w:spacing w:before="0" w:after="0" w:line="360" w:lineRule="auto"/>
        <w:rPr>
          <w:rFonts w:eastAsia="MS Mincho" w:cs="Arial"/>
          <w:kern w:val="0"/>
          <w14:ligatures w14:val="none"/>
        </w:rPr>
      </w:pPr>
      <w:r w:rsidRPr="004475C4">
        <w:rPr>
          <w:rFonts w:eastAsia="MS Mincho" w:cs="Arial"/>
          <w:kern w:val="0"/>
          <w14:ligatures w14:val="none"/>
        </w:rPr>
        <w:t>WIPO should continue to make available to Member States a set of tools (</w:t>
      </w:r>
      <w:r>
        <w:rPr>
          <w:rFonts w:eastAsia="MS Mincho" w:cs="Arial"/>
          <w:kern w:val="0"/>
          <w14:ligatures w14:val="none"/>
        </w:rPr>
        <w:t>“</w:t>
      </w:r>
      <w:r w:rsidRPr="004475C4">
        <w:rPr>
          <w:rFonts w:eastAsia="MS Mincho" w:cs="Arial"/>
          <w:kern w:val="0"/>
          <w14:ligatures w14:val="none"/>
        </w:rPr>
        <w:t>buffet of options</w:t>
      </w:r>
      <w:r>
        <w:rPr>
          <w:rFonts w:eastAsia="MS Mincho" w:cs="Arial"/>
          <w:kern w:val="0"/>
          <w14:ligatures w14:val="none"/>
        </w:rPr>
        <w:t>”</w:t>
      </w:r>
      <w:r w:rsidRPr="004475C4">
        <w:rPr>
          <w:rFonts w:eastAsia="MS Mincho" w:cs="Arial"/>
          <w:kern w:val="0"/>
          <w14:ligatures w14:val="none"/>
        </w:rPr>
        <w:t>) including guidelines, handbooks, recommendations and case studies, covering both limitations and exceptions and licensing options.</w:t>
      </w:r>
    </w:p>
    <w:p w14:paraId="1B0DD029" w14:textId="77777777" w:rsidR="00A25338" w:rsidRDefault="00A25338" w:rsidP="00A25338">
      <w:pPr>
        <w:pStyle w:val="ListParagraph"/>
        <w:spacing w:before="0" w:after="0" w:line="360" w:lineRule="auto"/>
        <w:ind w:left="360"/>
        <w:rPr>
          <w:rFonts w:eastAsia="MS Mincho" w:cs="Arial"/>
          <w:kern w:val="0"/>
          <w14:ligatures w14:val="none"/>
        </w:rPr>
      </w:pPr>
    </w:p>
    <w:p w14:paraId="7BF762E6" w14:textId="77777777" w:rsidR="00A25338" w:rsidRPr="004475C4" w:rsidRDefault="00A25338" w:rsidP="00A25338">
      <w:pPr>
        <w:pStyle w:val="ListParagraph"/>
        <w:numPr>
          <w:ilvl w:val="0"/>
          <w:numId w:val="11"/>
        </w:numPr>
        <w:spacing w:before="0" w:after="0" w:line="360" w:lineRule="auto"/>
        <w:rPr>
          <w:rFonts w:eastAsia="MS Mincho" w:cs="Arial"/>
          <w:kern w:val="0"/>
          <w14:ligatures w14:val="none"/>
        </w:rPr>
      </w:pPr>
      <w:r w:rsidRPr="004475C4">
        <w:rPr>
          <w:rFonts w:eastAsia="MS Mincho" w:cs="Arial"/>
          <w:kern w:val="0"/>
          <w14:ligatures w14:val="none"/>
        </w:rPr>
        <w:t>Legislative and technical assistance should be provided for national implementation, with priority to countries lacking adequate frameworks.</w:t>
      </w:r>
    </w:p>
    <w:p w14:paraId="5C99FF9F" w14:textId="77777777" w:rsidR="00A25338" w:rsidRPr="004475C4" w:rsidRDefault="00A25338" w:rsidP="00A25338">
      <w:pPr>
        <w:pStyle w:val="ListParagraph"/>
        <w:spacing w:before="0" w:after="0" w:line="360" w:lineRule="auto"/>
        <w:ind w:left="360"/>
        <w:rPr>
          <w:rFonts w:eastAsia="MS Mincho" w:cs="Arial"/>
          <w:kern w:val="0"/>
          <w14:ligatures w14:val="none"/>
        </w:rPr>
      </w:pPr>
    </w:p>
    <w:p w14:paraId="1AF07086" w14:textId="77777777" w:rsidR="00A25338" w:rsidRPr="004475C4" w:rsidRDefault="00A25338" w:rsidP="00A25338">
      <w:pPr>
        <w:pStyle w:val="ListParagraph"/>
        <w:numPr>
          <w:ilvl w:val="0"/>
          <w:numId w:val="11"/>
        </w:numPr>
        <w:spacing w:before="0" w:after="0" w:line="360" w:lineRule="auto"/>
        <w:rPr>
          <w:rFonts w:eastAsia="MS Mincho" w:cs="Arial"/>
          <w:kern w:val="0"/>
          <w14:ligatures w14:val="none"/>
        </w:rPr>
      </w:pPr>
      <w:r>
        <w:rPr>
          <w:rFonts w:eastAsia="MS Mincho" w:cs="Arial"/>
          <w:kern w:val="0"/>
          <w14:ligatures w14:val="none"/>
        </w:rPr>
        <w:t>G</w:t>
      </w:r>
      <w:r w:rsidRPr="004475C4">
        <w:rPr>
          <w:rFonts w:eastAsia="MS Mincho" w:cs="Arial"/>
          <w:kern w:val="0"/>
          <w14:ligatures w14:val="none"/>
        </w:rPr>
        <w:t xml:space="preserve">ood practices and tools </w:t>
      </w:r>
      <w:r>
        <w:rPr>
          <w:rFonts w:eastAsia="MS Mincho" w:cs="Arial"/>
          <w:kern w:val="0"/>
          <w14:ligatures w14:val="none"/>
        </w:rPr>
        <w:t xml:space="preserve">should be promoted </w:t>
      </w:r>
      <w:r w:rsidRPr="004475C4">
        <w:rPr>
          <w:rFonts w:eastAsia="MS Mincho" w:cs="Arial"/>
          <w:kern w:val="0"/>
          <w14:ligatures w14:val="none"/>
        </w:rPr>
        <w:t>for rights management in digital environments.</w:t>
      </w:r>
    </w:p>
    <w:p w14:paraId="15197E87" w14:textId="77777777" w:rsidR="00A25338" w:rsidRDefault="00A25338" w:rsidP="00A25338">
      <w:pPr>
        <w:rPr>
          <w:rFonts w:eastAsia="MS Gothic"/>
          <w:b/>
          <w:bCs/>
        </w:rPr>
      </w:pPr>
    </w:p>
    <w:p w14:paraId="0E17BD37" w14:textId="77777777" w:rsidR="00A25338" w:rsidRPr="00E50AFF" w:rsidRDefault="00A25338" w:rsidP="00A25338">
      <w:pPr>
        <w:rPr>
          <w:rFonts w:eastAsia="MS Mincho"/>
          <w:i/>
          <w:iCs/>
          <w:sz w:val="18"/>
          <w:szCs w:val="18"/>
        </w:rPr>
      </w:pPr>
    </w:p>
    <w:p w14:paraId="3FC294FD" w14:textId="77777777" w:rsidR="00A25338" w:rsidRPr="00E50AFF" w:rsidRDefault="00A25338" w:rsidP="00A25338">
      <w:pPr>
        <w:rPr>
          <w:rFonts w:eastAsia="MS Mincho"/>
          <w:i/>
          <w:iCs/>
          <w:sz w:val="18"/>
          <w:szCs w:val="18"/>
        </w:rPr>
      </w:pPr>
    </w:p>
    <w:p w14:paraId="26DA759E" w14:textId="5637A59D" w:rsidR="00A25338" w:rsidRDefault="00A25338" w:rsidP="00A25338">
      <w:pPr>
        <w:ind w:left="5812"/>
        <w:rPr>
          <w:rFonts w:eastAsia="MS Mincho"/>
        </w:rPr>
      </w:pPr>
      <w:r w:rsidRPr="00C70DB9">
        <w:rPr>
          <w:rFonts w:eastAsia="MS Mincho"/>
        </w:rPr>
        <w:t xml:space="preserve">[End of </w:t>
      </w:r>
      <w:r>
        <w:rPr>
          <w:rFonts w:eastAsia="MS Mincho"/>
        </w:rPr>
        <w:t>document</w:t>
      </w:r>
      <w:r w:rsidRPr="00C70DB9">
        <w:rPr>
          <w:rFonts w:eastAsia="MS Mincho"/>
        </w:rPr>
        <w:t>]</w:t>
      </w:r>
    </w:p>
    <w:p w14:paraId="25DF01B8" w14:textId="77777777" w:rsidR="00A25338" w:rsidRDefault="00A25338" w:rsidP="00A25338">
      <w:pPr>
        <w:ind w:left="5812"/>
        <w:rPr>
          <w:rFonts w:eastAsia="MS Mincho"/>
        </w:rPr>
      </w:pPr>
    </w:p>
    <w:p w14:paraId="7751C915" w14:textId="77777777" w:rsidR="00A25338" w:rsidRPr="00C70DB9" w:rsidRDefault="00A25338" w:rsidP="00A25338">
      <w:pPr>
        <w:ind w:left="5812"/>
      </w:pPr>
    </w:p>
    <w:p w14:paraId="179C1149" w14:textId="77777777" w:rsidR="00A25338" w:rsidRPr="00C70DB9" w:rsidRDefault="00A25338" w:rsidP="00A25338">
      <w:pPr>
        <w:rPr>
          <w:rFonts w:eastAsia="MS Mincho"/>
        </w:rPr>
      </w:pPr>
    </w:p>
    <w:p w14:paraId="594FCB4D" w14:textId="77777777" w:rsidR="00A25338" w:rsidRPr="008E7986" w:rsidRDefault="00A25338" w:rsidP="00A25338">
      <w:pPr>
        <w:rPr>
          <w:rFonts w:eastAsia="MS Mincho"/>
        </w:rPr>
      </w:pPr>
    </w:p>
    <w:p w14:paraId="3F20F763" w14:textId="77777777" w:rsidR="002928D3" w:rsidRDefault="002928D3" w:rsidP="003D352A">
      <w:pPr>
        <w:spacing w:after="220"/>
      </w:pPr>
    </w:p>
    <w:sectPr w:rsidR="002928D3" w:rsidSect="00FC597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FDE4" w14:textId="77777777" w:rsidR="00FC5970" w:rsidRDefault="00FC5970">
      <w:r>
        <w:separator/>
      </w:r>
    </w:p>
  </w:endnote>
  <w:endnote w:type="continuationSeparator" w:id="0">
    <w:p w14:paraId="72B0E813" w14:textId="77777777" w:rsidR="00FC5970" w:rsidRDefault="00FC5970" w:rsidP="003B38C1">
      <w:r>
        <w:separator/>
      </w:r>
    </w:p>
    <w:p w14:paraId="07C416EB" w14:textId="77777777" w:rsidR="00FC5970" w:rsidRPr="003B38C1" w:rsidRDefault="00FC5970" w:rsidP="003B38C1">
      <w:pPr>
        <w:spacing w:after="60"/>
        <w:rPr>
          <w:sz w:val="17"/>
        </w:rPr>
      </w:pPr>
      <w:r>
        <w:rPr>
          <w:sz w:val="17"/>
        </w:rPr>
        <w:t>[Endnote continued from previous page]</w:t>
      </w:r>
    </w:p>
  </w:endnote>
  <w:endnote w:type="continuationNotice" w:id="1">
    <w:p w14:paraId="600318D0" w14:textId="77777777" w:rsidR="00FC5970" w:rsidRPr="003B38C1" w:rsidRDefault="00FC597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0F0A" w14:textId="77777777" w:rsidR="00FC5970" w:rsidRDefault="00FC5970">
      <w:r>
        <w:separator/>
      </w:r>
    </w:p>
  </w:footnote>
  <w:footnote w:type="continuationSeparator" w:id="0">
    <w:p w14:paraId="47E3D46E" w14:textId="77777777" w:rsidR="00FC5970" w:rsidRDefault="00FC5970" w:rsidP="008B60B2">
      <w:r>
        <w:separator/>
      </w:r>
    </w:p>
    <w:p w14:paraId="0A595F0C" w14:textId="77777777" w:rsidR="00FC5970" w:rsidRPr="00ED77FB" w:rsidRDefault="00FC5970" w:rsidP="008B60B2">
      <w:pPr>
        <w:spacing w:after="60"/>
        <w:rPr>
          <w:sz w:val="17"/>
          <w:szCs w:val="17"/>
        </w:rPr>
      </w:pPr>
      <w:r w:rsidRPr="00ED77FB">
        <w:rPr>
          <w:sz w:val="17"/>
          <w:szCs w:val="17"/>
        </w:rPr>
        <w:t>[Footnote continued from previous page]</w:t>
      </w:r>
    </w:p>
  </w:footnote>
  <w:footnote w:type="continuationNotice" w:id="1">
    <w:p w14:paraId="157C5C2E" w14:textId="77777777" w:rsidR="00FC5970" w:rsidRPr="00ED77FB" w:rsidRDefault="00FC597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5372223" w14:textId="77777777" w:rsidR="00A25338" w:rsidRDefault="00A25338" w:rsidP="00A25338">
      <w:pPr>
        <w:pStyle w:val="FootnoteText"/>
      </w:pPr>
      <w:r w:rsidRPr="00C44CEE">
        <w:rPr>
          <w:rStyle w:val="FootnoteReference"/>
        </w:rPr>
        <w:footnoteRef/>
      </w:r>
      <w:r w:rsidRPr="00C44CEE">
        <w:t xml:space="preserve"> </w:t>
      </w:r>
      <w:proofErr w:type="gramStart"/>
      <w:r>
        <w:t>For the purpose of</w:t>
      </w:r>
      <w:proofErr w:type="gramEnd"/>
      <w:r>
        <w:t xml:space="preserve"> this text,</w:t>
      </w:r>
      <w:r w:rsidRPr="008E7986">
        <w:t xml:space="preserve"> the term </w:t>
      </w:r>
      <w:r>
        <w:t>“</w:t>
      </w:r>
      <w:r w:rsidRPr="008E7986">
        <w:t>copyright</w:t>
      </w:r>
      <w:r>
        <w:t>”</w:t>
      </w:r>
      <w:r w:rsidRPr="008E7986">
        <w:t xml:space="preserve"> also includes</w:t>
      </w:r>
      <w:r w:rsidRPr="00C44CEE">
        <w:t xml:space="preserve"> related rights.</w:t>
      </w:r>
    </w:p>
  </w:footnote>
  <w:footnote w:id="3">
    <w:p w14:paraId="0F257867" w14:textId="77777777" w:rsidR="00A25338" w:rsidRDefault="00A25338" w:rsidP="00A25338">
      <w:pPr>
        <w:pStyle w:val="FootnoteText"/>
      </w:pPr>
      <w:r>
        <w:rPr>
          <w:rStyle w:val="FootnoteReference"/>
        </w:rPr>
        <w:footnoteRef/>
      </w:r>
      <w:r>
        <w:t xml:space="preserve"> </w:t>
      </w:r>
      <w:proofErr w:type="gramStart"/>
      <w:r>
        <w:t>For the purpose of</w:t>
      </w:r>
      <w:proofErr w:type="gramEnd"/>
      <w:r>
        <w:t xml:space="preserve"> this text, the term “works” also includes objects of related rights.</w:t>
      </w:r>
    </w:p>
  </w:footnote>
  <w:footnote w:id="4">
    <w:p w14:paraId="2B88B92C" w14:textId="77777777" w:rsidR="00A25338" w:rsidRDefault="00A25338" w:rsidP="00A25338">
      <w:pPr>
        <w:pStyle w:val="FootnoteText"/>
      </w:pPr>
      <w:r>
        <w:rPr>
          <w:rStyle w:val="FootnoteReference"/>
        </w:rPr>
        <w:footnoteRef/>
      </w:r>
      <w:r>
        <w:t xml:space="preserve"> As defined in the </w:t>
      </w:r>
      <w:r w:rsidRPr="00661582">
        <w:t>United Nations Convention on the Rights of Persons with Disabilities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61C8" w14:textId="6FF918F9" w:rsidR="00EC4E49" w:rsidRDefault="00FC5970" w:rsidP="00477D6B">
    <w:pPr>
      <w:jc w:val="right"/>
    </w:pPr>
    <w:bookmarkStart w:id="6" w:name="Code2"/>
    <w:bookmarkEnd w:id="6"/>
    <w:proofErr w:type="spellStart"/>
    <w:r>
      <w:t>SCCR</w:t>
    </w:r>
    <w:proofErr w:type="spellEnd"/>
    <w:r>
      <w:t>/47/8</w:t>
    </w:r>
  </w:p>
  <w:p w14:paraId="7E7F1C3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D6B0DD3" w14:textId="77777777" w:rsidR="00EC4E49" w:rsidRDefault="00EC4E49" w:rsidP="00477D6B">
    <w:pPr>
      <w:jc w:val="right"/>
    </w:pPr>
  </w:p>
  <w:p w14:paraId="3EFE446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505319"/>
    <w:multiLevelType w:val="hybridMultilevel"/>
    <w:tmpl w:val="F21CBF6A"/>
    <w:lvl w:ilvl="0" w:tplc="03F66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C227ED"/>
    <w:multiLevelType w:val="hybridMultilevel"/>
    <w:tmpl w:val="F21CBF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9C1F10"/>
    <w:multiLevelType w:val="hybridMultilevel"/>
    <w:tmpl w:val="1852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C6409"/>
    <w:multiLevelType w:val="hybridMultilevel"/>
    <w:tmpl w:val="1B562C9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1226A5"/>
    <w:multiLevelType w:val="hybridMultilevel"/>
    <w:tmpl w:val="ED66F6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28076068">
    <w:abstractNumId w:val="3"/>
  </w:num>
  <w:num w:numId="2" w16cid:durableId="1246458243">
    <w:abstractNumId w:val="6"/>
  </w:num>
  <w:num w:numId="3" w16cid:durableId="273441559">
    <w:abstractNumId w:val="0"/>
  </w:num>
  <w:num w:numId="4" w16cid:durableId="286401011">
    <w:abstractNumId w:val="7"/>
  </w:num>
  <w:num w:numId="5" w16cid:durableId="113525721">
    <w:abstractNumId w:val="2"/>
  </w:num>
  <w:num w:numId="6" w16cid:durableId="1127430456">
    <w:abstractNumId w:val="5"/>
  </w:num>
  <w:num w:numId="7" w16cid:durableId="1144931682">
    <w:abstractNumId w:val="1"/>
  </w:num>
  <w:num w:numId="8" w16cid:durableId="1825971191">
    <w:abstractNumId w:val="9"/>
  </w:num>
  <w:num w:numId="9" w16cid:durableId="1809783615">
    <w:abstractNumId w:val="4"/>
  </w:num>
  <w:num w:numId="10" w16cid:durableId="299457864">
    <w:abstractNumId w:val="8"/>
  </w:num>
  <w:num w:numId="11" w16cid:durableId="131008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70"/>
    <w:rsid w:val="00010F79"/>
    <w:rsid w:val="0001647B"/>
    <w:rsid w:val="00017C43"/>
    <w:rsid w:val="00043CAA"/>
    <w:rsid w:val="00075432"/>
    <w:rsid w:val="000968ED"/>
    <w:rsid w:val="00096B1A"/>
    <w:rsid w:val="000F5E56"/>
    <w:rsid w:val="001024FE"/>
    <w:rsid w:val="001362EE"/>
    <w:rsid w:val="00142868"/>
    <w:rsid w:val="00161551"/>
    <w:rsid w:val="001832A6"/>
    <w:rsid w:val="0018777E"/>
    <w:rsid w:val="001C6808"/>
    <w:rsid w:val="001D1DA3"/>
    <w:rsid w:val="002121FA"/>
    <w:rsid w:val="002634C4"/>
    <w:rsid w:val="002928D3"/>
    <w:rsid w:val="002F1FE6"/>
    <w:rsid w:val="002F4E68"/>
    <w:rsid w:val="00312F7F"/>
    <w:rsid w:val="003228B7"/>
    <w:rsid w:val="003508A3"/>
    <w:rsid w:val="00364FB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93B11"/>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A198B"/>
    <w:rsid w:val="007B6A58"/>
    <w:rsid w:val="007D1613"/>
    <w:rsid w:val="008332E8"/>
    <w:rsid w:val="00873EE5"/>
    <w:rsid w:val="008B2CC1"/>
    <w:rsid w:val="008B4B5E"/>
    <w:rsid w:val="008B60B2"/>
    <w:rsid w:val="0090731E"/>
    <w:rsid w:val="00916EE2"/>
    <w:rsid w:val="00924FAA"/>
    <w:rsid w:val="0095239B"/>
    <w:rsid w:val="00966A22"/>
    <w:rsid w:val="0096722F"/>
    <w:rsid w:val="00980843"/>
    <w:rsid w:val="009E2791"/>
    <w:rsid w:val="009E3F6F"/>
    <w:rsid w:val="009F3BF9"/>
    <w:rsid w:val="009F499F"/>
    <w:rsid w:val="00A25338"/>
    <w:rsid w:val="00A305E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94629"/>
    <w:rsid w:val="00CE65D4"/>
    <w:rsid w:val="00D16EC4"/>
    <w:rsid w:val="00D45252"/>
    <w:rsid w:val="00D71B4D"/>
    <w:rsid w:val="00D93D55"/>
    <w:rsid w:val="00E161A2"/>
    <w:rsid w:val="00E1703C"/>
    <w:rsid w:val="00E335FE"/>
    <w:rsid w:val="00E5021F"/>
    <w:rsid w:val="00E671A6"/>
    <w:rsid w:val="00E87FA3"/>
    <w:rsid w:val="00EC1862"/>
    <w:rsid w:val="00EC4E49"/>
    <w:rsid w:val="00ED77FB"/>
    <w:rsid w:val="00F021A6"/>
    <w:rsid w:val="00F11D94"/>
    <w:rsid w:val="00F51DEC"/>
    <w:rsid w:val="00F66152"/>
    <w:rsid w:val="00FA7EAE"/>
    <w:rsid w:val="00FC5970"/>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9BBB"/>
  <w15:docId w15:val="{C3DEEFEF-D902-4B8C-9FC2-CB305F32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rsid w:val="00A25338"/>
    <w:rPr>
      <w:rFonts w:ascii="Arial" w:eastAsia="SimSun" w:hAnsi="Arial" w:cs="Arial"/>
      <w:sz w:val="18"/>
      <w:lang w:val="en-US" w:eastAsia="zh-CN"/>
    </w:rPr>
  </w:style>
  <w:style w:type="paragraph" w:styleId="ListParagraph">
    <w:name w:val="List Paragraph"/>
    <w:basedOn w:val="Normal"/>
    <w:uiPriority w:val="34"/>
    <w:qFormat/>
    <w:rsid w:val="00A25338"/>
    <w:pPr>
      <w:spacing w:before="180" w:after="240"/>
      <w:ind w:left="720"/>
      <w:contextualSpacing/>
    </w:pPr>
    <w:rPr>
      <w:rFonts w:eastAsiaTheme="minorHAnsi" w:cs="Noto Sans Display"/>
      <w:kern w:val="2"/>
      <w:szCs w:val="22"/>
      <w:lang w:eastAsia="en-US"/>
      <w14:ligatures w14:val="standardContextual"/>
    </w:rPr>
  </w:style>
  <w:style w:type="character" w:styleId="FootnoteReference">
    <w:name w:val="footnote reference"/>
    <w:basedOn w:val="DefaultParagraphFont"/>
    <w:uiPriority w:val="99"/>
    <w:semiHidden/>
    <w:unhideWhenUsed/>
    <w:rsid w:val="00A25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29</TotalTime>
  <Pages>8</Pages>
  <Words>1365</Words>
  <Characters>8267</Characters>
  <Application>Microsoft Office Word</Application>
  <DocSecurity>0</DocSecurity>
  <Lines>413</Lines>
  <Paragraphs>291</Paragraphs>
  <ScaleCrop>false</ScaleCrop>
  <HeadingPairs>
    <vt:vector size="2" baseType="variant">
      <vt:variant>
        <vt:lpstr>Title</vt:lpstr>
      </vt:variant>
      <vt:variant>
        <vt:i4>1</vt:i4>
      </vt:variant>
    </vt:vector>
  </HeadingPairs>
  <TitlesOfParts>
    <vt:vector size="1" baseType="lpstr">
      <vt:lpstr>SCCR/47/8</vt:lpstr>
    </vt:vector>
  </TitlesOfParts>
  <Company>WIPO</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SCCR/47/8</dc:title>
  <dc:creator>HAIZEL Francesca</dc:creator>
  <cp:keywords>FOR OFFICIAL USE ONLY</cp:keywords>
  <cp:lastModifiedBy>HAIZEL Francesca</cp:lastModifiedBy>
  <cp:revision>4</cp:revision>
  <cp:lastPrinted>2011-02-15T11:56:00Z</cp:lastPrinted>
  <dcterms:created xsi:type="dcterms:W3CDTF">2025-11-06T08:33:00Z</dcterms:created>
  <dcterms:modified xsi:type="dcterms:W3CDTF">2025-11-10T15:10:00Z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