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7385E" w14:textId="77777777" w:rsidR="008B2CC1" w:rsidRPr="008B2CC1" w:rsidRDefault="00873EE5" w:rsidP="00F11D94">
      <w:pPr>
        <w:spacing w:after="120"/>
        <w:jc w:val="right"/>
      </w:pPr>
      <w:r>
        <w:rPr>
          <w:noProof/>
          <w:sz w:val="28"/>
          <w:szCs w:val="28"/>
          <w:lang w:eastAsia="en-US"/>
        </w:rPr>
        <w:drawing>
          <wp:inline distT="0" distB="0" distL="0" distR="0" wp14:anchorId="5CF10C6D" wp14:editId="2676AA4F">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31706414" wp14:editId="3FBC22C4">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8DA295B"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92A4EA8" w14:textId="0334170A" w:rsidR="008B2CC1" w:rsidRPr="001024FE" w:rsidRDefault="00FA7EAE" w:rsidP="001024FE">
      <w:pPr>
        <w:jc w:val="right"/>
        <w:rPr>
          <w:rFonts w:ascii="Arial Black" w:hAnsi="Arial Black"/>
          <w:caps/>
          <w:sz w:val="15"/>
          <w:szCs w:val="15"/>
        </w:rPr>
      </w:pPr>
      <w:r>
        <w:rPr>
          <w:rFonts w:ascii="Arial Black" w:hAnsi="Arial Black"/>
          <w:caps/>
          <w:sz w:val="15"/>
          <w:szCs w:val="15"/>
        </w:rPr>
        <w:t>SCCR/4</w:t>
      </w:r>
      <w:r w:rsidR="00017C43">
        <w:rPr>
          <w:rFonts w:ascii="Arial Black" w:hAnsi="Arial Black"/>
          <w:caps/>
          <w:sz w:val="15"/>
          <w:szCs w:val="15"/>
        </w:rPr>
        <w:t>7</w:t>
      </w:r>
      <w:r w:rsidR="003F4808">
        <w:rPr>
          <w:rFonts w:ascii="Arial Black" w:hAnsi="Arial Black"/>
          <w:caps/>
          <w:sz w:val="15"/>
          <w:szCs w:val="15"/>
        </w:rPr>
        <w:t>/</w:t>
      </w:r>
      <w:bookmarkStart w:id="0" w:name="Code"/>
      <w:bookmarkEnd w:id="0"/>
      <w:r w:rsidR="00C019A0">
        <w:rPr>
          <w:rFonts w:ascii="Arial Black" w:hAnsi="Arial Black"/>
          <w:caps/>
          <w:sz w:val="15"/>
          <w:szCs w:val="15"/>
        </w:rPr>
        <w:t>13</w:t>
      </w:r>
    </w:p>
    <w:p w14:paraId="27185B13" w14:textId="00648AAB"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C019A0">
        <w:rPr>
          <w:rFonts w:ascii="Arial Black" w:hAnsi="Arial Black"/>
          <w:caps/>
          <w:sz w:val="15"/>
          <w:szCs w:val="15"/>
        </w:rPr>
        <w:t>ENGLISH</w:t>
      </w:r>
    </w:p>
    <w:bookmarkEnd w:id="1"/>
    <w:p w14:paraId="6C6AABC9" w14:textId="2C285FCC"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C019A0">
        <w:rPr>
          <w:rFonts w:ascii="Arial Black" w:hAnsi="Arial Black"/>
          <w:caps/>
          <w:sz w:val="15"/>
          <w:szCs w:val="15"/>
        </w:rPr>
        <w:t>JANUARY 22, 2026</w:t>
      </w:r>
    </w:p>
    <w:bookmarkEnd w:id="2"/>
    <w:p w14:paraId="534D2D96" w14:textId="77777777" w:rsidR="008B2CC1" w:rsidRPr="003845C1" w:rsidRDefault="003F4808" w:rsidP="0095239B">
      <w:pPr>
        <w:spacing w:after="480"/>
        <w:rPr>
          <w:b/>
          <w:sz w:val="28"/>
          <w:szCs w:val="28"/>
        </w:rPr>
      </w:pPr>
      <w:r w:rsidRPr="003F4808">
        <w:rPr>
          <w:b/>
          <w:sz w:val="28"/>
          <w:szCs w:val="28"/>
        </w:rPr>
        <w:t>Standing Committee on Copyright and Related Rights</w:t>
      </w:r>
    </w:p>
    <w:p w14:paraId="52DABF2A" w14:textId="77777777" w:rsidR="008B2CC1" w:rsidRPr="003845C1" w:rsidRDefault="003F4808" w:rsidP="008B2CC1">
      <w:pPr>
        <w:rPr>
          <w:b/>
          <w:sz w:val="24"/>
          <w:szCs w:val="24"/>
        </w:rPr>
      </w:pPr>
      <w:r w:rsidRPr="003F4808">
        <w:rPr>
          <w:b/>
          <w:sz w:val="24"/>
          <w:szCs w:val="24"/>
        </w:rPr>
        <w:t>Forty-</w:t>
      </w:r>
      <w:r w:rsidR="00924FAA">
        <w:rPr>
          <w:b/>
          <w:sz w:val="24"/>
          <w:szCs w:val="24"/>
        </w:rPr>
        <w:t>S</w:t>
      </w:r>
      <w:r w:rsidR="00017C43">
        <w:rPr>
          <w:b/>
          <w:sz w:val="24"/>
          <w:szCs w:val="24"/>
        </w:rPr>
        <w:t>even</w:t>
      </w:r>
      <w:r w:rsidR="00A5792C">
        <w:rPr>
          <w:b/>
          <w:sz w:val="24"/>
          <w:szCs w:val="24"/>
        </w:rPr>
        <w:t>th</w:t>
      </w:r>
      <w:r w:rsidR="00BD4BB6" w:rsidRPr="00BD4BB6">
        <w:rPr>
          <w:b/>
          <w:sz w:val="24"/>
          <w:szCs w:val="24"/>
        </w:rPr>
        <w:t xml:space="preserve"> </w:t>
      </w:r>
      <w:r w:rsidRPr="003F4808">
        <w:rPr>
          <w:b/>
          <w:sz w:val="24"/>
          <w:szCs w:val="24"/>
        </w:rPr>
        <w:t>Session</w:t>
      </w:r>
    </w:p>
    <w:p w14:paraId="2CE488C6" w14:textId="77777777" w:rsidR="008B2CC1" w:rsidRPr="009F3BF9" w:rsidRDefault="003F4808" w:rsidP="00CE65D4">
      <w:pPr>
        <w:spacing w:after="720"/>
      </w:pPr>
      <w:r w:rsidRPr="003F4808">
        <w:rPr>
          <w:b/>
          <w:sz w:val="24"/>
          <w:szCs w:val="24"/>
        </w:rPr>
        <w:t xml:space="preserve">Geneva, </w:t>
      </w:r>
      <w:r w:rsidR="00017C43">
        <w:rPr>
          <w:b/>
          <w:sz w:val="24"/>
          <w:szCs w:val="24"/>
        </w:rPr>
        <w:t>December 1 to 5</w:t>
      </w:r>
      <w:r w:rsidR="00FA7EAE" w:rsidRPr="00FA7EAE">
        <w:rPr>
          <w:b/>
          <w:sz w:val="24"/>
          <w:szCs w:val="24"/>
        </w:rPr>
        <w:t>, 202</w:t>
      </w:r>
      <w:r w:rsidR="00924FAA">
        <w:rPr>
          <w:b/>
          <w:sz w:val="24"/>
          <w:szCs w:val="24"/>
        </w:rPr>
        <w:t>5</w:t>
      </w:r>
    </w:p>
    <w:p w14:paraId="565FD797" w14:textId="3897ABE8" w:rsidR="008B2CC1" w:rsidRPr="009F3BF9" w:rsidRDefault="00C019A0" w:rsidP="00CE65D4">
      <w:pPr>
        <w:spacing w:after="360"/>
        <w:rPr>
          <w:caps/>
          <w:sz w:val="24"/>
        </w:rPr>
      </w:pPr>
      <w:bookmarkStart w:id="3" w:name="TitleOfDoc"/>
      <w:r>
        <w:rPr>
          <w:caps/>
          <w:sz w:val="24"/>
        </w:rPr>
        <w:t>WIPO TOOLKIT ON ACCESS TO COPYRIGHTED WORKS IN THE COLLECTION</w:t>
      </w:r>
      <w:r w:rsidR="00EC09F0">
        <w:rPr>
          <w:caps/>
          <w:sz w:val="24"/>
        </w:rPr>
        <w:t>S</w:t>
      </w:r>
      <w:r>
        <w:rPr>
          <w:caps/>
          <w:sz w:val="24"/>
        </w:rPr>
        <w:t xml:space="preserve"> OF CULTURAL HERITAGE INSTITUTIONS:  LIBRARIES, ARCHIVES AND MUSEUMS</w:t>
      </w:r>
    </w:p>
    <w:p w14:paraId="35DE9685" w14:textId="280367F2" w:rsidR="008B2CC1" w:rsidRPr="004D39C4" w:rsidRDefault="00C019A0" w:rsidP="00CE65D4">
      <w:pPr>
        <w:spacing w:after="960"/>
        <w:rPr>
          <w:i/>
        </w:rPr>
      </w:pPr>
      <w:bookmarkStart w:id="4" w:name="Prepared"/>
      <w:bookmarkEnd w:id="3"/>
      <w:r>
        <w:rPr>
          <w:i/>
        </w:rPr>
        <w:t xml:space="preserve">prepared by J. Joel Baloyi, Kenneth D. Crews, </w:t>
      </w:r>
      <w:r w:rsidR="002262EC">
        <w:rPr>
          <w:i/>
        </w:rPr>
        <w:t xml:space="preserve">Carol Newman, </w:t>
      </w:r>
      <w:r>
        <w:rPr>
          <w:i/>
        </w:rPr>
        <w:t>Rina Elster Pantalony and David</w:t>
      </w:r>
      <w:r w:rsidR="002262EC">
        <w:rPr>
          <w:i/>
        </w:rPr>
        <w:t> </w:t>
      </w:r>
      <w:r>
        <w:rPr>
          <w:i/>
        </w:rPr>
        <w:t>Sutton</w:t>
      </w:r>
    </w:p>
    <w:bookmarkEnd w:id="4"/>
    <w:p w14:paraId="37413DEA" w14:textId="2D019F83" w:rsidR="00C019A0" w:rsidRDefault="00C019A0">
      <w:r>
        <w:br w:type="page"/>
      </w:r>
    </w:p>
    <w:p w14:paraId="773BF8FE" w14:textId="77777777" w:rsidR="00C019A0" w:rsidRDefault="00C019A0" w:rsidP="00C019A0">
      <w:pPr>
        <w:rPr>
          <w:rFonts w:eastAsia="Times New Roman"/>
          <w:color w:val="000000"/>
          <w:szCs w:val="22"/>
        </w:rPr>
      </w:pPr>
    </w:p>
    <w:p w14:paraId="52CC1B96" w14:textId="77777777" w:rsidR="00C019A0" w:rsidRDefault="00C019A0" w:rsidP="00C019A0">
      <w:pPr>
        <w:rPr>
          <w:rFonts w:eastAsia="Times New Roman"/>
          <w:color w:val="000000"/>
          <w:szCs w:val="22"/>
        </w:rPr>
      </w:pPr>
    </w:p>
    <w:p w14:paraId="7B4B384F" w14:textId="77777777" w:rsidR="00C019A0" w:rsidRDefault="00C019A0" w:rsidP="00C019A0">
      <w:pPr>
        <w:rPr>
          <w:rFonts w:eastAsia="Times New Roman"/>
          <w:color w:val="000000"/>
          <w:szCs w:val="22"/>
        </w:rPr>
      </w:pPr>
    </w:p>
    <w:p w14:paraId="0FBC2158" w14:textId="77777777" w:rsidR="00C019A0" w:rsidRDefault="00C019A0" w:rsidP="00C019A0">
      <w:pPr>
        <w:rPr>
          <w:rFonts w:eastAsia="Times New Roman"/>
          <w:color w:val="000000"/>
          <w:szCs w:val="22"/>
        </w:rPr>
      </w:pPr>
      <w:r w:rsidRPr="00506D4A">
        <w:rPr>
          <w:rFonts w:eastAsia="Times New Roman"/>
          <w:noProof/>
          <w:color w:val="000000"/>
          <w:szCs w:val="22"/>
        </w:rPr>
        <mc:AlternateContent>
          <mc:Choice Requires="wps">
            <w:drawing>
              <wp:anchor distT="45720" distB="45720" distL="114300" distR="114300" simplePos="0" relativeHeight="251662336" behindDoc="0" locked="0" layoutInCell="1" allowOverlap="1" wp14:anchorId="3E6F35A2" wp14:editId="4B694F2F">
                <wp:simplePos x="0" y="0"/>
                <wp:positionH relativeFrom="column">
                  <wp:posOffset>447675</wp:posOffset>
                </wp:positionH>
                <wp:positionV relativeFrom="paragraph">
                  <wp:posOffset>24765</wp:posOffset>
                </wp:positionV>
                <wp:extent cx="5368290" cy="1609725"/>
                <wp:effectExtent l="0" t="0" r="22860" b="28575"/>
                <wp:wrapSquare wrapText="bothSides"/>
                <wp:docPr id="354032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8290" cy="1609725"/>
                        </a:xfrm>
                        <a:prstGeom prst="rect">
                          <a:avLst/>
                        </a:prstGeom>
                        <a:solidFill>
                          <a:srgbClr val="FFFFFF"/>
                        </a:solidFill>
                        <a:ln w="25400">
                          <a:solidFill>
                            <a:srgbClr val="000000"/>
                          </a:solidFill>
                          <a:miter lim="800000"/>
                          <a:headEnd/>
                          <a:tailEnd/>
                        </a:ln>
                      </wps:spPr>
                      <wps:txbx>
                        <w:txbxContent>
                          <w:p w14:paraId="50E599B5" w14:textId="0A0AE3C8" w:rsidR="00C019A0" w:rsidRPr="00B71423" w:rsidRDefault="00C019A0" w:rsidP="00C019A0">
                            <w:r w:rsidRPr="00B71423">
                              <w:t xml:space="preserve">This version of the </w:t>
                            </w:r>
                            <w:r w:rsidRPr="00B71423">
                              <w:rPr>
                                <w:i/>
                                <w:iCs/>
                              </w:rPr>
                              <w:t>Toolkit on Access</w:t>
                            </w:r>
                            <w:r w:rsidRPr="00B71423">
                              <w:t xml:space="preserve"> reflects the work in progress as reported at the 47th meeting of the WIPO Standing Committee on Copyright and Related Rights (SCCR), held in Geneva, Switzerland</w:t>
                            </w:r>
                            <w:r>
                              <w:t>,</w:t>
                            </w:r>
                            <w:r w:rsidRPr="00B71423">
                              <w:t xml:space="preserve"> in December 2025. Member</w:t>
                            </w:r>
                            <w:r>
                              <w:t>s</w:t>
                            </w:r>
                            <w:r w:rsidRPr="00B71423">
                              <w:t xml:space="preserve"> are invited to react to this draft and to share with the Secretariat</w:t>
                            </w:r>
                            <w:r>
                              <w:t xml:space="preserve"> (</w:t>
                            </w:r>
                            <w:hyperlink r:id="rId9" w:history="1">
                              <w:r w:rsidRPr="006B49C8">
                                <w:rPr>
                                  <w:rStyle w:val="Hyperlink"/>
                                </w:rPr>
                                <w:t>copyright.mail@wipo.int</w:t>
                              </w:r>
                            </w:hyperlink>
                            <w:r>
                              <w:t>)</w:t>
                            </w:r>
                            <w:r w:rsidRPr="00B71423">
                              <w:t xml:space="preserve"> their feedback and comments</w:t>
                            </w:r>
                            <w:r>
                              <w:t xml:space="preserve"> by March 22, 2026</w:t>
                            </w:r>
                            <w:r w:rsidRPr="00B71423">
                              <w:t>, with the expectation of finalizing this toolkit for the following SCCR meeting in May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6F35A2" id="_x0000_t202" coordsize="21600,21600" o:spt="202" path="m,l,21600r21600,l21600,xe">
                <v:stroke joinstyle="miter"/>
                <v:path gradientshapeok="t" o:connecttype="rect"/>
              </v:shapetype>
              <v:shape id="Text Box 2" o:spid="_x0000_s1026" type="#_x0000_t202" style="position:absolute;margin-left:35.25pt;margin-top:1.95pt;width:422.7pt;height:126.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" strokeweight="2pt">
                <v:textbox>
                  <w:txbxContent>
                    <w:p w14:paraId="50E599B5" w14:textId="0A0AE3C8" w:rsidR="00C019A0" w:rsidRPr="00B71423" w:rsidRDefault="00C019A0" w:rsidP="00C019A0">
                      <w:r w:rsidRPr="00B71423">
                        <w:t xml:space="preserve">This version of the </w:t>
                      </w:r>
                      <w:r w:rsidRPr="00B71423">
                        <w:rPr>
                          <w:i/>
                          <w:iCs/>
                        </w:rPr>
                        <w:t>Toolkit on Access</w:t>
                      </w:r>
                      <w:r w:rsidRPr="00B71423">
                        <w:t xml:space="preserve"> reflects the work in progress as reported at the 47th meeting of the WIPO Standing Committee on Copyright and Related Rights (SCCR), held in Geneva, Switzerland</w:t>
                      </w:r>
                      <w:r>
                        <w:t>,</w:t>
                      </w:r>
                      <w:r w:rsidRPr="00B71423">
                        <w:t xml:space="preserve"> in December 2025. Member</w:t>
                      </w:r>
                      <w:r>
                        <w:t>s</w:t>
                      </w:r>
                      <w:r w:rsidRPr="00B71423">
                        <w:t xml:space="preserve"> are invited to react to this draft and to share with the Secretariat</w:t>
                      </w:r>
                      <w:r>
                        <w:t xml:space="preserve"> (</w:t>
                      </w:r>
                      <w:hyperlink r:id="rId10" w:history="1">
                        <w:r w:rsidRPr="006B49C8">
                          <w:rPr>
                            <w:rStyle w:val="Hyperlink"/>
                          </w:rPr>
                          <w:t>copyright.mail@wipo.int</w:t>
                        </w:r>
                      </w:hyperlink>
                      <w:r>
                        <w:t>)</w:t>
                      </w:r>
                      <w:r w:rsidRPr="00B71423">
                        <w:t xml:space="preserve"> their feedback and comments</w:t>
                      </w:r>
                      <w:r>
                        <w:t xml:space="preserve"> by March 22, 2026</w:t>
                      </w:r>
                      <w:r w:rsidRPr="00B71423">
                        <w:t>, with the expectation of finalizing this toolkit for the following SCCR meeting in May 2026.</w:t>
                      </w:r>
                    </w:p>
                  </w:txbxContent>
                </v:textbox>
                <w10:wrap type="square"/>
              </v:shape>
            </w:pict>
          </mc:Fallback>
        </mc:AlternateContent>
      </w:r>
    </w:p>
    <w:p w14:paraId="3F57DD26" w14:textId="77777777" w:rsidR="00C019A0" w:rsidRDefault="00C019A0" w:rsidP="00C019A0">
      <w:pPr>
        <w:rPr>
          <w:rFonts w:eastAsia="Times New Roman"/>
          <w:color w:val="000000"/>
          <w:szCs w:val="22"/>
        </w:rPr>
      </w:pPr>
    </w:p>
    <w:p w14:paraId="28CBCCC7" w14:textId="77777777" w:rsidR="00C019A0" w:rsidRDefault="00C019A0" w:rsidP="00C019A0">
      <w:pPr>
        <w:rPr>
          <w:rFonts w:eastAsia="Times New Roman"/>
          <w:color w:val="000000"/>
          <w:szCs w:val="22"/>
        </w:rPr>
      </w:pPr>
    </w:p>
    <w:p w14:paraId="2D7BBD32" w14:textId="77777777" w:rsidR="00C019A0" w:rsidRDefault="00C019A0" w:rsidP="00C019A0">
      <w:pPr>
        <w:rPr>
          <w:rFonts w:eastAsia="Times New Roman"/>
          <w:color w:val="000000"/>
          <w:szCs w:val="22"/>
        </w:rPr>
      </w:pPr>
    </w:p>
    <w:p w14:paraId="7F15E4E7" w14:textId="77777777" w:rsidR="00C019A0" w:rsidRDefault="00C019A0" w:rsidP="00C019A0">
      <w:pPr>
        <w:rPr>
          <w:rFonts w:eastAsia="Times New Roman"/>
          <w:color w:val="000000"/>
          <w:szCs w:val="22"/>
        </w:rPr>
      </w:pPr>
    </w:p>
    <w:p w14:paraId="05FB6589" w14:textId="77777777" w:rsidR="00C019A0" w:rsidRDefault="00C019A0" w:rsidP="00C019A0">
      <w:pPr>
        <w:rPr>
          <w:rFonts w:eastAsia="Times New Roman"/>
          <w:color w:val="000000"/>
          <w:szCs w:val="22"/>
        </w:rPr>
      </w:pPr>
    </w:p>
    <w:p w14:paraId="1872F6BD" w14:textId="77777777" w:rsidR="00C019A0" w:rsidRDefault="00C019A0" w:rsidP="00C019A0">
      <w:pPr>
        <w:rPr>
          <w:rFonts w:eastAsia="Times New Roman"/>
          <w:color w:val="000000"/>
          <w:szCs w:val="22"/>
        </w:rPr>
      </w:pPr>
    </w:p>
    <w:p w14:paraId="0D706C75" w14:textId="77777777" w:rsidR="00C019A0" w:rsidRDefault="00C019A0" w:rsidP="00C019A0">
      <w:pPr>
        <w:rPr>
          <w:rFonts w:eastAsia="Times New Roman"/>
          <w:color w:val="000000"/>
          <w:szCs w:val="22"/>
        </w:rPr>
      </w:pPr>
    </w:p>
    <w:p w14:paraId="2CFD7608" w14:textId="77777777" w:rsidR="00C019A0" w:rsidRDefault="00C019A0" w:rsidP="00C019A0">
      <w:pPr>
        <w:rPr>
          <w:rFonts w:eastAsia="Times New Roman"/>
          <w:color w:val="000000"/>
          <w:szCs w:val="22"/>
        </w:rPr>
      </w:pPr>
    </w:p>
    <w:p w14:paraId="12A5ED39" w14:textId="77777777" w:rsidR="00C019A0" w:rsidRDefault="00C019A0" w:rsidP="00C019A0">
      <w:pPr>
        <w:rPr>
          <w:rFonts w:eastAsia="Times New Roman"/>
          <w:color w:val="000000"/>
          <w:szCs w:val="22"/>
        </w:rPr>
      </w:pPr>
    </w:p>
    <w:p w14:paraId="028A4ECB" w14:textId="77777777" w:rsidR="00C019A0" w:rsidRDefault="00C019A0" w:rsidP="00C019A0">
      <w:pPr>
        <w:rPr>
          <w:rFonts w:eastAsia="Times New Roman"/>
          <w:color w:val="000000"/>
          <w:szCs w:val="22"/>
        </w:rPr>
      </w:pPr>
    </w:p>
    <w:p w14:paraId="0EFD863C" w14:textId="77777777" w:rsidR="00C019A0" w:rsidRDefault="00C019A0" w:rsidP="00C019A0">
      <w:pPr>
        <w:rPr>
          <w:rFonts w:eastAsia="Times New Roman"/>
          <w:color w:val="000000"/>
          <w:szCs w:val="22"/>
        </w:rPr>
      </w:pPr>
      <w:r>
        <w:rPr>
          <w:rFonts w:eastAsia="Times New Roman"/>
          <w:color w:val="000000"/>
          <w:szCs w:val="22"/>
        </w:rPr>
        <w:br w:type="page"/>
      </w:r>
    </w:p>
    <w:p w14:paraId="2F136007" w14:textId="77777777" w:rsidR="00C019A0" w:rsidRDefault="00C019A0" w:rsidP="00C019A0">
      <w:pPr>
        <w:rPr>
          <w:rFonts w:eastAsia="Times New Roman"/>
          <w:color w:val="000000"/>
          <w:szCs w:val="22"/>
        </w:rPr>
      </w:pPr>
    </w:p>
    <w:p w14:paraId="1557A7D0" w14:textId="77777777" w:rsidR="00C019A0" w:rsidRPr="00302F62" w:rsidRDefault="00C019A0" w:rsidP="00C019A0">
      <w:pPr>
        <w:rPr>
          <w:rFonts w:ascii="Times New Roman" w:eastAsia="Times New Roman" w:hAnsi="Times New Roman" w:cs="Times New Roman"/>
          <w:color w:val="000000"/>
        </w:rPr>
      </w:pPr>
      <w:r w:rsidRPr="00302F62">
        <w:rPr>
          <w:rFonts w:eastAsia="Times New Roman"/>
          <w:color w:val="000000"/>
          <w:szCs w:val="22"/>
        </w:rPr>
        <w:t>This document should not be perceived as being normative in any way. </w:t>
      </w:r>
    </w:p>
    <w:p w14:paraId="5ECDA409" w14:textId="77777777" w:rsidR="00C019A0" w:rsidRPr="00302F62" w:rsidRDefault="00C019A0" w:rsidP="00C019A0">
      <w:pPr>
        <w:rPr>
          <w:rFonts w:ascii="Times New Roman" w:eastAsia="Times New Roman" w:hAnsi="Times New Roman" w:cs="Times New Roman"/>
          <w:color w:val="000000"/>
        </w:rPr>
      </w:pPr>
    </w:p>
    <w:p w14:paraId="121AE66F" w14:textId="77777777" w:rsidR="00C019A0" w:rsidRPr="00302F62" w:rsidRDefault="00C019A0" w:rsidP="00C019A0">
      <w:pPr>
        <w:rPr>
          <w:rFonts w:ascii="Times New Roman" w:eastAsia="Times New Roman" w:hAnsi="Times New Roman" w:cs="Times New Roman"/>
          <w:color w:val="000000"/>
        </w:rPr>
      </w:pPr>
      <w:r w:rsidRPr="00302F62">
        <w:rPr>
          <w:rFonts w:eastAsia="Times New Roman"/>
          <w:color w:val="000000"/>
          <w:szCs w:val="22"/>
        </w:rPr>
        <w:t xml:space="preserve">The information provided in this toolkit is the sole responsibility of its authors. The document is not intended to reflect the views of </w:t>
      </w:r>
      <w:proofErr w:type="gramStart"/>
      <w:r w:rsidRPr="00302F62">
        <w:rPr>
          <w:rFonts w:eastAsia="Times New Roman"/>
          <w:color w:val="000000"/>
          <w:szCs w:val="22"/>
        </w:rPr>
        <w:t xml:space="preserve">the </w:t>
      </w:r>
      <w:r>
        <w:rPr>
          <w:rFonts w:eastAsia="Times New Roman"/>
          <w:color w:val="000000"/>
          <w:szCs w:val="22"/>
        </w:rPr>
        <w:t>Member</w:t>
      </w:r>
      <w:proofErr w:type="gramEnd"/>
      <w:r>
        <w:rPr>
          <w:rFonts w:eastAsia="Times New Roman"/>
          <w:color w:val="000000"/>
          <w:szCs w:val="22"/>
        </w:rPr>
        <w:t xml:space="preserve"> State</w:t>
      </w:r>
      <w:r w:rsidRPr="00302F62">
        <w:rPr>
          <w:rFonts w:eastAsia="Times New Roman"/>
          <w:color w:val="000000"/>
          <w:szCs w:val="22"/>
        </w:rPr>
        <w:t>s or the WIPO Secretariat. </w:t>
      </w:r>
    </w:p>
    <w:p w14:paraId="2D06D8C9" w14:textId="77777777" w:rsidR="00C019A0" w:rsidRDefault="00C019A0" w:rsidP="00C019A0">
      <w:pPr>
        <w:rPr>
          <w:rFonts w:eastAsia="Times New Roman"/>
          <w:color w:val="000000"/>
          <w:szCs w:val="22"/>
        </w:rPr>
      </w:pPr>
      <w:r w:rsidRPr="00302F62">
        <w:rPr>
          <w:rFonts w:ascii="Times New Roman" w:eastAsia="Times New Roman" w:hAnsi="Times New Roman" w:cs="Times New Roman"/>
          <w:color w:val="000000"/>
        </w:rPr>
        <w:br/>
      </w:r>
      <w:r w:rsidRPr="00302F62">
        <w:rPr>
          <w:rFonts w:eastAsia="Times New Roman"/>
          <w:color w:val="000000"/>
          <w:szCs w:val="22"/>
        </w:rPr>
        <w:t>The authors gratefully acknowledge the research contribution of Ms. Emily Taylor, MS Nonprofit Management, Columbia</w:t>
      </w:r>
      <w:r>
        <w:rPr>
          <w:rFonts w:eastAsia="Times New Roman"/>
          <w:color w:val="000000"/>
          <w:szCs w:val="22"/>
        </w:rPr>
        <w:t xml:space="preserve"> University</w:t>
      </w:r>
      <w:r w:rsidRPr="00302F62">
        <w:rPr>
          <w:rFonts w:eastAsia="Times New Roman"/>
          <w:color w:val="000000"/>
          <w:szCs w:val="22"/>
        </w:rPr>
        <w:t xml:space="preserve"> S</w:t>
      </w:r>
      <w:r>
        <w:rPr>
          <w:rFonts w:eastAsia="Times New Roman"/>
          <w:color w:val="000000"/>
          <w:szCs w:val="22"/>
        </w:rPr>
        <w:t xml:space="preserve">chool of </w:t>
      </w:r>
      <w:r w:rsidRPr="00302F62">
        <w:rPr>
          <w:rFonts w:eastAsia="Times New Roman"/>
          <w:color w:val="000000"/>
          <w:szCs w:val="22"/>
        </w:rPr>
        <w:t>P</w:t>
      </w:r>
      <w:r>
        <w:rPr>
          <w:rFonts w:eastAsia="Times New Roman"/>
          <w:color w:val="000000"/>
          <w:szCs w:val="22"/>
        </w:rPr>
        <w:t xml:space="preserve">rofessional </w:t>
      </w:r>
      <w:r w:rsidRPr="00302F62">
        <w:rPr>
          <w:rFonts w:eastAsia="Times New Roman"/>
          <w:color w:val="000000"/>
          <w:szCs w:val="22"/>
        </w:rPr>
        <w:t>S</w:t>
      </w:r>
      <w:r>
        <w:rPr>
          <w:rFonts w:eastAsia="Times New Roman"/>
          <w:color w:val="000000"/>
          <w:szCs w:val="22"/>
        </w:rPr>
        <w:t>tudies.</w:t>
      </w:r>
    </w:p>
    <w:p w14:paraId="7AB77427" w14:textId="77777777" w:rsidR="00C019A0" w:rsidRDefault="00C019A0" w:rsidP="00C019A0">
      <w:pPr>
        <w:rPr>
          <w:rFonts w:eastAsia="Times New Roman"/>
          <w:color w:val="000000"/>
          <w:szCs w:val="22"/>
        </w:rPr>
      </w:pPr>
      <w:r>
        <w:rPr>
          <w:rFonts w:eastAsia="Times New Roman"/>
          <w:color w:val="000000"/>
          <w:szCs w:val="22"/>
        </w:rPr>
        <w:t>Authors Joel Baloyi, Kenneth D. Crews, Rina Elster Pantalony and David Sutton dedicate this publication to their co-author Carol Newman, whose contributions and insight in writing this publication were invaluable. She is sadly missed.</w:t>
      </w:r>
    </w:p>
    <w:p w14:paraId="6AEFF3E7" w14:textId="77777777" w:rsidR="00C019A0" w:rsidRDefault="00C019A0" w:rsidP="00C019A0">
      <w:pPr>
        <w:rPr>
          <w:rFonts w:eastAsia="Times New Roman"/>
          <w:color w:val="000000"/>
          <w:szCs w:val="22"/>
        </w:rPr>
      </w:pPr>
    </w:p>
    <w:p w14:paraId="126CC8F3" w14:textId="77777777" w:rsidR="00C019A0" w:rsidRDefault="00C019A0" w:rsidP="00C019A0">
      <w:pPr>
        <w:rPr>
          <w:rFonts w:eastAsia="Times New Roman"/>
          <w:color w:val="000000"/>
          <w:szCs w:val="22"/>
        </w:rPr>
      </w:pPr>
      <w:r>
        <w:rPr>
          <w:rFonts w:eastAsia="Times New Roman"/>
          <w:color w:val="000000"/>
          <w:szCs w:val="22"/>
        </w:rPr>
        <w:br w:type="page"/>
      </w:r>
    </w:p>
    <w:p w14:paraId="7265D8A2" w14:textId="77777777" w:rsidR="00C019A0" w:rsidRDefault="00C019A0" w:rsidP="00C019A0">
      <w:pPr>
        <w:rPr>
          <w:rFonts w:eastAsia="Times New Roman"/>
          <w:b/>
          <w:bCs/>
          <w:color w:val="000000"/>
          <w:szCs w:val="22"/>
        </w:rPr>
      </w:pPr>
      <w:r w:rsidRPr="00A72E64">
        <w:rPr>
          <w:rFonts w:eastAsia="Times New Roman"/>
          <w:b/>
          <w:bCs/>
          <w:color w:val="000000"/>
          <w:szCs w:val="22"/>
        </w:rPr>
        <w:t>TABLE OF CONTENTS</w:t>
      </w:r>
    </w:p>
    <w:p w14:paraId="4834AE32" w14:textId="77777777" w:rsidR="00C019A0" w:rsidRDefault="00C019A0" w:rsidP="00C019A0">
      <w:pPr>
        <w:rPr>
          <w:rFonts w:eastAsia="Times New Roman"/>
          <w:b/>
          <w:bCs/>
          <w:color w:val="000000"/>
          <w:szCs w:val="22"/>
        </w:rPr>
      </w:pPr>
    </w:p>
    <w:p w14:paraId="280B8B02" w14:textId="7FD41052" w:rsidR="00C019A0" w:rsidRDefault="00C019A0" w:rsidP="00C019A0">
      <w:pPr>
        <w:pStyle w:val="TOC1"/>
        <w:rPr>
          <w:rFonts w:asciiTheme="minorHAnsi" w:eastAsiaTheme="minorEastAsia" w:hAnsiTheme="minorHAnsi"/>
          <w:noProof/>
          <w:sz w:val="24"/>
          <w:lang w:val="es-ES" w:eastAsia="es-ES"/>
        </w:rPr>
      </w:pPr>
      <w:r>
        <w:rPr>
          <w:rFonts w:eastAsia="Times New Roman"/>
          <w:b/>
          <w:bCs/>
          <w:color w:val="000000"/>
          <w:kern w:val="0"/>
          <w:szCs w:val="22"/>
          <w14:ligatures w14:val="none"/>
        </w:rPr>
        <w:fldChar w:fldCharType="begin"/>
      </w:r>
      <w:r>
        <w:instrText xml:space="preserve"> TOC \o "1-3" \h \z \u </w:instrText>
      </w:r>
      <w:r>
        <w:rPr>
          <w:rFonts w:eastAsia="Times New Roman"/>
          <w:b/>
          <w:bCs/>
          <w:color w:val="000000"/>
          <w:kern w:val="0"/>
          <w:szCs w:val="22"/>
          <w14:ligatures w14:val="none"/>
        </w:rPr>
        <w:fldChar w:fldCharType="separate"/>
      </w:r>
      <w:hyperlink w:anchor="_Toc219210255" w:history="1">
        <w:r w:rsidRPr="00A63DC6">
          <w:rPr>
            <w:rStyle w:val="Hyperlink"/>
            <w:noProof/>
          </w:rPr>
          <w:t>Introduction</w:t>
        </w:r>
        <w:r>
          <w:rPr>
            <w:noProof/>
            <w:webHidden/>
          </w:rPr>
          <w:tab/>
        </w:r>
        <w:r>
          <w:rPr>
            <w:noProof/>
            <w:webHidden/>
          </w:rPr>
          <w:fldChar w:fldCharType="begin"/>
        </w:r>
        <w:r>
          <w:rPr>
            <w:noProof/>
            <w:webHidden/>
          </w:rPr>
          <w:instrText xml:space="preserve"> PAGEREF _Toc219210255 \h </w:instrText>
        </w:r>
        <w:r>
          <w:rPr>
            <w:noProof/>
            <w:webHidden/>
          </w:rPr>
        </w:r>
        <w:r>
          <w:rPr>
            <w:noProof/>
            <w:webHidden/>
          </w:rPr>
          <w:fldChar w:fldCharType="separate"/>
        </w:r>
        <w:r w:rsidR="00C1075B">
          <w:rPr>
            <w:noProof/>
            <w:webHidden/>
          </w:rPr>
          <w:t>6</w:t>
        </w:r>
        <w:r>
          <w:rPr>
            <w:noProof/>
            <w:webHidden/>
          </w:rPr>
          <w:fldChar w:fldCharType="end"/>
        </w:r>
      </w:hyperlink>
    </w:p>
    <w:p w14:paraId="5DE09335" w14:textId="640D83FC" w:rsidR="00C019A0" w:rsidRDefault="00C019A0" w:rsidP="00C019A0">
      <w:pPr>
        <w:pStyle w:val="TOC2"/>
        <w:rPr>
          <w:rFonts w:asciiTheme="minorHAnsi" w:eastAsiaTheme="minorEastAsia" w:hAnsiTheme="minorHAnsi"/>
          <w:noProof/>
          <w:sz w:val="24"/>
          <w:lang w:val="es-ES" w:eastAsia="es-ES"/>
        </w:rPr>
      </w:pPr>
      <w:hyperlink w:anchor="_Toc219210256" w:history="1">
        <w:r w:rsidRPr="00A63DC6">
          <w:rPr>
            <w:rStyle w:val="Hyperlink"/>
            <w:noProof/>
          </w:rPr>
          <w:t>A.</w:t>
        </w:r>
        <w:r>
          <w:rPr>
            <w:rFonts w:asciiTheme="minorHAnsi" w:eastAsiaTheme="minorEastAsia" w:hAnsiTheme="minorHAnsi"/>
            <w:noProof/>
            <w:sz w:val="24"/>
            <w:lang w:val="es-ES" w:eastAsia="es-ES"/>
          </w:rPr>
          <w:tab/>
        </w:r>
        <w:r w:rsidRPr="00A63DC6">
          <w:rPr>
            <w:rStyle w:val="Hyperlink"/>
            <w:noProof/>
          </w:rPr>
          <w:t>The Importance of Access and Objectives of this Toolkit</w:t>
        </w:r>
        <w:r>
          <w:rPr>
            <w:noProof/>
            <w:webHidden/>
          </w:rPr>
          <w:tab/>
        </w:r>
        <w:r>
          <w:rPr>
            <w:noProof/>
            <w:webHidden/>
          </w:rPr>
          <w:fldChar w:fldCharType="begin"/>
        </w:r>
        <w:r>
          <w:rPr>
            <w:noProof/>
            <w:webHidden/>
          </w:rPr>
          <w:instrText xml:space="preserve"> PAGEREF _Toc219210256 \h </w:instrText>
        </w:r>
        <w:r>
          <w:rPr>
            <w:noProof/>
            <w:webHidden/>
          </w:rPr>
        </w:r>
        <w:r>
          <w:rPr>
            <w:noProof/>
            <w:webHidden/>
          </w:rPr>
          <w:fldChar w:fldCharType="separate"/>
        </w:r>
        <w:r w:rsidR="00C1075B">
          <w:rPr>
            <w:noProof/>
            <w:webHidden/>
          </w:rPr>
          <w:t>6</w:t>
        </w:r>
        <w:r>
          <w:rPr>
            <w:noProof/>
            <w:webHidden/>
          </w:rPr>
          <w:fldChar w:fldCharType="end"/>
        </w:r>
      </w:hyperlink>
    </w:p>
    <w:p w14:paraId="0B7C3D09" w14:textId="4836E8FB" w:rsidR="00C019A0" w:rsidRDefault="00C019A0" w:rsidP="00C019A0">
      <w:pPr>
        <w:pStyle w:val="TOC3"/>
        <w:rPr>
          <w:rFonts w:asciiTheme="minorHAnsi" w:eastAsiaTheme="minorEastAsia" w:hAnsiTheme="minorHAnsi"/>
          <w:noProof/>
          <w:sz w:val="24"/>
          <w:lang w:val="es-ES" w:eastAsia="es-ES"/>
        </w:rPr>
      </w:pPr>
      <w:hyperlink w:anchor="_Toc219210257" w:history="1">
        <w:r w:rsidRPr="00A63DC6">
          <w:rPr>
            <w:rStyle w:val="Hyperlink"/>
            <w:noProof/>
          </w:rPr>
          <w:t>1.</w:t>
        </w:r>
        <w:r>
          <w:rPr>
            <w:rFonts w:asciiTheme="minorHAnsi" w:eastAsiaTheme="minorEastAsia" w:hAnsiTheme="minorHAnsi"/>
            <w:noProof/>
            <w:sz w:val="24"/>
            <w:lang w:val="es-ES" w:eastAsia="es-ES"/>
          </w:rPr>
          <w:tab/>
        </w:r>
        <w:r w:rsidRPr="00A63DC6">
          <w:rPr>
            <w:rStyle w:val="Hyperlink"/>
            <w:noProof/>
          </w:rPr>
          <w:t>Origin of the Toolkit</w:t>
        </w:r>
        <w:r>
          <w:rPr>
            <w:noProof/>
            <w:webHidden/>
          </w:rPr>
          <w:tab/>
        </w:r>
        <w:r>
          <w:rPr>
            <w:noProof/>
            <w:webHidden/>
          </w:rPr>
          <w:fldChar w:fldCharType="begin"/>
        </w:r>
        <w:r>
          <w:rPr>
            <w:noProof/>
            <w:webHidden/>
          </w:rPr>
          <w:instrText xml:space="preserve"> PAGEREF _Toc219210257 \h </w:instrText>
        </w:r>
        <w:r>
          <w:rPr>
            <w:noProof/>
            <w:webHidden/>
          </w:rPr>
        </w:r>
        <w:r>
          <w:rPr>
            <w:noProof/>
            <w:webHidden/>
          </w:rPr>
          <w:fldChar w:fldCharType="separate"/>
        </w:r>
        <w:r w:rsidR="00C1075B">
          <w:rPr>
            <w:noProof/>
            <w:webHidden/>
          </w:rPr>
          <w:t>6</w:t>
        </w:r>
        <w:r>
          <w:rPr>
            <w:noProof/>
            <w:webHidden/>
          </w:rPr>
          <w:fldChar w:fldCharType="end"/>
        </w:r>
      </w:hyperlink>
    </w:p>
    <w:p w14:paraId="383E4183" w14:textId="3A841689" w:rsidR="00C019A0" w:rsidRDefault="00C019A0" w:rsidP="00C019A0">
      <w:pPr>
        <w:pStyle w:val="TOC3"/>
        <w:rPr>
          <w:rFonts w:asciiTheme="minorHAnsi" w:eastAsiaTheme="minorEastAsia" w:hAnsiTheme="minorHAnsi"/>
          <w:noProof/>
          <w:sz w:val="24"/>
          <w:lang w:val="es-ES" w:eastAsia="es-ES"/>
        </w:rPr>
      </w:pPr>
      <w:hyperlink w:anchor="_Toc219210258" w:history="1">
        <w:r w:rsidRPr="00A63DC6">
          <w:rPr>
            <w:rStyle w:val="Hyperlink"/>
            <w:noProof/>
          </w:rPr>
          <w:t>2.</w:t>
        </w:r>
        <w:r>
          <w:rPr>
            <w:rFonts w:asciiTheme="minorHAnsi" w:eastAsiaTheme="minorEastAsia" w:hAnsiTheme="minorHAnsi"/>
            <w:noProof/>
            <w:sz w:val="24"/>
            <w:lang w:val="es-ES" w:eastAsia="es-ES"/>
          </w:rPr>
          <w:tab/>
        </w:r>
        <w:r w:rsidRPr="00A63DC6">
          <w:rPr>
            <w:rStyle w:val="Hyperlink"/>
            <w:noProof/>
          </w:rPr>
          <w:t>Assistance for Lawmakers and Cultural Heritage Professionals</w:t>
        </w:r>
        <w:r>
          <w:rPr>
            <w:noProof/>
            <w:webHidden/>
          </w:rPr>
          <w:tab/>
        </w:r>
        <w:r>
          <w:rPr>
            <w:noProof/>
            <w:webHidden/>
          </w:rPr>
          <w:fldChar w:fldCharType="begin"/>
        </w:r>
        <w:r>
          <w:rPr>
            <w:noProof/>
            <w:webHidden/>
          </w:rPr>
          <w:instrText xml:space="preserve"> PAGEREF _Toc219210258 \h </w:instrText>
        </w:r>
        <w:r>
          <w:rPr>
            <w:noProof/>
            <w:webHidden/>
          </w:rPr>
        </w:r>
        <w:r>
          <w:rPr>
            <w:noProof/>
            <w:webHidden/>
          </w:rPr>
          <w:fldChar w:fldCharType="separate"/>
        </w:r>
        <w:r w:rsidR="00C1075B">
          <w:rPr>
            <w:noProof/>
            <w:webHidden/>
          </w:rPr>
          <w:t>6</w:t>
        </w:r>
        <w:r>
          <w:rPr>
            <w:noProof/>
            <w:webHidden/>
          </w:rPr>
          <w:fldChar w:fldCharType="end"/>
        </w:r>
      </w:hyperlink>
    </w:p>
    <w:p w14:paraId="4763FDC1" w14:textId="6C7BC30B" w:rsidR="00C019A0" w:rsidRDefault="00C019A0" w:rsidP="00C019A0">
      <w:pPr>
        <w:pStyle w:val="TOC3"/>
        <w:rPr>
          <w:rFonts w:asciiTheme="minorHAnsi" w:eastAsiaTheme="minorEastAsia" w:hAnsiTheme="minorHAnsi"/>
          <w:noProof/>
          <w:sz w:val="24"/>
          <w:lang w:val="es-ES" w:eastAsia="es-ES"/>
        </w:rPr>
      </w:pPr>
      <w:hyperlink w:anchor="_Toc219210259" w:history="1">
        <w:r w:rsidRPr="00A63DC6">
          <w:rPr>
            <w:rStyle w:val="Hyperlink"/>
            <w:noProof/>
          </w:rPr>
          <w:t>3.</w:t>
        </w:r>
        <w:r>
          <w:rPr>
            <w:rFonts w:asciiTheme="minorHAnsi" w:eastAsiaTheme="minorEastAsia" w:hAnsiTheme="minorHAnsi"/>
            <w:noProof/>
            <w:sz w:val="24"/>
            <w:lang w:val="es-ES" w:eastAsia="es-ES"/>
          </w:rPr>
          <w:tab/>
        </w:r>
        <w:r w:rsidRPr="00A63DC6">
          <w:rPr>
            <w:rStyle w:val="Hyperlink"/>
            <w:noProof/>
          </w:rPr>
          <w:t>Meeting the Requirement of the Three-Step Test</w:t>
        </w:r>
        <w:r>
          <w:rPr>
            <w:noProof/>
            <w:webHidden/>
          </w:rPr>
          <w:tab/>
        </w:r>
        <w:r>
          <w:rPr>
            <w:noProof/>
            <w:webHidden/>
          </w:rPr>
          <w:fldChar w:fldCharType="begin"/>
        </w:r>
        <w:r>
          <w:rPr>
            <w:noProof/>
            <w:webHidden/>
          </w:rPr>
          <w:instrText xml:space="preserve"> PAGEREF _Toc219210259 \h </w:instrText>
        </w:r>
        <w:r>
          <w:rPr>
            <w:noProof/>
            <w:webHidden/>
          </w:rPr>
        </w:r>
        <w:r>
          <w:rPr>
            <w:noProof/>
            <w:webHidden/>
          </w:rPr>
          <w:fldChar w:fldCharType="separate"/>
        </w:r>
        <w:r w:rsidR="00C1075B">
          <w:rPr>
            <w:noProof/>
            <w:webHidden/>
          </w:rPr>
          <w:t>7</w:t>
        </w:r>
        <w:r>
          <w:rPr>
            <w:noProof/>
            <w:webHidden/>
          </w:rPr>
          <w:fldChar w:fldCharType="end"/>
        </w:r>
      </w:hyperlink>
    </w:p>
    <w:p w14:paraId="620AB3AC" w14:textId="7B181183" w:rsidR="00C019A0" w:rsidRDefault="00C019A0" w:rsidP="00C019A0">
      <w:pPr>
        <w:pStyle w:val="TOC3"/>
        <w:rPr>
          <w:rFonts w:asciiTheme="minorHAnsi" w:eastAsiaTheme="minorEastAsia" w:hAnsiTheme="minorHAnsi"/>
          <w:noProof/>
          <w:sz w:val="24"/>
          <w:lang w:val="es-ES" w:eastAsia="es-ES"/>
        </w:rPr>
      </w:pPr>
      <w:hyperlink w:anchor="_Toc219210260" w:history="1">
        <w:r w:rsidRPr="00A63DC6">
          <w:rPr>
            <w:rStyle w:val="Hyperlink"/>
            <w:noProof/>
          </w:rPr>
          <w:t>4.</w:t>
        </w:r>
        <w:r>
          <w:rPr>
            <w:rFonts w:asciiTheme="minorHAnsi" w:eastAsiaTheme="minorEastAsia" w:hAnsiTheme="minorHAnsi"/>
            <w:noProof/>
            <w:sz w:val="24"/>
            <w:lang w:val="es-ES" w:eastAsia="es-ES"/>
          </w:rPr>
          <w:tab/>
        </w:r>
        <w:r w:rsidRPr="00A63DC6">
          <w:rPr>
            <w:rStyle w:val="Hyperlink"/>
            <w:noProof/>
          </w:rPr>
          <w:t>Continuing Developments</w:t>
        </w:r>
        <w:r>
          <w:rPr>
            <w:noProof/>
            <w:webHidden/>
          </w:rPr>
          <w:tab/>
        </w:r>
        <w:r>
          <w:rPr>
            <w:noProof/>
            <w:webHidden/>
          </w:rPr>
          <w:fldChar w:fldCharType="begin"/>
        </w:r>
        <w:r>
          <w:rPr>
            <w:noProof/>
            <w:webHidden/>
          </w:rPr>
          <w:instrText xml:space="preserve"> PAGEREF _Toc219210260 \h </w:instrText>
        </w:r>
        <w:r>
          <w:rPr>
            <w:noProof/>
            <w:webHidden/>
          </w:rPr>
        </w:r>
        <w:r>
          <w:rPr>
            <w:noProof/>
            <w:webHidden/>
          </w:rPr>
          <w:fldChar w:fldCharType="separate"/>
        </w:r>
        <w:r w:rsidR="00C1075B">
          <w:rPr>
            <w:noProof/>
            <w:webHidden/>
          </w:rPr>
          <w:t>7</w:t>
        </w:r>
        <w:r>
          <w:rPr>
            <w:noProof/>
            <w:webHidden/>
          </w:rPr>
          <w:fldChar w:fldCharType="end"/>
        </w:r>
      </w:hyperlink>
    </w:p>
    <w:p w14:paraId="4F9BB02A" w14:textId="138984C2" w:rsidR="00C019A0" w:rsidRDefault="00C019A0" w:rsidP="00C019A0">
      <w:pPr>
        <w:pStyle w:val="TOC2"/>
        <w:rPr>
          <w:rFonts w:asciiTheme="minorHAnsi" w:eastAsiaTheme="minorEastAsia" w:hAnsiTheme="minorHAnsi"/>
          <w:noProof/>
          <w:sz w:val="24"/>
          <w:lang w:val="es-ES" w:eastAsia="es-ES"/>
        </w:rPr>
      </w:pPr>
      <w:hyperlink w:anchor="_Toc219210261" w:history="1">
        <w:r w:rsidRPr="00A63DC6">
          <w:rPr>
            <w:rStyle w:val="Hyperlink"/>
            <w:noProof/>
          </w:rPr>
          <w:t>B.</w:t>
        </w:r>
        <w:r>
          <w:rPr>
            <w:rFonts w:asciiTheme="minorHAnsi" w:eastAsiaTheme="minorEastAsia" w:hAnsiTheme="minorHAnsi"/>
            <w:noProof/>
            <w:sz w:val="24"/>
            <w:lang w:val="es-ES" w:eastAsia="es-ES"/>
          </w:rPr>
          <w:tab/>
        </w:r>
        <w:r w:rsidRPr="00A63DC6">
          <w:rPr>
            <w:rStyle w:val="Hyperlink"/>
            <w:noProof/>
          </w:rPr>
          <w:t>Optimizing Access and Putting the Toolkit to Use</w:t>
        </w:r>
        <w:r>
          <w:rPr>
            <w:noProof/>
            <w:webHidden/>
          </w:rPr>
          <w:tab/>
        </w:r>
        <w:r>
          <w:rPr>
            <w:noProof/>
            <w:webHidden/>
          </w:rPr>
          <w:fldChar w:fldCharType="begin"/>
        </w:r>
        <w:r>
          <w:rPr>
            <w:noProof/>
            <w:webHidden/>
          </w:rPr>
          <w:instrText xml:space="preserve"> PAGEREF _Toc219210261 \h </w:instrText>
        </w:r>
        <w:r>
          <w:rPr>
            <w:noProof/>
            <w:webHidden/>
          </w:rPr>
        </w:r>
        <w:r>
          <w:rPr>
            <w:noProof/>
            <w:webHidden/>
          </w:rPr>
          <w:fldChar w:fldCharType="separate"/>
        </w:r>
        <w:r w:rsidR="00C1075B">
          <w:rPr>
            <w:noProof/>
            <w:webHidden/>
          </w:rPr>
          <w:t>8</w:t>
        </w:r>
        <w:r>
          <w:rPr>
            <w:noProof/>
            <w:webHidden/>
          </w:rPr>
          <w:fldChar w:fldCharType="end"/>
        </w:r>
      </w:hyperlink>
    </w:p>
    <w:p w14:paraId="22C21D91" w14:textId="4E0D0B36" w:rsidR="00C019A0" w:rsidRDefault="00C019A0" w:rsidP="00C019A0">
      <w:pPr>
        <w:pStyle w:val="TOC3"/>
        <w:rPr>
          <w:rFonts w:asciiTheme="minorHAnsi" w:eastAsiaTheme="minorEastAsia" w:hAnsiTheme="minorHAnsi"/>
          <w:noProof/>
          <w:sz w:val="24"/>
          <w:lang w:val="es-ES" w:eastAsia="es-ES"/>
        </w:rPr>
      </w:pPr>
      <w:hyperlink w:anchor="_Toc219210262" w:history="1">
        <w:r w:rsidRPr="00A63DC6">
          <w:rPr>
            <w:rStyle w:val="Hyperlink"/>
            <w:noProof/>
          </w:rPr>
          <w:t>1.</w:t>
        </w:r>
        <w:r>
          <w:rPr>
            <w:rFonts w:asciiTheme="minorHAnsi" w:eastAsiaTheme="minorEastAsia" w:hAnsiTheme="minorHAnsi"/>
            <w:noProof/>
            <w:sz w:val="24"/>
            <w:lang w:val="es-ES" w:eastAsia="es-ES"/>
          </w:rPr>
          <w:tab/>
        </w:r>
        <w:r w:rsidRPr="00A63DC6">
          <w:rPr>
            <w:rStyle w:val="Hyperlink"/>
            <w:noProof/>
          </w:rPr>
          <w:t>Structure and Practical Application of the Toolkit</w:t>
        </w:r>
        <w:r>
          <w:rPr>
            <w:noProof/>
            <w:webHidden/>
          </w:rPr>
          <w:tab/>
        </w:r>
        <w:r>
          <w:rPr>
            <w:noProof/>
            <w:webHidden/>
          </w:rPr>
          <w:fldChar w:fldCharType="begin"/>
        </w:r>
        <w:r>
          <w:rPr>
            <w:noProof/>
            <w:webHidden/>
          </w:rPr>
          <w:instrText xml:space="preserve"> PAGEREF _Toc219210262 \h </w:instrText>
        </w:r>
        <w:r>
          <w:rPr>
            <w:noProof/>
            <w:webHidden/>
          </w:rPr>
        </w:r>
        <w:r>
          <w:rPr>
            <w:noProof/>
            <w:webHidden/>
          </w:rPr>
          <w:fldChar w:fldCharType="separate"/>
        </w:r>
        <w:r w:rsidR="00C1075B">
          <w:rPr>
            <w:noProof/>
            <w:webHidden/>
          </w:rPr>
          <w:t>8</w:t>
        </w:r>
        <w:r>
          <w:rPr>
            <w:noProof/>
            <w:webHidden/>
          </w:rPr>
          <w:fldChar w:fldCharType="end"/>
        </w:r>
      </w:hyperlink>
    </w:p>
    <w:p w14:paraId="0BF50325" w14:textId="2C49102C" w:rsidR="00C019A0" w:rsidRDefault="00C019A0" w:rsidP="00C019A0">
      <w:pPr>
        <w:pStyle w:val="TOC3"/>
        <w:rPr>
          <w:rFonts w:asciiTheme="minorHAnsi" w:eastAsiaTheme="minorEastAsia" w:hAnsiTheme="minorHAnsi"/>
          <w:noProof/>
          <w:sz w:val="24"/>
          <w:lang w:val="es-ES" w:eastAsia="es-ES"/>
        </w:rPr>
      </w:pPr>
      <w:hyperlink w:anchor="_Toc219210263" w:history="1">
        <w:r w:rsidRPr="00A63DC6">
          <w:rPr>
            <w:rStyle w:val="Hyperlink"/>
            <w:noProof/>
          </w:rPr>
          <w:t>2.</w:t>
        </w:r>
        <w:r>
          <w:rPr>
            <w:rFonts w:asciiTheme="minorHAnsi" w:eastAsiaTheme="minorEastAsia" w:hAnsiTheme="minorHAnsi"/>
            <w:noProof/>
            <w:sz w:val="24"/>
            <w:lang w:val="es-ES" w:eastAsia="es-ES"/>
          </w:rPr>
          <w:tab/>
        </w:r>
        <w:r w:rsidRPr="00A63DC6">
          <w:rPr>
            <w:rStyle w:val="Hyperlink"/>
            <w:noProof/>
          </w:rPr>
          <w:t>Utilizing the Toolkit for Development of Law and Policy</w:t>
        </w:r>
        <w:r>
          <w:rPr>
            <w:noProof/>
            <w:webHidden/>
          </w:rPr>
          <w:tab/>
        </w:r>
        <w:r>
          <w:rPr>
            <w:noProof/>
            <w:webHidden/>
          </w:rPr>
          <w:fldChar w:fldCharType="begin"/>
        </w:r>
        <w:r>
          <w:rPr>
            <w:noProof/>
            <w:webHidden/>
          </w:rPr>
          <w:instrText xml:space="preserve"> PAGEREF _Toc219210263 \h </w:instrText>
        </w:r>
        <w:r>
          <w:rPr>
            <w:noProof/>
            <w:webHidden/>
          </w:rPr>
        </w:r>
        <w:r>
          <w:rPr>
            <w:noProof/>
            <w:webHidden/>
          </w:rPr>
          <w:fldChar w:fldCharType="separate"/>
        </w:r>
        <w:r w:rsidR="00C1075B">
          <w:rPr>
            <w:noProof/>
            <w:webHidden/>
          </w:rPr>
          <w:t>8</w:t>
        </w:r>
        <w:r>
          <w:rPr>
            <w:noProof/>
            <w:webHidden/>
          </w:rPr>
          <w:fldChar w:fldCharType="end"/>
        </w:r>
      </w:hyperlink>
    </w:p>
    <w:p w14:paraId="51865026" w14:textId="61C35E61" w:rsidR="00C019A0" w:rsidRDefault="00C019A0" w:rsidP="00C019A0">
      <w:pPr>
        <w:pStyle w:val="TOC1"/>
        <w:rPr>
          <w:rFonts w:asciiTheme="minorHAnsi" w:eastAsiaTheme="minorEastAsia" w:hAnsiTheme="minorHAnsi"/>
          <w:noProof/>
          <w:sz w:val="24"/>
          <w:lang w:val="es-ES" w:eastAsia="es-ES"/>
        </w:rPr>
      </w:pPr>
      <w:hyperlink w:anchor="_Toc219210264" w:history="1">
        <w:r w:rsidRPr="00A63DC6">
          <w:rPr>
            <w:rStyle w:val="Hyperlink"/>
            <w:noProof/>
          </w:rPr>
          <w:t>Part I: The Purpose and Importance of Access</w:t>
        </w:r>
        <w:r>
          <w:rPr>
            <w:noProof/>
            <w:webHidden/>
          </w:rPr>
          <w:tab/>
        </w:r>
        <w:r>
          <w:rPr>
            <w:noProof/>
            <w:webHidden/>
          </w:rPr>
          <w:fldChar w:fldCharType="begin"/>
        </w:r>
        <w:r>
          <w:rPr>
            <w:noProof/>
            <w:webHidden/>
          </w:rPr>
          <w:instrText xml:space="preserve"> PAGEREF _Toc219210264 \h </w:instrText>
        </w:r>
        <w:r>
          <w:rPr>
            <w:noProof/>
            <w:webHidden/>
          </w:rPr>
        </w:r>
        <w:r>
          <w:rPr>
            <w:noProof/>
            <w:webHidden/>
          </w:rPr>
          <w:fldChar w:fldCharType="separate"/>
        </w:r>
        <w:r w:rsidR="00C1075B">
          <w:rPr>
            <w:noProof/>
            <w:webHidden/>
          </w:rPr>
          <w:t>11</w:t>
        </w:r>
        <w:r>
          <w:rPr>
            <w:noProof/>
            <w:webHidden/>
          </w:rPr>
          <w:fldChar w:fldCharType="end"/>
        </w:r>
      </w:hyperlink>
    </w:p>
    <w:p w14:paraId="28BD9401" w14:textId="207E320E" w:rsidR="00C019A0" w:rsidRDefault="00C019A0" w:rsidP="00C019A0">
      <w:pPr>
        <w:pStyle w:val="TOC2"/>
        <w:rPr>
          <w:rFonts w:asciiTheme="minorHAnsi" w:eastAsiaTheme="minorEastAsia" w:hAnsiTheme="minorHAnsi"/>
          <w:noProof/>
          <w:sz w:val="24"/>
          <w:lang w:val="es-ES" w:eastAsia="es-ES"/>
        </w:rPr>
      </w:pPr>
      <w:hyperlink w:anchor="_Toc219210265" w:history="1">
        <w:r w:rsidRPr="00A63DC6">
          <w:rPr>
            <w:rStyle w:val="Hyperlink"/>
            <w:noProof/>
          </w:rPr>
          <w:t>A.</w:t>
        </w:r>
        <w:r>
          <w:rPr>
            <w:rFonts w:asciiTheme="minorHAnsi" w:eastAsiaTheme="minorEastAsia" w:hAnsiTheme="minorHAnsi"/>
            <w:noProof/>
            <w:sz w:val="24"/>
            <w:lang w:val="es-ES" w:eastAsia="es-ES"/>
          </w:rPr>
          <w:tab/>
        </w:r>
        <w:r w:rsidRPr="00A63DC6">
          <w:rPr>
            <w:rStyle w:val="Hyperlink"/>
            <w:noProof/>
          </w:rPr>
          <w:t>Stewardship and Cultural Heritage Institutions</w:t>
        </w:r>
        <w:r>
          <w:rPr>
            <w:noProof/>
            <w:webHidden/>
          </w:rPr>
          <w:tab/>
        </w:r>
        <w:r>
          <w:rPr>
            <w:noProof/>
            <w:webHidden/>
          </w:rPr>
          <w:fldChar w:fldCharType="begin"/>
        </w:r>
        <w:r>
          <w:rPr>
            <w:noProof/>
            <w:webHidden/>
          </w:rPr>
          <w:instrText xml:space="preserve"> PAGEREF _Toc219210265 \h </w:instrText>
        </w:r>
        <w:r>
          <w:rPr>
            <w:noProof/>
            <w:webHidden/>
          </w:rPr>
        </w:r>
        <w:r>
          <w:rPr>
            <w:noProof/>
            <w:webHidden/>
          </w:rPr>
          <w:fldChar w:fldCharType="separate"/>
        </w:r>
        <w:r w:rsidR="00C1075B">
          <w:rPr>
            <w:noProof/>
            <w:webHidden/>
          </w:rPr>
          <w:t>11</w:t>
        </w:r>
        <w:r>
          <w:rPr>
            <w:noProof/>
            <w:webHidden/>
          </w:rPr>
          <w:fldChar w:fldCharType="end"/>
        </w:r>
      </w:hyperlink>
    </w:p>
    <w:p w14:paraId="0BE3A7CF" w14:textId="11BA9FE2" w:rsidR="00C019A0" w:rsidRDefault="00C019A0" w:rsidP="00C019A0">
      <w:pPr>
        <w:pStyle w:val="TOC2"/>
        <w:rPr>
          <w:rFonts w:asciiTheme="minorHAnsi" w:eastAsiaTheme="minorEastAsia" w:hAnsiTheme="minorHAnsi"/>
          <w:noProof/>
          <w:sz w:val="24"/>
          <w:lang w:val="es-ES" w:eastAsia="es-ES"/>
        </w:rPr>
      </w:pPr>
      <w:hyperlink w:anchor="_Toc219210266" w:history="1">
        <w:r w:rsidRPr="00A63DC6">
          <w:rPr>
            <w:rStyle w:val="Hyperlink"/>
            <w:noProof/>
          </w:rPr>
          <w:t>B.</w:t>
        </w:r>
        <w:r>
          <w:rPr>
            <w:rFonts w:asciiTheme="minorHAnsi" w:eastAsiaTheme="minorEastAsia" w:hAnsiTheme="minorHAnsi"/>
            <w:noProof/>
            <w:sz w:val="24"/>
            <w:lang w:val="es-ES" w:eastAsia="es-ES"/>
          </w:rPr>
          <w:tab/>
        </w:r>
        <w:r w:rsidRPr="00A63DC6">
          <w:rPr>
            <w:rStyle w:val="Hyperlink"/>
            <w:noProof/>
          </w:rPr>
          <w:t>The Duty of Care and the Provision of Access</w:t>
        </w:r>
        <w:r>
          <w:rPr>
            <w:noProof/>
            <w:webHidden/>
          </w:rPr>
          <w:tab/>
        </w:r>
        <w:r>
          <w:rPr>
            <w:noProof/>
            <w:webHidden/>
          </w:rPr>
          <w:fldChar w:fldCharType="begin"/>
        </w:r>
        <w:r>
          <w:rPr>
            <w:noProof/>
            <w:webHidden/>
          </w:rPr>
          <w:instrText xml:space="preserve"> PAGEREF _Toc219210266 \h </w:instrText>
        </w:r>
        <w:r>
          <w:rPr>
            <w:noProof/>
            <w:webHidden/>
          </w:rPr>
        </w:r>
        <w:r>
          <w:rPr>
            <w:noProof/>
            <w:webHidden/>
          </w:rPr>
          <w:fldChar w:fldCharType="separate"/>
        </w:r>
        <w:r w:rsidR="00C1075B">
          <w:rPr>
            <w:noProof/>
            <w:webHidden/>
          </w:rPr>
          <w:t>11</w:t>
        </w:r>
        <w:r>
          <w:rPr>
            <w:noProof/>
            <w:webHidden/>
          </w:rPr>
          <w:fldChar w:fldCharType="end"/>
        </w:r>
      </w:hyperlink>
    </w:p>
    <w:p w14:paraId="37A96194" w14:textId="6CB5AFD5" w:rsidR="00C019A0" w:rsidRDefault="00C019A0" w:rsidP="00C019A0">
      <w:pPr>
        <w:pStyle w:val="TOC2"/>
        <w:rPr>
          <w:rFonts w:asciiTheme="minorHAnsi" w:eastAsiaTheme="minorEastAsia" w:hAnsiTheme="minorHAnsi"/>
          <w:noProof/>
          <w:sz w:val="24"/>
          <w:lang w:val="es-ES" w:eastAsia="es-ES"/>
        </w:rPr>
      </w:pPr>
      <w:hyperlink w:anchor="_Toc219210267" w:history="1">
        <w:r w:rsidRPr="00A63DC6">
          <w:rPr>
            <w:rStyle w:val="Hyperlink"/>
            <w:noProof/>
          </w:rPr>
          <w:t>C.</w:t>
        </w:r>
        <w:r>
          <w:rPr>
            <w:rFonts w:asciiTheme="minorHAnsi" w:eastAsiaTheme="minorEastAsia" w:hAnsiTheme="minorHAnsi"/>
            <w:noProof/>
            <w:sz w:val="24"/>
            <w:lang w:val="es-ES" w:eastAsia="es-ES"/>
          </w:rPr>
          <w:tab/>
        </w:r>
        <w:r w:rsidRPr="00A63DC6">
          <w:rPr>
            <w:rStyle w:val="Hyperlink"/>
            <w:noProof/>
          </w:rPr>
          <w:t>The Digital Age</w:t>
        </w:r>
        <w:r>
          <w:rPr>
            <w:noProof/>
            <w:webHidden/>
          </w:rPr>
          <w:tab/>
        </w:r>
        <w:r>
          <w:rPr>
            <w:noProof/>
            <w:webHidden/>
          </w:rPr>
          <w:fldChar w:fldCharType="begin"/>
        </w:r>
        <w:r>
          <w:rPr>
            <w:noProof/>
            <w:webHidden/>
          </w:rPr>
          <w:instrText xml:space="preserve"> PAGEREF _Toc219210267 \h </w:instrText>
        </w:r>
        <w:r>
          <w:rPr>
            <w:noProof/>
            <w:webHidden/>
          </w:rPr>
        </w:r>
        <w:r>
          <w:rPr>
            <w:noProof/>
            <w:webHidden/>
          </w:rPr>
          <w:fldChar w:fldCharType="separate"/>
        </w:r>
        <w:r w:rsidR="00C1075B">
          <w:rPr>
            <w:noProof/>
            <w:webHidden/>
          </w:rPr>
          <w:t>12</w:t>
        </w:r>
        <w:r>
          <w:rPr>
            <w:noProof/>
            <w:webHidden/>
          </w:rPr>
          <w:fldChar w:fldCharType="end"/>
        </w:r>
      </w:hyperlink>
    </w:p>
    <w:p w14:paraId="78113923" w14:textId="49D90E83" w:rsidR="00C019A0" w:rsidRDefault="00C019A0" w:rsidP="00C019A0">
      <w:pPr>
        <w:pStyle w:val="TOC2"/>
        <w:rPr>
          <w:rFonts w:asciiTheme="minorHAnsi" w:eastAsiaTheme="minorEastAsia" w:hAnsiTheme="minorHAnsi"/>
          <w:noProof/>
          <w:sz w:val="24"/>
          <w:lang w:val="es-ES" w:eastAsia="es-ES"/>
        </w:rPr>
      </w:pPr>
      <w:hyperlink w:anchor="_Toc219210268" w:history="1">
        <w:r w:rsidRPr="00A63DC6">
          <w:rPr>
            <w:rStyle w:val="Hyperlink"/>
            <w:noProof/>
          </w:rPr>
          <w:t>D.</w:t>
        </w:r>
        <w:r>
          <w:rPr>
            <w:rFonts w:asciiTheme="minorHAnsi" w:eastAsiaTheme="minorEastAsia" w:hAnsiTheme="minorHAnsi"/>
            <w:noProof/>
            <w:sz w:val="24"/>
            <w:lang w:val="es-ES" w:eastAsia="es-ES"/>
          </w:rPr>
          <w:tab/>
        </w:r>
        <w:r w:rsidRPr="00A63DC6">
          <w:rPr>
            <w:rStyle w:val="Hyperlink"/>
            <w:noProof/>
          </w:rPr>
          <w:t>Access and the Mission of Cultural Heritage Institutions</w:t>
        </w:r>
        <w:r>
          <w:rPr>
            <w:noProof/>
            <w:webHidden/>
          </w:rPr>
          <w:tab/>
        </w:r>
        <w:r>
          <w:rPr>
            <w:noProof/>
            <w:webHidden/>
          </w:rPr>
          <w:fldChar w:fldCharType="begin"/>
        </w:r>
        <w:r>
          <w:rPr>
            <w:noProof/>
            <w:webHidden/>
          </w:rPr>
          <w:instrText xml:space="preserve"> PAGEREF _Toc219210268 \h </w:instrText>
        </w:r>
        <w:r>
          <w:rPr>
            <w:noProof/>
            <w:webHidden/>
          </w:rPr>
        </w:r>
        <w:r>
          <w:rPr>
            <w:noProof/>
            <w:webHidden/>
          </w:rPr>
          <w:fldChar w:fldCharType="separate"/>
        </w:r>
        <w:r w:rsidR="00C1075B">
          <w:rPr>
            <w:noProof/>
            <w:webHidden/>
          </w:rPr>
          <w:t>12</w:t>
        </w:r>
        <w:r>
          <w:rPr>
            <w:noProof/>
            <w:webHidden/>
          </w:rPr>
          <w:fldChar w:fldCharType="end"/>
        </w:r>
      </w:hyperlink>
    </w:p>
    <w:p w14:paraId="47C9F3C4" w14:textId="4F454FDB" w:rsidR="00C019A0" w:rsidRDefault="00C019A0" w:rsidP="00C019A0">
      <w:pPr>
        <w:pStyle w:val="TOC3"/>
        <w:rPr>
          <w:rFonts w:asciiTheme="minorHAnsi" w:eastAsiaTheme="minorEastAsia" w:hAnsiTheme="minorHAnsi"/>
          <w:noProof/>
          <w:sz w:val="24"/>
          <w:lang w:val="es-ES" w:eastAsia="es-ES"/>
        </w:rPr>
      </w:pPr>
      <w:hyperlink w:anchor="_Toc219210269" w:history="1">
        <w:r w:rsidRPr="00A63DC6">
          <w:rPr>
            <w:rStyle w:val="Hyperlink"/>
            <w:noProof/>
          </w:rPr>
          <w:t>1.</w:t>
        </w:r>
        <w:r>
          <w:rPr>
            <w:rFonts w:asciiTheme="minorHAnsi" w:eastAsiaTheme="minorEastAsia" w:hAnsiTheme="minorHAnsi"/>
            <w:noProof/>
            <w:sz w:val="24"/>
            <w:lang w:val="es-ES" w:eastAsia="es-ES"/>
          </w:rPr>
          <w:tab/>
        </w:r>
        <w:r w:rsidRPr="00A63DC6">
          <w:rPr>
            <w:rStyle w:val="Hyperlink"/>
            <w:noProof/>
          </w:rPr>
          <w:t>Access as a Fundamental Purpose of Cultural Heritage Institutions</w:t>
        </w:r>
        <w:r>
          <w:rPr>
            <w:noProof/>
            <w:webHidden/>
          </w:rPr>
          <w:tab/>
        </w:r>
        <w:r>
          <w:rPr>
            <w:noProof/>
            <w:webHidden/>
          </w:rPr>
          <w:fldChar w:fldCharType="begin"/>
        </w:r>
        <w:r>
          <w:rPr>
            <w:noProof/>
            <w:webHidden/>
          </w:rPr>
          <w:instrText xml:space="preserve"> PAGEREF _Toc219210269 \h </w:instrText>
        </w:r>
        <w:r>
          <w:rPr>
            <w:noProof/>
            <w:webHidden/>
          </w:rPr>
        </w:r>
        <w:r>
          <w:rPr>
            <w:noProof/>
            <w:webHidden/>
          </w:rPr>
          <w:fldChar w:fldCharType="separate"/>
        </w:r>
        <w:r w:rsidR="00C1075B">
          <w:rPr>
            <w:noProof/>
            <w:webHidden/>
          </w:rPr>
          <w:t>13</w:t>
        </w:r>
        <w:r>
          <w:rPr>
            <w:noProof/>
            <w:webHidden/>
          </w:rPr>
          <w:fldChar w:fldCharType="end"/>
        </w:r>
      </w:hyperlink>
    </w:p>
    <w:p w14:paraId="29999061" w14:textId="0CA5EA87" w:rsidR="00C019A0" w:rsidRDefault="00C019A0" w:rsidP="00C019A0">
      <w:pPr>
        <w:pStyle w:val="TOC3"/>
        <w:rPr>
          <w:rFonts w:asciiTheme="minorHAnsi" w:eastAsiaTheme="minorEastAsia" w:hAnsiTheme="minorHAnsi"/>
          <w:noProof/>
          <w:sz w:val="24"/>
          <w:lang w:val="es-ES" w:eastAsia="es-ES"/>
        </w:rPr>
      </w:pPr>
      <w:hyperlink w:anchor="_Toc219210270" w:history="1">
        <w:r w:rsidRPr="00A63DC6">
          <w:rPr>
            <w:rStyle w:val="Hyperlink"/>
            <w:noProof/>
          </w:rPr>
          <w:t>2.</w:t>
        </w:r>
        <w:r>
          <w:rPr>
            <w:rFonts w:asciiTheme="minorHAnsi" w:eastAsiaTheme="minorEastAsia" w:hAnsiTheme="minorHAnsi"/>
            <w:noProof/>
            <w:sz w:val="24"/>
            <w:lang w:val="es-ES" w:eastAsia="es-ES"/>
          </w:rPr>
          <w:tab/>
        </w:r>
        <w:r w:rsidRPr="00A63DC6">
          <w:rPr>
            <w:rStyle w:val="Hyperlink"/>
            <w:noProof/>
          </w:rPr>
          <w:t>Access as a Means for Preservation</w:t>
        </w:r>
        <w:r>
          <w:rPr>
            <w:noProof/>
            <w:webHidden/>
          </w:rPr>
          <w:tab/>
        </w:r>
        <w:r>
          <w:rPr>
            <w:noProof/>
            <w:webHidden/>
          </w:rPr>
          <w:fldChar w:fldCharType="begin"/>
        </w:r>
        <w:r>
          <w:rPr>
            <w:noProof/>
            <w:webHidden/>
          </w:rPr>
          <w:instrText xml:space="preserve"> PAGEREF _Toc219210270 \h </w:instrText>
        </w:r>
        <w:r>
          <w:rPr>
            <w:noProof/>
            <w:webHidden/>
          </w:rPr>
        </w:r>
        <w:r>
          <w:rPr>
            <w:noProof/>
            <w:webHidden/>
          </w:rPr>
          <w:fldChar w:fldCharType="separate"/>
        </w:r>
        <w:r w:rsidR="00C1075B">
          <w:rPr>
            <w:noProof/>
            <w:webHidden/>
          </w:rPr>
          <w:t>13</w:t>
        </w:r>
        <w:r>
          <w:rPr>
            <w:noProof/>
            <w:webHidden/>
          </w:rPr>
          <w:fldChar w:fldCharType="end"/>
        </w:r>
      </w:hyperlink>
    </w:p>
    <w:p w14:paraId="03449B7B" w14:textId="4D941702" w:rsidR="00C019A0" w:rsidRDefault="00C019A0" w:rsidP="00C019A0">
      <w:pPr>
        <w:pStyle w:val="TOC3"/>
        <w:rPr>
          <w:rFonts w:asciiTheme="minorHAnsi" w:eastAsiaTheme="minorEastAsia" w:hAnsiTheme="minorHAnsi"/>
          <w:noProof/>
          <w:sz w:val="24"/>
          <w:lang w:val="es-ES" w:eastAsia="es-ES"/>
        </w:rPr>
      </w:pPr>
      <w:hyperlink w:anchor="_Toc219210271" w:history="1">
        <w:r w:rsidRPr="00A63DC6">
          <w:rPr>
            <w:rStyle w:val="Hyperlink"/>
            <w:noProof/>
          </w:rPr>
          <w:t>3.</w:t>
        </w:r>
        <w:r>
          <w:rPr>
            <w:rFonts w:asciiTheme="minorHAnsi" w:eastAsiaTheme="minorEastAsia" w:hAnsiTheme="minorHAnsi"/>
            <w:noProof/>
            <w:sz w:val="24"/>
            <w:lang w:val="es-ES" w:eastAsia="es-ES"/>
          </w:rPr>
          <w:tab/>
        </w:r>
        <w:r w:rsidRPr="00A63DC6">
          <w:rPr>
            <w:rStyle w:val="Hyperlink"/>
            <w:noProof/>
          </w:rPr>
          <w:t>Access and the Promotion of Knowledge and Learning</w:t>
        </w:r>
        <w:r>
          <w:rPr>
            <w:noProof/>
            <w:webHidden/>
          </w:rPr>
          <w:tab/>
        </w:r>
        <w:r>
          <w:rPr>
            <w:noProof/>
            <w:webHidden/>
          </w:rPr>
          <w:fldChar w:fldCharType="begin"/>
        </w:r>
        <w:r>
          <w:rPr>
            <w:noProof/>
            <w:webHidden/>
          </w:rPr>
          <w:instrText xml:space="preserve"> PAGEREF _Toc219210271 \h </w:instrText>
        </w:r>
        <w:r>
          <w:rPr>
            <w:noProof/>
            <w:webHidden/>
          </w:rPr>
        </w:r>
        <w:r>
          <w:rPr>
            <w:noProof/>
            <w:webHidden/>
          </w:rPr>
          <w:fldChar w:fldCharType="separate"/>
        </w:r>
        <w:r w:rsidR="00C1075B">
          <w:rPr>
            <w:noProof/>
            <w:webHidden/>
          </w:rPr>
          <w:t>13</w:t>
        </w:r>
        <w:r>
          <w:rPr>
            <w:noProof/>
            <w:webHidden/>
          </w:rPr>
          <w:fldChar w:fldCharType="end"/>
        </w:r>
      </w:hyperlink>
    </w:p>
    <w:p w14:paraId="7A0D60AC" w14:textId="44C5A702" w:rsidR="00C019A0" w:rsidRDefault="00C019A0" w:rsidP="00C019A0">
      <w:pPr>
        <w:pStyle w:val="TOC3"/>
        <w:rPr>
          <w:rFonts w:asciiTheme="minorHAnsi" w:eastAsiaTheme="minorEastAsia" w:hAnsiTheme="minorHAnsi"/>
          <w:noProof/>
          <w:sz w:val="24"/>
          <w:lang w:val="es-ES" w:eastAsia="es-ES"/>
        </w:rPr>
      </w:pPr>
      <w:hyperlink w:anchor="_Toc219210272" w:history="1">
        <w:r w:rsidRPr="00A63DC6">
          <w:rPr>
            <w:rStyle w:val="Hyperlink"/>
            <w:noProof/>
          </w:rPr>
          <w:t>4.</w:t>
        </w:r>
        <w:r>
          <w:rPr>
            <w:rFonts w:asciiTheme="minorHAnsi" w:eastAsiaTheme="minorEastAsia" w:hAnsiTheme="minorHAnsi"/>
            <w:noProof/>
            <w:sz w:val="24"/>
            <w:lang w:val="es-ES" w:eastAsia="es-ES"/>
          </w:rPr>
          <w:tab/>
        </w:r>
        <w:r w:rsidRPr="00A63DC6">
          <w:rPr>
            <w:rStyle w:val="Hyperlink"/>
            <w:noProof/>
          </w:rPr>
          <w:t>Access and Cultural Identity</w:t>
        </w:r>
        <w:r>
          <w:rPr>
            <w:noProof/>
            <w:webHidden/>
          </w:rPr>
          <w:tab/>
        </w:r>
        <w:r>
          <w:rPr>
            <w:noProof/>
            <w:webHidden/>
          </w:rPr>
          <w:fldChar w:fldCharType="begin"/>
        </w:r>
        <w:r>
          <w:rPr>
            <w:noProof/>
            <w:webHidden/>
          </w:rPr>
          <w:instrText xml:space="preserve"> PAGEREF _Toc219210272 \h </w:instrText>
        </w:r>
        <w:r>
          <w:rPr>
            <w:noProof/>
            <w:webHidden/>
          </w:rPr>
        </w:r>
        <w:r>
          <w:rPr>
            <w:noProof/>
            <w:webHidden/>
          </w:rPr>
          <w:fldChar w:fldCharType="separate"/>
        </w:r>
        <w:r w:rsidR="00C1075B">
          <w:rPr>
            <w:noProof/>
            <w:webHidden/>
          </w:rPr>
          <w:t>13</w:t>
        </w:r>
        <w:r>
          <w:rPr>
            <w:noProof/>
            <w:webHidden/>
          </w:rPr>
          <w:fldChar w:fldCharType="end"/>
        </w:r>
      </w:hyperlink>
    </w:p>
    <w:p w14:paraId="6E42A005" w14:textId="3F4F2A96" w:rsidR="00C019A0" w:rsidRDefault="00C019A0" w:rsidP="00C019A0">
      <w:pPr>
        <w:pStyle w:val="TOC1"/>
        <w:rPr>
          <w:rFonts w:asciiTheme="minorHAnsi" w:eastAsiaTheme="minorEastAsia" w:hAnsiTheme="minorHAnsi"/>
          <w:noProof/>
          <w:sz w:val="24"/>
          <w:lang w:val="es-ES" w:eastAsia="es-ES"/>
        </w:rPr>
      </w:pPr>
      <w:hyperlink w:anchor="_Toc219210273" w:history="1">
        <w:r w:rsidRPr="00A63DC6">
          <w:rPr>
            <w:rStyle w:val="Hyperlink"/>
            <w:noProof/>
          </w:rPr>
          <w:t>Part II: The Dimensions of Access to Cultural Heritage Collections</w:t>
        </w:r>
        <w:r>
          <w:rPr>
            <w:noProof/>
            <w:webHidden/>
          </w:rPr>
          <w:tab/>
        </w:r>
        <w:r>
          <w:rPr>
            <w:noProof/>
            <w:webHidden/>
          </w:rPr>
          <w:fldChar w:fldCharType="begin"/>
        </w:r>
        <w:r>
          <w:rPr>
            <w:noProof/>
            <w:webHidden/>
          </w:rPr>
          <w:instrText xml:space="preserve"> PAGEREF _Toc219210273 \h </w:instrText>
        </w:r>
        <w:r>
          <w:rPr>
            <w:noProof/>
            <w:webHidden/>
          </w:rPr>
        </w:r>
        <w:r>
          <w:rPr>
            <w:noProof/>
            <w:webHidden/>
          </w:rPr>
          <w:fldChar w:fldCharType="separate"/>
        </w:r>
        <w:r w:rsidR="00C1075B">
          <w:rPr>
            <w:noProof/>
            <w:webHidden/>
          </w:rPr>
          <w:t>14</w:t>
        </w:r>
        <w:r>
          <w:rPr>
            <w:noProof/>
            <w:webHidden/>
          </w:rPr>
          <w:fldChar w:fldCharType="end"/>
        </w:r>
      </w:hyperlink>
    </w:p>
    <w:p w14:paraId="0D01C233" w14:textId="1014F946" w:rsidR="00C019A0" w:rsidRDefault="00C019A0" w:rsidP="00C019A0">
      <w:pPr>
        <w:pStyle w:val="TOC3"/>
        <w:rPr>
          <w:rFonts w:asciiTheme="minorHAnsi" w:eastAsiaTheme="minorEastAsia" w:hAnsiTheme="minorHAnsi"/>
          <w:noProof/>
          <w:sz w:val="24"/>
          <w:lang w:val="es-ES" w:eastAsia="es-ES"/>
        </w:rPr>
      </w:pPr>
      <w:hyperlink w:anchor="_Toc219210274" w:history="1">
        <w:r w:rsidRPr="00A63DC6">
          <w:rPr>
            <w:rStyle w:val="Hyperlink"/>
            <w:noProof/>
          </w:rPr>
          <w:t>1.</w:t>
        </w:r>
        <w:r>
          <w:rPr>
            <w:rFonts w:asciiTheme="minorHAnsi" w:eastAsiaTheme="minorEastAsia" w:hAnsiTheme="minorHAnsi"/>
            <w:noProof/>
            <w:sz w:val="24"/>
            <w:lang w:val="es-ES" w:eastAsia="es-ES"/>
          </w:rPr>
          <w:tab/>
        </w:r>
        <w:r w:rsidRPr="00A63DC6">
          <w:rPr>
            <w:rStyle w:val="Hyperlink"/>
            <w:noProof/>
          </w:rPr>
          <w:t>Access and Copyright</w:t>
        </w:r>
        <w:r>
          <w:rPr>
            <w:noProof/>
            <w:webHidden/>
          </w:rPr>
          <w:tab/>
        </w:r>
        <w:r>
          <w:rPr>
            <w:noProof/>
            <w:webHidden/>
          </w:rPr>
          <w:fldChar w:fldCharType="begin"/>
        </w:r>
        <w:r>
          <w:rPr>
            <w:noProof/>
            <w:webHidden/>
          </w:rPr>
          <w:instrText xml:space="preserve"> PAGEREF _Toc219210274 \h </w:instrText>
        </w:r>
        <w:r>
          <w:rPr>
            <w:noProof/>
            <w:webHidden/>
          </w:rPr>
        </w:r>
        <w:r>
          <w:rPr>
            <w:noProof/>
            <w:webHidden/>
          </w:rPr>
          <w:fldChar w:fldCharType="separate"/>
        </w:r>
        <w:r w:rsidR="00C1075B">
          <w:rPr>
            <w:noProof/>
            <w:webHidden/>
          </w:rPr>
          <w:t>14</w:t>
        </w:r>
        <w:r>
          <w:rPr>
            <w:noProof/>
            <w:webHidden/>
          </w:rPr>
          <w:fldChar w:fldCharType="end"/>
        </w:r>
      </w:hyperlink>
    </w:p>
    <w:p w14:paraId="1783E50A" w14:textId="1D128D60" w:rsidR="00C019A0" w:rsidRDefault="00C019A0" w:rsidP="00C019A0">
      <w:pPr>
        <w:pStyle w:val="TOC3"/>
        <w:rPr>
          <w:rFonts w:asciiTheme="minorHAnsi" w:eastAsiaTheme="minorEastAsia" w:hAnsiTheme="minorHAnsi"/>
          <w:noProof/>
          <w:sz w:val="24"/>
          <w:lang w:val="es-ES" w:eastAsia="es-ES"/>
        </w:rPr>
      </w:pPr>
      <w:hyperlink w:anchor="_Toc219210275" w:history="1">
        <w:r w:rsidRPr="00A63DC6">
          <w:rPr>
            <w:rStyle w:val="Hyperlink"/>
            <w:noProof/>
          </w:rPr>
          <w:t>2.</w:t>
        </w:r>
        <w:r>
          <w:rPr>
            <w:rFonts w:asciiTheme="minorHAnsi" w:eastAsiaTheme="minorEastAsia" w:hAnsiTheme="minorHAnsi"/>
            <w:noProof/>
            <w:sz w:val="24"/>
            <w:lang w:val="es-ES" w:eastAsia="es-ES"/>
          </w:rPr>
          <w:tab/>
        </w:r>
        <w:r w:rsidRPr="00A63DC6">
          <w:rPr>
            <w:rStyle w:val="Hyperlink"/>
            <w:noProof/>
          </w:rPr>
          <w:t>Access and Digital Technologies</w:t>
        </w:r>
        <w:r>
          <w:rPr>
            <w:noProof/>
            <w:webHidden/>
          </w:rPr>
          <w:tab/>
        </w:r>
        <w:r>
          <w:rPr>
            <w:noProof/>
            <w:webHidden/>
          </w:rPr>
          <w:fldChar w:fldCharType="begin"/>
        </w:r>
        <w:r>
          <w:rPr>
            <w:noProof/>
            <w:webHidden/>
          </w:rPr>
          <w:instrText xml:space="preserve"> PAGEREF _Toc219210275 \h </w:instrText>
        </w:r>
        <w:r>
          <w:rPr>
            <w:noProof/>
            <w:webHidden/>
          </w:rPr>
        </w:r>
        <w:r>
          <w:rPr>
            <w:noProof/>
            <w:webHidden/>
          </w:rPr>
          <w:fldChar w:fldCharType="separate"/>
        </w:r>
        <w:r w:rsidR="00C1075B">
          <w:rPr>
            <w:noProof/>
            <w:webHidden/>
          </w:rPr>
          <w:t>14</w:t>
        </w:r>
        <w:r>
          <w:rPr>
            <w:noProof/>
            <w:webHidden/>
          </w:rPr>
          <w:fldChar w:fldCharType="end"/>
        </w:r>
      </w:hyperlink>
    </w:p>
    <w:p w14:paraId="39F66130" w14:textId="35AA33E6" w:rsidR="00C019A0" w:rsidRDefault="00C019A0" w:rsidP="00C019A0">
      <w:pPr>
        <w:pStyle w:val="TOC3"/>
        <w:rPr>
          <w:rFonts w:asciiTheme="minorHAnsi" w:eastAsiaTheme="minorEastAsia" w:hAnsiTheme="minorHAnsi"/>
          <w:noProof/>
          <w:sz w:val="24"/>
          <w:lang w:val="es-ES" w:eastAsia="es-ES"/>
        </w:rPr>
      </w:pPr>
      <w:hyperlink w:anchor="_Toc219210276" w:history="1">
        <w:r w:rsidRPr="00A63DC6">
          <w:rPr>
            <w:rStyle w:val="Hyperlink"/>
            <w:noProof/>
          </w:rPr>
          <w:t>3.</w:t>
        </w:r>
        <w:r>
          <w:rPr>
            <w:rFonts w:asciiTheme="minorHAnsi" w:eastAsiaTheme="minorEastAsia" w:hAnsiTheme="minorHAnsi"/>
            <w:noProof/>
            <w:sz w:val="24"/>
            <w:lang w:val="es-ES" w:eastAsia="es-ES"/>
          </w:rPr>
          <w:tab/>
        </w:r>
        <w:r w:rsidRPr="00A63DC6">
          <w:rPr>
            <w:rStyle w:val="Hyperlink"/>
            <w:noProof/>
          </w:rPr>
          <w:t>Remote Access and Access Across Borders</w:t>
        </w:r>
        <w:r>
          <w:rPr>
            <w:noProof/>
            <w:webHidden/>
          </w:rPr>
          <w:tab/>
        </w:r>
        <w:r>
          <w:rPr>
            <w:noProof/>
            <w:webHidden/>
          </w:rPr>
          <w:fldChar w:fldCharType="begin"/>
        </w:r>
        <w:r>
          <w:rPr>
            <w:noProof/>
            <w:webHidden/>
          </w:rPr>
          <w:instrText xml:space="preserve"> PAGEREF _Toc219210276 \h </w:instrText>
        </w:r>
        <w:r>
          <w:rPr>
            <w:noProof/>
            <w:webHidden/>
          </w:rPr>
        </w:r>
        <w:r>
          <w:rPr>
            <w:noProof/>
            <w:webHidden/>
          </w:rPr>
          <w:fldChar w:fldCharType="separate"/>
        </w:r>
        <w:r w:rsidR="00C1075B">
          <w:rPr>
            <w:noProof/>
            <w:webHidden/>
          </w:rPr>
          <w:t>14</w:t>
        </w:r>
        <w:r>
          <w:rPr>
            <w:noProof/>
            <w:webHidden/>
          </w:rPr>
          <w:fldChar w:fldCharType="end"/>
        </w:r>
      </w:hyperlink>
    </w:p>
    <w:p w14:paraId="3BFB3CE3" w14:textId="0758997C" w:rsidR="00C019A0" w:rsidRDefault="00C019A0" w:rsidP="00C019A0">
      <w:pPr>
        <w:pStyle w:val="TOC3"/>
        <w:rPr>
          <w:rFonts w:asciiTheme="minorHAnsi" w:eastAsiaTheme="minorEastAsia" w:hAnsiTheme="minorHAnsi"/>
          <w:noProof/>
          <w:sz w:val="24"/>
          <w:lang w:val="es-ES" w:eastAsia="es-ES"/>
        </w:rPr>
      </w:pPr>
      <w:hyperlink w:anchor="_Toc219210277" w:history="1">
        <w:r w:rsidRPr="00A63DC6">
          <w:rPr>
            <w:rStyle w:val="Hyperlink"/>
            <w:noProof/>
          </w:rPr>
          <w:t>4.</w:t>
        </w:r>
        <w:r>
          <w:rPr>
            <w:rFonts w:asciiTheme="minorHAnsi" w:eastAsiaTheme="minorEastAsia" w:hAnsiTheme="minorHAnsi"/>
            <w:noProof/>
            <w:sz w:val="24"/>
            <w:lang w:val="es-ES" w:eastAsia="es-ES"/>
          </w:rPr>
          <w:tab/>
        </w:r>
        <w:r w:rsidRPr="00A63DC6">
          <w:rPr>
            <w:rStyle w:val="Hyperlink"/>
            <w:noProof/>
          </w:rPr>
          <w:t>Access and the Scope of Authorized Users</w:t>
        </w:r>
        <w:r>
          <w:rPr>
            <w:noProof/>
            <w:webHidden/>
          </w:rPr>
          <w:tab/>
        </w:r>
        <w:r>
          <w:rPr>
            <w:noProof/>
            <w:webHidden/>
          </w:rPr>
          <w:fldChar w:fldCharType="begin"/>
        </w:r>
        <w:r>
          <w:rPr>
            <w:noProof/>
            <w:webHidden/>
          </w:rPr>
          <w:instrText xml:space="preserve"> PAGEREF _Toc219210277 \h </w:instrText>
        </w:r>
        <w:r>
          <w:rPr>
            <w:noProof/>
            <w:webHidden/>
          </w:rPr>
        </w:r>
        <w:r>
          <w:rPr>
            <w:noProof/>
            <w:webHidden/>
          </w:rPr>
          <w:fldChar w:fldCharType="separate"/>
        </w:r>
        <w:r w:rsidR="00C1075B">
          <w:rPr>
            <w:noProof/>
            <w:webHidden/>
          </w:rPr>
          <w:t>15</w:t>
        </w:r>
        <w:r>
          <w:rPr>
            <w:noProof/>
            <w:webHidden/>
          </w:rPr>
          <w:fldChar w:fldCharType="end"/>
        </w:r>
      </w:hyperlink>
    </w:p>
    <w:p w14:paraId="305BB120" w14:textId="739BDC73" w:rsidR="00C019A0" w:rsidRDefault="00C019A0" w:rsidP="00C019A0">
      <w:pPr>
        <w:pStyle w:val="TOC3"/>
        <w:rPr>
          <w:rFonts w:asciiTheme="minorHAnsi" w:eastAsiaTheme="minorEastAsia" w:hAnsiTheme="minorHAnsi"/>
          <w:noProof/>
          <w:sz w:val="24"/>
          <w:lang w:val="es-ES" w:eastAsia="es-ES"/>
        </w:rPr>
      </w:pPr>
      <w:hyperlink w:anchor="_Toc219210278" w:history="1">
        <w:r w:rsidRPr="00A63DC6">
          <w:rPr>
            <w:rStyle w:val="Hyperlink"/>
            <w:noProof/>
          </w:rPr>
          <w:t>5.</w:t>
        </w:r>
        <w:r>
          <w:rPr>
            <w:rFonts w:asciiTheme="minorHAnsi" w:eastAsiaTheme="minorEastAsia" w:hAnsiTheme="minorHAnsi"/>
            <w:noProof/>
            <w:sz w:val="24"/>
            <w:lang w:val="es-ES" w:eastAsia="es-ES"/>
          </w:rPr>
          <w:tab/>
        </w:r>
        <w:r w:rsidRPr="00A63DC6">
          <w:rPr>
            <w:rStyle w:val="Hyperlink"/>
            <w:noProof/>
          </w:rPr>
          <w:t>Access and Digitized Works and Works Born Digital</w:t>
        </w:r>
        <w:r>
          <w:rPr>
            <w:noProof/>
            <w:webHidden/>
          </w:rPr>
          <w:tab/>
        </w:r>
        <w:r>
          <w:rPr>
            <w:noProof/>
            <w:webHidden/>
          </w:rPr>
          <w:fldChar w:fldCharType="begin"/>
        </w:r>
        <w:r>
          <w:rPr>
            <w:noProof/>
            <w:webHidden/>
          </w:rPr>
          <w:instrText xml:space="preserve"> PAGEREF _Toc219210278 \h </w:instrText>
        </w:r>
        <w:r>
          <w:rPr>
            <w:noProof/>
            <w:webHidden/>
          </w:rPr>
        </w:r>
        <w:r>
          <w:rPr>
            <w:noProof/>
            <w:webHidden/>
          </w:rPr>
          <w:fldChar w:fldCharType="separate"/>
        </w:r>
        <w:r w:rsidR="00C1075B">
          <w:rPr>
            <w:noProof/>
            <w:webHidden/>
          </w:rPr>
          <w:t>15</w:t>
        </w:r>
        <w:r>
          <w:rPr>
            <w:noProof/>
            <w:webHidden/>
          </w:rPr>
          <w:fldChar w:fldCharType="end"/>
        </w:r>
      </w:hyperlink>
    </w:p>
    <w:p w14:paraId="48A6D83D" w14:textId="4D04E9C6" w:rsidR="00C019A0" w:rsidRDefault="00C019A0" w:rsidP="00C019A0">
      <w:pPr>
        <w:pStyle w:val="TOC3"/>
        <w:rPr>
          <w:rFonts w:asciiTheme="minorHAnsi" w:eastAsiaTheme="minorEastAsia" w:hAnsiTheme="minorHAnsi"/>
          <w:noProof/>
          <w:sz w:val="24"/>
          <w:lang w:val="es-ES" w:eastAsia="es-ES"/>
        </w:rPr>
      </w:pPr>
      <w:hyperlink w:anchor="_Toc219210279" w:history="1">
        <w:r w:rsidRPr="00A63DC6">
          <w:rPr>
            <w:rStyle w:val="Hyperlink"/>
            <w:noProof/>
          </w:rPr>
          <w:t>6.</w:t>
        </w:r>
        <w:r>
          <w:rPr>
            <w:rFonts w:asciiTheme="minorHAnsi" w:eastAsiaTheme="minorEastAsia" w:hAnsiTheme="minorHAnsi"/>
            <w:noProof/>
            <w:sz w:val="24"/>
            <w:lang w:val="es-ES" w:eastAsia="es-ES"/>
          </w:rPr>
          <w:tab/>
        </w:r>
        <w:r w:rsidRPr="00A63DC6">
          <w:rPr>
            <w:rStyle w:val="Hyperlink"/>
            <w:noProof/>
          </w:rPr>
          <w:t>Access for Permitted Purposes</w:t>
        </w:r>
        <w:r>
          <w:rPr>
            <w:noProof/>
            <w:webHidden/>
          </w:rPr>
          <w:tab/>
        </w:r>
        <w:r>
          <w:rPr>
            <w:noProof/>
            <w:webHidden/>
          </w:rPr>
          <w:fldChar w:fldCharType="begin"/>
        </w:r>
        <w:r>
          <w:rPr>
            <w:noProof/>
            <w:webHidden/>
          </w:rPr>
          <w:instrText xml:space="preserve"> PAGEREF _Toc219210279 \h </w:instrText>
        </w:r>
        <w:r>
          <w:rPr>
            <w:noProof/>
            <w:webHidden/>
          </w:rPr>
        </w:r>
        <w:r>
          <w:rPr>
            <w:noProof/>
            <w:webHidden/>
          </w:rPr>
          <w:fldChar w:fldCharType="separate"/>
        </w:r>
        <w:r w:rsidR="00C1075B">
          <w:rPr>
            <w:noProof/>
            <w:webHidden/>
          </w:rPr>
          <w:t>16</w:t>
        </w:r>
        <w:r>
          <w:rPr>
            <w:noProof/>
            <w:webHidden/>
          </w:rPr>
          <w:fldChar w:fldCharType="end"/>
        </w:r>
      </w:hyperlink>
    </w:p>
    <w:p w14:paraId="43C27E2B" w14:textId="45E9DC53" w:rsidR="00C019A0" w:rsidRDefault="00C019A0" w:rsidP="00C019A0">
      <w:pPr>
        <w:pStyle w:val="TOC3"/>
        <w:rPr>
          <w:rFonts w:asciiTheme="minorHAnsi" w:eastAsiaTheme="minorEastAsia" w:hAnsiTheme="minorHAnsi"/>
          <w:noProof/>
          <w:sz w:val="24"/>
          <w:lang w:val="es-ES" w:eastAsia="es-ES"/>
        </w:rPr>
      </w:pPr>
      <w:hyperlink w:anchor="_Toc219210280" w:history="1">
        <w:r w:rsidRPr="00A63DC6">
          <w:rPr>
            <w:rStyle w:val="Hyperlink"/>
            <w:noProof/>
          </w:rPr>
          <w:t>7.</w:t>
        </w:r>
        <w:r>
          <w:rPr>
            <w:rFonts w:asciiTheme="minorHAnsi" w:eastAsiaTheme="minorEastAsia" w:hAnsiTheme="minorHAnsi"/>
            <w:noProof/>
            <w:sz w:val="24"/>
            <w:lang w:val="es-ES" w:eastAsia="es-ES"/>
          </w:rPr>
          <w:tab/>
        </w:r>
        <w:r w:rsidRPr="00A63DC6">
          <w:rPr>
            <w:rStyle w:val="Hyperlink"/>
            <w:noProof/>
          </w:rPr>
          <w:t>Access and Monitoring and Administration</w:t>
        </w:r>
        <w:r>
          <w:rPr>
            <w:noProof/>
            <w:webHidden/>
          </w:rPr>
          <w:tab/>
        </w:r>
        <w:r>
          <w:rPr>
            <w:noProof/>
            <w:webHidden/>
          </w:rPr>
          <w:fldChar w:fldCharType="begin"/>
        </w:r>
        <w:r>
          <w:rPr>
            <w:noProof/>
            <w:webHidden/>
          </w:rPr>
          <w:instrText xml:space="preserve"> PAGEREF _Toc219210280 \h </w:instrText>
        </w:r>
        <w:r>
          <w:rPr>
            <w:noProof/>
            <w:webHidden/>
          </w:rPr>
        </w:r>
        <w:r>
          <w:rPr>
            <w:noProof/>
            <w:webHidden/>
          </w:rPr>
          <w:fldChar w:fldCharType="separate"/>
        </w:r>
        <w:r w:rsidR="00C1075B">
          <w:rPr>
            <w:noProof/>
            <w:webHidden/>
          </w:rPr>
          <w:t>16</w:t>
        </w:r>
        <w:r>
          <w:rPr>
            <w:noProof/>
            <w:webHidden/>
          </w:rPr>
          <w:fldChar w:fldCharType="end"/>
        </w:r>
      </w:hyperlink>
    </w:p>
    <w:p w14:paraId="176F0194" w14:textId="276BA957" w:rsidR="00C019A0" w:rsidRDefault="00C019A0" w:rsidP="00C019A0">
      <w:pPr>
        <w:pStyle w:val="TOC1"/>
        <w:rPr>
          <w:rFonts w:asciiTheme="minorHAnsi" w:eastAsiaTheme="minorEastAsia" w:hAnsiTheme="minorHAnsi"/>
          <w:noProof/>
          <w:sz w:val="24"/>
          <w:lang w:val="es-ES" w:eastAsia="es-ES"/>
        </w:rPr>
      </w:pPr>
      <w:hyperlink w:anchor="_Toc219210281" w:history="1">
        <w:r w:rsidRPr="00A63DC6">
          <w:rPr>
            <w:rStyle w:val="Hyperlink"/>
            <w:noProof/>
          </w:rPr>
          <w:t>Part III: Access Solutions in the Environment of Law and Liability Risk</w:t>
        </w:r>
        <w:r>
          <w:rPr>
            <w:noProof/>
            <w:webHidden/>
          </w:rPr>
          <w:tab/>
        </w:r>
        <w:r>
          <w:rPr>
            <w:noProof/>
            <w:webHidden/>
          </w:rPr>
          <w:fldChar w:fldCharType="begin"/>
        </w:r>
        <w:r>
          <w:rPr>
            <w:noProof/>
            <w:webHidden/>
          </w:rPr>
          <w:instrText xml:space="preserve"> PAGEREF _Toc219210281 \h </w:instrText>
        </w:r>
        <w:r>
          <w:rPr>
            <w:noProof/>
            <w:webHidden/>
          </w:rPr>
        </w:r>
        <w:r>
          <w:rPr>
            <w:noProof/>
            <w:webHidden/>
          </w:rPr>
          <w:fldChar w:fldCharType="separate"/>
        </w:r>
        <w:r w:rsidR="00C1075B">
          <w:rPr>
            <w:noProof/>
            <w:webHidden/>
          </w:rPr>
          <w:t>17</w:t>
        </w:r>
        <w:r>
          <w:rPr>
            <w:noProof/>
            <w:webHidden/>
          </w:rPr>
          <w:fldChar w:fldCharType="end"/>
        </w:r>
      </w:hyperlink>
    </w:p>
    <w:p w14:paraId="189C48F5" w14:textId="5EA5F364" w:rsidR="00C019A0" w:rsidRDefault="00C019A0" w:rsidP="00C019A0">
      <w:pPr>
        <w:pStyle w:val="TOC2"/>
        <w:rPr>
          <w:rFonts w:asciiTheme="minorHAnsi" w:eastAsiaTheme="minorEastAsia" w:hAnsiTheme="minorHAnsi"/>
          <w:noProof/>
          <w:sz w:val="24"/>
          <w:lang w:val="es-ES" w:eastAsia="es-ES"/>
        </w:rPr>
      </w:pPr>
      <w:hyperlink w:anchor="_Toc219210282" w:history="1">
        <w:r w:rsidRPr="00A63DC6">
          <w:rPr>
            <w:rStyle w:val="Hyperlink"/>
            <w:noProof/>
          </w:rPr>
          <w:t>A.</w:t>
        </w:r>
        <w:r>
          <w:rPr>
            <w:rFonts w:asciiTheme="minorHAnsi" w:eastAsiaTheme="minorEastAsia" w:hAnsiTheme="minorHAnsi"/>
            <w:noProof/>
            <w:sz w:val="24"/>
            <w:lang w:val="es-ES" w:eastAsia="es-ES"/>
          </w:rPr>
          <w:tab/>
        </w:r>
        <w:r w:rsidRPr="00A63DC6">
          <w:rPr>
            <w:rStyle w:val="Hyperlink"/>
            <w:noProof/>
          </w:rPr>
          <w:t>Enhanced Access Solutions</w:t>
        </w:r>
        <w:r>
          <w:rPr>
            <w:noProof/>
            <w:webHidden/>
          </w:rPr>
          <w:tab/>
        </w:r>
        <w:r>
          <w:rPr>
            <w:noProof/>
            <w:webHidden/>
          </w:rPr>
          <w:fldChar w:fldCharType="begin"/>
        </w:r>
        <w:r>
          <w:rPr>
            <w:noProof/>
            <w:webHidden/>
          </w:rPr>
          <w:instrText xml:space="preserve"> PAGEREF _Toc219210282 \h </w:instrText>
        </w:r>
        <w:r>
          <w:rPr>
            <w:noProof/>
            <w:webHidden/>
          </w:rPr>
        </w:r>
        <w:r>
          <w:rPr>
            <w:noProof/>
            <w:webHidden/>
          </w:rPr>
          <w:fldChar w:fldCharType="separate"/>
        </w:r>
        <w:r w:rsidR="00C1075B">
          <w:rPr>
            <w:noProof/>
            <w:webHidden/>
          </w:rPr>
          <w:t>17</w:t>
        </w:r>
        <w:r>
          <w:rPr>
            <w:noProof/>
            <w:webHidden/>
          </w:rPr>
          <w:fldChar w:fldCharType="end"/>
        </w:r>
      </w:hyperlink>
    </w:p>
    <w:p w14:paraId="3EA7AFB4" w14:textId="68D131AE" w:rsidR="00C019A0" w:rsidRDefault="00C019A0" w:rsidP="00C019A0">
      <w:pPr>
        <w:pStyle w:val="TOC3"/>
        <w:rPr>
          <w:rFonts w:asciiTheme="minorHAnsi" w:eastAsiaTheme="minorEastAsia" w:hAnsiTheme="minorHAnsi"/>
          <w:noProof/>
          <w:sz w:val="24"/>
          <w:lang w:val="es-ES" w:eastAsia="es-ES"/>
        </w:rPr>
      </w:pPr>
      <w:hyperlink w:anchor="_Toc219210283" w:history="1">
        <w:r w:rsidRPr="00A63DC6">
          <w:rPr>
            <w:rStyle w:val="Hyperlink"/>
            <w:noProof/>
          </w:rPr>
          <w:t>1.</w:t>
        </w:r>
        <w:r>
          <w:rPr>
            <w:rFonts w:asciiTheme="minorHAnsi" w:eastAsiaTheme="minorEastAsia" w:hAnsiTheme="minorHAnsi"/>
            <w:noProof/>
            <w:sz w:val="24"/>
            <w:lang w:val="es-ES" w:eastAsia="es-ES"/>
          </w:rPr>
          <w:tab/>
        </w:r>
        <w:r w:rsidRPr="00A63DC6">
          <w:rPr>
            <w:rStyle w:val="Hyperlink"/>
            <w:noProof/>
          </w:rPr>
          <w:t>Access and Specific Copyright Exceptions and Limitations</w:t>
        </w:r>
        <w:r>
          <w:rPr>
            <w:noProof/>
            <w:webHidden/>
          </w:rPr>
          <w:tab/>
        </w:r>
        <w:r>
          <w:rPr>
            <w:noProof/>
            <w:webHidden/>
          </w:rPr>
          <w:fldChar w:fldCharType="begin"/>
        </w:r>
        <w:r>
          <w:rPr>
            <w:noProof/>
            <w:webHidden/>
          </w:rPr>
          <w:instrText xml:space="preserve"> PAGEREF _Toc219210283 \h </w:instrText>
        </w:r>
        <w:r>
          <w:rPr>
            <w:noProof/>
            <w:webHidden/>
          </w:rPr>
        </w:r>
        <w:r>
          <w:rPr>
            <w:noProof/>
            <w:webHidden/>
          </w:rPr>
          <w:fldChar w:fldCharType="separate"/>
        </w:r>
        <w:r w:rsidR="00C1075B">
          <w:rPr>
            <w:noProof/>
            <w:webHidden/>
          </w:rPr>
          <w:t>17</w:t>
        </w:r>
        <w:r>
          <w:rPr>
            <w:noProof/>
            <w:webHidden/>
          </w:rPr>
          <w:fldChar w:fldCharType="end"/>
        </w:r>
      </w:hyperlink>
    </w:p>
    <w:p w14:paraId="420C57EB" w14:textId="683BD205" w:rsidR="00C019A0" w:rsidRDefault="00C019A0" w:rsidP="00C019A0">
      <w:pPr>
        <w:pStyle w:val="TOC3"/>
        <w:rPr>
          <w:rFonts w:asciiTheme="minorHAnsi" w:eastAsiaTheme="minorEastAsia" w:hAnsiTheme="minorHAnsi"/>
          <w:noProof/>
          <w:sz w:val="24"/>
          <w:lang w:val="es-ES" w:eastAsia="es-ES"/>
        </w:rPr>
      </w:pPr>
      <w:hyperlink w:anchor="_Toc219210284" w:history="1">
        <w:r w:rsidRPr="00A63DC6">
          <w:rPr>
            <w:rStyle w:val="Hyperlink"/>
            <w:noProof/>
          </w:rPr>
          <w:t>2.</w:t>
        </w:r>
        <w:r>
          <w:rPr>
            <w:rFonts w:asciiTheme="minorHAnsi" w:eastAsiaTheme="minorEastAsia" w:hAnsiTheme="minorHAnsi"/>
            <w:noProof/>
            <w:sz w:val="24"/>
            <w:lang w:val="es-ES" w:eastAsia="es-ES"/>
          </w:rPr>
          <w:tab/>
        </w:r>
        <w:r w:rsidRPr="00A63DC6">
          <w:rPr>
            <w:rStyle w:val="Hyperlink"/>
            <w:noProof/>
          </w:rPr>
          <w:t>Access and Orphan Works</w:t>
        </w:r>
        <w:r>
          <w:rPr>
            <w:noProof/>
            <w:webHidden/>
          </w:rPr>
          <w:tab/>
        </w:r>
        <w:r>
          <w:rPr>
            <w:noProof/>
            <w:webHidden/>
          </w:rPr>
          <w:fldChar w:fldCharType="begin"/>
        </w:r>
        <w:r>
          <w:rPr>
            <w:noProof/>
            <w:webHidden/>
          </w:rPr>
          <w:instrText xml:space="preserve"> PAGEREF _Toc219210284 \h </w:instrText>
        </w:r>
        <w:r>
          <w:rPr>
            <w:noProof/>
            <w:webHidden/>
          </w:rPr>
        </w:r>
        <w:r>
          <w:rPr>
            <w:noProof/>
            <w:webHidden/>
          </w:rPr>
          <w:fldChar w:fldCharType="separate"/>
        </w:r>
        <w:r w:rsidR="00C1075B">
          <w:rPr>
            <w:noProof/>
            <w:webHidden/>
          </w:rPr>
          <w:t>18</w:t>
        </w:r>
        <w:r>
          <w:rPr>
            <w:noProof/>
            <w:webHidden/>
          </w:rPr>
          <w:fldChar w:fldCharType="end"/>
        </w:r>
      </w:hyperlink>
    </w:p>
    <w:p w14:paraId="6E95AFCE" w14:textId="405CFADC" w:rsidR="00C019A0" w:rsidRDefault="00C019A0" w:rsidP="00C019A0">
      <w:pPr>
        <w:pStyle w:val="TOC3"/>
        <w:rPr>
          <w:rFonts w:asciiTheme="minorHAnsi" w:eastAsiaTheme="minorEastAsia" w:hAnsiTheme="minorHAnsi"/>
          <w:noProof/>
          <w:sz w:val="24"/>
          <w:lang w:val="es-ES" w:eastAsia="es-ES"/>
        </w:rPr>
      </w:pPr>
      <w:hyperlink w:anchor="_Toc219210285" w:history="1">
        <w:r w:rsidRPr="00A63DC6">
          <w:rPr>
            <w:rStyle w:val="Hyperlink"/>
            <w:noProof/>
          </w:rPr>
          <w:t>3.</w:t>
        </w:r>
        <w:r>
          <w:rPr>
            <w:rFonts w:asciiTheme="minorHAnsi" w:eastAsiaTheme="minorEastAsia" w:hAnsiTheme="minorHAnsi"/>
            <w:noProof/>
            <w:sz w:val="24"/>
            <w:lang w:val="es-ES" w:eastAsia="es-ES"/>
          </w:rPr>
          <w:tab/>
        </w:r>
        <w:r w:rsidRPr="00A63DC6">
          <w:rPr>
            <w:rStyle w:val="Hyperlink"/>
            <w:noProof/>
          </w:rPr>
          <w:t>Access and Fair Dealing or Fair Use</w:t>
        </w:r>
        <w:r>
          <w:rPr>
            <w:noProof/>
            <w:webHidden/>
          </w:rPr>
          <w:tab/>
        </w:r>
        <w:r>
          <w:rPr>
            <w:noProof/>
            <w:webHidden/>
          </w:rPr>
          <w:fldChar w:fldCharType="begin"/>
        </w:r>
        <w:r>
          <w:rPr>
            <w:noProof/>
            <w:webHidden/>
          </w:rPr>
          <w:instrText xml:space="preserve"> PAGEREF _Toc219210285 \h </w:instrText>
        </w:r>
        <w:r>
          <w:rPr>
            <w:noProof/>
            <w:webHidden/>
          </w:rPr>
        </w:r>
        <w:r>
          <w:rPr>
            <w:noProof/>
            <w:webHidden/>
          </w:rPr>
          <w:fldChar w:fldCharType="separate"/>
        </w:r>
        <w:r w:rsidR="00C1075B">
          <w:rPr>
            <w:noProof/>
            <w:webHidden/>
          </w:rPr>
          <w:t>19</w:t>
        </w:r>
        <w:r>
          <w:rPr>
            <w:noProof/>
            <w:webHidden/>
          </w:rPr>
          <w:fldChar w:fldCharType="end"/>
        </w:r>
      </w:hyperlink>
    </w:p>
    <w:p w14:paraId="7F865F14" w14:textId="4D32ED57" w:rsidR="00C019A0" w:rsidRDefault="00C019A0" w:rsidP="00C019A0">
      <w:pPr>
        <w:pStyle w:val="TOC3"/>
        <w:rPr>
          <w:rFonts w:asciiTheme="minorHAnsi" w:eastAsiaTheme="minorEastAsia" w:hAnsiTheme="minorHAnsi"/>
          <w:noProof/>
          <w:sz w:val="24"/>
          <w:lang w:val="es-ES" w:eastAsia="es-ES"/>
        </w:rPr>
      </w:pPr>
      <w:hyperlink w:anchor="_Toc219210286" w:history="1">
        <w:r w:rsidRPr="00A63DC6">
          <w:rPr>
            <w:rStyle w:val="Hyperlink"/>
            <w:noProof/>
          </w:rPr>
          <w:t>4.</w:t>
        </w:r>
        <w:r>
          <w:rPr>
            <w:rFonts w:asciiTheme="minorHAnsi" w:eastAsiaTheme="minorEastAsia" w:hAnsiTheme="minorHAnsi"/>
            <w:noProof/>
            <w:sz w:val="24"/>
            <w:lang w:val="es-ES" w:eastAsia="es-ES"/>
          </w:rPr>
          <w:tab/>
        </w:r>
        <w:r w:rsidRPr="00A63DC6">
          <w:rPr>
            <w:rStyle w:val="Hyperlink"/>
            <w:noProof/>
          </w:rPr>
          <w:t>Access and Limitations on Liability for Copyright Infringement</w:t>
        </w:r>
        <w:r>
          <w:rPr>
            <w:noProof/>
            <w:webHidden/>
          </w:rPr>
          <w:tab/>
        </w:r>
        <w:r>
          <w:rPr>
            <w:noProof/>
            <w:webHidden/>
          </w:rPr>
          <w:fldChar w:fldCharType="begin"/>
        </w:r>
        <w:r>
          <w:rPr>
            <w:noProof/>
            <w:webHidden/>
          </w:rPr>
          <w:instrText xml:space="preserve"> PAGEREF _Toc219210286 \h </w:instrText>
        </w:r>
        <w:r>
          <w:rPr>
            <w:noProof/>
            <w:webHidden/>
          </w:rPr>
        </w:r>
        <w:r>
          <w:rPr>
            <w:noProof/>
            <w:webHidden/>
          </w:rPr>
          <w:fldChar w:fldCharType="separate"/>
        </w:r>
        <w:r w:rsidR="00C1075B">
          <w:rPr>
            <w:noProof/>
            <w:webHidden/>
          </w:rPr>
          <w:t>19</w:t>
        </w:r>
        <w:r>
          <w:rPr>
            <w:noProof/>
            <w:webHidden/>
          </w:rPr>
          <w:fldChar w:fldCharType="end"/>
        </w:r>
      </w:hyperlink>
    </w:p>
    <w:p w14:paraId="60FA7C2C" w14:textId="575FDE4E" w:rsidR="00C019A0" w:rsidRDefault="00C019A0" w:rsidP="00C019A0">
      <w:pPr>
        <w:pStyle w:val="TOC3"/>
        <w:rPr>
          <w:rFonts w:asciiTheme="minorHAnsi" w:eastAsiaTheme="minorEastAsia" w:hAnsiTheme="minorHAnsi"/>
          <w:noProof/>
          <w:sz w:val="24"/>
          <w:lang w:val="es-ES" w:eastAsia="es-ES"/>
        </w:rPr>
      </w:pPr>
      <w:hyperlink w:anchor="_Toc219210287" w:history="1">
        <w:r w:rsidRPr="00A63DC6">
          <w:rPr>
            <w:rStyle w:val="Hyperlink"/>
            <w:noProof/>
          </w:rPr>
          <w:t>5.</w:t>
        </w:r>
        <w:r>
          <w:rPr>
            <w:rFonts w:asciiTheme="minorHAnsi" w:eastAsiaTheme="minorEastAsia" w:hAnsiTheme="minorHAnsi"/>
            <w:noProof/>
            <w:sz w:val="24"/>
            <w:lang w:val="es-ES" w:eastAsia="es-ES"/>
          </w:rPr>
          <w:tab/>
        </w:r>
        <w:r w:rsidRPr="00A63DC6">
          <w:rPr>
            <w:rStyle w:val="Hyperlink"/>
            <w:noProof/>
          </w:rPr>
          <w:t>Access and Avoiding Infringement: Safe Harbor Provisions</w:t>
        </w:r>
        <w:r>
          <w:rPr>
            <w:noProof/>
            <w:webHidden/>
          </w:rPr>
          <w:tab/>
        </w:r>
        <w:r>
          <w:rPr>
            <w:noProof/>
            <w:webHidden/>
          </w:rPr>
          <w:fldChar w:fldCharType="begin"/>
        </w:r>
        <w:r>
          <w:rPr>
            <w:noProof/>
            <w:webHidden/>
          </w:rPr>
          <w:instrText xml:space="preserve"> PAGEREF _Toc219210287 \h </w:instrText>
        </w:r>
        <w:r>
          <w:rPr>
            <w:noProof/>
            <w:webHidden/>
          </w:rPr>
        </w:r>
        <w:r>
          <w:rPr>
            <w:noProof/>
            <w:webHidden/>
          </w:rPr>
          <w:fldChar w:fldCharType="separate"/>
        </w:r>
        <w:r w:rsidR="00C1075B">
          <w:rPr>
            <w:noProof/>
            <w:webHidden/>
          </w:rPr>
          <w:t>19</w:t>
        </w:r>
        <w:r>
          <w:rPr>
            <w:noProof/>
            <w:webHidden/>
          </w:rPr>
          <w:fldChar w:fldCharType="end"/>
        </w:r>
      </w:hyperlink>
    </w:p>
    <w:p w14:paraId="047A9235" w14:textId="126E49FE" w:rsidR="00C019A0" w:rsidRDefault="00C019A0" w:rsidP="00C019A0">
      <w:pPr>
        <w:pStyle w:val="TOC3"/>
        <w:rPr>
          <w:rFonts w:asciiTheme="minorHAnsi" w:eastAsiaTheme="minorEastAsia" w:hAnsiTheme="minorHAnsi"/>
          <w:noProof/>
          <w:sz w:val="24"/>
          <w:lang w:val="es-ES" w:eastAsia="es-ES"/>
        </w:rPr>
      </w:pPr>
      <w:hyperlink w:anchor="_Toc219210288" w:history="1">
        <w:r w:rsidRPr="00A63DC6">
          <w:rPr>
            <w:rStyle w:val="Hyperlink"/>
            <w:noProof/>
          </w:rPr>
          <w:t>6.</w:t>
        </w:r>
        <w:r>
          <w:rPr>
            <w:rFonts w:asciiTheme="minorHAnsi" w:eastAsiaTheme="minorEastAsia" w:hAnsiTheme="minorHAnsi"/>
            <w:noProof/>
            <w:sz w:val="24"/>
            <w:lang w:val="es-ES" w:eastAsia="es-ES"/>
          </w:rPr>
          <w:tab/>
        </w:r>
        <w:r w:rsidRPr="00A63DC6">
          <w:rPr>
            <w:rStyle w:val="Hyperlink"/>
            <w:noProof/>
          </w:rPr>
          <w:t>Access to Public Domain and Donated Works</w:t>
        </w:r>
        <w:r>
          <w:rPr>
            <w:noProof/>
            <w:webHidden/>
          </w:rPr>
          <w:tab/>
        </w:r>
        <w:r>
          <w:rPr>
            <w:noProof/>
            <w:webHidden/>
          </w:rPr>
          <w:fldChar w:fldCharType="begin"/>
        </w:r>
        <w:r>
          <w:rPr>
            <w:noProof/>
            <w:webHidden/>
          </w:rPr>
          <w:instrText xml:space="preserve"> PAGEREF _Toc219210288 \h </w:instrText>
        </w:r>
        <w:r>
          <w:rPr>
            <w:noProof/>
            <w:webHidden/>
          </w:rPr>
        </w:r>
        <w:r>
          <w:rPr>
            <w:noProof/>
            <w:webHidden/>
          </w:rPr>
          <w:fldChar w:fldCharType="separate"/>
        </w:r>
        <w:r w:rsidR="00C1075B">
          <w:rPr>
            <w:noProof/>
            <w:webHidden/>
          </w:rPr>
          <w:t>20</w:t>
        </w:r>
        <w:r>
          <w:rPr>
            <w:noProof/>
            <w:webHidden/>
          </w:rPr>
          <w:fldChar w:fldCharType="end"/>
        </w:r>
      </w:hyperlink>
    </w:p>
    <w:p w14:paraId="6D47B625" w14:textId="37524B13" w:rsidR="00C019A0" w:rsidRDefault="00C019A0" w:rsidP="00C019A0">
      <w:pPr>
        <w:pStyle w:val="TOC2"/>
        <w:rPr>
          <w:rFonts w:asciiTheme="minorHAnsi" w:eastAsiaTheme="minorEastAsia" w:hAnsiTheme="minorHAnsi"/>
          <w:noProof/>
          <w:sz w:val="24"/>
          <w:lang w:val="es-ES" w:eastAsia="es-ES"/>
        </w:rPr>
      </w:pPr>
      <w:hyperlink w:anchor="_Toc219210289" w:history="1">
        <w:r w:rsidRPr="00A63DC6">
          <w:rPr>
            <w:rStyle w:val="Hyperlink"/>
            <w:noProof/>
          </w:rPr>
          <w:t>B.</w:t>
        </w:r>
        <w:r>
          <w:rPr>
            <w:rFonts w:asciiTheme="minorHAnsi" w:eastAsiaTheme="minorEastAsia" w:hAnsiTheme="minorHAnsi"/>
            <w:noProof/>
            <w:sz w:val="24"/>
            <w:lang w:val="es-ES" w:eastAsia="es-ES"/>
          </w:rPr>
          <w:tab/>
        </w:r>
        <w:r w:rsidRPr="00A63DC6">
          <w:rPr>
            <w:rStyle w:val="Hyperlink"/>
            <w:noProof/>
          </w:rPr>
          <w:t>Access and Licensing</w:t>
        </w:r>
        <w:r>
          <w:rPr>
            <w:noProof/>
            <w:webHidden/>
          </w:rPr>
          <w:tab/>
        </w:r>
        <w:r>
          <w:rPr>
            <w:noProof/>
            <w:webHidden/>
          </w:rPr>
          <w:fldChar w:fldCharType="begin"/>
        </w:r>
        <w:r>
          <w:rPr>
            <w:noProof/>
            <w:webHidden/>
          </w:rPr>
          <w:instrText xml:space="preserve"> PAGEREF _Toc219210289 \h </w:instrText>
        </w:r>
        <w:r>
          <w:rPr>
            <w:noProof/>
            <w:webHidden/>
          </w:rPr>
        </w:r>
        <w:r>
          <w:rPr>
            <w:noProof/>
            <w:webHidden/>
          </w:rPr>
          <w:fldChar w:fldCharType="separate"/>
        </w:r>
        <w:r w:rsidR="00C1075B">
          <w:rPr>
            <w:noProof/>
            <w:webHidden/>
          </w:rPr>
          <w:t>21</w:t>
        </w:r>
        <w:r>
          <w:rPr>
            <w:noProof/>
            <w:webHidden/>
          </w:rPr>
          <w:fldChar w:fldCharType="end"/>
        </w:r>
      </w:hyperlink>
    </w:p>
    <w:p w14:paraId="7323A0CD" w14:textId="53EA0179" w:rsidR="00C019A0" w:rsidRDefault="00C019A0" w:rsidP="00C019A0">
      <w:pPr>
        <w:pStyle w:val="TOC3"/>
        <w:rPr>
          <w:rFonts w:asciiTheme="minorHAnsi" w:eastAsiaTheme="minorEastAsia" w:hAnsiTheme="minorHAnsi"/>
          <w:noProof/>
          <w:sz w:val="24"/>
          <w:lang w:val="es-ES" w:eastAsia="es-ES"/>
        </w:rPr>
      </w:pPr>
      <w:hyperlink w:anchor="_Toc219210290" w:history="1">
        <w:r w:rsidRPr="00A63DC6">
          <w:rPr>
            <w:rStyle w:val="Hyperlink"/>
            <w:noProof/>
          </w:rPr>
          <w:t>1.</w:t>
        </w:r>
        <w:r>
          <w:rPr>
            <w:rFonts w:asciiTheme="minorHAnsi" w:eastAsiaTheme="minorEastAsia" w:hAnsiTheme="minorHAnsi"/>
            <w:noProof/>
            <w:sz w:val="24"/>
            <w:lang w:val="es-ES" w:eastAsia="es-ES"/>
          </w:rPr>
          <w:tab/>
        </w:r>
        <w:r w:rsidRPr="00A63DC6">
          <w:rPr>
            <w:rStyle w:val="Hyperlink"/>
            <w:noProof/>
          </w:rPr>
          <w:t>Access and Licensing to Libraries, Archives, and Museums</w:t>
        </w:r>
        <w:r>
          <w:rPr>
            <w:noProof/>
            <w:webHidden/>
          </w:rPr>
          <w:tab/>
        </w:r>
        <w:r>
          <w:rPr>
            <w:noProof/>
            <w:webHidden/>
          </w:rPr>
          <w:fldChar w:fldCharType="begin"/>
        </w:r>
        <w:r>
          <w:rPr>
            <w:noProof/>
            <w:webHidden/>
          </w:rPr>
          <w:instrText xml:space="preserve"> PAGEREF _Toc219210290 \h </w:instrText>
        </w:r>
        <w:r>
          <w:rPr>
            <w:noProof/>
            <w:webHidden/>
          </w:rPr>
        </w:r>
        <w:r>
          <w:rPr>
            <w:noProof/>
            <w:webHidden/>
          </w:rPr>
          <w:fldChar w:fldCharType="separate"/>
        </w:r>
        <w:r w:rsidR="00C1075B">
          <w:rPr>
            <w:noProof/>
            <w:webHidden/>
          </w:rPr>
          <w:t>21</w:t>
        </w:r>
        <w:r>
          <w:rPr>
            <w:noProof/>
            <w:webHidden/>
          </w:rPr>
          <w:fldChar w:fldCharType="end"/>
        </w:r>
      </w:hyperlink>
    </w:p>
    <w:p w14:paraId="38DCBFF3" w14:textId="69902F24" w:rsidR="00C019A0" w:rsidRDefault="00C019A0" w:rsidP="00C019A0">
      <w:pPr>
        <w:pStyle w:val="TOC3"/>
        <w:rPr>
          <w:rFonts w:asciiTheme="minorHAnsi" w:eastAsiaTheme="minorEastAsia" w:hAnsiTheme="minorHAnsi"/>
          <w:noProof/>
          <w:sz w:val="24"/>
          <w:lang w:val="es-ES" w:eastAsia="es-ES"/>
        </w:rPr>
      </w:pPr>
      <w:hyperlink w:anchor="_Toc219210291" w:history="1">
        <w:r w:rsidRPr="00A63DC6">
          <w:rPr>
            <w:rStyle w:val="Hyperlink"/>
            <w:noProof/>
          </w:rPr>
          <w:t>2.</w:t>
        </w:r>
        <w:r>
          <w:rPr>
            <w:rFonts w:asciiTheme="minorHAnsi" w:eastAsiaTheme="minorEastAsia" w:hAnsiTheme="minorHAnsi"/>
            <w:noProof/>
            <w:sz w:val="24"/>
            <w:lang w:val="es-ES" w:eastAsia="es-ES"/>
          </w:rPr>
          <w:tab/>
        </w:r>
        <w:r w:rsidRPr="00A63DC6">
          <w:rPr>
            <w:rStyle w:val="Hyperlink"/>
            <w:noProof/>
          </w:rPr>
          <w:t>Access and Licensing to Patrons and Researchers</w:t>
        </w:r>
        <w:r>
          <w:rPr>
            <w:noProof/>
            <w:webHidden/>
          </w:rPr>
          <w:tab/>
        </w:r>
        <w:r>
          <w:rPr>
            <w:noProof/>
            <w:webHidden/>
          </w:rPr>
          <w:fldChar w:fldCharType="begin"/>
        </w:r>
        <w:r>
          <w:rPr>
            <w:noProof/>
            <w:webHidden/>
          </w:rPr>
          <w:instrText xml:space="preserve"> PAGEREF _Toc219210291 \h </w:instrText>
        </w:r>
        <w:r>
          <w:rPr>
            <w:noProof/>
            <w:webHidden/>
          </w:rPr>
        </w:r>
        <w:r>
          <w:rPr>
            <w:noProof/>
            <w:webHidden/>
          </w:rPr>
          <w:fldChar w:fldCharType="separate"/>
        </w:r>
        <w:r w:rsidR="00C1075B">
          <w:rPr>
            <w:noProof/>
            <w:webHidden/>
          </w:rPr>
          <w:t>21</w:t>
        </w:r>
        <w:r>
          <w:rPr>
            <w:noProof/>
            <w:webHidden/>
          </w:rPr>
          <w:fldChar w:fldCharType="end"/>
        </w:r>
      </w:hyperlink>
    </w:p>
    <w:p w14:paraId="07BCA147" w14:textId="7B3FE2BC" w:rsidR="00C019A0" w:rsidRDefault="00C019A0" w:rsidP="00C019A0">
      <w:pPr>
        <w:pStyle w:val="TOC3"/>
        <w:rPr>
          <w:rFonts w:asciiTheme="minorHAnsi" w:eastAsiaTheme="minorEastAsia" w:hAnsiTheme="minorHAnsi"/>
          <w:noProof/>
          <w:sz w:val="24"/>
          <w:lang w:val="es-ES" w:eastAsia="es-ES"/>
        </w:rPr>
      </w:pPr>
      <w:hyperlink w:anchor="_Toc219210292" w:history="1">
        <w:r w:rsidRPr="00A63DC6">
          <w:rPr>
            <w:rStyle w:val="Hyperlink"/>
            <w:noProof/>
          </w:rPr>
          <w:t>3.</w:t>
        </w:r>
        <w:r>
          <w:rPr>
            <w:rFonts w:asciiTheme="minorHAnsi" w:eastAsiaTheme="minorEastAsia" w:hAnsiTheme="minorHAnsi"/>
            <w:noProof/>
            <w:sz w:val="24"/>
            <w:lang w:val="es-ES" w:eastAsia="es-ES"/>
          </w:rPr>
          <w:tab/>
        </w:r>
        <w:r w:rsidRPr="00A63DC6">
          <w:rPr>
            <w:rStyle w:val="Hyperlink"/>
            <w:noProof/>
          </w:rPr>
          <w:t>Access and Collective Licensing</w:t>
        </w:r>
        <w:r>
          <w:rPr>
            <w:noProof/>
            <w:webHidden/>
          </w:rPr>
          <w:tab/>
        </w:r>
        <w:r>
          <w:rPr>
            <w:noProof/>
            <w:webHidden/>
          </w:rPr>
          <w:fldChar w:fldCharType="begin"/>
        </w:r>
        <w:r>
          <w:rPr>
            <w:noProof/>
            <w:webHidden/>
          </w:rPr>
          <w:instrText xml:space="preserve"> PAGEREF _Toc219210292 \h </w:instrText>
        </w:r>
        <w:r>
          <w:rPr>
            <w:noProof/>
            <w:webHidden/>
          </w:rPr>
        </w:r>
        <w:r>
          <w:rPr>
            <w:noProof/>
            <w:webHidden/>
          </w:rPr>
          <w:fldChar w:fldCharType="separate"/>
        </w:r>
        <w:r w:rsidR="00C1075B">
          <w:rPr>
            <w:noProof/>
            <w:webHidden/>
          </w:rPr>
          <w:t>22</w:t>
        </w:r>
        <w:r>
          <w:rPr>
            <w:noProof/>
            <w:webHidden/>
          </w:rPr>
          <w:fldChar w:fldCharType="end"/>
        </w:r>
      </w:hyperlink>
    </w:p>
    <w:p w14:paraId="6A83C5A8" w14:textId="1D3CEF17" w:rsidR="00C019A0" w:rsidRDefault="00C019A0" w:rsidP="00C019A0">
      <w:pPr>
        <w:pStyle w:val="TOC2"/>
        <w:rPr>
          <w:rFonts w:asciiTheme="minorHAnsi" w:eastAsiaTheme="minorEastAsia" w:hAnsiTheme="minorHAnsi"/>
          <w:noProof/>
          <w:sz w:val="24"/>
          <w:lang w:val="es-ES" w:eastAsia="es-ES"/>
        </w:rPr>
      </w:pPr>
      <w:hyperlink w:anchor="_Toc219210293" w:history="1">
        <w:r w:rsidRPr="00A63DC6">
          <w:rPr>
            <w:rStyle w:val="Hyperlink"/>
            <w:noProof/>
          </w:rPr>
          <w:t>C.</w:t>
        </w:r>
        <w:r>
          <w:rPr>
            <w:rFonts w:asciiTheme="minorHAnsi" w:eastAsiaTheme="minorEastAsia" w:hAnsiTheme="minorHAnsi"/>
            <w:noProof/>
            <w:sz w:val="24"/>
            <w:lang w:val="es-ES" w:eastAsia="es-ES"/>
          </w:rPr>
          <w:tab/>
        </w:r>
        <w:r w:rsidRPr="00A63DC6">
          <w:rPr>
            <w:rStyle w:val="Hyperlink"/>
            <w:noProof/>
          </w:rPr>
          <w:t>Access and the Mitigation of Possible Liability Risks</w:t>
        </w:r>
        <w:r>
          <w:rPr>
            <w:noProof/>
            <w:webHidden/>
          </w:rPr>
          <w:tab/>
        </w:r>
        <w:r>
          <w:rPr>
            <w:noProof/>
            <w:webHidden/>
          </w:rPr>
          <w:fldChar w:fldCharType="begin"/>
        </w:r>
        <w:r>
          <w:rPr>
            <w:noProof/>
            <w:webHidden/>
          </w:rPr>
          <w:instrText xml:space="preserve"> PAGEREF _Toc219210293 \h </w:instrText>
        </w:r>
        <w:r>
          <w:rPr>
            <w:noProof/>
            <w:webHidden/>
          </w:rPr>
        </w:r>
        <w:r>
          <w:rPr>
            <w:noProof/>
            <w:webHidden/>
          </w:rPr>
          <w:fldChar w:fldCharType="separate"/>
        </w:r>
        <w:r w:rsidR="00C1075B">
          <w:rPr>
            <w:noProof/>
            <w:webHidden/>
          </w:rPr>
          <w:t>22</w:t>
        </w:r>
        <w:r>
          <w:rPr>
            <w:noProof/>
            <w:webHidden/>
          </w:rPr>
          <w:fldChar w:fldCharType="end"/>
        </w:r>
      </w:hyperlink>
    </w:p>
    <w:p w14:paraId="5C42A5F5" w14:textId="78AA9F72" w:rsidR="00C019A0" w:rsidRDefault="00C019A0" w:rsidP="00C019A0">
      <w:pPr>
        <w:pStyle w:val="TOC3"/>
        <w:rPr>
          <w:rFonts w:asciiTheme="minorHAnsi" w:eastAsiaTheme="minorEastAsia" w:hAnsiTheme="minorHAnsi"/>
          <w:noProof/>
          <w:sz w:val="24"/>
          <w:lang w:val="es-ES" w:eastAsia="es-ES"/>
        </w:rPr>
      </w:pPr>
      <w:hyperlink w:anchor="_Toc219210294" w:history="1">
        <w:r w:rsidRPr="00A63DC6">
          <w:rPr>
            <w:rStyle w:val="Hyperlink"/>
            <w:noProof/>
          </w:rPr>
          <w:t>1.</w:t>
        </w:r>
        <w:r>
          <w:rPr>
            <w:rFonts w:asciiTheme="minorHAnsi" w:eastAsiaTheme="minorEastAsia" w:hAnsiTheme="minorHAnsi"/>
            <w:noProof/>
            <w:sz w:val="24"/>
            <w:lang w:val="es-ES" w:eastAsia="es-ES"/>
          </w:rPr>
          <w:tab/>
        </w:r>
        <w:r w:rsidRPr="00A63DC6">
          <w:rPr>
            <w:rStyle w:val="Hyperlink"/>
            <w:noProof/>
          </w:rPr>
          <w:t>The Use of Technological Protection Measures</w:t>
        </w:r>
        <w:r>
          <w:rPr>
            <w:noProof/>
            <w:webHidden/>
          </w:rPr>
          <w:tab/>
        </w:r>
        <w:r>
          <w:rPr>
            <w:noProof/>
            <w:webHidden/>
          </w:rPr>
          <w:fldChar w:fldCharType="begin"/>
        </w:r>
        <w:r>
          <w:rPr>
            <w:noProof/>
            <w:webHidden/>
          </w:rPr>
          <w:instrText xml:space="preserve"> PAGEREF _Toc219210294 \h </w:instrText>
        </w:r>
        <w:r>
          <w:rPr>
            <w:noProof/>
            <w:webHidden/>
          </w:rPr>
        </w:r>
        <w:r>
          <w:rPr>
            <w:noProof/>
            <w:webHidden/>
          </w:rPr>
          <w:fldChar w:fldCharType="separate"/>
        </w:r>
        <w:r w:rsidR="00C1075B">
          <w:rPr>
            <w:noProof/>
            <w:webHidden/>
          </w:rPr>
          <w:t>22</w:t>
        </w:r>
        <w:r>
          <w:rPr>
            <w:noProof/>
            <w:webHidden/>
          </w:rPr>
          <w:fldChar w:fldCharType="end"/>
        </w:r>
      </w:hyperlink>
    </w:p>
    <w:p w14:paraId="03E57F60" w14:textId="347AC8A9" w:rsidR="00C019A0" w:rsidRDefault="00C019A0" w:rsidP="00C019A0">
      <w:pPr>
        <w:pStyle w:val="TOC3"/>
        <w:rPr>
          <w:rFonts w:asciiTheme="minorHAnsi" w:eastAsiaTheme="minorEastAsia" w:hAnsiTheme="minorHAnsi"/>
          <w:noProof/>
          <w:sz w:val="24"/>
          <w:lang w:val="es-ES" w:eastAsia="es-ES"/>
        </w:rPr>
      </w:pPr>
      <w:hyperlink w:anchor="_Toc219210295" w:history="1">
        <w:r w:rsidRPr="00A63DC6">
          <w:rPr>
            <w:rStyle w:val="Hyperlink"/>
            <w:noProof/>
          </w:rPr>
          <w:t>2.</w:t>
        </w:r>
        <w:r>
          <w:rPr>
            <w:rFonts w:asciiTheme="minorHAnsi" w:eastAsiaTheme="minorEastAsia" w:hAnsiTheme="minorHAnsi"/>
            <w:noProof/>
            <w:sz w:val="24"/>
            <w:lang w:val="es-ES" w:eastAsia="es-ES"/>
          </w:rPr>
          <w:tab/>
        </w:r>
        <w:r w:rsidRPr="00A63DC6">
          <w:rPr>
            <w:rStyle w:val="Hyperlink"/>
            <w:noProof/>
          </w:rPr>
          <w:t>Access and the “Virtual Reading Room”</w:t>
        </w:r>
        <w:r>
          <w:rPr>
            <w:noProof/>
            <w:webHidden/>
          </w:rPr>
          <w:tab/>
        </w:r>
        <w:r>
          <w:rPr>
            <w:noProof/>
            <w:webHidden/>
          </w:rPr>
          <w:fldChar w:fldCharType="begin"/>
        </w:r>
        <w:r>
          <w:rPr>
            <w:noProof/>
            <w:webHidden/>
          </w:rPr>
          <w:instrText xml:space="preserve"> PAGEREF _Toc219210295 \h </w:instrText>
        </w:r>
        <w:r>
          <w:rPr>
            <w:noProof/>
            <w:webHidden/>
          </w:rPr>
        </w:r>
        <w:r>
          <w:rPr>
            <w:noProof/>
            <w:webHidden/>
          </w:rPr>
          <w:fldChar w:fldCharType="separate"/>
        </w:r>
        <w:r w:rsidR="00C1075B">
          <w:rPr>
            <w:noProof/>
            <w:webHidden/>
          </w:rPr>
          <w:t>23</w:t>
        </w:r>
        <w:r>
          <w:rPr>
            <w:noProof/>
            <w:webHidden/>
          </w:rPr>
          <w:fldChar w:fldCharType="end"/>
        </w:r>
      </w:hyperlink>
    </w:p>
    <w:p w14:paraId="16543169" w14:textId="0DEFAF07" w:rsidR="00C019A0" w:rsidRDefault="00C019A0" w:rsidP="00C019A0">
      <w:pPr>
        <w:pStyle w:val="TOC3"/>
        <w:rPr>
          <w:rFonts w:asciiTheme="minorHAnsi" w:eastAsiaTheme="minorEastAsia" w:hAnsiTheme="minorHAnsi"/>
          <w:noProof/>
          <w:sz w:val="24"/>
          <w:lang w:val="es-ES" w:eastAsia="es-ES"/>
        </w:rPr>
      </w:pPr>
      <w:hyperlink w:anchor="_Toc219210296" w:history="1">
        <w:r w:rsidRPr="00A63DC6">
          <w:rPr>
            <w:rStyle w:val="Hyperlink"/>
            <w:noProof/>
          </w:rPr>
          <w:t>3.</w:t>
        </w:r>
        <w:r>
          <w:rPr>
            <w:rFonts w:asciiTheme="minorHAnsi" w:eastAsiaTheme="minorEastAsia" w:hAnsiTheme="minorHAnsi"/>
            <w:noProof/>
            <w:sz w:val="24"/>
            <w:lang w:val="es-ES" w:eastAsia="es-ES"/>
          </w:rPr>
          <w:tab/>
        </w:r>
        <w:r w:rsidRPr="00A63DC6">
          <w:rPr>
            <w:rStyle w:val="Hyperlink"/>
            <w:noProof/>
          </w:rPr>
          <w:t>Rights Metadata and Collections Management Practices</w:t>
        </w:r>
        <w:r>
          <w:rPr>
            <w:noProof/>
            <w:webHidden/>
          </w:rPr>
          <w:tab/>
        </w:r>
        <w:r>
          <w:rPr>
            <w:noProof/>
            <w:webHidden/>
          </w:rPr>
          <w:fldChar w:fldCharType="begin"/>
        </w:r>
        <w:r>
          <w:rPr>
            <w:noProof/>
            <w:webHidden/>
          </w:rPr>
          <w:instrText xml:space="preserve"> PAGEREF _Toc219210296 \h </w:instrText>
        </w:r>
        <w:r>
          <w:rPr>
            <w:noProof/>
            <w:webHidden/>
          </w:rPr>
        </w:r>
        <w:r>
          <w:rPr>
            <w:noProof/>
            <w:webHidden/>
          </w:rPr>
          <w:fldChar w:fldCharType="separate"/>
        </w:r>
        <w:r w:rsidR="00C1075B">
          <w:rPr>
            <w:noProof/>
            <w:webHidden/>
          </w:rPr>
          <w:t>23</w:t>
        </w:r>
        <w:r>
          <w:rPr>
            <w:noProof/>
            <w:webHidden/>
          </w:rPr>
          <w:fldChar w:fldCharType="end"/>
        </w:r>
      </w:hyperlink>
    </w:p>
    <w:p w14:paraId="36F85114" w14:textId="0D76CE2B" w:rsidR="00C019A0" w:rsidRDefault="00C019A0" w:rsidP="00C019A0">
      <w:pPr>
        <w:pStyle w:val="TOC3"/>
        <w:rPr>
          <w:rFonts w:asciiTheme="minorHAnsi" w:eastAsiaTheme="minorEastAsia" w:hAnsiTheme="minorHAnsi"/>
          <w:noProof/>
          <w:sz w:val="24"/>
          <w:lang w:val="es-ES" w:eastAsia="es-ES"/>
        </w:rPr>
      </w:pPr>
      <w:hyperlink w:anchor="_Toc219210297" w:history="1">
        <w:r w:rsidRPr="00A63DC6">
          <w:rPr>
            <w:rStyle w:val="Hyperlink"/>
            <w:noProof/>
          </w:rPr>
          <w:t>4.</w:t>
        </w:r>
        <w:r>
          <w:rPr>
            <w:rFonts w:asciiTheme="minorHAnsi" w:eastAsiaTheme="minorEastAsia" w:hAnsiTheme="minorHAnsi"/>
            <w:noProof/>
            <w:sz w:val="24"/>
            <w:lang w:val="es-ES" w:eastAsia="es-ES"/>
          </w:rPr>
          <w:tab/>
        </w:r>
        <w:r w:rsidRPr="00A63DC6">
          <w:rPr>
            <w:rStyle w:val="Hyperlink"/>
            <w:noProof/>
          </w:rPr>
          <w:t>The Use of Digital Resolution as a Mitigation Technique</w:t>
        </w:r>
        <w:r>
          <w:rPr>
            <w:noProof/>
            <w:webHidden/>
          </w:rPr>
          <w:tab/>
        </w:r>
        <w:r>
          <w:rPr>
            <w:noProof/>
            <w:webHidden/>
          </w:rPr>
          <w:fldChar w:fldCharType="begin"/>
        </w:r>
        <w:r>
          <w:rPr>
            <w:noProof/>
            <w:webHidden/>
          </w:rPr>
          <w:instrText xml:space="preserve"> PAGEREF _Toc219210297 \h </w:instrText>
        </w:r>
        <w:r>
          <w:rPr>
            <w:noProof/>
            <w:webHidden/>
          </w:rPr>
        </w:r>
        <w:r>
          <w:rPr>
            <w:noProof/>
            <w:webHidden/>
          </w:rPr>
          <w:fldChar w:fldCharType="separate"/>
        </w:r>
        <w:r w:rsidR="00C1075B">
          <w:rPr>
            <w:noProof/>
            <w:webHidden/>
          </w:rPr>
          <w:t>24</w:t>
        </w:r>
        <w:r>
          <w:rPr>
            <w:noProof/>
            <w:webHidden/>
          </w:rPr>
          <w:fldChar w:fldCharType="end"/>
        </w:r>
      </w:hyperlink>
    </w:p>
    <w:p w14:paraId="6F4B2E20" w14:textId="3BF2ECBB" w:rsidR="00C019A0" w:rsidRDefault="00C019A0" w:rsidP="00C019A0">
      <w:pPr>
        <w:pStyle w:val="TOC3"/>
        <w:rPr>
          <w:rFonts w:asciiTheme="minorHAnsi" w:eastAsiaTheme="minorEastAsia" w:hAnsiTheme="minorHAnsi"/>
          <w:noProof/>
          <w:sz w:val="24"/>
          <w:lang w:val="es-ES" w:eastAsia="es-ES"/>
        </w:rPr>
      </w:pPr>
      <w:hyperlink w:anchor="_Toc219210298" w:history="1">
        <w:r w:rsidRPr="00A63DC6">
          <w:rPr>
            <w:rStyle w:val="Hyperlink"/>
            <w:noProof/>
          </w:rPr>
          <w:t>5.</w:t>
        </w:r>
        <w:r>
          <w:rPr>
            <w:rFonts w:asciiTheme="minorHAnsi" w:eastAsiaTheme="minorEastAsia" w:hAnsiTheme="minorHAnsi"/>
            <w:noProof/>
            <w:sz w:val="24"/>
            <w:lang w:val="es-ES" w:eastAsia="es-ES"/>
          </w:rPr>
          <w:tab/>
        </w:r>
        <w:r w:rsidRPr="00A63DC6">
          <w:rPr>
            <w:rStyle w:val="Hyperlink"/>
            <w:noProof/>
          </w:rPr>
          <w:t>Intellectual Property Mediation and Arbitration</w:t>
        </w:r>
        <w:r>
          <w:rPr>
            <w:noProof/>
            <w:webHidden/>
          </w:rPr>
          <w:tab/>
        </w:r>
        <w:r>
          <w:rPr>
            <w:noProof/>
            <w:webHidden/>
          </w:rPr>
          <w:fldChar w:fldCharType="begin"/>
        </w:r>
        <w:r>
          <w:rPr>
            <w:noProof/>
            <w:webHidden/>
          </w:rPr>
          <w:instrText xml:space="preserve"> PAGEREF _Toc219210298 \h </w:instrText>
        </w:r>
        <w:r>
          <w:rPr>
            <w:noProof/>
            <w:webHidden/>
          </w:rPr>
        </w:r>
        <w:r>
          <w:rPr>
            <w:noProof/>
            <w:webHidden/>
          </w:rPr>
          <w:fldChar w:fldCharType="separate"/>
        </w:r>
        <w:r w:rsidR="00C1075B">
          <w:rPr>
            <w:noProof/>
            <w:webHidden/>
          </w:rPr>
          <w:t>24</w:t>
        </w:r>
        <w:r>
          <w:rPr>
            <w:noProof/>
            <w:webHidden/>
          </w:rPr>
          <w:fldChar w:fldCharType="end"/>
        </w:r>
      </w:hyperlink>
    </w:p>
    <w:p w14:paraId="323574DE" w14:textId="5E5321A3" w:rsidR="00C019A0" w:rsidRDefault="00C019A0" w:rsidP="00C019A0">
      <w:pPr>
        <w:pStyle w:val="TOC1"/>
        <w:rPr>
          <w:rFonts w:asciiTheme="minorHAnsi" w:eastAsiaTheme="minorEastAsia" w:hAnsiTheme="minorHAnsi"/>
          <w:noProof/>
          <w:sz w:val="24"/>
          <w:lang w:val="es-ES" w:eastAsia="es-ES"/>
        </w:rPr>
      </w:pPr>
      <w:hyperlink w:anchor="_Toc219210299" w:history="1">
        <w:r w:rsidRPr="00A63DC6">
          <w:rPr>
            <w:rStyle w:val="Hyperlink"/>
            <w:noProof/>
          </w:rPr>
          <w:t>Part IV: Constructing a Statutory Provision for Access</w:t>
        </w:r>
        <w:r>
          <w:rPr>
            <w:noProof/>
            <w:webHidden/>
          </w:rPr>
          <w:tab/>
        </w:r>
        <w:r>
          <w:rPr>
            <w:noProof/>
            <w:webHidden/>
          </w:rPr>
          <w:fldChar w:fldCharType="begin"/>
        </w:r>
        <w:r>
          <w:rPr>
            <w:noProof/>
            <w:webHidden/>
          </w:rPr>
          <w:instrText xml:space="preserve"> PAGEREF _Toc219210299 \h </w:instrText>
        </w:r>
        <w:r>
          <w:rPr>
            <w:noProof/>
            <w:webHidden/>
          </w:rPr>
        </w:r>
        <w:r>
          <w:rPr>
            <w:noProof/>
            <w:webHidden/>
          </w:rPr>
          <w:fldChar w:fldCharType="separate"/>
        </w:r>
        <w:r w:rsidR="00C1075B">
          <w:rPr>
            <w:noProof/>
            <w:webHidden/>
          </w:rPr>
          <w:t>25</w:t>
        </w:r>
        <w:r>
          <w:rPr>
            <w:noProof/>
            <w:webHidden/>
          </w:rPr>
          <w:fldChar w:fldCharType="end"/>
        </w:r>
      </w:hyperlink>
    </w:p>
    <w:p w14:paraId="47D12A36" w14:textId="37900E79" w:rsidR="00C019A0" w:rsidRDefault="00C019A0" w:rsidP="00C019A0">
      <w:pPr>
        <w:pStyle w:val="TOC2"/>
        <w:rPr>
          <w:rFonts w:asciiTheme="minorHAnsi" w:eastAsiaTheme="minorEastAsia" w:hAnsiTheme="minorHAnsi"/>
          <w:noProof/>
          <w:sz w:val="24"/>
          <w:lang w:val="es-ES" w:eastAsia="es-ES"/>
        </w:rPr>
      </w:pPr>
      <w:hyperlink w:anchor="_Toc219210300" w:history="1">
        <w:r w:rsidRPr="00A63DC6">
          <w:rPr>
            <w:rStyle w:val="Hyperlink"/>
            <w:noProof/>
          </w:rPr>
          <w:t>A.</w:t>
        </w:r>
        <w:r>
          <w:rPr>
            <w:rFonts w:asciiTheme="minorHAnsi" w:eastAsiaTheme="minorEastAsia" w:hAnsiTheme="minorHAnsi"/>
            <w:noProof/>
            <w:sz w:val="24"/>
            <w:lang w:val="es-ES" w:eastAsia="es-ES"/>
          </w:rPr>
          <w:tab/>
        </w:r>
        <w:r w:rsidRPr="00A63DC6">
          <w:rPr>
            <w:rStyle w:val="Hyperlink"/>
            <w:noProof/>
          </w:rPr>
          <w:t>How to Use the Charts</w:t>
        </w:r>
        <w:r>
          <w:rPr>
            <w:noProof/>
            <w:webHidden/>
          </w:rPr>
          <w:tab/>
        </w:r>
        <w:r>
          <w:rPr>
            <w:noProof/>
            <w:webHidden/>
          </w:rPr>
          <w:fldChar w:fldCharType="begin"/>
        </w:r>
        <w:r>
          <w:rPr>
            <w:noProof/>
            <w:webHidden/>
          </w:rPr>
          <w:instrText xml:space="preserve"> PAGEREF _Toc219210300 \h </w:instrText>
        </w:r>
        <w:r>
          <w:rPr>
            <w:noProof/>
            <w:webHidden/>
          </w:rPr>
        </w:r>
        <w:r>
          <w:rPr>
            <w:noProof/>
            <w:webHidden/>
          </w:rPr>
          <w:fldChar w:fldCharType="separate"/>
        </w:r>
        <w:r w:rsidR="00C1075B">
          <w:rPr>
            <w:noProof/>
            <w:webHidden/>
          </w:rPr>
          <w:t>25</w:t>
        </w:r>
        <w:r>
          <w:rPr>
            <w:noProof/>
            <w:webHidden/>
          </w:rPr>
          <w:fldChar w:fldCharType="end"/>
        </w:r>
      </w:hyperlink>
    </w:p>
    <w:p w14:paraId="3E4D30FC" w14:textId="6574B717" w:rsidR="00C019A0" w:rsidRDefault="00C019A0" w:rsidP="00C019A0">
      <w:pPr>
        <w:pStyle w:val="TOC2"/>
        <w:rPr>
          <w:rFonts w:asciiTheme="minorHAnsi" w:eastAsiaTheme="minorEastAsia" w:hAnsiTheme="minorHAnsi"/>
          <w:noProof/>
          <w:sz w:val="24"/>
          <w:lang w:val="es-ES" w:eastAsia="es-ES"/>
        </w:rPr>
      </w:pPr>
      <w:hyperlink w:anchor="_Toc219210301" w:history="1">
        <w:r w:rsidRPr="00A63DC6">
          <w:rPr>
            <w:rStyle w:val="Hyperlink"/>
            <w:noProof/>
          </w:rPr>
          <w:t>B.</w:t>
        </w:r>
        <w:r>
          <w:rPr>
            <w:rFonts w:asciiTheme="minorHAnsi" w:eastAsiaTheme="minorEastAsia" w:hAnsiTheme="minorHAnsi"/>
            <w:noProof/>
            <w:sz w:val="24"/>
            <w:lang w:val="es-ES" w:eastAsia="es-ES"/>
          </w:rPr>
          <w:tab/>
        </w:r>
        <w:r w:rsidRPr="00A63DC6">
          <w:rPr>
            <w:rStyle w:val="Hyperlink"/>
            <w:noProof/>
          </w:rPr>
          <w:t>The Dimensions of Permitted Access</w:t>
        </w:r>
        <w:r>
          <w:rPr>
            <w:noProof/>
            <w:webHidden/>
          </w:rPr>
          <w:tab/>
        </w:r>
        <w:r>
          <w:rPr>
            <w:noProof/>
            <w:webHidden/>
          </w:rPr>
          <w:fldChar w:fldCharType="begin"/>
        </w:r>
        <w:r>
          <w:rPr>
            <w:noProof/>
            <w:webHidden/>
          </w:rPr>
          <w:instrText xml:space="preserve"> PAGEREF _Toc219210301 \h </w:instrText>
        </w:r>
        <w:r>
          <w:rPr>
            <w:noProof/>
            <w:webHidden/>
          </w:rPr>
        </w:r>
        <w:r>
          <w:rPr>
            <w:noProof/>
            <w:webHidden/>
          </w:rPr>
          <w:fldChar w:fldCharType="separate"/>
        </w:r>
        <w:r w:rsidR="00C1075B">
          <w:rPr>
            <w:noProof/>
            <w:webHidden/>
          </w:rPr>
          <w:t>25</w:t>
        </w:r>
        <w:r>
          <w:rPr>
            <w:noProof/>
            <w:webHidden/>
          </w:rPr>
          <w:fldChar w:fldCharType="end"/>
        </w:r>
      </w:hyperlink>
    </w:p>
    <w:p w14:paraId="325D0572" w14:textId="1BF48997" w:rsidR="00C019A0" w:rsidRDefault="00C019A0" w:rsidP="00C019A0">
      <w:pPr>
        <w:pStyle w:val="TOC2"/>
        <w:rPr>
          <w:rFonts w:asciiTheme="minorHAnsi" w:eastAsiaTheme="minorEastAsia" w:hAnsiTheme="minorHAnsi"/>
          <w:noProof/>
          <w:sz w:val="24"/>
          <w:lang w:val="es-ES" w:eastAsia="es-ES"/>
        </w:rPr>
      </w:pPr>
      <w:hyperlink w:anchor="_Toc219210302" w:history="1">
        <w:r w:rsidRPr="00A63DC6">
          <w:rPr>
            <w:rStyle w:val="Hyperlink"/>
            <w:noProof/>
          </w:rPr>
          <w:t>C.</w:t>
        </w:r>
        <w:r>
          <w:rPr>
            <w:rFonts w:asciiTheme="minorHAnsi" w:eastAsiaTheme="minorEastAsia" w:hAnsiTheme="minorHAnsi"/>
            <w:noProof/>
            <w:sz w:val="24"/>
            <w:lang w:val="es-ES" w:eastAsia="es-ES"/>
          </w:rPr>
          <w:tab/>
        </w:r>
        <w:r w:rsidRPr="00A63DC6">
          <w:rPr>
            <w:rStyle w:val="Hyperlink"/>
            <w:noProof/>
          </w:rPr>
          <w:t>Stages in the Charts and the Scope of Access</w:t>
        </w:r>
        <w:r>
          <w:rPr>
            <w:noProof/>
            <w:webHidden/>
          </w:rPr>
          <w:tab/>
        </w:r>
        <w:r>
          <w:rPr>
            <w:noProof/>
            <w:webHidden/>
          </w:rPr>
          <w:fldChar w:fldCharType="begin"/>
        </w:r>
        <w:r>
          <w:rPr>
            <w:noProof/>
            <w:webHidden/>
          </w:rPr>
          <w:instrText xml:space="preserve"> PAGEREF _Toc219210302 \h </w:instrText>
        </w:r>
        <w:r>
          <w:rPr>
            <w:noProof/>
            <w:webHidden/>
          </w:rPr>
        </w:r>
        <w:r>
          <w:rPr>
            <w:noProof/>
            <w:webHidden/>
          </w:rPr>
          <w:fldChar w:fldCharType="separate"/>
        </w:r>
        <w:r w:rsidR="00C1075B">
          <w:rPr>
            <w:noProof/>
            <w:webHidden/>
          </w:rPr>
          <w:t>26</w:t>
        </w:r>
        <w:r>
          <w:rPr>
            <w:noProof/>
            <w:webHidden/>
          </w:rPr>
          <w:fldChar w:fldCharType="end"/>
        </w:r>
      </w:hyperlink>
    </w:p>
    <w:p w14:paraId="35A6AE59" w14:textId="21F27F71" w:rsidR="00C019A0" w:rsidRDefault="00C019A0" w:rsidP="00C019A0">
      <w:pPr>
        <w:pStyle w:val="TOC2"/>
        <w:rPr>
          <w:rFonts w:asciiTheme="minorHAnsi" w:eastAsiaTheme="minorEastAsia" w:hAnsiTheme="minorHAnsi"/>
          <w:noProof/>
          <w:sz w:val="24"/>
          <w:lang w:val="es-ES" w:eastAsia="es-ES"/>
        </w:rPr>
      </w:pPr>
      <w:hyperlink w:anchor="_Toc219210303" w:history="1">
        <w:r w:rsidRPr="00A63DC6">
          <w:rPr>
            <w:rStyle w:val="Hyperlink"/>
            <w:noProof/>
          </w:rPr>
          <w:t>D.</w:t>
        </w:r>
        <w:r>
          <w:rPr>
            <w:rFonts w:asciiTheme="minorHAnsi" w:eastAsiaTheme="minorEastAsia" w:hAnsiTheme="minorHAnsi"/>
            <w:noProof/>
            <w:sz w:val="24"/>
            <w:lang w:val="es-ES" w:eastAsia="es-ES"/>
          </w:rPr>
          <w:tab/>
        </w:r>
        <w:r w:rsidRPr="00A63DC6">
          <w:rPr>
            <w:rStyle w:val="Hyperlink"/>
            <w:noProof/>
          </w:rPr>
          <w:t>Drafting an Example Statute</w:t>
        </w:r>
        <w:r>
          <w:rPr>
            <w:noProof/>
            <w:webHidden/>
          </w:rPr>
          <w:tab/>
        </w:r>
        <w:r>
          <w:rPr>
            <w:noProof/>
            <w:webHidden/>
          </w:rPr>
          <w:fldChar w:fldCharType="begin"/>
        </w:r>
        <w:r>
          <w:rPr>
            <w:noProof/>
            <w:webHidden/>
          </w:rPr>
          <w:instrText xml:space="preserve"> PAGEREF _Toc219210303 \h </w:instrText>
        </w:r>
        <w:r>
          <w:rPr>
            <w:noProof/>
            <w:webHidden/>
          </w:rPr>
        </w:r>
        <w:r>
          <w:rPr>
            <w:noProof/>
            <w:webHidden/>
          </w:rPr>
          <w:fldChar w:fldCharType="separate"/>
        </w:r>
        <w:r w:rsidR="00C1075B">
          <w:rPr>
            <w:noProof/>
            <w:webHidden/>
          </w:rPr>
          <w:t>27</w:t>
        </w:r>
        <w:r>
          <w:rPr>
            <w:noProof/>
            <w:webHidden/>
          </w:rPr>
          <w:fldChar w:fldCharType="end"/>
        </w:r>
      </w:hyperlink>
    </w:p>
    <w:p w14:paraId="567B4E31" w14:textId="5ABC4440" w:rsidR="00C019A0" w:rsidRDefault="00C019A0" w:rsidP="00C019A0">
      <w:pPr>
        <w:pStyle w:val="TOC1"/>
        <w:rPr>
          <w:rFonts w:asciiTheme="minorHAnsi" w:eastAsiaTheme="minorEastAsia" w:hAnsiTheme="minorHAnsi"/>
          <w:noProof/>
          <w:sz w:val="24"/>
          <w:lang w:val="es-ES" w:eastAsia="es-ES"/>
        </w:rPr>
      </w:pPr>
      <w:hyperlink w:anchor="_Toc219210304" w:history="1">
        <w:r w:rsidRPr="00A63DC6">
          <w:rPr>
            <w:rStyle w:val="Hyperlink"/>
            <w:noProof/>
          </w:rPr>
          <w:t>Part V: Conclusion</w:t>
        </w:r>
        <w:r>
          <w:rPr>
            <w:noProof/>
            <w:webHidden/>
          </w:rPr>
          <w:tab/>
        </w:r>
        <w:r>
          <w:rPr>
            <w:noProof/>
            <w:webHidden/>
          </w:rPr>
          <w:fldChar w:fldCharType="begin"/>
        </w:r>
        <w:r>
          <w:rPr>
            <w:noProof/>
            <w:webHidden/>
          </w:rPr>
          <w:instrText xml:space="preserve"> PAGEREF _Toc219210304 \h </w:instrText>
        </w:r>
        <w:r>
          <w:rPr>
            <w:noProof/>
            <w:webHidden/>
          </w:rPr>
        </w:r>
        <w:r>
          <w:rPr>
            <w:noProof/>
            <w:webHidden/>
          </w:rPr>
          <w:fldChar w:fldCharType="separate"/>
        </w:r>
        <w:r w:rsidR="00C1075B">
          <w:rPr>
            <w:noProof/>
            <w:webHidden/>
          </w:rPr>
          <w:t>30</w:t>
        </w:r>
        <w:r>
          <w:rPr>
            <w:noProof/>
            <w:webHidden/>
          </w:rPr>
          <w:fldChar w:fldCharType="end"/>
        </w:r>
      </w:hyperlink>
    </w:p>
    <w:p w14:paraId="5373A10A" w14:textId="7AF7A429" w:rsidR="00C019A0" w:rsidRDefault="00C019A0" w:rsidP="00C019A0">
      <w:pPr>
        <w:pStyle w:val="TOC1"/>
        <w:rPr>
          <w:rFonts w:asciiTheme="minorHAnsi" w:eastAsiaTheme="minorEastAsia" w:hAnsiTheme="minorHAnsi"/>
          <w:noProof/>
          <w:sz w:val="24"/>
          <w:lang w:val="es-ES" w:eastAsia="es-ES"/>
        </w:rPr>
      </w:pPr>
      <w:hyperlink w:anchor="_Toc219210305" w:history="1">
        <w:r w:rsidRPr="00A63DC6">
          <w:rPr>
            <w:rStyle w:val="Hyperlink"/>
            <w:noProof/>
          </w:rPr>
          <w:t>Appendix</w:t>
        </w:r>
        <w:r>
          <w:rPr>
            <w:noProof/>
            <w:webHidden/>
          </w:rPr>
          <w:tab/>
        </w:r>
        <w:r>
          <w:rPr>
            <w:noProof/>
            <w:webHidden/>
          </w:rPr>
          <w:fldChar w:fldCharType="begin"/>
        </w:r>
        <w:r>
          <w:rPr>
            <w:noProof/>
            <w:webHidden/>
          </w:rPr>
          <w:instrText xml:space="preserve"> PAGEREF _Toc219210305 \h </w:instrText>
        </w:r>
        <w:r>
          <w:rPr>
            <w:noProof/>
            <w:webHidden/>
          </w:rPr>
        </w:r>
        <w:r>
          <w:rPr>
            <w:noProof/>
            <w:webHidden/>
          </w:rPr>
          <w:fldChar w:fldCharType="separate"/>
        </w:r>
        <w:r w:rsidR="00C1075B">
          <w:rPr>
            <w:noProof/>
            <w:webHidden/>
          </w:rPr>
          <w:t>32</w:t>
        </w:r>
        <w:r>
          <w:rPr>
            <w:noProof/>
            <w:webHidden/>
          </w:rPr>
          <w:fldChar w:fldCharType="end"/>
        </w:r>
      </w:hyperlink>
    </w:p>
    <w:p w14:paraId="15F5E469" w14:textId="77777777" w:rsidR="00C019A0" w:rsidRDefault="00C019A0" w:rsidP="00C019A0">
      <w:pPr>
        <w:spacing w:line="240" w:lineRule="exact"/>
      </w:pPr>
      <w:r>
        <w:fldChar w:fldCharType="end"/>
      </w:r>
    </w:p>
    <w:p w14:paraId="15485994" w14:textId="77777777" w:rsidR="00C019A0" w:rsidRDefault="00C019A0" w:rsidP="00C019A0">
      <w:pPr>
        <w:spacing w:line="240" w:lineRule="exact"/>
      </w:pPr>
    </w:p>
    <w:p w14:paraId="13A1368B" w14:textId="77777777" w:rsidR="00C019A0" w:rsidRPr="002C1B40" w:rsidRDefault="00C019A0" w:rsidP="00C019A0">
      <w:pPr>
        <w:spacing w:line="240" w:lineRule="exact"/>
      </w:pPr>
    </w:p>
    <w:p w14:paraId="2AB639AE" w14:textId="77777777" w:rsidR="00C019A0" w:rsidRDefault="00C019A0" w:rsidP="00C019A0">
      <w:r>
        <w:br w:type="page"/>
      </w:r>
    </w:p>
    <w:p w14:paraId="2BCF911E" w14:textId="77777777" w:rsidR="00C019A0" w:rsidRPr="00DA6962" w:rsidRDefault="00C019A0" w:rsidP="00C019A0">
      <w:pPr>
        <w:pStyle w:val="Level1"/>
      </w:pPr>
      <w:bookmarkStart w:id="5" w:name="_Toc219210255"/>
      <w:r w:rsidRPr="00F8627C">
        <w:t>Introduction</w:t>
      </w:r>
      <w:bookmarkEnd w:id="5"/>
    </w:p>
    <w:p w14:paraId="54FEFB9F" w14:textId="77777777" w:rsidR="00C019A0" w:rsidRPr="00DA6962" w:rsidRDefault="00C019A0" w:rsidP="00C019A0">
      <w:pPr>
        <w:pStyle w:val="p1"/>
        <w:rPr>
          <w:i/>
          <w:iCs/>
          <w:sz w:val="22"/>
          <w:szCs w:val="22"/>
        </w:rPr>
      </w:pPr>
    </w:p>
    <w:p w14:paraId="5507E6CA" w14:textId="77777777" w:rsidR="00C019A0" w:rsidRPr="00DA6962" w:rsidRDefault="00C019A0" w:rsidP="00C019A0">
      <w:pPr>
        <w:pStyle w:val="Level2"/>
        <w:numPr>
          <w:ilvl w:val="0"/>
          <w:numId w:val="30"/>
        </w:numPr>
        <w:ind w:left="426" w:hanging="426"/>
      </w:pPr>
      <w:bookmarkStart w:id="6" w:name="_Toc219210256"/>
      <w:r w:rsidRPr="00DA6962">
        <w:t>The Importance of Access and Objectives of this Toolkit</w:t>
      </w:r>
      <w:bookmarkEnd w:id="6"/>
    </w:p>
    <w:p w14:paraId="2B2DC008" w14:textId="77777777" w:rsidR="00C019A0" w:rsidRPr="00DA6962" w:rsidRDefault="00C019A0" w:rsidP="00C019A0">
      <w:pPr>
        <w:pStyle w:val="p1"/>
        <w:rPr>
          <w:i/>
          <w:iCs/>
          <w:sz w:val="22"/>
          <w:szCs w:val="22"/>
        </w:rPr>
      </w:pPr>
    </w:p>
    <w:p w14:paraId="152CB4EC" w14:textId="77777777" w:rsidR="00C019A0" w:rsidRPr="00DA6962" w:rsidRDefault="00C019A0" w:rsidP="00C019A0">
      <w:pPr>
        <w:pStyle w:val="Level3"/>
      </w:pPr>
      <w:bookmarkStart w:id="7" w:name="_Toc219210257"/>
      <w:r w:rsidRPr="00DA6962">
        <w:t>Origin of the Toolkit</w:t>
      </w:r>
      <w:bookmarkEnd w:id="7"/>
    </w:p>
    <w:p w14:paraId="6F25762E" w14:textId="77777777" w:rsidR="00C019A0" w:rsidRDefault="00C019A0" w:rsidP="00C019A0">
      <w:pPr>
        <w:pStyle w:val="p1"/>
        <w:rPr>
          <w:sz w:val="22"/>
          <w:szCs w:val="22"/>
        </w:rPr>
      </w:pPr>
    </w:p>
    <w:p w14:paraId="0B33C89D" w14:textId="77777777" w:rsidR="00C019A0" w:rsidRDefault="00C019A0" w:rsidP="00C019A0">
      <w:pPr>
        <w:pStyle w:val="p1"/>
        <w:rPr>
          <w:sz w:val="22"/>
          <w:szCs w:val="22"/>
        </w:rPr>
      </w:pPr>
      <w:r w:rsidRPr="00DA6962">
        <w:rPr>
          <w:sz w:val="22"/>
          <w:szCs w:val="22"/>
        </w:rPr>
        <w:t xml:space="preserve">This toolkit on issues of access to copyrighted works, like the earlier </w:t>
      </w:r>
      <w:r w:rsidRPr="00DA6962">
        <w:rPr>
          <w:i/>
          <w:iCs/>
          <w:sz w:val="22"/>
          <w:szCs w:val="22"/>
        </w:rPr>
        <w:t>Toolkit on Preservation,</w:t>
      </w:r>
      <w:r w:rsidRPr="00DA6962">
        <w:rPr>
          <w:sz w:val="22"/>
          <w:szCs w:val="22"/>
        </w:rPr>
        <w:t xml:space="preserve"> fulfills a long-standing aim of the Standing Committee on Copyright and Related Rights (SCCR) of the World Intellectual Property Organization (WIPO) to make progress on legal and policy development enhancing access, especially </w:t>
      </w:r>
      <w:proofErr w:type="gramStart"/>
      <w:r w:rsidRPr="00DA6962">
        <w:rPr>
          <w:sz w:val="22"/>
          <w:szCs w:val="22"/>
        </w:rPr>
        <w:t>in the area of</w:t>
      </w:r>
      <w:proofErr w:type="gramEnd"/>
      <w:r w:rsidRPr="00DA6962">
        <w:rPr>
          <w:sz w:val="22"/>
          <w:szCs w:val="22"/>
        </w:rPr>
        <w:t xml:space="preserve"> cultural heritage. In 2019, WIPO organized an International Conference preceded by three Regional Seminars in Singapore, Nairobi, and Santo Domingo</w:t>
      </w:r>
      <w:r>
        <w:rPr>
          <w:rStyle w:val="EndnoteReference"/>
          <w:sz w:val="22"/>
          <w:szCs w:val="22"/>
        </w:rPr>
        <w:endnoteReference w:id="2"/>
      </w:r>
      <w:r w:rsidRPr="00DA6962">
        <w:rPr>
          <w:sz w:val="22"/>
          <w:szCs w:val="22"/>
        </w:rPr>
        <w:t xml:space="preserve">. The events achieved a satisfying level of consensus on </w:t>
      </w:r>
      <w:r w:rsidRPr="00ED2338">
        <w:rPr>
          <w:sz w:val="22"/>
          <w:szCs w:val="22"/>
        </w:rPr>
        <w:t>the need to address access modalities to worldwide cultural heritage in the digital era, given the central role of cultural heritage institutions, that is, libraries, archives, and museums, in stewarding their collection as well as in fulfilling their mission to the public.</w:t>
      </w:r>
      <w:r>
        <w:rPr>
          <w:sz w:val="22"/>
          <w:szCs w:val="22"/>
        </w:rPr>
        <w:t xml:space="preserve"> </w:t>
      </w:r>
      <w:r w:rsidRPr="00DA6962">
        <w:rPr>
          <w:sz w:val="22"/>
          <w:szCs w:val="22"/>
        </w:rPr>
        <w:t>This toolkit embodies many of the ideas that emerged during those events.</w:t>
      </w:r>
    </w:p>
    <w:p w14:paraId="5CA3D2ED" w14:textId="77777777" w:rsidR="00C019A0" w:rsidRPr="00DA6962" w:rsidRDefault="00C019A0" w:rsidP="00C019A0">
      <w:pPr>
        <w:pStyle w:val="p1"/>
        <w:rPr>
          <w:sz w:val="22"/>
          <w:szCs w:val="22"/>
        </w:rPr>
      </w:pPr>
    </w:p>
    <w:p w14:paraId="13DFA82A" w14:textId="77777777" w:rsidR="00C019A0" w:rsidRPr="00DA6962" w:rsidRDefault="00C019A0" w:rsidP="00C019A0">
      <w:pPr>
        <w:pStyle w:val="p1"/>
        <w:rPr>
          <w:sz w:val="22"/>
          <w:szCs w:val="22"/>
        </w:rPr>
      </w:pPr>
      <w:r w:rsidRPr="00DA6962">
        <w:rPr>
          <w:sz w:val="22"/>
          <w:szCs w:val="22"/>
        </w:rPr>
        <w:t>It was understood in</w:t>
      </w:r>
      <w:r>
        <w:rPr>
          <w:sz w:val="22"/>
          <w:szCs w:val="22"/>
        </w:rPr>
        <w:t xml:space="preserve"> </w:t>
      </w:r>
      <w:proofErr w:type="gramStart"/>
      <w:r>
        <w:rPr>
          <w:sz w:val="22"/>
          <w:szCs w:val="22"/>
        </w:rPr>
        <w:t>all of</w:t>
      </w:r>
      <w:proofErr w:type="gramEnd"/>
      <w:r w:rsidRPr="00DA6962">
        <w:rPr>
          <w:sz w:val="22"/>
          <w:szCs w:val="22"/>
        </w:rPr>
        <w:t xml:space="preserve"> those</w:t>
      </w:r>
      <w:r>
        <w:rPr>
          <w:sz w:val="22"/>
          <w:szCs w:val="22"/>
        </w:rPr>
        <w:t xml:space="preserve"> meetings and</w:t>
      </w:r>
      <w:r w:rsidRPr="00DA6962">
        <w:rPr>
          <w:sz w:val="22"/>
          <w:szCs w:val="22"/>
        </w:rPr>
        <w:t xml:space="preserve"> discussions that well-crafted and thoughtfully implemented exceptions and </w:t>
      </w:r>
      <w:r>
        <w:rPr>
          <w:sz w:val="22"/>
          <w:szCs w:val="22"/>
        </w:rPr>
        <w:t>underlying policies</w:t>
      </w:r>
      <w:r>
        <w:rPr>
          <w:rStyle w:val="EndnoteReference"/>
          <w:sz w:val="22"/>
          <w:szCs w:val="22"/>
        </w:rPr>
        <w:endnoteReference w:id="3"/>
      </w:r>
      <w:r w:rsidRPr="00DA6962">
        <w:rPr>
          <w:sz w:val="22"/>
          <w:szCs w:val="22"/>
        </w:rPr>
        <w:t xml:space="preserve"> would serve the public interest as well as the interests of the author</w:t>
      </w:r>
      <w:r>
        <w:rPr>
          <w:sz w:val="22"/>
          <w:szCs w:val="22"/>
        </w:rPr>
        <w:t>s</w:t>
      </w:r>
      <w:r w:rsidRPr="00DA6962">
        <w:rPr>
          <w:sz w:val="22"/>
          <w:szCs w:val="22"/>
        </w:rPr>
        <w:t>, creator</w:t>
      </w:r>
      <w:r>
        <w:rPr>
          <w:sz w:val="22"/>
          <w:szCs w:val="22"/>
        </w:rPr>
        <w:t>s</w:t>
      </w:r>
      <w:r w:rsidRPr="00DA6962">
        <w:rPr>
          <w:sz w:val="22"/>
          <w:szCs w:val="22"/>
        </w:rPr>
        <w:t>, or rightsholder</w:t>
      </w:r>
      <w:r>
        <w:rPr>
          <w:sz w:val="22"/>
          <w:szCs w:val="22"/>
        </w:rPr>
        <w:t>s</w:t>
      </w:r>
      <w:r w:rsidRPr="00DA6962">
        <w:rPr>
          <w:sz w:val="22"/>
          <w:szCs w:val="22"/>
        </w:rPr>
        <w:t xml:space="preserve"> to safeguard the world’s cultural heritage for continued use by current and future generations</w:t>
      </w:r>
      <w:r>
        <w:rPr>
          <w:sz w:val="22"/>
          <w:szCs w:val="22"/>
        </w:rPr>
        <w:t xml:space="preserve">. Many of those beneficial uses </w:t>
      </w:r>
      <w:r w:rsidRPr="00DA6962">
        <w:rPr>
          <w:sz w:val="22"/>
          <w:szCs w:val="22"/>
        </w:rPr>
        <w:t>would otherwise be made impossible by the loss or deterioration of the original. However</w:t>
      </w:r>
      <w:r w:rsidRPr="002B4700">
        <w:rPr>
          <w:sz w:val="22"/>
          <w:szCs w:val="22"/>
        </w:rPr>
        <w:t xml:space="preserve">, </w:t>
      </w:r>
      <w:r w:rsidRPr="00444A30">
        <w:rPr>
          <w:sz w:val="22"/>
          <w:szCs w:val="22"/>
        </w:rPr>
        <w:t xml:space="preserve">copying </w:t>
      </w:r>
      <w:r>
        <w:rPr>
          <w:sz w:val="22"/>
          <w:szCs w:val="22"/>
        </w:rPr>
        <w:t>and other uses are</w:t>
      </w:r>
      <w:r w:rsidRPr="00444A30">
        <w:rPr>
          <w:sz w:val="22"/>
          <w:szCs w:val="22"/>
        </w:rPr>
        <w:t xml:space="preserve"> most often undertaken in a library, archive, or museum with the understanding not just to preserve the original work, but to enable access to it, whether for research, exhibition, </w:t>
      </w:r>
      <w:r w:rsidRPr="00A72E64">
        <w:rPr>
          <w:sz w:val="22"/>
          <w:szCs w:val="22"/>
        </w:rPr>
        <w:t>education,</w:t>
      </w:r>
      <w:r w:rsidRPr="00444A30">
        <w:rPr>
          <w:sz w:val="22"/>
          <w:szCs w:val="22"/>
        </w:rPr>
        <w:t xml:space="preserve"> or other means of serving the public interest</w:t>
      </w:r>
      <w:r w:rsidRPr="002B4700">
        <w:rPr>
          <w:sz w:val="22"/>
          <w:szCs w:val="22"/>
        </w:rPr>
        <w:t xml:space="preserve">. This toolkit examines the </w:t>
      </w:r>
      <w:r w:rsidRPr="00444A30">
        <w:rPr>
          <w:sz w:val="22"/>
          <w:szCs w:val="22"/>
        </w:rPr>
        <w:t>statutory means by which access may be enabled</w:t>
      </w:r>
      <w:r w:rsidRPr="002B4700">
        <w:rPr>
          <w:sz w:val="22"/>
          <w:szCs w:val="22"/>
        </w:rPr>
        <w:t xml:space="preserve">, and the risk mitigation techniques (whether statutory, technical, </w:t>
      </w:r>
      <w:r>
        <w:rPr>
          <w:sz w:val="22"/>
          <w:szCs w:val="22"/>
        </w:rPr>
        <w:t>or</w:t>
      </w:r>
      <w:r w:rsidRPr="002B4700">
        <w:rPr>
          <w:sz w:val="22"/>
          <w:szCs w:val="22"/>
        </w:rPr>
        <w:t xml:space="preserve"> contractual) that may be</w:t>
      </w:r>
      <w:r w:rsidRPr="00DA6962">
        <w:rPr>
          <w:sz w:val="22"/>
          <w:szCs w:val="22"/>
        </w:rPr>
        <w:t xml:space="preserve"> employed </w:t>
      </w:r>
      <w:r>
        <w:rPr>
          <w:sz w:val="22"/>
          <w:szCs w:val="22"/>
        </w:rPr>
        <w:t xml:space="preserve">by and </w:t>
      </w:r>
      <w:r w:rsidRPr="00DA6962">
        <w:rPr>
          <w:sz w:val="22"/>
          <w:szCs w:val="22"/>
        </w:rPr>
        <w:t>for the benefit of cultural heritage institutions, the public they serve, and the rightsholders who may be affected.</w:t>
      </w:r>
    </w:p>
    <w:p w14:paraId="0643137A" w14:textId="77777777" w:rsidR="00C019A0" w:rsidRPr="00DA6962" w:rsidRDefault="00C019A0" w:rsidP="00C019A0">
      <w:pPr>
        <w:pStyle w:val="p1"/>
        <w:rPr>
          <w:sz w:val="22"/>
          <w:szCs w:val="22"/>
        </w:rPr>
      </w:pPr>
    </w:p>
    <w:p w14:paraId="564ED5FB" w14:textId="77777777" w:rsidR="00C019A0" w:rsidRPr="00DA6962" w:rsidRDefault="00C019A0" w:rsidP="00C019A0">
      <w:pPr>
        <w:pStyle w:val="p1"/>
        <w:rPr>
          <w:sz w:val="22"/>
          <w:szCs w:val="22"/>
        </w:rPr>
      </w:pPr>
      <w:r w:rsidRPr="00826987">
        <w:rPr>
          <w:sz w:val="22"/>
          <w:szCs w:val="22"/>
        </w:rPr>
        <w:t xml:space="preserve">The drafting of a copyright statute pursuant to this toolkit would necessarily take into consideration the domestic copyright law of the Member State as well as the </w:t>
      </w:r>
      <w:r>
        <w:rPr>
          <w:sz w:val="22"/>
          <w:szCs w:val="22"/>
        </w:rPr>
        <w:t>t</w:t>
      </w:r>
      <w:r w:rsidRPr="00826987">
        <w:rPr>
          <w:sz w:val="22"/>
          <w:szCs w:val="22"/>
        </w:rPr>
        <w:t>hree-</w:t>
      </w:r>
      <w:r>
        <w:rPr>
          <w:sz w:val="22"/>
          <w:szCs w:val="22"/>
        </w:rPr>
        <w:t>s</w:t>
      </w:r>
      <w:r w:rsidRPr="00826987">
        <w:rPr>
          <w:sz w:val="22"/>
          <w:szCs w:val="22"/>
        </w:rPr>
        <w:t xml:space="preserve">tep </w:t>
      </w:r>
      <w:r>
        <w:rPr>
          <w:sz w:val="22"/>
          <w:szCs w:val="22"/>
        </w:rPr>
        <w:t>t</w:t>
      </w:r>
      <w:r w:rsidRPr="00826987">
        <w:rPr>
          <w:sz w:val="22"/>
          <w:szCs w:val="22"/>
        </w:rPr>
        <w:t>est and other relevant provisions of international instruments, most notably the Berne Convention for the Protection of Literary and Artistic Works.</w:t>
      </w:r>
      <w:r w:rsidRPr="00DA6962">
        <w:rPr>
          <w:sz w:val="22"/>
          <w:szCs w:val="22"/>
        </w:rPr>
        <w:t xml:space="preserve"> These points are addressed more fully later in this toolkit.</w:t>
      </w:r>
    </w:p>
    <w:p w14:paraId="2973F3E6" w14:textId="77777777" w:rsidR="00C019A0" w:rsidRPr="00DA6962" w:rsidRDefault="00C019A0" w:rsidP="00C019A0">
      <w:pPr>
        <w:pStyle w:val="p1"/>
        <w:rPr>
          <w:i/>
          <w:iCs/>
          <w:sz w:val="22"/>
          <w:szCs w:val="22"/>
        </w:rPr>
      </w:pPr>
    </w:p>
    <w:p w14:paraId="60607FBE" w14:textId="77777777" w:rsidR="00C019A0" w:rsidRPr="00DA6962" w:rsidRDefault="00C019A0" w:rsidP="00C019A0">
      <w:pPr>
        <w:pStyle w:val="Level3"/>
      </w:pPr>
      <w:bookmarkStart w:id="8" w:name="_Toc219210258"/>
      <w:r w:rsidRPr="00DA6962">
        <w:t>Assistance for Law</w:t>
      </w:r>
      <w:r>
        <w:t>m</w:t>
      </w:r>
      <w:r w:rsidRPr="00DA6962">
        <w:t>akers and Cultural Heritage Professionals</w:t>
      </w:r>
      <w:bookmarkEnd w:id="8"/>
    </w:p>
    <w:p w14:paraId="711176E9" w14:textId="77777777" w:rsidR="00C019A0" w:rsidRDefault="00C019A0" w:rsidP="00C019A0">
      <w:pPr>
        <w:pStyle w:val="p1"/>
        <w:rPr>
          <w:sz w:val="22"/>
          <w:szCs w:val="22"/>
        </w:rPr>
      </w:pPr>
    </w:p>
    <w:p w14:paraId="460BAF25" w14:textId="77777777" w:rsidR="00C019A0" w:rsidRDefault="00C019A0" w:rsidP="00C019A0">
      <w:pPr>
        <w:pStyle w:val="p1"/>
        <w:rPr>
          <w:sz w:val="22"/>
          <w:szCs w:val="22"/>
        </w:rPr>
      </w:pPr>
      <w:r w:rsidRPr="00DA6962">
        <w:rPr>
          <w:sz w:val="22"/>
          <w:szCs w:val="22"/>
        </w:rPr>
        <w:t>The</w:t>
      </w:r>
      <w:r>
        <w:rPr>
          <w:sz w:val="22"/>
          <w:szCs w:val="22"/>
        </w:rPr>
        <w:t xml:space="preserve"> leading function of this</w:t>
      </w:r>
      <w:r w:rsidRPr="00DA6962">
        <w:rPr>
          <w:sz w:val="22"/>
          <w:szCs w:val="22"/>
        </w:rPr>
        <w:t xml:space="preserve"> toolkit is to help lawmakers</w:t>
      </w:r>
      <w:r>
        <w:rPr>
          <w:sz w:val="22"/>
          <w:szCs w:val="22"/>
        </w:rPr>
        <w:t xml:space="preserve"> </w:t>
      </w:r>
      <w:r w:rsidRPr="00B42D15">
        <w:rPr>
          <w:sz w:val="22"/>
          <w:szCs w:val="22"/>
        </w:rPr>
        <w:t>and policymakers draft new or revised copyright legislation</w:t>
      </w:r>
      <w:r>
        <w:rPr>
          <w:sz w:val="22"/>
          <w:szCs w:val="22"/>
        </w:rPr>
        <w:t>.</w:t>
      </w:r>
      <w:r w:rsidRPr="00B42D15">
        <w:rPr>
          <w:sz w:val="22"/>
          <w:szCs w:val="22"/>
        </w:rPr>
        <w:t xml:space="preserve"> </w:t>
      </w:r>
      <w:r w:rsidRPr="0002666E">
        <w:rPr>
          <w:sz w:val="22"/>
          <w:szCs w:val="22"/>
        </w:rPr>
        <w:t xml:space="preserve">This </w:t>
      </w:r>
      <w:r>
        <w:rPr>
          <w:sz w:val="22"/>
          <w:szCs w:val="22"/>
        </w:rPr>
        <w:t xml:space="preserve">toolkit </w:t>
      </w:r>
      <w:r w:rsidRPr="0002666E">
        <w:rPr>
          <w:sz w:val="22"/>
          <w:szCs w:val="22"/>
        </w:rPr>
        <w:t xml:space="preserve">will help address </w:t>
      </w:r>
      <w:r>
        <w:rPr>
          <w:sz w:val="22"/>
          <w:szCs w:val="22"/>
        </w:rPr>
        <w:t>innovative</w:t>
      </w:r>
      <w:r w:rsidRPr="0002666E">
        <w:rPr>
          <w:sz w:val="22"/>
          <w:szCs w:val="22"/>
        </w:rPr>
        <w:t xml:space="preserve"> ways to provide access </w:t>
      </w:r>
      <w:proofErr w:type="gramStart"/>
      <w:r>
        <w:rPr>
          <w:sz w:val="22"/>
          <w:szCs w:val="22"/>
        </w:rPr>
        <w:t>with</w:t>
      </w:r>
      <w:proofErr w:type="gramEnd"/>
      <w:r>
        <w:rPr>
          <w:sz w:val="22"/>
          <w:szCs w:val="22"/>
        </w:rPr>
        <w:t xml:space="preserve"> the advantages of digital </w:t>
      </w:r>
      <w:proofErr w:type="gramStart"/>
      <w:r>
        <w:rPr>
          <w:sz w:val="22"/>
          <w:szCs w:val="22"/>
        </w:rPr>
        <w:t>technologies,</w:t>
      </w:r>
      <w:r w:rsidRPr="0002666E">
        <w:rPr>
          <w:sz w:val="22"/>
          <w:szCs w:val="22"/>
        </w:rPr>
        <w:t> and</w:t>
      </w:r>
      <w:proofErr w:type="gramEnd"/>
      <w:r w:rsidRPr="0002666E">
        <w:rPr>
          <w:sz w:val="22"/>
          <w:szCs w:val="22"/>
        </w:rPr>
        <w:t xml:space="preserve"> especially </w:t>
      </w:r>
      <w:r>
        <w:rPr>
          <w:sz w:val="22"/>
          <w:szCs w:val="22"/>
        </w:rPr>
        <w:t>address new means for</w:t>
      </w:r>
      <w:r w:rsidRPr="0002666E">
        <w:rPr>
          <w:sz w:val="22"/>
          <w:szCs w:val="22"/>
        </w:rPr>
        <w:t xml:space="preserve"> manag</w:t>
      </w:r>
      <w:r>
        <w:rPr>
          <w:sz w:val="22"/>
          <w:szCs w:val="22"/>
        </w:rPr>
        <w:t>ing</w:t>
      </w:r>
      <w:r w:rsidRPr="0002666E">
        <w:rPr>
          <w:sz w:val="22"/>
          <w:szCs w:val="22"/>
        </w:rPr>
        <w:t xml:space="preserve"> questions</w:t>
      </w:r>
      <w:r>
        <w:rPr>
          <w:sz w:val="22"/>
          <w:szCs w:val="22"/>
        </w:rPr>
        <w:t xml:space="preserve"> </w:t>
      </w:r>
      <w:r w:rsidRPr="0002666E">
        <w:rPr>
          <w:sz w:val="22"/>
          <w:szCs w:val="22"/>
        </w:rPr>
        <w:t>related to navigat</w:t>
      </w:r>
      <w:r>
        <w:rPr>
          <w:sz w:val="22"/>
          <w:szCs w:val="22"/>
        </w:rPr>
        <w:t>ing</w:t>
      </w:r>
      <w:r w:rsidRPr="0002666E">
        <w:rPr>
          <w:sz w:val="22"/>
          <w:szCs w:val="22"/>
        </w:rPr>
        <w:t> this </w:t>
      </w:r>
      <w:r>
        <w:rPr>
          <w:sz w:val="22"/>
          <w:szCs w:val="22"/>
        </w:rPr>
        <w:t xml:space="preserve">rapidly evolving </w:t>
      </w:r>
      <w:r w:rsidRPr="0002666E">
        <w:rPr>
          <w:sz w:val="22"/>
          <w:szCs w:val="22"/>
        </w:rPr>
        <w:t>landscape</w:t>
      </w:r>
      <w:r>
        <w:rPr>
          <w:sz w:val="22"/>
          <w:szCs w:val="22"/>
        </w:rPr>
        <w:t>. The guidance in this toolkit carefully</w:t>
      </w:r>
      <w:r w:rsidRPr="0002666E">
        <w:rPr>
          <w:sz w:val="22"/>
          <w:szCs w:val="22"/>
        </w:rPr>
        <w:t xml:space="preserve"> balanc</w:t>
      </w:r>
      <w:r>
        <w:rPr>
          <w:sz w:val="22"/>
          <w:szCs w:val="22"/>
        </w:rPr>
        <w:t>es</w:t>
      </w:r>
      <w:r w:rsidRPr="0002666E">
        <w:rPr>
          <w:sz w:val="22"/>
          <w:szCs w:val="22"/>
        </w:rPr>
        <w:t xml:space="preserve"> the need for public availability with the ethical, legal, and practical considerations tied to conservation, copyright, and stewardship.</w:t>
      </w:r>
    </w:p>
    <w:p w14:paraId="494B0ADD" w14:textId="77777777" w:rsidR="00C019A0" w:rsidRPr="00DA6962" w:rsidRDefault="00C019A0" w:rsidP="00C019A0">
      <w:pPr>
        <w:pStyle w:val="p1"/>
        <w:rPr>
          <w:sz w:val="22"/>
          <w:szCs w:val="22"/>
        </w:rPr>
      </w:pPr>
    </w:p>
    <w:p w14:paraId="5EEC93C1" w14:textId="77777777" w:rsidR="00C019A0" w:rsidRDefault="00C019A0" w:rsidP="00C019A0">
      <w:pPr>
        <w:pStyle w:val="p1"/>
        <w:rPr>
          <w:sz w:val="22"/>
          <w:szCs w:val="22"/>
        </w:rPr>
      </w:pPr>
      <w:r w:rsidRPr="00DA6962">
        <w:rPr>
          <w:sz w:val="22"/>
          <w:szCs w:val="22"/>
        </w:rPr>
        <w:t>The toolkit is also meant to be practical and meaningful to multiple audiences, including cultural heritage professionals, policy experts, and others who will be providing input and advising lawmakers.</w:t>
      </w:r>
      <w:r>
        <w:rPr>
          <w:sz w:val="22"/>
          <w:szCs w:val="22"/>
        </w:rPr>
        <w:t xml:space="preserve"> </w:t>
      </w:r>
      <w:r w:rsidRPr="00DA6962">
        <w:rPr>
          <w:sz w:val="22"/>
          <w:szCs w:val="22"/>
        </w:rPr>
        <w:t xml:space="preserve">It describes the rationale and the need for </w:t>
      </w:r>
      <w:r w:rsidRPr="00444A30">
        <w:rPr>
          <w:sz w:val="22"/>
          <w:szCs w:val="22"/>
        </w:rPr>
        <w:t>limitations and exceptions, licensing, and liability mitigation techniques that facilitate access to copyright-protected materials found in collections</w:t>
      </w:r>
      <w:r w:rsidRPr="002B4700">
        <w:rPr>
          <w:sz w:val="22"/>
          <w:szCs w:val="22"/>
        </w:rPr>
        <w:t xml:space="preserve">. It also surveys a </w:t>
      </w:r>
      <w:r w:rsidRPr="00444A30">
        <w:rPr>
          <w:sz w:val="22"/>
          <w:szCs w:val="22"/>
        </w:rPr>
        <w:t>range of factors</w:t>
      </w:r>
      <w:r w:rsidRPr="002B4700">
        <w:rPr>
          <w:sz w:val="22"/>
          <w:szCs w:val="22"/>
        </w:rPr>
        <w:t xml:space="preserve"> which legislators</w:t>
      </w:r>
      <w:r w:rsidRPr="00DA6962">
        <w:rPr>
          <w:sz w:val="22"/>
          <w:szCs w:val="22"/>
        </w:rPr>
        <w:t xml:space="preserve">, cultural heritage professionals, rightsholders, and </w:t>
      </w:r>
      <w:r>
        <w:rPr>
          <w:sz w:val="22"/>
          <w:szCs w:val="22"/>
        </w:rPr>
        <w:t>other interested parties</w:t>
      </w:r>
      <w:r w:rsidRPr="00DA6962">
        <w:rPr>
          <w:sz w:val="22"/>
          <w:szCs w:val="22"/>
        </w:rPr>
        <w:t xml:space="preserve"> may </w:t>
      </w:r>
      <w:proofErr w:type="gramStart"/>
      <w:r w:rsidRPr="00DA6962">
        <w:rPr>
          <w:sz w:val="22"/>
          <w:szCs w:val="22"/>
        </w:rPr>
        <w:t>take into account</w:t>
      </w:r>
      <w:proofErr w:type="gramEnd"/>
      <w:r w:rsidRPr="00DA6962">
        <w:rPr>
          <w:sz w:val="22"/>
          <w:szCs w:val="22"/>
        </w:rPr>
        <w:t xml:space="preserve"> in their professional pursuits.</w:t>
      </w:r>
    </w:p>
    <w:p w14:paraId="34ED3A4A" w14:textId="77777777" w:rsidR="00C019A0" w:rsidRDefault="00C019A0" w:rsidP="00C019A0">
      <w:pPr>
        <w:pStyle w:val="p1"/>
        <w:rPr>
          <w:sz w:val="22"/>
          <w:szCs w:val="22"/>
        </w:rPr>
      </w:pPr>
    </w:p>
    <w:p w14:paraId="0BE2074C" w14:textId="77777777" w:rsidR="00C019A0" w:rsidRPr="00DA6962" w:rsidRDefault="00C019A0" w:rsidP="00C019A0">
      <w:pPr>
        <w:pStyle w:val="p1"/>
        <w:rPr>
          <w:sz w:val="22"/>
          <w:szCs w:val="22"/>
        </w:rPr>
      </w:pPr>
      <w:r>
        <w:rPr>
          <w:sz w:val="22"/>
          <w:szCs w:val="22"/>
        </w:rPr>
        <w:t>A</w:t>
      </w:r>
      <w:r w:rsidRPr="00A71E3D">
        <w:rPr>
          <w:sz w:val="22"/>
          <w:szCs w:val="22"/>
        </w:rPr>
        <w:t>ccess may be affected by many other legal conditions other than copyright, including personal safety, confidentiality, privacy, and national or governmental security restrictions. Significant in some countries is the</w:t>
      </w:r>
      <w:r>
        <w:rPr>
          <w:sz w:val="22"/>
          <w:szCs w:val="22"/>
        </w:rPr>
        <w:t xml:space="preserve"> distinct</w:t>
      </w:r>
      <w:r w:rsidRPr="00A71E3D">
        <w:rPr>
          <w:sz w:val="22"/>
          <w:szCs w:val="22"/>
        </w:rPr>
        <w:t xml:space="preserve"> body of law protecting works of cultural heritage</w:t>
      </w:r>
      <w:r>
        <w:rPr>
          <w:sz w:val="22"/>
          <w:szCs w:val="22"/>
        </w:rPr>
        <w:t>, separate and apart from the law of copyright</w:t>
      </w:r>
      <w:r w:rsidRPr="00A71E3D">
        <w:rPr>
          <w:sz w:val="22"/>
          <w:szCs w:val="22"/>
        </w:rPr>
        <w:t xml:space="preserve">. </w:t>
      </w:r>
      <w:r>
        <w:rPr>
          <w:sz w:val="22"/>
          <w:szCs w:val="22"/>
        </w:rPr>
        <w:t>Although these</w:t>
      </w:r>
      <w:r w:rsidRPr="00A71E3D">
        <w:rPr>
          <w:sz w:val="22"/>
          <w:szCs w:val="22"/>
        </w:rPr>
        <w:t xml:space="preserve"> legal issues deserve greater attention</w:t>
      </w:r>
      <w:r>
        <w:rPr>
          <w:sz w:val="22"/>
          <w:szCs w:val="22"/>
        </w:rPr>
        <w:t>,</w:t>
      </w:r>
      <w:r w:rsidRPr="00A71E3D">
        <w:rPr>
          <w:sz w:val="22"/>
          <w:szCs w:val="22"/>
        </w:rPr>
        <w:t xml:space="preserve"> this toolkit centers on copyright</w:t>
      </w:r>
      <w:r>
        <w:rPr>
          <w:sz w:val="22"/>
          <w:szCs w:val="22"/>
        </w:rPr>
        <w:t xml:space="preserve">. Copyright law (similarly, the associated “neighboring rights”) applies broadly to many different original works, and copyright is the subject of multiple major international treaties and other instruments administered by WIPO. </w:t>
      </w:r>
    </w:p>
    <w:p w14:paraId="793E9CFD" w14:textId="77777777" w:rsidR="00C019A0" w:rsidRDefault="00C019A0" w:rsidP="00C019A0">
      <w:pPr>
        <w:pStyle w:val="p1"/>
        <w:rPr>
          <w:sz w:val="22"/>
          <w:szCs w:val="22"/>
        </w:rPr>
      </w:pPr>
    </w:p>
    <w:p w14:paraId="72198075" w14:textId="77777777" w:rsidR="00C019A0" w:rsidRPr="00DA6962" w:rsidRDefault="00C019A0" w:rsidP="00C019A0">
      <w:pPr>
        <w:pStyle w:val="Level3"/>
      </w:pPr>
      <w:bookmarkStart w:id="9" w:name="_Toc219210259"/>
      <w:r w:rsidRPr="00DA6962">
        <w:t xml:space="preserve">Meeting the Requirement of the </w:t>
      </w:r>
      <w:r>
        <w:t>Three-Step Test</w:t>
      </w:r>
      <w:bookmarkEnd w:id="9"/>
    </w:p>
    <w:p w14:paraId="5761EDBB" w14:textId="77777777" w:rsidR="00C019A0" w:rsidRDefault="00C019A0" w:rsidP="00C019A0">
      <w:pPr>
        <w:pStyle w:val="p1"/>
        <w:rPr>
          <w:sz w:val="22"/>
          <w:szCs w:val="22"/>
        </w:rPr>
      </w:pPr>
    </w:p>
    <w:p w14:paraId="62EA080E" w14:textId="77777777" w:rsidR="00C019A0" w:rsidRPr="00DA6962" w:rsidRDefault="00C019A0" w:rsidP="00C019A0">
      <w:pPr>
        <w:pStyle w:val="p1"/>
        <w:rPr>
          <w:sz w:val="22"/>
          <w:szCs w:val="22"/>
        </w:rPr>
      </w:pPr>
      <w:r w:rsidRPr="00DA6962">
        <w:rPr>
          <w:sz w:val="22"/>
          <w:szCs w:val="22"/>
        </w:rPr>
        <w:t xml:space="preserve">The domestic copyright law of most countries is shaped substantially by the obligations of various multinational agreements. The </w:t>
      </w:r>
      <w:r w:rsidRPr="00EA7C2D">
        <w:rPr>
          <w:i/>
          <w:iCs/>
          <w:sz w:val="22"/>
          <w:szCs w:val="22"/>
        </w:rPr>
        <w:t xml:space="preserve">Berne Convention </w:t>
      </w:r>
      <w:r w:rsidRPr="00DA6962">
        <w:rPr>
          <w:sz w:val="22"/>
          <w:szCs w:val="22"/>
        </w:rPr>
        <w:t xml:space="preserve">is the leading multinational instrument on copyright law, and it provides that </w:t>
      </w:r>
      <w:r>
        <w:rPr>
          <w:sz w:val="22"/>
          <w:szCs w:val="22"/>
        </w:rPr>
        <w:t>Member State</w:t>
      </w:r>
      <w:r w:rsidRPr="00DA6962">
        <w:rPr>
          <w:sz w:val="22"/>
          <w:szCs w:val="22"/>
        </w:rPr>
        <w:t>s may enact statutory exceptions to the rights of copyright owners. The statutory exceptions that result from this toolkit are examples of such exceptions. Those exceptions must be drafted in a manner that conforms to the requirements specified in Article 9(2) of the Berne Convention widely known as the “</w:t>
      </w:r>
      <w:r>
        <w:rPr>
          <w:sz w:val="22"/>
          <w:szCs w:val="22"/>
        </w:rPr>
        <w:t>t</w:t>
      </w:r>
      <w:r w:rsidRPr="00DA6962">
        <w:rPr>
          <w:sz w:val="22"/>
          <w:szCs w:val="22"/>
        </w:rPr>
        <w:t>hree-</w:t>
      </w:r>
      <w:r>
        <w:rPr>
          <w:sz w:val="22"/>
          <w:szCs w:val="22"/>
        </w:rPr>
        <w:t>s</w:t>
      </w:r>
      <w:r w:rsidRPr="00DA6962">
        <w:rPr>
          <w:sz w:val="22"/>
          <w:szCs w:val="22"/>
        </w:rPr>
        <w:t xml:space="preserve">tep </w:t>
      </w:r>
      <w:r>
        <w:rPr>
          <w:sz w:val="22"/>
          <w:szCs w:val="22"/>
        </w:rPr>
        <w:t>t</w:t>
      </w:r>
      <w:r w:rsidRPr="00DA6962">
        <w:rPr>
          <w:sz w:val="22"/>
          <w:szCs w:val="22"/>
        </w:rPr>
        <w:t xml:space="preserve">est.” </w:t>
      </w:r>
      <w:r>
        <w:rPr>
          <w:sz w:val="22"/>
          <w:szCs w:val="22"/>
        </w:rPr>
        <w:t>Member State</w:t>
      </w:r>
      <w:r w:rsidRPr="00DA6962">
        <w:rPr>
          <w:sz w:val="22"/>
          <w:szCs w:val="22"/>
        </w:rPr>
        <w:t>s that utilize</w:t>
      </w:r>
      <w:r>
        <w:rPr>
          <w:sz w:val="22"/>
          <w:szCs w:val="22"/>
        </w:rPr>
        <w:t xml:space="preserve"> </w:t>
      </w:r>
      <w:r w:rsidRPr="00DA6962">
        <w:rPr>
          <w:sz w:val="22"/>
          <w:szCs w:val="22"/>
        </w:rPr>
        <w:t xml:space="preserve">this toolkit to guide their drafting of statutory exceptions for access will be able to satisfy the requirements of the </w:t>
      </w:r>
      <w:r>
        <w:rPr>
          <w:sz w:val="22"/>
          <w:szCs w:val="22"/>
        </w:rPr>
        <w:t>t</w:t>
      </w:r>
      <w:r w:rsidRPr="00DA6962">
        <w:rPr>
          <w:sz w:val="22"/>
          <w:szCs w:val="22"/>
        </w:rPr>
        <w:t>hree-</w:t>
      </w:r>
      <w:r>
        <w:rPr>
          <w:sz w:val="22"/>
          <w:szCs w:val="22"/>
        </w:rPr>
        <w:t>s</w:t>
      </w:r>
      <w:r w:rsidRPr="00DA6962">
        <w:rPr>
          <w:sz w:val="22"/>
          <w:szCs w:val="22"/>
        </w:rPr>
        <w:t xml:space="preserve">tep </w:t>
      </w:r>
      <w:r>
        <w:rPr>
          <w:sz w:val="22"/>
          <w:szCs w:val="22"/>
        </w:rPr>
        <w:t>t</w:t>
      </w:r>
      <w:r w:rsidRPr="00DA6962">
        <w:rPr>
          <w:sz w:val="22"/>
          <w:szCs w:val="22"/>
        </w:rPr>
        <w:t xml:space="preserve">est. The </w:t>
      </w:r>
      <w:r>
        <w:rPr>
          <w:sz w:val="22"/>
          <w:szCs w:val="22"/>
        </w:rPr>
        <w:t>t</w:t>
      </w:r>
      <w:r w:rsidRPr="00DA6962">
        <w:rPr>
          <w:sz w:val="22"/>
          <w:szCs w:val="22"/>
        </w:rPr>
        <w:t>hree</w:t>
      </w:r>
      <w:r>
        <w:rPr>
          <w:sz w:val="22"/>
          <w:szCs w:val="22"/>
        </w:rPr>
        <w:noBreakHyphen/>
        <w:t>s</w:t>
      </w:r>
      <w:r w:rsidRPr="00DA6962">
        <w:rPr>
          <w:sz w:val="22"/>
          <w:szCs w:val="22"/>
        </w:rPr>
        <w:t xml:space="preserve">tep </w:t>
      </w:r>
      <w:r>
        <w:rPr>
          <w:sz w:val="22"/>
          <w:szCs w:val="22"/>
        </w:rPr>
        <w:t>t</w:t>
      </w:r>
      <w:r w:rsidRPr="00DA6962">
        <w:rPr>
          <w:sz w:val="22"/>
          <w:szCs w:val="22"/>
        </w:rPr>
        <w:t>est provides in full: “It shall be a matter for legislation in the countries of the [Berne] Union to permit the reproduction of such works in certain special cases, provided that such reproduction does not conflict with a normal exploitation of the work and does not unreasonably prejudice the legitimate interests of the author.”</w:t>
      </w:r>
      <w:r>
        <w:rPr>
          <w:rStyle w:val="EndnoteReference"/>
          <w:sz w:val="22"/>
          <w:szCs w:val="22"/>
        </w:rPr>
        <w:endnoteReference w:id="4"/>
      </w:r>
    </w:p>
    <w:p w14:paraId="4743FB38" w14:textId="77777777" w:rsidR="00C019A0" w:rsidRPr="00DA6962" w:rsidRDefault="00C019A0" w:rsidP="00C019A0">
      <w:pPr>
        <w:pStyle w:val="p1"/>
        <w:rPr>
          <w:sz w:val="22"/>
          <w:szCs w:val="22"/>
        </w:rPr>
      </w:pPr>
    </w:p>
    <w:p w14:paraId="16097008" w14:textId="77777777" w:rsidR="00C019A0" w:rsidRPr="002B4700" w:rsidRDefault="00C019A0" w:rsidP="00C019A0">
      <w:pPr>
        <w:pStyle w:val="p1"/>
        <w:rPr>
          <w:sz w:val="22"/>
          <w:szCs w:val="22"/>
        </w:rPr>
      </w:pPr>
      <w:r w:rsidRPr="00DA6962">
        <w:rPr>
          <w:sz w:val="22"/>
          <w:szCs w:val="22"/>
        </w:rPr>
        <w:t xml:space="preserve">The </w:t>
      </w:r>
      <w:r>
        <w:rPr>
          <w:sz w:val="22"/>
          <w:szCs w:val="22"/>
        </w:rPr>
        <w:t>three-step test</w:t>
      </w:r>
      <w:r w:rsidRPr="00DA6962">
        <w:rPr>
          <w:sz w:val="22"/>
          <w:szCs w:val="22"/>
        </w:rPr>
        <w:t xml:space="preserve"> defines the parameters of allowable exceptions, and it does so with flexible language that may be adapted to new needs and changing circumstances. Some </w:t>
      </w:r>
      <w:r>
        <w:rPr>
          <w:sz w:val="22"/>
          <w:szCs w:val="22"/>
        </w:rPr>
        <w:t>Member State</w:t>
      </w:r>
      <w:r w:rsidRPr="00DA6962">
        <w:rPr>
          <w:sz w:val="22"/>
          <w:szCs w:val="22"/>
        </w:rPr>
        <w:t xml:space="preserve">s include wording from the test in their statutory exceptions, but more typically a statutory exception conforms to the </w:t>
      </w:r>
      <w:r>
        <w:rPr>
          <w:sz w:val="22"/>
          <w:szCs w:val="22"/>
        </w:rPr>
        <w:t>t</w:t>
      </w:r>
      <w:r w:rsidRPr="00DA6962">
        <w:rPr>
          <w:sz w:val="22"/>
          <w:szCs w:val="22"/>
        </w:rPr>
        <w:t>hree-</w:t>
      </w:r>
      <w:r>
        <w:rPr>
          <w:sz w:val="22"/>
          <w:szCs w:val="22"/>
        </w:rPr>
        <w:t>s</w:t>
      </w:r>
      <w:r w:rsidRPr="00DA6962">
        <w:rPr>
          <w:sz w:val="22"/>
          <w:szCs w:val="22"/>
        </w:rPr>
        <w:t xml:space="preserve">tep </w:t>
      </w:r>
      <w:r>
        <w:rPr>
          <w:sz w:val="22"/>
          <w:szCs w:val="22"/>
        </w:rPr>
        <w:t>t</w:t>
      </w:r>
      <w:r w:rsidRPr="00DA6962">
        <w:rPr>
          <w:sz w:val="22"/>
          <w:szCs w:val="22"/>
        </w:rPr>
        <w:t>est with practical language that creates a meaningful exception and simultaneously satisfies the Berne requirements with effective language, rather than repeating the conceptual terms of the test</w:t>
      </w:r>
      <w:r w:rsidRPr="002B4700">
        <w:rPr>
          <w:sz w:val="22"/>
          <w:szCs w:val="22"/>
        </w:rPr>
        <w:t xml:space="preserve">. </w:t>
      </w:r>
      <w:r w:rsidRPr="00DA2A4B">
        <w:rPr>
          <w:sz w:val="22"/>
          <w:szCs w:val="22"/>
        </w:rPr>
        <w:t xml:space="preserve">This toolkit provides guidance for the drafting of copyright exceptions for access that are consistent with requirements of the </w:t>
      </w:r>
      <w:r>
        <w:rPr>
          <w:sz w:val="22"/>
          <w:szCs w:val="22"/>
        </w:rPr>
        <w:t>t</w:t>
      </w:r>
      <w:r w:rsidRPr="00DA2A4B">
        <w:rPr>
          <w:sz w:val="22"/>
          <w:szCs w:val="22"/>
        </w:rPr>
        <w:t>hree-</w:t>
      </w:r>
      <w:r>
        <w:rPr>
          <w:sz w:val="22"/>
          <w:szCs w:val="22"/>
        </w:rPr>
        <w:t>s</w:t>
      </w:r>
      <w:r w:rsidRPr="00DA2A4B">
        <w:rPr>
          <w:sz w:val="22"/>
          <w:szCs w:val="22"/>
        </w:rPr>
        <w:t xml:space="preserve">tep </w:t>
      </w:r>
      <w:r>
        <w:rPr>
          <w:sz w:val="22"/>
          <w:szCs w:val="22"/>
        </w:rPr>
        <w:t>t</w:t>
      </w:r>
      <w:r w:rsidRPr="00DA2A4B">
        <w:rPr>
          <w:sz w:val="22"/>
          <w:szCs w:val="22"/>
        </w:rPr>
        <w:t>est</w:t>
      </w:r>
      <w:r w:rsidRPr="002B4700">
        <w:rPr>
          <w:sz w:val="22"/>
          <w:szCs w:val="22"/>
        </w:rPr>
        <w:t>.</w:t>
      </w:r>
    </w:p>
    <w:p w14:paraId="031BB0D6" w14:textId="77777777" w:rsidR="00C019A0" w:rsidRPr="002B4700" w:rsidRDefault="00C019A0" w:rsidP="00C019A0">
      <w:pPr>
        <w:pStyle w:val="p1"/>
        <w:rPr>
          <w:sz w:val="22"/>
          <w:szCs w:val="22"/>
        </w:rPr>
      </w:pPr>
    </w:p>
    <w:p w14:paraId="585BB19F" w14:textId="77777777" w:rsidR="00C019A0" w:rsidRPr="002B4700" w:rsidRDefault="00C019A0" w:rsidP="00C019A0">
      <w:pPr>
        <w:pStyle w:val="p1"/>
        <w:rPr>
          <w:sz w:val="22"/>
          <w:szCs w:val="22"/>
        </w:rPr>
      </w:pPr>
      <w:r w:rsidRPr="002B4700">
        <w:rPr>
          <w:sz w:val="22"/>
          <w:szCs w:val="22"/>
        </w:rPr>
        <w:t xml:space="preserve">In general, the first “step” is that the exception is applicable in “certain special cases.” This </w:t>
      </w:r>
      <w:r>
        <w:rPr>
          <w:sz w:val="22"/>
          <w:szCs w:val="22"/>
        </w:rPr>
        <w:t xml:space="preserve">condition </w:t>
      </w:r>
      <w:r w:rsidRPr="002B4700">
        <w:rPr>
          <w:sz w:val="22"/>
          <w:szCs w:val="22"/>
        </w:rPr>
        <w:t xml:space="preserve">ordinarily requires clear definitions and </w:t>
      </w:r>
      <w:r>
        <w:rPr>
          <w:sz w:val="22"/>
          <w:szCs w:val="22"/>
        </w:rPr>
        <w:t xml:space="preserve">a </w:t>
      </w:r>
      <w:r w:rsidRPr="002B4700">
        <w:rPr>
          <w:sz w:val="22"/>
          <w:szCs w:val="22"/>
        </w:rPr>
        <w:t xml:space="preserve">prescribed scope of application for exceptions. The term “certain” implies specificity without the need to explicitly identify all possible situations. The term “special” imposes both quantitative and qualitative considerations, requiring exceptions to be exceptional and distinctive. Accordingly, </w:t>
      </w:r>
      <w:r w:rsidRPr="00DA2A4B">
        <w:rPr>
          <w:sz w:val="22"/>
          <w:szCs w:val="22"/>
        </w:rPr>
        <w:t>the exceptions addressed in this toolkit are for the limited purpose of facilitating access services by libraries, archives, museums, and other cultural institutions and are rooted in clear and sound public and cultural policy considerations, ensuring that authors’ rights are not arbitrarily curtailed</w:t>
      </w:r>
      <w:r w:rsidRPr="002B4700">
        <w:rPr>
          <w:sz w:val="22"/>
          <w:szCs w:val="22"/>
        </w:rPr>
        <w:t>.</w:t>
      </w:r>
      <w:r w:rsidRPr="002B4700">
        <w:rPr>
          <w:rStyle w:val="EndnoteReference"/>
          <w:sz w:val="22"/>
          <w:szCs w:val="22"/>
        </w:rPr>
        <w:endnoteReference w:id="5"/>
      </w:r>
    </w:p>
    <w:p w14:paraId="50B9FD3A" w14:textId="77777777" w:rsidR="00C019A0" w:rsidRPr="002B4700" w:rsidRDefault="00C019A0" w:rsidP="00C019A0">
      <w:pPr>
        <w:pStyle w:val="p1"/>
        <w:rPr>
          <w:sz w:val="22"/>
          <w:szCs w:val="22"/>
        </w:rPr>
      </w:pPr>
    </w:p>
    <w:p w14:paraId="0A346A19" w14:textId="77777777" w:rsidR="00C019A0" w:rsidRPr="00DA6962" w:rsidRDefault="00C019A0" w:rsidP="00C019A0">
      <w:pPr>
        <w:pStyle w:val="p1"/>
        <w:rPr>
          <w:sz w:val="22"/>
          <w:szCs w:val="22"/>
        </w:rPr>
      </w:pPr>
      <w:r w:rsidRPr="002B4700">
        <w:rPr>
          <w:sz w:val="22"/>
          <w:szCs w:val="22"/>
        </w:rPr>
        <w:t xml:space="preserve">The second step provides that the use of the work does not conflict with the normal exploitation of the work. In nearly all circumstances where the statutory exception may be exercised, the access activity will not conflict with the </w:t>
      </w:r>
      <w:proofErr w:type="gramStart"/>
      <w:r w:rsidRPr="002B4700">
        <w:rPr>
          <w:sz w:val="22"/>
          <w:szCs w:val="22"/>
        </w:rPr>
        <w:t>manner in which</w:t>
      </w:r>
      <w:proofErr w:type="gramEnd"/>
      <w:r w:rsidRPr="002B4700">
        <w:rPr>
          <w:sz w:val="22"/>
          <w:szCs w:val="22"/>
        </w:rPr>
        <w:t xml:space="preserve"> copyright rights are normally exploited. </w:t>
      </w:r>
      <w:r w:rsidRPr="00DA2A4B">
        <w:rPr>
          <w:sz w:val="22"/>
          <w:szCs w:val="22"/>
        </w:rPr>
        <w:t>This toolkit offers statutory provisions that would require the institution to check the market for possible acquisition of the work before making the copy</w:t>
      </w:r>
      <w:r w:rsidRPr="002B4700">
        <w:rPr>
          <w:sz w:val="22"/>
          <w:szCs w:val="22"/>
        </w:rPr>
        <w:t xml:space="preserve">. By checking the market, the institution may not only be avoiding </w:t>
      </w:r>
      <w:proofErr w:type="gramStart"/>
      <w:r w:rsidRPr="002B4700">
        <w:rPr>
          <w:sz w:val="22"/>
          <w:szCs w:val="22"/>
        </w:rPr>
        <w:t>conflicts, but</w:t>
      </w:r>
      <w:proofErr w:type="gramEnd"/>
      <w:r w:rsidRPr="002B4700">
        <w:rPr>
          <w:sz w:val="22"/>
          <w:szCs w:val="22"/>
        </w:rPr>
        <w:t xml:space="preserve"> may in fact be supporting</w:t>
      </w:r>
      <w:r w:rsidRPr="00DA6962">
        <w:rPr>
          <w:sz w:val="22"/>
          <w:szCs w:val="22"/>
        </w:rPr>
        <w:t xml:space="preserve"> the rightsholder’s exploitation of the work.</w:t>
      </w:r>
    </w:p>
    <w:p w14:paraId="17D6F443" w14:textId="77777777" w:rsidR="00C019A0" w:rsidRPr="00DA6962" w:rsidRDefault="00C019A0" w:rsidP="00C019A0">
      <w:pPr>
        <w:pStyle w:val="p1"/>
        <w:rPr>
          <w:sz w:val="22"/>
          <w:szCs w:val="22"/>
        </w:rPr>
      </w:pPr>
    </w:p>
    <w:p w14:paraId="2C656424" w14:textId="77777777" w:rsidR="00C019A0" w:rsidRDefault="00C019A0" w:rsidP="00C019A0">
      <w:pPr>
        <w:pStyle w:val="p1"/>
        <w:rPr>
          <w:sz w:val="22"/>
          <w:szCs w:val="22"/>
        </w:rPr>
      </w:pPr>
      <w:r w:rsidRPr="00DA6962">
        <w:rPr>
          <w:sz w:val="22"/>
          <w:szCs w:val="22"/>
        </w:rPr>
        <w:t xml:space="preserve">The third step looks specifically at whether the exception might unreasonably prejudice the interests of the </w:t>
      </w:r>
      <w:r>
        <w:rPr>
          <w:sz w:val="22"/>
          <w:szCs w:val="22"/>
        </w:rPr>
        <w:t xml:space="preserve">author and other </w:t>
      </w:r>
      <w:r w:rsidRPr="00DA6962">
        <w:rPr>
          <w:sz w:val="22"/>
          <w:szCs w:val="22"/>
        </w:rPr>
        <w:t>rightsholder.</w:t>
      </w:r>
      <w:r>
        <w:rPr>
          <w:rStyle w:val="EndnoteReference"/>
          <w:sz w:val="22"/>
          <w:szCs w:val="22"/>
        </w:rPr>
        <w:endnoteReference w:id="6"/>
      </w:r>
      <w:r>
        <w:rPr>
          <w:sz w:val="22"/>
          <w:szCs w:val="22"/>
        </w:rPr>
        <w:t xml:space="preserve"> </w:t>
      </w:r>
      <w:r w:rsidRPr="00ED2338">
        <w:rPr>
          <w:sz w:val="22"/>
          <w:szCs w:val="22"/>
        </w:rPr>
        <w:t xml:space="preserve">The terms of the statute and any specific exception need to be examined to avoid posing unreasonable risks of prejudicing the interests of the </w:t>
      </w:r>
      <w:proofErr w:type="gramStart"/>
      <w:r w:rsidRPr="00ED2338">
        <w:rPr>
          <w:sz w:val="22"/>
          <w:szCs w:val="22"/>
        </w:rPr>
        <w:t>rightsholders.</w:t>
      </w:r>
      <w:proofErr w:type="gramEnd"/>
      <w:r w:rsidRPr="00ED2338">
        <w:rPr>
          <w:sz w:val="22"/>
          <w:szCs w:val="22"/>
        </w:rPr>
        <w:t xml:space="preserve">  </w:t>
      </w:r>
    </w:p>
    <w:p w14:paraId="48BF7C97" w14:textId="77777777" w:rsidR="00C019A0" w:rsidRPr="00DA6962" w:rsidRDefault="00C019A0" w:rsidP="00C019A0">
      <w:pPr>
        <w:pStyle w:val="p1"/>
        <w:rPr>
          <w:sz w:val="22"/>
          <w:szCs w:val="22"/>
        </w:rPr>
      </w:pPr>
    </w:p>
    <w:p w14:paraId="751B7994" w14:textId="77777777" w:rsidR="00C019A0" w:rsidRPr="00DA6962" w:rsidRDefault="00C019A0" w:rsidP="00C019A0">
      <w:pPr>
        <w:pStyle w:val="Level3"/>
      </w:pPr>
      <w:bookmarkStart w:id="10" w:name="_Toc219210260"/>
      <w:r w:rsidRPr="00DA6962">
        <w:t>Continuing Developments</w:t>
      </w:r>
      <w:bookmarkEnd w:id="10"/>
    </w:p>
    <w:p w14:paraId="3A1422F8" w14:textId="77777777" w:rsidR="00C019A0" w:rsidRDefault="00C019A0" w:rsidP="00C019A0">
      <w:pPr>
        <w:pStyle w:val="p1"/>
        <w:rPr>
          <w:sz w:val="22"/>
          <w:szCs w:val="22"/>
        </w:rPr>
      </w:pPr>
    </w:p>
    <w:p w14:paraId="318E55D7" w14:textId="77777777" w:rsidR="00C019A0" w:rsidRPr="00DA6962" w:rsidRDefault="00C019A0" w:rsidP="00C019A0">
      <w:pPr>
        <w:pStyle w:val="p1"/>
        <w:rPr>
          <w:sz w:val="22"/>
          <w:szCs w:val="22"/>
        </w:rPr>
      </w:pPr>
      <w:r w:rsidRPr="00DA6962">
        <w:rPr>
          <w:sz w:val="22"/>
          <w:szCs w:val="22"/>
        </w:rPr>
        <w:t>This toolkit is the second in a series of resources developed by WIPO to examine the intersection of cultural heritage practices and copyright law. Digital technology now provides cultural heritage institutions with the means of engaging in access to digital materials in their collection</w:t>
      </w:r>
      <w:r>
        <w:rPr>
          <w:sz w:val="22"/>
          <w:szCs w:val="22"/>
        </w:rPr>
        <w:t>s.</w:t>
      </w:r>
      <w:r w:rsidRPr="00DA6962">
        <w:rPr>
          <w:sz w:val="22"/>
          <w:szCs w:val="22"/>
        </w:rPr>
        <w:t xml:space="preserve"> At the same time, </w:t>
      </w:r>
      <w:proofErr w:type="gramStart"/>
      <w:r w:rsidRPr="00DA6962">
        <w:rPr>
          <w:sz w:val="22"/>
          <w:szCs w:val="22"/>
        </w:rPr>
        <w:t>in order to</w:t>
      </w:r>
      <w:proofErr w:type="gramEnd"/>
      <w:r w:rsidRPr="00DA6962">
        <w:rPr>
          <w:sz w:val="22"/>
          <w:szCs w:val="22"/>
        </w:rPr>
        <w:t xml:space="preserve"> fulfill their mission, cultural heritage institutions must often rely on external funders, such as grant funding agencies or private donors, to secure investment in their access activities. However, uncertainties regarding the legal aspects of access create complexities for funders, as they may fear that their investment could be associated with copyright infringements. </w:t>
      </w:r>
      <w:r w:rsidRPr="00DA2A4B">
        <w:rPr>
          <w:sz w:val="22"/>
          <w:szCs w:val="22"/>
        </w:rPr>
        <w:t xml:space="preserve">A reliable legal framework that allows optimal access will ensure that materials and objects in collections, </w:t>
      </w:r>
      <w:r>
        <w:rPr>
          <w:sz w:val="22"/>
          <w:szCs w:val="22"/>
        </w:rPr>
        <w:t>which</w:t>
      </w:r>
      <w:r w:rsidRPr="00DA2A4B">
        <w:rPr>
          <w:sz w:val="22"/>
          <w:szCs w:val="22"/>
        </w:rPr>
        <w:t xml:space="preserve"> have been chosen to be preserved for curatorial and historic reasons, are subsequently made accessible for specific purposes, perhaps for specified audiences and subject to terms and conditions that are lawful and transparent. Such a framework, therefore, is a way to facilitate funding and investment to support preservation and access efforts, and it implies a need for national and international collaboration</w:t>
      </w:r>
      <w:r w:rsidRPr="00DA6962">
        <w:rPr>
          <w:sz w:val="22"/>
          <w:szCs w:val="22"/>
        </w:rPr>
        <w:t>.</w:t>
      </w:r>
    </w:p>
    <w:p w14:paraId="3C7FF977" w14:textId="77777777" w:rsidR="00C019A0" w:rsidRPr="00DA6962" w:rsidRDefault="00C019A0" w:rsidP="00C019A0">
      <w:pPr>
        <w:pStyle w:val="p1"/>
        <w:rPr>
          <w:sz w:val="22"/>
          <w:szCs w:val="22"/>
        </w:rPr>
      </w:pPr>
    </w:p>
    <w:p w14:paraId="14921456" w14:textId="77777777" w:rsidR="00C019A0" w:rsidRPr="00DA6962" w:rsidRDefault="00C019A0" w:rsidP="00C019A0">
      <w:pPr>
        <w:pStyle w:val="Level2"/>
      </w:pPr>
      <w:bookmarkStart w:id="11" w:name="_Toc219210261"/>
      <w:r w:rsidRPr="00DA6962">
        <w:t>Optimizing Access and Putting the Toolkit to Use</w:t>
      </w:r>
      <w:bookmarkEnd w:id="11"/>
    </w:p>
    <w:p w14:paraId="4322F35F" w14:textId="77777777" w:rsidR="00C019A0" w:rsidRPr="00DA6962" w:rsidRDefault="00C019A0" w:rsidP="00C019A0">
      <w:pPr>
        <w:pStyle w:val="p1"/>
        <w:ind w:firstLine="360"/>
        <w:rPr>
          <w:i/>
          <w:iCs/>
          <w:sz w:val="22"/>
          <w:szCs w:val="22"/>
        </w:rPr>
      </w:pPr>
    </w:p>
    <w:p w14:paraId="2EDF4BF8" w14:textId="77777777" w:rsidR="00C019A0" w:rsidRPr="00566953" w:rsidRDefault="00C019A0" w:rsidP="00C019A0">
      <w:pPr>
        <w:pStyle w:val="Level3"/>
        <w:numPr>
          <w:ilvl w:val="0"/>
          <w:numId w:val="22"/>
        </w:numPr>
        <w:ind w:left="357" w:hanging="357"/>
      </w:pPr>
      <w:bookmarkStart w:id="12" w:name="_Toc219210262"/>
      <w:r w:rsidRPr="00566953">
        <w:t>Structure and Practical Application of the Toolkit</w:t>
      </w:r>
      <w:bookmarkEnd w:id="12"/>
      <w:r w:rsidRPr="00566953">
        <w:t xml:space="preserve">  </w:t>
      </w:r>
    </w:p>
    <w:p w14:paraId="4772355F" w14:textId="77777777" w:rsidR="00C019A0" w:rsidRDefault="00C019A0" w:rsidP="00C019A0">
      <w:pPr>
        <w:pStyle w:val="p1"/>
        <w:rPr>
          <w:sz w:val="22"/>
          <w:szCs w:val="22"/>
        </w:rPr>
      </w:pPr>
    </w:p>
    <w:p w14:paraId="037653E8" w14:textId="77777777" w:rsidR="00C019A0" w:rsidRDefault="00C019A0" w:rsidP="00C019A0">
      <w:pPr>
        <w:pStyle w:val="p1"/>
        <w:rPr>
          <w:sz w:val="22"/>
          <w:szCs w:val="22"/>
        </w:rPr>
      </w:pPr>
      <w:r w:rsidRPr="00DA6962">
        <w:rPr>
          <w:sz w:val="22"/>
          <w:szCs w:val="22"/>
        </w:rPr>
        <w:t xml:space="preserve">The structure of this toolkit is intended to build toward a practical outcome – to assist and guide lawmakers, senior officers at </w:t>
      </w:r>
      <w:r>
        <w:rPr>
          <w:sz w:val="22"/>
          <w:szCs w:val="22"/>
        </w:rPr>
        <w:t>cultural heritage institutions</w:t>
      </w:r>
      <w:r w:rsidRPr="00DA6962">
        <w:rPr>
          <w:sz w:val="22"/>
          <w:szCs w:val="22"/>
        </w:rPr>
        <w:t xml:space="preserve">, and any other responsible party to draft </w:t>
      </w:r>
      <w:r w:rsidRPr="00DA2A4B">
        <w:rPr>
          <w:sz w:val="22"/>
          <w:szCs w:val="22"/>
        </w:rPr>
        <w:t>standards and procedures that enhance access to works found in collections</w:t>
      </w:r>
      <w:r>
        <w:rPr>
          <w:sz w:val="22"/>
          <w:szCs w:val="22"/>
        </w:rPr>
        <w:t xml:space="preserve"> in a manner consistent with existing law and respectful of diverse stakeholders</w:t>
      </w:r>
      <w:r w:rsidRPr="0048230C">
        <w:rPr>
          <w:sz w:val="22"/>
          <w:szCs w:val="22"/>
        </w:rPr>
        <w:t xml:space="preserve">. In so doing, the toolkit has been divided into four interrelated parts. The early parts of this toolkit lay a foundation. </w:t>
      </w:r>
      <w:r w:rsidRPr="00DA2A4B">
        <w:rPr>
          <w:sz w:val="22"/>
          <w:szCs w:val="22"/>
        </w:rPr>
        <w:t>Part I provides a baseline description of access activities, as well as the legal obligations and duty of care and mission of the organizations that steward cultural heritage collections. In Part II, the toolkit covers the dimensions of access. Part III suggests detailed means of access that are statutory, contractual</w:t>
      </w:r>
      <w:r>
        <w:rPr>
          <w:sz w:val="22"/>
          <w:szCs w:val="22"/>
        </w:rPr>
        <w:t>, or</w:t>
      </w:r>
      <w:r w:rsidRPr="00DA2A4B">
        <w:rPr>
          <w:sz w:val="22"/>
          <w:szCs w:val="22"/>
        </w:rPr>
        <w:t xml:space="preserve"> </w:t>
      </w:r>
      <w:r>
        <w:rPr>
          <w:sz w:val="22"/>
          <w:szCs w:val="22"/>
        </w:rPr>
        <w:t xml:space="preserve">rooted in institutional </w:t>
      </w:r>
      <w:r w:rsidRPr="00DA2A4B">
        <w:rPr>
          <w:sz w:val="22"/>
          <w:szCs w:val="22"/>
        </w:rPr>
        <w:t>practice</w:t>
      </w:r>
      <w:r>
        <w:rPr>
          <w:sz w:val="22"/>
          <w:szCs w:val="22"/>
        </w:rPr>
        <w:t>s</w:t>
      </w:r>
      <w:r w:rsidRPr="00DA2A4B">
        <w:rPr>
          <w:sz w:val="22"/>
          <w:szCs w:val="22"/>
        </w:rPr>
        <w:t xml:space="preserve"> </w:t>
      </w:r>
      <w:r>
        <w:rPr>
          <w:sz w:val="22"/>
          <w:szCs w:val="22"/>
        </w:rPr>
        <w:t>at</w:t>
      </w:r>
      <w:r w:rsidRPr="00DA2A4B">
        <w:rPr>
          <w:sz w:val="22"/>
          <w:szCs w:val="22"/>
        </w:rPr>
        <w:t xml:space="preserve"> the intersection of copyright law </w:t>
      </w:r>
      <w:r>
        <w:rPr>
          <w:sz w:val="22"/>
          <w:szCs w:val="22"/>
        </w:rPr>
        <w:t>and</w:t>
      </w:r>
      <w:r w:rsidRPr="00DA2A4B">
        <w:rPr>
          <w:sz w:val="22"/>
          <w:szCs w:val="22"/>
        </w:rPr>
        <w:t xml:space="preserve"> cultural heritage</w:t>
      </w:r>
      <w:r w:rsidRPr="0048230C">
        <w:rPr>
          <w:sz w:val="22"/>
          <w:szCs w:val="22"/>
        </w:rPr>
        <w:t xml:space="preserve">. </w:t>
      </w:r>
      <w:r w:rsidRPr="00DA2A4B">
        <w:rPr>
          <w:sz w:val="22"/>
          <w:szCs w:val="22"/>
        </w:rPr>
        <w:t>Part IV describes how to construct a statutory or policy provision</w:t>
      </w:r>
      <w:r w:rsidRPr="0048230C">
        <w:rPr>
          <w:sz w:val="22"/>
          <w:szCs w:val="22"/>
        </w:rPr>
        <w:t xml:space="preserve">. </w:t>
      </w:r>
      <w:r w:rsidRPr="00DA2A4B">
        <w:rPr>
          <w:sz w:val="22"/>
          <w:szCs w:val="22"/>
        </w:rPr>
        <w:t xml:space="preserve">Part IV also provides a detailed description of potential exceptions to copyright, exceptions to statutory </w:t>
      </w:r>
      <w:proofErr w:type="gramStart"/>
      <w:r w:rsidRPr="00DA2A4B">
        <w:rPr>
          <w:sz w:val="22"/>
          <w:szCs w:val="22"/>
        </w:rPr>
        <w:t>damages</w:t>
      </w:r>
      <w:proofErr w:type="gramEnd"/>
      <w:r w:rsidRPr="00DA2A4B">
        <w:rPr>
          <w:sz w:val="22"/>
          <w:szCs w:val="22"/>
        </w:rPr>
        <w:t xml:space="preserve"> for copyright infringement</w:t>
      </w:r>
      <w:r>
        <w:rPr>
          <w:sz w:val="22"/>
          <w:szCs w:val="22"/>
        </w:rPr>
        <w:t>,</w:t>
      </w:r>
      <w:r w:rsidRPr="00DA2A4B">
        <w:rPr>
          <w:sz w:val="22"/>
          <w:szCs w:val="22"/>
        </w:rPr>
        <w:t xml:space="preserve"> and provisions that provide risk mitigation pathways, such as any safe harbor provisions</w:t>
      </w:r>
      <w:r w:rsidRPr="0048230C">
        <w:rPr>
          <w:sz w:val="22"/>
          <w:szCs w:val="22"/>
        </w:rPr>
        <w:t xml:space="preserve">. Finally, in the </w:t>
      </w:r>
      <w:r w:rsidRPr="00DA2A4B">
        <w:rPr>
          <w:sz w:val="22"/>
          <w:szCs w:val="22"/>
        </w:rPr>
        <w:t>Appendix</w:t>
      </w:r>
      <w:r w:rsidRPr="0048230C">
        <w:rPr>
          <w:sz w:val="22"/>
          <w:szCs w:val="22"/>
        </w:rPr>
        <w:t>, the toolkit provides sample clauses and reference charts, together with instructions on how to use them to build legislative provisions that address statutory provisions that include exceptions</w:t>
      </w:r>
      <w:r w:rsidRPr="00DA6962">
        <w:rPr>
          <w:sz w:val="22"/>
          <w:szCs w:val="22"/>
        </w:rPr>
        <w:t xml:space="preserve"> to copyright for the purposes of access and mitigation</w:t>
      </w:r>
      <w:r>
        <w:rPr>
          <w:sz w:val="22"/>
          <w:szCs w:val="22"/>
        </w:rPr>
        <w:t xml:space="preserve"> of possible risk</w:t>
      </w:r>
      <w:r w:rsidRPr="00DA6962">
        <w:rPr>
          <w:sz w:val="22"/>
          <w:szCs w:val="22"/>
        </w:rPr>
        <w:t>.</w:t>
      </w:r>
    </w:p>
    <w:p w14:paraId="6D7DAF50" w14:textId="77777777" w:rsidR="00C019A0" w:rsidRPr="00DA6962" w:rsidRDefault="00C019A0" w:rsidP="00C019A0">
      <w:pPr>
        <w:pStyle w:val="p1"/>
        <w:rPr>
          <w:sz w:val="22"/>
          <w:szCs w:val="22"/>
        </w:rPr>
      </w:pPr>
    </w:p>
    <w:p w14:paraId="09BB8D92" w14:textId="77777777" w:rsidR="00C019A0" w:rsidRDefault="00C019A0" w:rsidP="00C019A0">
      <w:pPr>
        <w:pStyle w:val="Level3"/>
      </w:pPr>
      <w:bookmarkStart w:id="13" w:name="_Toc219210263"/>
      <w:r w:rsidRPr="00DA6962">
        <w:t>Utilizing the</w:t>
      </w:r>
      <w:r>
        <w:t xml:space="preserve"> </w:t>
      </w:r>
      <w:r w:rsidRPr="00DA6962">
        <w:t>Toolkit for Development of Law and Policy</w:t>
      </w:r>
      <w:bookmarkEnd w:id="13"/>
      <w:r>
        <w:t xml:space="preserve">  </w:t>
      </w:r>
    </w:p>
    <w:p w14:paraId="7B32D71A" w14:textId="77777777" w:rsidR="00C019A0" w:rsidRDefault="00C019A0" w:rsidP="00C019A0">
      <w:pPr>
        <w:pStyle w:val="p1"/>
        <w:rPr>
          <w:sz w:val="22"/>
          <w:szCs w:val="22"/>
        </w:rPr>
      </w:pPr>
    </w:p>
    <w:p w14:paraId="68730212" w14:textId="77777777" w:rsidR="00C019A0" w:rsidRDefault="00C019A0" w:rsidP="00C019A0">
      <w:pPr>
        <w:pStyle w:val="p1"/>
        <w:rPr>
          <w:sz w:val="22"/>
          <w:szCs w:val="22"/>
        </w:rPr>
      </w:pPr>
      <w:r w:rsidRPr="00A56D15">
        <w:rPr>
          <w:sz w:val="22"/>
          <w:szCs w:val="22"/>
        </w:rPr>
        <w:t>Part IV is the operational center of the toolkit. It provides detailed insights into the process and outcomes that are a centerpiece of this project. The authors of this toolkit recognize that readers delving into those early parts will benefit from some added context, particularly an example of engaging with the guidance presented here and identifying the elements and options for drafting access provisions. Put simply, a brief look at an example of the outcomes can give greater context for understanding the earlier parts of the toolkit.</w:t>
      </w:r>
    </w:p>
    <w:p w14:paraId="1F234FAC" w14:textId="77777777" w:rsidR="00C019A0" w:rsidRDefault="00C019A0" w:rsidP="00C019A0">
      <w:pPr>
        <w:pStyle w:val="p1"/>
        <w:rPr>
          <w:sz w:val="22"/>
          <w:szCs w:val="22"/>
        </w:rPr>
      </w:pPr>
    </w:p>
    <w:p w14:paraId="28B438E0" w14:textId="77777777" w:rsidR="00C019A0" w:rsidRDefault="00C019A0" w:rsidP="00C019A0">
      <w:pPr>
        <w:rPr>
          <w:rFonts w:eastAsia="Times New Roman"/>
          <w:color w:val="000000"/>
          <w:szCs w:val="22"/>
        </w:rPr>
      </w:pPr>
      <w:r>
        <w:rPr>
          <w:noProof/>
        </w:rPr>
        <mc:AlternateContent>
          <mc:Choice Requires="wps">
            <w:drawing>
              <wp:anchor distT="45720" distB="45720" distL="114300" distR="114300" simplePos="0" relativeHeight="251661312" behindDoc="1" locked="0" layoutInCell="1" allowOverlap="1" wp14:anchorId="220F94EB" wp14:editId="72CBC124">
                <wp:simplePos x="0" y="0"/>
                <wp:positionH relativeFrom="margin">
                  <wp:posOffset>204470</wp:posOffset>
                </wp:positionH>
                <wp:positionV relativeFrom="paragraph">
                  <wp:posOffset>1905</wp:posOffset>
                </wp:positionV>
                <wp:extent cx="5772785" cy="2019300"/>
                <wp:effectExtent l="0" t="0" r="18415" b="19050"/>
                <wp:wrapTight wrapText="bothSides">
                  <wp:wrapPolygon edited="0">
                    <wp:start x="0" y="0"/>
                    <wp:lineTo x="0" y="21600"/>
                    <wp:lineTo x="21598" y="21600"/>
                    <wp:lineTo x="21598"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785" cy="2019300"/>
                        </a:xfrm>
                        <a:prstGeom prst="rect">
                          <a:avLst/>
                        </a:prstGeom>
                        <a:solidFill>
                          <a:srgbClr val="FFFFFF"/>
                        </a:solidFill>
                        <a:ln w="9525">
                          <a:solidFill>
                            <a:srgbClr val="000000"/>
                          </a:solidFill>
                          <a:miter lim="800000"/>
                          <a:headEnd/>
                          <a:tailEnd/>
                        </a:ln>
                      </wps:spPr>
                      <wps:txbx>
                        <w:txbxContent>
                          <w:p w14:paraId="14AE10D5" w14:textId="77777777" w:rsidR="00C019A0" w:rsidRPr="00263B8F" w:rsidRDefault="00C019A0" w:rsidP="00C019A0">
                            <w:pPr>
                              <w:rPr>
                                <w:szCs w:val="22"/>
                                <w:u w:val="single"/>
                              </w:rPr>
                            </w:pPr>
                            <w:r>
                              <w:rPr>
                                <w:szCs w:val="22"/>
                                <w:u w:val="single"/>
                              </w:rPr>
                              <w:t>E</w:t>
                            </w:r>
                            <w:r w:rsidRPr="00263B8F">
                              <w:rPr>
                                <w:szCs w:val="22"/>
                                <w:u w:val="single"/>
                              </w:rPr>
                              <w:t>xample</w:t>
                            </w:r>
                            <w:r>
                              <w:rPr>
                                <w:szCs w:val="22"/>
                                <w:u w:val="single"/>
                              </w:rPr>
                              <w:t xml:space="preserve"> of Dedicated Terminals in Libraries</w:t>
                            </w:r>
                            <w:r>
                              <w:rPr>
                                <w:szCs w:val="22"/>
                              </w:rPr>
                              <w:t>:</w:t>
                            </w:r>
                            <w:r w:rsidRPr="00263B8F">
                              <w:rPr>
                                <w:szCs w:val="22"/>
                                <w:u w:val="single"/>
                              </w:rPr>
                              <w:t xml:space="preserve"> </w:t>
                            </w:r>
                          </w:p>
                          <w:p w14:paraId="74C885DB" w14:textId="77777777" w:rsidR="00C019A0" w:rsidRPr="00284D47" w:rsidRDefault="00C019A0" w:rsidP="00C019A0">
                            <w:pPr>
                              <w:rPr>
                                <w:szCs w:val="22"/>
                              </w:rPr>
                            </w:pPr>
                            <w:r>
                              <w:rPr>
                                <w:szCs w:val="22"/>
                              </w:rPr>
                              <w:t>Many Member States, especially in the European Union, have enacted copyright statutes that allow libraries and other institutions to make works in their collections viewable by readers at dedicated computer terminals. The main effect of these statutes is to significantly expand access to the works by permitting digitization of works, storing the digital copies, and allowing the public to view them on dedicated computer terminals</w:t>
                            </w:r>
                            <w:r w:rsidRPr="00ED2338">
                              <w:rPr>
                                <w:szCs w:val="22"/>
                              </w:rPr>
                              <w:t>. In</w:t>
                            </w:r>
                            <w:r w:rsidRPr="00DA2A4B">
                              <w:rPr>
                                <w:szCs w:val="22"/>
                              </w:rPr>
                              <w:t xml:space="preserve"> other countries the policy may be by license or by interpretation of fair dealing</w:t>
                            </w:r>
                            <w:r w:rsidRPr="00284D47">
                              <w:rPr>
                                <w:szCs w:val="22"/>
                              </w:rPr>
                              <w:t>. In any event, this toolkit guides users through the process of deciding the scope of the concept, such as: who may exercise the right, and what conditions apply. The toolkit will then guide the user through optional language and terms for the policy standard.</w:t>
                            </w:r>
                            <w:r>
                              <w:rPr>
                                <w:szCs w:val="22"/>
                              </w:rPr>
                              <w:t xml:space="preserve"> That process is presented on the charts in the Appendix, and a sample chart is examined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0F94EB" id="_x0000_t202" coordsize="21600,21600" o:spt="202" path="m,l,21600r21600,l21600,xe">
                <v:stroke joinstyle="miter"/>
                <v:path gradientshapeok="t" o:connecttype="rect"/>
              </v:shapetype>
              <v:shape id="_x0000_s1027" type="#_x0000_t202" style="position:absolute;margin-left:16.1pt;margin-top:.15pt;width:454.55pt;height:159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">
                <v:textbox>
                  <w:txbxContent>
                    <w:p w14:paraId="14AE10D5" w14:textId="77777777" w:rsidR="00C019A0" w:rsidRPr="00263B8F" w:rsidRDefault="00C019A0" w:rsidP="00C019A0">
                      <w:pPr>
                        <w:rPr>
                          <w:szCs w:val="22"/>
                          <w:u w:val="single"/>
                        </w:rPr>
                      </w:pPr>
                      <w:r>
                        <w:rPr>
                          <w:szCs w:val="22"/>
                          <w:u w:val="single"/>
                        </w:rPr>
                        <w:t>E</w:t>
                      </w:r>
                      <w:r w:rsidRPr="00263B8F">
                        <w:rPr>
                          <w:szCs w:val="22"/>
                          <w:u w:val="single"/>
                        </w:rPr>
                        <w:t>xample</w:t>
                      </w:r>
                      <w:r>
                        <w:rPr>
                          <w:szCs w:val="22"/>
                          <w:u w:val="single"/>
                        </w:rPr>
                        <w:t xml:space="preserve"> of Dedicated Terminals in Libraries</w:t>
                      </w:r>
                      <w:r>
                        <w:rPr>
                          <w:szCs w:val="22"/>
                        </w:rPr>
                        <w:t>:</w:t>
                      </w:r>
                      <w:r w:rsidRPr="00263B8F">
                        <w:rPr>
                          <w:szCs w:val="22"/>
                          <w:u w:val="single"/>
                        </w:rPr>
                        <w:t xml:space="preserve"> </w:t>
                      </w:r>
                    </w:p>
                    <w:p w14:paraId="74C885DB" w14:textId="77777777" w:rsidR="00C019A0" w:rsidRPr="00284D47" w:rsidRDefault="00C019A0" w:rsidP="00C019A0">
                      <w:pPr>
                        <w:rPr>
                          <w:szCs w:val="22"/>
                        </w:rPr>
                      </w:pPr>
                      <w:r>
                        <w:rPr>
                          <w:szCs w:val="22"/>
                        </w:rPr>
                        <w:t>Many Member States, especially in the European Union, have enacted copyright statutes that allow libraries and other institutions to make works in their collections viewable by readers at dedicated computer terminals. The main effect of these statutes is to significantly expand access to the works by permitting digitization of works, storing the digital copies, and allowing the public to view them on dedicated computer terminals</w:t>
                      </w:r>
                      <w:r w:rsidRPr="00ED2338">
                        <w:rPr>
                          <w:szCs w:val="22"/>
                        </w:rPr>
                        <w:t>. In</w:t>
                      </w:r>
                      <w:r w:rsidRPr="00DA2A4B">
                        <w:rPr>
                          <w:szCs w:val="22"/>
                        </w:rPr>
                        <w:t xml:space="preserve"> other countries the policy may be by license or by interpretation of fair dealing</w:t>
                      </w:r>
                      <w:r w:rsidRPr="00284D47">
                        <w:rPr>
                          <w:szCs w:val="22"/>
                        </w:rPr>
                        <w:t>. In any event, this toolkit guides users through the process of deciding the scope of the concept, such as: who may exercise the right, and what conditions apply. The toolkit will then guide the user through optional language and terms for the policy standard.</w:t>
                      </w:r>
                      <w:r>
                        <w:rPr>
                          <w:szCs w:val="22"/>
                        </w:rPr>
                        <w:t xml:space="preserve"> That process is presented on the charts in the Appendix, and a sample chart is examined here.</w:t>
                      </w:r>
                    </w:p>
                  </w:txbxContent>
                </v:textbox>
                <w10:wrap type="tight" anchorx="margin"/>
              </v:shape>
            </w:pict>
          </mc:Fallback>
        </mc:AlternateContent>
      </w:r>
    </w:p>
    <w:p w14:paraId="24F6B67A" w14:textId="77777777" w:rsidR="00C019A0" w:rsidRDefault="00C019A0" w:rsidP="00C019A0">
      <w:pPr>
        <w:rPr>
          <w:rFonts w:eastAsia="Times New Roman"/>
          <w:color w:val="000000"/>
          <w:szCs w:val="22"/>
        </w:rPr>
      </w:pPr>
      <w:r>
        <w:rPr>
          <w:rFonts w:eastAsia="Times New Roman"/>
          <w:color w:val="000000"/>
          <w:szCs w:val="22"/>
        </w:rPr>
        <w:t>The example chart below applies specifically to the decisions surrounding the development of law or policy on the matter of digitizing works and accessing them on dedicated terminals. The chart organizes and</w:t>
      </w:r>
      <w:r w:rsidRPr="00DA6962">
        <w:rPr>
          <w:rFonts w:eastAsia="Times New Roman"/>
          <w:color w:val="000000"/>
          <w:szCs w:val="22"/>
        </w:rPr>
        <w:t xml:space="preserve"> systematically facilitate</w:t>
      </w:r>
      <w:r>
        <w:rPr>
          <w:rFonts w:eastAsia="Times New Roman"/>
          <w:color w:val="000000"/>
          <w:szCs w:val="22"/>
        </w:rPr>
        <w:t>s</w:t>
      </w:r>
      <w:r w:rsidRPr="00DA6962">
        <w:rPr>
          <w:rFonts w:eastAsia="Times New Roman"/>
          <w:color w:val="000000"/>
          <w:szCs w:val="22"/>
        </w:rPr>
        <w:t xml:space="preserve"> each step of the process.</w:t>
      </w:r>
      <w:r>
        <w:rPr>
          <w:rFonts w:eastAsia="Times New Roman"/>
          <w:color w:val="000000"/>
          <w:szCs w:val="22"/>
        </w:rPr>
        <w:t xml:space="preserve"> That process is a series of questions and decisions organized in the charts.</w:t>
      </w:r>
      <w:r w:rsidRPr="00DA6962">
        <w:rPr>
          <w:rFonts w:eastAsia="Times New Roman"/>
          <w:color w:val="000000"/>
          <w:szCs w:val="22"/>
        </w:rPr>
        <w:t xml:space="preserve"> </w:t>
      </w:r>
      <w:r>
        <w:rPr>
          <w:rFonts w:eastAsia="Times New Roman"/>
          <w:color w:val="000000"/>
          <w:szCs w:val="22"/>
        </w:rPr>
        <w:t>Presented h</w:t>
      </w:r>
      <w:r w:rsidRPr="00DA6962">
        <w:rPr>
          <w:rFonts w:eastAsia="Times New Roman"/>
          <w:color w:val="000000"/>
          <w:szCs w:val="22"/>
        </w:rPr>
        <w:t>ere is a simplified version of the chart for this issue. The</w:t>
      </w:r>
      <w:r>
        <w:rPr>
          <w:rFonts w:eastAsia="Times New Roman"/>
          <w:color w:val="000000"/>
          <w:szCs w:val="22"/>
        </w:rPr>
        <w:t xml:space="preserve"> corresponding</w:t>
      </w:r>
      <w:r w:rsidRPr="00DA6962">
        <w:rPr>
          <w:rFonts w:eastAsia="Times New Roman"/>
          <w:color w:val="000000"/>
          <w:szCs w:val="22"/>
        </w:rPr>
        <w:t xml:space="preserve"> chart in</w:t>
      </w:r>
      <w:r>
        <w:rPr>
          <w:rFonts w:eastAsia="Times New Roman"/>
          <w:color w:val="000000"/>
          <w:szCs w:val="22"/>
        </w:rPr>
        <w:t xml:space="preserve"> the Appendix</w:t>
      </w:r>
      <w:r w:rsidRPr="00DA6962">
        <w:rPr>
          <w:rFonts w:eastAsia="Times New Roman"/>
          <w:color w:val="000000"/>
          <w:szCs w:val="22"/>
        </w:rPr>
        <w:t xml:space="preserve"> offers greater detail. But this abbreviated version demonstrates the relevant steps and some suggestions of the details at all stages.</w:t>
      </w:r>
      <w:r>
        <w:rPr>
          <w:rFonts w:eastAsia="Times New Roman"/>
          <w:color w:val="000000"/>
          <w:szCs w:val="22"/>
        </w:rPr>
        <w:t xml:space="preserve"> Part IV of this toolkit details the processes, but even from the simplified example chart, one can see that the path ahead involves an analytical approach, culminating in drafting some of the specific clauses for the statute or policy.</w:t>
      </w:r>
    </w:p>
    <w:p w14:paraId="27C33CA4" w14:textId="77777777" w:rsidR="00C019A0" w:rsidRDefault="00C019A0" w:rsidP="00C019A0">
      <w:pPr>
        <w:rPr>
          <w:rFonts w:eastAsia="Times New Roman"/>
          <w:color w:val="000000"/>
        </w:rPr>
      </w:pPr>
    </w:p>
    <w:tbl>
      <w:tblPr>
        <w:tblStyle w:val="TableGrid"/>
        <w:tblW w:w="9985" w:type="dxa"/>
        <w:tblLook w:val="04A0" w:firstRow="1" w:lastRow="0" w:firstColumn="1" w:lastColumn="0" w:noHBand="0" w:noVBand="1"/>
      </w:tblPr>
      <w:tblGrid>
        <w:gridCol w:w="2245"/>
        <w:gridCol w:w="1980"/>
        <w:gridCol w:w="3150"/>
        <w:gridCol w:w="2610"/>
      </w:tblGrid>
      <w:tr w:rsidR="00C019A0" w:rsidRPr="00386871" w14:paraId="368A2F71" w14:textId="77777777" w:rsidTr="008069EB">
        <w:tc>
          <w:tcPr>
            <w:tcW w:w="9985" w:type="dxa"/>
            <w:gridSpan w:val="4"/>
          </w:tcPr>
          <w:p w14:paraId="07FA1CA6" w14:textId="77777777" w:rsidR="00C019A0" w:rsidRDefault="00C019A0" w:rsidP="008069EB">
            <w:pPr>
              <w:rPr>
                <w:b/>
                <w:i/>
                <w:iCs/>
                <w:sz w:val="28"/>
                <w:szCs w:val="28"/>
              </w:rPr>
            </w:pPr>
            <w:r w:rsidRPr="00E07B6B">
              <w:rPr>
                <w:b/>
                <w:i/>
                <w:iCs/>
                <w:sz w:val="28"/>
                <w:szCs w:val="28"/>
              </w:rPr>
              <w:t>Example Chart</w:t>
            </w:r>
            <w:r>
              <w:rPr>
                <w:b/>
                <w:i/>
                <w:iCs/>
                <w:sz w:val="28"/>
                <w:szCs w:val="28"/>
              </w:rPr>
              <w:t>:</w:t>
            </w:r>
          </w:p>
          <w:p w14:paraId="2129C135" w14:textId="77777777" w:rsidR="00C019A0" w:rsidRPr="00E07B6B" w:rsidRDefault="00C019A0" w:rsidP="008069EB">
            <w:pPr>
              <w:rPr>
                <w:b/>
                <w:i/>
                <w:iCs/>
                <w:sz w:val="28"/>
                <w:szCs w:val="28"/>
              </w:rPr>
            </w:pPr>
            <w:r>
              <w:rPr>
                <w:b/>
                <w:i/>
                <w:iCs/>
                <w:sz w:val="28"/>
                <w:szCs w:val="28"/>
              </w:rPr>
              <w:t>This example is provided here as an introduction to the function of the toolkit; details are added to the same chart as it appears in the Appendix.</w:t>
            </w:r>
          </w:p>
          <w:p w14:paraId="59E5CADF" w14:textId="77777777" w:rsidR="00C019A0" w:rsidRDefault="00C019A0" w:rsidP="008069EB">
            <w:pPr>
              <w:rPr>
                <w:b/>
                <w:sz w:val="28"/>
                <w:szCs w:val="28"/>
              </w:rPr>
            </w:pPr>
          </w:p>
          <w:p w14:paraId="5FA4A4D3" w14:textId="77777777" w:rsidR="00C019A0" w:rsidRPr="00E07B6B" w:rsidRDefault="00C019A0" w:rsidP="008069EB">
            <w:pPr>
              <w:rPr>
                <w:b/>
                <w:sz w:val="28"/>
                <w:szCs w:val="28"/>
              </w:rPr>
            </w:pPr>
            <w:r>
              <w:rPr>
                <w:b/>
                <w:sz w:val="28"/>
                <w:szCs w:val="28"/>
              </w:rPr>
              <w:t>TOPIC:</w:t>
            </w:r>
          </w:p>
          <w:p w14:paraId="4A542E5C" w14:textId="77777777" w:rsidR="00C019A0" w:rsidRPr="00E07B6B" w:rsidRDefault="00C019A0" w:rsidP="008069EB">
            <w:pPr>
              <w:rPr>
                <w:b/>
                <w:sz w:val="28"/>
                <w:szCs w:val="28"/>
              </w:rPr>
            </w:pPr>
            <w:r w:rsidRPr="00E07B6B">
              <w:rPr>
                <w:b/>
                <w:sz w:val="28"/>
                <w:szCs w:val="28"/>
              </w:rPr>
              <w:t>Accessing Digitized Works that are Made Available on Dedicated Terminals</w:t>
            </w:r>
          </w:p>
          <w:p w14:paraId="1A8354FE" w14:textId="77777777" w:rsidR="00C019A0" w:rsidRPr="00386871" w:rsidRDefault="00C019A0" w:rsidP="008069EB">
            <w:pPr>
              <w:rPr>
                <w:b/>
              </w:rPr>
            </w:pPr>
          </w:p>
          <w:p w14:paraId="3B605862" w14:textId="77777777" w:rsidR="00C019A0" w:rsidRPr="00386871" w:rsidRDefault="00C019A0" w:rsidP="008069EB">
            <w:pPr>
              <w:rPr>
                <w:b/>
                <w:i/>
                <w:iCs/>
              </w:rPr>
            </w:pPr>
            <w:r w:rsidRPr="00386871">
              <w:rPr>
                <w:b/>
                <w:i/>
                <w:iCs/>
              </w:rPr>
              <w:t xml:space="preserve">Proposed Access Solution: </w:t>
            </w:r>
          </w:p>
          <w:p w14:paraId="7A2B85B5" w14:textId="77777777" w:rsidR="00C019A0" w:rsidRPr="00386871" w:rsidRDefault="00C019A0" w:rsidP="008069EB">
            <w:pPr>
              <w:rPr>
                <w:b/>
              </w:rPr>
            </w:pPr>
            <w:r w:rsidRPr="00386871">
              <w:rPr>
                <w:b/>
              </w:rPr>
              <w:t>Statutory copyright exception authorizing cultural heritage institutions to use copyrighted works in digital formats for the primary purpose of making the works available for viewing and other uses on terminals at the institution.</w:t>
            </w:r>
            <w:r>
              <w:rPr>
                <w:b/>
              </w:rPr>
              <w:t xml:space="preserve"> This chart can guide lawmakers in Member States as they draft new or revised statutory exceptions, which have practical application and address interests reflected in the three-step test. Such a statute that allows access </w:t>
            </w:r>
            <w:proofErr w:type="gramStart"/>
            <w:r>
              <w:rPr>
                <w:b/>
              </w:rPr>
              <w:t>on</w:t>
            </w:r>
            <w:proofErr w:type="gramEnd"/>
            <w:r>
              <w:rPr>
                <w:b/>
              </w:rPr>
              <w:t xml:space="preserve"> dedicated terminals may also be consistent with the European Union Information Society Directive of 2001, where this concept was advanced.</w:t>
            </w:r>
          </w:p>
          <w:p w14:paraId="72B57659" w14:textId="77777777" w:rsidR="00C019A0" w:rsidRPr="00386871" w:rsidRDefault="00C019A0" w:rsidP="008069EB">
            <w:pPr>
              <w:rPr>
                <w:b/>
              </w:rPr>
            </w:pPr>
          </w:p>
        </w:tc>
      </w:tr>
      <w:tr w:rsidR="00C019A0" w:rsidRPr="00386871" w14:paraId="2C8C86B1" w14:textId="77777777" w:rsidTr="008069EB">
        <w:tc>
          <w:tcPr>
            <w:tcW w:w="2245" w:type="dxa"/>
          </w:tcPr>
          <w:p w14:paraId="6E4AC64F" w14:textId="77777777" w:rsidR="00C019A0" w:rsidRPr="00E07B6B" w:rsidRDefault="00C019A0" w:rsidP="008069EB">
            <w:pPr>
              <w:rPr>
                <w:b/>
                <w:sz w:val="20"/>
                <w:szCs w:val="20"/>
              </w:rPr>
            </w:pPr>
            <w:r w:rsidRPr="00E07B6B">
              <w:rPr>
                <w:b/>
                <w:sz w:val="20"/>
                <w:szCs w:val="20"/>
              </w:rPr>
              <w:t>St</w:t>
            </w:r>
            <w:r>
              <w:rPr>
                <w:b/>
                <w:sz w:val="20"/>
                <w:szCs w:val="20"/>
              </w:rPr>
              <w:t>age</w:t>
            </w:r>
            <w:r w:rsidRPr="00E07B6B">
              <w:rPr>
                <w:b/>
                <w:sz w:val="20"/>
                <w:szCs w:val="20"/>
              </w:rPr>
              <w:t xml:space="preserve"> ONE:</w:t>
            </w:r>
          </w:p>
          <w:p w14:paraId="45A6B0BF" w14:textId="77777777" w:rsidR="00C019A0" w:rsidRPr="00E07B6B" w:rsidRDefault="00C019A0" w:rsidP="008069EB">
            <w:pPr>
              <w:rPr>
                <w:b/>
                <w:sz w:val="20"/>
                <w:szCs w:val="20"/>
              </w:rPr>
            </w:pPr>
            <w:r w:rsidRPr="00E07B6B">
              <w:rPr>
                <w:b/>
                <w:sz w:val="20"/>
                <w:szCs w:val="20"/>
              </w:rPr>
              <w:t>Specify Intended activities that can expand access.</w:t>
            </w:r>
          </w:p>
          <w:p w14:paraId="26D76688" w14:textId="77777777" w:rsidR="00C019A0" w:rsidRPr="00E07B6B" w:rsidRDefault="00C019A0" w:rsidP="008069EB">
            <w:pPr>
              <w:rPr>
                <w:sz w:val="20"/>
                <w:szCs w:val="20"/>
              </w:rPr>
            </w:pPr>
          </w:p>
        </w:tc>
        <w:tc>
          <w:tcPr>
            <w:tcW w:w="1980" w:type="dxa"/>
          </w:tcPr>
          <w:p w14:paraId="30852C66" w14:textId="77777777" w:rsidR="00C019A0" w:rsidRPr="00E07B6B" w:rsidRDefault="00C019A0" w:rsidP="008069EB">
            <w:pPr>
              <w:rPr>
                <w:b/>
                <w:sz w:val="20"/>
                <w:szCs w:val="20"/>
              </w:rPr>
            </w:pPr>
            <w:r w:rsidRPr="00E07B6B">
              <w:rPr>
                <w:b/>
                <w:sz w:val="20"/>
                <w:szCs w:val="20"/>
              </w:rPr>
              <w:t>St</w:t>
            </w:r>
            <w:r>
              <w:rPr>
                <w:b/>
                <w:sz w:val="20"/>
                <w:szCs w:val="20"/>
              </w:rPr>
              <w:t>age</w:t>
            </w:r>
            <w:r w:rsidRPr="00E07B6B">
              <w:rPr>
                <w:b/>
                <w:sz w:val="20"/>
                <w:szCs w:val="20"/>
              </w:rPr>
              <w:t xml:space="preserve"> TWO:</w:t>
            </w:r>
          </w:p>
          <w:p w14:paraId="0005195A" w14:textId="77777777" w:rsidR="00C019A0" w:rsidRDefault="00C019A0" w:rsidP="008069EB">
            <w:pPr>
              <w:rPr>
                <w:b/>
                <w:sz w:val="20"/>
                <w:szCs w:val="20"/>
              </w:rPr>
            </w:pPr>
            <w:r w:rsidRPr="00E07B6B">
              <w:rPr>
                <w:b/>
                <w:sz w:val="20"/>
                <w:szCs w:val="20"/>
              </w:rPr>
              <w:t>Identify ownership rights that could be affected.</w:t>
            </w:r>
          </w:p>
          <w:p w14:paraId="5EAA526F" w14:textId="77777777" w:rsidR="00C019A0" w:rsidRPr="00E07B6B" w:rsidRDefault="00C019A0" w:rsidP="008069EB">
            <w:pPr>
              <w:rPr>
                <w:b/>
                <w:sz w:val="20"/>
                <w:szCs w:val="20"/>
              </w:rPr>
            </w:pPr>
          </w:p>
        </w:tc>
        <w:tc>
          <w:tcPr>
            <w:tcW w:w="3150" w:type="dxa"/>
          </w:tcPr>
          <w:p w14:paraId="472943C4" w14:textId="77777777" w:rsidR="00C019A0" w:rsidRPr="00E07B6B" w:rsidRDefault="00C019A0" w:rsidP="008069EB">
            <w:pPr>
              <w:rPr>
                <w:b/>
                <w:sz w:val="20"/>
                <w:szCs w:val="20"/>
              </w:rPr>
            </w:pPr>
            <w:r w:rsidRPr="00E07B6B">
              <w:rPr>
                <w:b/>
                <w:sz w:val="20"/>
                <w:szCs w:val="20"/>
              </w:rPr>
              <w:t>St</w:t>
            </w:r>
            <w:r>
              <w:rPr>
                <w:b/>
                <w:sz w:val="20"/>
                <w:szCs w:val="20"/>
              </w:rPr>
              <w:t>age</w:t>
            </w:r>
            <w:r w:rsidRPr="00E07B6B">
              <w:rPr>
                <w:b/>
                <w:sz w:val="20"/>
                <w:szCs w:val="20"/>
              </w:rPr>
              <w:t xml:space="preserve"> THREE:</w:t>
            </w:r>
          </w:p>
          <w:p w14:paraId="15199CEF" w14:textId="77777777" w:rsidR="00C019A0" w:rsidRPr="00E07B6B" w:rsidRDefault="00C019A0" w:rsidP="008069EB">
            <w:pPr>
              <w:rPr>
                <w:b/>
                <w:sz w:val="20"/>
                <w:szCs w:val="20"/>
              </w:rPr>
            </w:pPr>
            <w:r w:rsidRPr="00E07B6B">
              <w:rPr>
                <w:b/>
                <w:sz w:val="20"/>
                <w:szCs w:val="20"/>
              </w:rPr>
              <w:t>Elements of Relevant Statutory Exceptions or Policy Measures</w:t>
            </w:r>
          </w:p>
        </w:tc>
        <w:tc>
          <w:tcPr>
            <w:tcW w:w="2610" w:type="dxa"/>
          </w:tcPr>
          <w:p w14:paraId="12A6316D" w14:textId="77777777" w:rsidR="00C019A0" w:rsidRPr="00E07B6B" w:rsidRDefault="00C019A0" w:rsidP="008069EB">
            <w:pPr>
              <w:rPr>
                <w:b/>
                <w:sz w:val="20"/>
                <w:szCs w:val="20"/>
              </w:rPr>
            </w:pPr>
          </w:p>
          <w:p w14:paraId="0CC2E9B5" w14:textId="77777777" w:rsidR="00C019A0" w:rsidRPr="00E07B6B" w:rsidRDefault="00C019A0" w:rsidP="008069EB">
            <w:pPr>
              <w:rPr>
                <w:b/>
                <w:sz w:val="20"/>
                <w:szCs w:val="20"/>
              </w:rPr>
            </w:pPr>
            <w:r w:rsidRPr="00E07B6B">
              <w:rPr>
                <w:b/>
                <w:sz w:val="20"/>
                <w:szCs w:val="20"/>
              </w:rPr>
              <w:t>Sample clauses and terms for possible inclusion in the relevant statute.</w:t>
            </w:r>
          </w:p>
        </w:tc>
      </w:tr>
      <w:tr w:rsidR="00C019A0" w:rsidRPr="00386871" w14:paraId="0ED7C741" w14:textId="77777777" w:rsidTr="008069EB">
        <w:tc>
          <w:tcPr>
            <w:tcW w:w="2245" w:type="dxa"/>
          </w:tcPr>
          <w:p w14:paraId="26180826" w14:textId="77777777" w:rsidR="00C019A0" w:rsidRPr="00386871" w:rsidRDefault="00C019A0" w:rsidP="008069EB">
            <w:pPr>
              <w:rPr>
                <w:iCs/>
              </w:rPr>
            </w:pPr>
          </w:p>
          <w:p w14:paraId="02FD571A" w14:textId="77777777" w:rsidR="00C019A0" w:rsidRPr="008C400A" w:rsidRDefault="00C019A0" w:rsidP="008069EB">
            <w:pPr>
              <w:rPr>
                <w:i/>
                <w:iCs/>
                <w:sz w:val="20"/>
                <w:szCs w:val="20"/>
              </w:rPr>
            </w:pPr>
            <w:r w:rsidRPr="008C400A">
              <w:rPr>
                <w:i/>
                <w:iCs/>
                <w:sz w:val="20"/>
                <w:szCs w:val="20"/>
              </w:rPr>
              <w:t>List specific and practical actions that are part of providing the service. Examples begin with making and retaining digital copies.</w:t>
            </w:r>
          </w:p>
          <w:p w14:paraId="4C0323E3" w14:textId="77777777" w:rsidR="00C019A0" w:rsidRPr="008C400A" w:rsidRDefault="00C019A0" w:rsidP="008069EB"/>
        </w:tc>
        <w:tc>
          <w:tcPr>
            <w:tcW w:w="1980" w:type="dxa"/>
          </w:tcPr>
          <w:p w14:paraId="2F849216" w14:textId="77777777" w:rsidR="00C019A0" w:rsidRPr="00386871" w:rsidRDefault="00C019A0" w:rsidP="008069EB">
            <w:pPr>
              <w:rPr>
                <w:iCs/>
              </w:rPr>
            </w:pPr>
          </w:p>
          <w:p w14:paraId="0BE51F93" w14:textId="77777777" w:rsidR="00C019A0" w:rsidRPr="008C400A" w:rsidRDefault="00C019A0" w:rsidP="008069EB">
            <w:pPr>
              <w:rPr>
                <w:iCs/>
                <w:sz w:val="20"/>
                <w:szCs w:val="20"/>
              </w:rPr>
            </w:pPr>
            <w:r w:rsidRPr="008C400A">
              <w:rPr>
                <w:i/>
                <w:sz w:val="20"/>
                <w:szCs w:val="20"/>
              </w:rPr>
              <w:t>List the legal rights held by rightsholders that may be affected. Examples begin with reproduction and making available.</w:t>
            </w:r>
          </w:p>
          <w:p w14:paraId="6FF90C1D" w14:textId="77777777" w:rsidR="00C019A0" w:rsidRPr="00386871" w:rsidRDefault="00C019A0" w:rsidP="008069EB"/>
        </w:tc>
        <w:tc>
          <w:tcPr>
            <w:tcW w:w="3150" w:type="dxa"/>
          </w:tcPr>
          <w:p w14:paraId="405299D7" w14:textId="77777777" w:rsidR="00C019A0" w:rsidRPr="00386871" w:rsidRDefault="00C019A0" w:rsidP="008069EB">
            <w:pPr>
              <w:rPr>
                <w:i/>
              </w:rPr>
            </w:pPr>
          </w:p>
          <w:p w14:paraId="3BE496C3" w14:textId="77777777" w:rsidR="00C019A0" w:rsidRDefault="00C019A0" w:rsidP="008069EB">
            <w:pPr>
              <w:rPr>
                <w:i/>
                <w:sz w:val="20"/>
                <w:szCs w:val="20"/>
              </w:rPr>
            </w:pPr>
            <w:r w:rsidRPr="008C400A">
              <w:rPr>
                <w:i/>
                <w:sz w:val="20"/>
                <w:szCs w:val="20"/>
              </w:rPr>
              <w:t>Summarize and outline the elements or specific terms that the lawmakers have chosen to include in the proposed new or revised st</w:t>
            </w:r>
            <w:r>
              <w:rPr>
                <w:i/>
                <w:sz w:val="20"/>
                <w:szCs w:val="20"/>
              </w:rPr>
              <w:t>atute.</w:t>
            </w:r>
          </w:p>
          <w:p w14:paraId="4B787F85" w14:textId="77777777" w:rsidR="00C019A0" w:rsidRPr="008C400A" w:rsidRDefault="00C019A0" w:rsidP="008069EB">
            <w:pPr>
              <w:rPr>
                <w:iCs/>
                <w:sz w:val="20"/>
                <w:szCs w:val="20"/>
              </w:rPr>
            </w:pPr>
          </w:p>
        </w:tc>
        <w:tc>
          <w:tcPr>
            <w:tcW w:w="2610" w:type="dxa"/>
          </w:tcPr>
          <w:p w14:paraId="68C0F27F" w14:textId="77777777" w:rsidR="00C019A0" w:rsidRPr="00386871" w:rsidRDefault="00C019A0" w:rsidP="008069EB"/>
          <w:p w14:paraId="4D23E287" w14:textId="77777777" w:rsidR="00C019A0" w:rsidRDefault="00C019A0" w:rsidP="008069EB">
            <w:pPr>
              <w:rPr>
                <w:i/>
                <w:iCs/>
                <w:sz w:val="20"/>
                <w:szCs w:val="20"/>
              </w:rPr>
            </w:pPr>
            <w:r>
              <w:rPr>
                <w:i/>
                <w:iCs/>
                <w:sz w:val="20"/>
                <w:szCs w:val="20"/>
              </w:rPr>
              <w:t>Draft a series of individual clauses that may be included in the final statute as enacted by a Member State and reflect the elements and policy positions chosen to be appropriate for that country.</w:t>
            </w:r>
          </w:p>
          <w:p w14:paraId="74B64090" w14:textId="77777777" w:rsidR="00C019A0" w:rsidRPr="00030A3C" w:rsidRDefault="00C019A0" w:rsidP="008069EB">
            <w:pPr>
              <w:rPr>
                <w:sz w:val="20"/>
                <w:szCs w:val="20"/>
              </w:rPr>
            </w:pPr>
          </w:p>
        </w:tc>
      </w:tr>
    </w:tbl>
    <w:p w14:paraId="0703D4AB" w14:textId="77777777" w:rsidR="00C019A0" w:rsidRDefault="00C019A0" w:rsidP="00C019A0"/>
    <w:p w14:paraId="3902659C" w14:textId="77777777" w:rsidR="00C019A0" w:rsidRDefault="00C019A0" w:rsidP="00C019A0"/>
    <w:p w14:paraId="2C00E212" w14:textId="77777777" w:rsidR="00C019A0" w:rsidRDefault="00C019A0" w:rsidP="00C019A0"/>
    <w:p w14:paraId="38EDA28F" w14:textId="77777777" w:rsidR="00C019A0" w:rsidRDefault="00C019A0" w:rsidP="00C019A0">
      <w:r>
        <w:br w:type="page"/>
      </w:r>
    </w:p>
    <w:p w14:paraId="0F820F82" w14:textId="77777777" w:rsidR="00C019A0" w:rsidRDefault="00C019A0" w:rsidP="00C019A0">
      <w:pPr>
        <w:pStyle w:val="Level1"/>
      </w:pPr>
      <w:bookmarkStart w:id="14" w:name="_Toc219210264"/>
      <w:r w:rsidRPr="008877CD">
        <w:t>Part I:</w:t>
      </w:r>
      <w:bookmarkStart w:id="15" w:name="_n1xnn7jw63k5" w:colFirst="0" w:colLast="0"/>
      <w:bookmarkStart w:id="16" w:name="_zdlxuqvvi0tc" w:colFirst="0" w:colLast="0"/>
      <w:bookmarkStart w:id="17" w:name="_v6ukow37lacz" w:colFirst="0" w:colLast="0"/>
      <w:bookmarkStart w:id="18" w:name="_80h2x6am2u7" w:colFirst="0" w:colLast="0"/>
      <w:bookmarkStart w:id="19" w:name="_qqnnb9mmvfv0" w:colFirst="0" w:colLast="0"/>
      <w:bookmarkEnd w:id="15"/>
      <w:bookmarkEnd w:id="16"/>
      <w:bookmarkEnd w:id="17"/>
      <w:bookmarkEnd w:id="18"/>
      <w:bookmarkEnd w:id="19"/>
      <w:r w:rsidRPr="008877CD">
        <w:t xml:space="preserve"> The Purpose and Importance of Access</w:t>
      </w:r>
      <w:bookmarkEnd w:id="14"/>
    </w:p>
    <w:p w14:paraId="0B99B39D" w14:textId="77777777" w:rsidR="00C019A0" w:rsidRPr="008877CD" w:rsidRDefault="00C019A0" w:rsidP="00C019A0">
      <w:pPr>
        <w:rPr>
          <w:rFonts w:eastAsia="Times New Roman"/>
          <w:b/>
          <w:bCs/>
          <w:color w:val="000000"/>
          <w:szCs w:val="22"/>
        </w:rPr>
      </w:pPr>
    </w:p>
    <w:p w14:paraId="228C4928" w14:textId="77777777" w:rsidR="00C019A0" w:rsidRPr="008877CD" w:rsidRDefault="00C019A0" w:rsidP="00C019A0">
      <w:pPr>
        <w:pStyle w:val="Level2"/>
        <w:numPr>
          <w:ilvl w:val="0"/>
          <w:numId w:val="27"/>
        </w:numPr>
        <w:ind w:left="426"/>
      </w:pPr>
      <w:bookmarkStart w:id="20" w:name="_Toc219210265"/>
      <w:r w:rsidRPr="008877CD">
        <w:t>Stewardship and Cultural Heritage Institutions</w:t>
      </w:r>
      <w:bookmarkEnd w:id="20"/>
    </w:p>
    <w:p w14:paraId="7ADF4311" w14:textId="77777777" w:rsidR="00C019A0" w:rsidRDefault="00C019A0" w:rsidP="00C019A0">
      <w:pPr>
        <w:rPr>
          <w:rFonts w:eastAsia="Times New Roman"/>
          <w:color w:val="000000"/>
          <w:szCs w:val="22"/>
        </w:rPr>
      </w:pPr>
    </w:p>
    <w:p w14:paraId="621CE493" w14:textId="77777777" w:rsidR="00C019A0" w:rsidRPr="008877CD" w:rsidRDefault="00C019A0" w:rsidP="00C019A0">
      <w:pPr>
        <w:rPr>
          <w:rFonts w:eastAsia="Times New Roman"/>
          <w:color w:val="000000"/>
          <w:szCs w:val="22"/>
        </w:rPr>
      </w:pPr>
      <w:r w:rsidRPr="008877CD">
        <w:rPr>
          <w:rFonts w:eastAsia="Times New Roman"/>
          <w:color w:val="000000"/>
          <w:szCs w:val="22"/>
        </w:rPr>
        <w:t xml:space="preserve">Cultural heritage institutions, such as museums, archives, and libraries, play a pivotal role in preserving the rich and diverse histories of every society. They house objects, artworks, films, music, documents, and other materials that offer a window </w:t>
      </w:r>
      <w:proofErr w:type="gramStart"/>
      <w:r w:rsidRPr="008877CD">
        <w:rPr>
          <w:rFonts w:eastAsia="Times New Roman"/>
          <w:color w:val="000000"/>
          <w:szCs w:val="22"/>
        </w:rPr>
        <w:t>into</w:t>
      </w:r>
      <w:proofErr w:type="gramEnd"/>
      <w:r w:rsidRPr="008877CD">
        <w:rPr>
          <w:rFonts w:eastAsia="Times New Roman"/>
          <w:color w:val="000000"/>
          <w:szCs w:val="22"/>
        </w:rPr>
        <w:t xml:space="preserve"> our collective past, informing</w:t>
      </w:r>
      <w:r>
        <w:rPr>
          <w:rFonts w:eastAsia="Times New Roman"/>
          <w:color w:val="000000"/>
          <w:szCs w:val="22"/>
        </w:rPr>
        <w:t xml:space="preserve"> us about</w:t>
      </w:r>
      <w:r w:rsidRPr="008877CD">
        <w:rPr>
          <w:rFonts w:eastAsia="Times New Roman"/>
          <w:color w:val="000000"/>
          <w:szCs w:val="22"/>
        </w:rPr>
        <w:t xml:space="preserve"> our present and shaping our future. </w:t>
      </w:r>
      <w:bookmarkStart w:id="21" w:name="_Hlk216208599"/>
      <w:r w:rsidRPr="008877CD">
        <w:rPr>
          <w:rFonts w:eastAsia="Times New Roman"/>
          <w:color w:val="000000"/>
          <w:szCs w:val="22"/>
        </w:rPr>
        <w:t>At the heart of each institution’s mission is the obligation to provide access to the collections they manage, and in doing so, enable people from all walks of life to interact with, experience</w:t>
      </w:r>
      <w:r>
        <w:rPr>
          <w:rFonts w:eastAsia="Times New Roman"/>
          <w:color w:val="000000"/>
          <w:szCs w:val="22"/>
        </w:rPr>
        <w:t>,</w:t>
      </w:r>
      <w:r w:rsidRPr="008877CD">
        <w:rPr>
          <w:rFonts w:eastAsia="Times New Roman"/>
          <w:color w:val="000000"/>
          <w:szCs w:val="22"/>
        </w:rPr>
        <w:t xml:space="preserve"> and learn from cultural heritage. </w:t>
      </w:r>
      <w:bookmarkEnd w:id="21"/>
    </w:p>
    <w:p w14:paraId="0979CFEB" w14:textId="77777777" w:rsidR="00C019A0" w:rsidRDefault="00C019A0" w:rsidP="00C019A0">
      <w:pPr>
        <w:rPr>
          <w:rFonts w:eastAsia="Times New Roman"/>
          <w:color w:val="000000"/>
          <w:szCs w:val="22"/>
        </w:rPr>
      </w:pPr>
    </w:p>
    <w:p w14:paraId="212A2F28" w14:textId="77777777" w:rsidR="00C019A0" w:rsidRDefault="00C019A0" w:rsidP="00C019A0">
      <w:pPr>
        <w:rPr>
          <w:rFonts w:eastAsia="Times New Roman"/>
          <w:color w:val="000000"/>
          <w:szCs w:val="22"/>
        </w:rPr>
      </w:pPr>
      <w:r w:rsidRPr="008877CD">
        <w:rPr>
          <w:rFonts w:eastAsia="Times New Roman"/>
          <w:color w:val="000000"/>
          <w:szCs w:val="22"/>
        </w:rPr>
        <w:t xml:space="preserve">Part I of the toolkit explores the key elements of access within cultural heritage institutions. By identifying and delving into the essential features that define access within those institutions, this toolkit also examines how the mission drives their approach to access. Providing access to the materials in their custody forms a critical part of their stewardship. This Part I provides an understanding of why access is important, what drives cultural heritage institutions to prioritize it, and their responsibility to assure access. </w:t>
      </w:r>
    </w:p>
    <w:p w14:paraId="6A5FE1A1" w14:textId="77777777" w:rsidR="00C019A0" w:rsidRPr="008877CD" w:rsidRDefault="00C019A0" w:rsidP="00C019A0">
      <w:pPr>
        <w:rPr>
          <w:rFonts w:eastAsia="Times New Roman"/>
          <w:color w:val="000000"/>
          <w:szCs w:val="22"/>
        </w:rPr>
      </w:pPr>
    </w:p>
    <w:p w14:paraId="7B5FBDFE" w14:textId="77777777" w:rsidR="00C019A0" w:rsidRDefault="00C019A0" w:rsidP="00C019A0">
      <w:pPr>
        <w:rPr>
          <w:rFonts w:eastAsia="Times New Roman"/>
          <w:color w:val="000000"/>
          <w:szCs w:val="22"/>
        </w:rPr>
      </w:pPr>
      <w:r>
        <w:rPr>
          <w:rFonts w:eastAsia="Times New Roman"/>
          <w:color w:val="000000"/>
          <w:szCs w:val="22"/>
        </w:rPr>
        <w:t xml:space="preserve">This toolkit also </w:t>
      </w:r>
      <w:proofErr w:type="gramStart"/>
      <w:r>
        <w:rPr>
          <w:rFonts w:eastAsia="Times New Roman"/>
          <w:color w:val="000000"/>
          <w:szCs w:val="22"/>
        </w:rPr>
        <w:t xml:space="preserve">gives </w:t>
      </w:r>
      <w:r w:rsidRPr="008877CD">
        <w:rPr>
          <w:rFonts w:eastAsia="Times New Roman"/>
          <w:color w:val="000000"/>
          <w:szCs w:val="22"/>
        </w:rPr>
        <w:t>consideration to</w:t>
      </w:r>
      <w:proofErr w:type="gramEnd"/>
      <w:r w:rsidRPr="008877CD">
        <w:rPr>
          <w:rFonts w:eastAsia="Times New Roman"/>
          <w:color w:val="000000"/>
          <w:szCs w:val="22"/>
        </w:rPr>
        <w:t xml:space="preserve"> the international legal frameworks pertaining to copyright and the conditions under which access to protected works is permitted. This sets the stage for providing practical guidance on how to navigate</w:t>
      </w:r>
      <w:r>
        <w:rPr>
          <w:rFonts w:eastAsia="Times New Roman"/>
          <w:color w:val="000000"/>
          <w:szCs w:val="22"/>
        </w:rPr>
        <w:t xml:space="preserve"> new opportunities along with</w:t>
      </w:r>
      <w:r w:rsidRPr="008877CD">
        <w:rPr>
          <w:rFonts w:eastAsia="Times New Roman"/>
          <w:color w:val="000000"/>
          <w:szCs w:val="22"/>
        </w:rPr>
        <w:t xml:space="preserve"> potential challenges </w:t>
      </w:r>
      <w:r>
        <w:rPr>
          <w:rFonts w:eastAsia="Times New Roman"/>
          <w:color w:val="000000"/>
          <w:szCs w:val="22"/>
        </w:rPr>
        <w:t xml:space="preserve">to facilitate responsible access </w:t>
      </w:r>
      <w:proofErr w:type="gramStart"/>
      <w:r>
        <w:rPr>
          <w:rFonts w:eastAsia="Times New Roman"/>
          <w:color w:val="000000"/>
          <w:szCs w:val="22"/>
        </w:rPr>
        <w:t>consistent</w:t>
      </w:r>
      <w:proofErr w:type="gramEnd"/>
      <w:r>
        <w:rPr>
          <w:rFonts w:eastAsia="Times New Roman"/>
          <w:color w:val="000000"/>
          <w:szCs w:val="22"/>
        </w:rPr>
        <w:t xml:space="preserve"> with </w:t>
      </w:r>
      <w:proofErr w:type="gramStart"/>
      <w:r>
        <w:rPr>
          <w:rFonts w:eastAsia="Times New Roman"/>
          <w:color w:val="000000"/>
          <w:szCs w:val="22"/>
        </w:rPr>
        <w:t>the respect</w:t>
      </w:r>
      <w:proofErr w:type="gramEnd"/>
      <w:r>
        <w:rPr>
          <w:rFonts w:eastAsia="Times New Roman"/>
          <w:color w:val="000000"/>
          <w:szCs w:val="22"/>
        </w:rPr>
        <w:t xml:space="preserve"> for copyright</w:t>
      </w:r>
      <w:r w:rsidRPr="008877CD">
        <w:rPr>
          <w:rFonts w:eastAsia="Times New Roman"/>
          <w:color w:val="000000"/>
          <w:szCs w:val="22"/>
        </w:rPr>
        <w:t>. By understanding these core elements, we can better appreciate the delicate balance cultural heritage institutions must maintain in fulfilling their mission of providing access whilst ensuring compliance with copyright laws.</w:t>
      </w:r>
    </w:p>
    <w:p w14:paraId="2308B7AE" w14:textId="77777777" w:rsidR="00C019A0" w:rsidRDefault="00C019A0" w:rsidP="00C019A0">
      <w:pPr>
        <w:rPr>
          <w:rFonts w:eastAsia="Times New Roman"/>
          <w:color w:val="000000"/>
          <w:szCs w:val="22"/>
        </w:rPr>
      </w:pPr>
    </w:p>
    <w:p w14:paraId="207B522C" w14:textId="77777777" w:rsidR="00C019A0" w:rsidRPr="00B37FA3" w:rsidRDefault="00C019A0" w:rsidP="00C019A0">
      <w:pPr>
        <w:pStyle w:val="Level2"/>
      </w:pPr>
      <w:bookmarkStart w:id="22" w:name="_Toc219210266"/>
      <w:r>
        <w:t>T</w:t>
      </w:r>
      <w:r w:rsidRPr="00B37FA3">
        <w:t>he Duty of Care and the Provision of Access</w:t>
      </w:r>
      <w:bookmarkEnd w:id="22"/>
    </w:p>
    <w:p w14:paraId="360C3229" w14:textId="77777777" w:rsidR="00C019A0" w:rsidRDefault="00C019A0" w:rsidP="00C019A0">
      <w:pPr>
        <w:rPr>
          <w:rFonts w:eastAsia="Times New Roman"/>
          <w:color w:val="000000"/>
          <w:szCs w:val="22"/>
        </w:rPr>
      </w:pPr>
    </w:p>
    <w:p w14:paraId="0CED1003" w14:textId="77777777" w:rsidR="00C019A0" w:rsidRDefault="00C019A0" w:rsidP="00C019A0">
      <w:pPr>
        <w:rPr>
          <w:rFonts w:eastAsia="Times New Roman"/>
          <w:color w:val="000000"/>
          <w:szCs w:val="22"/>
        </w:rPr>
      </w:pPr>
      <w:r w:rsidRPr="0029060D">
        <w:rPr>
          <w:rFonts w:eastAsia="Times New Roman"/>
          <w:color w:val="000000"/>
          <w:szCs w:val="22"/>
        </w:rPr>
        <w:t xml:space="preserve">Fundamental to the mission of cultural heritage institutions </w:t>
      </w:r>
      <w:r>
        <w:rPr>
          <w:rFonts w:eastAsia="Times New Roman"/>
          <w:color w:val="000000"/>
          <w:szCs w:val="22"/>
        </w:rPr>
        <w:t xml:space="preserve">are their </w:t>
      </w:r>
      <w:r w:rsidRPr="0029060D">
        <w:rPr>
          <w:rFonts w:eastAsia="Times New Roman"/>
          <w:color w:val="000000"/>
          <w:szCs w:val="22"/>
        </w:rPr>
        <w:t>dual responsibilit</w:t>
      </w:r>
      <w:r>
        <w:rPr>
          <w:rFonts w:eastAsia="Times New Roman"/>
          <w:color w:val="000000"/>
          <w:szCs w:val="22"/>
        </w:rPr>
        <w:t>ies</w:t>
      </w:r>
      <w:r w:rsidRPr="0029060D">
        <w:rPr>
          <w:rFonts w:eastAsia="Times New Roman"/>
          <w:color w:val="000000"/>
          <w:szCs w:val="22"/>
        </w:rPr>
        <w:t>: to preserve the invaluable collections entrusted to them and to make these resources accessible to the public. Ensuring that cultural materials are safeguarded for future generations while allowing current audiences to engage with them in meaningful ways is at the core of their mission. There are, however, significant legal, ethical, and practical considerations at play when contemplating the provision of access to heritage collections.</w:t>
      </w:r>
    </w:p>
    <w:p w14:paraId="7D8BF0A5" w14:textId="77777777" w:rsidR="00C019A0" w:rsidRPr="0029060D" w:rsidRDefault="00C019A0" w:rsidP="00C019A0">
      <w:pPr>
        <w:rPr>
          <w:rFonts w:eastAsia="Times New Roman"/>
          <w:color w:val="000000"/>
          <w:szCs w:val="22"/>
        </w:rPr>
      </w:pPr>
    </w:p>
    <w:p w14:paraId="7C9BD490" w14:textId="77777777" w:rsidR="00C019A0" w:rsidRDefault="00C019A0" w:rsidP="00C019A0">
      <w:pPr>
        <w:rPr>
          <w:rFonts w:eastAsia="Times New Roman"/>
          <w:color w:val="000000"/>
          <w:szCs w:val="22"/>
        </w:rPr>
      </w:pPr>
      <w:r w:rsidRPr="0029060D">
        <w:rPr>
          <w:rFonts w:eastAsia="Times New Roman"/>
          <w:color w:val="000000"/>
          <w:szCs w:val="22"/>
        </w:rPr>
        <w:t>Institutions must carefully manage th</w:t>
      </w:r>
      <w:r>
        <w:rPr>
          <w:rFonts w:eastAsia="Times New Roman"/>
          <w:color w:val="000000"/>
          <w:szCs w:val="22"/>
        </w:rPr>
        <w:t>ese</w:t>
      </w:r>
      <w:r w:rsidRPr="0029060D">
        <w:rPr>
          <w:rFonts w:eastAsia="Times New Roman"/>
          <w:color w:val="000000"/>
          <w:szCs w:val="22"/>
        </w:rPr>
        <w:t xml:space="preserve"> responsibilit</w:t>
      </w:r>
      <w:r>
        <w:rPr>
          <w:rFonts w:eastAsia="Times New Roman"/>
          <w:color w:val="000000"/>
          <w:szCs w:val="22"/>
        </w:rPr>
        <w:t>ies</w:t>
      </w:r>
      <w:r w:rsidRPr="0029060D">
        <w:rPr>
          <w:rFonts w:eastAsia="Times New Roman"/>
          <w:color w:val="000000"/>
          <w:szCs w:val="22"/>
        </w:rPr>
        <w:t xml:space="preserve"> </w:t>
      </w:r>
      <w:r>
        <w:rPr>
          <w:rFonts w:eastAsia="Times New Roman"/>
          <w:color w:val="000000"/>
          <w:szCs w:val="22"/>
        </w:rPr>
        <w:t>by</w:t>
      </w:r>
      <w:r w:rsidRPr="0029060D">
        <w:rPr>
          <w:rFonts w:eastAsia="Times New Roman"/>
          <w:color w:val="000000"/>
          <w:szCs w:val="22"/>
        </w:rPr>
        <w:t xml:space="preserve"> balanc</w:t>
      </w:r>
      <w:r>
        <w:rPr>
          <w:rFonts w:eastAsia="Times New Roman"/>
          <w:color w:val="000000"/>
          <w:szCs w:val="22"/>
        </w:rPr>
        <w:t>ing</w:t>
      </w:r>
      <w:r w:rsidRPr="0029060D">
        <w:rPr>
          <w:rFonts w:eastAsia="Times New Roman"/>
          <w:color w:val="000000"/>
          <w:szCs w:val="22"/>
        </w:rPr>
        <w:t xml:space="preserve"> </w:t>
      </w:r>
      <w:r>
        <w:rPr>
          <w:rFonts w:eastAsia="Times New Roman"/>
          <w:color w:val="000000"/>
          <w:szCs w:val="22"/>
        </w:rPr>
        <w:t xml:space="preserve">practical concerns: Assuring </w:t>
      </w:r>
      <w:r w:rsidRPr="0029060D">
        <w:rPr>
          <w:rFonts w:eastAsia="Times New Roman"/>
          <w:color w:val="000000"/>
          <w:szCs w:val="22"/>
        </w:rPr>
        <w:t>public availability</w:t>
      </w:r>
      <w:r>
        <w:rPr>
          <w:rFonts w:eastAsia="Times New Roman"/>
          <w:color w:val="000000"/>
          <w:szCs w:val="22"/>
        </w:rPr>
        <w:t>, respecting</w:t>
      </w:r>
      <w:r w:rsidRPr="0029060D">
        <w:rPr>
          <w:rFonts w:eastAsia="Times New Roman"/>
          <w:color w:val="000000"/>
          <w:szCs w:val="22"/>
        </w:rPr>
        <w:t xml:space="preserve"> the rights of creators</w:t>
      </w:r>
      <w:r>
        <w:rPr>
          <w:rFonts w:eastAsia="Times New Roman"/>
          <w:color w:val="000000"/>
          <w:szCs w:val="22"/>
        </w:rPr>
        <w:t>,</w:t>
      </w:r>
      <w:r w:rsidRPr="0029060D">
        <w:rPr>
          <w:rFonts w:eastAsia="Times New Roman"/>
          <w:color w:val="000000"/>
          <w:szCs w:val="22"/>
        </w:rPr>
        <w:t xml:space="preserve"> and protect</w:t>
      </w:r>
      <w:r>
        <w:rPr>
          <w:rFonts w:eastAsia="Times New Roman"/>
          <w:color w:val="000000"/>
          <w:szCs w:val="22"/>
        </w:rPr>
        <w:t>ing</w:t>
      </w:r>
      <w:r w:rsidRPr="0029060D">
        <w:rPr>
          <w:rFonts w:eastAsia="Times New Roman"/>
          <w:color w:val="000000"/>
          <w:szCs w:val="22"/>
        </w:rPr>
        <w:t xml:space="preserve"> fragile, rare, or culturally sensitive items. </w:t>
      </w:r>
      <w:r>
        <w:rPr>
          <w:rFonts w:eastAsia="Times New Roman"/>
          <w:color w:val="000000"/>
          <w:szCs w:val="22"/>
        </w:rPr>
        <w:t>Optimizing</w:t>
      </w:r>
      <w:r w:rsidRPr="0029060D">
        <w:rPr>
          <w:rFonts w:eastAsia="Times New Roman"/>
          <w:color w:val="000000"/>
          <w:szCs w:val="22"/>
        </w:rPr>
        <w:t xml:space="preserve"> access</w:t>
      </w:r>
      <w:r>
        <w:rPr>
          <w:rFonts w:eastAsia="Times New Roman"/>
          <w:color w:val="000000"/>
          <w:szCs w:val="22"/>
        </w:rPr>
        <w:t xml:space="preserve"> in this context raises </w:t>
      </w:r>
      <w:r w:rsidRPr="0029060D">
        <w:rPr>
          <w:rFonts w:eastAsia="Times New Roman"/>
          <w:color w:val="000000"/>
          <w:szCs w:val="22"/>
        </w:rPr>
        <w:t xml:space="preserve">ethical dimensions </w:t>
      </w:r>
      <w:r>
        <w:rPr>
          <w:rFonts w:eastAsia="Times New Roman"/>
          <w:color w:val="000000"/>
          <w:szCs w:val="22"/>
        </w:rPr>
        <w:t xml:space="preserve">and creates </w:t>
      </w:r>
      <w:r w:rsidRPr="0029060D">
        <w:rPr>
          <w:rFonts w:eastAsia="Times New Roman"/>
          <w:color w:val="000000"/>
          <w:szCs w:val="22"/>
        </w:rPr>
        <w:t xml:space="preserve">several challenges. In understanding these duties, </w:t>
      </w:r>
      <w:r>
        <w:rPr>
          <w:rFonts w:eastAsia="Times New Roman"/>
          <w:color w:val="000000"/>
          <w:szCs w:val="22"/>
        </w:rPr>
        <w:t>one</w:t>
      </w:r>
      <w:r w:rsidRPr="0029060D">
        <w:rPr>
          <w:rFonts w:eastAsia="Times New Roman"/>
          <w:color w:val="000000"/>
          <w:szCs w:val="22"/>
        </w:rPr>
        <w:t xml:space="preserve"> can appreciate the thoughtful, measured approach institutions must take in making their collections available while maintaining the integrity and respect these items deserve.</w:t>
      </w:r>
    </w:p>
    <w:p w14:paraId="01368470" w14:textId="77777777" w:rsidR="00C019A0" w:rsidRPr="0029060D" w:rsidRDefault="00C019A0" w:rsidP="00C019A0">
      <w:pPr>
        <w:rPr>
          <w:rFonts w:eastAsia="Times New Roman"/>
          <w:color w:val="000000"/>
          <w:szCs w:val="22"/>
        </w:rPr>
      </w:pPr>
    </w:p>
    <w:p w14:paraId="2383745C" w14:textId="77777777" w:rsidR="00C019A0" w:rsidRDefault="00C019A0" w:rsidP="00C019A0">
      <w:pPr>
        <w:rPr>
          <w:rFonts w:eastAsia="Times New Roman"/>
          <w:color w:val="000000"/>
          <w:szCs w:val="22"/>
        </w:rPr>
      </w:pPr>
      <w:r w:rsidRPr="008A7E35">
        <w:rPr>
          <w:rFonts w:eastAsia="Times New Roman"/>
          <w:color w:val="000000"/>
          <w:szCs w:val="22"/>
        </w:rPr>
        <w:t>Cultural heritage organizations</w:t>
      </w:r>
      <w:r>
        <w:rPr>
          <w:rFonts w:eastAsia="Times New Roman"/>
          <w:color w:val="000000"/>
          <w:szCs w:val="22"/>
        </w:rPr>
        <w:t xml:space="preserve"> – especially</w:t>
      </w:r>
      <w:r w:rsidRPr="008A7E35">
        <w:rPr>
          <w:rFonts w:eastAsia="Times New Roman"/>
          <w:color w:val="000000"/>
          <w:szCs w:val="22"/>
        </w:rPr>
        <w:t xml:space="preserve"> libraries, archives, and museums</w:t>
      </w:r>
      <w:r>
        <w:rPr>
          <w:rFonts w:eastAsia="Times New Roman"/>
          <w:color w:val="000000"/>
          <w:szCs w:val="22"/>
        </w:rPr>
        <w:t xml:space="preserve"> – </w:t>
      </w:r>
      <w:r w:rsidRPr="008A7E35">
        <w:rPr>
          <w:rFonts w:eastAsia="Times New Roman"/>
          <w:color w:val="000000"/>
          <w:szCs w:val="22"/>
        </w:rPr>
        <w:t>hold</w:t>
      </w:r>
      <w:r>
        <w:rPr>
          <w:rFonts w:eastAsia="Times New Roman"/>
          <w:color w:val="000000"/>
          <w:szCs w:val="22"/>
        </w:rPr>
        <w:t xml:space="preserve"> </w:t>
      </w:r>
      <w:r w:rsidRPr="008A7E35">
        <w:rPr>
          <w:rFonts w:eastAsia="Times New Roman"/>
          <w:color w:val="000000"/>
          <w:szCs w:val="22"/>
        </w:rPr>
        <w:t xml:space="preserve">collections in trust for the benefit of the </w:t>
      </w:r>
      <w:proofErr w:type="gramStart"/>
      <w:r w:rsidRPr="008A7E35">
        <w:rPr>
          <w:rFonts w:eastAsia="Times New Roman"/>
          <w:color w:val="000000"/>
          <w:szCs w:val="22"/>
        </w:rPr>
        <w:t>general public</w:t>
      </w:r>
      <w:proofErr w:type="gramEnd"/>
      <w:r>
        <w:rPr>
          <w:rFonts w:eastAsia="Times New Roman"/>
          <w:color w:val="000000"/>
          <w:szCs w:val="22"/>
        </w:rPr>
        <w:t>.</w:t>
      </w:r>
      <w:r>
        <w:rPr>
          <w:rStyle w:val="EndnoteReference"/>
          <w:rFonts w:eastAsia="Times New Roman"/>
          <w:color w:val="000000"/>
          <w:szCs w:val="22"/>
        </w:rPr>
        <w:endnoteReference w:id="7"/>
      </w:r>
      <w:r>
        <w:rPr>
          <w:rFonts w:eastAsia="Times New Roman"/>
          <w:color w:val="000000"/>
          <w:szCs w:val="22"/>
        </w:rPr>
        <w:t xml:space="preserve"> </w:t>
      </w:r>
      <w:r w:rsidRPr="008A7E35">
        <w:rPr>
          <w:rFonts w:eastAsia="Times New Roman"/>
          <w:color w:val="000000"/>
          <w:szCs w:val="22"/>
        </w:rPr>
        <w:t>The</w:t>
      </w:r>
      <w:r>
        <w:rPr>
          <w:rFonts w:eastAsia="Times New Roman"/>
          <w:color w:val="000000"/>
          <w:szCs w:val="22"/>
        </w:rPr>
        <w:t>ir</w:t>
      </w:r>
      <w:r w:rsidRPr="008A7E35">
        <w:rPr>
          <w:rFonts w:eastAsia="Times New Roman"/>
          <w:color w:val="000000"/>
          <w:szCs w:val="22"/>
        </w:rPr>
        <w:t xml:space="preserve"> duty of care and the mission to provide access</w:t>
      </w:r>
      <w:r>
        <w:rPr>
          <w:rFonts w:eastAsia="Times New Roman"/>
          <w:color w:val="000000"/>
          <w:szCs w:val="22"/>
        </w:rPr>
        <w:t xml:space="preserve"> –</w:t>
      </w:r>
      <w:r w:rsidRPr="008A7E35">
        <w:rPr>
          <w:rFonts w:eastAsia="Times New Roman"/>
          <w:color w:val="000000"/>
          <w:szCs w:val="22"/>
        </w:rPr>
        <w:t xml:space="preserve"> that is, to preserve and manage access to collections responsibly – is an inherent part of the trust relationship. This is largely the case whether the library, archive, or museum is publicly or privately funded. Cultural heritage organizations are subject to governing laws and ethics principles</w:t>
      </w:r>
      <w:r>
        <w:rPr>
          <w:rFonts w:eastAsia="Times New Roman"/>
          <w:color w:val="000000"/>
          <w:szCs w:val="22"/>
        </w:rPr>
        <w:t xml:space="preserve"> that are often overseen and applied by independent professional societies. Their</w:t>
      </w:r>
      <w:r w:rsidRPr="008A7E35">
        <w:rPr>
          <w:rFonts w:eastAsia="Times New Roman"/>
          <w:color w:val="000000"/>
          <w:szCs w:val="22"/>
        </w:rPr>
        <w:t xml:space="preserve"> adherence to </w:t>
      </w:r>
      <w:r>
        <w:rPr>
          <w:rFonts w:eastAsia="Times New Roman"/>
          <w:color w:val="000000"/>
          <w:szCs w:val="22"/>
        </w:rPr>
        <w:t>legal and ethical standards</w:t>
      </w:r>
      <w:r w:rsidRPr="008A7E35">
        <w:rPr>
          <w:rFonts w:eastAsia="Times New Roman"/>
          <w:color w:val="000000"/>
          <w:szCs w:val="22"/>
        </w:rPr>
        <w:t xml:space="preserve">, while stewarding collections in trust for the public, makes them trusted institutions. </w:t>
      </w:r>
      <w:bookmarkStart w:id="23" w:name="_Hlk216208999"/>
    </w:p>
    <w:p w14:paraId="0513C5B1" w14:textId="77777777" w:rsidR="00C019A0" w:rsidRPr="008A7E35" w:rsidRDefault="00C019A0" w:rsidP="00C019A0">
      <w:pPr>
        <w:rPr>
          <w:rFonts w:eastAsia="Times New Roman"/>
          <w:color w:val="000000"/>
          <w:szCs w:val="22"/>
        </w:rPr>
      </w:pPr>
    </w:p>
    <w:p w14:paraId="6293D53A" w14:textId="77777777" w:rsidR="00C019A0" w:rsidRPr="008A7E35" w:rsidRDefault="00C019A0" w:rsidP="00C019A0">
      <w:pPr>
        <w:rPr>
          <w:rFonts w:eastAsia="Times New Roman"/>
          <w:color w:val="000000"/>
          <w:szCs w:val="22"/>
        </w:rPr>
      </w:pPr>
      <w:r w:rsidRPr="008A7E35">
        <w:rPr>
          <w:rFonts w:eastAsia="Times New Roman"/>
          <w:color w:val="000000"/>
          <w:szCs w:val="22"/>
        </w:rPr>
        <w:t>Their duty of care and the mission to preserve and provide access to collections in trust for the public is often codified in legislation that establishes national, provincial, or regional collections.</w:t>
      </w:r>
      <w:r w:rsidRPr="000B4D65">
        <w:rPr>
          <w:rFonts w:eastAsia="Times New Roman"/>
          <w:color w:val="000000"/>
          <w:szCs w:val="22"/>
          <w:vertAlign w:val="superscript"/>
        </w:rPr>
        <w:endnoteReference w:id="8"/>
      </w:r>
      <w:r w:rsidRPr="000B4D65">
        <w:rPr>
          <w:rFonts w:eastAsia="Times New Roman"/>
          <w:color w:val="000000"/>
          <w:szCs w:val="22"/>
          <w:vertAlign w:val="superscript"/>
        </w:rPr>
        <w:t xml:space="preserve"> </w:t>
      </w:r>
      <w:r w:rsidRPr="008A7E35">
        <w:rPr>
          <w:rFonts w:eastAsia="Times New Roman"/>
          <w:color w:val="000000"/>
          <w:szCs w:val="22"/>
        </w:rPr>
        <w:t>Their duty of care and the mission to preserve may also be found in various cultural heritage laws, community standards, and professional protocols. Even in the case of independent and non-governmental cultural heritage organizations, their charter documents, bylaws, and policy statements can articulate in detail the duty of care and the mission to preserve collections in trust for the public, as fundamental to fulfilling their mission.</w:t>
      </w:r>
      <w:r w:rsidRPr="000B4D65">
        <w:rPr>
          <w:rFonts w:eastAsia="Times New Roman"/>
          <w:color w:val="000000"/>
          <w:szCs w:val="22"/>
          <w:vertAlign w:val="superscript"/>
        </w:rPr>
        <w:endnoteReference w:id="9"/>
      </w:r>
      <w:r w:rsidRPr="008A7E35">
        <w:rPr>
          <w:rFonts w:eastAsia="Times New Roman"/>
          <w:color w:val="000000"/>
          <w:szCs w:val="22"/>
        </w:rPr>
        <w:t xml:space="preserve"> Collections management policies that articulate these duties of care in greater detail are most often approved by the board of trustees, and the board is responsible for ensuring that their duty of care and mission driven activities are responsibly carried out by their professional staff.</w:t>
      </w:r>
      <w:r w:rsidRPr="000B4D65">
        <w:rPr>
          <w:rFonts w:eastAsia="Times New Roman"/>
          <w:color w:val="000000"/>
          <w:szCs w:val="22"/>
          <w:vertAlign w:val="superscript"/>
        </w:rPr>
        <w:endnoteReference w:id="10"/>
      </w:r>
      <w:r w:rsidRPr="000B4D65">
        <w:rPr>
          <w:rFonts w:eastAsia="Times New Roman"/>
          <w:color w:val="000000"/>
          <w:szCs w:val="22"/>
          <w:vertAlign w:val="superscript"/>
        </w:rPr>
        <w:t xml:space="preserve"> </w:t>
      </w:r>
      <w:r w:rsidRPr="008A7E35">
        <w:rPr>
          <w:rFonts w:eastAsia="Times New Roman"/>
          <w:color w:val="000000"/>
          <w:szCs w:val="22"/>
        </w:rPr>
        <w:t>The duty to care to provide access to collections also constitutes an important ethics principle. The International Council of Museums (ICOM) Code of Ethics</w:t>
      </w:r>
      <w:r w:rsidRPr="000B4D65">
        <w:rPr>
          <w:rFonts w:eastAsia="Times New Roman"/>
          <w:color w:val="000000"/>
          <w:szCs w:val="22"/>
          <w:vertAlign w:val="superscript"/>
        </w:rPr>
        <w:endnoteReference w:id="11"/>
      </w:r>
      <w:r w:rsidRPr="008A7E35">
        <w:rPr>
          <w:rFonts w:eastAsia="Times New Roman"/>
          <w:color w:val="000000"/>
          <w:szCs w:val="22"/>
        </w:rPr>
        <w:t xml:space="preserve"> includes the following principle: “Museums have particular responsibilities to all for the care, accessibility and interpretation of primary evidence collected and held in their collections.”</w:t>
      </w:r>
      <w:r w:rsidRPr="000B4D65">
        <w:rPr>
          <w:rFonts w:eastAsia="Times New Roman"/>
          <w:color w:val="000000"/>
          <w:szCs w:val="22"/>
          <w:vertAlign w:val="superscript"/>
        </w:rPr>
        <w:endnoteReference w:id="12"/>
      </w:r>
    </w:p>
    <w:p w14:paraId="5C6803EC" w14:textId="77777777" w:rsidR="00C019A0" w:rsidRDefault="00C019A0" w:rsidP="00C019A0">
      <w:pPr>
        <w:rPr>
          <w:rFonts w:eastAsia="Times New Roman"/>
          <w:color w:val="000000"/>
          <w:szCs w:val="22"/>
        </w:rPr>
      </w:pPr>
    </w:p>
    <w:p w14:paraId="1D6B61D5" w14:textId="77777777" w:rsidR="00C019A0" w:rsidRPr="00B0110F" w:rsidRDefault="00C019A0" w:rsidP="00C019A0">
      <w:pPr>
        <w:rPr>
          <w:rFonts w:eastAsia="Times New Roman"/>
          <w:color w:val="000000"/>
          <w:szCs w:val="22"/>
        </w:rPr>
      </w:pPr>
      <w:r w:rsidRPr="00B0110F">
        <w:rPr>
          <w:rFonts w:eastAsia="Times New Roman"/>
          <w:color w:val="000000"/>
          <w:szCs w:val="22"/>
        </w:rPr>
        <w:t xml:space="preserve">The International Federation of Library Associations and Institutions (IFLA) statement on </w:t>
      </w:r>
      <w:r w:rsidRPr="0071690F">
        <w:rPr>
          <w:rFonts w:eastAsia="Times New Roman"/>
          <w:i/>
          <w:iCs/>
          <w:color w:val="000000"/>
          <w:szCs w:val="22"/>
        </w:rPr>
        <w:t>Libraries Safeguarding Cultural Heritage</w:t>
      </w:r>
      <w:r w:rsidRPr="00B0110F">
        <w:rPr>
          <w:rFonts w:eastAsia="Times New Roman"/>
          <w:color w:val="000000"/>
          <w:szCs w:val="22"/>
        </w:rPr>
        <w:t xml:space="preserve"> defines a library’s duty of care to include both preservation and access. It provides: “Documentary works in all formats, including digital, are a key part of our cultural heritage. Working with, preserving, and safeguarding them </w:t>
      </w:r>
      <w:proofErr w:type="gramStart"/>
      <w:r w:rsidRPr="00B0110F">
        <w:rPr>
          <w:rFonts w:eastAsia="Times New Roman"/>
          <w:color w:val="000000"/>
          <w:szCs w:val="22"/>
        </w:rPr>
        <w:t>in order to</w:t>
      </w:r>
      <w:proofErr w:type="gramEnd"/>
      <w:r w:rsidRPr="00B0110F">
        <w:rPr>
          <w:rFonts w:eastAsia="Times New Roman"/>
          <w:color w:val="000000"/>
          <w:szCs w:val="22"/>
        </w:rPr>
        <w:t xml:space="preserve"> provide access to future generations is at the core of the work of libraries globally”.</w:t>
      </w:r>
      <w:r w:rsidRPr="000B4D65">
        <w:rPr>
          <w:rFonts w:eastAsia="Times New Roman"/>
          <w:color w:val="000000"/>
          <w:szCs w:val="22"/>
          <w:vertAlign w:val="superscript"/>
        </w:rPr>
        <w:endnoteReference w:id="13"/>
      </w:r>
      <w:r w:rsidRPr="00B0110F">
        <w:rPr>
          <w:rFonts w:eastAsia="Times New Roman"/>
          <w:color w:val="000000"/>
          <w:szCs w:val="22"/>
        </w:rPr>
        <w:t xml:space="preserve"> </w:t>
      </w:r>
    </w:p>
    <w:p w14:paraId="3B94EDD7" w14:textId="77777777" w:rsidR="00C019A0" w:rsidRDefault="00C019A0" w:rsidP="00C019A0">
      <w:pPr>
        <w:rPr>
          <w:rFonts w:eastAsia="Times New Roman"/>
          <w:color w:val="000000"/>
          <w:szCs w:val="22"/>
        </w:rPr>
      </w:pPr>
    </w:p>
    <w:p w14:paraId="5B751331" w14:textId="77777777" w:rsidR="00C019A0" w:rsidRDefault="00C019A0" w:rsidP="00C019A0">
      <w:pPr>
        <w:rPr>
          <w:rFonts w:eastAsia="Times New Roman"/>
          <w:color w:val="000000"/>
          <w:szCs w:val="22"/>
        </w:rPr>
      </w:pPr>
      <w:r w:rsidRPr="00B0110F">
        <w:rPr>
          <w:rFonts w:eastAsia="Times New Roman"/>
          <w:color w:val="000000"/>
          <w:szCs w:val="22"/>
        </w:rPr>
        <w:t xml:space="preserve">The International Council on Archives (ICA) acknowledges the duty of care of archives to provide access to archival collections in its adopted </w:t>
      </w:r>
      <w:r w:rsidRPr="0071690F">
        <w:rPr>
          <w:rFonts w:eastAsia="Times New Roman"/>
          <w:i/>
          <w:iCs/>
          <w:color w:val="000000"/>
          <w:szCs w:val="22"/>
        </w:rPr>
        <w:t>Principles of Access to Archives</w:t>
      </w:r>
      <w:r w:rsidRPr="000B4D65">
        <w:rPr>
          <w:rFonts w:eastAsia="Times New Roman"/>
          <w:color w:val="000000"/>
          <w:szCs w:val="22"/>
          <w:vertAlign w:val="superscript"/>
        </w:rPr>
        <w:endnoteReference w:id="14"/>
      </w:r>
      <w:r w:rsidRPr="00B0110F">
        <w:rPr>
          <w:rFonts w:eastAsia="Times New Roman"/>
          <w:color w:val="000000"/>
          <w:szCs w:val="22"/>
        </w:rPr>
        <w:t xml:space="preserve"> standards statement: “1. The public has the </w:t>
      </w:r>
      <w:proofErr w:type="gramStart"/>
      <w:r w:rsidRPr="00B0110F">
        <w:rPr>
          <w:rFonts w:eastAsia="Times New Roman"/>
          <w:color w:val="000000"/>
          <w:szCs w:val="22"/>
        </w:rPr>
        <w:t>right of access to</w:t>
      </w:r>
      <w:proofErr w:type="gramEnd"/>
      <w:r w:rsidRPr="00B0110F">
        <w:rPr>
          <w:rFonts w:eastAsia="Times New Roman"/>
          <w:color w:val="000000"/>
          <w:szCs w:val="22"/>
        </w:rPr>
        <w:t xml:space="preserve"> archives of public bodies. Both public and private entities should open their archives to the greatest extent possible.”</w:t>
      </w:r>
      <w:r w:rsidRPr="000B4D65">
        <w:rPr>
          <w:rFonts w:eastAsia="Times New Roman"/>
          <w:color w:val="000000"/>
          <w:szCs w:val="22"/>
          <w:vertAlign w:val="superscript"/>
        </w:rPr>
        <w:endnoteReference w:id="15"/>
      </w:r>
      <w:bookmarkEnd w:id="23"/>
    </w:p>
    <w:p w14:paraId="356E2095" w14:textId="77777777" w:rsidR="00C019A0" w:rsidRDefault="00C019A0" w:rsidP="00C019A0">
      <w:pPr>
        <w:rPr>
          <w:rFonts w:eastAsia="Times New Roman"/>
          <w:color w:val="000000"/>
          <w:szCs w:val="22"/>
        </w:rPr>
      </w:pPr>
    </w:p>
    <w:p w14:paraId="5CE4CF8A" w14:textId="77777777" w:rsidR="00C019A0" w:rsidRDefault="00C019A0" w:rsidP="00C019A0">
      <w:pPr>
        <w:pStyle w:val="Level2"/>
      </w:pPr>
      <w:bookmarkStart w:id="24" w:name="_Toc219210267"/>
      <w:r w:rsidRPr="0071690F">
        <w:t>The Digital Age</w:t>
      </w:r>
      <w:bookmarkEnd w:id="24"/>
    </w:p>
    <w:p w14:paraId="50FAD20D" w14:textId="77777777" w:rsidR="00C019A0" w:rsidRDefault="00C019A0" w:rsidP="00C019A0">
      <w:pPr>
        <w:rPr>
          <w:rFonts w:eastAsia="Times New Roman"/>
          <w:color w:val="000000"/>
          <w:szCs w:val="22"/>
        </w:rPr>
      </w:pPr>
    </w:p>
    <w:p w14:paraId="41590C4C" w14:textId="77777777" w:rsidR="00C019A0" w:rsidRPr="0071690F" w:rsidRDefault="00C019A0" w:rsidP="00C019A0">
      <w:pPr>
        <w:spacing w:line="0" w:lineRule="atLeast"/>
        <w:rPr>
          <w:rFonts w:eastAsia="Times New Roman"/>
          <w:color w:val="000000"/>
          <w:szCs w:val="22"/>
        </w:rPr>
      </w:pPr>
      <w:r>
        <w:rPr>
          <w:rFonts w:eastAsia="Times New Roman"/>
          <w:color w:val="000000"/>
          <w:szCs w:val="22"/>
        </w:rPr>
        <w:t xml:space="preserve">Digital technologies </w:t>
      </w:r>
      <w:bookmarkStart w:id="25" w:name="_Hlk218514234"/>
      <w:r>
        <w:rPr>
          <w:rFonts w:eastAsia="Times New Roman"/>
          <w:color w:val="000000"/>
          <w:szCs w:val="22"/>
        </w:rPr>
        <w:t xml:space="preserve">have brought new and expanded means for enabling access to </w:t>
      </w:r>
      <w:proofErr w:type="gramStart"/>
      <w:r>
        <w:rPr>
          <w:rFonts w:eastAsia="Times New Roman"/>
          <w:color w:val="000000"/>
          <w:szCs w:val="22"/>
        </w:rPr>
        <w:t>works</w:t>
      </w:r>
      <w:proofErr w:type="gramEnd"/>
      <w:r>
        <w:rPr>
          <w:rFonts w:eastAsia="Times New Roman"/>
          <w:color w:val="000000"/>
          <w:szCs w:val="22"/>
        </w:rPr>
        <w:t xml:space="preserve"> held by cultural heritage institutions, which can have positive effects on the growth of research and knowledge. Many of t</w:t>
      </w:r>
      <w:r w:rsidRPr="00AF54A5">
        <w:rPr>
          <w:rFonts w:eastAsia="Times New Roman"/>
          <w:color w:val="000000"/>
          <w:szCs w:val="22"/>
        </w:rPr>
        <w:t>hese</w:t>
      </w:r>
      <w:r>
        <w:rPr>
          <w:rFonts w:eastAsia="Times New Roman"/>
          <w:color w:val="000000"/>
          <w:szCs w:val="22"/>
        </w:rPr>
        <w:t xml:space="preserve"> </w:t>
      </w:r>
      <w:r w:rsidRPr="00AF54A5">
        <w:rPr>
          <w:rFonts w:eastAsia="Times New Roman"/>
          <w:color w:val="000000"/>
          <w:szCs w:val="22"/>
        </w:rPr>
        <w:t>new methods </w:t>
      </w:r>
      <w:r>
        <w:rPr>
          <w:rFonts w:eastAsia="Times New Roman"/>
          <w:color w:val="000000"/>
          <w:szCs w:val="22"/>
        </w:rPr>
        <w:t>of</w:t>
      </w:r>
      <w:r w:rsidRPr="00AF54A5">
        <w:rPr>
          <w:rFonts w:eastAsia="Times New Roman"/>
          <w:color w:val="000000"/>
          <w:szCs w:val="22"/>
        </w:rPr>
        <w:t> access </w:t>
      </w:r>
      <w:r>
        <w:rPr>
          <w:rFonts w:eastAsia="Times New Roman"/>
          <w:color w:val="000000"/>
          <w:szCs w:val="22"/>
        </w:rPr>
        <w:t xml:space="preserve">to </w:t>
      </w:r>
      <w:r w:rsidRPr="00AF54A5">
        <w:rPr>
          <w:rFonts w:eastAsia="Times New Roman"/>
          <w:color w:val="000000"/>
          <w:szCs w:val="22"/>
        </w:rPr>
        <w:t>content </w:t>
      </w:r>
      <w:r>
        <w:rPr>
          <w:rFonts w:eastAsia="Times New Roman"/>
          <w:color w:val="000000"/>
          <w:szCs w:val="22"/>
        </w:rPr>
        <w:t xml:space="preserve">often </w:t>
      </w:r>
      <w:r w:rsidRPr="00AF54A5">
        <w:rPr>
          <w:rFonts w:eastAsia="Times New Roman"/>
          <w:color w:val="000000"/>
          <w:szCs w:val="22"/>
        </w:rPr>
        <w:t xml:space="preserve">rely on acts that </w:t>
      </w:r>
      <w:r>
        <w:rPr>
          <w:rFonts w:eastAsia="Times New Roman"/>
          <w:color w:val="000000"/>
          <w:szCs w:val="22"/>
        </w:rPr>
        <w:t xml:space="preserve">are within the </w:t>
      </w:r>
      <w:r w:rsidRPr="00AF54A5">
        <w:rPr>
          <w:rFonts w:eastAsia="Times New Roman"/>
          <w:color w:val="000000"/>
          <w:szCs w:val="22"/>
        </w:rPr>
        <w:t xml:space="preserve">scope of </w:t>
      </w:r>
      <w:r>
        <w:rPr>
          <w:rFonts w:eastAsia="Times New Roman"/>
          <w:color w:val="000000"/>
          <w:szCs w:val="22"/>
        </w:rPr>
        <w:t xml:space="preserve">the </w:t>
      </w:r>
      <w:r w:rsidRPr="00AF54A5">
        <w:rPr>
          <w:rFonts w:eastAsia="Times New Roman"/>
          <w:color w:val="000000"/>
          <w:szCs w:val="22"/>
        </w:rPr>
        <w:t>copyright</w:t>
      </w:r>
      <w:r>
        <w:rPr>
          <w:rFonts w:eastAsia="Times New Roman"/>
          <w:color w:val="000000"/>
          <w:szCs w:val="22"/>
        </w:rPr>
        <w:t xml:space="preserve"> owner’s rights, such as </w:t>
      </w:r>
      <w:r w:rsidRPr="00AF54A5">
        <w:rPr>
          <w:rFonts w:eastAsia="Times New Roman"/>
          <w:color w:val="000000"/>
          <w:szCs w:val="22"/>
        </w:rPr>
        <w:t>reproduction, making available, and </w:t>
      </w:r>
      <w:r>
        <w:rPr>
          <w:rFonts w:eastAsia="Times New Roman"/>
          <w:color w:val="000000"/>
          <w:szCs w:val="22"/>
        </w:rPr>
        <w:t>circumvention</w:t>
      </w:r>
      <w:r w:rsidRPr="00AF54A5">
        <w:rPr>
          <w:rFonts w:eastAsia="Times New Roman"/>
          <w:color w:val="000000"/>
          <w:szCs w:val="22"/>
        </w:rPr>
        <w:t xml:space="preserve"> of technological protection measures</w:t>
      </w:r>
      <w:r>
        <w:rPr>
          <w:rFonts w:eastAsia="Times New Roman"/>
          <w:color w:val="000000"/>
          <w:szCs w:val="22"/>
        </w:rPr>
        <w:t>. Consequently, in addition t</w:t>
      </w:r>
      <w:r w:rsidRPr="0071690F">
        <w:rPr>
          <w:rFonts w:eastAsia="Times New Roman"/>
          <w:color w:val="000000"/>
          <w:szCs w:val="22"/>
        </w:rPr>
        <w:t xml:space="preserve">o navigating the general and complex scenarios relating to access, as </w:t>
      </w:r>
      <w:r>
        <w:rPr>
          <w:rFonts w:eastAsia="Times New Roman"/>
          <w:color w:val="000000"/>
          <w:szCs w:val="22"/>
        </w:rPr>
        <w:t>already examined</w:t>
      </w:r>
      <w:r w:rsidRPr="0071690F">
        <w:rPr>
          <w:rFonts w:eastAsia="Times New Roman"/>
          <w:color w:val="000000"/>
          <w:szCs w:val="22"/>
        </w:rPr>
        <w:t xml:space="preserve"> above, facilitating access in the digital context comes with </w:t>
      </w:r>
      <w:r>
        <w:rPr>
          <w:rFonts w:eastAsia="Times New Roman"/>
          <w:color w:val="000000"/>
          <w:szCs w:val="22"/>
        </w:rPr>
        <w:t xml:space="preserve">additional and distinct </w:t>
      </w:r>
      <w:r w:rsidRPr="0071690F">
        <w:rPr>
          <w:rFonts w:eastAsia="Times New Roman"/>
          <w:color w:val="000000"/>
          <w:szCs w:val="22"/>
        </w:rPr>
        <w:t>challenges. The terms and conditions for access must be thoughtfully managed, balancing the</w:t>
      </w:r>
      <w:r>
        <w:rPr>
          <w:rFonts w:eastAsia="Times New Roman"/>
          <w:color w:val="000000"/>
          <w:szCs w:val="22"/>
        </w:rPr>
        <w:t xml:space="preserve"> ability to have greater </w:t>
      </w:r>
      <w:r w:rsidRPr="0071690F">
        <w:rPr>
          <w:rFonts w:eastAsia="Times New Roman"/>
          <w:color w:val="000000"/>
          <w:szCs w:val="22"/>
        </w:rPr>
        <w:t xml:space="preserve">public engagement with the ethical </w:t>
      </w:r>
      <w:r>
        <w:rPr>
          <w:rFonts w:eastAsia="Times New Roman"/>
          <w:color w:val="000000"/>
          <w:szCs w:val="22"/>
        </w:rPr>
        <w:t xml:space="preserve">and legal </w:t>
      </w:r>
      <w:r w:rsidRPr="0071690F">
        <w:rPr>
          <w:rFonts w:eastAsia="Times New Roman"/>
          <w:color w:val="000000"/>
          <w:szCs w:val="22"/>
        </w:rPr>
        <w:t>duty to preserve and protect collections.</w:t>
      </w:r>
    </w:p>
    <w:p w14:paraId="103995B5" w14:textId="77777777" w:rsidR="00C019A0" w:rsidRDefault="00C019A0" w:rsidP="00C019A0">
      <w:pPr>
        <w:spacing w:line="0" w:lineRule="atLeast"/>
        <w:rPr>
          <w:rFonts w:eastAsia="Times New Roman"/>
          <w:color w:val="000000"/>
          <w:szCs w:val="22"/>
        </w:rPr>
      </w:pPr>
      <w:r w:rsidRPr="00EA6244">
        <w:rPr>
          <w:rFonts w:eastAsia="Times New Roman"/>
          <w:color w:val="000000"/>
          <w:szCs w:val="22"/>
        </w:rPr>
        <w:t xml:space="preserve">In practice, concepts of access are rarely articulated explicitly in the copyright laws of Member States. Many existing laws authorize certain acts, such as reproduction, but leave access to be inferred implicitly from the law and the circumstances of the case. While this approach may work in common situations, it can also prove problematic in other contexts, since implied </w:t>
      </w:r>
      <w:r>
        <w:rPr>
          <w:rFonts w:eastAsia="Times New Roman"/>
          <w:color w:val="000000"/>
          <w:szCs w:val="22"/>
        </w:rPr>
        <w:t>access</w:t>
      </w:r>
      <w:r w:rsidRPr="00EA6244">
        <w:rPr>
          <w:rFonts w:eastAsia="Times New Roman"/>
          <w:color w:val="000000"/>
          <w:szCs w:val="22"/>
        </w:rPr>
        <w:t xml:space="preserve">, by definition, </w:t>
      </w:r>
      <w:r>
        <w:rPr>
          <w:rFonts w:eastAsia="Times New Roman"/>
          <w:color w:val="000000"/>
          <w:szCs w:val="22"/>
        </w:rPr>
        <w:t>does not have clearly</w:t>
      </w:r>
      <w:r w:rsidRPr="00EA6244">
        <w:rPr>
          <w:rFonts w:eastAsia="Times New Roman"/>
          <w:color w:val="000000"/>
          <w:szCs w:val="22"/>
        </w:rPr>
        <w:t xml:space="preserve"> </w:t>
      </w:r>
      <w:r>
        <w:rPr>
          <w:rFonts w:eastAsia="Times New Roman"/>
          <w:color w:val="000000"/>
          <w:szCs w:val="22"/>
        </w:rPr>
        <w:t xml:space="preserve">established </w:t>
      </w:r>
      <w:r w:rsidRPr="00EA6244">
        <w:rPr>
          <w:rFonts w:eastAsia="Times New Roman"/>
          <w:color w:val="000000"/>
          <w:szCs w:val="22"/>
        </w:rPr>
        <w:t>conditions and limits.</w:t>
      </w:r>
      <w:r>
        <w:rPr>
          <w:rFonts w:eastAsia="Times New Roman"/>
          <w:color w:val="000000"/>
          <w:szCs w:val="22"/>
        </w:rPr>
        <w:t xml:space="preserve"> </w:t>
      </w:r>
      <w:r w:rsidRPr="00EA6244">
        <w:rPr>
          <w:rFonts w:eastAsia="Times New Roman"/>
          <w:color w:val="000000"/>
          <w:szCs w:val="22"/>
        </w:rPr>
        <w:t xml:space="preserve">In this regard, both </w:t>
      </w:r>
      <w:proofErr w:type="spellStart"/>
      <w:r w:rsidRPr="00EA6244">
        <w:rPr>
          <w:rFonts w:eastAsia="Times New Roman"/>
          <w:color w:val="000000"/>
          <w:szCs w:val="22"/>
        </w:rPr>
        <w:t>rightholders</w:t>
      </w:r>
      <w:proofErr w:type="spellEnd"/>
      <w:r w:rsidRPr="00EA6244">
        <w:rPr>
          <w:rFonts w:eastAsia="Times New Roman"/>
          <w:color w:val="000000"/>
          <w:szCs w:val="22"/>
        </w:rPr>
        <w:t xml:space="preserve"> and librarians, archivists, and museum professionals can benefit from greater normative clarity. </w:t>
      </w:r>
      <w:proofErr w:type="spellStart"/>
      <w:r w:rsidRPr="00EA6244">
        <w:rPr>
          <w:rFonts w:eastAsia="Times New Roman"/>
          <w:color w:val="000000"/>
          <w:szCs w:val="22"/>
        </w:rPr>
        <w:t>Rightholders</w:t>
      </w:r>
      <w:proofErr w:type="spellEnd"/>
      <w:r w:rsidRPr="00EA6244">
        <w:rPr>
          <w:rFonts w:eastAsia="Times New Roman"/>
          <w:color w:val="000000"/>
          <w:szCs w:val="22"/>
        </w:rPr>
        <w:t xml:space="preserve"> may gain increased predictability in the protection of their </w:t>
      </w:r>
      <w:proofErr w:type="gramStart"/>
      <w:r w:rsidRPr="00EA6244">
        <w:rPr>
          <w:rFonts w:eastAsia="Times New Roman"/>
          <w:color w:val="000000"/>
          <w:szCs w:val="22"/>
        </w:rPr>
        <w:t>works</w:t>
      </w:r>
      <w:proofErr w:type="gramEnd"/>
      <w:r w:rsidRPr="00EA6244">
        <w:rPr>
          <w:rFonts w:eastAsia="Times New Roman"/>
          <w:color w:val="000000"/>
          <w:szCs w:val="22"/>
        </w:rPr>
        <w:t>, while the latter</w:t>
      </w:r>
      <w:r>
        <w:rPr>
          <w:rFonts w:eastAsia="Times New Roman"/>
          <w:color w:val="000000"/>
          <w:szCs w:val="22"/>
        </w:rPr>
        <w:t xml:space="preserve">, </w:t>
      </w:r>
      <w:r w:rsidRPr="00EA6244">
        <w:rPr>
          <w:rFonts w:eastAsia="Times New Roman"/>
          <w:color w:val="000000"/>
          <w:szCs w:val="22"/>
        </w:rPr>
        <w:t xml:space="preserve">who handle access requests </w:t>
      </w:r>
      <w:proofErr w:type="gramStart"/>
      <w:r w:rsidRPr="00EA6244">
        <w:rPr>
          <w:rFonts w:eastAsia="Times New Roman"/>
          <w:color w:val="000000"/>
          <w:szCs w:val="22"/>
        </w:rPr>
        <w:t>on a daily basis</w:t>
      </w:r>
      <w:proofErr w:type="gramEnd"/>
      <w:r>
        <w:rPr>
          <w:rFonts w:eastAsia="Times New Roman"/>
          <w:color w:val="000000"/>
          <w:szCs w:val="22"/>
        </w:rPr>
        <w:t xml:space="preserve">, </w:t>
      </w:r>
      <w:r w:rsidRPr="00EA6244">
        <w:rPr>
          <w:rFonts w:eastAsia="Times New Roman"/>
          <w:color w:val="000000"/>
          <w:szCs w:val="22"/>
        </w:rPr>
        <w:t>may welcome a clearer definition of the scope of services they are legally authorized to provide.</w:t>
      </w:r>
      <w:r>
        <w:rPr>
          <w:rFonts w:eastAsia="Times New Roman"/>
          <w:color w:val="000000"/>
          <w:szCs w:val="22"/>
        </w:rPr>
        <w:t xml:space="preserve"> </w:t>
      </w:r>
      <w:r w:rsidRPr="00EA6244">
        <w:rPr>
          <w:rFonts w:eastAsia="Times New Roman"/>
          <w:color w:val="000000"/>
          <w:szCs w:val="22"/>
        </w:rPr>
        <w:t xml:space="preserve">In this context, the present </w:t>
      </w:r>
      <w:r>
        <w:rPr>
          <w:rFonts w:eastAsia="Times New Roman"/>
          <w:color w:val="000000"/>
          <w:szCs w:val="22"/>
        </w:rPr>
        <w:t>t</w:t>
      </w:r>
      <w:r w:rsidRPr="00EA6244">
        <w:rPr>
          <w:rFonts w:eastAsia="Times New Roman"/>
          <w:color w:val="000000"/>
          <w:szCs w:val="22"/>
        </w:rPr>
        <w:t xml:space="preserve">oolkit pays particular attention to identifying access possibilities grounded in existing legal provisions, as well as to reducing liability risks associated with managing access where legal </w:t>
      </w:r>
      <w:r w:rsidRPr="00074146">
        <w:rPr>
          <w:rFonts w:eastAsia="Times New Roman"/>
          <w:color w:val="000000"/>
          <w:szCs w:val="22"/>
        </w:rPr>
        <w:t>conditions are not expressly defined.</w:t>
      </w:r>
    </w:p>
    <w:bookmarkEnd w:id="25"/>
    <w:p w14:paraId="0C30E8EB" w14:textId="77777777" w:rsidR="00C019A0" w:rsidRDefault="00C019A0" w:rsidP="00C019A0">
      <w:pPr>
        <w:spacing w:line="0" w:lineRule="atLeast"/>
        <w:rPr>
          <w:rFonts w:eastAsia="Times New Roman"/>
          <w:color w:val="000000"/>
          <w:szCs w:val="22"/>
          <w:u w:val="single"/>
        </w:rPr>
      </w:pPr>
    </w:p>
    <w:p w14:paraId="4B6440A2" w14:textId="77777777" w:rsidR="00C019A0" w:rsidRPr="0071690F" w:rsidRDefault="00C019A0" w:rsidP="00C019A0">
      <w:pPr>
        <w:pStyle w:val="Level2"/>
      </w:pPr>
      <w:bookmarkStart w:id="26" w:name="_Toc219210268"/>
      <w:r w:rsidRPr="0071690F">
        <w:t>Access and the Mission of Cultural Heritage Institutions</w:t>
      </w:r>
      <w:bookmarkEnd w:id="26"/>
    </w:p>
    <w:p w14:paraId="601068B5" w14:textId="77777777" w:rsidR="00C019A0" w:rsidRDefault="00C019A0" w:rsidP="00C019A0">
      <w:pPr>
        <w:rPr>
          <w:szCs w:val="22"/>
        </w:rPr>
      </w:pPr>
    </w:p>
    <w:p w14:paraId="708DCA22" w14:textId="77777777" w:rsidR="00C019A0" w:rsidRDefault="00C019A0" w:rsidP="00C019A0">
      <w:pPr>
        <w:rPr>
          <w:szCs w:val="22"/>
        </w:rPr>
      </w:pPr>
      <w:r>
        <w:rPr>
          <w:szCs w:val="22"/>
        </w:rPr>
        <w:t>The foregoing analysis makes clear that a</w:t>
      </w:r>
      <w:r w:rsidRPr="00802725">
        <w:rPr>
          <w:szCs w:val="22"/>
        </w:rPr>
        <w:t xml:space="preserve"> single </w:t>
      </w:r>
      <w:r>
        <w:rPr>
          <w:szCs w:val="22"/>
        </w:rPr>
        <w:t xml:space="preserve">cultural heritage institution </w:t>
      </w:r>
      <w:r w:rsidRPr="00802725">
        <w:rPr>
          <w:szCs w:val="22"/>
        </w:rPr>
        <w:t xml:space="preserve">can simultaneously have multiple missions, and facilitating access to works and artifacts in their collections is often critical to fulfillment </w:t>
      </w:r>
      <w:r>
        <w:rPr>
          <w:szCs w:val="22"/>
        </w:rPr>
        <w:t xml:space="preserve">to any one </w:t>
      </w:r>
      <w:r w:rsidRPr="00802725">
        <w:rPr>
          <w:szCs w:val="22"/>
        </w:rPr>
        <w:t xml:space="preserve">of the missions. </w:t>
      </w:r>
      <w:proofErr w:type="gramStart"/>
      <w:r w:rsidRPr="00802725">
        <w:rPr>
          <w:szCs w:val="22"/>
        </w:rPr>
        <w:t>This Part</w:t>
      </w:r>
      <w:proofErr w:type="gramEnd"/>
      <w:r w:rsidRPr="00802725">
        <w:rPr>
          <w:szCs w:val="22"/>
        </w:rPr>
        <w:t xml:space="preserve"> I of the toolkit identifies many of those institutional missions. In so doing, </w:t>
      </w:r>
      <w:r>
        <w:rPr>
          <w:szCs w:val="22"/>
        </w:rPr>
        <w:t>it</w:t>
      </w:r>
      <w:r w:rsidRPr="00802725">
        <w:rPr>
          <w:szCs w:val="22"/>
        </w:rPr>
        <w:t xml:space="preserve"> also reveals how providing access to collections is inescapably intertwined with fulfilling core </w:t>
      </w:r>
      <w:r>
        <w:rPr>
          <w:szCs w:val="22"/>
        </w:rPr>
        <w:t xml:space="preserve">institutional </w:t>
      </w:r>
      <w:r w:rsidRPr="00802725">
        <w:rPr>
          <w:szCs w:val="22"/>
        </w:rPr>
        <w:t>objectives.</w:t>
      </w:r>
    </w:p>
    <w:p w14:paraId="0A906727" w14:textId="77777777" w:rsidR="00C019A0" w:rsidRPr="00802725" w:rsidRDefault="00C019A0" w:rsidP="00C019A0">
      <w:pPr>
        <w:rPr>
          <w:szCs w:val="22"/>
        </w:rPr>
      </w:pPr>
    </w:p>
    <w:p w14:paraId="60D1ECC0" w14:textId="77777777" w:rsidR="00C019A0" w:rsidRDefault="00C019A0" w:rsidP="00C019A0">
      <w:pPr>
        <w:rPr>
          <w:szCs w:val="22"/>
        </w:rPr>
      </w:pPr>
      <w:r w:rsidRPr="00802725">
        <w:rPr>
          <w:szCs w:val="22"/>
        </w:rPr>
        <w:t xml:space="preserve">This toolkit is not merely asserting that access is critical to the missions of </w:t>
      </w:r>
      <w:r>
        <w:rPr>
          <w:szCs w:val="22"/>
        </w:rPr>
        <w:t>cultural heritage institutions</w:t>
      </w:r>
      <w:r w:rsidRPr="00802725">
        <w:rPr>
          <w:szCs w:val="22"/>
        </w:rPr>
        <w:t>. This toolkit emphasiz</w:t>
      </w:r>
      <w:r>
        <w:rPr>
          <w:szCs w:val="22"/>
        </w:rPr>
        <w:t>es</w:t>
      </w:r>
      <w:r w:rsidRPr="00802725">
        <w:rPr>
          <w:szCs w:val="22"/>
        </w:rPr>
        <w:t xml:space="preserve"> that access and </w:t>
      </w:r>
      <w:r>
        <w:rPr>
          <w:szCs w:val="22"/>
        </w:rPr>
        <w:t>other activities</w:t>
      </w:r>
      <w:r w:rsidRPr="00802725">
        <w:rPr>
          <w:szCs w:val="22"/>
        </w:rPr>
        <w:t xml:space="preserve"> of </w:t>
      </w:r>
      <w:r>
        <w:rPr>
          <w:szCs w:val="22"/>
        </w:rPr>
        <w:t>cultural heritage institutions</w:t>
      </w:r>
      <w:r w:rsidRPr="00802725">
        <w:rPr>
          <w:szCs w:val="22"/>
        </w:rPr>
        <w:t xml:space="preserve"> are worthy of broad support, because access to a society’s cultural wealth is an important </w:t>
      </w:r>
      <w:r>
        <w:rPr>
          <w:szCs w:val="22"/>
        </w:rPr>
        <w:t xml:space="preserve">means for </w:t>
      </w:r>
      <w:r w:rsidRPr="00802725">
        <w:rPr>
          <w:szCs w:val="22"/>
        </w:rPr>
        <w:t>contribut</w:t>
      </w:r>
      <w:r>
        <w:rPr>
          <w:szCs w:val="22"/>
        </w:rPr>
        <w:t>ing</w:t>
      </w:r>
      <w:r w:rsidRPr="00802725">
        <w:rPr>
          <w:szCs w:val="22"/>
        </w:rPr>
        <w:t xml:space="preserve"> to cultural and intellectual development. Individual readers, publishers, educators, businesses, and government agencies all benefit from access to resources that define their roots and their presence. </w:t>
      </w:r>
      <w:r>
        <w:rPr>
          <w:szCs w:val="22"/>
        </w:rPr>
        <w:t xml:space="preserve">Access to </w:t>
      </w:r>
      <w:r w:rsidRPr="00802725">
        <w:rPr>
          <w:szCs w:val="22"/>
        </w:rPr>
        <w:t xml:space="preserve">collections can inform, invite, and instill a spirit of innovation. </w:t>
      </w:r>
      <w:r>
        <w:rPr>
          <w:szCs w:val="22"/>
        </w:rPr>
        <w:t>Therefore, t</w:t>
      </w:r>
      <w:r w:rsidRPr="00802725">
        <w:rPr>
          <w:szCs w:val="22"/>
        </w:rPr>
        <w:t xml:space="preserve">he role of access can </w:t>
      </w:r>
      <w:r>
        <w:rPr>
          <w:szCs w:val="22"/>
        </w:rPr>
        <w:t xml:space="preserve">occur </w:t>
      </w:r>
      <w:r w:rsidRPr="00802725">
        <w:rPr>
          <w:szCs w:val="22"/>
        </w:rPr>
        <w:t>in many ways:</w:t>
      </w:r>
    </w:p>
    <w:p w14:paraId="70747AAE" w14:textId="77777777" w:rsidR="00C019A0" w:rsidRDefault="00C019A0" w:rsidP="00C019A0">
      <w:pPr>
        <w:rPr>
          <w:szCs w:val="22"/>
        </w:rPr>
      </w:pPr>
    </w:p>
    <w:p w14:paraId="3F936BDC" w14:textId="77777777" w:rsidR="00C019A0" w:rsidRPr="00A7674B" w:rsidRDefault="00C019A0" w:rsidP="00C019A0">
      <w:pPr>
        <w:pStyle w:val="Level3"/>
        <w:numPr>
          <w:ilvl w:val="0"/>
          <w:numId w:val="31"/>
        </w:numPr>
        <w:ind w:left="357" w:hanging="357"/>
      </w:pPr>
      <w:bookmarkStart w:id="27" w:name="_Toc219210269"/>
      <w:r w:rsidRPr="00A7674B">
        <w:t>Access as a Fundamental Purpose of Cultural Heritage Institutions</w:t>
      </w:r>
      <w:bookmarkEnd w:id="27"/>
    </w:p>
    <w:p w14:paraId="159D9A23" w14:textId="77777777" w:rsidR="00C019A0" w:rsidRDefault="00C019A0" w:rsidP="00C019A0">
      <w:pPr>
        <w:pStyle w:val="Level3"/>
        <w:numPr>
          <w:ilvl w:val="0"/>
          <w:numId w:val="0"/>
        </w:numPr>
      </w:pPr>
    </w:p>
    <w:p w14:paraId="5A2EE191" w14:textId="77777777" w:rsidR="00C019A0" w:rsidRDefault="00C019A0" w:rsidP="00C019A0">
      <w:pPr>
        <w:rPr>
          <w:szCs w:val="22"/>
        </w:rPr>
      </w:pPr>
      <w:r w:rsidRPr="001B08C6">
        <w:rPr>
          <w:szCs w:val="22"/>
        </w:rPr>
        <w:t>Museums, libraries, and archives – as leading cultural heritage institutions – exist to preserve, celebrate, and expand upon their historical and social context of their collections. Whether a user of those collections is simply reading or engaged in nuanced analysis, access to the works of interest is obviously crucial. Without access, the objectives of the institution and individual fail.</w:t>
      </w:r>
    </w:p>
    <w:p w14:paraId="53906200" w14:textId="77777777" w:rsidR="00C019A0" w:rsidRDefault="00C019A0" w:rsidP="00C019A0">
      <w:pPr>
        <w:pStyle w:val="Level3"/>
        <w:numPr>
          <w:ilvl w:val="0"/>
          <w:numId w:val="0"/>
        </w:numPr>
      </w:pPr>
    </w:p>
    <w:p w14:paraId="650C6A2C" w14:textId="77777777" w:rsidR="00C019A0" w:rsidRDefault="00C019A0" w:rsidP="00C019A0">
      <w:pPr>
        <w:pStyle w:val="Level3"/>
      </w:pPr>
      <w:bookmarkStart w:id="28" w:name="_Toc219210270"/>
      <w:r w:rsidRPr="00802725">
        <w:t>Access as a Means for Preservation</w:t>
      </w:r>
      <w:bookmarkEnd w:id="28"/>
      <w:r w:rsidRPr="00802725">
        <w:t xml:space="preserve">  </w:t>
      </w:r>
    </w:p>
    <w:p w14:paraId="28520176" w14:textId="77777777" w:rsidR="00C019A0" w:rsidRDefault="00C019A0" w:rsidP="00C019A0">
      <w:pPr>
        <w:rPr>
          <w:szCs w:val="22"/>
        </w:rPr>
      </w:pPr>
    </w:p>
    <w:p w14:paraId="6D0EDFC9" w14:textId="77777777" w:rsidR="00C019A0" w:rsidRPr="001B08C6" w:rsidRDefault="00C019A0" w:rsidP="00C019A0">
      <w:pPr>
        <w:rPr>
          <w:szCs w:val="22"/>
        </w:rPr>
      </w:pPr>
      <w:r w:rsidRPr="001B08C6">
        <w:rPr>
          <w:szCs w:val="22"/>
        </w:rPr>
        <w:t xml:space="preserve">Collections include a rich variety of works in all media, and many collections house unique manuscripts and fragile artifacts that are at high risk of loss. </w:t>
      </w:r>
      <w:r>
        <w:rPr>
          <w:szCs w:val="22"/>
        </w:rPr>
        <w:t xml:space="preserve">As described at length in the </w:t>
      </w:r>
      <w:r w:rsidRPr="00141C5E">
        <w:rPr>
          <w:i/>
          <w:iCs/>
          <w:szCs w:val="22"/>
        </w:rPr>
        <w:t>Toolkit on Preservation</w:t>
      </w:r>
      <w:r>
        <w:rPr>
          <w:szCs w:val="22"/>
        </w:rPr>
        <w:t>, p</w:t>
      </w:r>
      <w:r w:rsidRPr="001B08C6">
        <w:rPr>
          <w:szCs w:val="22"/>
        </w:rPr>
        <w:t xml:space="preserve">reservation of works is one of the critical functions of cultural heritage institutions, as they establish safeguards to prevent loss of historical and current knowledge, thus protecting their availability for future generations. Copies of works that an institution makes for preservation are possible only with full access to the original; in turn, those preservation copies facilitate access to materials that would otherwise become inaccessible to the public.  </w:t>
      </w:r>
    </w:p>
    <w:p w14:paraId="6EAC0CA4" w14:textId="77777777" w:rsidR="00C019A0" w:rsidRPr="00802725" w:rsidRDefault="00C019A0" w:rsidP="00C019A0">
      <w:pPr>
        <w:pStyle w:val="ListParagraph"/>
        <w:spacing w:after="0"/>
        <w:rPr>
          <w:rFonts w:ascii="Arial" w:hAnsi="Arial" w:cs="Arial"/>
          <w:sz w:val="22"/>
          <w:szCs w:val="22"/>
        </w:rPr>
      </w:pPr>
    </w:p>
    <w:p w14:paraId="596DDBB3" w14:textId="77777777" w:rsidR="00C019A0" w:rsidRPr="00566953" w:rsidRDefault="00C019A0" w:rsidP="00C019A0">
      <w:pPr>
        <w:pStyle w:val="Level3"/>
      </w:pPr>
      <w:bookmarkStart w:id="29" w:name="_Toc219210271"/>
      <w:r w:rsidRPr="00566953">
        <w:t>Access and the Promotion of Knowledge and Learning</w:t>
      </w:r>
      <w:bookmarkEnd w:id="29"/>
    </w:p>
    <w:p w14:paraId="6692400F" w14:textId="77777777" w:rsidR="00C019A0" w:rsidRPr="001B08C6" w:rsidRDefault="00C019A0" w:rsidP="00C019A0">
      <w:pPr>
        <w:rPr>
          <w:szCs w:val="22"/>
        </w:rPr>
      </w:pPr>
    </w:p>
    <w:p w14:paraId="13B07E15" w14:textId="77777777" w:rsidR="00C019A0" w:rsidRDefault="00C019A0" w:rsidP="00C019A0">
      <w:pPr>
        <w:rPr>
          <w:szCs w:val="22"/>
        </w:rPr>
      </w:pPr>
      <w:r w:rsidRPr="001B08C6">
        <w:rPr>
          <w:szCs w:val="22"/>
        </w:rPr>
        <w:t xml:space="preserve">The collections maintained by cultural heritage institutions are a vast repository of knowledge and a driver for education and research in history, science, business, art, literature, and more. The collections are the foundation of traditional educational programs, public exhibitions, film documentaries, and other means for sharing and expanding knowledge. Sharing the content is made possible through expanded access, and digital tools now invite access opportunities at the cultural heritage institution and at potentially any location throughout the home country and around the world.  </w:t>
      </w:r>
    </w:p>
    <w:p w14:paraId="74E19E0E" w14:textId="77777777" w:rsidR="00C019A0" w:rsidRPr="00566953" w:rsidRDefault="00C019A0" w:rsidP="00C019A0">
      <w:pPr>
        <w:rPr>
          <w:szCs w:val="22"/>
        </w:rPr>
      </w:pPr>
    </w:p>
    <w:p w14:paraId="0E79624B" w14:textId="77777777" w:rsidR="00C019A0" w:rsidRPr="00566953" w:rsidRDefault="00C019A0" w:rsidP="00C019A0">
      <w:pPr>
        <w:pStyle w:val="Level3"/>
      </w:pPr>
      <w:bookmarkStart w:id="30" w:name="_Toc219210272"/>
      <w:r w:rsidRPr="00566953">
        <w:t>Access and Cultural Identity</w:t>
      </w:r>
      <w:bookmarkEnd w:id="30"/>
      <w:r w:rsidRPr="00566953">
        <w:t xml:space="preserve">  </w:t>
      </w:r>
    </w:p>
    <w:p w14:paraId="61BC9D9A" w14:textId="77777777" w:rsidR="00C019A0" w:rsidRDefault="00C019A0" w:rsidP="00C019A0">
      <w:pPr>
        <w:rPr>
          <w:szCs w:val="22"/>
        </w:rPr>
      </w:pPr>
    </w:p>
    <w:p w14:paraId="1BF70C4B" w14:textId="77777777" w:rsidR="00C019A0" w:rsidRPr="008558E3" w:rsidRDefault="00C019A0" w:rsidP="00C019A0">
      <w:pPr>
        <w:rPr>
          <w:rFonts w:eastAsia="Times New Roman"/>
          <w:color w:val="000000"/>
          <w:szCs w:val="22"/>
        </w:rPr>
      </w:pPr>
      <w:r w:rsidRPr="001B08C6">
        <w:rPr>
          <w:szCs w:val="22"/>
        </w:rPr>
        <w:t>The cultural heritage institution’s function as custodians of national and community heritage and perform the consequential role of fostering cultural continuity over time and throughout a geographical region. They do so by preserving and providing access to documents, images, and other resources from the past that guide the peoples sharing the cultures today and tomorrow. Access to collections enables each of us to understand our own cultures and to share them, without necessarily encountering artificial transitory limits on time, borders, and politics.</w:t>
      </w:r>
      <w:r>
        <w:rPr>
          <w:rFonts w:eastAsia="Times New Roman"/>
          <w:color w:val="000000"/>
          <w:szCs w:val="22"/>
        </w:rPr>
        <w:br w:type="page"/>
      </w:r>
    </w:p>
    <w:p w14:paraId="6F9F4993" w14:textId="77777777" w:rsidR="00C019A0" w:rsidRPr="00D112AD" w:rsidRDefault="00C019A0" w:rsidP="00C019A0">
      <w:pPr>
        <w:pStyle w:val="Level1"/>
      </w:pPr>
      <w:bookmarkStart w:id="31" w:name="_Toc219210273"/>
      <w:r w:rsidRPr="00D112AD">
        <w:t>Part II: The Dimensions of Access to Cultural Heritage Collections</w:t>
      </w:r>
      <w:bookmarkEnd w:id="31"/>
    </w:p>
    <w:p w14:paraId="4CD66C4F" w14:textId="77777777" w:rsidR="00C019A0" w:rsidRDefault="00C019A0" w:rsidP="00C019A0">
      <w:pPr>
        <w:rPr>
          <w:szCs w:val="22"/>
        </w:rPr>
      </w:pPr>
    </w:p>
    <w:p w14:paraId="5905FFB8" w14:textId="77777777" w:rsidR="00C019A0" w:rsidRDefault="00C019A0" w:rsidP="00C019A0">
      <w:pPr>
        <w:rPr>
          <w:szCs w:val="22"/>
        </w:rPr>
      </w:pPr>
      <w:r w:rsidRPr="00802725">
        <w:rPr>
          <w:szCs w:val="22"/>
        </w:rPr>
        <w:t xml:space="preserve">Part I of this toolkit surveys the essential role of access in bringing meaning to collections, and this Part II demonstrates that </w:t>
      </w:r>
      <w:r>
        <w:rPr>
          <w:szCs w:val="22"/>
        </w:rPr>
        <w:t xml:space="preserve">the attributes and conditions of </w:t>
      </w:r>
      <w:r w:rsidRPr="00802725">
        <w:rPr>
          <w:szCs w:val="22"/>
        </w:rPr>
        <w:t xml:space="preserve">access </w:t>
      </w:r>
      <w:r>
        <w:rPr>
          <w:szCs w:val="22"/>
        </w:rPr>
        <w:t xml:space="preserve">in copyright law can have many different </w:t>
      </w:r>
      <w:r w:rsidRPr="00802725">
        <w:rPr>
          <w:szCs w:val="22"/>
        </w:rPr>
        <w:t xml:space="preserve">qualities – </w:t>
      </w:r>
      <w:r>
        <w:rPr>
          <w:szCs w:val="22"/>
        </w:rPr>
        <w:t>often referred to here as</w:t>
      </w:r>
      <w:r w:rsidRPr="00802725">
        <w:rPr>
          <w:szCs w:val="22"/>
        </w:rPr>
        <w:t xml:space="preserve"> </w:t>
      </w:r>
      <w:r>
        <w:rPr>
          <w:szCs w:val="22"/>
        </w:rPr>
        <w:t>“</w:t>
      </w:r>
      <w:r w:rsidRPr="00802725">
        <w:rPr>
          <w:szCs w:val="22"/>
        </w:rPr>
        <w:t>dimensions</w:t>
      </w:r>
      <w:r>
        <w:rPr>
          <w:szCs w:val="22"/>
        </w:rPr>
        <w:t>”</w:t>
      </w:r>
      <w:r w:rsidRPr="00802725">
        <w:rPr>
          <w:szCs w:val="22"/>
        </w:rPr>
        <w:t xml:space="preserve"> – that can be adapted to specific needs. This Part II offers a review of the general dimensions to be considered in facilitating access. As shown in the previous </w:t>
      </w:r>
      <w:r w:rsidRPr="001B2AE0">
        <w:rPr>
          <w:i/>
          <w:iCs/>
          <w:szCs w:val="22"/>
        </w:rPr>
        <w:t>Toolkit on Preservation</w:t>
      </w:r>
      <w:r w:rsidRPr="00802725">
        <w:rPr>
          <w:szCs w:val="22"/>
        </w:rPr>
        <w:t xml:space="preserve">, the drafters of a relevant law or policy might consider dozens of relevant details and need to make a series of choices. Some of that will be necessary here, too. But at this stage, Part II offers a </w:t>
      </w:r>
      <w:r>
        <w:rPr>
          <w:szCs w:val="22"/>
        </w:rPr>
        <w:t>more general</w:t>
      </w:r>
      <w:r w:rsidRPr="00802725">
        <w:rPr>
          <w:szCs w:val="22"/>
        </w:rPr>
        <w:t xml:space="preserve"> overview of </w:t>
      </w:r>
      <w:r>
        <w:rPr>
          <w:szCs w:val="22"/>
        </w:rPr>
        <w:t xml:space="preserve">fundamental </w:t>
      </w:r>
      <w:r w:rsidRPr="00802725">
        <w:rPr>
          <w:szCs w:val="22"/>
        </w:rPr>
        <w:t xml:space="preserve">concepts – the critical dimensions – that </w:t>
      </w:r>
      <w:r>
        <w:rPr>
          <w:szCs w:val="22"/>
        </w:rPr>
        <w:t xml:space="preserve">policymakers shaping the law </w:t>
      </w:r>
      <w:r w:rsidRPr="00802725">
        <w:rPr>
          <w:szCs w:val="22"/>
        </w:rPr>
        <w:t>ought to</w:t>
      </w:r>
      <w:r>
        <w:rPr>
          <w:szCs w:val="22"/>
        </w:rPr>
        <w:t xml:space="preserve"> consider and perhaps</w:t>
      </w:r>
      <w:r w:rsidRPr="00802725">
        <w:rPr>
          <w:szCs w:val="22"/>
        </w:rPr>
        <w:t xml:space="preserve"> integrate in some manner in</w:t>
      </w:r>
      <w:r>
        <w:rPr>
          <w:szCs w:val="22"/>
        </w:rPr>
        <w:t>to</w:t>
      </w:r>
      <w:r w:rsidRPr="00802725">
        <w:rPr>
          <w:szCs w:val="22"/>
        </w:rPr>
        <w:t xml:space="preserve"> </w:t>
      </w:r>
      <w:r>
        <w:rPr>
          <w:szCs w:val="22"/>
        </w:rPr>
        <w:t xml:space="preserve">the </w:t>
      </w:r>
      <w:r w:rsidRPr="00802725">
        <w:rPr>
          <w:szCs w:val="22"/>
        </w:rPr>
        <w:t>standard</w:t>
      </w:r>
      <w:r>
        <w:rPr>
          <w:szCs w:val="22"/>
        </w:rPr>
        <w:t>s</w:t>
      </w:r>
      <w:r w:rsidRPr="00802725">
        <w:rPr>
          <w:szCs w:val="22"/>
        </w:rPr>
        <w:t xml:space="preserve"> for allowing and enabling access to </w:t>
      </w:r>
      <w:proofErr w:type="gramStart"/>
      <w:r w:rsidRPr="00802725">
        <w:rPr>
          <w:szCs w:val="22"/>
        </w:rPr>
        <w:t>works</w:t>
      </w:r>
      <w:proofErr w:type="gramEnd"/>
      <w:r w:rsidRPr="00802725">
        <w:rPr>
          <w:szCs w:val="22"/>
        </w:rPr>
        <w:t xml:space="preserve"> in the</w:t>
      </w:r>
      <w:r>
        <w:rPr>
          <w:szCs w:val="22"/>
        </w:rPr>
        <w:t xml:space="preserve"> institution’s </w:t>
      </w:r>
      <w:r w:rsidRPr="00802725">
        <w:rPr>
          <w:szCs w:val="22"/>
        </w:rPr>
        <w:t>collections.</w:t>
      </w:r>
    </w:p>
    <w:p w14:paraId="56301AB2" w14:textId="77777777" w:rsidR="00C019A0" w:rsidRPr="00802725" w:rsidRDefault="00C019A0" w:rsidP="00C019A0">
      <w:pPr>
        <w:rPr>
          <w:szCs w:val="22"/>
        </w:rPr>
      </w:pPr>
    </w:p>
    <w:p w14:paraId="0E7D0B3D" w14:textId="77777777" w:rsidR="00C019A0" w:rsidRPr="0031225D" w:rsidRDefault="00C019A0" w:rsidP="00C019A0">
      <w:pPr>
        <w:pStyle w:val="Level3"/>
        <w:numPr>
          <w:ilvl w:val="0"/>
          <w:numId w:val="23"/>
        </w:numPr>
        <w:ind w:left="357" w:hanging="357"/>
      </w:pPr>
      <w:bookmarkStart w:id="32" w:name="_Toc219210274"/>
      <w:r w:rsidRPr="0031225D">
        <w:t>Access and Copyright</w:t>
      </w:r>
      <w:bookmarkEnd w:id="32"/>
      <w:r w:rsidRPr="0031225D">
        <w:t xml:space="preserve">  </w:t>
      </w:r>
    </w:p>
    <w:p w14:paraId="6E24DE33" w14:textId="77777777" w:rsidR="00C019A0" w:rsidRDefault="00C019A0" w:rsidP="00C019A0">
      <w:pPr>
        <w:rPr>
          <w:szCs w:val="22"/>
        </w:rPr>
      </w:pPr>
    </w:p>
    <w:p w14:paraId="176D4FD4" w14:textId="77777777" w:rsidR="00C019A0" w:rsidRPr="00C91599" w:rsidRDefault="00C019A0" w:rsidP="00C019A0">
      <w:pPr>
        <w:rPr>
          <w:szCs w:val="22"/>
        </w:rPr>
      </w:pPr>
      <w:r w:rsidRPr="00C91599">
        <w:rPr>
          <w:szCs w:val="22"/>
        </w:rPr>
        <w:t>As cultural heritage institutions fulfill their missions, as reviewed in Part I, they will regularly use works in their collections that can implicate the rights of copyright owners. Many copyright issues regarding access to digital materials, for example, relate to the making of reproductions and derivatives by cultural heritage institutions. Part IV of this toolkit offers extensive detail about copyright and access, but the general copyright consideration here is that the terms of access must further the mission to serve research, education, and more, while at the same time respecting the interests of copyright owners. Those copyright interests are established primarily through the relevant statutes in the country with appropriate jurisdiction. Those laws are shaped in many ways by a series of multinational treaties. Some treaties include the “three-step test” that authorizes Member States to enact exceptions to the rights of copyright owners. Many services of libraries, archives, and other institutions are offered pursuant to the details of copyright exceptions, and those exceptions are drafted to be consistent with the “three-step test.”</w:t>
      </w:r>
    </w:p>
    <w:p w14:paraId="579C30E3" w14:textId="77777777" w:rsidR="00C019A0" w:rsidRPr="00386871" w:rsidRDefault="00C019A0" w:rsidP="00C019A0">
      <w:pPr>
        <w:rPr>
          <w:szCs w:val="22"/>
        </w:rPr>
      </w:pPr>
    </w:p>
    <w:p w14:paraId="1E0C4923" w14:textId="77777777" w:rsidR="00C019A0" w:rsidRDefault="00C019A0" w:rsidP="00C019A0">
      <w:pPr>
        <w:pStyle w:val="Level3"/>
      </w:pPr>
      <w:bookmarkStart w:id="33" w:name="_Toc219210275"/>
      <w:r w:rsidRPr="003177C4">
        <w:t>Access and Digital Technologies</w:t>
      </w:r>
      <w:bookmarkEnd w:id="33"/>
      <w:r w:rsidRPr="003177C4">
        <w:t xml:space="preserve"> </w:t>
      </w:r>
    </w:p>
    <w:p w14:paraId="585E80EE" w14:textId="77777777" w:rsidR="00C019A0" w:rsidRDefault="00C019A0" w:rsidP="00C019A0">
      <w:pPr>
        <w:rPr>
          <w:szCs w:val="22"/>
        </w:rPr>
      </w:pPr>
    </w:p>
    <w:p w14:paraId="3C8513A9" w14:textId="77777777" w:rsidR="00C019A0" w:rsidRDefault="00C019A0" w:rsidP="00C019A0">
      <w:pPr>
        <w:rPr>
          <w:szCs w:val="22"/>
        </w:rPr>
      </w:pPr>
      <w:r w:rsidRPr="00C91599">
        <w:rPr>
          <w:szCs w:val="22"/>
        </w:rPr>
        <w:t>The growth of technologies has opened numerous new possibilities and expand</w:t>
      </w:r>
      <w:r>
        <w:rPr>
          <w:szCs w:val="22"/>
        </w:rPr>
        <w:t>ed</w:t>
      </w:r>
      <w:r w:rsidRPr="00C91599">
        <w:rPr>
          <w:szCs w:val="22"/>
        </w:rPr>
        <w:t xml:space="preserve"> service</w:t>
      </w:r>
      <w:r>
        <w:rPr>
          <w:szCs w:val="22"/>
        </w:rPr>
        <w:t>s</w:t>
      </w:r>
      <w:r w:rsidRPr="00C91599">
        <w:rPr>
          <w:szCs w:val="22"/>
        </w:rPr>
        <w:t xml:space="preserve"> </w:t>
      </w:r>
      <w:r>
        <w:rPr>
          <w:szCs w:val="22"/>
        </w:rPr>
        <w:t>at</w:t>
      </w:r>
      <w:r w:rsidRPr="00C91599">
        <w:rPr>
          <w:szCs w:val="22"/>
        </w:rPr>
        <w:t xml:space="preserve"> nearly all cultural heritage institutions.</w:t>
      </w:r>
      <w:r w:rsidRPr="00F8627C">
        <w:rPr>
          <w:szCs w:val="22"/>
        </w:rPr>
        <w:t xml:space="preserve"> </w:t>
      </w:r>
      <w:r>
        <w:rPr>
          <w:szCs w:val="22"/>
        </w:rPr>
        <w:t xml:space="preserve">These new services can be affected by copyright law in many ways, and the uses can implicate derivatives, </w:t>
      </w:r>
      <w:proofErr w:type="gramStart"/>
      <w:r>
        <w:rPr>
          <w:szCs w:val="22"/>
        </w:rPr>
        <w:t>making</w:t>
      </w:r>
      <w:proofErr w:type="gramEnd"/>
      <w:r>
        <w:rPr>
          <w:szCs w:val="22"/>
        </w:rPr>
        <w:t xml:space="preserve"> available, and transmissions, in addition to reproductions. These innovative uses can also intersect with the law of cultural property. </w:t>
      </w:r>
      <w:r w:rsidRPr="00553D67">
        <w:rPr>
          <w:szCs w:val="22"/>
        </w:rPr>
        <w:t>The new opportunities for access and the possibility of multiple right</w:t>
      </w:r>
      <w:r>
        <w:rPr>
          <w:szCs w:val="22"/>
        </w:rPr>
        <w:t>shold</w:t>
      </w:r>
      <w:r w:rsidRPr="00553D67">
        <w:rPr>
          <w:szCs w:val="22"/>
        </w:rPr>
        <w:t>ers</w:t>
      </w:r>
      <w:r>
        <w:rPr>
          <w:szCs w:val="22"/>
        </w:rPr>
        <w:t xml:space="preserve"> illustrate the need for new ways </w:t>
      </w:r>
      <w:r w:rsidRPr="00553D67">
        <w:rPr>
          <w:szCs w:val="22"/>
        </w:rPr>
        <w:t xml:space="preserve">of clearing </w:t>
      </w:r>
      <w:r>
        <w:rPr>
          <w:szCs w:val="22"/>
        </w:rPr>
        <w:t>diverse</w:t>
      </w:r>
      <w:r w:rsidRPr="00553D67">
        <w:rPr>
          <w:szCs w:val="22"/>
        </w:rPr>
        <w:t xml:space="preserve"> rights</w:t>
      </w:r>
      <w:r>
        <w:rPr>
          <w:szCs w:val="22"/>
        </w:rPr>
        <w:t xml:space="preserve"> in this context</w:t>
      </w:r>
      <w:r w:rsidRPr="00553D67">
        <w:rPr>
          <w:szCs w:val="22"/>
        </w:rPr>
        <w:t xml:space="preserve"> and the need to be innovative while respecting</w:t>
      </w:r>
      <w:r w:rsidRPr="00F8627C">
        <w:rPr>
          <w:szCs w:val="22"/>
        </w:rPr>
        <w:t xml:space="preserve"> </w:t>
      </w:r>
      <w:r w:rsidRPr="00553D67">
        <w:rPr>
          <w:szCs w:val="22"/>
        </w:rPr>
        <w:t>potential</w:t>
      </w:r>
      <w:r w:rsidRPr="00F8627C">
        <w:rPr>
          <w:szCs w:val="22"/>
        </w:rPr>
        <w:t xml:space="preserve"> </w:t>
      </w:r>
      <w:r>
        <w:rPr>
          <w:szCs w:val="22"/>
        </w:rPr>
        <w:t xml:space="preserve">legal </w:t>
      </w:r>
      <w:r w:rsidRPr="00553D67">
        <w:rPr>
          <w:szCs w:val="22"/>
        </w:rPr>
        <w:t xml:space="preserve">rights that </w:t>
      </w:r>
      <w:r>
        <w:rPr>
          <w:szCs w:val="22"/>
        </w:rPr>
        <w:t>could survive beyond the term of copyright</w:t>
      </w:r>
      <w:r w:rsidRPr="00553D67">
        <w:rPr>
          <w:szCs w:val="22"/>
        </w:rPr>
        <w:t>.</w:t>
      </w:r>
      <w:r w:rsidRPr="00F8627C">
        <w:rPr>
          <w:szCs w:val="22"/>
        </w:rPr>
        <w:t xml:space="preserve"> </w:t>
      </w:r>
      <w:r w:rsidRPr="00C91599">
        <w:rPr>
          <w:szCs w:val="22"/>
        </w:rPr>
        <w:t xml:space="preserve">The charts in Part IV include added details about the implications of digital technology and the choices for responding to it. Regardless, the ability to deploy new technologies in furtherance of the missions of cultural heritage institutions </w:t>
      </w:r>
      <w:r>
        <w:rPr>
          <w:szCs w:val="22"/>
        </w:rPr>
        <w:t>becomes</w:t>
      </w:r>
      <w:r w:rsidRPr="00C91599">
        <w:rPr>
          <w:szCs w:val="22"/>
        </w:rPr>
        <w:t xml:space="preserve"> an imperative. </w:t>
      </w:r>
      <w:r>
        <w:rPr>
          <w:szCs w:val="22"/>
        </w:rPr>
        <w:t>It is essential for t</w:t>
      </w:r>
      <w:r w:rsidRPr="00C91599">
        <w:rPr>
          <w:szCs w:val="22"/>
        </w:rPr>
        <w:t xml:space="preserve">he standards of access </w:t>
      </w:r>
      <w:r>
        <w:rPr>
          <w:szCs w:val="22"/>
        </w:rPr>
        <w:t>to</w:t>
      </w:r>
      <w:r w:rsidRPr="00C91599">
        <w:rPr>
          <w:szCs w:val="22"/>
        </w:rPr>
        <w:t xml:space="preserve"> include the adoption and implementation of new technologies.</w:t>
      </w:r>
    </w:p>
    <w:p w14:paraId="58501522" w14:textId="77777777" w:rsidR="00C019A0" w:rsidRPr="00566953" w:rsidRDefault="00C019A0" w:rsidP="00C019A0">
      <w:pPr>
        <w:rPr>
          <w:szCs w:val="22"/>
        </w:rPr>
      </w:pPr>
    </w:p>
    <w:p w14:paraId="134791EB" w14:textId="77777777" w:rsidR="00C019A0" w:rsidRDefault="00C019A0" w:rsidP="00C019A0">
      <w:pPr>
        <w:pStyle w:val="Level3"/>
      </w:pPr>
      <w:bookmarkStart w:id="34" w:name="_Toc219210276"/>
      <w:r w:rsidRPr="0095060B">
        <w:t>Remote Access and Access Across Borders</w:t>
      </w:r>
      <w:bookmarkEnd w:id="34"/>
      <w:r>
        <w:t xml:space="preserve">  </w:t>
      </w:r>
    </w:p>
    <w:p w14:paraId="3BB5B2AC" w14:textId="77777777" w:rsidR="00C019A0" w:rsidRDefault="00C019A0" w:rsidP="00C019A0">
      <w:pPr>
        <w:rPr>
          <w:color w:val="000000"/>
          <w:szCs w:val="22"/>
        </w:rPr>
      </w:pPr>
    </w:p>
    <w:p w14:paraId="44944335" w14:textId="77777777" w:rsidR="00C019A0" w:rsidRDefault="00C019A0" w:rsidP="00C019A0">
      <w:pPr>
        <w:rPr>
          <w:color w:val="000000"/>
          <w:szCs w:val="22"/>
        </w:rPr>
      </w:pPr>
      <w:r w:rsidRPr="00C91599">
        <w:rPr>
          <w:color w:val="000000"/>
          <w:szCs w:val="22"/>
        </w:rPr>
        <w:t>Works in digital formats found in collections may be made accessible on their premises but they may also be made accessible remotely. It is when remote access to cultural heritage collections is contemplated that cross-border implications are raised. Technology allows works in digital formats to be accessed, downloaded, or uploaded across jurisdictions.</w:t>
      </w:r>
      <w:r w:rsidRPr="00802725">
        <w:rPr>
          <w:rStyle w:val="EndnoteReference"/>
          <w:color w:val="000000"/>
          <w:szCs w:val="22"/>
        </w:rPr>
        <w:endnoteReference w:id="16"/>
      </w:r>
      <w:r w:rsidRPr="00C91599">
        <w:rPr>
          <w:color w:val="000000"/>
          <w:szCs w:val="22"/>
        </w:rPr>
        <w:t xml:space="preserve"> </w:t>
      </w:r>
    </w:p>
    <w:p w14:paraId="06E3101D" w14:textId="77777777" w:rsidR="00C019A0" w:rsidRPr="00C91599" w:rsidRDefault="00C019A0" w:rsidP="00C019A0">
      <w:pPr>
        <w:rPr>
          <w:szCs w:val="22"/>
        </w:rPr>
      </w:pPr>
    </w:p>
    <w:p w14:paraId="4FEDE36E" w14:textId="77777777" w:rsidR="00C019A0" w:rsidRDefault="00C019A0" w:rsidP="00C019A0">
      <w:pPr>
        <w:pStyle w:val="NormalWeb"/>
        <w:spacing w:before="0" w:beforeAutospacing="0" w:after="0" w:afterAutospacing="0"/>
        <w:rPr>
          <w:rFonts w:ascii="Arial" w:hAnsi="Arial" w:cs="Arial"/>
          <w:color w:val="000000"/>
          <w:sz w:val="22"/>
          <w:szCs w:val="22"/>
        </w:rPr>
      </w:pPr>
    </w:p>
    <w:p w14:paraId="36E61C63" w14:textId="77777777" w:rsidR="002262EC" w:rsidRDefault="002262EC" w:rsidP="00C019A0">
      <w:pPr>
        <w:pStyle w:val="NormalWeb"/>
        <w:spacing w:before="0" w:beforeAutospacing="0" w:after="0" w:afterAutospacing="0"/>
        <w:rPr>
          <w:rFonts w:ascii="Arial" w:hAnsi="Arial" w:cs="Arial"/>
          <w:color w:val="000000"/>
          <w:sz w:val="22"/>
          <w:szCs w:val="22"/>
        </w:rPr>
      </w:pPr>
    </w:p>
    <w:p w14:paraId="4D873399" w14:textId="77777777" w:rsidR="002262EC" w:rsidRDefault="002262EC" w:rsidP="00C019A0">
      <w:pPr>
        <w:pStyle w:val="NormalWeb"/>
        <w:spacing w:before="0" w:beforeAutospacing="0" w:after="0" w:afterAutospacing="0"/>
        <w:rPr>
          <w:rFonts w:ascii="Arial" w:hAnsi="Arial" w:cs="Arial"/>
          <w:color w:val="000000"/>
          <w:sz w:val="22"/>
          <w:szCs w:val="22"/>
        </w:rPr>
      </w:pPr>
    </w:p>
    <w:p w14:paraId="5E8BB064" w14:textId="77777777" w:rsidR="002262EC" w:rsidRPr="00802725" w:rsidRDefault="002262EC" w:rsidP="00C019A0">
      <w:pPr>
        <w:pStyle w:val="NormalWeb"/>
        <w:spacing w:before="0" w:beforeAutospacing="0" w:after="0" w:afterAutospacing="0"/>
        <w:rPr>
          <w:rFonts w:ascii="Arial" w:hAnsi="Arial" w:cs="Arial"/>
          <w:color w:val="000000"/>
          <w:sz w:val="22"/>
          <w:szCs w:val="22"/>
        </w:rPr>
      </w:pPr>
    </w:p>
    <w:tbl>
      <w:tblPr>
        <w:tblStyle w:val="TableGrid"/>
        <w:tblW w:w="8930" w:type="dxa"/>
        <w:tblInd w:w="421" w:type="dxa"/>
        <w:tblLook w:val="04A0" w:firstRow="1" w:lastRow="0" w:firstColumn="1" w:lastColumn="0" w:noHBand="0" w:noVBand="1"/>
      </w:tblPr>
      <w:tblGrid>
        <w:gridCol w:w="8930"/>
      </w:tblGrid>
      <w:tr w:rsidR="00C019A0" w14:paraId="6F1D6BAD" w14:textId="77777777" w:rsidTr="008069EB">
        <w:tc>
          <w:tcPr>
            <w:tcW w:w="8930" w:type="dxa"/>
          </w:tcPr>
          <w:p w14:paraId="743AC3F5" w14:textId="77777777" w:rsidR="00C019A0" w:rsidRPr="00195A4F" w:rsidRDefault="00C019A0" w:rsidP="008069EB">
            <w:pPr>
              <w:pStyle w:val="NormalWeb"/>
              <w:spacing w:before="0" w:beforeAutospacing="0" w:after="0" w:afterAutospacing="0"/>
              <w:rPr>
                <w:rFonts w:ascii="Arial" w:hAnsi="Arial" w:cs="Arial"/>
                <w:color w:val="000000"/>
              </w:rPr>
            </w:pPr>
            <w:r w:rsidRPr="00263B8F">
              <w:rPr>
                <w:rFonts w:ascii="Arial" w:hAnsi="Arial" w:cs="Arial"/>
                <w:color w:val="000000"/>
                <w:u w:val="single"/>
              </w:rPr>
              <w:t>Example</w:t>
            </w:r>
            <w:r>
              <w:rPr>
                <w:rFonts w:ascii="Arial" w:hAnsi="Arial" w:cs="Arial"/>
                <w:color w:val="000000"/>
                <w:u w:val="single"/>
              </w:rPr>
              <w:t xml:space="preserve"> of Research Consortia</w:t>
            </w:r>
            <w:r>
              <w:rPr>
                <w:rFonts w:ascii="Arial" w:hAnsi="Arial" w:cs="Arial"/>
                <w:color w:val="000000"/>
              </w:rPr>
              <w:t>:</w:t>
            </w:r>
          </w:p>
          <w:p w14:paraId="0D7C7569" w14:textId="77777777" w:rsidR="00C019A0" w:rsidRDefault="00C019A0" w:rsidP="008069EB">
            <w:pPr>
              <w:pStyle w:val="NormalWeb"/>
              <w:spacing w:before="0" w:beforeAutospacing="0" w:after="0" w:afterAutospacing="0"/>
              <w:rPr>
                <w:rFonts w:ascii="Arial" w:hAnsi="Arial" w:cs="Arial"/>
                <w:color w:val="000000"/>
              </w:rPr>
            </w:pPr>
          </w:p>
          <w:p w14:paraId="7AB0E3BB" w14:textId="05FE0640" w:rsidR="00C019A0" w:rsidRDefault="00C019A0" w:rsidP="008069EB">
            <w:pPr>
              <w:pStyle w:val="NormalWeb"/>
              <w:spacing w:before="0" w:beforeAutospacing="0" w:after="120" w:afterAutospacing="0"/>
              <w:rPr>
                <w:rFonts w:ascii="Arial" w:hAnsi="Arial" w:cs="Arial"/>
                <w:color w:val="000000"/>
              </w:rPr>
            </w:pPr>
            <w:r>
              <w:rPr>
                <w:rFonts w:ascii="Arial" w:hAnsi="Arial" w:cs="Arial"/>
                <w:color w:val="000000"/>
              </w:rPr>
              <w:t xml:space="preserve">Cultural heritage institutions are participating in research consortia and digitization projects where digital materials and other research data are uploaded and downloaded by members of the consortia from multiple jurisdictions. This is the case, for example, in the development of </w:t>
            </w:r>
            <w:hyperlink r:id="rId11" w:history="1">
              <w:r w:rsidRPr="00421F62">
                <w:rPr>
                  <w:rFonts w:ascii="Arial" w:hAnsi="Arial" w:cs="Arial"/>
                  <w:color w:val="000000"/>
                </w:rPr>
                <w:t>international data and data set repositories</w:t>
              </w:r>
            </w:hyperlink>
            <w:r w:rsidRPr="00097CCC">
              <w:rPr>
                <w:rStyle w:val="EndnoteReference"/>
                <w:rFonts w:ascii="Arial" w:hAnsi="Arial" w:cs="Arial"/>
              </w:rPr>
              <w:endnoteReference w:id="17"/>
            </w:r>
            <w:r w:rsidRPr="00EA2BFC">
              <w:rPr>
                <w:rFonts w:ascii="Arial" w:hAnsi="Arial" w:cs="Arial"/>
                <w:color w:val="000000"/>
              </w:rPr>
              <w:t>.</w:t>
            </w:r>
            <w:r>
              <w:rPr>
                <w:rFonts w:ascii="Arial" w:hAnsi="Arial" w:cs="Arial"/>
                <w:color w:val="000000"/>
              </w:rPr>
              <w:t xml:space="preserve"> Clearly, research consortia operate across borders. This is especially important where collections are connected, whether shared administratively, or by subject, across institutions. Consider as well, that archives now practice post-custodial collection building that seeks to share digital surrogates of copyright-protected materials found in collections without the originals leaving their jurisdictions of origin. </w:t>
            </w:r>
          </w:p>
        </w:tc>
      </w:tr>
    </w:tbl>
    <w:p w14:paraId="56B8B7AB" w14:textId="77777777" w:rsidR="00C019A0" w:rsidRPr="005B7DDC" w:rsidRDefault="00C019A0" w:rsidP="00C019A0">
      <w:pPr>
        <w:rPr>
          <w:szCs w:val="22"/>
        </w:rPr>
      </w:pPr>
    </w:p>
    <w:p w14:paraId="076B03A6" w14:textId="77777777" w:rsidR="00C019A0" w:rsidRDefault="00C019A0" w:rsidP="00C019A0">
      <w:pPr>
        <w:pStyle w:val="Level3"/>
      </w:pPr>
      <w:bookmarkStart w:id="35" w:name="_Toc219210277"/>
      <w:r w:rsidRPr="00FA2F6B">
        <w:t>Access and the Scope of Authorized User</w:t>
      </w:r>
      <w:r>
        <w:t>s</w:t>
      </w:r>
      <w:bookmarkEnd w:id="35"/>
      <w:r w:rsidRPr="00FA2F6B">
        <w:t xml:space="preserve">  </w:t>
      </w:r>
    </w:p>
    <w:p w14:paraId="2F77B9B1" w14:textId="77777777" w:rsidR="00C019A0" w:rsidRDefault="00C019A0" w:rsidP="00C019A0">
      <w:pPr>
        <w:rPr>
          <w:szCs w:val="22"/>
        </w:rPr>
      </w:pPr>
    </w:p>
    <w:p w14:paraId="1F1B9298" w14:textId="77777777" w:rsidR="00C019A0" w:rsidRPr="00C91599" w:rsidRDefault="00C019A0" w:rsidP="00C019A0">
      <w:pPr>
        <w:rPr>
          <w:szCs w:val="22"/>
        </w:rPr>
      </w:pPr>
      <w:r w:rsidRPr="00C91599">
        <w:rPr>
          <w:szCs w:val="22"/>
        </w:rPr>
        <w:t>Access can be allowed broadly, or it may be narrowly limited to defined user categories. Users, most narrowly defined, can be limited to the librarians, archivists, and curatorial staff who are responsible for managing collections. Authorized users can then be broadened progressively to include institutional researchers, faculty, students, independent researchers, staff, and researchers from other like institutions. The broadest group of users would be the public. The image below illustrates the progression of users of copyright-protected materials and objects in cultural heritage collections from narrow to broad, which are not necessarily mutually exclusive, and scope of use. Finally, in the case of cultural heritage institutions and users operating across borders, policy and lawmakers may need to identify specific cross-border issues and develop and pursue multinational solutions to define user groups in a consistent manner.</w:t>
      </w:r>
    </w:p>
    <w:p w14:paraId="7FD39C25" w14:textId="77777777" w:rsidR="00C019A0" w:rsidRDefault="00C019A0" w:rsidP="00C019A0">
      <w:pPr>
        <w:rPr>
          <w:szCs w:val="22"/>
        </w:rPr>
      </w:pPr>
    </w:p>
    <w:p w14:paraId="741A29DB" w14:textId="77777777" w:rsidR="00C019A0" w:rsidRPr="00873DA3" w:rsidRDefault="00C019A0" w:rsidP="00C019A0">
      <w:pPr>
        <w:rPr>
          <w:szCs w:val="22"/>
        </w:rPr>
      </w:pPr>
      <w:r>
        <w:rPr>
          <w:noProof/>
        </w:rPr>
        <w:drawing>
          <wp:inline distT="114300" distB="114300" distL="114300" distR="114300" wp14:anchorId="45D009F9" wp14:editId="4CF439D9">
            <wp:extent cx="4831080" cy="2979420"/>
            <wp:effectExtent l="0" t="0" r="7620" b="0"/>
            <wp:docPr id="1" name="image1.png" descr="A diagram of members of the public&#10;&#10;AI-generated content may be incorrect."/>
            <wp:cNvGraphicFramePr/>
            <a:graphic xmlns:a="http://schemas.openxmlformats.org/drawingml/2006/main">
              <a:graphicData uri="http://schemas.openxmlformats.org/drawingml/2006/picture">
                <pic:pic xmlns:pic="http://schemas.openxmlformats.org/drawingml/2006/picture">
                  <pic:nvPicPr>
                    <pic:cNvPr id="1" name="image1.png" descr="A diagram of members of the public&#10;&#10;AI-generated content may be incorrect."/>
                    <pic:cNvPicPr preferRelativeResize="0"/>
                  </pic:nvPicPr>
                  <pic:blipFill>
                    <a:blip r:embed="rId12"/>
                    <a:srcRect l="2243" t="7439" b="4157"/>
                    <a:stretch>
                      <a:fillRect/>
                    </a:stretch>
                  </pic:blipFill>
                  <pic:spPr>
                    <a:xfrm>
                      <a:off x="0" y="0"/>
                      <a:ext cx="4846804" cy="2989117"/>
                    </a:xfrm>
                    <a:prstGeom prst="rect">
                      <a:avLst/>
                    </a:prstGeom>
                    <a:blipFill>
                      <a:blip r:embed="rId13"/>
                      <a:tile tx="0" ty="0" sx="100000" sy="100000" flip="none" algn="tl"/>
                    </a:blipFill>
                    <a:ln/>
                  </pic:spPr>
                </pic:pic>
              </a:graphicData>
            </a:graphic>
          </wp:inline>
        </w:drawing>
      </w:r>
    </w:p>
    <w:p w14:paraId="2AC49E7C" w14:textId="77777777" w:rsidR="00C019A0" w:rsidRPr="00225C67" w:rsidRDefault="00C019A0" w:rsidP="00C019A0">
      <w:pPr>
        <w:rPr>
          <w:szCs w:val="22"/>
        </w:rPr>
      </w:pPr>
    </w:p>
    <w:p w14:paraId="5400D27D" w14:textId="77777777" w:rsidR="00C019A0" w:rsidRDefault="00C019A0" w:rsidP="00C019A0">
      <w:pPr>
        <w:pStyle w:val="Level3"/>
      </w:pPr>
      <w:bookmarkStart w:id="36" w:name="_Toc219210278"/>
      <w:r w:rsidRPr="00D41588">
        <w:t>Access and Digitized Works and Works Born Digital</w:t>
      </w:r>
      <w:bookmarkEnd w:id="36"/>
      <w:r w:rsidRPr="00D41588">
        <w:t xml:space="preserve"> </w:t>
      </w:r>
    </w:p>
    <w:p w14:paraId="3E97DE47" w14:textId="77777777" w:rsidR="00C019A0" w:rsidRDefault="00C019A0" w:rsidP="00C019A0">
      <w:pPr>
        <w:rPr>
          <w:color w:val="000000"/>
          <w:szCs w:val="22"/>
        </w:rPr>
      </w:pPr>
    </w:p>
    <w:p w14:paraId="63370D9A" w14:textId="77777777" w:rsidR="00C019A0" w:rsidRPr="00C91599" w:rsidRDefault="00C019A0" w:rsidP="00C019A0">
      <w:pPr>
        <w:rPr>
          <w:szCs w:val="22"/>
        </w:rPr>
      </w:pPr>
      <w:r w:rsidRPr="00C91599">
        <w:rPr>
          <w:color w:val="000000"/>
          <w:szCs w:val="22"/>
        </w:rPr>
        <w:t>While the need for access may not depend on the type of work or media format (e.g., eBooks vis-à-vis motion pictures), access could reasonably vary depending on other traits of the work in question. This is especially true for works held in the collection of the institution in digital form</w:t>
      </w:r>
      <w:r w:rsidRPr="00C91599">
        <w:rPr>
          <w:i/>
          <w:iCs/>
          <w:color w:val="000000"/>
          <w:szCs w:val="22"/>
        </w:rPr>
        <w:t>.</w:t>
      </w:r>
      <w:r w:rsidRPr="00C91599">
        <w:rPr>
          <w:color w:val="000000"/>
          <w:szCs w:val="22"/>
        </w:rPr>
        <w:t> Cultural heritage institutions are digitizing works held in their collections as well as acquiring works “born digital” (that is, the form of the works collected is only digital, as opposed to having been “digitized” or copied into digital format). Certain born-digital works may be subject to technical protection measures whose very purpose is to limit access. This is also true since so many types of works in the collections are now created by using various technologies and proprietary platforms. The ability to access and use such works can depend on having the required software and systems, which are usually subject to licensing terms and conditions.</w:t>
      </w:r>
    </w:p>
    <w:p w14:paraId="5211B58B" w14:textId="77777777" w:rsidR="00C019A0" w:rsidRPr="00802725" w:rsidRDefault="00C019A0" w:rsidP="00C019A0">
      <w:pPr>
        <w:ind w:firstLine="360"/>
        <w:rPr>
          <w:szCs w:val="22"/>
        </w:rPr>
      </w:pPr>
    </w:p>
    <w:p w14:paraId="0C6E8538" w14:textId="77777777" w:rsidR="00C019A0" w:rsidRDefault="00C019A0" w:rsidP="00C019A0">
      <w:pPr>
        <w:pStyle w:val="Level3"/>
      </w:pPr>
      <w:bookmarkStart w:id="37" w:name="_Toc219210279"/>
      <w:r w:rsidRPr="00715E06">
        <w:t>Access for Permitted Purposes</w:t>
      </w:r>
      <w:bookmarkEnd w:id="37"/>
      <w:r w:rsidRPr="00715E06">
        <w:t xml:space="preserve">  </w:t>
      </w:r>
    </w:p>
    <w:p w14:paraId="06F96228" w14:textId="77777777" w:rsidR="00C019A0" w:rsidRDefault="00C019A0" w:rsidP="00C019A0">
      <w:pPr>
        <w:rPr>
          <w:color w:val="000000"/>
          <w:szCs w:val="22"/>
        </w:rPr>
      </w:pPr>
    </w:p>
    <w:p w14:paraId="28373D79" w14:textId="77777777" w:rsidR="00C019A0" w:rsidRPr="00C91599" w:rsidRDefault="00C019A0" w:rsidP="00C019A0">
      <w:pPr>
        <w:rPr>
          <w:szCs w:val="22"/>
        </w:rPr>
      </w:pPr>
      <w:r w:rsidRPr="00C91599">
        <w:rPr>
          <w:color w:val="000000"/>
          <w:szCs w:val="22"/>
        </w:rPr>
        <w:t xml:space="preserve">As provided for in the </w:t>
      </w:r>
      <w:r w:rsidRPr="00C91599">
        <w:rPr>
          <w:i/>
          <w:iCs/>
          <w:color w:val="000000"/>
          <w:szCs w:val="22"/>
        </w:rPr>
        <w:t>Toolkit on Preservation</w:t>
      </w:r>
      <w:r w:rsidRPr="00C91599">
        <w:rPr>
          <w:color w:val="000000"/>
          <w:szCs w:val="22"/>
        </w:rPr>
        <w:t xml:space="preserve">, cultural heritage institutions preserve works in furtherance of specified purposes defined by their missions and mandates. This is true of access, as well. Access requirements are most often driven by objectives aligned with their missions, such as research, community outreach or education. As trusted institutions that hold collections for the benefit of the public, cultural heritage institutions may also carry out programmatic activities that appear less connected to their missions but may be required </w:t>
      </w:r>
      <w:proofErr w:type="gramStart"/>
      <w:r w:rsidRPr="00C91599">
        <w:rPr>
          <w:color w:val="000000"/>
          <w:szCs w:val="22"/>
        </w:rPr>
        <w:t>in order to</w:t>
      </w:r>
      <w:proofErr w:type="gramEnd"/>
      <w:r w:rsidRPr="00C91599">
        <w:rPr>
          <w:color w:val="000000"/>
          <w:szCs w:val="22"/>
        </w:rPr>
        <w:t xml:space="preserve"> generate revenues as a means of supplementing budgetary shortfalls. A detailed list of distinctions in purpose may be found in Part IV of this toolkit that provides law and policymakers with a nuanced understanding of how purpose can frame potential access solutions, examined more fully in Part III.</w:t>
      </w:r>
    </w:p>
    <w:p w14:paraId="6A3E137C" w14:textId="77777777" w:rsidR="00C019A0" w:rsidRPr="00167B64" w:rsidRDefault="00C019A0" w:rsidP="00C019A0">
      <w:pPr>
        <w:ind w:firstLine="360"/>
        <w:rPr>
          <w:szCs w:val="22"/>
        </w:rPr>
      </w:pPr>
    </w:p>
    <w:p w14:paraId="6A7E75A7" w14:textId="77777777" w:rsidR="00C019A0" w:rsidRDefault="00C019A0" w:rsidP="00C019A0">
      <w:pPr>
        <w:pStyle w:val="Level3"/>
      </w:pPr>
      <w:bookmarkStart w:id="38" w:name="_Toc219210280"/>
      <w:r w:rsidRPr="00B35F6F">
        <w:t>Access and Monitoring and Administration</w:t>
      </w:r>
      <w:bookmarkEnd w:id="38"/>
      <w:r w:rsidRPr="00B35F6F">
        <w:t xml:space="preserve">  </w:t>
      </w:r>
    </w:p>
    <w:p w14:paraId="1074804E" w14:textId="77777777" w:rsidR="00C019A0" w:rsidRDefault="00C019A0" w:rsidP="00C019A0">
      <w:pPr>
        <w:rPr>
          <w:color w:val="000000"/>
          <w:szCs w:val="22"/>
        </w:rPr>
      </w:pPr>
    </w:p>
    <w:p w14:paraId="606AF4BE" w14:textId="77777777" w:rsidR="00C019A0" w:rsidRPr="00C91599" w:rsidRDefault="00C019A0" w:rsidP="00C019A0">
      <w:pPr>
        <w:rPr>
          <w:szCs w:val="22"/>
        </w:rPr>
      </w:pPr>
      <w:r w:rsidRPr="00C91599">
        <w:rPr>
          <w:color w:val="000000"/>
          <w:szCs w:val="22"/>
        </w:rPr>
        <w:t>Some Member States, with respect to certain uses of copyrighted works, require confirmation and documentation of compliance with copyright exceptions, including key provisions authorizing access. A country’s law, for example, may allow copies of works for private study, and it may require elaborate documentation of the user’s request and the library’s delivery of the copies. Other countries have no such formal requirements.</w:t>
      </w:r>
      <w:r w:rsidRPr="00802725">
        <w:rPr>
          <w:rStyle w:val="EndnoteReference"/>
          <w:color w:val="000000"/>
          <w:szCs w:val="22"/>
        </w:rPr>
        <w:endnoteReference w:id="18"/>
      </w:r>
    </w:p>
    <w:p w14:paraId="023C1703" w14:textId="77777777" w:rsidR="00C019A0" w:rsidRPr="00802725" w:rsidRDefault="00C019A0" w:rsidP="00C019A0">
      <w:pPr>
        <w:pStyle w:val="NormalWeb"/>
        <w:spacing w:before="0" w:beforeAutospacing="0" w:after="0" w:afterAutospacing="0"/>
        <w:rPr>
          <w:rFonts w:ascii="Arial" w:hAnsi="Arial" w:cs="Arial"/>
          <w:color w:val="000000"/>
          <w:sz w:val="22"/>
          <w:szCs w:val="22"/>
        </w:rPr>
      </w:pPr>
    </w:p>
    <w:p w14:paraId="564B767A" w14:textId="77777777" w:rsidR="00C019A0" w:rsidRDefault="00C019A0" w:rsidP="00C019A0">
      <w:pPr>
        <w:pStyle w:val="NormalWeb"/>
        <w:spacing w:before="0" w:beforeAutospacing="0" w:after="0" w:afterAutospacing="0"/>
        <w:rPr>
          <w:rFonts w:ascii="Arial" w:hAnsi="Arial" w:cs="Arial"/>
          <w:color w:val="000000"/>
          <w:sz w:val="22"/>
          <w:szCs w:val="22"/>
        </w:rPr>
      </w:pPr>
      <w:r w:rsidRPr="00802725">
        <w:rPr>
          <w:rFonts w:ascii="Arial" w:hAnsi="Arial" w:cs="Arial"/>
          <w:color w:val="000000"/>
          <w:sz w:val="22"/>
          <w:szCs w:val="22"/>
        </w:rPr>
        <w:t xml:space="preserve">Alternative forms of monitored access may include the requirement that a copy of a work in a collection must be in writing or a prescribed form. In addition, researchers may be required to register with the cultural heritage institution to gain access to digital materials on site or remotely. In some cases, documentation may be made available for review while personal information may be redacted, to ensure the anonymity of the researcher. A full list of alternatives is provided in Part IV of this </w:t>
      </w:r>
      <w:r>
        <w:rPr>
          <w:rFonts w:ascii="Arial" w:hAnsi="Arial" w:cs="Arial"/>
          <w:color w:val="000000"/>
          <w:sz w:val="22"/>
          <w:szCs w:val="22"/>
        </w:rPr>
        <w:t>t</w:t>
      </w:r>
      <w:r w:rsidRPr="00802725">
        <w:rPr>
          <w:rFonts w:ascii="Arial" w:hAnsi="Arial" w:cs="Arial"/>
          <w:color w:val="000000"/>
          <w:sz w:val="22"/>
          <w:szCs w:val="22"/>
        </w:rPr>
        <w:t>oolkit.</w:t>
      </w:r>
    </w:p>
    <w:p w14:paraId="280CFC7E" w14:textId="77777777" w:rsidR="00C019A0" w:rsidRDefault="00C019A0" w:rsidP="00C019A0">
      <w:pPr>
        <w:pStyle w:val="NormalWeb"/>
        <w:spacing w:before="0" w:beforeAutospacing="0" w:after="0" w:afterAutospacing="0"/>
        <w:rPr>
          <w:rFonts w:ascii="Arial" w:hAnsi="Arial" w:cs="Arial"/>
          <w:color w:val="000000"/>
          <w:sz w:val="22"/>
          <w:szCs w:val="22"/>
        </w:rPr>
      </w:pPr>
    </w:p>
    <w:p w14:paraId="153F33E9" w14:textId="77777777" w:rsidR="00C019A0" w:rsidRDefault="00C019A0" w:rsidP="00C019A0">
      <w:pPr>
        <w:pStyle w:val="NormalWeb"/>
        <w:spacing w:before="0" w:beforeAutospacing="0" w:after="0" w:afterAutospacing="0"/>
        <w:rPr>
          <w:rFonts w:ascii="Arial" w:hAnsi="Arial" w:cs="Arial"/>
          <w:color w:val="000000"/>
          <w:sz w:val="22"/>
          <w:szCs w:val="22"/>
        </w:rPr>
      </w:pPr>
    </w:p>
    <w:p w14:paraId="34B725B9" w14:textId="77777777" w:rsidR="00C019A0" w:rsidRDefault="00C019A0" w:rsidP="00C019A0">
      <w:pPr>
        <w:rPr>
          <w:rFonts w:eastAsia="Times New Roman"/>
          <w:color w:val="000000"/>
          <w:szCs w:val="22"/>
        </w:rPr>
      </w:pPr>
      <w:r>
        <w:rPr>
          <w:color w:val="000000"/>
          <w:szCs w:val="22"/>
        </w:rPr>
        <w:br w:type="page"/>
      </w:r>
    </w:p>
    <w:p w14:paraId="712EE6E5" w14:textId="77777777" w:rsidR="00C019A0" w:rsidRPr="00802725" w:rsidRDefault="00C019A0" w:rsidP="00C019A0">
      <w:pPr>
        <w:pStyle w:val="Level1"/>
      </w:pPr>
      <w:bookmarkStart w:id="39" w:name="_Toc219210281"/>
      <w:r w:rsidRPr="00D112AD">
        <w:t>Part III: Access Solutions in the Environment of Law and</w:t>
      </w:r>
      <w:r>
        <w:t xml:space="preserve"> Liability</w:t>
      </w:r>
      <w:r w:rsidRPr="00D112AD">
        <w:t xml:space="preserve"> Risk</w:t>
      </w:r>
      <w:bookmarkEnd w:id="39"/>
      <w:r w:rsidRPr="00802725">
        <w:br/>
      </w:r>
    </w:p>
    <w:p w14:paraId="2F5CE457" w14:textId="77777777" w:rsidR="00C019A0" w:rsidRDefault="00C019A0" w:rsidP="00C019A0">
      <w:pPr>
        <w:rPr>
          <w:szCs w:val="22"/>
        </w:rPr>
      </w:pPr>
      <w:r w:rsidRPr="00802725">
        <w:rPr>
          <w:szCs w:val="22"/>
        </w:rPr>
        <w:t>This Part III highlight</w:t>
      </w:r>
      <w:r>
        <w:rPr>
          <w:szCs w:val="22"/>
        </w:rPr>
        <w:t>s</w:t>
      </w:r>
      <w:r w:rsidRPr="00802725">
        <w:rPr>
          <w:szCs w:val="22"/>
        </w:rPr>
        <w:t xml:space="preserve"> and describe</w:t>
      </w:r>
      <w:r>
        <w:rPr>
          <w:szCs w:val="22"/>
        </w:rPr>
        <w:t>s</w:t>
      </w:r>
      <w:r w:rsidRPr="00802725">
        <w:rPr>
          <w:szCs w:val="22"/>
        </w:rPr>
        <w:t xml:space="preserve"> various means for enabling and optimizing access to works in </w:t>
      </w:r>
      <w:r>
        <w:rPr>
          <w:szCs w:val="22"/>
        </w:rPr>
        <w:t>cultural heritage</w:t>
      </w:r>
      <w:r w:rsidRPr="00802725">
        <w:rPr>
          <w:szCs w:val="22"/>
        </w:rPr>
        <w:t xml:space="preserve"> collections, particularly in an environment </w:t>
      </w:r>
      <w:r>
        <w:rPr>
          <w:szCs w:val="22"/>
        </w:rPr>
        <w:t>influenc</w:t>
      </w:r>
      <w:r w:rsidRPr="00802725">
        <w:rPr>
          <w:szCs w:val="22"/>
        </w:rPr>
        <w:t xml:space="preserve">ed by copyright law and the expanding opportunities </w:t>
      </w:r>
      <w:r>
        <w:rPr>
          <w:szCs w:val="22"/>
        </w:rPr>
        <w:t xml:space="preserve">and legal risks presented by improper use of </w:t>
      </w:r>
      <w:r w:rsidRPr="00802725">
        <w:rPr>
          <w:szCs w:val="22"/>
        </w:rPr>
        <w:t>digital technologies.</w:t>
      </w:r>
      <w:r>
        <w:rPr>
          <w:rStyle w:val="EndnoteReference"/>
          <w:szCs w:val="22"/>
        </w:rPr>
        <w:endnoteReference w:id="19"/>
      </w:r>
      <w:r>
        <w:rPr>
          <w:szCs w:val="22"/>
        </w:rPr>
        <w:t xml:space="preserve"> Many uses of copyrighted works raise at least the possibility of an infringement, if the use is not explicitly permitted under law. </w:t>
      </w:r>
      <w:r w:rsidRPr="00802725">
        <w:rPr>
          <w:szCs w:val="22"/>
        </w:rPr>
        <w:t>Certain solutions m</w:t>
      </w:r>
      <w:r>
        <w:rPr>
          <w:szCs w:val="22"/>
        </w:rPr>
        <w:t>ight</w:t>
      </w:r>
      <w:r w:rsidRPr="00802725">
        <w:rPr>
          <w:szCs w:val="22"/>
        </w:rPr>
        <w:t xml:space="preserve"> eliminate </w:t>
      </w:r>
      <w:r>
        <w:rPr>
          <w:szCs w:val="22"/>
        </w:rPr>
        <w:t xml:space="preserve">that possible </w:t>
      </w:r>
      <w:r w:rsidRPr="00802725">
        <w:rPr>
          <w:szCs w:val="22"/>
        </w:rPr>
        <w:t xml:space="preserve">risk, while other solutions are recognized as risk mitigation techniques. Consideration may be given to how solutions may operate in concert </w:t>
      </w:r>
      <w:r>
        <w:rPr>
          <w:szCs w:val="22"/>
        </w:rPr>
        <w:t>under certain circumstances</w:t>
      </w:r>
      <w:r w:rsidRPr="00802725">
        <w:rPr>
          <w:szCs w:val="22"/>
        </w:rPr>
        <w:t xml:space="preserve">. There will be circumstances where the leading solution may be to </w:t>
      </w:r>
      <w:r>
        <w:rPr>
          <w:szCs w:val="22"/>
        </w:rPr>
        <w:t xml:space="preserve">seek </w:t>
      </w:r>
      <w:r w:rsidRPr="00802725">
        <w:rPr>
          <w:szCs w:val="22"/>
        </w:rPr>
        <w:t>eliminat</w:t>
      </w:r>
      <w:r>
        <w:rPr>
          <w:szCs w:val="22"/>
        </w:rPr>
        <w:t>ion of</w:t>
      </w:r>
      <w:r w:rsidRPr="00802725">
        <w:rPr>
          <w:szCs w:val="22"/>
        </w:rPr>
        <w:t xml:space="preserve"> risk altogether by introducing exceptions to copyright</w:t>
      </w:r>
      <w:r>
        <w:rPr>
          <w:szCs w:val="22"/>
        </w:rPr>
        <w:t>,</w:t>
      </w:r>
      <w:r w:rsidRPr="00802725">
        <w:rPr>
          <w:szCs w:val="22"/>
        </w:rPr>
        <w:t xml:space="preserve"> or </w:t>
      </w:r>
      <w:r>
        <w:rPr>
          <w:szCs w:val="22"/>
        </w:rPr>
        <w:t xml:space="preserve">by </w:t>
      </w:r>
      <w:r w:rsidRPr="00802725">
        <w:rPr>
          <w:szCs w:val="22"/>
        </w:rPr>
        <w:t>re</w:t>
      </w:r>
      <w:r>
        <w:rPr>
          <w:szCs w:val="22"/>
        </w:rPr>
        <w:t xml:space="preserve">quiring </w:t>
      </w:r>
      <w:r w:rsidRPr="00802725">
        <w:rPr>
          <w:szCs w:val="22"/>
        </w:rPr>
        <w:t xml:space="preserve">licenses that authorize access. In other circumstances, no copyright exception may be available, leaving only </w:t>
      </w:r>
      <w:r>
        <w:rPr>
          <w:szCs w:val="22"/>
        </w:rPr>
        <w:t xml:space="preserve">some </w:t>
      </w:r>
      <w:r w:rsidRPr="00802725">
        <w:rPr>
          <w:szCs w:val="22"/>
        </w:rPr>
        <w:t>innovative mitigation techniques t</w:t>
      </w:r>
      <w:r>
        <w:rPr>
          <w:szCs w:val="22"/>
        </w:rPr>
        <w:t>hat</w:t>
      </w:r>
      <w:r w:rsidRPr="00802725">
        <w:rPr>
          <w:szCs w:val="22"/>
        </w:rPr>
        <w:t xml:space="preserve"> </w:t>
      </w:r>
      <w:r>
        <w:rPr>
          <w:szCs w:val="22"/>
        </w:rPr>
        <w:t xml:space="preserve">facilitate reasonable and </w:t>
      </w:r>
      <w:r w:rsidRPr="00802725">
        <w:rPr>
          <w:szCs w:val="22"/>
        </w:rPr>
        <w:t>practical</w:t>
      </w:r>
      <w:r>
        <w:rPr>
          <w:szCs w:val="22"/>
        </w:rPr>
        <w:t xml:space="preserve"> management of remaining </w:t>
      </w:r>
      <w:r w:rsidRPr="00802725">
        <w:rPr>
          <w:szCs w:val="22"/>
        </w:rPr>
        <w:t>risk</w:t>
      </w:r>
      <w:r>
        <w:rPr>
          <w:szCs w:val="22"/>
        </w:rPr>
        <w:t>s</w:t>
      </w:r>
      <w:r w:rsidRPr="00802725">
        <w:rPr>
          <w:szCs w:val="22"/>
        </w:rPr>
        <w:t>.</w:t>
      </w:r>
    </w:p>
    <w:p w14:paraId="19B0AEE8" w14:textId="77777777" w:rsidR="00C019A0" w:rsidRPr="00802725" w:rsidRDefault="00C019A0" w:rsidP="00C019A0">
      <w:pPr>
        <w:rPr>
          <w:szCs w:val="22"/>
        </w:rPr>
      </w:pPr>
    </w:p>
    <w:p w14:paraId="2A32B0D5" w14:textId="77777777" w:rsidR="00C019A0" w:rsidRPr="00802725" w:rsidRDefault="00C019A0" w:rsidP="00C019A0">
      <w:pPr>
        <w:rPr>
          <w:szCs w:val="22"/>
        </w:rPr>
      </w:pPr>
      <w:r>
        <w:rPr>
          <w:szCs w:val="22"/>
        </w:rPr>
        <w:t xml:space="preserve">Solutions that could </w:t>
      </w:r>
      <w:r w:rsidRPr="00802725">
        <w:rPr>
          <w:szCs w:val="22"/>
        </w:rPr>
        <w:t>eliminat</w:t>
      </w:r>
      <w:r>
        <w:rPr>
          <w:szCs w:val="22"/>
        </w:rPr>
        <w:t>e</w:t>
      </w:r>
      <w:r w:rsidRPr="00802725">
        <w:rPr>
          <w:szCs w:val="22"/>
        </w:rPr>
        <w:t xml:space="preserve"> </w:t>
      </w:r>
      <w:r>
        <w:rPr>
          <w:szCs w:val="22"/>
        </w:rPr>
        <w:t>or</w:t>
      </w:r>
      <w:r w:rsidRPr="00802725">
        <w:rPr>
          <w:szCs w:val="22"/>
        </w:rPr>
        <w:t xml:space="preserve"> mitigat</w:t>
      </w:r>
      <w:r>
        <w:rPr>
          <w:szCs w:val="22"/>
        </w:rPr>
        <w:t xml:space="preserve">e risks </w:t>
      </w:r>
      <w:r w:rsidRPr="00802725">
        <w:rPr>
          <w:szCs w:val="22"/>
        </w:rPr>
        <w:t>operate to the benefit of all parties in the copyright ecosystem. For cultural heritage institutions, their professionals, and their patrons, the</w:t>
      </w:r>
      <w:r>
        <w:rPr>
          <w:szCs w:val="22"/>
        </w:rPr>
        <w:t xml:space="preserve"> copyright provisions</w:t>
      </w:r>
      <w:r w:rsidRPr="00802725">
        <w:rPr>
          <w:szCs w:val="22"/>
        </w:rPr>
        <w:t xml:space="preserve"> provide a </w:t>
      </w:r>
      <w:r>
        <w:rPr>
          <w:szCs w:val="22"/>
        </w:rPr>
        <w:t xml:space="preserve">significant </w:t>
      </w:r>
      <w:r w:rsidRPr="00802725">
        <w:rPr>
          <w:szCs w:val="22"/>
        </w:rPr>
        <w:t xml:space="preserve">degree of certainty </w:t>
      </w:r>
      <w:r>
        <w:rPr>
          <w:szCs w:val="22"/>
        </w:rPr>
        <w:t>surrounding</w:t>
      </w:r>
      <w:r w:rsidRPr="00802725">
        <w:rPr>
          <w:szCs w:val="22"/>
        </w:rPr>
        <w:t xml:space="preserve"> remote access to collections in digital form. For the </w:t>
      </w:r>
      <w:proofErr w:type="gramStart"/>
      <w:r w:rsidRPr="00802725">
        <w:rPr>
          <w:szCs w:val="22"/>
        </w:rPr>
        <w:t>general public</w:t>
      </w:r>
      <w:proofErr w:type="gramEnd"/>
      <w:r w:rsidRPr="00802725">
        <w:rPr>
          <w:szCs w:val="22"/>
        </w:rPr>
        <w:t>, mitigation techniques</w:t>
      </w:r>
      <w:r>
        <w:rPr>
          <w:szCs w:val="22"/>
        </w:rPr>
        <w:t xml:space="preserve">, including </w:t>
      </w:r>
      <w:r w:rsidRPr="00802725">
        <w:rPr>
          <w:szCs w:val="22"/>
        </w:rPr>
        <w:t>terms and conditions of use</w:t>
      </w:r>
      <w:r>
        <w:rPr>
          <w:szCs w:val="22"/>
        </w:rPr>
        <w:t>,</w:t>
      </w:r>
      <w:r w:rsidRPr="00802725">
        <w:rPr>
          <w:szCs w:val="22"/>
        </w:rPr>
        <w:t xml:space="preserve"> enable the public to access cultural heritage materials remotely </w:t>
      </w:r>
      <w:r>
        <w:rPr>
          <w:szCs w:val="22"/>
        </w:rPr>
        <w:t>based on</w:t>
      </w:r>
      <w:r w:rsidRPr="00802725">
        <w:rPr>
          <w:szCs w:val="22"/>
        </w:rPr>
        <w:t xml:space="preserve"> knowledge about </w:t>
      </w:r>
      <w:r>
        <w:rPr>
          <w:szCs w:val="22"/>
        </w:rPr>
        <w:t>permitted</w:t>
      </w:r>
      <w:r w:rsidRPr="00802725">
        <w:rPr>
          <w:szCs w:val="22"/>
        </w:rPr>
        <w:t xml:space="preserve"> downstream uses. Similarly, entities and foundations</w:t>
      </w:r>
      <w:r>
        <w:rPr>
          <w:szCs w:val="22"/>
        </w:rPr>
        <w:t>,</w:t>
      </w:r>
      <w:r>
        <w:rPr>
          <w:rStyle w:val="EndnoteReference"/>
          <w:szCs w:val="22"/>
        </w:rPr>
        <w:endnoteReference w:id="20"/>
      </w:r>
      <w:r>
        <w:rPr>
          <w:szCs w:val="22"/>
        </w:rPr>
        <w:t xml:space="preserve"> which</w:t>
      </w:r>
      <w:r w:rsidRPr="00802725">
        <w:rPr>
          <w:szCs w:val="22"/>
        </w:rPr>
        <w:t xml:space="preserve"> invest in and support digitization and remote access to collections, will be better able to assess and manage </w:t>
      </w:r>
      <w:r>
        <w:rPr>
          <w:szCs w:val="22"/>
        </w:rPr>
        <w:t xml:space="preserve">possible </w:t>
      </w:r>
      <w:r w:rsidRPr="00802725">
        <w:rPr>
          <w:szCs w:val="22"/>
        </w:rPr>
        <w:t xml:space="preserve">risks. Finally, rightsholders will have a greater degree of certainty about </w:t>
      </w:r>
      <w:r>
        <w:rPr>
          <w:szCs w:val="22"/>
        </w:rPr>
        <w:t xml:space="preserve">remedies in situations when their </w:t>
      </w:r>
      <w:r w:rsidRPr="00802725">
        <w:rPr>
          <w:szCs w:val="22"/>
        </w:rPr>
        <w:t xml:space="preserve">rights </w:t>
      </w:r>
      <w:r>
        <w:rPr>
          <w:szCs w:val="22"/>
        </w:rPr>
        <w:t xml:space="preserve">could </w:t>
      </w:r>
      <w:r w:rsidRPr="00802725">
        <w:rPr>
          <w:szCs w:val="22"/>
        </w:rPr>
        <w:t xml:space="preserve">have been violated, </w:t>
      </w:r>
      <w:r>
        <w:rPr>
          <w:szCs w:val="22"/>
        </w:rPr>
        <w:t xml:space="preserve">albeit unintentionally, </w:t>
      </w:r>
      <w:r w:rsidRPr="00802725">
        <w:rPr>
          <w:szCs w:val="22"/>
        </w:rPr>
        <w:t>to what extent they may expect cultural heritage institutions to mitigate risk</w:t>
      </w:r>
      <w:r>
        <w:rPr>
          <w:szCs w:val="22"/>
        </w:rPr>
        <w:t>s,</w:t>
      </w:r>
      <w:r w:rsidRPr="00802725">
        <w:rPr>
          <w:szCs w:val="22"/>
        </w:rPr>
        <w:t xml:space="preserve"> and what </w:t>
      </w:r>
      <w:r>
        <w:rPr>
          <w:szCs w:val="22"/>
        </w:rPr>
        <w:t>conditions and limits</w:t>
      </w:r>
      <w:r w:rsidRPr="00802725">
        <w:rPr>
          <w:szCs w:val="22"/>
        </w:rPr>
        <w:t xml:space="preserve"> may be </w:t>
      </w:r>
      <w:r>
        <w:rPr>
          <w:szCs w:val="22"/>
        </w:rPr>
        <w:t>deployed</w:t>
      </w:r>
      <w:r w:rsidRPr="00802725">
        <w:rPr>
          <w:szCs w:val="22"/>
        </w:rPr>
        <w:t xml:space="preserve"> to protect </w:t>
      </w:r>
      <w:r>
        <w:rPr>
          <w:szCs w:val="22"/>
        </w:rPr>
        <w:t xml:space="preserve">owner’s </w:t>
      </w:r>
      <w:r w:rsidRPr="00802725">
        <w:rPr>
          <w:szCs w:val="22"/>
        </w:rPr>
        <w:t>rights from unauthorized exploitation.</w:t>
      </w:r>
    </w:p>
    <w:p w14:paraId="75B697D8" w14:textId="77777777" w:rsidR="00C019A0" w:rsidRPr="00802725" w:rsidRDefault="00C019A0" w:rsidP="00C019A0">
      <w:pPr>
        <w:rPr>
          <w:szCs w:val="22"/>
        </w:rPr>
      </w:pPr>
    </w:p>
    <w:p w14:paraId="78EC29B5" w14:textId="77777777" w:rsidR="00C019A0" w:rsidRPr="00802725" w:rsidRDefault="00C019A0" w:rsidP="00C019A0">
      <w:pPr>
        <w:pStyle w:val="Level2"/>
        <w:numPr>
          <w:ilvl w:val="0"/>
          <w:numId w:val="28"/>
        </w:numPr>
        <w:ind w:left="426"/>
      </w:pPr>
      <w:bookmarkStart w:id="40" w:name="_Toc219210282"/>
      <w:r w:rsidRPr="00802725">
        <w:t>Enhanced Access Solutions</w:t>
      </w:r>
      <w:bookmarkEnd w:id="40"/>
    </w:p>
    <w:p w14:paraId="170908DB" w14:textId="77777777" w:rsidR="00C019A0" w:rsidRDefault="00C019A0" w:rsidP="00C019A0">
      <w:pPr>
        <w:rPr>
          <w:szCs w:val="22"/>
        </w:rPr>
      </w:pPr>
    </w:p>
    <w:p w14:paraId="50A57606" w14:textId="77777777" w:rsidR="00C019A0" w:rsidRDefault="00C019A0" w:rsidP="00C019A0">
      <w:pPr>
        <w:rPr>
          <w:szCs w:val="22"/>
        </w:rPr>
      </w:pPr>
      <w:r w:rsidRPr="00802725">
        <w:rPr>
          <w:szCs w:val="22"/>
        </w:rPr>
        <w:t xml:space="preserve">Examples of risk </w:t>
      </w:r>
      <w:r w:rsidRPr="005F0481">
        <w:rPr>
          <w:szCs w:val="22"/>
        </w:rPr>
        <w:t>management techniques</w:t>
      </w:r>
      <w:r>
        <w:rPr>
          <w:szCs w:val="22"/>
        </w:rPr>
        <w:t xml:space="preserve"> </w:t>
      </w:r>
      <w:r w:rsidRPr="00802725">
        <w:rPr>
          <w:szCs w:val="22"/>
        </w:rPr>
        <w:t xml:space="preserve">commonly include copyright exceptions, </w:t>
      </w:r>
      <w:r>
        <w:rPr>
          <w:szCs w:val="22"/>
        </w:rPr>
        <w:t xml:space="preserve">use of donated works where rights are included with the </w:t>
      </w:r>
      <w:r w:rsidRPr="00152CF7">
        <w:rPr>
          <w:szCs w:val="22"/>
        </w:rPr>
        <w:t xml:space="preserve">donation, and various types of licensing available from </w:t>
      </w:r>
      <w:proofErr w:type="gramStart"/>
      <w:r w:rsidRPr="00152CF7">
        <w:rPr>
          <w:szCs w:val="22"/>
        </w:rPr>
        <w:t>some copyright</w:t>
      </w:r>
      <w:proofErr w:type="gramEnd"/>
      <w:r w:rsidRPr="00152CF7">
        <w:rPr>
          <w:szCs w:val="22"/>
        </w:rPr>
        <w:t xml:space="preserve"> owners</w:t>
      </w:r>
      <w:r>
        <w:rPr>
          <w:szCs w:val="22"/>
        </w:rPr>
        <w:t>.</w:t>
      </w:r>
      <w:r w:rsidRPr="00152CF7">
        <w:rPr>
          <w:szCs w:val="22"/>
        </w:rPr>
        <w:t xml:space="preserve"> </w:t>
      </w:r>
      <w:r>
        <w:rPr>
          <w:szCs w:val="22"/>
        </w:rPr>
        <w:t>I</w:t>
      </w:r>
      <w:r w:rsidRPr="00152CF7">
        <w:rPr>
          <w:szCs w:val="22"/>
        </w:rPr>
        <w:t xml:space="preserve">n addition, clear information about copyright status and rightsholders, </w:t>
      </w:r>
      <w:proofErr w:type="spellStart"/>
      <w:r w:rsidRPr="00152CF7">
        <w:rPr>
          <w:szCs w:val="22"/>
        </w:rPr>
        <w:t>refered</w:t>
      </w:r>
      <w:proofErr w:type="spellEnd"/>
      <w:r w:rsidRPr="00152CF7">
        <w:rPr>
          <w:szCs w:val="22"/>
        </w:rPr>
        <w:t xml:space="preserve"> to as rights metadata, is always a useful access tool. These provisions for enhanced access are solutions in the sense that they can properly achieve desired access while also managing </w:t>
      </w:r>
      <w:proofErr w:type="gramStart"/>
      <w:r w:rsidRPr="00152CF7">
        <w:rPr>
          <w:szCs w:val="22"/>
        </w:rPr>
        <w:t>risks, or</w:t>
      </w:r>
      <w:proofErr w:type="gramEnd"/>
      <w:r w:rsidRPr="00152CF7">
        <w:rPr>
          <w:szCs w:val="22"/>
        </w:rPr>
        <w:t xml:space="preserve"> at least providing significant and established techniques to mitigate risks. To achieve that result, these solutions are rooted in the law and offer</w:t>
      </w:r>
      <w:r w:rsidRPr="00802725">
        <w:rPr>
          <w:szCs w:val="22"/>
        </w:rPr>
        <w:t xml:space="preserve"> protection from legal liability. These solutions can also operate to the benefit of diverse parties in the copyright ecosystem. Clearly, for cultural heritage institutions, their professionals, and their patrons, many such techniques provide a greater degree of certainty, even when providing remote access to collections in digital form.</w:t>
      </w:r>
    </w:p>
    <w:p w14:paraId="76ADB46B" w14:textId="77777777" w:rsidR="00C019A0" w:rsidRPr="00802725" w:rsidRDefault="00C019A0" w:rsidP="00C019A0">
      <w:pPr>
        <w:rPr>
          <w:szCs w:val="22"/>
        </w:rPr>
      </w:pPr>
    </w:p>
    <w:p w14:paraId="00EF70D3" w14:textId="77777777" w:rsidR="00C019A0" w:rsidRDefault="00C019A0" w:rsidP="00C019A0">
      <w:pPr>
        <w:pStyle w:val="Level3"/>
        <w:numPr>
          <w:ilvl w:val="0"/>
          <w:numId w:val="24"/>
        </w:numPr>
        <w:ind w:left="357" w:hanging="357"/>
      </w:pPr>
      <w:bookmarkStart w:id="41" w:name="_Toc219210283"/>
      <w:r w:rsidRPr="00802725">
        <w:t>Access and Specific Copyright Exceptions and Limitations</w:t>
      </w:r>
      <w:bookmarkEnd w:id="41"/>
      <w:r w:rsidRPr="00802725">
        <w:t xml:space="preserve">  </w:t>
      </w:r>
    </w:p>
    <w:p w14:paraId="7CC7FD2E" w14:textId="77777777" w:rsidR="00C019A0" w:rsidRDefault="00C019A0" w:rsidP="00C019A0">
      <w:pPr>
        <w:rPr>
          <w:szCs w:val="22"/>
        </w:rPr>
      </w:pPr>
    </w:p>
    <w:p w14:paraId="1F48C633" w14:textId="77777777" w:rsidR="00C019A0" w:rsidRPr="00EA7C2D" w:rsidRDefault="00C019A0" w:rsidP="00C019A0">
      <w:pPr>
        <w:rPr>
          <w:szCs w:val="22"/>
        </w:rPr>
      </w:pPr>
      <w:r w:rsidRPr="00EA7C2D">
        <w:rPr>
          <w:szCs w:val="22"/>
        </w:rPr>
        <w:t>Copyright exceptions are statutory provisions that enable cultural heritage institutions to reproduce and distribute copyright-protected works for specified patrons and purposes without having to seek the prior consent of rightsholders. Many Member</w:t>
      </w:r>
      <w:r>
        <w:rPr>
          <w:szCs w:val="22"/>
        </w:rPr>
        <w:t xml:space="preserve"> </w:t>
      </w:r>
      <w:r w:rsidRPr="00EA7C2D">
        <w:rPr>
          <w:szCs w:val="22"/>
        </w:rPr>
        <w:t>States currently have exceptions that facilitate, in reasonably specific terms, the making of copies for preserving works, supporting research and study, displaying collections on local terminals, and developing exhibitions for remote and international sharing of cultural artifacts. For Member</w:t>
      </w:r>
      <w:r>
        <w:rPr>
          <w:szCs w:val="22"/>
        </w:rPr>
        <w:t xml:space="preserve"> </w:t>
      </w:r>
      <w:r w:rsidRPr="00EA7C2D">
        <w:rPr>
          <w:szCs w:val="22"/>
        </w:rPr>
        <w:t xml:space="preserve">States, these copyright exceptions are drafted with adherence to the </w:t>
      </w:r>
      <w:r>
        <w:rPr>
          <w:szCs w:val="22"/>
        </w:rPr>
        <w:t>t</w:t>
      </w:r>
      <w:r w:rsidRPr="00EA7C2D">
        <w:rPr>
          <w:szCs w:val="22"/>
        </w:rPr>
        <w:t>hree-</w:t>
      </w:r>
      <w:r>
        <w:rPr>
          <w:szCs w:val="22"/>
        </w:rPr>
        <w:t>s</w:t>
      </w:r>
      <w:r w:rsidRPr="00EA7C2D">
        <w:rPr>
          <w:szCs w:val="22"/>
        </w:rPr>
        <w:t xml:space="preserve">tep </w:t>
      </w:r>
      <w:r>
        <w:rPr>
          <w:szCs w:val="22"/>
        </w:rPr>
        <w:t>t</w:t>
      </w:r>
      <w:r w:rsidRPr="00EA7C2D">
        <w:rPr>
          <w:szCs w:val="22"/>
        </w:rPr>
        <w:t>est, and its commitment to respecting the interests of rightsholders. Because of their relative specificity, these statutory exceptions authorize institutions to develop access policies that involve making digital copies</w:t>
      </w:r>
      <w:r>
        <w:rPr>
          <w:szCs w:val="22"/>
        </w:rPr>
        <w:t xml:space="preserve"> in a lawfully protected manner. </w:t>
      </w:r>
      <w:r w:rsidRPr="00EA7C2D">
        <w:rPr>
          <w:szCs w:val="22"/>
        </w:rPr>
        <w:t xml:space="preserve"> </w:t>
      </w:r>
    </w:p>
    <w:p w14:paraId="45E8548A" w14:textId="77777777" w:rsidR="00C019A0" w:rsidRDefault="00C019A0" w:rsidP="00C019A0">
      <w:pPr>
        <w:rPr>
          <w:szCs w:val="22"/>
        </w:rPr>
      </w:pPr>
    </w:p>
    <w:p w14:paraId="7D000CF1" w14:textId="77777777" w:rsidR="00C019A0" w:rsidRDefault="00C019A0" w:rsidP="00C019A0">
      <w:pPr>
        <w:rPr>
          <w:szCs w:val="22"/>
        </w:rPr>
      </w:pPr>
      <w:r w:rsidRPr="006E3268">
        <w:rPr>
          <w:szCs w:val="22"/>
        </w:rPr>
        <w:t>These exceptions</w:t>
      </w:r>
      <w:r>
        <w:rPr>
          <w:szCs w:val="22"/>
        </w:rPr>
        <w:t xml:space="preserve"> have been part of copyright law for many decades, and they</w:t>
      </w:r>
      <w:r w:rsidRPr="006E3268">
        <w:rPr>
          <w:szCs w:val="22"/>
        </w:rPr>
        <w:t xml:space="preserve"> generally extend to the </w:t>
      </w:r>
      <w:r>
        <w:rPr>
          <w:szCs w:val="22"/>
        </w:rPr>
        <w:t xml:space="preserve">newer </w:t>
      </w:r>
      <w:r w:rsidRPr="006E3268">
        <w:rPr>
          <w:szCs w:val="22"/>
        </w:rPr>
        <w:t>digital environment</w:t>
      </w:r>
      <w:r>
        <w:rPr>
          <w:szCs w:val="22"/>
        </w:rPr>
        <w:t>. W</w:t>
      </w:r>
      <w:r w:rsidRPr="006E3268">
        <w:rPr>
          <w:szCs w:val="22"/>
        </w:rPr>
        <w:t xml:space="preserve">ith the expanded opportunities provided by digital technologies, cultural heritage institutions </w:t>
      </w:r>
      <w:proofErr w:type="gramStart"/>
      <w:r w:rsidRPr="006E3268">
        <w:rPr>
          <w:szCs w:val="22"/>
        </w:rPr>
        <w:t xml:space="preserve">are </w:t>
      </w:r>
      <w:r>
        <w:rPr>
          <w:szCs w:val="22"/>
        </w:rPr>
        <w:t>able to</w:t>
      </w:r>
      <w:proofErr w:type="gramEnd"/>
      <w:r>
        <w:rPr>
          <w:szCs w:val="22"/>
        </w:rPr>
        <w:t xml:space="preserve"> better serve </w:t>
      </w:r>
      <w:r w:rsidRPr="006E3268">
        <w:rPr>
          <w:szCs w:val="22"/>
        </w:rPr>
        <w:t xml:space="preserve">the public and their research patrons </w:t>
      </w:r>
      <w:r>
        <w:rPr>
          <w:szCs w:val="22"/>
        </w:rPr>
        <w:t>by</w:t>
      </w:r>
      <w:r w:rsidRPr="006E3268">
        <w:rPr>
          <w:szCs w:val="22"/>
        </w:rPr>
        <w:t xml:space="preserve"> provid</w:t>
      </w:r>
      <w:r>
        <w:rPr>
          <w:szCs w:val="22"/>
        </w:rPr>
        <w:t>ing</w:t>
      </w:r>
      <w:r w:rsidRPr="006E3268">
        <w:rPr>
          <w:szCs w:val="22"/>
        </w:rPr>
        <w:t xml:space="preserve"> remote access to their collections in digital formats. In addition, their collections are becoming more diverse in format, with </w:t>
      </w:r>
      <w:r>
        <w:rPr>
          <w:szCs w:val="22"/>
        </w:rPr>
        <w:t>professional</w:t>
      </w:r>
      <w:r w:rsidRPr="006E3268">
        <w:rPr>
          <w:szCs w:val="22"/>
        </w:rPr>
        <w:t xml:space="preserve"> practices reliant upon </w:t>
      </w:r>
      <w:r>
        <w:rPr>
          <w:szCs w:val="22"/>
        </w:rPr>
        <w:t>advanced</w:t>
      </w:r>
      <w:r w:rsidRPr="006E3268">
        <w:rPr>
          <w:szCs w:val="22"/>
        </w:rPr>
        <w:t xml:space="preserve"> technologies</w:t>
      </w:r>
      <w:r>
        <w:rPr>
          <w:szCs w:val="22"/>
        </w:rPr>
        <w:t xml:space="preserve">, including communication capabilities that can enable access to </w:t>
      </w:r>
      <w:proofErr w:type="gramStart"/>
      <w:r>
        <w:rPr>
          <w:szCs w:val="22"/>
        </w:rPr>
        <w:t>works</w:t>
      </w:r>
      <w:proofErr w:type="gramEnd"/>
      <w:r>
        <w:rPr>
          <w:szCs w:val="22"/>
        </w:rPr>
        <w:t xml:space="preserve"> at multiple institutions and often across national borders</w:t>
      </w:r>
      <w:r w:rsidRPr="006E3268">
        <w:rPr>
          <w:szCs w:val="22"/>
        </w:rPr>
        <w:t>.</w:t>
      </w:r>
      <w:r>
        <w:rPr>
          <w:szCs w:val="22"/>
        </w:rPr>
        <w:t xml:space="preserve"> </w:t>
      </w:r>
      <w:r w:rsidRPr="00ED2338">
        <w:rPr>
          <w:szCs w:val="22"/>
        </w:rPr>
        <w:t xml:space="preserve">Collections across institutions may be connected to each other by subject or owned by multiple institutions jointly and across borders, creating </w:t>
      </w:r>
      <w:r>
        <w:rPr>
          <w:szCs w:val="22"/>
        </w:rPr>
        <w:t>extensive and beneficial</w:t>
      </w:r>
      <w:r w:rsidRPr="00ED2338">
        <w:rPr>
          <w:szCs w:val="22"/>
        </w:rPr>
        <w:t xml:space="preserve"> knowledge-sharing</w:t>
      </w:r>
      <w:r>
        <w:rPr>
          <w:szCs w:val="22"/>
        </w:rPr>
        <w:t xml:space="preserve"> opportunities</w:t>
      </w:r>
      <w:r w:rsidRPr="00ED2338">
        <w:rPr>
          <w:szCs w:val="22"/>
        </w:rPr>
        <w:t>. Cop</w:t>
      </w:r>
      <w:r>
        <w:rPr>
          <w:szCs w:val="22"/>
        </w:rPr>
        <w:t xml:space="preserve">yright </w:t>
      </w:r>
      <w:r w:rsidRPr="00802725">
        <w:rPr>
          <w:szCs w:val="22"/>
        </w:rPr>
        <w:t>exceptions apply to cultural</w:t>
      </w:r>
      <w:r>
        <w:rPr>
          <w:szCs w:val="22"/>
        </w:rPr>
        <w:t xml:space="preserve"> heritage</w:t>
      </w:r>
      <w:r w:rsidRPr="00802725">
        <w:rPr>
          <w:szCs w:val="22"/>
        </w:rPr>
        <w:t xml:space="preserve"> institutions </w:t>
      </w:r>
      <w:r>
        <w:rPr>
          <w:szCs w:val="22"/>
        </w:rPr>
        <w:t xml:space="preserve">because they </w:t>
      </w:r>
      <w:r w:rsidRPr="00802725">
        <w:rPr>
          <w:szCs w:val="22"/>
        </w:rPr>
        <w:t>are recognized as “</w:t>
      </w:r>
      <w:r w:rsidRPr="0087106B">
        <w:rPr>
          <w:szCs w:val="22"/>
        </w:rPr>
        <w:t>trusted institutions,”</w:t>
      </w:r>
      <w:r w:rsidRPr="0087106B">
        <w:rPr>
          <w:rStyle w:val="EndnoteReference"/>
          <w:szCs w:val="22"/>
        </w:rPr>
        <w:endnoteReference w:id="21"/>
      </w:r>
      <w:r w:rsidRPr="00802725">
        <w:rPr>
          <w:szCs w:val="22"/>
        </w:rPr>
        <w:t xml:space="preserve"> specifically tasked with preserving and providing access to their collections, while also respecting the interests of rightsholders. </w:t>
      </w:r>
      <w:r w:rsidRPr="00ED2338">
        <w:rPr>
          <w:szCs w:val="22"/>
        </w:rPr>
        <w:t>This is especially true when managing complex media collections.</w:t>
      </w:r>
      <w:r w:rsidRPr="00826987">
        <w:rPr>
          <w:szCs w:val="22"/>
        </w:rPr>
        <w:t xml:space="preserve"> </w:t>
      </w:r>
    </w:p>
    <w:p w14:paraId="05FD7F74" w14:textId="77777777" w:rsidR="00C019A0" w:rsidRPr="00730EB7" w:rsidRDefault="00C019A0" w:rsidP="00C019A0">
      <w:pPr>
        <w:pStyle w:val="Level3"/>
        <w:numPr>
          <w:ilvl w:val="0"/>
          <w:numId w:val="0"/>
        </w:numPr>
        <w:ind w:left="357" w:hanging="357"/>
        <w:outlineLvl w:val="9"/>
        <w:rPr>
          <w:i w:val="0"/>
          <w:iCs w:val="0"/>
        </w:rPr>
      </w:pPr>
    </w:p>
    <w:p w14:paraId="690F2907" w14:textId="77777777" w:rsidR="00C019A0" w:rsidRPr="00486888" w:rsidRDefault="00C019A0" w:rsidP="00C019A0">
      <w:pPr>
        <w:pStyle w:val="Level3"/>
      </w:pPr>
      <w:bookmarkStart w:id="42" w:name="_Toc219210284"/>
      <w:r w:rsidRPr="00486888">
        <w:t>Access and Orphan Works</w:t>
      </w:r>
      <w:bookmarkEnd w:id="42"/>
    </w:p>
    <w:p w14:paraId="05A5F1F9" w14:textId="77777777" w:rsidR="00C019A0" w:rsidRDefault="00C019A0" w:rsidP="00C019A0">
      <w:pPr>
        <w:rPr>
          <w:color w:val="000000"/>
          <w:szCs w:val="22"/>
        </w:rPr>
      </w:pPr>
    </w:p>
    <w:p w14:paraId="4A409DAC" w14:textId="77777777" w:rsidR="00C019A0" w:rsidRDefault="00C019A0" w:rsidP="00C019A0">
      <w:pPr>
        <w:rPr>
          <w:color w:val="000000"/>
          <w:szCs w:val="22"/>
        </w:rPr>
      </w:pPr>
      <w:r>
        <w:rPr>
          <w:color w:val="000000"/>
          <w:szCs w:val="22"/>
        </w:rPr>
        <w:t>O</w:t>
      </w:r>
      <w:r w:rsidRPr="00486888">
        <w:rPr>
          <w:color w:val="000000"/>
          <w:szCs w:val="22"/>
        </w:rPr>
        <w:t xml:space="preserve">rphan works </w:t>
      </w:r>
      <w:r>
        <w:rPr>
          <w:color w:val="000000"/>
          <w:szCs w:val="22"/>
        </w:rPr>
        <w:t>illustrate</w:t>
      </w:r>
      <w:r w:rsidRPr="00486888">
        <w:rPr>
          <w:color w:val="000000"/>
          <w:szCs w:val="22"/>
        </w:rPr>
        <w:t xml:space="preserve"> </w:t>
      </w:r>
      <w:r>
        <w:rPr>
          <w:color w:val="000000"/>
          <w:szCs w:val="22"/>
        </w:rPr>
        <w:t xml:space="preserve">a means for addressing uncertainty </w:t>
      </w:r>
      <w:r w:rsidRPr="00486888">
        <w:rPr>
          <w:color w:val="000000"/>
          <w:szCs w:val="22"/>
        </w:rPr>
        <w:t xml:space="preserve">in carrying out the duty of care to provide access </w:t>
      </w:r>
      <w:r>
        <w:rPr>
          <w:color w:val="000000"/>
          <w:szCs w:val="22"/>
        </w:rPr>
        <w:t>faced by</w:t>
      </w:r>
      <w:r w:rsidRPr="00486888">
        <w:rPr>
          <w:color w:val="000000"/>
          <w:szCs w:val="22"/>
        </w:rPr>
        <w:t xml:space="preserve"> cultural heritage institutions. Orphan works are works that are protected by copyright, but the copyright owner cannot be identified or located.</w:t>
      </w:r>
      <w:r>
        <w:rPr>
          <w:color w:val="000000"/>
          <w:szCs w:val="22"/>
        </w:rPr>
        <w:t xml:space="preserve"> </w:t>
      </w:r>
      <w:r w:rsidRPr="00486888">
        <w:rPr>
          <w:color w:val="000000"/>
          <w:szCs w:val="22"/>
        </w:rPr>
        <w:t xml:space="preserve">Orphan works are a particular challenge for cultural heritage institutions, since many orphan works are found in museum and archival collections, or in the special or distinctive collections of libraries. This is often the case because donors </w:t>
      </w:r>
      <w:r>
        <w:rPr>
          <w:color w:val="000000"/>
          <w:szCs w:val="22"/>
        </w:rPr>
        <w:t>of</w:t>
      </w:r>
      <w:r w:rsidRPr="00486888">
        <w:rPr>
          <w:color w:val="000000"/>
          <w:szCs w:val="22"/>
        </w:rPr>
        <w:t xml:space="preserve"> collections may not necessarily be the rightsholders of the objects and materials found in their collections. When the rightsholder cannot be identified or found, securing valid permission to use an orphan work is often impossible. </w:t>
      </w:r>
      <w:r w:rsidRPr="00DC75E8">
        <w:rPr>
          <w:color w:val="000000"/>
          <w:szCs w:val="22"/>
        </w:rPr>
        <w:t xml:space="preserve">The problem arises from the fact that copyright law grants automatic protection to works which </w:t>
      </w:r>
      <w:proofErr w:type="gramStart"/>
      <w:r>
        <w:rPr>
          <w:color w:val="000000"/>
          <w:szCs w:val="22"/>
        </w:rPr>
        <w:t>endures</w:t>
      </w:r>
      <w:proofErr w:type="gramEnd"/>
      <w:r w:rsidRPr="00DC75E8">
        <w:rPr>
          <w:color w:val="000000"/>
          <w:szCs w:val="22"/>
        </w:rPr>
        <w:t xml:space="preserve"> for a defined period</w:t>
      </w:r>
      <w:r>
        <w:rPr>
          <w:color w:val="000000"/>
          <w:szCs w:val="22"/>
        </w:rPr>
        <w:t xml:space="preserve"> of years</w:t>
      </w:r>
      <w:r w:rsidRPr="00DC75E8">
        <w:rPr>
          <w:color w:val="000000"/>
          <w:szCs w:val="22"/>
        </w:rPr>
        <w:t xml:space="preserve">. However, considering the complexity of this situation, specific statutory exceptions aimed at addressing this problem can go </w:t>
      </w:r>
      <w:r>
        <w:rPr>
          <w:color w:val="000000"/>
          <w:szCs w:val="22"/>
        </w:rPr>
        <w:t>far to</w:t>
      </w:r>
      <w:r w:rsidRPr="00DC75E8">
        <w:rPr>
          <w:color w:val="000000"/>
          <w:szCs w:val="22"/>
        </w:rPr>
        <w:t xml:space="preserve"> provid</w:t>
      </w:r>
      <w:r>
        <w:rPr>
          <w:color w:val="000000"/>
          <w:szCs w:val="22"/>
        </w:rPr>
        <w:t>e</w:t>
      </w:r>
      <w:r w:rsidRPr="00DC75E8">
        <w:rPr>
          <w:color w:val="000000"/>
          <w:szCs w:val="22"/>
        </w:rPr>
        <w:t xml:space="preserve"> a solution.</w:t>
      </w:r>
    </w:p>
    <w:p w14:paraId="2BED9C83" w14:textId="77777777" w:rsidR="00C019A0" w:rsidRDefault="00C019A0" w:rsidP="00C019A0">
      <w:pPr>
        <w:rPr>
          <w:color w:val="000000"/>
          <w:szCs w:val="22"/>
        </w:rPr>
      </w:pPr>
    </w:p>
    <w:p w14:paraId="559A1CF0" w14:textId="77777777" w:rsidR="00C019A0" w:rsidRDefault="00C019A0" w:rsidP="00C019A0">
      <w:pPr>
        <w:rPr>
          <w:color w:val="000000"/>
          <w:szCs w:val="22"/>
        </w:rPr>
      </w:pPr>
      <w:r w:rsidRPr="00074146">
        <w:rPr>
          <w:color w:val="000000"/>
          <w:szCs w:val="22"/>
        </w:rPr>
        <w:t xml:space="preserve">Where copyright law requires permission for access to works held in collections and where rightsholders cannot be identified or located, access solutions become essential to enable libraries, archives, and museums to carry out their mission-driven access activities. In addition, where objects or materials in collections are anonymous and undated, it may be nearly impossible to determine with any degree of certainty whether a work remains protected by copyright. As a result, such materials and objects are often treated as copyright-protected </w:t>
      </w:r>
      <w:proofErr w:type="gramStart"/>
      <w:r w:rsidRPr="00074146">
        <w:rPr>
          <w:color w:val="000000"/>
          <w:szCs w:val="22"/>
        </w:rPr>
        <w:t>in order to</w:t>
      </w:r>
      <w:proofErr w:type="gramEnd"/>
      <w:r w:rsidRPr="00074146">
        <w:rPr>
          <w:color w:val="000000"/>
          <w:szCs w:val="22"/>
        </w:rPr>
        <w:t xml:space="preserve"> minimize potential liability risks, even where this may not in fact be the case. Consequently, many collections remain inaccessible, including those of significant cultural or historical value, because of the absence of access solutions capable of addressing the lack of information that is required to obtain permission. This is not a new issue but one that demands attention and requires special consideration when contemplating access solutions for libraries, archives, and museums. While certain Member States have either considered solutions or have introduced legislative provisions that have addressed, in part, orphan works, effective solutions remain limited for large collections of objects and materials that may have multiple rightsholders, who may be neither identifiable nor locatable.</w:t>
      </w:r>
      <w:r w:rsidRPr="00074146">
        <w:rPr>
          <w:color w:val="000000"/>
          <w:szCs w:val="22"/>
          <w:vertAlign w:val="superscript"/>
        </w:rPr>
        <w:endnoteReference w:id="22"/>
      </w:r>
    </w:p>
    <w:p w14:paraId="5DD5F9D7" w14:textId="77777777" w:rsidR="00C019A0" w:rsidRDefault="00C019A0" w:rsidP="00C019A0">
      <w:pPr>
        <w:rPr>
          <w:szCs w:val="22"/>
        </w:rPr>
      </w:pPr>
    </w:p>
    <w:tbl>
      <w:tblPr>
        <w:tblStyle w:val="TableGrid"/>
        <w:tblW w:w="0" w:type="auto"/>
        <w:tblInd w:w="137" w:type="dxa"/>
        <w:tblLook w:val="04A0" w:firstRow="1" w:lastRow="0" w:firstColumn="1" w:lastColumn="0" w:noHBand="0" w:noVBand="1"/>
      </w:tblPr>
      <w:tblGrid>
        <w:gridCol w:w="8929"/>
      </w:tblGrid>
      <w:tr w:rsidR="00C019A0" w14:paraId="16197CB9" w14:textId="77777777" w:rsidTr="000C3803">
        <w:trPr>
          <w:trHeight w:val="2636"/>
        </w:trPr>
        <w:tc>
          <w:tcPr>
            <w:tcW w:w="8929" w:type="dxa"/>
          </w:tcPr>
          <w:p w14:paraId="74DEA6F0" w14:textId="77777777" w:rsidR="00C019A0" w:rsidRDefault="00C019A0" w:rsidP="008069EB">
            <w:pPr>
              <w:rPr>
                <w:color w:val="000000"/>
              </w:rPr>
            </w:pPr>
            <w:r w:rsidRPr="0069189B">
              <w:rPr>
                <w:color w:val="000000"/>
                <w:u w:val="single"/>
              </w:rPr>
              <w:t>Example of Archives and Orphan Works</w:t>
            </w:r>
            <w:r>
              <w:rPr>
                <w:color w:val="000000"/>
              </w:rPr>
              <w:t>:</w:t>
            </w:r>
          </w:p>
          <w:p w14:paraId="1CB72C5E" w14:textId="77777777" w:rsidR="00C019A0" w:rsidRPr="00AC7A85" w:rsidRDefault="00C019A0" w:rsidP="008069EB">
            <w:pPr>
              <w:rPr>
                <w:color w:val="000000"/>
              </w:rPr>
            </w:pPr>
          </w:p>
          <w:p w14:paraId="09B594C8" w14:textId="118C884B" w:rsidR="00C019A0" w:rsidRDefault="00C019A0" w:rsidP="008069EB">
            <w:r w:rsidRPr="0069189B">
              <w:rPr>
                <w:color w:val="000000"/>
              </w:rPr>
              <w:t xml:space="preserve">Archival collections illustrate the challenge of orphan works clearly. For example, a renowned archival foundation holds a rare and important publication in its collection. The publication was written by </w:t>
            </w:r>
            <w:r w:rsidRPr="00345075">
              <w:rPr>
                <w:rFonts w:eastAsia="Georgia"/>
              </w:rPr>
              <w:t xml:space="preserve">José </w:t>
            </w:r>
            <w:r w:rsidRPr="00A443C2">
              <w:rPr>
                <w:rFonts w:eastAsia="Georgia"/>
              </w:rPr>
              <w:t xml:space="preserve">Reis, </w:t>
            </w:r>
            <w:r w:rsidRPr="00A443C2">
              <w:rPr>
                <w:color w:val="000000"/>
              </w:rPr>
              <w:t>a renowned science communicator, and the publication, written by him as a child, was printed by a now-defunct publisher. Little is known about the publishe</w:t>
            </w:r>
            <w:r>
              <w:rPr>
                <w:color w:val="000000"/>
              </w:rPr>
              <w:t xml:space="preserve">r or </w:t>
            </w:r>
            <w:r w:rsidRPr="00A443C2">
              <w:rPr>
                <w:color w:val="000000"/>
              </w:rPr>
              <w:t>the status of rights to the publication, or its publication date and, as a result, the archival institution has not been able to provide meaningful access to it. This is a clear example where rights metadata would have been useful to provide access to the publication.</w:t>
            </w:r>
            <w:r>
              <w:rPr>
                <w:rStyle w:val="EndnoteReference"/>
                <w:color w:val="000000"/>
              </w:rPr>
              <w:endnoteReference w:id="23"/>
            </w:r>
            <w:r w:rsidRPr="00A443C2">
              <w:rPr>
                <w:color w:val="000000"/>
              </w:rPr>
              <w:t xml:space="preserve"> </w:t>
            </w:r>
          </w:p>
        </w:tc>
      </w:tr>
    </w:tbl>
    <w:p w14:paraId="6AD2844B" w14:textId="77777777" w:rsidR="00C019A0" w:rsidRPr="00826987" w:rsidRDefault="00C019A0" w:rsidP="00C019A0">
      <w:pPr>
        <w:rPr>
          <w:szCs w:val="22"/>
        </w:rPr>
      </w:pPr>
    </w:p>
    <w:p w14:paraId="292A2F34" w14:textId="77777777" w:rsidR="00C019A0" w:rsidRDefault="00C019A0" w:rsidP="00C019A0">
      <w:pPr>
        <w:pStyle w:val="Level3"/>
      </w:pPr>
      <w:bookmarkStart w:id="43" w:name="_Toc219210285"/>
      <w:r w:rsidRPr="00802725">
        <w:t>Access and Fair Dealing or Fair Use</w:t>
      </w:r>
      <w:bookmarkEnd w:id="43"/>
      <w:r w:rsidRPr="00802725">
        <w:t xml:space="preserve">  </w:t>
      </w:r>
    </w:p>
    <w:p w14:paraId="52619E67" w14:textId="77777777" w:rsidR="00C019A0" w:rsidRDefault="00C019A0" w:rsidP="00C019A0">
      <w:pPr>
        <w:rPr>
          <w:szCs w:val="22"/>
        </w:rPr>
      </w:pPr>
    </w:p>
    <w:p w14:paraId="0606BE52" w14:textId="77777777" w:rsidR="00C019A0" w:rsidRDefault="00C019A0" w:rsidP="00C019A0">
      <w:pPr>
        <w:rPr>
          <w:szCs w:val="22"/>
        </w:rPr>
      </w:pPr>
      <w:r w:rsidRPr="00EA7C2D">
        <w:rPr>
          <w:szCs w:val="22"/>
        </w:rPr>
        <w:t xml:space="preserve">In addition to specific </w:t>
      </w:r>
      <w:r w:rsidRPr="0054002E">
        <w:rPr>
          <w:szCs w:val="22"/>
        </w:rPr>
        <w:t>exceptions, a growing number of Member States include fair dealing or fair use provisions in their copyright laws.</w:t>
      </w:r>
      <w:r w:rsidRPr="0054002E">
        <w:rPr>
          <w:rStyle w:val="EndnoteReference"/>
          <w:szCs w:val="22"/>
        </w:rPr>
        <w:endnoteReference w:id="24"/>
      </w:r>
      <w:r w:rsidRPr="0054002E">
        <w:rPr>
          <w:szCs w:val="22"/>
        </w:rPr>
        <w:t xml:space="preserve"> Fair dealing</w:t>
      </w:r>
      <w:r w:rsidRPr="00EA7C2D">
        <w:rPr>
          <w:szCs w:val="22"/>
        </w:rPr>
        <w:t xml:space="preserve"> or fair use can provide a cultural heritage institution and its patrons with a critical level of flexibility when making digital copies of works and when providing remote access to them. Fairness is assessed on </w:t>
      </w:r>
      <w:r>
        <w:rPr>
          <w:szCs w:val="22"/>
        </w:rPr>
        <w:t>specified</w:t>
      </w:r>
      <w:r w:rsidRPr="00EA7C2D">
        <w:rPr>
          <w:szCs w:val="22"/>
        </w:rPr>
        <w:t xml:space="preserve"> factors which may vary from one jurisdiction to another. They may include the purpose of the use in relation to the intended purpose of the rightsholder in having created the work, the effect on the </w:t>
      </w:r>
      <w:r w:rsidRPr="0054002E">
        <w:rPr>
          <w:szCs w:val="22"/>
        </w:rPr>
        <w:t>marketplace for the work, or the amount and substantiality of the portion of the work being used.</w:t>
      </w:r>
      <w:r w:rsidRPr="00345075">
        <w:rPr>
          <w:vertAlign w:val="superscript"/>
        </w:rPr>
        <w:endnoteReference w:id="25"/>
      </w:r>
      <w:r w:rsidRPr="0054002E">
        <w:rPr>
          <w:szCs w:val="22"/>
        </w:rPr>
        <w:t xml:space="preserve"> Fair dealing and fair use provisions have played a significant role in assessing the lawful digital reproduction and online distribution of copyright-protected works. </w:t>
      </w:r>
    </w:p>
    <w:p w14:paraId="4BC00EA7" w14:textId="77777777" w:rsidR="00C019A0" w:rsidRPr="0054002E" w:rsidRDefault="00C019A0" w:rsidP="00C019A0">
      <w:pPr>
        <w:rPr>
          <w:szCs w:val="22"/>
        </w:rPr>
      </w:pPr>
    </w:p>
    <w:p w14:paraId="21FF05B8" w14:textId="77777777" w:rsidR="00C019A0" w:rsidRDefault="00C019A0" w:rsidP="00C019A0">
      <w:pPr>
        <w:spacing w:line="0" w:lineRule="atLeast"/>
        <w:rPr>
          <w:szCs w:val="22"/>
        </w:rPr>
      </w:pPr>
      <w:r w:rsidRPr="0054002E">
        <w:rPr>
          <w:szCs w:val="22"/>
        </w:rPr>
        <w:t>The flexibility afforded by such provisions has advantages, but because such provisions may not define exact boundaries of permissible uses, there is routinely a level of uncertainty about whether the use contemplated is lawful.</w:t>
      </w:r>
      <w:r w:rsidRPr="0054002E">
        <w:rPr>
          <w:rStyle w:val="EndnoteReference"/>
          <w:szCs w:val="22"/>
        </w:rPr>
        <w:endnoteReference w:id="26"/>
      </w:r>
      <w:r w:rsidRPr="0054002E">
        <w:rPr>
          <w:szCs w:val="22"/>
        </w:rPr>
        <w:t xml:space="preserve"> Particularly in the case of fair use, users of copyright-protected works are expected to assess</w:t>
      </w:r>
      <w:r w:rsidRPr="00802725">
        <w:rPr>
          <w:szCs w:val="22"/>
        </w:rPr>
        <w:t xml:space="preserve"> their uses according to the factors prescribed by law, and in the event that rightsholders allege an infringement, the defense</w:t>
      </w:r>
      <w:r>
        <w:rPr>
          <w:szCs w:val="22"/>
        </w:rPr>
        <w:t xml:space="preserve"> that users have</w:t>
      </w:r>
      <w:r w:rsidRPr="00802725">
        <w:rPr>
          <w:szCs w:val="22"/>
        </w:rPr>
        <w:t xml:space="preserve"> is one of fair use. In addition, cross-border issues may arise when</w:t>
      </w:r>
      <w:r>
        <w:rPr>
          <w:szCs w:val="22"/>
        </w:rPr>
        <w:t xml:space="preserve"> considering </w:t>
      </w:r>
      <w:r w:rsidRPr="00802725">
        <w:rPr>
          <w:szCs w:val="22"/>
        </w:rPr>
        <w:t xml:space="preserve">remote access to digital surrogates, particularly where, for example, copyright laws in the jurisdiction of origin of the rightsholder do not include fair use or fair dealing. In </w:t>
      </w:r>
      <w:r w:rsidRPr="003230C8">
        <w:rPr>
          <w:szCs w:val="22"/>
        </w:rPr>
        <w:t>contemplating</w:t>
      </w:r>
      <w:r w:rsidRPr="00802725">
        <w:rPr>
          <w:szCs w:val="22"/>
        </w:rPr>
        <w:t xml:space="preserve"> access solutions, policy and lawmakers of Member</w:t>
      </w:r>
      <w:r>
        <w:rPr>
          <w:szCs w:val="22"/>
        </w:rPr>
        <w:t xml:space="preserve"> </w:t>
      </w:r>
      <w:r w:rsidRPr="00802725">
        <w:rPr>
          <w:szCs w:val="22"/>
        </w:rPr>
        <w:t xml:space="preserve">States who already have fair dealing or fair use provisions in their copyright laws may wish to consider how potential access solutions work in concert with </w:t>
      </w:r>
      <w:r>
        <w:rPr>
          <w:szCs w:val="22"/>
        </w:rPr>
        <w:t>such provisions</w:t>
      </w:r>
      <w:r w:rsidRPr="00802725">
        <w:rPr>
          <w:szCs w:val="22"/>
        </w:rPr>
        <w:t xml:space="preserve">.  </w:t>
      </w:r>
    </w:p>
    <w:p w14:paraId="4F8B30A5" w14:textId="77777777" w:rsidR="00C019A0" w:rsidRPr="00802725" w:rsidRDefault="00C019A0" w:rsidP="00C019A0">
      <w:pPr>
        <w:spacing w:line="0" w:lineRule="atLeast"/>
        <w:rPr>
          <w:szCs w:val="22"/>
        </w:rPr>
      </w:pPr>
    </w:p>
    <w:p w14:paraId="29D60AC0" w14:textId="77777777" w:rsidR="00C019A0" w:rsidRPr="00FD1DAB" w:rsidRDefault="00C019A0" w:rsidP="00C019A0">
      <w:pPr>
        <w:pStyle w:val="Level3"/>
        <w:rPr>
          <w:rFonts w:eastAsiaTheme="minorHAnsi"/>
        </w:rPr>
      </w:pPr>
      <w:bookmarkStart w:id="44" w:name="_Toc219210286"/>
      <w:r w:rsidRPr="00FD1DAB">
        <w:rPr>
          <w:rFonts w:eastAsiaTheme="minorHAnsi"/>
        </w:rPr>
        <w:t>Access and Limitations on Liability for Copyright Infringement</w:t>
      </w:r>
      <w:bookmarkEnd w:id="44"/>
    </w:p>
    <w:p w14:paraId="1367354E" w14:textId="77777777" w:rsidR="00C019A0" w:rsidRDefault="00C019A0" w:rsidP="00C019A0">
      <w:pPr>
        <w:spacing w:line="0" w:lineRule="atLeast"/>
        <w:rPr>
          <w:szCs w:val="22"/>
        </w:rPr>
      </w:pPr>
    </w:p>
    <w:p w14:paraId="7974A4BC" w14:textId="77777777" w:rsidR="00C019A0" w:rsidRDefault="00C019A0" w:rsidP="00C019A0">
      <w:pPr>
        <w:spacing w:line="0" w:lineRule="atLeast"/>
        <w:rPr>
          <w:szCs w:val="22"/>
        </w:rPr>
      </w:pPr>
      <w:r w:rsidRPr="00802725">
        <w:rPr>
          <w:szCs w:val="22"/>
        </w:rPr>
        <w:t>Certain Member</w:t>
      </w:r>
      <w:r>
        <w:rPr>
          <w:szCs w:val="22"/>
        </w:rPr>
        <w:t xml:space="preserve"> </w:t>
      </w:r>
      <w:r w:rsidRPr="00802725">
        <w:rPr>
          <w:szCs w:val="22"/>
        </w:rPr>
        <w:t xml:space="preserve">States have enacted exceptions provisions into their copyright laws to reduce damages in the event of infringement, so long as specific </w:t>
      </w:r>
      <w:r w:rsidRPr="0054002E">
        <w:rPr>
          <w:szCs w:val="22"/>
        </w:rPr>
        <w:t>circumstances prevail, such as where the work has been reproduced or distributed for noncommercial purposes.</w:t>
      </w:r>
      <w:r w:rsidRPr="00345075">
        <w:rPr>
          <w:rStyle w:val="EndnoteReference"/>
          <w:szCs w:val="22"/>
        </w:rPr>
        <w:endnoteReference w:id="27"/>
      </w:r>
      <w:r w:rsidRPr="0054002E">
        <w:rPr>
          <w:szCs w:val="22"/>
        </w:rPr>
        <w:t xml:space="preserve"> This remains one of the most important legislated access solutions for trusted institutions, such as libraries, archives, and museums, that are trying to provide access to works in their collections online.</w:t>
      </w:r>
      <w:r w:rsidRPr="00345075">
        <w:rPr>
          <w:rStyle w:val="EndnoteReference"/>
        </w:rPr>
        <w:endnoteReference w:id="28"/>
      </w:r>
      <w:r w:rsidRPr="00345075">
        <w:rPr>
          <w:rStyle w:val="EndnoteReference"/>
        </w:rPr>
        <w:t xml:space="preserve"> </w:t>
      </w:r>
      <w:r w:rsidRPr="0054002E">
        <w:rPr>
          <w:szCs w:val="22"/>
        </w:rPr>
        <w:t>Other jurisdictions have introduced provisions that reduce or eliminate statutory damages</w:t>
      </w:r>
      <w:r w:rsidRPr="0054002E">
        <w:rPr>
          <w:szCs w:val="22"/>
          <w:vertAlign w:val="superscript"/>
        </w:rPr>
        <w:endnoteReference w:id="29"/>
      </w:r>
      <w:r w:rsidRPr="0054002E">
        <w:rPr>
          <w:szCs w:val="22"/>
        </w:rPr>
        <w:t xml:space="preserve"> for</w:t>
      </w:r>
      <w:r w:rsidRPr="00802725">
        <w:rPr>
          <w:szCs w:val="22"/>
        </w:rPr>
        <w:t xml:space="preserve"> trusted institutions, such as libraries, archives, and museums that carry out mission-driven activities for the benefit of the public. Thus, policy and lawmakers may wish to consider access solutions that enable and encourage access for the benefit of </w:t>
      </w:r>
      <w:proofErr w:type="gramStart"/>
      <w:r w:rsidRPr="00802725">
        <w:rPr>
          <w:szCs w:val="22"/>
        </w:rPr>
        <w:t>the public</w:t>
      </w:r>
      <w:proofErr w:type="gramEnd"/>
      <w:r w:rsidRPr="00802725">
        <w:rPr>
          <w:szCs w:val="22"/>
        </w:rPr>
        <w:t xml:space="preserve"> interest by lowering and therefore mitigating the</w:t>
      </w:r>
      <w:r>
        <w:rPr>
          <w:szCs w:val="22"/>
        </w:rPr>
        <w:t xml:space="preserve"> possible</w:t>
      </w:r>
      <w:r w:rsidRPr="00802725">
        <w:rPr>
          <w:szCs w:val="22"/>
        </w:rPr>
        <w:t xml:space="preserve"> risk of damages relating to core cultural heritage activities.</w:t>
      </w:r>
      <w:r w:rsidRPr="005F443B">
        <w:rPr>
          <w:szCs w:val="22"/>
          <w:vertAlign w:val="superscript"/>
        </w:rPr>
        <w:endnoteReference w:id="30"/>
      </w:r>
    </w:p>
    <w:p w14:paraId="69011A5E" w14:textId="77777777" w:rsidR="00C019A0" w:rsidRDefault="00C019A0" w:rsidP="00C019A0">
      <w:pPr>
        <w:spacing w:line="0" w:lineRule="atLeast"/>
        <w:rPr>
          <w:szCs w:val="22"/>
        </w:rPr>
      </w:pPr>
    </w:p>
    <w:p w14:paraId="6A5D8354" w14:textId="77777777" w:rsidR="00C019A0" w:rsidRPr="00FD1DAB" w:rsidRDefault="00C019A0" w:rsidP="00C019A0">
      <w:pPr>
        <w:pStyle w:val="Level3"/>
      </w:pPr>
      <w:bookmarkStart w:id="45" w:name="_Toc219210287"/>
      <w:r w:rsidRPr="00FD1DAB">
        <w:t>Access and Avoiding Infringement: Safe Harbor Provisions</w:t>
      </w:r>
      <w:bookmarkEnd w:id="45"/>
    </w:p>
    <w:p w14:paraId="20841F09" w14:textId="77777777" w:rsidR="00C019A0" w:rsidRDefault="00C019A0" w:rsidP="00C019A0">
      <w:pPr>
        <w:spacing w:line="0" w:lineRule="atLeast"/>
        <w:rPr>
          <w:szCs w:val="22"/>
        </w:rPr>
      </w:pPr>
    </w:p>
    <w:p w14:paraId="07A756DE" w14:textId="77777777" w:rsidR="00C019A0" w:rsidRDefault="00C019A0" w:rsidP="00C019A0">
      <w:pPr>
        <w:spacing w:line="0" w:lineRule="atLeast"/>
        <w:rPr>
          <w:szCs w:val="22"/>
        </w:rPr>
      </w:pPr>
      <w:r>
        <w:rPr>
          <w:szCs w:val="22"/>
        </w:rPr>
        <w:t>Other Member State</w:t>
      </w:r>
      <w:r w:rsidRPr="00802725">
        <w:rPr>
          <w:szCs w:val="22"/>
        </w:rPr>
        <w:t>s</w:t>
      </w:r>
      <w:r w:rsidRPr="00345075">
        <w:rPr>
          <w:vertAlign w:val="superscript"/>
        </w:rPr>
        <w:endnoteReference w:id="31"/>
      </w:r>
      <w:r w:rsidRPr="0054002E">
        <w:rPr>
          <w:szCs w:val="22"/>
        </w:rPr>
        <w:t xml:space="preserve"> </w:t>
      </w:r>
      <w:r w:rsidRPr="00802725">
        <w:rPr>
          <w:szCs w:val="22"/>
        </w:rPr>
        <w:t>include provisions in their copyright laws that minimize damages for infringement of copyright upon receipt of a notice by a copyright owner that their rights have been infringed, acts upon the notice by taking down the digital materials that are the subject of the allegation of infringement. In certain jurisdictions, and where libraries, archives</w:t>
      </w:r>
      <w:r>
        <w:rPr>
          <w:szCs w:val="22"/>
        </w:rPr>
        <w:t>,</w:t>
      </w:r>
      <w:r w:rsidRPr="00802725">
        <w:rPr>
          <w:szCs w:val="22"/>
        </w:rPr>
        <w:t xml:space="preserve"> and museums operate in the online environment and post digital copies of their collections online, they may </w:t>
      </w:r>
      <w:r>
        <w:rPr>
          <w:szCs w:val="22"/>
        </w:rPr>
        <w:t xml:space="preserve">be able to avail themselves of these “safe harbor” provisions. </w:t>
      </w:r>
    </w:p>
    <w:p w14:paraId="39BC37C6" w14:textId="77777777" w:rsidR="00C019A0" w:rsidRPr="00802725" w:rsidRDefault="00C019A0" w:rsidP="00C019A0">
      <w:pPr>
        <w:spacing w:line="0" w:lineRule="atLeast"/>
        <w:rPr>
          <w:szCs w:val="22"/>
        </w:rPr>
      </w:pPr>
    </w:p>
    <w:p w14:paraId="04B47875" w14:textId="77777777" w:rsidR="00C019A0" w:rsidRDefault="00C019A0" w:rsidP="00C019A0">
      <w:pPr>
        <w:spacing w:line="0" w:lineRule="atLeast"/>
        <w:rPr>
          <w:szCs w:val="22"/>
        </w:rPr>
      </w:pPr>
      <w:r w:rsidRPr="00802725">
        <w:rPr>
          <w:szCs w:val="22"/>
        </w:rPr>
        <w:t xml:space="preserve">In most of these jurisdictions, there is an additional requirement that </w:t>
      </w:r>
      <w:r>
        <w:rPr>
          <w:szCs w:val="22"/>
        </w:rPr>
        <w:t>the entity hosting the alleged infringing works online</w:t>
      </w:r>
      <w:r w:rsidRPr="00802725">
        <w:rPr>
          <w:szCs w:val="22"/>
        </w:rPr>
        <w:t xml:space="preserve"> </w:t>
      </w:r>
      <w:r>
        <w:rPr>
          <w:szCs w:val="22"/>
        </w:rPr>
        <w:t>is required</w:t>
      </w:r>
      <w:r w:rsidRPr="00802725">
        <w:rPr>
          <w:szCs w:val="22"/>
        </w:rPr>
        <w:t xml:space="preserve"> to</w:t>
      </w:r>
      <w:r>
        <w:rPr>
          <w:szCs w:val="22"/>
        </w:rPr>
        <w:t xml:space="preserve"> have acted</w:t>
      </w:r>
      <w:r w:rsidRPr="00802725">
        <w:rPr>
          <w:szCs w:val="22"/>
        </w:rPr>
        <w:t xml:space="preserve"> in “good faith</w:t>
      </w:r>
      <w:r>
        <w:rPr>
          <w:szCs w:val="22"/>
        </w:rPr>
        <w:t>.</w:t>
      </w:r>
      <w:r w:rsidRPr="00802725">
        <w:rPr>
          <w:szCs w:val="22"/>
        </w:rPr>
        <w:t>” The key is found in the risk assessment. The library, archive</w:t>
      </w:r>
      <w:r>
        <w:rPr>
          <w:szCs w:val="22"/>
        </w:rPr>
        <w:t>,</w:t>
      </w:r>
      <w:r w:rsidRPr="00802725">
        <w:rPr>
          <w:szCs w:val="22"/>
        </w:rPr>
        <w:t xml:space="preserve"> or museum will be expected to assess copyright risks in good faith, as would any other party operating under safe harbor provisions.</w:t>
      </w:r>
      <w:r>
        <w:rPr>
          <w:szCs w:val="22"/>
        </w:rPr>
        <w:t xml:space="preserve"> </w:t>
      </w:r>
      <w:r w:rsidRPr="00802725">
        <w:rPr>
          <w:szCs w:val="22"/>
        </w:rPr>
        <w:t xml:space="preserve">Therefore, in circumstances where it is </w:t>
      </w:r>
      <w:r>
        <w:rPr>
          <w:szCs w:val="22"/>
        </w:rPr>
        <w:t xml:space="preserve">of great interest </w:t>
      </w:r>
      <w:r w:rsidRPr="00802725">
        <w:rPr>
          <w:szCs w:val="22"/>
        </w:rPr>
        <w:t>for a library, archive</w:t>
      </w:r>
      <w:r>
        <w:rPr>
          <w:szCs w:val="22"/>
        </w:rPr>
        <w:t>,</w:t>
      </w:r>
      <w:r w:rsidRPr="00802725">
        <w:rPr>
          <w:szCs w:val="22"/>
        </w:rPr>
        <w:t xml:space="preserve"> or museum to provide access to digital materials online and they have assessed copyright risks and their assessment remains inconclusive</w:t>
      </w:r>
      <w:r>
        <w:rPr>
          <w:szCs w:val="22"/>
        </w:rPr>
        <w:t xml:space="preserve">, mitigation provisions may eliminate some or all risks of </w:t>
      </w:r>
      <w:proofErr w:type="gramStart"/>
      <w:r>
        <w:rPr>
          <w:szCs w:val="22"/>
        </w:rPr>
        <w:t>damages</w:t>
      </w:r>
      <w:proofErr w:type="gramEnd"/>
      <w:r>
        <w:rPr>
          <w:szCs w:val="22"/>
        </w:rPr>
        <w:t xml:space="preserve"> being assessed for infringement. </w:t>
      </w:r>
    </w:p>
    <w:p w14:paraId="1A7DC599" w14:textId="77777777" w:rsidR="00C019A0" w:rsidRDefault="00C019A0" w:rsidP="00C019A0">
      <w:pPr>
        <w:spacing w:line="0" w:lineRule="atLeast"/>
        <w:rPr>
          <w:szCs w:val="22"/>
        </w:rPr>
      </w:pPr>
    </w:p>
    <w:p w14:paraId="66122EAF" w14:textId="77777777" w:rsidR="00C019A0" w:rsidRPr="00FD1DAB" w:rsidRDefault="00C019A0" w:rsidP="00C019A0">
      <w:pPr>
        <w:pStyle w:val="Level3"/>
      </w:pPr>
      <w:bookmarkStart w:id="46" w:name="_Toc219210288"/>
      <w:r w:rsidRPr="00FD1DAB">
        <w:t xml:space="preserve">Access to </w:t>
      </w:r>
      <w:r>
        <w:t>Public Domain</w:t>
      </w:r>
      <w:r w:rsidRPr="00FD1DAB">
        <w:t xml:space="preserve"> and Donated Works</w:t>
      </w:r>
      <w:bookmarkEnd w:id="46"/>
      <w:r w:rsidRPr="00FD1DAB">
        <w:t xml:space="preserve"> </w:t>
      </w:r>
    </w:p>
    <w:p w14:paraId="6295E0F0" w14:textId="77777777" w:rsidR="00C019A0" w:rsidRDefault="00C019A0" w:rsidP="00C019A0">
      <w:pPr>
        <w:spacing w:line="0" w:lineRule="atLeast"/>
        <w:rPr>
          <w:szCs w:val="22"/>
        </w:rPr>
      </w:pPr>
    </w:p>
    <w:p w14:paraId="2AE35093" w14:textId="77777777" w:rsidR="00C019A0" w:rsidRPr="00074146" w:rsidRDefault="00C019A0" w:rsidP="00C019A0">
      <w:pPr>
        <w:spacing w:line="0" w:lineRule="atLeast"/>
        <w:rPr>
          <w:szCs w:val="22"/>
        </w:rPr>
      </w:pPr>
      <w:r w:rsidRPr="00826987">
        <w:rPr>
          <w:szCs w:val="22"/>
        </w:rPr>
        <w:t xml:space="preserve">As </w:t>
      </w:r>
      <w:r>
        <w:rPr>
          <w:szCs w:val="22"/>
        </w:rPr>
        <w:t>examined earlier</w:t>
      </w:r>
      <w:r w:rsidRPr="00826987">
        <w:rPr>
          <w:szCs w:val="22"/>
        </w:rPr>
        <w:t>, certain circumstances suggest that exceptions to copyright may be the only clear way to eliminate</w:t>
      </w:r>
      <w:r>
        <w:rPr>
          <w:szCs w:val="22"/>
        </w:rPr>
        <w:t xml:space="preserve"> or substantially reduce infringement liability</w:t>
      </w:r>
      <w:r w:rsidRPr="00826987">
        <w:rPr>
          <w:szCs w:val="22"/>
        </w:rPr>
        <w:t xml:space="preserve"> risk</w:t>
      </w:r>
      <w:r>
        <w:rPr>
          <w:szCs w:val="22"/>
        </w:rPr>
        <w:t>s</w:t>
      </w:r>
      <w:r w:rsidRPr="00826987">
        <w:rPr>
          <w:szCs w:val="22"/>
        </w:rPr>
        <w:t xml:space="preserve"> for libraries, archives</w:t>
      </w:r>
      <w:r>
        <w:rPr>
          <w:szCs w:val="22"/>
        </w:rPr>
        <w:t>,</w:t>
      </w:r>
      <w:r w:rsidRPr="00826987">
        <w:rPr>
          <w:szCs w:val="22"/>
        </w:rPr>
        <w:t xml:space="preserve"> and museums </w:t>
      </w:r>
      <w:r>
        <w:rPr>
          <w:szCs w:val="22"/>
        </w:rPr>
        <w:t>in connection with their use of</w:t>
      </w:r>
      <w:r w:rsidRPr="00826987">
        <w:rPr>
          <w:szCs w:val="22"/>
        </w:rPr>
        <w:t xml:space="preserve"> works that are currently in copyright. This is especially true when managing complex media collections. </w:t>
      </w:r>
      <w:r w:rsidRPr="00074146">
        <w:rPr>
          <w:szCs w:val="22"/>
        </w:rPr>
        <w:t>However, other possible risks related to copyright would be largely mitigated in the case of works with expired copyrights (i.e., works that are in the public domain) and works donated to cultural heritage institutions by rightsholders.</w:t>
      </w:r>
    </w:p>
    <w:p w14:paraId="6D96D4C4" w14:textId="77777777" w:rsidR="00C019A0" w:rsidRPr="00074146" w:rsidRDefault="00C019A0" w:rsidP="00C019A0">
      <w:pPr>
        <w:spacing w:line="0" w:lineRule="atLeast"/>
        <w:rPr>
          <w:szCs w:val="22"/>
        </w:rPr>
      </w:pPr>
    </w:p>
    <w:p w14:paraId="4E6D5A57" w14:textId="77777777" w:rsidR="00C019A0" w:rsidRDefault="00C019A0" w:rsidP="00C019A0">
      <w:pPr>
        <w:spacing w:line="0" w:lineRule="atLeast"/>
        <w:rPr>
          <w:szCs w:val="22"/>
        </w:rPr>
      </w:pPr>
      <w:r w:rsidRPr="00074146">
        <w:rPr>
          <w:szCs w:val="22"/>
        </w:rPr>
        <w:t>The possibilities for infringement risks are mitigated with respect to works that are in the public domain, because there is no need to seek permission from anyone for the use of such works.</w:t>
      </w:r>
      <w:r w:rsidRPr="00826987">
        <w:rPr>
          <w:szCs w:val="22"/>
        </w:rPr>
        <w:t xml:space="preserve"> Cultural heritage institutions can therefore give access to such works without fear of liability for copyright </w:t>
      </w:r>
      <w:r w:rsidRPr="0054002E">
        <w:rPr>
          <w:szCs w:val="22"/>
        </w:rPr>
        <w:t>infringement.</w:t>
      </w:r>
      <w:r w:rsidRPr="008708C5">
        <w:rPr>
          <w:vertAlign w:val="superscript"/>
        </w:rPr>
        <w:endnoteReference w:id="32"/>
      </w:r>
      <w:r w:rsidRPr="0054002E">
        <w:rPr>
          <w:szCs w:val="22"/>
        </w:rPr>
        <w:t xml:space="preserve"> A</w:t>
      </w:r>
      <w:r w:rsidRPr="00826987">
        <w:rPr>
          <w:szCs w:val="22"/>
        </w:rPr>
        <w:t xml:space="preserve"> similar situation arises in the case of works donated to the</w:t>
      </w:r>
      <w:r>
        <w:rPr>
          <w:szCs w:val="22"/>
        </w:rPr>
        <w:t xml:space="preserve"> institution</w:t>
      </w:r>
      <w:r w:rsidRPr="00826987">
        <w:rPr>
          <w:szCs w:val="22"/>
        </w:rPr>
        <w:t xml:space="preserve"> by the copyright owner</w:t>
      </w:r>
      <w:r>
        <w:rPr>
          <w:szCs w:val="22"/>
        </w:rPr>
        <w:t xml:space="preserve">, </w:t>
      </w:r>
      <w:r w:rsidRPr="0073220B">
        <w:rPr>
          <w:szCs w:val="22"/>
        </w:rPr>
        <w:t>where the donation entail</w:t>
      </w:r>
      <w:r>
        <w:rPr>
          <w:szCs w:val="22"/>
        </w:rPr>
        <w:t>s</w:t>
      </w:r>
      <w:r w:rsidRPr="0073220B">
        <w:rPr>
          <w:szCs w:val="22"/>
        </w:rPr>
        <w:t xml:space="preserve"> an assignment of rights in the work concerned</w:t>
      </w:r>
      <w:r>
        <w:rPr>
          <w:szCs w:val="22"/>
        </w:rPr>
        <w:t xml:space="preserve">. </w:t>
      </w:r>
      <w:r w:rsidRPr="00826987">
        <w:rPr>
          <w:szCs w:val="22"/>
        </w:rPr>
        <w:t xml:space="preserve">Therefore, it is </w:t>
      </w:r>
      <w:r>
        <w:rPr>
          <w:szCs w:val="22"/>
        </w:rPr>
        <w:t xml:space="preserve">particularly </w:t>
      </w:r>
      <w:r w:rsidRPr="00826987">
        <w:rPr>
          <w:szCs w:val="22"/>
        </w:rPr>
        <w:t>important that cultural heritage institutions undertake rights and risk assessments of the materials found in their collections</w:t>
      </w:r>
      <w:r>
        <w:rPr>
          <w:szCs w:val="22"/>
        </w:rPr>
        <w:t>,</w:t>
      </w:r>
      <w:r w:rsidRPr="00826987">
        <w:rPr>
          <w:szCs w:val="22"/>
        </w:rPr>
        <w:t xml:space="preserve"> with the primary objective of </w:t>
      </w:r>
      <w:r>
        <w:rPr>
          <w:szCs w:val="22"/>
        </w:rPr>
        <w:t>identifying</w:t>
      </w:r>
      <w:r w:rsidRPr="00826987">
        <w:rPr>
          <w:szCs w:val="22"/>
        </w:rPr>
        <w:t xml:space="preserve"> works whose copyrights have expired.</w:t>
      </w:r>
    </w:p>
    <w:p w14:paraId="542F8E40" w14:textId="77777777" w:rsidR="00C019A0" w:rsidRPr="00826987" w:rsidRDefault="00C019A0" w:rsidP="00C019A0">
      <w:pPr>
        <w:spacing w:line="0" w:lineRule="atLeast"/>
        <w:rPr>
          <w:szCs w:val="22"/>
        </w:rPr>
      </w:pPr>
    </w:p>
    <w:p w14:paraId="3F711480" w14:textId="77777777" w:rsidR="00C019A0" w:rsidRDefault="00C019A0" w:rsidP="00C019A0">
      <w:pPr>
        <w:spacing w:line="0" w:lineRule="atLeast"/>
        <w:rPr>
          <w:szCs w:val="22"/>
        </w:rPr>
      </w:pPr>
      <w:r w:rsidRPr="00826987">
        <w:rPr>
          <w:szCs w:val="22"/>
        </w:rPr>
        <w:t xml:space="preserve">The foregoing situation is not always clear however, as in some cases </w:t>
      </w:r>
      <w:r>
        <w:rPr>
          <w:szCs w:val="22"/>
        </w:rPr>
        <w:t>the use</w:t>
      </w:r>
      <w:r w:rsidRPr="00826987">
        <w:rPr>
          <w:szCs w:val="22"/>
        </w:rPr>
        <w:t xml:space="preserve"> of works that are in the public domain may still be subject to payment (as in the case of the </w:t>
      </w:r>
      <w:proofErr w:type="spellStart"/>
      <w:r w:rsidRPr="00FD1DAB">
        <w:rPr>
          <w:i/>
          <w:iCs/>
          <w:szCs w:val="22"/>
        </w:rPr>
        <w:t>domaine</w:t>
      </w:r>
      <w:proofErr w:type="spellEnd"/>
      <w:r w:rsidRPr="00FD1DAB">
        <w:rPr>
          <w:i/>
          <w:iCs/>
          <w:szCs w:val="22"/>
        </w:rPr>
        <w:t xml:space="preserve"> public </w:t>
      </w:r>
      <w:proofErr w:type="spellStart"/>
      <w:r w:rsidRPr="00FD1DAB">
        <w:rPr>
          <w:i/>
          <w:iCs/>
          <w:szCs w:val="22"/>
        </w:rPr>
        <w:t>payant</w:t>
      </w:r>
      <w:proofErr w:type="spellEnd"/>
      <w:r w:rsidRPr="00826987">
        <w:rPr>
          <w:szCs w:val="22"/>
        </w:rPr>
        <w:t xml:space="preserve">). Such payment is usually </w:t>
      </w:r>
      <w:r w:rsidRPr="0054002E">
        <w:rPr>
          <w:szCs w:val="22"/>
        </w:rPr>
        <w:t>paid to an author</w:t>
      </w:r>
      <w:r>
        <w:rPr>
          <w:szCs w:val="22"/>
        </w:rPr>
        <w:t xml:space="preserve">’s </w:t>
      </w:r>
      <w:r w:rsidRPr="0054002E">
        <w:rPr>
          <w:szCs w:val="22"/>
        </w:rPr>
        <w:t>society or to the state, for cultural purposes or to support authors and their families.</w:t>
      </w:r>
      <w:r w:rsidRPr="008708C5">
        <w:rPr>
          <w:vertAlign w:val="superscript"/>
        </w:rPr>
        <w:endnoteReference w:id="33"/>
      </w:r>
      <w:r w:rsidRPr="0054002E">
        <w:rPr>
          <w:szCs w:val="22"/>
        </w:rPr>
        <w:t xml:space="preserve"> It would therefore be important to ascertain </w:t>
      </w:r>
      <w:r>
        <w:rPr>
          <w:szCs w:val="22"/>
        </w:rPr>
        <w:t>the applicable legal position.</w:t>
      </w:r>
      <w:r w:rsidRPr="0054002E">
        <w:rPr>
          <w:szCs w:val="22"/>
        </w:rPr>
        <w:t xml:space="preserve"> In some cases, as in a 2018 Bundesgerichtshof decision in Germany, use of a reproduction (such as a photographic image) of a public domain work may be prohibited.</w:t>
      </w:r>
      <w:r w:rsidRPr="0054002E">
        <w:rPr>
          <w:rStyle w:val="EndnoteReference"/>
          <w:szCs w:val="22"/>
        </w:rPr>
        <w:endnoteReference w:id="34"/>
      </w:r>
    </w:p>
    <w:p w14:paraId="702C57E0" w14:textId="77777777" w:rsidR="00C019A0" w:rsidRDefault="00C019A0" w:rsidP="00C019A0">
      <w:pPr>
        <w:spacing w:line="0" w:lineRule="atLeast"/>
        <w:rPr>
          <w:szCs w:val="22"/>
        </w:rPr>
      </w:pPr>
    </w:p>
    <w:p w14:paraId="7034235C" w14:textId="77777777" w:rsidR="00C019A0" w:rsidRDefault="00C019A0" w:rsidP="00C019A0">
      <w:pPr>
        <w:spacing w:line="0" w:lineRule="atLeast"/>
        <w:rPr>
          <w:szCs w:val="22"/>
        </w:rPr>
      </w:pPr>
      <w:r>
        <w:rPr>
          <w:szCs w:val="22"/>
        </w:rPr>
        <w:t xml:space="preserve">It would also be useful to assess the impact of other legal provisions that might apply to works in a collection, independently of copyright law. For example, clear information on any limits to access stemming from cultural property provisions or laws governing cultural heritage institutions would also be essential for a complete analysis of opportunities to provide access to works in a collection. </w:t>
      </w:r>
    </w:p>
    <w:p w14:paraId="1B3D6B59" w14:textId="77777777" w:rsidR="00C019A0" w:rsidRDefault="00C019A0" w:rsidP="00C019A0">
      <w:pPr>
        <w:spacing w:line="0" w:lineRule="atLeast"/>
        <w:rPr>
          <w:szCs w:val="22"/>
        </w:rPr>
      </w:pPr>
    </w:p>
    <w:p w14:paraId="1E4BF09A" w14:textId="77777777" w:rsidR="00C019A0" w:rsidRDefault="00C019A0" w:rsidP="00C019A0">
      <w:pPr>
        <w:spacing w:line="0" w:lineRule="atLeast"/>
        <w:rPr>
          <w:szCs w:val="22"/>
        </w:rPr>
      </w:pPr>
      <w:r>
        <w:rPr>
          <w:szCs w:val="22"/>
        </w:rPr>
        <w:t xml:space="preserve">Donation of copyrighted works to cultural heritage institutions may be an effective way to empower them to fulfil their mission of providing access to the public. In this </w:t>
      </w:r>
      <w:proofErr w:type="gramStart"/>
      <w:r>
        <w:rPr>
          <w:szCs w:val="22"/>
        </w:rPr>
        <w:t>case</w:t>
      </w:r>
      <w:proofErr w:type="gramEnd"/>
      <w:r>
        <w:rPr>
          <w:szCs w:val="22"/>
        </w:rPr>
        <w:t xml:space="preserve"> however, it </w:t>
      </w:r>
      <w:proofErr w:type="gramStart"/>
      <w:r>
        <w:rPr>
          <w:szCs w:val="22"/>
        </w:rPr>
        <w:t>would be</w:t>
      </w:r>
      <w:proofErr w:type="gramEnd"/>
      <w:r>
        <w:rPr>
          <w:szCs w:val="22"/>
        </w:rPr>
        <w:t xml:space="preserve"> important to determine if the copyright owner is only donating the physical copy of the </w:t>
      </w:r>
      <w:proofErr w:type="gramStart"/>
      <w:r>
        <w:rPr>
          <w:szCs w:val="22"/>
        </w:rPr>
        <w:t>work,</w:t>
      </w:r>
      <w:proofErr w:type="gramEnd"/>
      <w:r>
        <w:rPr>
          <w:szCs w:val="22"/>
        </w:rPr>
        <w:t xml:space="preserve"> while retaining copyright; or in the case of a transfer of copyright, whether this is a full or partial transfer; the scope of the rights transferred and any conditions or limitations of use.  </w:t>
      </w:r>
    </w:p>
    <w:p w14:paraId="625A116B" w14:textId="77777777" w:rsidR="00C019A0" w:rsidRDefault="00C019A0" w:rsidP="00C019A0">
      <w:pPr>
        <w:spacing w:line="0" w:lineRule="atLeast"/>
        <w:rPr>
          <w:szCs w:val="22"/>
        </w:rPr>
      </w:pPr>
    </w:p>
    <w:p w14:paraId="345B2F08" w14:textId="77777777" w:rsidR="00C019A0" w:rsidRDefault="00C019A0" w:rsidP="00C019A0">
      <w:pPr>
        <w:spacing w:line="0" w:lineRule="atLeast"/>
        <w:rPr>
          <w:szCs w:val="22"/>
        </w:rPr>
      </w:pPr>
      <w:r>
        <w:rPr>
          <w:szCs w:val="22"/>
        </w:rPr>
        <w:t>The example referenced in the box below, taken from the UCLA Film and Television Archive, is an excellent illustration of the complexities of donated collections where underlying rights may not have been donated with the materials in a collection.</w:t>
      </w:r>
    </w:p>
    <w:p w14:paraId="292814BC" w14:textId="77777777" w:rsidR="00C019A0" w:rsidRDefault="00C019A0" w:rsidP="00C019A0">
      <w:pPr>
        <w:spacing w:line="0" w:lineRule="atLeast"/>
        <w:rPr>
          <w:szCs w:val="22"/>
        </w:rPr>
      </w:pPr>
    </w:p>
    <w:tbl>
      <w:tblPr>
        <w:tblStyle w:val="TableGrid"/>
        <w:tblW w:w="0" w:type="auto"/>
        <w:tblInd w:w="421" w:type="dxa"/>
        <w:tblLook w:val="04A0" w:firstRow="1" w:lastRow="0" w:firstColumn="1" w:lastColumn="0" w:noHBand="0" w:noVBand="1"/>
      </w:tblPr>
      <w:tblGrid>
        <w:gridCol w:w="8924"/>
      </w:tblGrid>
      <w:tr w:rsidR="00C019A0" w14:paraId="725DA9E0" w14:textId="77777777" w:rsidTr="008069EB">
        <w:tc>
          <w:tcPr>
            <w:tcW w:w="8929" w:type="dxa"/>
          </w:tcPr>
          <w:p w14:paraId="01B02713" w14:textId="77777777" w:rsidR="00C019A0" w:rsidRDefault="00C019A0" w:rsidP="008069EB">
            <w:r w:rsidRPr="007D4A66">
              <w:rPr>
                <w:u w:val="single"/>
              </w:rPr>
              <w:t>Example</w:t>
            </w:r>
            <w:r>
              <w:rPr>
                <w:u w:val="single"/>
              </w:rPr>
              <w:t xml:space="preserve"> of Film &amp; Television Archives</w:t>
            </w:r>
            <w:r w:rsidRPr="007D4A66">
              <w:t xml:space="preserve">: </w:t>
            </w:r>
          </w:p>
          <w:p w14:paraId="5DD7AEE9" w14:textId="77777777" w:rsidR="00C019A0" w:rsidRDefault="00C019A0" w:rsidP="008069EB"/>
          <w:p w14:paraId="365E0487" w14:textId="77777777" w:rsidR="00C019A0" w:rsidRDefault="00C019A0" w:rsidP="008069EB">
            <w:r w:rsidRPr="00802725">
              <w:t>Cultural heritage institutions</w:t>
            </w:r>
            <w:r>
              <w:t>, such as film and television archives,</w:t>
            </w:r>
            <w:r w:rsidRPr="00167B64">
              <w:rPr>
                <w:rStyle w:val="EndnoteReference"/>
              </w:rPr>
              <w:endnoteReference w:id="35"/>
            </w:r>
            <w:r w:rsidRPr="00167B64">
              <w:t xml:space="preserve"> hold film and video collections and so</w:t>
            </w:r>
            <w:r w:rsidRPr="00802725">
              <w:t xml:space="preserve">und recordings, have an urgent need to develop access solutions, particularly to meet, at a minimum, research and study requirements and even limited screening abilities for specific </w:t>
            </w:r>
            <w:r>
              <w:t xml:space="preserve">scholarly </w:t>
            </w:r>
            <w:r w:rsidRPr="00802725">
              <w:t>purposes. Because of the complexities associated with film and music production as an aggregate of a multiplicity of copyright-protected works, the ability to screen a film or hear an audio recording may be limited even when it has been preserved</w:t>
            </w:r>
            <w:r>
              <w:t xml:space="preserve">, unless an archive can identify all rightsholders whose works were used in the film, find and contact them, and obtain their permissions. This might be hard to achieve, depending on the circumstances. </w:t>
            </w:r>
            <w:r w:rsidRPr="00802725">
              <w:t>More specifically, a film and video archive may receive a donation from a film producer that includes all rights and interests in the film as a compilation. However, the ability to screen a film in the collection to even a closed audience for a limited purpose</w:t>
            </w:r>
            <w:r>
              <w:t xml:space="preserve"> </w:t>
            </w:r>
            <w:r w:rsidRPr="00802725">
              <w:t>may still be restricted</w:t>
            </w:r>
            <w:r>
              <w:t xml:space="preserve"> because of underlying rights</w:t>
            </w:r>
            <w:r w:rsidRPr="00802725">
              <w:t>. A film and video archive may not have the requisite administrative documentation and production agreements to assess the underlying rights because the production agreements that memorialized them may not have been donated as part of the collection</w:t>
            </w:r>
            <w:r>
              <w:t>.</w:t>
            </w:r>
          </w:p>
          <w:p w14:paraId="4FE07E64" w14:textId="77777777" w:rsidR="00C019A0" w:rsidRPr="00167B64" w:rsidRDefault="00C019A0" w:rsidP="008069EB">
            <w:pPr>
              <w:rPr>
                <w:u w:val="single"/>
              </w:rPr>
            </w:pPr>
          </w:p>
        </w:tc>
      </w:tr>
    </w:tbl>
    <w:p w14:paraId="0E4AF7A1" w14:textId="77777777" w:rsidR="00C019A0" w:rsidRDefault="00C019A0" w:rsidP="00C019A0">
      <w:pPr>
        <w:spacing w:line="0" w:lineRule="atLeast"/>
        <w:rPr>
          <w:szCs w:val="22"/>
        </w:rPr>
      </w:pPr>
    </w:p>
    <w:p w14:paraId="6D0A9BB3" w14:textId="77777777" w:rsidR="00C019A0" w:rsidRPr="00E82BBA" w:rsidRDefault="00C019A0" w:rsidP="00C019A0">
      <w:pPr>
        <w:pStyle w:val="Level2"/>
      </w:pPr>
      <w:bookmarkStart w:id="47" w:name="_Toc219210289"/>
      <w:r w:rsidRPr="00E82BBA">
        <w:t>Access and Licensing</w:t>
      </w:r>
      <w:bookmarkEnd w:id="47"/>
    </w:p>
    <w:p w14:paraId="4B04156B" w14:textId="77777777" w:rsidR="00C019A0" w:rsidRDefault="00C019A0" w:rsidP="00C019A0">
      <w:pPr>
        <w:rPr>
          <w:szCs w:val="22"/>
        </w:rPr>
      </w:pPr>
    </w:p>
    <w:p w14:paraId="76B67938" w14:textId="77777777" w:rsidR="00C019A0" w:rsidRDefault="00C019A0" w:rsidP="00C019A0">
      <w:pPr>
        <w:rPr>
          <w:szCs w:val="22"/>
        </w:rPr>
      </w:pPr>
      <w:r w:rsidRPr="00802725">
        <w:rPr>
          <w:szCs w:val="22"/>
        </w:rPr>
        <w:t xml:space="preserve">Licenses </w:t>
      </w:r>
      <w:r>
        <w:rPr>
          <w:szCs w:val="22"/>
        </w:rPr>
        <w:t>for uses of</w:t>
      </w:r>
      <w:r w:rsidRPr="00802725">
        <w:rPr>
          <w:szCs w:val="22"/>
        </w:rPr>
        <w:t xml:space="preserve"> copyrighted works exist in various forms, from simple grants of permission for individual uses to complex and negotiated structures applicable to whole collections of works. Licenses may be granted without a fee or at a substantial cost. Licenses may be succinct and informal, or they may be extensive agreements and integrated with elaborate legalistic provisions. A license may be available </w:t>
      </w:r>
      <w:r>
        <w:rPr>
          <w:szCs w:val="22"/>
        </w:rPr>
        <w:t>to</w:t>
      </w:r>
      <w:r w:rsidRPr="00802725">
        <w:rPr>
          <w:szCs w:val="22"/>
        </w:rPr>
        <w:t xml:space="preserve"> grant to cultural institutions the permissions they may need for extensive programs, but any license is useful only if the copyright owner has been identified, and the conditions and costs are feasible. For this toolkit, the following types of licenses are most relevant:</w:t>
      </w:r>
    </w:p>
    <w:p w14:paraId="515540E5" w14:textId="77777777" w:rsidR="00C019A0" w:rsidRPr="00802725" w:rsidRDefault="00C019A0" w:rsidP="00C019A0">
      <w:pPr>
        <w:rPr>
          <w:szCs w:val="22"/>
        </w:rPr>
      </w:pPr>
    </w:p>
    <w:p w14:paraId="4EA76C3B" w14:textId="77777777" w:rsidR="00C019A0" w:rsidRDefault="00C019A0" w:rsidP="00C019A0">
      <w:pPr>
        <w:pStyle w:val="Level3"/>
        <w:numPr>
          <w:ilvl w:val="0"/>
          <w:numId w:val="25"/>
        </w:numPr>
        <w:ind w:left="357" w:hanging="357"/>
      </w:pPr>
      <w:bookmarkStart w:id="48" w:name="_Toc219210290"/>
      <w:r w:rsidRPr="00802725">
        <w:t>Access and Licensing to Libraries, Archives</w:t>
      </w:r>
      <w:r>
        <w:t>,</w:t>
      </w:r>
      <w:r w:rsidRPr="00802725">
        <w:t xml:space="preserve"> and Museums</w:t>
      </w:r>
      <w:bookmarkEnd w:id="48"/>
      <w:r w:rsidRPr="00802725">
        <w:t xml:space="preserve">  </w:t>
      </w:r>
    </w:p>
    <w:p w14:paraId="07EFE183" w14:textId="77777777" w:rsidR="00C019A0" w:rsidRDefault="00C019A0" w:rsidP="00C019A0">
      <w:pPr>
        <w:rPr>
          <w:szCs w:val="22"/>
        </w:rPr>
      </w:pPr>
    </w:p>
    <w:p w14:paraId="18AB1C69" w14:textId="77777777" w:rsidR="00C019A0" w:rsidRPr="00ED2338" w:rsidRDefault="00C019A0" w:rsidP="00C019A0">
      <w:pPr>
        <w:rPr>
          <w:szCs w:val="22"/>
        </w:rPr>
      </w:pPr>
      <w:r w:rsidRPr="00EA7C2D">
        <w:rPr>
          <w:szCs w:val="22"/>
        </w:rPr>
        <w:t xml:space="preserve">In the case of </w:t>
      </w:r>
      <w:proofErr w:type="gramStart"/>
      <w:r w:rsidRPr="00EA7C2D">
        <w:rPr>
          <w:szCs w:val="22"/>
        </w:rPr>
        <w:t>libraries,</w:t>
      </w:r>
      <w:proofErr w:type="gramEnd"/>
      <w:r w:rsidRPr="00EA7C2D">
        <w:rPr>
          <w:szCs w:val="22"/>
        </w:rPr>
        <w:t xml:space="preserve"> and museums, the grant of permissions and licenses to use a work in digital format in particular ways </w:t>
      </w:r>
      <w:proofErr w:type="gramStart"/>
      <w:r w:rsidRPr="00EA7C2D">
        <w:rPr>
          <w:szCs w:val="22"/>
        </w:rPr>
        <w:t>is</w:t>
      </w:r>
      <w:proofErr w:type="gramEnd"/>
      <w:r w:rsidRPr="00EA7C2D">
        <w:rPr>
          <w:szCs w:val="22"/>
        </w:rPr>
        <w:t xml:space="preserve"> an often and primarily used means to </w:t>
      </w:r>
      <w:proofErr w:type="gramStart"/>
      <w:r w:rsidRPr="00EA7C2D">
        <w:rPr>
          <w:szCs w:val="22"/>
        </w:rPr>
        <w:t>accessing</w:t>
      </w:r>
      <w:proofErr w:type="gramEnd"/>
      <w:r w:rsidRPr="00EA7C2D">
        <w:rPr>
          <w:szCs w:val="22"/>
        </w:rPr>
        <w:t xml:space="preserve"> copyrighted works. This is also true for archives whose primary </w:t>
      </w:r>
      <w:r w:rsidRPr="0054002E">
        <w:rPr>
          <w:szCs w:val="22"/>
        </w:rPr>
        <w:t>mission is to preserve and provide remote access to commercially produced film, video, and music collections.</w:t>
      </w:r>
      <w:r w:rsidRPr="0054002E">
        <w:rPr>
          <w:rStyle w:val="EndnoteReference"/>
          <w:szCs w:val="22"/>
        </w:rPr>
        <w:endnoteReference w:id="36"/>
      </w:r>
      <w:r w:rsidRPr="0054002E">
        <w:rPr>
          <w:szCs w:val="22"/>
        </w:rPr>
        <w:t xml:space="preserve"> In this regard, it is important to note that cultural heritage institutions may be rights owners</w:t>
      </w:r>
      <w:r w:rsidRPr="00EA7C2D">
        <w:rPr>
          <w:szCs w:val="22"/>
        </w:rPr>
        <w:t>, users</w:t>
      </w:r>
      <w:r>
        <w:rPr>
          <w:szCs w:val="22"/>
        </w:rPr>
        <w:t>,</w:t>
      </w:r>
      <w:r w:rsidRPr="00EA7C2D">
        <w:rPr>
          <w:szCs w:val="22"/>
        </w:rPr>
        <w:t xml:space="preserve"> and facilitators. Where libraries, archives, and museums do not own the copyright in the materials in their collections, which is often the case, they will, where possible, obtain a license for the right to digitize or otherwise provide access to works in collections from rightsholders or their decedents or heirs. Specifically, permissions for use may be requested where no transfer of rights or licensing has taken place, together with the sale, donation, bequest, or loan of the physical objects and materials in a collection. In other cases, licenses or permissions may be obtained as a condition of acquisition or gift. The license may also cover multiple </w:t>
      </w:r>
      <w:proofErr w:type="gramStart"/>
      <w:r w:rsidRPr="00EA7C2D">
        <w:rPr>
          <w:szCs w:val="22"/>
        </w:rPr>
        <w:t>works</w:t>
      </w:r>
      <w:proofErr w:type="gramEnd"/>
      <w:r w:rsidRPr="00EA7C2D">
        <w:rPr>
          <w:szCs w:val="22"/>
        </w:rPr>
        <w:t xml:space="preserve"> and activities, and may be exclusive, non-exclusive, or even implied. </w:t>
      </w:r>
      <w:r>
        <w:rPr>
          <w:szCs w:val="22"/>
        </w:rPr>
        <w:br/>
      </w:r>
    </w:p>
    <w:p w14:paraId="776D95FF" w14:textId="77777777" w:rsidR="00C019A0" w:rsidRDefault="00C019A0" w:rsidP="00C019A0">
      <w:pPr>
        <w:pStyle w:val="Level3"/>
      </w:pPr>
      <w:bookmarkStart w:id="49" w:name="_Toc219210291"/>
      <w:r w:rsidRPr="00802725">
        <w:t>Access and Licensing to Patrons and Researchers</w:t>
      </w:r>
      <w:bookmarkEnd w:id="49"/>
      <w:r w:rsidRPr="00802725">
        <w:t xml:space="preserve"> </w:t>
      </w:r>
    </w:p>
    <w:p w14:paraId="42205E22" w14:textId="77777777" w:rsidR="00C019A0" w:rsidRDefault="00C019A0" w:rsidP="00C019A0">
      <w:pPr>
        <w:rPr>
          <w:szCs w:val="22"/>
        </w:rPr>
      </w:pPr>
    </w:p>
    <w:p w14:paraId="6EC819FD" w14:textId="77777777" w:rsidR="00C019A0" w:rsidRPr="004D7B9D" w:rsidRDefault="00C019A0" w:rsidP="00C019A0">
      <w:pPr>
        <w:rPr>
          <w:szCs w:val="22"/>
        </w:rPr>
      </w:pPr>
      <w:r w:rsidRPr="00EA7C2D">
        <w:rPr>
          <w:szCs w:val="22"/>
        </w:rPr>
        <w:t>The use of public licenses to facilitate remote access to digital copies of works in a collection for their patrons’ use (e.g. Creative Commons licenses and open licensing) is another option. The Open Glam</w:t>
      </w:r>
      <w:r w:rsidRPr="00802725">
        <w:rPr>
          <w:vertAlign w:val="superscript"/>
        </w:rPr>
        <w:endnoteReference w:id="37"/>
      </w:r>
      <w:r w:rsidRPr="00EA7C2D">
        <w:rPr>
          <w:szCs w:val="22"/>
        </w:rPr>
        <w:t xml:space="preserve"> project supported by Creative Commons (Open Culture), which seeks to enable access and the re-use of digital cultural heritage where the rights are owned by the cultural heritage institution, is a case in point. Cultural heritage institutions can release digital content using standard open licenses so long as the underlying materials or objects are in the public domain, where they hold the rights, where they have obtained the rights to do so from the rights holder, or when exceptions, fair use or fair dealing may permit such access activities.</w:t>
      </w:r>
      <w:r>
        <w:rPr>
          <w:szCs w:val="22"/>
        </w:rPr>
        <w:t xml:space="preserve"> </w:t>
      </w:r>
      <w:r w:rsidRPr="00EA7C2D">
        <w:rPr>
          <w:szCs w:val="22"/>
        </w:rPr>
        <w:t>Consequently, libraries, archives, and museums are increasingly becoming more committed to using open access licensing tools to fulfil their duty of care to provide access to the public. This often takes the form of an Open Access Policy with the terms of use posted on institutional websites.</w:t>
      </w:r>
      <w:r w:rsidRPr="00802725">
        <w:rPr>
          <w:vertAlign w:val="superscript"/>
        </w:rPr>
        <w:endnoteReference w:id="38"/>
      </w:r>
      <w:r w:rsidRPr="00EA7C2D">
        <w:rPr>
          <w:szCs w:val="22"/>
        </w:rPr>
        <w:t xml:space="preserve"> Such policies and terms of use often outline the parameters for accessing and using works in the collections</w:t>
      </w:r>
      <w:r w:rsidRPr="00EA7C2D">
        <w:rPr>
          <w:color w:val="222222"/>
          <w:szCs w:val="22"/>
          <w:highlight w:val="white"/>
        </w:rPr>
        <w:t>.</w:t>
      </w:r>
      <w:r w:rsidRPr="00EA7C2D">
        <w:rPr>
          <w:i/>
          <w:szCs w:val="22"/>
        </w:rPr>
        <w:t xml:space="preserve"> </w:t>
      </w:r>
      <w:r>
        <w:rPr>
          <w:szCs w:val="22"/>
        </w:rPr>
        <w:br/>
      </w:r>
    </w:p>
    <w:p w14:paraId="0D99DE5F" w14:textId="77777777" w:rsidR="00C019A0" w:rsidRPr="00EB78CD" w:rsidRDefault="00C019A0" w:rsidP="00C019A0">
      <w:pPr>
        <w:pStyle w:val="Level3"/>
      </w:pPr>
      <w:bookmarkStart w:id="50" w:name="_Toc219210292"/>
      <w:r w:rsidRPr="0039629D">
        <w:t>Access and Collective Licensing</w:t>
      </w:r>
      <w:bookmarkEnd w:id="50"/>
      <w:r w:rsidRPr="0039629D">
        <w:t xml:space="preserve">  </w:t>
      </w:r>
      <w:bookmarkStart w:id="51" w:name="_3dy6vkm" w:colFirst="0" w:colLast="0"/>
      <w:bookmarkEnd w:id="51"/>
    </w:p>
    <w:p w14:paraId="62F4A5DF" w14:textId="77777777" w:rsidR="00C019A0" w:rsidRDefault="00C019A0" w:rsidP="00C019A0">
      <w:pPr>
        <w:rPr>
          <w:szCs w:val="22"/>
        </w:rPr>
      </w:pPr>
    </w:p>
    <w:p w14:paraId="5E8C412A" w14:textId="77777777" w:rsidR="00C019A0" w:rsidRDefault="00C019A0" w:rsidP="00C019A0">
      <w:pPr>
        <w:rPr>
          <w:szCs w:val="22"/>
        </w:rPr>
      </w:pPr>
      <w:r w:rsidRPr="00EB78CD">
        <w:rPr>
          <w:szCs w:val="22"/>
        </w:rPr>
        <w:t xml:space="preserve">While transactional or case-by-case licensing is more prevalent in the cultural heritage ecosystem, collective licensing through collective management organizations (CMOs) plays a role in certain situations. This is the case where there is a need to clear rights and agree on terms and conditions, but pursuing licenses for </w:t>
      </w:r>
      <w:proofErr w:type="gramStart"/>
      <w:r w:rsidRPr="00EB78CD">
        <w:rPr>
          <w:szCs w:val="22"/>
        </w:rPr>
        <w:t>a large number of</w:t>
      </w:r>
      <w:proofErr w:type="gramEnd"/>
      <w:r w:rsidRPr="00EB78CD">
        <w:rPr>
          <w:szCs w:val="22"/>
        </w:rPr>
        <w:t xml:space="preserve"> individual transactions is not efficient or practical.</w:t>
      </w:r>
      <w:r>
        <w:rPr>
          <w:szCs w:val="22"/>
        </w:rPr>
        <w:t xml:space="preserve"> </w:t>
      </w:r>
      <w:r w:rsidRPr="006B1F6A">
        <w:rPr>
          <w:szCs w:val="22"/>
        </w:rPr>
        <w:t>Licensing options, including</w:t>
      </w:r>
      <w:r w:rsidRPr="00EB78CD">
        <w:rPr>
          <w:szCs w:val="22"/>
        </w:rPr>
        <w:t xml:space="preserve"> </w:t>
      </w:r>
      <w:r w:rsidRPr="006B1F6A">
        <w:rPr>
          <w:szCs w:val="22"/>
        </w:rPr>
        <w:t>e</w:t>
      </w:r>
      <w:r w:rsidRPr="00EB78CD">
        <w:rPr>
          <w:szCs w:val="22"/>
        </w:rPr>
        <w:t>xtended collective licensing</w:t>
      </w:r>
      <w:r>
        <w:rPr>
          <w:szCs w:val="22"/>
        </w:rPr>
        <w:t>,</w:t>
      </w:r>
      <w:r w:rsidRPr="00EB78CD">
        <w:rPr>
          <w:szCs w:val="22"/>
        </w:rPr>
        <w:t xml:space="preserve"> allows for a degree of certainty that for prescribed uses by cultural heritage institutions, and for works represented in a CMO repertoire, access to the entire repertoire is guaranteed for the duration of the license. Collective license solutions, whether voluntary, voluntary with support mechanisms, or legal licenses</w:t>
      </w:r>
      <w:r>
        <w:rPr>
          <w:szCs w:val="22"/>
        </w:rPr>
        <w:t>, as identified in relevant WIPO publications</w:t>
      </w:r>
      <w:r>
        <w:rPr>
          <w:rStyle w:val="EndnoteReference"/>
          <w:szCs w:val="22"/>
        </w:rPr>
        <w:endnoteReference w:id="39"/>
      </w:r>
      <w:r w:rsidRPr="00EB78CD">
        <w:rPr>
          <w:szCs w:val="22"/>
        </w:rPr>
        <w:t xml:space="preserve"> can facilitate access. For instance, legal techniques like extended collective licenses (ECL),</w:t>
      </w:r>
      <w:r>
        <w:rPr>
          <w:szCs w:val="22"/>
        </w:rPr>
        <w:t xml:space="preserve"> </w:t>
      </w:r>
      <w:r w:rsidRPr="00EB78CD">
        <w:rPr>
          <w:szCs w:val="22"/>
          <w:lang w:val="en-GB"/>
        </w:rPr>
        <w:t xml:space="preserve">extending the effects of a copyright license to also cover the works of non-represented rights holders, or legal presumption of representation, where a representative CMO is presumed to represent the interests and rights of both member and non-member rights holders, </w:t>
      </w:r>
      <w:r w:rsidRPr="00EB78CD">
        <w:rPr>
          <w:szCs w:val="22"/>
        </w:rPr>
        <w:t>are entered into in certain jurisdictions, by cultural heritage institutions, for specific types of works, uses and formats.</w:t>
      </w:r>
      <w:r>
        <w:rPr>
          <w:rStyle w:val="EndnoteReference"/>
          <w:szCs w:val="22"/>
        </w:rPr>
        <w:endnoteReference w:id="40"/>
      </w:r>
      <w:r w:rsidRPr="00EB78CD">
        <w:rPr>
          <w:szCs w:val="22"/>
        </w:rPr>
        <w:t xml:space="preserve"> </w:t>
      </w:r>
    </w:p>
    <w:p w14:paraId="45ACCA57" w14:textId="77777777" w:rsidR="00C019A0" w:rsidRDefault="00C019A0" w:rsidP="00C019A0">
      <w:pPr>
        <w:rPr>
          <w:szCs w:val="22"/>
        </w:rPr>
      </w:pPr>
    </w:p>
    <w:p w14:paraId="10DB3C88" w14:textId="77777777" w:rsidR="00C019A0" w:rsidRDefault="00C019A0" w:rsidP="00C019A0">
      <w:pPr>
        <w:rPr>
          <w:szCs w:val="22"/>
        </w:rPr>
      </w:pPr>
      <w:r w:rsidRPr="00EB78CD">
        <w:rPr>
          <w:szCs w:val="22"/>
        </w:rPr>
        <w:t>Terms and conditions of use can be beneficial for heritage institutions and rightsholders. In jurisdictions where</w:t>
      </w:r>
      <w:r>
        <w:rPr>
          <w:szCs w:val="22"/>
        </w:rPr>
        <w:t xml:space="preserve"> </w:t>
      </w:r>
      <w:r w:rsidRPr="00EB78CD">
        <w:rPr>
          <w:szCs w:val="22"/>
        </w:rPr>
        <w:t xml:space="preserve">the law provides for mandatory collective licensing, lawmakers and policymakers may rely on prescribed terms and conditions of use (developed in consultation with relevant stakeholders) and expect that the CMOs will implement such provisions through standardized statutory or compulsory licenses. Alternatively, the negotiation of terms and conditions may by statute be left to the CMOs within the framework of the dimensions of access outlined in Part II.  </w:t>
      </w:r>
    </w:p>
    <w:p w14:paraId="45ADE77A" w14:textId="77777777" w:rsidR="00C019A0" w:rsidRPr="00EB78CD" w:rsidRDefault="00C019A0" w:rsidP="00C019A0">
      <w:pPr>
        <w:rPr>
          <w:szCs w:val="22"/>
        </w:rPr>
      </w:pPr>
    </w:p>
    <w:p w14:paraId="3B960465" w14:textId="77777777" w:rsidR="00C019A0" w:rsidRPr="00FD1DAB" w:rsidRDefault="00C019A0" w:rsidP="00C019A0">
      <w:pPr>
        <w:rPr>
          <w:szCs w:val="22"/>
        </w:rPr>
      </w:pPr>
      <w:r w:rsidRPr="00FD1DAB">
        <w:rPr>
          <w:szCs w:val="22"/>
        </w:rPr>
        <w:t xml:space="preserve">CMOs can also be relied upon in the grant of </w:t>
      </w:r>
      <w:r w:rsidRPr="00FD1DAB">
        <w:rPr>
          <w:i/>
          <w:szCs w:val="22"/>
        </w:rPr>
        <w:t>ad hoc</w:t>
      </w:r>
      <w:r w:rsidRPr="00FD1DAB">
        <w:rPr>
          <w:szCs w:val="22"/>
        </w:rPr>
        <w:t xml:space="preserve"> commercial licenses, where the cultural heritage institution does not own copyright and where cross-border licensing is involved (due to the reciprocal arrangements that they have with similar entities in other parts of the world). CMOs also become relevant when authorization is required to access materials that were digitized for preservation purposes.</w:t>
      </w:r>
      <w:r w:rsidRPr="00802725">
        <w:rPr>
          <w:vertAlign w:val="superscript"/>
        </w:rPr>
        <w:endnoteReference w:id="41"/>
      </w:r>
      <w:r w:rsidRPr="00FD1DAB">
        <w:rPr>
          <w:szCs w:val="22"/>
        </w:rPr>
        <w:t xml:space="preserve"> As stated in Part II, one of the purposes of access may be to generate revenue for the heritage institution as a means of cost-recovery for mission-driven activities. This would be the case where the institution concerned owns the copyright in the material concerned. Because of their competence and experience in license negotiation, CMOs may be mandated to negotiate such licenses.</w:t>
      </w:r>
      <w:r>
        <w:rPr>
          <w:rStyle w:val="EndnoteReference"/>
          <w:szCs w:val="22"/>
        </w:rPr>
        <w:endnoteReference w:id="42"/>
      </w:r>
    </w:p>
    <w:p w14:paraId="05335EB4" w14:textId="77777777" w:rsidR="00C019A0" w:rsidRDefault="00C019A0" w:rsidP="00C019A0">
      <w:pPr>
        <w:rPr>
          <w:szCs w:val="22"/>
        </w:rPr>
      </w:pPr>
    </w:p>
    <w:p w14:paraId="1EC4C1DC" w14:textId="77777777" w:rsidR="00C019A0" w:rsidRPr="00C20871" w:rsidRDefault="00C019A0" w:rsidP="00C019A0">
      <w:pPr>
        <w:pStyle w:val="Level2"/>
      </w:pPr>
      <w:bookmarkStart w:id="52" w:name="_Toc219210293"/>
      <w:r w:rsidRPr="00C20871">
        <w:t xml:space="preserve">Access and the Mitigation of </w:t>
      </w:r>
      <w:r>
        <w:t xml:space="preserve">Possible Liability </w:t>
      </w:r>
      <w:r w:rsidRPr="00C20871">
        <w:t>Risk</w:t>
      </w:r>
      <w:r>
        <w:t>s</w:t>
      </w:r>
      <w:bookmarkEnd w:id="52"/>
    </w:p>
    <w:p w14:paraId="7D4DDDAD" w14:textId="77777777" w:rsidR="00C019A0" w:rsidRDefault="00C019A0" w:rsidP="00C019A0">
      <w:pPr>
        <w:spacing w:line="0" w:lineRule="atLeast"/>
        <w:rPr>
          <w:rFonts w:eastAsia="Times New Roman"/>
          <w:color w:val="000000"/>
          <w:szCs w:val="22"/>
        </w:rPr>
      </w:pPr>
    </w:p>
    <w:p w14:paraId="2F3E1E00" w14:textId="77777777" w:rsidR="00C019A0" w:rsidRDefault="00C019A0" w:rsidP="00C019A0">
      <w:pPr>
        <w:spacing w:line="0" w:lineRule="atLeast"/>
        <w:rPr>
          <w:rFonts w:eastAsia="Times New Roman"/>
          <w:color w:val="000000"/>
          <w:szCs w:val="22"/>
        </w:rPr>
      </w:pPr>
      <w:r w:rsidRPr="000A7179">
        <w:rPr>
          <w:rFonts w:eastAsia="Times New Roman"/>
          <w:color w:val="000000"/>
          <w:szCs w:val="22"/>
        </w:rPr>
        <w:t>Lawmakers in some Member States have enacted provisions that can have the effect of reducing exposure to infringement liability that can result from the mission-driven activities of cultural heritage institutions. Professionals working in cultural heritage institutions may also benefit from the following approaches that could, if assessed in the context of copyright laws governing their own jurisdictions, mitigate risk.</w:t>
      </w:r>
    </w:p>
    <w:p w14:paraId="7D11AC0E" w14:textId="77777777" w:rsidR="00C019A0" w:rsidRPr="00D65F29" w:rsidRDefault="00C019A0" w:rsidP="00C019A0">
      <w:pPr>
        <w:spacing w:line="0" w:lineRule="atLeast"/>
        <w:rPr>
          <w:rFonts w:eastAsia="Times New Roman"/>
          <w:color w:val="000000"/>
          <w:szCs w:val="22"/>
        </w:rPr>
      </w:pPr>
    </w:p>
    <w:p w14:paraId="2A028EEC" w14:textId="77777777" w:rsidR="00C019A0" w:rsidRPr="005D5285" w:rsidRDefault="00C019A0" w:rsidP="00C019A0">
      <w:pPr>
        <w:pStyle w:val="Level3"/>
        <w:numPr>
          <w:ilvl w:val="0"/>
          <w:numId w:val="26"/>
        </w:numPr>
        <w:ind w:left="357" w:hanging="357"/>
      </w:pPr>
      <w:bookmarkStart w:id="53" w:name="_Toc219210294"/>
      <w:r w:rsidRPr="005D5285">
        <w:t>The Use of Technological Protection Measures</w:t>
      </w:r>
      <w:bookmarkEnd w:id="53"/>
      <w:r w:rsidRPr="005D5285">
        <w:t xml:space="preserve">  </w:t>
      </w:r>
    </w:p>
    <w:p w14:paraId="3F31B4B3" w14:textId="77777777" w:rsidR="00C019A0" w:rsidRPr="005D5285" w:rsidRDefault="00C019A0" w:rsidP="00C019A0">
      <w:pPr>
        <w:spacing w:line="0" w:lineRule="atLeast"/>
        <w:rPr>
          <w:rFonts w:eastAsia="Times New Roman"/>
          <w:color w:val="000000"/>
          <w:szCs w:val="22"/>
        </w:rPr>
      </w:pPr>
    </w:p>
    <w:p w14:paraId="70EDFD02" w14:textId="77777777" w:rsidR="00C019A0" w:rsidRPr="000A7179" w:rsidRDefault="00C019A0" w:rsidP="00C019A0">
      <w:pPr>
        <w:spacing w:line="0" w:lineRule="atLeast"/>
        <w:rPr>
          <w:rFonts w:eastAsia="Times New Roman"/>
          <w:color w:val="000000"/>
          <w:szCs w:val="22"/>
        </w:rPr>
      </w:pPr>
      <w:r w:rsidRPr="000A7179">
        <w:rPr>
          <w:rFonts w:eastAsia="Times New Roman"/>
          <w:color w:val="000000"/>
          <w:szCs w:val="22"/>
        </w:rPr>
        <w:t xml:space="preserve">Cultural heritage </w:t>
      </w:r>
      <w:r>
        <w:rPr>
          <w:rFonts w:eastAsia="Times New Roman"/>
          <w:color w:val="000000"/>
          <w:szCs w:val="22"/>
        </w:rPr>
        <w:t>i</w:t>
      </w:r>
      <w:r w:rsidRPr="000A7179">
        <w:rPr>
          <w:rFonts w:eastAsia="Times New Roman"/>
          <w:color w:val="000000"/>
          <w:szCs w:val="22"/>
        </w:rPr>
        <w:t xml:space="preserve">nstitutions have long rejected the use of technological protection measures (TPMs) as means of reducing </w:t>
      </w:r>
      <w:r>
        <w:rPr>
          <w:rFonts w:eastAsia="Times New Roman"/>
          <w:color w:val="000000"/>
          <w:szCs w:val="22"/>
        </w:rPr>
        <w:t xml:space="preserve">possible </w:t>
      </w:r>
      <w:r w:rsidRPr="000A7179">
        <w:rPr>
          <w:rFonts w:eastAsia="Times New Roman"/>
          <w:color w:val="000000"/>
          <w:szCs w:val="22"/>
        </w:rPr>
        <w:t xml:space="preserve">risk. Notwithstanding, certain cultural heritage institutions have begun to use them in circumstances where their uses satisfy rights holders that </w:t>
      </w:r>
      <w:r>
        <w:rPr>
          <w:rFonts w:eastAsia="Times New Roman"/>
          <w:color w:val="000000"/>
          <w:szCs w:val="22"/>
        </w:rPr>
        <w:t xml:space="preserve">possible </w:t>
      </w:r>
      <w:r w:rsidRPr="000A7179">
        <w:rPr>
          <w:rFonts w:eastAsia="Times New Roman"/>
          <w:color w:val="000000"/>
          <w:szCs w:val="22"/>
        </w:rPr>
        <w:t>risks of commercial exploitation will be reduced to enable them to provide permission for remote access to their copyright-protected works found in library, archive, and museum collections</w:t>
      </w:r>
      <w:r>
        <w:rPr>
          <w:rFonts w:eastAsia="Times New Roman"/>
          <w:color w:val="000000"/>
          <w:szCs w:val="22"/>
        </w:rPr>
        <w:t>.</w:t>
      </w:r>
    </w:p>
    <w:p w14:paraId="75102897" w14:textId="77777777" w:rsidR="00C019A0" w:rsidRDefault="00C019A0" w:rsidP="00C019A0">
      <w:pPr>
        <w:rPr>
          <w:szCs w:val="22"/>
        </w:rPr>
      </w:pPr>
    </w:p>
    <w:p w14:paraId="2D48DD00" w14:textId="77777777" w:rsidR="002262EC" w:rsidRDefault="002262EC" w:rsidP="00C019A0">
      <w:pPr>
        <w:rPr>
          <w:szCs w:val="22"/>
        </w:rPr>
      </w:pPr>
    </w:p>
    <w:tbl>
      <w:tblPr>
        <w:tblStyle w:val="TableGrid"/>
        <w:tblW w:w="0" w:type="auto"/>
        <w:tblInd w:w="421" w:type="dxa"/>
        <w:tblLook w:val="04A0" w:firstRow="1" w:lastRow="0" w:firstColumn="1" w:lastColumn="0" w:noHBand="0" w:noVBand="1"/>
      </w:tblPr>
      <w:tblGrid>
        <w:gridCol w:w="8924"/>
      </w:tblGrid>
      <w:tr w:rsidR="00C019A0" w14:paraId="6D8F4C90" w14:textId="77777777" w:rsidTr="008069EB">
        <w:tc>
          <w:tcPr>
            <w:tcW w:w="8929" w:type="dxa"/>
          </w:tcPr>
          <w:p w14:paraId="07F2143B" w14:textId="77777777" w:rsidR="00C019A0" w:rsidRPr="00DD39CD" w:rsidRDefault="00C019A0" w:rsidP="008069EB">
            <w:r w:rsidRPr="00DD3256">
              <w:rPr>
                <w:u w:val="single"/>
              </w:rPr>
              <w:t>Example of Using Technology to Regulate Access</w:t>
            </w:r>
            <w:r>
              <w:t>:</w:t>
            </w:r>
          </w:p>
          <w:p w14:paraId="6CFEDA25" w14:textId="77777777" w:rsidR="00C019A0" w:rsidRPr="00802725" w:rsidRDefault="00C019A0" w:rsidP="008069EB"/>
          <w:p w14:paraId="0803BEEC" w14:textId="79916F93" w:rsidR="00C019A0" w:rsidRPr="00802725" w:rsidRDefault="00C019A0" w:rsidP="008069EB">
            <w:hyperlink r:id="rId14" w:history="1">
              <w:r w:rsidRPr="00AB1BD7">
                <w:t>Certain</w:t>
              </w:r>
            </w:hyperlink>
            <w:r w:rsidRPr="00B8352C">
              <w:t xml:space="preserve"> museum and archival organizations in the United </w:t>
            </w:r>
            <w:r w:rsidRPr="0054002E">
              <w:t>States,</w:t>
            </w:r>
            <w:r w:rsidRPr="00737D7F">
              <w:rPr>
                <w:vertAlign w:val="superscript"/>
              </w:rPr>
              <w:endnoteReference w:id="43"/>
            </w:r>
            <w:r w:rsidRPr="0054002E">
              <w:t xml:space="preserve"> employ</w:t>
            </w:r>
            <w:r w:rsidRPr="00AB1BD7">
              <w:t xml:space="preserve"> digital audio watermarking on audio recordings that </w:t>
            </w:r>
            <w:r>
              <w:t xml:space="preserve">are streamed </w:t>
            </w:r>
            <w:r w:rsidRPr="00AB1BD7">
              <w:t>remotely from their website. They</w:t>
            </w:r>
            <w:r>
              <w:t xml:space="preserve"> also provide certain terms and limitations, such as restrictions on use, in the form of online terms of use </w:t>
            </w:r>
            <w:proofErr w:type="gramStart"/>
            <w:r>
              <w:t>through the use of</w:t>
            </w:r>
            <w:proofErr w:type="gramEnd"/>
            <w:r>
              <w:t xml:space="preserve"> click through agreements. </w:t>
            </w:r>
            <w:r w:rsidRPr="00802725">
              <w:t>This</w:t>
            </w:r>
            <w:r>
              <w:t xml:space="preserve"> approach</w:t>
            </w:r>
            <w:r w:rsidRPr="00802725">
              <w:t xml:space="preserve"> </w:t>
            </w:r>
            <w:r>
              <w:t xml:space="preserve">may mitigate risk sufficiently to </w:t>
            </w:r>
            <w:r w:rsidRPr="00802725">
              <w:t xml:space="preserve">enable </w:t>
            </w:r>
            <w:r>
              <w:t xml:space="preserve">the museum or archival organization </w:t>
            </w:r>
            <w:r w:rsidRPr="00802725">
              <w:t xml:space="preserve">to stream </w:t>
            </w:r>
            <w:r>
              <w:t>works</w:t>
            </w:r>
            <w:r w:rsidRPr="00802725">
              <w:t xml:space="preserve"> for noncommercial use</w:t>
            </w:r>
            <w:r>
              <w:t>s</w:t>
            </w:r>
            <w:r w:rsidRPr="00802725">
              <w:t xml:space="preserve">. </w:t>
            </w:r>
            <w:r>
              <w:t>Recent developments in digital audio watermarking may also enable the embedding of silent watermarking where data is embedded into the track to allow for enhanced security and meta-tagging, a feature that may prove particularly important in the age of AI. Thus, digital audio watermarking, coupled with terms and conditions of use more fully described above, may play a useful role in enabling access to audio tracks while mitigating the potential for unauthorized reproduction and distribution for commercial purposes.</w:t>
            </w:r>
          </w:p>
          <w:p w14:paraId="12C0126B" w14:textId="77777777" w:rsidR="00C019A0" w:rsidRDefault="00C019A0" w:rsidP="008069EB"/>
        </w:tc>
      </w:tr>
    </w:tbl>
    <w:p w14:paraId="2D792B45" w14:textId="77777777" w:rsidR="00C019A0" w:rsidRPr="00802725" w:rsidRDefault="00C019A0" w:rsidP="00C019A0">
      <w:pPr>
        <w:pStyle w:val="ListParagraph"/>
        <w:spacing w:after="0"/>
        <w:ind w:left="360"/>
        <w:rPr>
          <w:rFonts w:ascii="Arial" w:hAnsi="Arial" w:cs="Arial"/>
          <w:sz w:val="22"/>
          <w:szCs w:val="22"/>
        </w:rPr>
      </w:pPr>
    </w:p>
    <w:p w14:paraId="1C7DD2C1" w14:textId="77777777" w:rsidR="00C019A0" w:rsidRDefault="00C019A0" w:rsidP="00C019A0">
      <w:pPr>
        <w:pStyle w:val="Level3"/>
      </w:pPr>
      <w:bookmarkStart w:id="54" w:name="_Toc219210295"/>
      <w:r w:rsidRPr="00802725">
        <w:t>Access and the “Virtual Reading Room”</w:t>
      </w:r>
      <w:bookmarkEnd w:id="54"/>
    </w:p>
    <w:p w14:paraId="220B040A" w14:textId="77777777" w:rsidR="00C019A0" w:rsidRDefault="00C019A0" w:rsidP="00C019A0">
      <w:pPr>
        <w:rPr>
          <w:szCs w:val="22"/>
        </w:rPr>
      </w:pPr>
    </w:p>
    <w:p w14:paraId="1BA6C9E1" w14:textId="77777777" w:rsidR="00C019A0" w:rsidRDefault="00C019A0" w:rsidP="00C019A0">
      <w:pPr>
        <w:rPr>
          <w:szCs w:val="22"/>
        </w:rPr>
      </w:pPr>
      <w:r>
        <w:rPr>
          <w:szCs w:val="22"/>
        </w:rPr>
        <w:t xml:space="preserve">Access conditions have long been employed by libraries and archives when patrons wish to access rare and unique materials. The purpose of the “Virtual Reading Room” approach is to mirror existing standards of onsite access to the online environment. It does so by employing online registration requirements and click-through agreements that bind the library or archive’s patron to terms and conditions of access. A click-through agreement </w:t>
      </w:r>
      <w:r w:rsidRPr="00EA7C2D">
        <w:rPr>
          <w:szCs w:val="22"/>
        </w:rPr>
        <w:t xml:space="preserve">can </w:t>
      </w:r>
      <w:r>
        <w:rPr>
          <w:szCs w:val="22"/>
        </w:rPr>
        <w:t xml:space="preserve">also </w:t>
      </w:r>
      <w:r w:rsidRPr="00EA7C2D">
        <w:rPr>
          <w:szCs w:val="22"/>
        </w:rPr>
        <w:t>include express statements requiring the patron</w:t>
      </w:r>
      <w:r>
        <w:rPr>
          <w:szCs w:val="22"/>
        </w:rPr>
        <w:t>,</w:t>
      </w:r>
      <w:r w:rsidRPr="00EA7C2D">
        <w:rPr>
          <w:szCs w:val="22"/>
        </w:rPr>
        <w:t xml:space="preserve"> accessing the copyright-protected digital work</w:t>
      </w:r>
      <w:r>
        <w:rPr>
          <w:szCs w:val="22"/>
        </w:rPr>
        <w:t>,</w:t>
      </w:r>
      <w:r w:rsidRPr="00EA7C2D">
        <w:rPr>
          <w:szCs w:val="22"/>
        </w:rPr>
        <w:t xml:space="preserve"> to only use the work for prescribed purposes, such as personal use</w:t>
      </w:r>
      <w:r>
        <w:rPr>
          <w:szCs w:val="22"/>
        </w:rPr>
        <w:t xml:space="preserve"> or</w:t>
      </w:r>
      <w:r w:rsidRPr="00EA7C2D">
        <w:rPr>
          <w:szCs w:val="22"/>
        </w:rPr>
        <w:t xml:space="preserve"> research</w:t>
      </w:r>
      <w:r>
        <w:rPr>
          <w:szCs w:val="22"/>
        </w:rPr>
        <w:t>,</w:t>
      </w:r>
      <w:r w:rsidRPr="00EA7C2D">
        <w:rPr>
          <w:szCs w:val="22"/>
        </w:rPr>
        <w:t xml:space="preserve"> or</w:t>
      </w:r>
      <w:r>
        <w:rPr>
          <w:szCs w:val="22"/>
        </w:rPr>
        <w:t xml:space="preserve"> to</w:t>
      </w:r>
      <w:r w:rsidRPr="00EA7C2D">
        <w:rPr>
          <w:szCs w:val="22"/>
        </w:rPr>
        <w:t xml:space="preserve"> limit any downstream third-party distribution. </w:t>
      </w:r>
      <w:r>
        <w:rPr>
          <w:szCs w:val="22"/>
        </w:rPr>
        <w:t xml:space="preserve">In addition, a library, archive or museum, employing this access tool may also choose to restrict access further by limiting it to a </w:t>
      </w:r>
      <w:r w:rsidRPr="00EA7C2D">
        <w:rPr>
          <w:szCs w:val="22"/>
        </w:rPr>
        <w:t>prescribed user group that</w:t>
      </w:r>
      <w:r>
        <w:rPr>
          <w:szCs w:val="22"/>
        </w:rPr>
        <w:t xml:space="preserve"> </w:t>
      </w:r>
      <w:r w:rsidRPr="00EA7C2D">
        <w:rPr>
          <w:szCs w:val="22"/>
        </w:rPr>
        <w:t>has</w:t>
      </w:r>
      <w:r>
        <w:rPr>
          <w:szCs w:val="22"/>
        </w:rPr>
        <w:t xml:space="preserve"> registered for </w:t>
      </w:r>
      <w:r w:rsidRPr="00EA7C2D">
        <w:rPr>
          <w:szCs w:val="22"/>
        </w:rPr>
        <w:t xml:space="preserve">login credentials. </w:t>
      </w:r>
      <w:r>
        <w:rPr>
          <w:szCs w:val="22"/>
        </w:rPr>
        <w:t>In addition, the library, archive or museum employing this access tool may choose to disable downloads as a further</w:t>
      </w:r>
      <w:r w:rsidRPr="00EA7C2D">
        <w:rPr>
          <w:szCs w:val="22"/>
        </w:rPr>
        <w:t xml:space="preserve"> mitigation</w:t>
      </w:r>
      <w:r>
        <w:rPr>
          <w:szCs w:val="22"/>
        </w:rPr>
        <w:t xml:space="preserve"> technique. Finally, the library, archive or museum may also choose to couple this access approach with </w:t>
      </w:r>
      <w:r w:rsidRPr="00EA7C2D">
        <w:rPr>
          <w:szCs w:val="22"/>
        </w:rPr>
        <w:t xml:space="preserve">the use of TPMs, </w:t>
      </w:r>
      <w:r>
        <w:rPr>
          <w:szCs w:val="22"/>
        </w:rPr>
        <w:t xml:space="preserve">discussed above, as a means of employing additional techniques to mitigate possible risks. </w:t>
      </w:r>
    </w:p>
    <w:p w14:paraId="689B72D6" w14:textId="77777777" w:rsidR="00C019A0" w:rsidRDefault="00C019A0" w:rsidP="00C019A0">
      <w:pPr>
        <w:rPr>
          <w:szCs w:val="22"/>
        </w:rPr>
      </w:pPr>
    </w:p>
    <w:tbl>
      <w:tblPr>
        <w:tblStyle w:val="TableGrid"/>
        <w:tblW w:w="0" w:type="auto"/>
        <w:tblInd w:w="421" w:type="dxa"/>
        <w:tblLook w:val="04A0" w:firstRow="1" w:lastRow="0" w:firstColumn="1" w:lastColumn="0" w:noHBand="0" w:noVBand="1"/>
      </w:tblPr>
      <w:tblGrid>
        <w:gridCol w:w="8924"/>
      </w:tblGrid>
      <w:tr w:rsidR="00C019A0" w14:paraId="55A55BC5" w14:textId="77777777" w:rsidTr="008069EB">
        <w:tc>
          <w:tcPr>
            <w:tcW w:w="8929" w:type="dxa"/>
          </w:tcPr>
          <w:p w14:paraId="2E915B21" w14:textId="77777777" w:rsidR="00C019A0" w:rsidRPr="005E2B47" w:rsidRDefault="00C019A0" w:rsidP="008069EB">
            <w:pPr>
              <w:contextualSpacing/>
            </w:pPr>
            <w:r w:rsidRPr="00DD3256">
              <w:rPr>
                <w:u w:val="single"/>
              </w:rPr>
              <w:t>Example of a Specialized Archive</w:t>
            </w:r>
            <w:r>
              <w:t>:</w:t>
            </w:r>
            <w:r w:rsidRPr="005E2B47">
              <w:br/>
            </w:r>
            <w:r w:rsidRPr="005E2B47">
              <w:br/>
            </w:r>
            <w:r w:rsidRPr="00AB1BD7">
              <w:t>Certain television news archives</w:t>
            </w:r>
            <w:r>
              <w:t xml:space="preserve"> such as the Vanderbilt Television and News Archive</w:t>
            </w:r>
            <w:r w:rsidRPr="00AB1BD7">
              <w:rPr>
                <w:rStyle w:val="EndnoteReference"/>
              </w:rPr>
              <w:endnoteReference w:id="44"/>
            </w:r>
            <w:r>
              <w:t xml:space="preserve"> at Vanderbilt University Library</w:t>
            </w:r>
            <w:r w:rsidRPr="00AB1BD7">
              <w:t>, have recorded major news broadcasts in the United States since 1968</w:t>
            </w:r>
            <w:r>
              <w:t xml:space="preserve"> </w:t>
            </w:r>
            <w:proofErr w:type="gramStart"/>
            <w:r>
              <w:t>as a way to</w:t>
            </w:r>
            <w:proofErr w:type="gramEnd"/>
            <w:r>
              <w:t xml:space="preserve"> preserve them for future generations and to provide access to the preserved broadcasts for research purposes.</w:t>
            </w:r>
            <w:r w:rsidRPr="00AB1BD7">
              <w:t xml:space="preserve"> </w:t>
            </w:r>
            <w:proofErr w:type="gramStart"/>
            <w:r>
              <w:t>In order to</w:t>
            </w:r>
            <w:proofErr w:type="gramEnd"/>
            <w:r>
              <w:t xml:space="preserve"> access their collection of news broadcasts, they require libraries and archives to maintain an affiliation with them on specific access terms and conditions. In this manner, they </w:t>
            </w:r>
            <w:proofErr w:type="gramStart"/>
            <w:r>
              <w:t>are able to</w:t>
            </w:r>
            <w:proofErr w:type="gramEnd"/>
            <w:r>
              <w:t xml:space="preserve"> </w:t>
            </w:r>
            <w:r w:rsidRPr="005E2B47">
              <w:t>offer extensive access to the</w:t>
            </w:r>
            <w:r>
              <w:t>ir</w:t>
            </w:r>
            <w:r w:rsidRPr="005E2B47">
              <w:t xml:space="preserve"> </w:t>
            </w:r>
            <w:r>
              <w:t xml:space="preserve">news </w:t>
            </w:r>
            <w:r w:rsidRPr="005E2B47">
              <w:t>collection for scholarly and research purposes within the bounds of copyright restrictions to</w:t>
            </w:r>
            <w:r>
              <w:t xml:space="preserve"> </w:t>
            </w:r>
            <w:proofErr w:type="gramStart"/>
            <w:r>
              <w:t>all of</w:t>
            </w:r>
            <w:proofErr w:type="gramEnd"/>
            <w:r>
              <w:t xml:space="preserve"> their archival affiliates</w:t>
            </w:r>
            <w:r w:rsidRPr="005E2B47">
              <w:t>, and to the public through the Moving Image Resource Center of the Library of Congress.</w:t>
            </w:r>
          </w:p>
          <w:p w14:paraId="1961BD3C" w14:textId="77777777" w:rsidR="00C019A0" w:rsidRDefault="00C019A0" w:rsidP="008069EB"/>
        </w:tc>
      </w:tr>
    </w:tbl>
    <w:p w14:paraId="43BE7E84" w14:textId="77777777" w:rsidR="00C019A0" w:rsidRDefault="00C019A0" w:rsidP="00C019A0">
      <w:pPr>
        <w:rPr>
          <w:szCs w:val="22"/>
        </w:rPr>
      </w:pPr>
    </w:p>
    <w:p w14:paraId="7E0861A5" w14:textId="77777777" w:rsidR="00C019A0" w:rsidRDefault="00C019A0" w:rsidP="00C019A0">
      <w:pPr>
        <w:pStyle w:val="Level3"/>
        <w:rPr>
          <w:rFonts w:eastAsiaTheme="minorHAnsi"/>
        </w:rPr>
      </w:pPr>
      <w:bookmarkStart w:id="55" w:name="_Toc219210296"/>
      <w:r w:rsidRPr="00802725">
        <w:rPr>
          <w:rFonts w:eastAsiaTheme="minorHAnsi"/>
        </w:rPr>
        <w:t xml:space="preserve">Rights Metadata </w:t>
      </w:r>
      <w:r>
        <w:rPr>
          <w:rFonts w:eastAsiaTheme="minorHAnsi"/>
        </w:rPr>
        <w:t xml:space="preserve">and </w:t>
      </w:r>
      <w:r w:rsidRPr="00802725">
        <w:rPr>
          <w:rFonts w:eastAsiaTheme="minorHAnsi"/>
        </w:rPr>
        <w:t>Collections Management Practices</w:t>
      </w:r>
      <w:bookmarkEnd w:id="55"/>
    </w:p>
    <w:p w14:paraId="2296F306" w14:textId="77777777" w:rsidR="00C019A0" w:rsidRDefault="00C019A0" w:rsidP="00C019A0">
      <w:pPr>
        <w:rPr>
          <w:szCs w:val="22"/>
        </w:rPr>
      </w:pPr>
    </w:p>
    <w:p w14:paraId="13F5FF3B" w14:textId="77777777" w:rsidR="00C019A0" w:rsidRPr="00802725" w:rsidRDefault="00C019A0" w:rsidP="00C019A0">
      <w:pPr>
        <w:rPr>
          <w:szCs w:val="22"/>
        </w:rPr>
      </w:pPr>
      <w:r w:rsidRPr="00802725">
        <w:rPr>
          <w:szCs w:val="22"/>
        </w:rPr>
        <w:t>Metadata is “data describing data and data systems that may include the structure of databases, their characteristics, location, and usage</w:t>
      </w:r>
      <w:r>
        <w:rPr>
          <w:szCs w:val="22"/>
        </w:rPr>
        <w:t>.</w:t>
      </w:r>
      <w:r w:rsidRPr="00802725">
        <w:rPr>
          <w:szCs w:val="22"/>
        </w:rPr>
        <w:t>”</w:t>
      </w:r>
      <w:r>
        <w:rPr>
          <w:rStyle w:val="EndnoteReference"/>
          <w:szCs w:val="22"/>
        </w:rPr>
        <w:endnoteReference w:id="45"/>
      </w:r>
      <w:r w:rsidRPr="00802725">
        <w:rPr>
          <w:szCs w:val="22"/>
        </w:rPr>
        <w:t xml:space="preserve"> The purpose of metadata is to enhance the usefulness of the data it describes. Moreover, access to digitized photographs is enhanced by metadata, including title, date, description and probable identity of the photographer.</w:t>
      </w:r>
      <w:r>
        <w:rPr>
          <w:szCs w:val="22"/>
        </w:rPr>
        <w:t xml:space="preserve"> </w:t>
      </w:r>
      <w:r w:rsidRPr="00802725">
        <w:rPr>
          <w:szCs w:val="22"/>
        </w:rPr>
        <w:t xml:space="preserve">Metadata enables search capability by pairing the query with the data used to describe the digital object. Without access to the metadata, the digital object itself is less likely to be identified and accessed. Metadata can also record the provenance of materials and assist in the development of catalogs and inventories. In addition, standardized rights metadata for digital copies of works in cultural heritage collections can be integrated as a useful part of the broader curatorial and collections management workflows. Metadata can include </w:t>
      </w:r>
      <w:r>
        <w:rPr>
          <w:szCs w:val="22"/>
        </w:rPr>
        <w:t>memorializing or documenting</w:t>
      </w:r>
      <w:r w:rsidRPr="00802725">
        <w:rPr>
          <w:szCs w:val="22"/>
        </w:rPr>
        <w:t xml:space="preserve"> the circumstances </w:t>
      </w:r>
      <w:r>
        <w:rPr>
          <w:szCs w:val="22"/>
        </w:rPr>
        <w:t>under which</w:t>
      </w:r>
      <w:r w:rsidRPr="00802725">
        <w:rPr>
          <w:szCs w:val="22"/>
        </w:rPr>
        <w:t xml:space="preserve"> the digital copy can be accessed and used,</w:t>
      </w:r>
      <w:r>
        <w:rPr>
          <w:szCs w:val="22"/>
        </w:rPr>
        <w:t xml:space="preserve"> or</w:t>
      </w:r>
      <w:r w:rsidRPr="00802725">
        <w:rPr>
          <w:szCs w:val="22"/>
        </w:rPr>
        <w:t xml:space="preserve"> the level of permitting rights, </w:t>
      </w:r>
      <w:proofErr w:type="gramStart"/>
      <w:r w:rsidRPr="00802725">
        <w:rPr>
          <w:szCs w:val="22"/>
        </w:rPr>
        <w:t>both at accession and</w:t>
      </w:r>
      <w:proofErr w:type="gramEnd"/>
      <w:r w:rsidRPr="00802725">
        <w:rPr>
          <w:szCs w:val="22"/>
        </w:rPr>
        <w:t xml:space="preserve"> at subsequent digitization.</w:t>
      </w:r>
      <w:r>
        <w:rPr>
          <w:rStyle w:val="EndnoteReference"/>
          <w:szCs w:val="22"/>
        </w:rPr>
        <w:endnoteReference w:id="46"/>
      </w:r>
      <w:r w:rsidRPr="00802725">
        <w:rPr>
          <w:szCs w:val="22"/>
        </w:rPr>
        <w:t xml:space="preserve"> </w:t>
      </w:r>
      <w:r w:rsidRPr="00802725">
        <w:rPr>
          <w:szCs w:val="22"/>
        </w:rPr>
        <w:br/>
      </w:r>
    </w:p>
    <w:p w14:paraId="5F4D29F0" w14:textId="77777777" w:rsidR="00C019A0" w:rsidRDefault="00C019A0" w:rsidP="00C019A0">
      <w:pPr>
        <w:rPr>
          <w:szCs w:val="22"/>
        </w:rPr>
      </w:pPr>
      <w:r w:rsidRPr="00802725">
        <w:rPr>
          <w:szCs w:val="22"/>
        </w:rPr>
        <w:t xml:space="preserve">Rights metadata is designed to support the respectful and lawful subsequent uses of digital or digitized </w:t>
      </w:r>
      <w:r>
        <w:rPr>
          <w:szCs w:val="22"/>
        </w:rPr>
        <w:t>copyright-protected</w:t>
      </w:r>
      <w:r w:rsidRPr="00802725">
        <w:rPr>
          <w:szCs w:val="22"/>
        </w:rPr>
        <w:t xml:space="preserve"> works in cultural heritage collections. Rights metadata plays the role of ensuring that rightsholders and creators are accredited with their work and provide another means by which users of </w:t>
      </w:r>
      <w:r>
        <w:rPr>
          <w:szCs w:val="22"/>
        </w:rPr>
        <w:t>copyright-protected</w:t>
      </w:r>
      <w:r w:rsidRPr="00802725">
        <w:rPr>
          <w:szCs w:val="22"/>
        </w:rPr>
        <w:t xml:space="preserve"> materials who access these materials in digital form are informed about the terms of use relating to the materials in collections. </w:t>
      </w:r>
    </w:p>
    <w:p w14:paraId="2E4EBC2C" w14:textId="77777777" w:rsidR="00C019A0" w:rsidRDefault="00C019A0" w:rsidP="00C019A0">
      <w:pPr>
        <w:rPr>
          <w:szCs w:val="22"/>
        </w:rPr>
      </w:pPr>
    </w:p>
    <w:p w14:paraId="1D95B19D" w14:textId="77777777" w:rsidR="00C019A0" w:rsidRPr="00EA7C2D" w:rsidRDefault="00C019A0" w:rsidP="00C019A0">
      <w:pPr>
        <w:pStyle w:val="Level3"/>
      </w:pPr>
      <w:bookmarkStart w:id="56" w:name="_Toc219210297"/>
      <w:r w:rsidRPr="00802725">
        <w:t>The Use of Digital Resolution as a Mitigation Technique</w:t>
      </w:r>
      <w:bookmarkEnd w:id="56"/>
      <w:r w:rsidRPr="00802725">
        <w:t xml:space="preserve"> </w:t>
      </w:r>
    </w:p>
    <w:p w14:paraId="12CB8E68" w14:textId="77777777" w:rsidR="00C019A0" w:rsidRDefault="00C019A0" w:rsidP="00C019A0">
      <w:pPr>
        <w:rPr>
          <w:szCs w:val="22"/>
        </w:rPr>
      </w:pPr>
    </w:p>
    <w:p w14:paraId="2622F25E" w14:textId="77777777" w:rsidR="00C019A0" w:rsidRDefault="00C019A0" w:rsidP="00C019A0">
      <w:pPr>
        <w:rPr>
          <w:szCs w:val="22"/>
        </w:rPr>
      </w:pPr>
      <w:r w:rsidRPr="00EA7C2D">
        <w:rPr>
          <w:szCs w:val="22"/>
        </w:rPr>
        <w:t>In certain circumstances and jurisdictions, the use of lower resolution formats of digital images may play a role in mitigating risk</w:t>
      </w:r>
      <w:r>
        <w:rPr>
          <w:szCs w:val="22"/>
        </w:rPr>
        <w:t>s</w:t>
      </w:r>
      <w:r w:rsidRPr="00EA7C2D">
        <w:rPr>
          <w:szCs w:val="22"/>
        </w:rPr>
        <w:t>. This is especially true in common law jurisdictions that rely on case law finding in favor of fair dealing or fair use with resolution or image size playing a critical role in the assessment</w:t>
      </w:r>
      <w:r w:rsidRPr="00D60ABD">
        <w:rPr>
          <w:szCs w:val="22"/>
        </w:rPr>
        <w:t>.</w:t>
      </w:r>
      <w:r w:rsidRPr="00D60ABD">
        <w:rPr>
          <w:rStyle w:val="EndnoteReference"/>
          <w:szCs w:val="22"/>
        </w:rPr>
        <w:endnoteReference w:id="47"/>
      </w:r>
      <w:r w:rsidRPr="00EA7C2D">
        <w:rPr>
          <w:szCs w:val="22"/>
        </w:rPr>
        <w:t xml:space="preserve"> Certainly, from a practical perspective, lower resolution formats are generally less useful for commercial reproduction and distribution purposes. It should be noted, however, that low resolution formats may not necessarily mitigate moral rights violations and where low resolution impacts the clarity or coloration of the image of the work, it may itself lead to a claim of distortion. Thus, the usefulness of this mitigation technique should be considered in the context of the laws of specific jurisdictions.</w:t>
      </w:r>
    </w:p>
    <w:p w14:paraId="25B8B7AC" w14:textId="77777777" w:rsidR="00C019A0" w:rsidRPr="005D5285" w:rsidRDefault="00C019A0" w:rsidP="00C019A0">
      <w:pPr>
        <w:rPr>
          <w:i/>
          <w:iCs/>
          <w:szCs w:val="22"/>
        </w:rPr>
      </w:pPr>
    </w:p>
    <w:p w14:paraId="3A6B0BD0" w14:textId="77777777" w:rsidR="00C019A0" w:rsidRPr="00EA7C2D" w:rsidRDefault="00C019A0" w:rsidP="00C019A0">
      <w:pPr>
        <w:pStyle w:val="Level3"/>
      </w:pPr>
      <w:bookmarkStart w:id="57" w:name="_Toc219210298"/>
      <w:r w:rsidRPr="00802725">
        <w:t>Intellectual Property Mediation and Arbitration</w:t>
      </w:r>
      <w:bookmarkEnd w:id="57"/>
      <w:r w:rsidRPr="00802725">
        <w:t xml:space="preserve"> </w:t>
      </w:r>
    </w:p>
    <w:p w14:paraId="37B10B98" w14:textId="77777777" w:rsidR="00C019A0" w:rsidRDefault="00C019A0" w:rsidP="00C019A0">
      <w:pPr>
        <w:rPr>
          <w:szCs w:val="22"/>
        </w:rPr>
      </w:pPr>
    </w:p>
    <w:p w14:paraId="1E16A8AD" w14:textId="77777777" w:rsidR="00C019A0" w:rsidRPr="00EA7C2D" w:rsidRDefault="00C019A0" w:rsidP="00C019A0">
      <w:pPr>
        <w:rPr>
          <w:i/>
          <w:iCs/>
          <w:szCs w:val="22"/>
        </w:rPr>
      </w:pPr>
      <w:r w:rsidRPr="00EA7C2D">
        <w:rPr>
          <w:szCs w:val="22"/>
        </w:rPr>
        <w:t xml:space="preserve">Certain jurisdictions, through practice, are more inclined to use mediation and arbitration services and include mediation and arbitration provisions in licensing agreements. However, cultural heritage institutions may wish to consider including mediation or arbitration provisions in licensing agreements as a mechanism to ensure ongoing access despite the development of a dispute among the parties. </w:t>
      </w:r>
    </w:p>
    <w:p w14:paraId="6651C23F" w14:textId="77777777" w:rsidR="00C019A0" w:rsidRDefault="00C019A0" w:rsidP="00C019A0">
      <w:pPr>
        <w:rPr>
          <w:szCs w:val="22"/>
        </w:rPr>
      </w:pPr>
    </w:p>
    <w:tbl>
      <w:tblPr>
        <w:tblStyle w:val="TableGrid"/>
        <w:tblW w:w="0" w:type="auto"/>
        <w:tblInd w:w="421" w:type="dxa"/>
        <w:tblLook w:val="04A0" w:firstRow="1" w:lastRow="0" w:firstColumn="1" w:lastColumn="0" w:noHBand="0" w:noVBand="1"/>
      </w:tblPr>
      <w:tblGrid>
        <w:gridCol w:w="8924"/>
      </w:tblGrid>
      <w:tr w:rsidR="00C019A0" w14:paraId="64322B79" w14:textId="77777777" w:rsidTr="008069EB">
        <w:tc>
          <w:tcPr>
            <w:tcW w:w="8929" w:type="dxa"/>
          </w:tcPr>
          <w:p w14:paraId="6995DD13" w14:textId="77777777" w:rsidR="00C019A0" w:rsidRPr="00DD39CD" w:rsidRDefault="00C019A0" w:rsidP="008069EB">
            <w:r w:rsidRPr="00DD3256">
              <w:rPr>
                <w:u w:val="single"/>
              </w:rPr>
              <w:t>Example of Mediating and Legal Liabilities</w:t>
            </w:r>
            <w:r>
              <w:t>:</w:t>
            </w:r>
          </w:p>
          <w:p w14:paraId="354F1B36" w14:textId="77777777" w:rsidR="00C019A0" w:rsidRPr="00802725" w:rsidRDefault="00C019A0" w:rsidP="008069EB"/>
          <w:p w14:paraId="36D3C361" w14:textId="77777777" w:rsidR="00C019A0" w:rsidRPr="00802725" w:rsidRDefault="00C019A0" w:rsidP="008069EB">
            <w:r>
              <w:t>By</w:t>
            </w:r>
            <w:r w:rsidRPr="00802725">
              <w:t xml:space="preserve"> example, cultural heritage institutions</w:t>
            </w:r>
            <w:r>
              <w:t xml:space="preserve"> that</w:t>
            </w:r>
            <w:r w:rsidRPr="00802725">
              <w:t xml:space="preserve"> are state funded</w:t>
            </w:r>
            <w:r>
              <w:t xml:space="preserve"> may be </w:t>
            </w:r>
            <w:r w:rsidRPr="00802725">
              <w:t xml:space="preserve">required to agree to only their own local laws as the choice of law clause their own jurisdiction as a choice of legal venue to litigate disputes. In circumstances where licensing agreements are entered into with parties across borders, where choice of law and jurisdiction clauses remain a concern, an agreed upon arbitration or mediation provision can enable parties to remain neutral concerning choice of law or jurisdiction but at the same time include dispute resolution provisions that facilitate ongoing access to collections, notwithstanding a dispute having arisen between the </w:t>
            </w:r>
            <w:r>
              <w:t xml:space="preserve">parties. </w:t>
            </w:r>
            <w:r w:rsidRPr="00802725">
              <w:t xml:space="preserve">To this end, </w:t>
            </w:r>
            <w:r w:rsidRPr="00D60ABD">
              <w:t>WIPO’s Alternative Dispute Resolution Center for Art and Cultural Heritage</w:t>
            </w:r>
            <w:r>
              <w:rPr>
                <w:rStyle w:val="EndnoteReference"/>
              </w:rPr>
              <w:endnoteReference w:id="48"/>
            </w:r>
            <w:r w:rsidRPr="00802725">
              <w:t xml:space="preserve"> is a leader in the field and can provide guidance, services and expertise in this regard. The Center focusses on both cultural property and intellectual property dispute resolution for collectors and cultural heritage institutions alike.</w:t>
            </w:r>
          </w:p>
          <w:p w14:paraId="74FB3521" w14:textId="77777777" w:rsidR="00C019A0" w:rsidRDefault="00C019A0" w:rsidP="008069EB"/>
        </w:tc>
      </w:tr>
    </w:tbl>
    <w:p w14:paraId="73BA9DCA" w14:textId="77777777" w:rsidR="00C019A0" w:rsidRPr="00802725" w:rsidRDefault="00C019A0" w:rsidP="00C019A0">
      <w:pPr>
        <w:rPr>
          <w:i/>
          <w:iCs/>
          <w:szCs w:val="22"/>
        </w:rPr>
      </w:pPr>
    </w:p>
    <w:p w14:paraId="5944509B" w14:textId="77777777" w:rsidR="00C019A0" w:rsidRDefault="00C019A0" w:rsidP="00C019A0">
      <w:pPr>
        <w:rPr>
          <w:i/>
          <w:iCs/>
          <w:szCs w:val="22"/>
        </w:rPr>
      </w:pPr>
      <w:r>
        <w:rPr>
          <w:i/>
          <w:iCs/>
          <w:szCs w:val="22"/>
        </w:rPr>
        <w:br w:type="page"/>
      </w:r>
    </w:p>
    <w:p w14:paraId="2CD53ED3" w14:textId="77777777" w:rsidR="00C019A0" w:rsidRDefault="00C019A0" w:rsidP="00C019A0">
      <w:pPr>
        <w:pStyle w:val="Level1"/>
      </w:pPr>
      <w:bookmarkStart w:id="58" w:name="_Toc219210299"/>
      <w:r w:rsidRPr="00D112AD">
        <w:t>Part IV: Constructing a Statutory Provision for Access</w:t>
      </w:r>
      <w:bookmarkEnd w:id="58"/>
    </w:p>
    <w:p w14:paraId="0BD7E971" w14:textId="77777777" w:rsidR="00C019A0" w:rsidRPr="00C20871" w:rsidRDefault="00C019A0" w:rsidP="00C019A0"/>
    <w:p w14:paraId="75233DC8" w14:textId="77777777" w:rsidR="00C019A0" w:rsidRPr="00F32036" w:rsidRDefault="00C019A0" w:rsidP="00C019A0">
      <w:pPr>
        <w:pStyle w:val="Level2"/>
        <w:numPr>
          <w:ilvl w:val="0"/>
          <w:numId w:val="29"/>
        </w:numPr>
        <w:ind w:left="426"/>
      </w:pPr>
      <w:bookmarkStart w:id="59" w:name="_Toc219210300"/>
      <w:r w:rsidRPr="00F32036">
        <w:t>How to Use the Charts</w:t>
      </w:r>
      <w:bookmarkEnd w:id="59"/>
    </w:p>
    <w:p w14:paraId="64062886" w14:textId="77777777" w:rsidR="00C019A0" w:rsidRPr="00F32036" w:rsidRDefault="00C019A0" w:rsidP="00C019A0">
      <w:pPr>
        <w:rPr>
          <w:szCs w:val="22"/>
        </w:rPr>
      </w:pPr>
      <w:r>
        <w:rPr>
          <w:szCs w:val="22"/>
        </w:rPr>
        <w:br/>
      </w:r>
      <w:proofErr w:type="gramStart"/>
      <w:r w:rsidRPr="00F32036">
        <w:rPr>
          <w:szCs w:val="22"/>
        </w:rPr>
        <w:t>This Part</w:t>
      </w:r>
      <w:proofErr w:type="gramEnd"/>
      <w:r w:rsidRPr="00F32036">
        <w:rPr>
          <w:szCs w:val="22"/>
        </w:rPr>
        <w:t xml:space="preserve"> IV of the toolkit is intended to guide lawmakers, policymakers, and others with responsibilities associated with cultural heritage institutions through the process of drafting or implementing the possible solutions for enabling access to </w:t>
      </w:r>
      <w:proofErr w:type="gramStart"/>
      <w:r w:rsidRPr="00F32036">
        <w:rPr>
          <w:szCs w:val="22"/>
        </w:rPr>
        <w:t>works</w:t>
      </w:r>
      <w:proofErr w:type="gramEnd"/>
      <w:r w:rsidRPr="00F32036">
        <w:rPr>
          <w:szCs w:val="22"/>
        </w:rPr>
        <w:t xml:space="preserve"> in the institutions’ collections. Part IV operationalizes the concepts and principles reviewed in the earlier parts of this toolkit. It also expands on WIPO’s recent </w:t>
      </w:r>
      <w:r w:rsidRPr="00F32036">
        <w:rPr>
          <w:i/>
          <w:iCs/>
          <w:szCs w:val="22"/>
        </w:rPr>
        <w:t>Toolkit on Preservation</w:t>
      </w:r>
      <w:r w:rsidRPr="00F32036">
        <w:rPr>
          <w:szCs w:val="22"/>
        </w:rPr>
        <w:t xml:space="preserve"> by offering </w:t>
      </w:r>
      <w:r>
        <w:rPr>
          <w:szCs w:val="22"/>
        </w:rPr>
        <w:t>specific</w:t>
      </w:r>
      <w:r w:rsidRPr="00F32036">
        <w:rPr>
          <w:szCs w:val="22"/>
        </w:rPr>
        <w:t xml:space="preserve"> language that might be added to copyright statutes to authorize access to the copies that an institution makes for preservation.</w:t>
      </w:r>
    </w:p>
    <w:p w14:paraId="5B4D9B15" w14:textId="77777777" w:rsidR="00C019A0" w:rsidRPr="00F32036" w:rsidRDefault="00C019A0" w:rsidP="00C019A0">
      <w:pPr>
        <w:rPr>
          <w:szCs w:val="22"/>
        </w:rPr>
      </w:pPr>
      <w:r w:rsidRPr="00F32036">
        <w:rPr>
          <w:szCs w:val="22"/>
        </w:rPr>
        <w:t xml:space="preserve">The procedures outlined below guide users through selecting desired concepts and details for the rules of access, then organizing and connecting those details into the form and language of a statutory copyright exception or other means of access. Those details, with possible statutory language, are offered here for the drafter to review and select. These specifics are organized into charts in the Appendix, presented in a manner that any </w:t>
      </w:r>
      <w:r>
        <w:rPr>
          <w:szCs w:val="22"/>
        </w:rPr>
        <w:t>Member State</w:t>
      </w:r>
      <w:r w:rsidRPr="00F32036">
        <w:rPr>
          <w:szCs w:val="22"/>
        </w:rPr>
        <w:t xml:space="preserve"> may find useful.</w:t>
      </w:r>
      <w:r>
        <w:rPr>
          <w:szCs w:val="22"/>
        </w:rPr>
        <w:br/>
      </w:r>
    </w:p>
    <w:p w14:paraId="4B435EE0" w14:textId="77777777" w:rsidR="00C019A0" w:rsidRPr="00F32036" w:rsidRDefault="00C019A0" w:rsidP="00C019A0">
      <w:pPr>
        <w:pStyle w:val="Level2"/>
      </w:pPr>
      <w:bookmarkStart w:id="60" w:name="_Toc219210301"/>
      <w:r w:rsidRPr="00F32036">
        <w:t>The Dimensions of Permitted Access</w:t>
      </w:r>
      <w:bookmarkEnd w:id="60"/>
    </w:p>
    <w:p w14:paraId="729BA6F1" w14:textId="77777777" w:rsidR="00C019A0" w:rsidRDefault="00C019A0" w:rsidP="00C019A0">
      <w:pPr>
        <w:rPr>
          <w:szCs w:val="22"/>
        </w:rPr>
      </w:pPr>
      <w:r>
        <w:rPr>
          <w:szCs w:val="22"/>
        </w:rPr>
        <w:br/>
      </w:r>
      <w:r w:rsidRPr="00F32036">
        <w:rPr>
          <w:szCs w:val="22"/>
        </w:rPr>
        <w:t xml:space="preserve">The procedures and charts offered here generally </w:t>
      </w:r>
      <w:proofErr w:type="gramStart"/>
      <w:r w:rsidRPr="00F32036">
        <w:rPr>
          <w:szCs w:val="22"/>
        </w:rPr>
        <w:t>comport</w:t>
      </w:r>
      <w:proofErr w:type="gramEnd"/>
      <w:r w:rsidRPr="00F32036">
        <w:rPr>
          <w:szCs w:val="22"/>
        </w:rPr>
        <w:t xml:space="preserve"> with those in the </w:t>
      </w:r>
      <w:r w:rsidRPr="00F32036">
        <w:rPr>
          <w:i/>
          <w:iCs/>
          <w:szCs w:val="22"/>
        </w:rPr>
        <w:t>Toolkit on Preservation</w:t>
      </w:r>
      <w:r w:rsidRPr="00F32036">
        <w:rPr>
          <w:szCs w:val="22"/>
        </w:rPr>
        <w:t xml:space="preserve">, but </w:t>
      </w:r>
      <w:r>
        <w:rPr>
          <w:szCs w:val="22"/>
        </w:rPr>
        <w:t xml:space="preserve">they are </w:t>
      </w:r>
      <w:r w:rsidRPr="00F32036">
        <w:rPr>
          <w:szCs w:val="22"/>
        </w:rPr>
        <w:t xml:space="preserve">focused </w:t>
      </w:r>
      <w:r>
        <w:rPr>
          <w:szCs w:val="22"/>
        </w:rPr>
        <w:t>here</w:t>
      </w:r>
      <w:r w:rsidRPr="00F32036">
        <w:rPr>
          <w:szCs w:val="22"/>
        </w:rPr>
        <w:t xml:space="preserve"> on access concepts. By centering on just that one element, this toolkit is naturally briefer than the previous project</w:t>
      </w:r>
      <w:r w:rsidRPr="00863DD5">
        <w:rPr>
          <w:szCs w:val="22"/>
        </w:rPr>
        <w:t xml:space="preserve">. </w:t>
      </w:r>
      <w:r w:rsidRPr="00F33C6C">
        <w:rPr>
          <w:szCs w:val="22"/>
        </w:rPr>
        <w:t>This toolkit is also not claiming to lead to guidance for drafting complete statutes</w:t>
      </w:r>
      <w:r w:rsidRPr="00863DD5">
        <w:rPr>
          <w:szCs w:val="22"/>
        </w:rPr>
        <w:t>. Ins</w:t>
      </w:r>
      <w:r w:rsidRPr="00F32036">
        <w:rPr>
          <w:szCs w:val="22"/>
        </w:rPr>
        <w:t xml:space="preserve">tead, it offers </w:t>
      </w:r>
      <w:proofErr w:type="gramStart"/>
      <w:r w:rsidRPr="00F32036">
        <w:rPr>
          <w:szCs w:val="22"/>
        </w:rPr>
        <w:t>direction</w:t>
      </w:r>
      <w:proofErr w:type="gramEnd"/>
      <w:r w:rsidRPr="00F32036">
        <w:rPr>
          <w:szCs w:val="22"/>
        </w:rPr>
        <w:t xml:space="preserve"> for drafting just the access clauses.</w:t>
      </w:r>
    </w:p>
    <w:p w14:paraId="58605726" w14:textId="77777777" w:rsidR="00C019A0" w:rsidRPr="00F32036" w:rsidRDefault="00C019A0" w:rsidP="00C019A0">
      <w:pPr>
        <w:rPr>
          <w:szCs w:val="22"/>
        </w:rPr>
      </w:pPr>
    </w:p>
    <w:p w14:paraId="02FC205B" w14:textId="77777777" w:rsidR="00C019A0" w:rsidRDefault="00C019A0" w:rsidP="00C019A0">
      <w:pPr>
        <w:rPr>
          <w:szCs w:val="22"/>
        </w:rPr>
      </w:pPr>
      <w:r w:rsidRPr="00F32036">
        <w:rPr>
          <w:szCs w:val="22"/>
        </w:rPr>
        <w:t xml:space="preserve">The process of drafting even a portion of an effective copyright exception – one that is appropriate to the needs and conditions of each </w:t>
      </w:r>
      <w:r>
        <w:rPr>
          <w:szCs w:val="22"/>
        </w:rPr>
        <w:t>Member State</w:t>
      </w:r>
      <w:r w:rsidRPr="00F32036">
        <w:rPr>
          <w:szCs w:val="22"/>
        </w:rPr>
        <w:t xml:space="preserve"> – requires evaluation of the several elements of such a statute and the policy considerations represented by the alternative language options. Often just the relatively narrow clause about access can benefit from considering various of the possible elements that shaped the </w:t>
      </w:r>
      <w:r w:rsidRPr="00F32036">
        <w:rPr>
          <w:i/>
          <w:iCs/>
          <w:szCs w:val="22"/>
        </w:rPr>
        <w:t>Toolkit on Preservation</w:t>
      </w:r>
      <w:r w:rsidRPr="00F32036">
        <w:rPr>
          <w:szCs w:val="22"/>
        </w:rPr>
        <w:t>. When looking back at the example in the Introduction regarding making digitized works available on dedicated terminals, one can see that the dimensions may be drawn out by posing analytical questions:</w:t>
      </w:r>
    </w:p>
    <w:p w14:paraId="1D71E47B" w14:textId="77777777" w:rsidR="00C019A0" w:rsidRPr="00F32036" w:rsidRDefault="00C019A0" w:rsidP="00C019A0">
      <w:pPr>
        <w:rPr>
          <w:szCs w:val="22"/>
        </w:rPr>
      </w:pPr>
    </w:p>
    <w:p w14:paraId="3556F69D" w14:textId="77777777" w:rsidR="00C019A0" w:rsidRPr="00F32036" w:rsidRDefault="00C019A0" w:rsidP="00C019A0">
      <w:pPr>
        <w:pStyle w:val="ListParagraph"/>
        <w:numPr>
          <w:ilvl w:val="0"/>
          <w:numId w:val="13"/>
        </w:numPr>
        <w:spacing w:after="0" w:line="240" w:lineRule="auto"/>
        <w:rPr>
          <w:rFonts w:ascii="Arial" w:hAnsi="Arial" w:cs="Arial"/>
          <w:i/>
          <w:iCs/>
          <w:sz w:val="22"/>
          <w:szCs w:val="22"/>
        </w:rPr>
      </w:pPr>
      <w:r w:rsidRPr="00F32036">
        <w:rPr>
          <w:rFonts w:ascii="Arial" w:hAnsi="Arial" w:cs="Arial"/>
          <w:b/>
          <w:bCs/>
          <w:i/>
          <w:iCs/>
          <w:sz w:val="22"/>
          <w:szCs w:val="22"/>
        </w:rPr>
        <w:t>Who</w:t>
      </w:r>
      <w:r w:rsidRPr="00F32036">
        <w:rPr>
          <w:rFonts w:ascii="Arial" w:hAnsi="Arial" w:cs="Arial"/>
          <w:i/>
          <w:iCs/>
          <w:sz w:val="22"/>
          <w:szCs w:val="22"/>
        </w:rPr>
        <w:t xml:space="preserve"> May Make the Works Available?</w:t>
      </w:r>
    </w:p>
    <w:p w14:paraId="643FAACB" w14:textId="77777777" w:rsidR="00C019A0" w:rsidRPr="004E3D08" w:rsidRDefault="00C019A0" w:rsidP="00C019A0">
      <w:pPr>
        <w:pStyle w:val="ListParagraph"/>
        <w:numPr>
          <w:ilvl w:val="1"/>
          <w:numId w:val="13"/>
        </w:numPr>
        <w:spacing w:after="0" w:line="240" w:lineRule="auto"/>
        <w:ind w:left="1276"/>
        <w:rPr>
          <w:rFonts w:ascii="Georgia" w:eastAsia="Georgia" w:hAnsi="Georgia" w:cs="Georgia"/>
          <w:sz w:val="22"/>
          <w:szCs w:val="22"/>
        </w:rPr>
      </w:pPr>
      <w:r w:rsidRPr="00F32036">
        <w:rPr>
          <w:rFonts w:ascii="Arial" w:hAnsi="Arial" w:cs="Arial"/>
          <w:sz w:val="22"/>
          <w:szCs w:val="22"/>
        </w:rPr>
        <w:t xml:space="preserve">This dimension specifies the range of libraries, archives, museums, and other institutions that may exercise the access terms. A </w:t>
      </w:r>
      <w:r>
        <w:rPr>
          <w:rFonts w:ascii="Arial" w:hAnsi="Arial" w:cs="Arial"/>
          <w:sz w:val="22"/>
          <w:szCs w:val="22"/>
        </w:rPr>
        <w:t>Member State</w:t>
      </w:r>
      <w:r w:rsidRPr="00F32036">
        <w:rPr>
          <w:rFonts w:ascii="Arial" w:hAnsi="Arial" w:cs="Arial"/>
          <w:sz w:val="22"/>
          <w:szCs w:val="22"/>
        </w:rPr>
        <w:t xml:space="preserve"> may adopt a broad scope, or it may limit the provision to specified types of cultural institutions.</w:t>
      </w:r>
      <w:r>
        <w:rPr>
          <w:rFonts w:ascii="Arial" w:hAnsi="Arial" w:cs="Arial"/>
          <w:sz w:val="22"/>
          <w:szCs w:val="22"/>
        </w:rPr>
        <w:t xml:space="preserve"> In some Member States, trusted institutions, such as foundations, galleries, and even banks may merit mention. Member States with concerns about institutions that may not be conventional in structure, but which describe themselves as a library, museum, or archive, may choose to add terms such as “nonprofit,” “noncommercial,” or “for the public good” to ensure that the cultural heritage institutions that avail themselves of the exception are recognized </w:t>
      </w:r>
      <w:r w:rsidRPr="00441037">
        <w:rPr>
          <w:rFonts w:ascii="Arial" w:hAnsi="Arial" w:cs="Arial"/>
          <w:i/>
          <w:iCs/>
          <w:sz w:val="22"/>
          <w:szCs w:val="22"/>
        </w:rPr>
        <w:t>trusted institutions</w:t>
      </w:r>
      <w:r>
        <w:rPr>
          <w:rFonts w:ascii="Arial" w:hAnsi="Arial" w:cs="Arial"/>
          <w:sz w:val="22"/>
          <w:szCs w:val="22"/>
        </w:rPr>
        <w:t>.</w:t>
      </w:r>
      <w:r>
        <w:rPr>
          <w:rStyle w:val="EndnoteReference"/>
          <w:rFonts w:ascii="Arial" w:hAnsi="Arial" w:cs="Arial"/>
          <w:sz w:val="22"/>
          <w:szCs w:val="22"/>
        </w:rPr>
        <w:endnoteReference w:id="49"/>
      </w:r>
      <w:r w:rsidRPr="00441037">
        <w:rPr>
          <w:rFonts w:ascii="Arial" w:hAnsi="Arial" w:cs="Arial"/>
          <w:sz w:val="22"/>
          <w:szCs w:val="22"/>
        </w:rPr>
        <w:t xml:space="preserve"> </w:t>
      </w:r>
    </w:p>
    <w:p w14:paraId="79880BB4" w14:textId="77777777" w:rsidR="00C019A0" w:rsidRPr="00F32036" w:rsidRDefault="00C019A0" w:rsidP="00C019A0">
      <w:pPr>
        <w:pStyle w:val="ListParagraph"/>
        <w:ind w:left="1440"/>
        <w:rPr>
          <w:rFonts w:ascii="Arial" w:hAnsi="Arial" w:cs="Arial"/>
          <w:sz w:val="22"/>
          <w:szCs w:val="22"/>
        </w:rPr>
      </w:pPr>
    </w:p>
    <w:p w14:paraId="7335F00C" w14:textId="77777777" w:rsidR="00C019A0" w:rsidRPr="00F32036" w:rsidRDefault="00C019A0" w:rsidP="00C019A0">
      <w:pPr>
        <w:pStyle w:val="ListParagraph"/>
        <w:numPr>
          <w:ilvl w:val="0"/>
          <w:numId w:val="13"/>
        </w:numPr>
        <w:spacing w:after="0" w:line="240" w:lineRule="auto"/>
        <w:rPr>
          <w:rFonts w:ascii="Arial" w:hAnsi="Arial" w:cs="Arial"/>
          <w:i/>
          <w:iCs/>
          <w:sz w:val="22"/>
          <w:szCs w:val="22"/>
        </w:rPr>
      </w:pPr>
      <w:r w:rsidRPr="00F32036">
        <w:rPr>
          <w:rFonts w:ascii="Arial" w:hAnsi="Arial" w:cs="Arial"/>
          <w:b/>
          <w:bCs/>
          <w:i/>
          <w:iCs/>
          <w:sz w:val="22"/>
          <w:szCs w:val="22"/>
        </w:rPr>
        <w:t>What</w:t>
      </w:r>
      <w:r w:rsidRPr="00F32036">
        <w:rPr>
          <w:rFonts w:ascii="Arial" w:hAnsi="Arial" w:cs="Arial"/>
          <w:i/>
          <w:iCs/>
          <w:sz w:val="22"/>
          <w:szCs w:val="22"/>
        </w:rPr>
        <w:t xml:space="preserve"> Works May be Made Available?</w:t>
      </w:r>
    </w:p>
    <w:p w14:paraId="7746FFB5" w14:textId="77777777" w:rsidR="00C019A0" w:rsidRPr="00F32036" w:rsidRDefault="00C019A0" w:rsidP="00C019A0">
      <w:pPr>
        <w:pStyle w:val="ListParagraph"/>
        <w:numPr>
          <w:ilvl w:val="1"/>
          <w:numId w:val="13"/>
        </w:numPr>
        <w:spacing w:after="0" w:line="240" w:lineRule="auto"/>
        <w:ind w:left="1276"/>
        <w:rPr>
          <w:rFonts w:ascii="Arial" w:hAnsi="Arial" w:cs="Arial"/>
          <w:sz w:val="22"/>
          <w:szCs w:val="22"/>
        </w:rPr>
      </w:pPr>
      <w:r w:rsidRPr="00F32036">
        <w:rPr>
          <w:rFonts w:ascii="Arial" w:hAnsi="Arial" w:cs="Arial"/>
          <w:sz w:val="22"/>
          <w:szCs w:val="22"/>
        </w:rPr>
        <w:t xml:space="preserve">This dimension specifies the scope of works that may be reproduced or otherwise be made accessible. These statutes generally apply to any </w:t>
      </w:r>
      <w:proofErr w:type="gramStart"/>
      <w:r w:rsidRPr="00F32036">
        <w:rPr>
          <w:rFonts w:ascii="Arial" w:hAnsi="Arial" w:cs="Arial"/>
          <w:sz w:val="22"/>
          <w:szCs w:val="22"/>
        </w:rPr>
        <w:t>works</w:t>
      </w:r>
      <w:proofErr w:type="gramEnd"/>
      <w:r w:rsidRPr="00F32036">
        <w:rPr>
          <w:rFonts w:ascii="Arial" w:hAnsi="Arial" w:cs="Arial"/>
          <w:sz w:val="22"/>
          <w:szCs w:val="22"/>
        </w:rPr>
        <w:t xml:space="preserve"> in the institution’s collection, but there may be reason to put limits on some types of </w:t>
      </w:r>
      <w:proofErr w:type="gramStart"/>
      <w:r w:rsidRPr="00F32036">
        <w:rPr>
          <w:rFonts w:ascii="Arial" w:hAnsi="Arial" w:cs="Arial"/>
          <w:sz w:val="22"/>
          <w:szCs w:val="22"/>
        </w:rPr>
        <w:t>works</w:t>
      </w:r>
      <w:proofErr w:type="gramEnd"/>
      <w:r w:rsidRPr="00F32036">
        <w:rPr>
          <w:rFonts w:ascii="Arial" w:hAnsi="Arial" w:cs="Arial"/>
          <w:sz w:val="22"/>
          <w:szCs w:val="22"/>
        </w:rPr>
        <w:t>, where security and privacy are critical.</w:t>
      </w:r>
    </w:p>
    <w:p w14:paraId="79CCACA0" w14:textId="77777777" w:rsidR="00C019A0" w:rsidRDefault="00C019A0" w:rsidP="002262EC">
      <w:pPr>
        <w:rPr>
          <w:szCs w:val="22"/>
        </w:rPr>
      </w:pPr>
    </w:p>
    <w:p w14:paraId="0BAB31AE" w14:textId="77777777" w:rsidR="002262EC" w:rsidRDefault="002262EC" w:rsidP="002262EC">
      <w:pPr>
        <w:rPr>
          <w:szCs w:val="22"/>
        </w:rPr>
      </w:pPr>
    </w:p>
    <w:p w14:paraId="3241AF28" w14:textId="77777777" w:rsidR="002262EC" w:rsidRPr="002262EC" w:rsidRDefault="002262EC" w:rsidP="000C3803">
      <w:pPr>
        <w:rPr>
          <w:szCs w:val="22"/>
        </w:rPr>
      </w:pPr>
    </w:p>
    <w:p w14:paraId="3C07694A" w14:textId="77777777" w:rsidR="00C019A0" w:rsidRPr="00F32036" w:rsidRDefault="00C019A0" w:rsidP="00C019A0">
      <w:pPr>
        <w:pStyle w:val="ListParagraph"/>
        <w:numPr>
          <w:ilvl w:val="0"/>
          <w:numId w:val="13"/>
        </w:numPr>
        <w:spacing w:after="0" w:line="240" w:lineRule="auto"/>
        <w:rPr>
          <w:rFonts w:ascii="Arial" w:hAnsi="Arial" w:cs="Arial"/>
          <w:i/>
          <w:iCs/>
          <w:sz w:val="22"/>
          <w:szCs w:val="22"/>
        </w:rPr>
      </w:pPr>
      <w:r w:rsidRPr="00F32036">
        <w:rPr>
          <w:rFonts w:ascii="Arial" w:hAnsi="Arial" w:cs="Arial"/>
          <w:b/>
          <w:bCs/>
          <w:i/>
          <w:iCs/>
          <w:sz w:val="22"/>
          <w:szCs w:val="22"/>
        </w:rPr>
        <w:t>Why</w:t>
      </w:r>
      <w:r w:rsidRPr="00F32036">
        <w:rPr>
          <w:rFonts w:ascii="Arial" w:hAnsi="Arial" w:cs="Arial"/>
          <w:i/>
          <w:iCs/>
          <w:sz w:val="22"/>
          <w:szCs w:val="22"/>
        </w:rPr>
        <w:t xml:space="preserve"> May the Works be Accessed?</w:t>
      </w:r>
    </w:p>
    <w:p w14:paraId="035F1CC5" w14:textId="77777777" w:rsidR="00C019A0" w:rsidRPr="00F32036" w:rsidRDefault="00C019A0" w:rsidP="00C019A0">
      <w:pPr>
        <w:pStyle w:val="ListParagraph"/>
        <w:numPr>
          <w:ilvl w:val="1"/>
          <w:numId w:val="13"/>
        </w:numPr>
        <w:spacing w:after="0" w:line="240" w:lineRule="auto"/>
        <w:ind w:left="1276"/>
        <w:rPr>
          <w:rFonts w:ascii="Arial" w:hAnsi="Arial" w:cs="Arial"/>
          <w:sz w:val="22"/>
          <w:szCs w:val="22"/>
        </w:rPr>
      </w:pPr>
      <w:r w:rsidRPr="00F32036">
        <w:rPr>
          <w:rFonts w:ascii="Arial" w:hAnsi="Arial" w:cs="Arial"/>
          <w:sz w:val="22"/>
          <w:szCs w:val="22"/>
        </w:rPr>
        <w:t>This dimension specifies the reasons for allowing access. In the example of dedicated terminals, the purpose is largely undertaken to help ease access and ensure that the works are available; further limits on purpose and adding other conditions may be inappropriate. By contrast, when copies are made for preservation, an effective statute could clarify that the preservation copy may be used on the same terms as the original, and that the original may be retained in the collection, but perhaps only for research objectives, where the original is needed.</w:t>
      </w:r>
    </w:p>
    <w:p w14:paraId="72DF5FB8" w14:textId="77777777" w:rsidR="00C019A0" w:rsidRPr="00F32036" w:rsidRDefault="00C019A0" w:rsidP="00C019A0">
      <w:pPr>
        <w:pStyle w:val="ListParagraph"/>
        <w:ind w:left="1440"/>
        <w:rPr>
          <w:rFonts w:ascii="Arial" w:hAnsi="Arial" w:cs="Arial"/>
          <w:sz w:val="22"/>
          <w:szCs w:val="22"/>
        </w:rPr>
      </w:pPr>
    </w:p>
    <w:p w14:paraId="7E6811D9" w14:textId="77777777" w:rsidR="00C019A0" w:rsidRPr="00F32036" w:rsidRDefault="00C019A0" w:rsidP="00C019A0">
      <w:pPr>
        <w:pStyle w:val="ListParagraph"/>
        <w:numPr>
          <w:ilvl w:val="0"/>
          <w:numId w:val="13"/>
        </w:numPr>
        <w:spacing w:after="0" w:line="240" w:lineRule="auto"/>
        <w:rPr>
          <w:rFonts w:ascii="Arial" w:hAnsi="Arial" w:cs="Arial"/>
          <w:i/>
          <w:iCs/>
          <w:sz w:val="22"/>
          <w:szCs w:val="22"/>
        </w:rPr>
      </w:pPr>
      <w:r w:rsidRPr="00F32036">
        <w:rPr>
          <w:rFonts w:ascii="Arial" w:hAnsi="Arial" w:cs="Arial"/>
          <w:b/>
          <w:bCs/>
          <w:i/>
          <w:iCs/>
          <w:sz w:val="22"/>
          <w:szCs w:val="22"/>
        </w:rPr>
        <w:t>How</w:t>
      </w:r>
      <w:r w:rsidRPr="00F32036">
        <w:rPr>
          <w:rFonts w:ascii="Arial" w:hAnsi="Arial" w:cs="Arial"/>
          <w:i/>
          <w:iCs/>
          <w:sz w:val="22"/>
          <w:szCs w:val="22"/>
        </w:rPr>
        <w:t xml:space="preserve"> May the Works be Accessed?</w:t>
      </w:r>
    </w:p>
    <w:p w14:paraId="7981A358" w14:textId="77777777" w:rsidR="00C019A0" w:rsidRPr="00F32036" w:rsidRDefault="00C019A0" w:rsidP="00C019A0">
      <w:pPr>
        <w:pStyle w:val="ListParagraph"/>
        <w:numPr>
          <w:ilvl w:val="1"/>
          <w:numId w:val="13"/>
        </w:numPr>
        <w:spacing w:after="0" w:line="240" w:lineRule="auto"/>
        <w:ind w:left="1276"/>
        <w:rPr>
          <w:rFonts w:ascii="Arial" w:hAnsi="Arial" w:cs="Arial"/>
          <w:sz w:val="22"/>
          <w:szCs w:val="22"/>
        </w:rPr>
      </w:pPr>
      <w:r w:rsidRPr="00F32036">
        <w:rPr>
          <w:rFonts w:ascii="Arial" w:hAnsi="Arial" w:cs="Arial"/>
          <w:sz w:val="22"/>
          <w:szCs w:val="22"/>
        </w:rPr>
        <w:t xml:space="preserve">This dimension is fundamentally a question of access, and the </w:t>
      </w:r>
      <w:r w:rsidRPr="00A72E64">
        <w:rPr>
          <w:rFonts w:ascii="Arial" w:hAnsi="Arial" w:cs="Arial"/>
          <w:i/>
          <w:iCs/>
          <w:sz w:val="22"/>
          <w:szCs w:val="22"/>
        </w:rPr>
        <w:t>Toolkit on Preservation</w:t>
      </w:r>
      <w:r>
        <w:rPr>
          <w:rFonts w:ascii="Arial" w:hAnsi="Arial" w:cs="Arial"/>
          <w:sz w:val="22"/>
          <w:szCs w:val="22"/>
        </w:rPr>
        <w:t xml:space="preserve"> </w:t>
      </w:r>
      <w:r w:rsidRPr="00F32036">
        <w:rPr>
          <w:rFonts w:ascii="Arial" w:hAnsi="Arial" w:cs="Arial"/>
          <w:sz w:val="22"/>
          <w:szCs w:val="22"/>
        </w:rPr>
        <w:t>reserved these issues for this new toolkit. A statute allowing an institution to make digital copies available on dedicated terminals might include provisions stipulating access details, such as the number of copies for simultaneous use, and the standards for permitting users to make isolated copies, whether digital or print.</w:t>
      </w:r>
    </w:p>
    <w:p w14:paraId="7D646E5C" w14:textId="77777777" w:rsidR="00C019A0" w:rsidRPr="00F32036" w:rsidRDefault="00C019A0" w:rsidP="00C019A0">
      <w:pPr>
        <w:rPr>
          <w:szCs w:val="22"/>
        </w:rPr>
      </w:pPr>
    </w:p>
    <w:p w14:paraId="10EAC852" w14:textId="77777777" w:rsidR="00C019A0" w:rsidRPr="00F32036" w:rsidRDefault="00C019A0" w:rsidP="00C019A0">
      <w:pPr>
        <w:pStyle w:val="Level2"/>
      </w:pPr>
      <w:bookmarkStart w:id="61" w:name="_Toc219210302"/>
      <w:r w:rsidRPr="00F32036">
        <w:t>St</w:t>
      </w:r>
      <w:r>
        <w:t>ages in</w:t>
      </w:r>
      <w:r w:rsidRPr="00F32036">
        <w:t xml:space="preserve"> the Charts and the Scope of Access</w:t>
      </w:r>
      <w:bookmarkEnd w:id="61"/>
    </w:p>
    <w:p w14:paraId="1A139FDF" w14:textId="77777777" w:rsidR="00C019A0" w:rsidRDefault="00C019A0" w:rsidP="00C019A0">
      <w:pPr>
        <w:rPr>
          <w:szCs w:val="22"/>
        </w:rPr>
      </w:pPr>
      <w:r>
        <w:rPr>
          <w:szCs w:val="22"/>
        </w:rPr>
        <w:br/>
      </w:r>
      <w:r w:rsidRPr="00F32036">
        <w:rPr>
          <w:szCs w:val="22"/>
        </w:rPr>
        <w:t xml:space="preserve">Each </w:t>
      </w:r>
      <w:r>
        <w:rPr>
          <w:szCs w:val="22"/>
        </w:rPr>
        <w:t>Member State</w:t>
      </w:r>
      <w:r w:rsidRPr="00F32036">
        <w:rPr>
          <w:szCs w:val="22"/>
        </w:rPr>
        <w:t xml:space="preserve"> may deliberate and make its own policy decisions about the scope of allowed access, based on its answers to each question posed above. The charts in the Appendix offer details for the available choices that </w:t>
      </w:r>
      <w:r>
        <w:rPr>
          <w:szCs w:val="22"/>
        </w:rPr>
        <w:t>Member State</w:t>
      </w:r>
      <w:r w:rsidRPr="00F32036">
        <w:rPr>
          <w:szCs w:val="22"/>
        </w:rPr>
        <w:t>s might consider and select as they identify the elements of a</w:t>
      </w:r>
      <w:r>
        <w:rPr>
          <w:szCs w:val="22"/>
        </w:rPr>
        <w:t xml:space="preserve">n access </w:t>
      </w:r>
      <w:r w:rsidRPr="00F32036">
        <w:rPr>
          <w:szCs w:val="22"/>
        </w:rPr>
        <w:t>statute that are most appropriate for that country.</w:t>
      </w:r>
    </w:p>
    <w:p w14:paraId="7DE8FCAF" w14:textId="77777777" w:rsidR="00C019A0" w:rsidRPr="00F32036" w:rsidRDefault="00C019A0" w:rsidP="00C019A0">
      <w:pPr>
        <w:rPr>
          <w:szCs w:val="22"/>
        </w:rPr>
      </w:pPr>
    </w:p>
    <w:p w14:paraId="6E32BB22" w14:textId="77777777" w:rsidR="00C019A0" w:rsidRDefault="00C019A0" w:rsidP="00C019A0">
      <w:pPr>
        <w:rPr>
          <w:szCs w:val="22"/>
        </w:rPr>
      </w:pPr>
      <w:r w:rsidRPr="00F32036">
        <w:rPr>
          <w:szCs w:val="22"/>
        </w:rPr>
        <w:t xml:space="preserve">The charts are thus an elaborate and organized starting resource for comprehending possible alternative provisions for a thoughtful and effective statute. The practical process of drafting the copyright exception thus might adhere to the following three steps. In the </w:t>
      </w:r>
      <w:r w:rsidRPr="00F32036">
        <w:rPr>
          <w:i/>
          <w:iCs/>
          <w:szCs w:val="22"/>
        </w:rPr>
        <w:t>Toolkit on Preservation</w:t>
      </w:r>
      <w:r w:rsidRPr="00F32036">
        <w:rPr>
          <w:szCs w:val="22"/>
        </w:rPr>
        <w:t>, the effort was to draft a full statutory provision. By contrast, this toolkit offers an analogous process that ultimately guides users to a section of brief clauses appropriate to the proposed need.</w:t>
      </w:r>
    </w:p>
    <w:p w14:paraId="2B420768" w14:textId="77777777" w:rsidR="00C019A0" w:rsidRPr="00F32036" w:rsidRDefault="00C019A0" w:rsidP="00C019A0">
      <w:pPr>
        <w:rPr>
          <w:szCs w:val="22"/>
        </w:rPr>
      </w:pPr>
    </w:p>
    <w:p w14:paraId="1F22E498" w14:textId="77777777" w:rsidR="00C019A0" w:rsidRPr="00F32036" w:rsidRDefault="00C019A0" w:rsidP="00C019A0">
      <w:pPr>
        <w:ind w:left="360"/>
        <w:rPr>
          <w:b/>
          <w:bCs/>
          <w:szCs w:val="22"/>
        </w:rPr>
      </w:pPr>
      <w:r w:rsidRPr="00F32036">
        <w:rPr>
          <w:b/>
          <w:bCs/>
          <w:szCs w:val="22"/>
        </w:rPr>
        <w:t>St</w:t>
      </w:r>
      <w:r>
        <w:rPr>
          <w:b/>
          <w:bCs/>
          <w:szCs w:val="22"/>
        </w:rPr>
        <w:t>age</w:t>
      </w:r>
      <w:r w:rsidRPr="00F32036">
        <w:rPr>
          <w:b/>
          <w:bCs/>
          <w:szCs w:val="22"/>
        </w:rPr>
        <w:t xml:space="preserve"> ONE</w:t>
      </w:r>
      <w:proofErr w:type="gramStart"/>
      <w:r w:rsidRPr="00F32036">
        <w:rPr>
          <w:b/>
          <w:bCs/>
          <w:szCs w:val="22"/>
        </w:rPr>
        <w:t>:  Specify</w:t>
      </w:r>
      <w:proofErr w:type="gramEnd"/>
      <w:r w:rsidRPr="00F32036">
        <w:rPr>
          <w:b/>
          <w:bCs/>
          <w:szCs w:val="22"/>
        </w:rPr>
        <w:t xml:space="preserve"> Intended Activities that Can Expand Access.  </w:t>
      </w:r>
    </w:p>
    <w:p w14:paraId="18A85D75" w14:textId="77777777" w:rsidR="00C019A0" w:rsidRPr="00F32036" w:rsidRDefault="00C019A0" w:rsidP="00C019A0">
      <w:pPr>
        <w:ind w:left="360"/>
        <w:rPr>
          <w:szCs w:val="22"/>
        </w:rPr>
      </w:pPr>
      <w:r w:rsidRPr="00F32036">
        <w:rPr>
          <w:szCs w:val="22"/>
        </w:rPr>
        <w:t xml:space="preserve">In the context of access </w:t>
      </w:r>
      <w:proofErr w:type="gramStart"/>
      <w:r w:rsidRPr="00F32036">
        <w:rPr>
          <w:szCs w:val="22"/>
        </w:rPr>
        <w:t>on</w:t>
      </w:r>
      <w:proofErr w:type="gramEnd"/>
      <w:r w:rsidRPr="00F32036">
        <w:rPr>
          <w:szCs w:val="22"/>
        </w:rPr>
        <w:t xml:space="preserve"> dedicated terminals, access is optimized through various activities and services that call for uses of works in the collection. Many such activities implicate copyright: making and storing </w:t>
      </w:r>
      <w:proofErr w:type="gramStart"/>
      <w:r w:rsidRPr="00F32036">
        <w:rPr>
          <w:szCs w:val="22"/>
        </w:rPr>
        <w:t>the digital</w:t>
      </w:r>
      <w:proofErr w:type="gramEnd"/>
      <w:r w:rsidRPr="00F32036">
        <w:rPr>
          <w:szCs w:val="22"/>
        </w:rPr>
        <w:t xml:space="preserve"> copies; allowing the works to be viewed from identified terminals; permitting researchers to make print or digital copies for study.</w:t>
      </w:r>
    </w:p>
    <w:p w14:paraId="0E161ADD" w14:textId="77777777" w:rsidR="00C019A0" w:rsidRPr="00F32036" w:rsidRDefault="00C019A0" w:rsidP="00C019A0">
      <w:pPr>
        <w:ind w:left="360"/>
        <w:rPr>
          <w:b/>
          <w:bCs/>
          <w:szCs w:val="22"/>
        </w:rPr>
      </w:pPr>
      <w:r w:rsidRPr="00F32036">
        <w:rPr>
          <w:b/>
          <w:bCs/>
          <w:szCs w:val="22"/>
        </w:rPr>
        <w:t>St</w:t>
      </w:r>
      <w:r>
        <w:rPr>
          <w:b/>
          <w:bCs/>
          <w:szCs w:val="22"/>
        </w:rPr>
        <w:t>age</w:t>
      </w:r>
      <w:r w:rsidRPr="00F32036">
        <w:rPr>
          <w:b/>
          <w:bCs/>
          <w:szCs w:val="22"/>
        </w:rPr>
        <w:t xml:space="preserve"> TWO</w:t>
      </w:r>
      <w:proofErr w:type="gramStart"/>
      <w:r w:rsidRPr="00F32036">
        <w:rPr>
          <w:b/>
          <w:bCs/>
          <w:szCs w:val="22"/>
        </w:rPr>
        <w:t>:  Identify</w:t>
      </w:r>
      <w:proofErr w:type="gramEnd"/>
      <w:r w:rsidRPr="00F32036">
        <w:rPr>
          <w:b/>
          <w:bCs/>
          <w:szCs w:val="22"/>
        </w:rPr>
        <w:t xml:space="preserve"> Ownership Rights that Could be Affected.  </w:t>
      </w:r>
    </w:p>
    <w:p w14:paraId="01113D19" w14:textId="77777777" w:rsidR="00C019A0" w:rsidRPr="00F32036" w:rsidRDefault="00C019A0" w:rsidP="00C019A0">
      <w:pPr>
        <w:ind w:left="360"/>
        <w:rPr>
          <w:szCs w:val="22"/>
        </w:rPr>
      </w:pPr>
      <w:r w:rsidRPr="00F32036">
        <w:rPr>
          <w:szCs w:val="22"/>
        </w:rPr>
        <w:t xml:space="preserve">Each of the activities and services of the institution may implicate rights of third-party copyright owners, </w:t>
      </w:r>
      <w:proofErr w:type="gramStart"/>
      <w:r w:rsidRPr="00F32036">
        <w:rPr>
          <w:szCs w:val="22"/>
        </w:rPr>
        <w:t>such as:</w:t>
      </w:r>
      <w:proofErr w:type="gramEnd"/>
      <w:r w:rsidRPr="00F32036">
        <w:rPr>
          <w:szCs w:val="22"/>
        </w:rPr>
        <w:t xml:space="preserve"> reproduction of works; distribution on digital networks; circumvention of </w:t>
      </w:r>
      <w:r>
        <w:rPr>
          <w:szCs w:val="22"/>
        </w:rPr>
        <w:t>technological protection measure</w:t>
      </w:r>
      <w:r w:rsidRPr="00F32036">
        <w:rPr>
          <w:szCs w:val="22"/>
        </w:rPr>
        <w:t>s; public display and performance</w:t>
      </w:r>
      <w:r>
        <w:rPr>
          <w:szCs w:val="22"/>
        </w:rPr>
        <w:t>.</w:t>
      </w:r>
    </w:p>
    <w:p w14:paraId="0D618D06" w14:textId="77777777" w:rsidR="00C019A0" w:rsidRPr="00F32036" w:rsidRDefault="00C019A0" w:rsidP="00C019A0">
      <w:pPr>
        <w:ind w:left="360"/>
        <w:rPr>
          <w:b/>
          <w:bCs/>
          <w:szCs w:val="22"/>
        </w:rPr>
      </w:pPr>
      <w:r w:rsidRPr="00F32036">
        <w:rPr>
          <w:b/>
          <w:bCs/>
          <w:szCs w:val="22"/>
        </w:rPr>
        <w:t>St</w:t>
      </w:r>
      <w:r>
        <w:rPr>
          <w:b/>
          <w:bCs/>
          <w:szCs w:val="22"/>
        </w:rPr>
        <w:t>age</w:t>
      </w:r>
      <w:r w:rsidRPr="00F32036">
        <w:rPr>
          <w:b/>
          <w:bCs/>
          <w:szCs w:val="22"/>
        </w:rPr>
        <w:t xml:space="preserve"> THREE</w:t>
      </w:r>
      <w:proofErr w:type="gramStart"/>
      <w:r w:rsidRPr="00F32036">
        <w:rPr>
          <w:b/>
          <w:bCs/>
          <w:szCs w:val="22"/>
        </w:rPr>
        <w:t xml:space="preserve">:  </w:t>
      </w:r>
      <w:r>
        <w:rPr>
          <w:b/>
          <w:bCs/>
          <w:szCs w:val="22"/>
        </w:rPr>
        <w:t>Draft</w:t>
      </w:r>
      <w:proofErr w:type="gramEnd"/>
      <w:r>
        <w:rPr>
          <w:b/>
          <w:bCs/>
          <w:szCs w:val="22"/>
        </w:rPr>
        <w:t xml:space="preserve"> </w:t>
      </w:r>
      <w:r w:rsidRPr="00F32036">
        <w:rPr>
          <w:b/>
          <w:bCs/>
          <w:szCs w:val="22"/>
        </w:rPr>
        <w:t xml:space="preserve">Elements of Relevant Statutory Exceptions or Policy Measures.  </w:t>
      </w:r>
    </w:p>
    <w:p w14:paraId="726BE7B5" w14:textId="77777777" w:rsidR="00C019A0" w:rsidRPr="00F32036" w:rsidRDefault="00C019A0" w:rsidP="00C019A0">
      <w:pPr>
        <w:ind w:left="360"/>
        <w:rPr>
          <w:szCs w:val="22"/>
        </w:rPr>
      </w:pPr>
      <w:r>
        <w:rPr>
          <w:szCs w:val="22"/>
        </w:rPr>
        <w:t xml:space="preserve">Whether developing a policy position or the language of a statute, drafters </w:t>
      </w:r>
      <w:r w:rsidRPr="00F32036">
        <w:rPr>
          <w:szCs w:val="22"/>
        </w:rPr>
        <w:t>of the measure make the decisions about the desired activities, the dimensions of the policy position (as described above), and the legal implications. The final step includes drafting the language of the statute or policy that resolves the copyright issues and supports the full range of desired access in furtherance of the institutional mission.</w:t>
      </w:r>
    </w:p>
    <w:p w14:paraId="30A50FDE" w14:textId="77777777" w:rsidR="00C019A0" w:rsidRDefault="00C019A0" w:rsidP="00C019A0">
      <w:pPr>
        <w:rPr>
          <w:szCs w:val="22"/>
        </w:rPr>
      </w:pPr>
    </w:p>
    <w:p w14:paraId="475E7251" w14:textId="77777777" w:rsidR="00C019A0" w:rsidRDefault="00C019A0" w:rsidP="00C019A0">
      <w:pPr>
        <w:rPr>
          <w:szCs w:val="22"/>
        </w:rPr>
      </w:pPr>
      <w:r w:rsidRPr="00F32036">
        <w:rPr>
          <w:szCs w:val="22"/>
        </w:rPr>
        <w:t xml:space="preserve">To be clear, the charts in </w:t>
      </w:r>
      <w:r>
        <w:rPr>
          <w:szCs w:val="22"/>
        </w:rPr>
        <w:t xml:space="preserve">the appendix </w:t>
      </w:r>
      <w:r w:rsidRPr="00F32036">
        <w:rPr>
          <w:szCs w:val="22"/>
        </w:rPr>
        <w:t xml:space="preserve">are part of this toolkit </w:t>
      </w:r>
      <w:proofErr w:type="gramStart"/>
      <w:r w:rsidRPr="00F32036">
        <w:rPr>
          <w:szCs w:val="22"/>
        </w:rPr>
        <w:t>in order to</w:t>
      </w:r>
      <w:proofErr w:type="gramEnd"/>
      <w:r w:rsidRPr="00F32036">
        <w:rPr>
          <w:szCs w:val="22"/>
        </w:rPr>
        <w:t xml:space="preserve"> offer choices to </w:t>
      </w:r>
      <w:r>
        <w:rPr>
          <w:szCs w:val="22"/>
        </w:rPr>
        <w:t>drafters in the Member State</w:t>
      </w:r>
      <w:r w:rsidRPr="00F32036">
        <w:rPr>
          <w:szCs w:val="22"/>
        </w:rPr>
        <w:t>s, and yet no country should realistically consider including all or even most of the points presented here in their copyright statutes. Ideally, each country will use this toolkit to learn more about its options and draft a statute that is optimally aligned with the country’s specific needs and priorities.</w:t>
      </w:r>
    </w:p>
    <w:p w14:paraId="0D546FE3" w14:textId="77777777" w:rsidR="00C019A0" w:rsidRDefault="00C019A0" w:rsidP="00C019A0">
      <w:pPr>
        <w:rPr>
          <w:szCs w:val="22"/>
        </w:rPr>
      </w:pPr>
    </w:p>
    <w:p w14:paraId="7B54FE80" w14:textId="77777777" w:rsidR="00C019A0" w:rsidRPr="00372F3B" w:rsidRDefault="00C019A0" w:rsidP="00C019A0">
      <w:pPr>
        <w:pStyle w:val="Level2"/>
      </w:pPr>
      <w:bookmarkStart w:id="62" w:name="_Toc219210303"/>
      <w:r w:rsidRPr="00372F3B">
        <w:t>Drafting an Example Statute</w:t>
      </w:r>
      <w:bookmarkEnd w:id="62"/>
    </w:p>
    <w:p w14:paraId="06B466B2" w14:textId="77777777" w:rsidR="00C019A0" w:rsidRDefault="00C019A0" w:rsidP="00C019A0">
      <w:pPr>
        <w:rPr>
          <w:szCs w:val="22"/>
        </w:rPr>
      </w:pPr>
    </w:p>
    <w:p w14:paraId="51D4673F" w14:textId="77777777" w:rsidR="00C019A0" w:rsidRDefault="00C019A0" w:rsidP="00C019A0">
      <w:pPr>
        <w:rPr>
          <w:szCs w:val="22"/>
        </w:rPr>
      </w:pPr>
      <w:r>
        <w:rPr>
          <w:szCs w:val="22"/>
        </w:rPr>
        <w:t xml:space="preserve">The </w:t>
      </w:r>
      <w:r w:rsidRPr="00215A07">
        <w:rPr>
          <w:i/>
          <w:iCs/>
          <w:szCs w:val="22"/>
        </w:rPr>
        <w:t>Toolkit on Preservation</w:t>
      </w:r>
      <w:r>
        <w:rPr>
          <w:szCs w:val="22"/>
        </w:rPr>
        <w:t xml:space="preserve"> includes a detailed description of a process for drafting a statutory exception to support preservation and respond to the interests of diverse stakeholders. As emphasized in this toolkit, the drafters using the </w:t>
      </w:r>
      <w:r w:rsidRPr="00E57F70">
        <w:rPr>
          <w:i/>
          <w:iCs/>
          <w:szCs w:val="22"/>
        </w:rPr>
        <w:t>Toolkit on Preservation</w:t>
      </w:r>
      <w:r>
        <w:rPr>
          <w:szCs w:val="22"/>
        </w:rPr>
        <w:t xml:space="preserve"> have choices about the content of the statute and its exact language. That toolkit includes a detailed example statute, which shows how the desired elements can be incorporated into a single provision of </w:t>
      </w:r>
      <w:proofErr w:type="gramStart"/>
      <w:r>
        <w:rPr>
          <w:szCs w:val="22"/>
        </w:rPr>
        <w:t>the copyright</w:t>
      </w:r>
      <w:proofErr w:type="gramEnd"/>
      <w:r>
        <w:rPr>
          <w:szCs w:val="22"/>
        </w:rPr>
        <w:t xml:space="preserve"> law. This current </w:t>
      </w:r>
      <w:r w:rsidRPr="003B4876">
        <w:rPr>
          <w:i/>
          <w:iCs/>
          <w:szCs w:val="22"/>
        </w:rPr>
        <w:t>Toolkit on Access</w:t>
      </w:r>
      <w:r>
        <w:rPr>
          <w:szCs w:val="22"/>
        </w:rPr>
        <w:t xml:space="preserve"> includes here an example statute that includes selected access provisions.</w:t>
      </w:r>
    </w:p>
    <w:p w14:paraId="5C89B8A6" w14:textId="77777777" w:rsidR="00C019A0" w:rsidRPr="00215A07" w:rsidRDefault="00C019A0" w:rsidP="00C019A0">
      <w:pPr>
        <w:rPr>
          <w:szCs w:val="22"/>
        </w:rPr>
      </w:pPr>
    </w:p>
    <w:p w14:paraId="2A7D8D33" w14:textId="77777777" w:rsidR="00C019A0" w:rsidRPr="00E25F61" w:rsidRDefault="00C019A0" w:rsidP="00C019A0">
      <w:pPr>
        <w:rPr>
          <w:szCs w:val="22"/>
        </w:rPr>
      </w:pPr>
      <w:r>
        <w:rPr>
          <w:szCs w:val="22"/>
        </w:rPr>
        <w:t xml:space="preserve">The example statute below begins with the example from the </w:t>
      </w:r>
      <w:r w:rsidRPr="00F2586C">
        <w:rPr>
          <w:i/>
          <w:iCs/>
          <w:szCs w:val="22"/>
        </w:rPr>
        <w:t>Toolkit on Preservation</w:t>
      </w:r>
      <w:r>
        <w:rPr>
          <w:szCs w:val="22"/>
        </w:rPr>
        <w:t xml:space="preserve">. That example was developed according to the toolkit processes and has been thoroughly reviewed by the Member States and interested stakeholders. This toolkit adds to the example by adding a selection of clauses that are especially appropriate for enhancing access and including limits and safeguards to protect rightsholder interests. </w:t>
      </w:r>
    </w:p>
    <w:p w14:paraId="2D9EAFA6" w14:textId="77777777" w:rsidR="00C019A0" w:rsidRDefault="00C019A0" w:rsidP="00C019A0">
      <w:r w:rsidRPr="007207D1">
        <w:rPr>
          <w:b/>
          <w:bCs/>
          <w:noProof/>
          <w:color w:val="00B050"/>
          <w:sz w:val="20"/>
        </w:rPr>
        <mc:AlternateContent>
          <mc:Choice Requires="wps">
            <w:drawing>
              <wp:anchor distT="45720" distB="45720" distL="114300" distR="114300" simplePos="0" relativeHeight="251665408" behindDoc="0" locked="0" layoutInCell="1" allowOverlap="1" wp14:anchorId="0E4CD3FB" wp14:editId="346CFC61">
                <wp:simplePos x="0" y="0"/>
                <wp:positionH relativeFrom="column">
                  <wp:posOffset>4214642</wp:posOffset>
                </wp:positionH>
                <wp:positionV relativeFrom="paragraph">
                  <wp:posOffset>2788341</wp:posOffset>
                </wp:positionV>
                <wp:extent cx="2360930" cy="948055"/>
                <wp:effectExtent l="0" t="0" r="22860" b="23495"/>
                <wp:wrapSquare wrapText="bothSides"/>
                <wp:docPr id="15377828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48055"/>
                        </a:xfrm>
                        <a:prstGeom prst="rect">
                          <a:avLst/>
                        </a:prstGeom>
                        <a:solidFill>
                          <a:srgbClr val="FFFFFF"/>
                        </a:solidFill>
                        <a:ln w="9525">
                          <a:solidFill>
                            <a:srgbClr val="000000"/>
                          </a:solidFill>
                          <a:miter lim="800000"/>
                          <a:headEnd/>
                          <a:tailEnd/>
                        </a:ln>
                      </wps:spPr>
                      <wps:txbx>
                        <w:txbxContent>
                          <w:p w14:paraId="3BE14255" w14:textId="77777777" w:rsidR="00C019A0" w:rsidRPr="00DD3256" w:rsidRDefault="00C019A0" w:rsidP="00C019A0">
                            <w:pPr>
                              <w:rPr>
                                <w:b/>
                                <w:bCs/>
                                <w:color w:val="00B050"/>
                                <w:sz w:val="20"/>
                              </w:rPr>
                            </w:pPr>
                            <w:r w:rsidRPr="00DD3256">
                              <w:rPr>
                                <w:b/>
                                <w:bCs/>
                                <w:color w:val="00B050"/>
                                <w:sz w:val="20"/>
                              </w:rPr>
                              <w:t>Preamble Language</w:t>
                            </w:r>
                          </w:p>
                          <w:p w14:paraId="4BBA8BFF" w14:textId="77777777" w:rsidR="00C019A0" w:rsidRPr="00DD3256" w:rsidRDefault="00C019A0" w:rsidP="00C019A0">
                            <w:pPr>
                              <w:rPr>
                                <w:sz w:val="20"/>
                              </w:rPr>
                            </w:pPr>
                            <w:r w:rsidRPr="00DD3256">
                              <w:rPr>
                                <w:sz w:val="20"/>
                              </w:rPr>
                              <w:t>Makes clear from the beginning of the statute that it is intended to facilitate access to the works in question.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E4CD3FB" id="_x0000_s1028" type="#_x0000_t202" style="position:absolute;margin-left:331.85pt;margin-top:219.55pt;width:185.9pt;height:74.65pt;z-index:25166540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">
                <v:textbox>
                  <w:txbxContent>
                    <w:p w14:paraId="3BE14255" w14:textId="77777777" w:rsidR="00C019A0" w:rsidRPr="00DD3256" w:rsidRDefault="00C019A0" w:rsidP="00C019A0">
                      <w:pPr>
                        <w:rPr>
                          <w:b/>
                          <w:bCs/>
                          <w:color w:val="00B050"/>
                          <w:sz w:val="20"/>
                        </w:rPr>
                      </w:pPr>
                      <w:r w:rsidRPr="00DD3256">
                        <w:rPr>
                          <w:b/>
                          <w:bCs/>
                          <w:color w:val="00B050"/>
                          <w:sz w:val="20"/>
                        </w:rPr>
                        <w:t>Preamble Language</w:t>
                      </w:r>
                    </w:p>
                    <w:p w14:paraId="4BBA8BFF" w14:textId="77777777" w:rsidR="00C019A0" w:rsidRPr="00DD3256" w:rsidRDefault="00C019A0" w:rsidP="00C019A0">
                      <w:pPr>
                        <w:rPr>
                          <w:sz w:val="20"/>
                        </w:rPr>
                      </w:pPr>
                      <w:r w:rsidRPr="00DD3256">
                        <w:rPr>
                          <w:sz w:val="20"/>
                        </w:rPr>
                        <w:t>Makes clear from the beginning of the statute that it is intended to facilitate access to the works in question.</w:t>
                      </w:r>
                    </w:p>
                  </w:txbxContent>
                </v:textbox>
                <w10:wrap type="square"/>
              </v:shape>
            </w:pict>
          </mc:Fallback>
        </mc:AlternateContent>
      </w:r>
    </w:p>
    <w:tbl>
      <w:tblPr>
        <w:tblStyle w:val="TableGrid"/>
        <w:tblW w:w="0" w:type="auto"/>
        <w:tblInd w:w="-185" w:type="dxa"/>
        <w:tblLook w:val="04A0" w:firstRow="1" w:lastRow="0" w:firstColumn="1" w:lastColumn="0" w:noHBand="0" w:noVBand="1"/>
      </w:tblPr>
      <w:tblGrid>
        <w:gridCol w:w="6570"/>
      </w:tblGrid>
      <w:tr w:rsidR="00C019A0" w:rsidRPr="00AB214E" w14:paraId="1BA050F1" w14:textId="77777777" w:rsidTr="008069EB">
        <w:trPr>
          <w:trHeight w:val="276"/>
        </w:trPr>
        <w:tc>
          <w:tcPr>
            <w:tcW w:w="6570" w:type="dxa"/>
          </w:tcPr>
          <w:p w14:paraId="3BC55024" w14:textId="77777777" w:rsidR="00C019A0" w:rsidRPr="00F15683" w:rsidRDefault="00C019A0" w:rsidP="008069EB">
            <w:pPr>
              <w:rPr>
                <w:b/>
                <w:sz w:val="20"/>
                <w:szCs w:val="20"/>
              </w:rPr>
            </w:pPr>
            <w:r w:rsidRPr="00F15683">
              <w:rPr>
                <w:b/>
                <w:sz w:val="20"/>
                <w:szCs w:val="20"/>
              </w:rPr>
              <w:t>Construct and Draft the Statute</w:t>
            </w:r>
          </w:p>
        </w:tc>
      </w:tr>
      <w:tr w:rsidR="00C019A0" w:rsidRPr="00AB214E" w14:paraId="1C3F86E9" w14:textId="77777777" w:rsidTr="008069EB">
        <w:trPr>
          <w:trHeight w:val="276"/>
        </w:trPr>
        <w:tc>
          <w:tcPr>
            <w:tcW w:w="6570" w:type="dxa"/>
          </w:tcPr>
          <w:p w14:paraId="704DFB8C" w14:textId="77777777" w:rsidR="00C019A0" w:rsidRPr="00F15683" w:rsidRDefault="00C019A0" w:rsidP="008069EB">
            <w:pPr>
              <w:rPr>
                <w:bCs/>
                <w:sz w:val="20"/>
                <w:szCs w:val="20"/>
              </w:rPr>
            </w:pPr>
          </w:p>
          <w:p w14:paraId="7AB82D6E" w14:textId="77777777" w:rsidR="00C019A0" w:rsidRPr="00F15683" w:rsidRDefault="00C019A0" w:rsidP="008069EB">
            <w:pPr>
              <w:rPr>
                <w:i/>
                <w:sz w:val="20"/>
                <w:szCs w:val="20"/>
              </w:rPr>
            </w:pPr>
            <w:r w:rsidRPr="00F15683">
              <w:rPr>
                <w:i/>
                <w:sz w:val="20"/>
                <w:szCs w:val="20"/>
              </w:rPr>
              <w:t>NOTE:</w:t>
            </w:r>
          </w:p>
          <w:p w14:paraId="06B3D3AB" w14:textId="77777777" w:rsidR="00C019A0" w:rsidRPr="00F15683" w:rsidRDefault="00C019A0" w:rsidP="008069EB">
            <w:pPr>
              <w:rPr>
                <w:i/>
                <w:sz w:val="20"/>
                <w:szCs w:val="20"/>
              </w:rPr>
            </w:pPr>
            <w:r w:rsidRPr="00F15683">
              <w:rPr>
                <w:i/>
                <w:sz w:val="20"/>
                <w:szCs w:val="20"/>
              </w:rPr>
              <w:t xml:space="preserve">The draft statute below is the text of the “example statute” found in the previous WIPO toolkit on preservation issues. That toolkit centers on the distinct and substantive terms that may be included in a statutory exception, with provisions related to access reserved for detailed examination. This current toolkit now demonstrates how additional terms may be added to the statute. The terms reviewed here may be added to a statute </w:t>
            </w:r>
            <w:proofErr w:type="gramStart"/>
            <w:r w:rsidRPr="00F15683">
              <w:rPr>
                <w:i/>
                <w:sz w:val="20"/>
                <w:szCs w:val="20"/>
              </w:rPr>
              <w:t>in order to</w:t>
            </w:r>
            <w:proofErr w:type="gramEnd"/>
            <w:r w:rsidRPr="00F15683">
              <w:rPr>
                <w:i/>
                <w:sz w:val="20"/>
                <w:szCs w:val="20"/>
              </w:rPr>
              <w:t xml:space="preserve"> optimize access to works in the collection while respecting the interests of rightsholders. A statute on preservation issues is used as an example; access provisions may be included in statutory exceptions on many other subjects. </w:t>
            </w:r>
            <w:r w:rsidRPr="00F15683">
              <w:rPr>
                <w:b/>
                <w:bCs/>
                <w:color w:val="00B050"/>
                <w:sz w:val="20"/>
                <w:szCs w:val="20"/>
              </w:rPr>
              <w:t>The added provisions are identified by the green font</w:t>
            </w:r>
            <w:r w:rsidRPr="00F15683">
              <w:rPr>
                <w:i/>
                <w:sz w:val="20"/>
                <w:szCs w:val="20"/>
              </w:rPr>
              <w:t>.</w:t>
            </w:r>
          </w:p>
          <w:p w14:paraId="3BCC0097" w14:textId="77777777" w:rsidR="00C019A0" w:rsidRPr="00F15683" w:rsidRDefault="00C019A0" w:rsidP="008069EB">
            <w:pPr>
              <w:rPr>
                <w:sz w:val="20"/>
                <w:szCs w:val="20"/>
              </w:rPr>
            </w:pPr>
          </w:p>
        </w:tc>
      </w:tr>
      <w:tr w:rsidR="00C019A0" w:rsidRPr="00AB214E" w14:paraId="56BA99E8" w14:textId="77777777" w:rsidTr="008069EB">
        <w:trPr>
          <w:trHeight w:val="244"/>
        </w:trPr>
        <w:tc>
          <w:tcPr>
            <w:tcW w:w="6570" w:type="dxa"/>
            <w:vMerge w:val="restart"/>
          </w:tcPr>
          <w:p w14:paraId="4C275B41" w14:textId="77777777" w:rsidR="00C019A0" w:rsidRPr="00F15683" w:rsidRDefault="00C019A0" w:rsidP="008069EB">
            <w:pPr>
              <w:rPr>
                <w:sz w:val="20"/>
                <w:szCs w:val="20"/>
              </w:rPr>
            </w:pPr>
          </w:p>
          <w:p w14:paraId="1CE4B8D0" w14:textId="77777777" w:rsidR="00C019A0" w:rsidRPr="00F15683" w:rsidRDefault="00C019A0" w:rsidP="008069EB">
            <w:pPr>
              <w:rPr>
                <w:sz w:val="20"/>
                <w:szCs w:val="20"/>
              </w:rPr>
            </w:pPr>
            <w:r w:rsidRPr="00F15683">
              <w:rPr>
                <w:sz w:val="20"/>
                <w:szCs w:val="20"/>
              </w:rPr>
              <w:t xml:space="preserve">Notwithstanding the rights as set forth in Article [insert number] of this Copyright Act, the reproduction or other use of works consistent with this Article [insert number] is not an infringement of the rights of copyright, related rights, or moral rights. This provision furthers the mission of copyright to serve the public interest by enabling the preservation of a shared cultural heritage </w:t>
            </w:r>
            <w:r w:rsidRPr="00F15683">
              <w:rPr>
                <w:b/>
                <w:bCs/>
                <w:color w:val="00B050"/>
                <w:sz w:val="20"/>
                <w:szCs w:val="20"/>
              </w:rPr>
              <w:t>and facilitating access</w:t>
            </w:r>
            <w:r>
              <w:rPr>
                <w:b/>
                <w:bCs/>
                <w:color w:val="00B050"/>
                <w:sz w:val="20"/>
                <w:szCs w:val="20"/>
              </w:rPr>
              <w:t>, where applicable,</w:t>
            </w:r>
            <w:r w:rsidRPr="00F15683">
              <w:rPr>
                <w:b/>
                <w:bCs/>
                <w:color w:val="00B050"/>
                <w:sz w:val="20"/>
                <w:szCs w:val="20"/>
              </w:rPr>
              <w:t xml:space="preserve"> to </w:t>
            </w:r>
            <w:r>
              <w:rPr>
                <w:b/>
                <w:bCs/>
                <w:color w:val="00B050"/>
                <w:sz w:val="20"/>
                <w:szCs w:val="20"/>
              </w:rPr>
              <w:t xml:space="preserve">original </w:t>
            </w:r>
            <w:r w:rsidRPr="00F15683">
              <w:rPr>
                <w:b/>
                <w:bCs/>
                <w:color w:val="00B050"/>
                <w:sz w:val="20"/>
                <w:szCs w:val="20"/>
              </w:rPr>
              <w:t>works and the</w:t>
            </w:r>
            <w:r>
              <w:rPr>
                <w:b/>
                <w:bCs/>
                <w:color w:val="00B050"/>
                <w:sz w:val="20"/>
                <w:szCs w:val="20"/>
              </w:rPr>
              <w:t>ir</w:t>
            </w:r>
            <w:r w:rsidRPr="00F15683">
              <w:rPr>
                <w:b/>
                <w:bCs/>
                <w:color w:val="00B050"/>
                <w:sz w:val="20"/>
                <w:szCs w:val="20"/>
              </w:rPr>
              <w:t xml:space="preserve"> copies made for preservation</w:t>
            </w:r>
            <w:r w:rsidRPr="00F15683">
              <w:rPr>
                <w:sz w:val="20"/>
                <w:szCs w:val="20"/>
              </w:rPr>
              <w:t xml:space="preserve">. It also serves the private objectives of copyright by setting limits and conditions on uses of copyrighted works </w:t>
            </w:r>
            <w:proofErr w:type="gramStart"/>
            <w:r w:rsidRPr="00F15683">
              <w:rPr>
                <w:sz w:val="20"/>
                <w:szCs w:val="20"/>
              </w:rPr>
              <w:t>in order to</w:t>
            </w:r>
            <w:proofErr w:type="gramEnd"/>
            <w:r w:rsidRPr="00F15683">
              <w:rPr>
                <w:sz w:val="20"/>
                <w:szCs w:val="20"/>
              </w:rPr>
              <w:t xml:space="preserve"> prevent conflicts with the interests of rightsholders.</w:t>
            </w:r>
          </w:p>
          <w:p w14:paraId="0D92C222" w14:textId="77777777" w:rsidR="00C019A0" w:rsidRPr="00F15683" w:rsidRDefault="00C019A0" w:rsidP="008069EB">
            <w:pPr>
              <w:rPr>
                <w:sz w:val="20"/>
                <w:szCs w:val="20"/>
              </w:rPr>
            </w:pPr>
          </w:p>
          <w:p w14:paraId="522E392A" w14:textId="77777777" w:rsidR="00C019A0" w:rsidRPr="00F15683" w:rsidRDefault="00C019A0" w:rsidP="00C019A0">
            <w:pPr>
              <w:pStyle w:val="ListParagraph"/>
              <w:numPr>
                <w:ilvl w:val="0"/>
                <w:numId w:val="15"/>
              </w:numPr>
              <w:spacing w:after="0" w:line="240" w:lineRule="auto"/>
              <w:ind w:left="339"/>
              <w:rPr>
                <w:rFonts w:ascii="Arial" w:hAnsi="Arial" w:cs="Arial"/>
                <w:sz w:val="20"/>
                <w:szCs w:val="20"/>
              </w:rPr>
            </w:pPr>
            <w:r w:rsidRPr="00F15683">
              <w:rPr>
                <w:rFonts w:ascii="Arial" w:hAnsi="Arial" w:cs="Arial"/>
                <w:sz w:val="20"/>
                <w:szCs w:val="20"/>
              </w:rPr>
              <w:t>Libraries, archives, museums, cultural heritage institutions, and other institutions as designated by the ministry, may make and use copies of works</w:t>
            </w:r>
            <w:r w:rsidRPr="00F15683">
              <w:rPr>
                <w:rFonts w:ascii="Arial" w:hAnsi="Arial" w:cs="Arial"/>
                <w:b/>
                <w:bCs/>
                <w:color w:val="00B050"/>
                <w:sz w:val="20"/>
                <w:szCs w:val="20"/>
              </w:rPr>
              <w:t>, and allow authorized users to access and use such copies,</w:t>
            </w:r>
            <w:r w:rsidRPr="00F15683">
              <w:rPr>
                <w:rFonts w:ascii="Arial" w:hAnsi="Arial" w:cs="Arial"/>
                <w:color w:val="F79646" w:themeColor="accent6"/>
                <w:sz w:val="20"/>
                <w:szCs w:val="20"/>
              </w:rPr>
              <w:t xml:space="preserve"> </w:t>
            </w:r>
            <w:r w:rsidRPr="00F15683">
              <w:rPr>
                <w:rFonts w:ascii="Arial" w:hAnsi="Arial" w:cs="Arial"/>
                <w:sz w:val="20"/>
                <w:szCs w:val="20"/>
              </w:rPr>
              <w:t xml:space="preserve">in a manner consistent with this statute </w:t>
            </w:r>
            <w:r w:rsidRPr="00F15683">
              <w:rPr>
                <w:rFonts w:ascii="Arial" w:hAnsi="Arial" w:cs="Arial"/>
                <w:b/>
                <w:bCs/>
                <w:color w:val="00B050"/>
                <w:sz w:val="20"/>
                <w:szCs w:val="20"/>
              </w:rPr>
              <w:t>and other applicable law</w:t>
            </w:r>
            <w:r w:rsidRPr="00F15683">
              <w:rPr>
                <w:rFonts w:ascii="Arial" w:hAnsi="Arial" w:cs="Arial"/>
                <w:sz w:val="20"/>
                <w:szCs w:val="20"/>
              </w:rPr>
              <w:t>, provided that the institution does not operate for profit.</w:t>
            </w:r>
          </w:p>
          <w:p w14:paraId="5253DD8B" w14:textId="77777777" w:rsidR="00C019A0" w:rsidRPr="00F15683" w:rsidRDefault="00C019A0" w:rsidP="00C019A0">
            <w:pPr>
              <w:pStyle w:val="ListParagraph"/>
              <w:numPr>
                <w:ilvl w:val="0"/>
                <w:numId w:val="17"/>
              </w:numPr>
              <w:spacing w:after="0" w:line="240" w:lineRule="auto"/>
              <w:ind w:left="699"/>
              <w:rPr>
                <w:rFonts w:ascii="Arial" w:hAnsi="Arial" w:cs="Arial"/>
                <w:sz w:val="20"/>
                <w:szCs w:val="20"/>
              </w:rPr>
            </w:pPr>
            <w:r w:rsidRPr="00F15683">
              <w:rPr>
                <w:rFonts w:ascii="Arial" w:hAnsi="Arial" w:cs="Arial"/>
                <w:sz w:val="20"/>
                <w:szCs w:val="20"/>
              </w:rPr>
              <w:t xml:space="preserve">Notwithstanding the foregoing, libraries and archives in entities that do operate for profit may make and use copies of works as permitted under this statute to preserve their own institutional and historical records and archival collections. </w:t>
            </w:r>
          </w:p>
          <w:p w14:paraId="7666FCCD" w14:textId="77777777" w:rsidR="00C019A0" w:rsidRPr="00F15683" w:rsidRDefault="00C019A0" w:rsidP="00C019A0">
            <w:pPr>
              <w:pStyle w:val="ListParagraph"/>
              <w:numPr>
                <w:ilvl w:val="0"/>
                <w:numId w:val="17"/>
              </w:numPr>
              <w:spacing w:after="0" w:line="240" w:lineRule="auto"/>
              <w:ind w:left="699"/>
              <w:rPr>
                <w:rFonts w:ascii="Arial" w:hAnsi="Arial" w:cs="Arial"/>
                <w:sz w:val="20"/>
                <w:szCs w:val="20"/>
              </w:rPr>
            </w:pPr>
            <w:r w:rsidRPr="00F15683">
              <w:rPr>
                <w:rFonts w:ascii="Arial" w:hAnsi="Arial" w:cs="Arial"/>
                <w:sz w:val="20"/>
                <w:szCs w:val="20"/>
              </w:rPr>
              <w:t>This exception may be exercised by the institution as a legal entity or by officers, staff members, and agents acting on behalf of the institution.</w:t>
            </w:r>
          </w:p>
          <w:p w14:paraId="67FD4679" w14:textId="77777777" w:rsidR="00C019A0" w:rsidRPr="00F15683" w:rsidRDefault="00C019A0" w:rsidP="008069EB">
            <w:pPr>
              <w:rPr>
                <w:sz w:val="20"/>
                <w:szCs w:val="20"/>
              </w:rPr>
            </w:pPr>
          </w:p>
          <w:p w14:paraId="7A856F7D" w14:textId="77777777" w:rsidR="00C019A0" w:rsidRPr="00F15683" w:rsidRDefault="00C019A0" w:rsidP="00C019A0">
            <w:pPr>
              <w:pStyle w:val="ListParagraph"/>
              <w:numPr>
                <w:ilvl w:val="0"/>
                <w:numId w:val="15"/>
              </w:numPr>
              <w:spacing w:after="0" w:line="240" w:lineRule="auto"/>
              <w:ind w:left="339"/>
              <w:rPr>
                <w:rFonts w:ascii="Arial" w:hAnsi="Arial" w:cs="Arial"/>
                <w:sz w:val="20"/>
                <w:szCs w:val="20"/>
              </w:rPr>
            </w:pPr>
            <w:r w:rsidRPr="00F15683">
              <w:rPr>
                <w:rFonts w:ascii="Arial" w:hAnsi="Arial" w:cs="Arial"/>
                <w:sz w:val="20"/>
                <w:szCs w:val="20"/>
              </w:rPr>
              <w:t>The institution may use the work for one or more of the following purposes:</w:t>
            </w:r>
          </w:p>
          <w:p w14:paraId="6C12FEF3" w14:textId="77777777" w:rsidR="00C019A0" w:rsidRPr="00F15683" w:rsidRDefault="00C019A0" w:rsidP="00C019A0">
            <w:pPr>
              <w:pStyle w:val="ListParagraph"/>
              <w:numPr>
                <w:ilvl w:val="0"/>
                <w:numId w:val="18"/>
              </w:numPr>
              <w:spacing w:after="0" w:line="240" w:lineRule="auto"/>
              <w:rPr>
                <w:rFonts w:ascii="Arial" w:hAnsi="Arial" w:cs="Arial"/>
                <w:sz w:val="20"/>
                <w:szCs w:val="20"/>
              </w:rPr>
            </w:pPr>
            <w:r w:rsidRPr="00F15683">
              <w:rPr>
                <w:rFonts w:ascii="Arial" w:hAnsi="Arial" w:cs="Arial"/>
                <w:sz w:val="20"/>
                <w:szCs w:val="20"/>
              </w:rPr>
              <w:t xml:space="preserve">For preservation, restoration, or conservation of the work in the collection of the institution or in the collection of another such </w:t>
            </w:r>
            <w:proofErr w:type="gramStart"/>
            <w:r w:rsidRPr="00F15683">
              <w:rPr>
                <w:rFonts w:ascii="Arial" w:hAnsi="Arial" w:cs="Arial"/>
                <w:sz w:val="20"/>
                <w:szCs w:val="20"/>
              </w:rPr>
              <w:t>institution;</w:t>
            </w:r>
            <w:proofErr w:type="gramEnd"/>
            <w:r w:rsidRPr="00F15683">
              <w:rPr>
                <w:rFonts w:ascii="Arial" w:hAnsi="Arial" w:cs="Arial"/>
                <w:sz w:val="20"/>
                <w:szCs w:val="20"/>
              </w:rPr>
              <w:t xml:space="preserve"> </w:t>
            </w:r>
          </w:p>
          <w:p w14:paraId="2FCBA9E3" w14:textId="77777777" w:rsidR="00C019A0" w:rsidRPr="00F15683" w:rsidRDefault="00C019A0" w:rsidP="00C019A0">
            <w:pPr>
              <w:pStyle w:val="ListParagraph"/>
              <w:numPr>
                <w:ilvl w:val="0"/>
                <w:numId w:val="18"/>
              </w:numPr>
              <w:spacing w:after="0" w:line="240" w:lineRule="auto"/>
              <w:ind w:left="699"/>
              <w:rPr>
                <w:rFonts w:ascii="Arial" w:hAnsi="Arial" w:cs="Arial"/>
                <w:sz w:val="20"/>
                <w:szCs w:val="20"/>
              </w:rPr>
            </w:pPr>
            <w:r w:rsidRPr="00F15683">
              <w:rPr>
                <w:rFonts w:ascii="Arial" w:hAnsi="Arial" w:cs="Arial"/>
                <w:b/>
                <w:bCs/>
                <w:noProof/>
                <w:color w:val="00B050"/>
                <w:sz w:val="20"/>
                <w:szCs w:val="20"/>
              </w:rPr>
              <mc:AlternateContent>
                <mc:Choice Requires="wps">
                  <w:drawing>
                    <wp:anchor distT="0" distB="0" distL="114300" distR="114300" simplePos="0" relativeHeight="251663360" behindDoc="0" locked="0" layoutInCell="1" allowOverlap="1" wp14:anchorId="541AF7EB" wp14:editId="29A5D4AE">
                      <wp:simplePos x="0" y="0"/>
                      <wp:positionH relativeFrom="column">
                        <wp:posOffset>4344670</wp:posOffset>
                      </wp:positionH>
                      <wp:positionV relativeFrom="paragraph">
                        <wp:posOffset>105903</wp:posOffset>
                      </wp:positionV>
                      <wp:extent cx="2248812" cy="2292824"/>
                      <wp:effectExtent l="0" t="0" r="18415" b="12700"/>
                      <wp:wrapNone/>
                      <wp:docPr id="1650265205" name="Text Box 1"/>
                      <wp:cNvGraphicFramePr/>
                      <a:graphic xmlns:a="http://schemas.openxmlformats.org/drawingml/2006/main">
                        <a:graphicData uri="http://schemas.microsoft.com/office/word/2010/wordprocessingShape">
                          <wps:wsp>
                            <wps:cNvSpPr txBox="1"/>
                            <wps:spPr>
                              <a:xfrm>
                                <a:off x="0" y="0"/>
                                <a:ext cx="2248812" cy="2292824"/>
                              </a:xfrm>
                              <a:prstGeom prst="rect">
                                <a:avLst/>
                              </a:prstGeom>
                              <a:solidFill>
                                <a:schemeClr val="lt1"/>
                              </a:solidFill>
                              <a:ln w="6350">
                                <a:solidFill>
                                  <a:prstClr val="black"/>
                                </a:solidFill>
                              </a:ln>
                            </wps:spPr>
                            <wps:txbx>
                              <w:txbxContent>
                                <w:p w14:paraId="761BF63A" w14:textId="77777777" w:rsidR="00C019A0" w:rsidRPr="00F15683" w:rsidRDefault="00C019A0" w:rsidP="00C019A0">
                                  <w:pPr>
                                    <w:rPr>
                                      <w:b/>
                                      <w:bCs/>
                                      <w:color w:val="00B050"/>
                                      <w:sz w:val="20"/>
                                    </w:rPr>
                                  </w:pPr>
                                  <w:r w:rsidRPr="00F15683">
                                    <w:rPr>
                                      <w:b/>
                                      <w:bCs/>
                                      <w:color w:val="00B050"/>
                                      <w:sz w:val="20"/>
                                    </w:rPr>
                                    <w:t>§ (b)(iii) Substitute Copy</w:t>
                                  </w:r>
                                </w:p>
                                <w:p w14:paraId="29C2126C" w14:textId="77777777" w:rsidR="00C019A0" w:rsidRPr="00F15683" w:rsidRDefault="00C019A0" w:rsidP="00C019A0">
                                  <w:pPr>
                                    <w:rPr>
                                      <w:sz w:val="20"/>
                                    </w:rPr>
                                  </w:pPr>
                                  <w:r w:rsidRPr="00F15683">
                                    <w:rPr>
                                      <w:sz w:val="20"/>
                                    </w:rPr>
                                    <w:t>Copies of works at risk to enable immediate reading and research needs.</w:t>
                                  </w:r>
                                </w:p>
                                <w:p w14:paraId="15497CBF" w14:textId="77777777" w:rsidR="00C019A0" w:rsidRPr="00F15683" w:rsidRDefault="00C019A0" w:rsidP="00C019A0">
                                  <w:pPr>
                                    <w:rPr>
                                      <w:b/>
                                      <w:bCs/>
                                      <w:color w:val="00B050"/>
                                      <w:sz w:val="20"/>
                                    </w:rPr>
                                  </w:pPr>
                                  <w:r w:rsidRPr="00F15683">
                                    <w:rPr>
                                      <w:b/>
                                      <w:bCs/>
                                      <w:color w:val="00B050"/>
                                      <w:sz w:val="20"/>
                                    </w:rPr>
                                    <w:t>§ (b)(iv) Adaptation to Technologies</w:t>
                                  </w:r>
                                </w:p>
                                <w:p w14:paraId="3F43781D" w14:textId="77777777" w:rsidR="00C019A0" w:rsidRPr="00F15683" w:rsidRDefault="00C019A0" w:rsidP="00C019A0">
                                  <w:pPr>
                                    <w:rPr>
                                      <w:sz w:val="20"/>
                                    </w:rPr>
                                  </w:pPr>
                                  <w:r w:rsidRPr="00F15683">
                                    <w:rPr>
                                      <w:sz w:val="20"/>
                                    </w:rPr>
                                    <w:t>Adaptation of works to be readable or accessible with available technologies.</w:t>
                                  </w:r>
                                </w:p>
                                <w:p w14:paraId="1A63CA60" w14:textId="77777777" w:rsidR="00C019A0" w:rsidRPr="00F15683" w:rsidRDefault="00C019A0" w:rsidP="00C019A0">
                                  <w:pPr>
                                    <w:rPr>
                                      <w:b/>
                                      <w:bCs/>
                                      <w:color w:val="00B050"/>
                                      <w:sz w:val="20"/>
                                    </w:rPr>
                                  </w:pPr>
                                  <w:r w:rsidRPr="00F15683">
                                    <w:rPr>
                                      <w:b/>
                                      <w:bCs/>
                                      <w:color w:val="00B050"/>
                                      <w:sz w:val="20"/>
                                    </w:rPr>
                                    <w:t>§ (b)(v) Exhibition Copies</w:t>
                                  </w:r>
                                </w:p>
                                <w:p w14:paraId="0157968D" w14:textId="77777777" w:rsidR="00C019A0" w:rsidRPr="00F15683" w:rsidRDefault="00C019A0" w:rsidP="00C019A0">
                                  <w:pPr>
                                    <w:rPr>
                                      <w:sz w:val="20"/>
                                    </w:rPr>
                                  </w:pPr>
                                  <w:r w:rsidRPr="00F15683">
                                    <w:rPr>
                                      <w:sz w:val="20"/>
                                    </w:rPr>
                                    <w:t>Enabling access to works on exhibition by allowing copies for safekeeping.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1AF7EB" id="Text Box 1" o:spid="_x0000_s1029" type="#_x0000_t202" style="position:absolute;left:0;text-align:left;margin-left:342.1pt;margin-top:8.35pt;width:177.05pt;height:18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" fillcolor="white [3201]" strokeweight=".5pt">
                      <v:textbox>
                        <w:txbxContent>
                          <w:p w14:paraId="761BF63A" w14:textId="77777777" w:rsidR="00C019A0" w:rsidRPr="00F15683" w:rsidRDefault="00C019A0" w:rsidP="00C019A0">
                            <w:pPr>
                              <w:rPr>
                                <w:b/>
                                <w:bCs/>
                                <w:color w:val="00B050"/>
                                <w:sz w:val="20"/>
                              </w:rPr>
                            </w:pPr>
                            <w:r w:rsidRPr="00F15683">
                              <w:rPr>
                                <w:b/>
                                <w:bCs/>
                                <w:color w:val="00B050"/>
                                <w:sz w:val="20"/>
                              </w:rPr>
                              <w:t>§ (b)(iii) Substitute Copy</w:t>
                            </w:r>
                          </w:p>
                          <w:p w14:paraId="29C2126C" w14:textId="77777777" w:rsidR="00C019A0" w:rsidRPr="00F15683" w:rsidRDefault="00C019A0" w:rsidP="00C019A0">
                            <w:pPr>
                              <w:rPr>
                                <w:sz w:val="20"/>
                              </w:rPr>
                            </w:pPr>
                            <w:r w:rsidRPr="00F15683">
                              <w:rPr>
                                <w:sz w:val="20"/>
                              </w:rPr>
                              <w:t>Copies of works at risk to enable immediate reading and research needs.</w:t>
                            </w:r>
                          </w:p>
                          <w:p w14:paraId="15497CBF" w14:textId="77777777" w:rsidR="00C019A0" w:rsidRPr="00F15683" w:rsidRDefault="00C019A0" w:rsidP="00C019A0">
                            <w:pPr>
                              <w:rPr>
                                <w:b/>
                                <w:bCs/>
                                <w:color w:val="00B050"/>
                                <w:sz w:val="20"/>
                              </w:rPr>
                            </w:pPr>
                            <w:r w:rsidRPr="00F15683">
                              <w:rPr>
                                <w:b/>
                                <w:bCs/>
                                <w:color w:val="00B050"/>
                                <w:sz w:val="20"/>
                              </w:rPr>
                              <w:t>§ (b)(iv) Adaptation to Technologies</w:t>
                            </w:r>
                          </w:p>
                          <w:p w14:paraId="3F43781D" w14:textId="77777777" w:rsidR="00C019A0" w:rsidRPr="00F15683" w:rsidRDefault="00C019A0" w:rsidP="00C019A0">
                            <w:pPr>
                              <w:rPr>
                                <w:sz w:val="20"/>
                              </w:rPr>
                            </w:pPr>
                            <w:r w:rsidRPr="00F15683">
                              <w:rPr>
                                <w:sz w:val="20"/>
                              </w:rPr>
                              <w:t>Adaptation of works to be readable or accessible with available technologies.</w:t>
                            </w:r>
                          </w:p>
                          <w:p w14:paraId="1A63CA60" w14:textId="77777777" w:rsidR="00C019A0" w:rsidRPr="00F15683" w:rsidRDefault="00C019A0" w:rsidP="00C019A0">
                            <w:pPr>
                              <w:rPr>
                                <w:b/>
                                <w:bCs/>
                                <w:color w:val="00B050"/>
                                <w:sz w:val="20"/>
                              </w:rPr>
                            </w:pPr>
                            <w:r w:rsidRPr="00F15683">
                              <w:rPr>
                                <w:b/>
                                <w:bCs/>
                                <w:color w:val="00B050"/>
                                <w:sz w:val="20"/>
                              </w:rPr>
                              <w:t>§ (b)(v) Exhibition Copies</w:t>
                            </w:r>
                          </w:p>
                          <w:p w14:paraId="0157968D" w14:textId="77777777" w:rsidR="00C019A0" w:rsidRPr="00F15683" w:rsidRDefault="00C019A0" w:rsidP="00C019A0">
                            <w:pPr>
                              <w:rPr>
                                <w:sz w:val="20"/>
                              </w:rPr>
                            </w:pPr>
                            <w:r w:rsidRPr="00F15683">
                              <w:rPr>
                                <w:sz w:val="20"/>
                              </w:rPr>
                              <w:t xml:space="preserve">Enabling access to </w:t>
                            </w:r>
                            <w:proofErr w:type="gramStart"/>
                            <w:r w:rsidRPr="00F15683">
                              <w:rPr>
                                <w:sz w:val="20"/>
                              </w:rPr>
                              <w:t>works</w:t>
                            </w:r>
                            <w:proofErr w:type="gramEnd"/>
                            <w:r w:rsidRPr="00F15683">
                              <w:rPr>
                                <w:sz w:val="20"/>
                              </w:rPr>
                              <w:t xml:space="preserve"> on exhibition by allowing copies for safekeeping.</w:t>
                            </w:r>
                          </w:p>
                        </w:txbxContent>
                      </v:textbox>
                    </v:shape>
                  </w:pict>
                </mc:Fallback>
              </mc:AlternateContent>
            </w:r>
            <w:r w:rsidRPr="00F15683">
              <w:rPr>
                <w:rFonts w:ascii="Arial" w:hAnsi="Arial" w:cs="Arial"/>
                <w:sz w:val="20"/>
                <w:szCs w:val="20"/>
              </w:rPr>
              <w:t xml:space="preserve">For replacing </w:t>
            </w:r>
            <w:proofErr w:type="gramStart"/>
            <w:r w:rsidRPr="00F15683">
              <w:rPr>
                <w:rFonts w:ascii="Arial" w:hAnsi="Arial" w:cs="Arial"/>
                <w:sz w:val="20"/>
                <w:szCs w:val="20"/>
              </w:rPr>
              <w:t>a work</w:t>
            </w:r>
            <w:proofErr w:type="gramEnd"/>
            <w:r w:rsidRPr="00F15683">
              <w:rPr>
                <w:rFonts w:ascii="Arial" w:hAnsi="Arial" w:cs="Arial"/>
                <w:sz w:val="20"/>
                <w:szCs w:val="20"/>
              </w:rPr>
              <w:t xml:space="preserve"> that is lost, stolen, or no longer available, or is damaged or deteriorated to such an extent that it may not be reasonably read or otherwise </w:t>
            </w:r>
            <w:proofErr w:type="gramStart"/>
            <w:r w:rsidRPr="00F15683">
              <w:rPr>
                <w:rFonts w:ascii="Arial" w:hAnsi="Arial" w:cs="Arial"/>
                <w:sz w:val="20"/>
                <w:szCs w:val="20"/>
              </w:rPr>
              <w:t>used;</w:t>
            </w:r>
            <w:proofErr w:type="gramEnd"/>
            <w:r w:rsidRPr="00F15683">
              <w:rPr>
                <w:rFonts w:ascii="Arial" w:hAnsi="Arial" w:cs="Arial"/>
                <w:sz w:val="20"/>
                <w:szCs w:val="20"/>
              </w:rPr>
              <w:t xml:space="preserve"> </w:t>
            </w:r>
          </w:p>
          <w:p w14:paraId="33413BD0" w14:textId="77777777" w:rsidR="00C019A0" w:rsidRPr="00F15683" w:rsidRDefault="00C019A0" w:rsidP="00C019A0">
            <w:pPr>
              <w:pStyle w:val="ListParagraph"/>
              <w:numPr>
                <w:ilvl w:val="0"/>
                <w:numId w:val="18"/>
              </w:numPr>
              <w:spacing w:after="0" w:line="240" w:lineRule="auto"/>
              <w:ind w:left="699"/>
              <w:rPr>
                <w:rFonts w:ascii="Arial" w:hAnsi="Arial" w:cs="Arial"/>
                <w:sz w:val="20"/>
                <w:szCs w:val="20"/>
              </w:rPr>
            </w:pPr>
            <w:r w:rsidRPr="00F15683">
              <w:rPr>
                <w:rFonts w:ascii="Arial" w:hAnsi="Arial" w:cs="Arial"/>
                <w:b/>
                <w:bCs/>
                <w:color w:val="00B050"/>
                <w:sz w:val="20"/>
                <w:szCs w:val="20"/>
              </w:rPr>
              <w:t xml:space="preserve">For allowing access by authorized users to a substitute copy of a work in the collection of the institution </w:t>
            </w:r>
            <w:proofErr w:type="gramStart"/>
            <w:r w:rsidRPr="00F15683">
              <w:rPr>
                <w:rFonts w:ascii="Arial" w:hAnsi="Arial" w:cs="Arial"/>
                <w:b/>
                <w:bCs/>
                <w:color w:val="00B050"/>
                <w:sz w:val="20"/>
                <w:szCs w:val="20"/>
              </w:rPr>
              <w:t>in order to</w:t>
            </w:r>
            <w:proofErr w:type="gramEnd"/>
            <w:r w:rsidRPr="00F15683">
              <w:rPr>
                <w:rFonts w:ascii="Arial" w:hAnsi="Arial" w:cs="Arial"/>
                <w:b/>
                <w:bCs/>
                <w:color w:val="9BBB59" w:themeColor="accent3"/>
                <w:sz w:val="20"/>
                <w:szCs w:val="20"/>
              </w:rPr>
              <w:t xml:space="preserve"> </w:t>
            </w:r>
            <w:r w:rsidRPr="00F15683">
              <w:rPr>
                <w:rFonts w:ascii="Arial" w:hAnsi="Arial" w:cs="Arial"/>
                <w:b/>
                <w:bCs/>
                <w:color w:val="00B050"/>
                <w:sz w:val="20"/>
                <w:szCs w:val="20"/>
              </w:rPr>
              <w:t xml:space="preserve">prevent loss or damage of a work that is fragile, valuable, or otherwise at </w:t>
            </w:r>
            <w:proofErr w:type="gramStart"/>
            <w:r w:rsidRPr="00F15683">
              <w:rPr>
                <w:rFonts w:ascii="Arial" w:hAnsi="Arial" w:cs="Arial"/>
                <w:b/>
                <w:bCs/>
                <w:color w:val="00B050"/>
                <w:sz w:val="20"/>
                <w:szCs w:val="20"/>
              </w:rPr>
              <w:t>risk</w:t>
            </w:r>
            <w:r w:rsidRPr="00F15683">
              <w:rPr>
                <w:rFonts w:ascii="Arial" w:hAnsi="Arial" w:cs="Arial"/>
                <w:sz w:val="20"/>
                <w:szCs w:val="20"/>
              </w:rPr>
              <w:t>;</w:t>
            </w:r>
            <w:proofErr w:type="gramEnd"/>
            <w:r w:rsidRPr="00F15683">
              <w:rPr>
                <w:rFonts w:ascii="Arial" w:hAnsi="Arial" w:cs="Arial"/>
                <w:sz w:val="20"/>
                <w:szCs w:val="20"/>
              </w:rPr>
              <w:t xml:space="preserve"> </w:t>
            </w:r>
          </w:p>
          <w:p w14:paraId="68A065F0" w14:textId="77777777" w:rsidR="00C019A0" w:rsidRPr="00F15683" w:rsidRDefault="00C019A0" w:rsidP="00C019A0">
            <w:pPr>
              <w:pStyle w:val="ListParagraph"/>
              <w:numPr>
                <w:ilvl w:val="0"/>
                <w:numId w:val="18"/>
              </w:numPr>
              <w:spacing w:after="0" w:line="240" w:lineRule="auto"/>
              <w:ind w:left="699"/>
              <w:rPr>
                <w:rFonts w:ascii="Arial" w:hAnsi="Arial" w:cs="Arial"/>
                <w:sz w:val="20"/>
                <w:szCs w:val="20"/>
              </w:rPr>
            </w:pPr>
            <w:r w:rsidRPr="00F15683">
              <w:rPr>
                <w:rFonts w:ascii="Arial" w:hAnsi="Arial" w:cs="Arial"/>
                <w:b/>
                <w:bCs/>
                <w:color w:val="00B050"/>
                <w:sz w:val="20"/>
                <w:szCs w:val="20"/>
              </w:rPr>
              <w:t xml:space="preserve">For converting or adapting the format or media of a work in the collection of the institution </w:t>
            </w:r>
            <w:proofErr w:type="gramStart"/>
            <w:r w:rsidRPr="00F15683">
              <w:rPr>
                <w:rFonts w:ascii="Arial" w:hAnsi="Arial" w:cs="Arial"/>
                <w:b/>
                <w:bCs/>
                <w:color w:val="00B050"/>
                <w:sz w:val="20"/>
                <w:szCs w:val="20"/>
              </w:rPr>
              <w:t>in order to</w:t>
            </w:r>
            <w:proofErr w:type="gramEnd"/>
            <w:r w:rsidRPr="00F15683">
              <w:rPr>
                <w:rFonts w:ascii="Arial" w:hAnsi="Arial" w:cs="Arial"/>
                <w:b/>
                <w:bCs/>
                <w:color w:val="00B050"/>
                <w:sz w:val="20"/>
                <w:szCs w:val="20"/>
              </w:rPr>
              <w:t xml:space="preserve"> be compatible with available technology and devices that enable access to the work by authorized </w:t>
            </w:r>
            <w:proofErr w:type="gramStart"/>
            <w:r w:rsidRPr="00F15683">
              <w:rPr>
                <w:rFonts w:ascii="Arial" w:hAnsi="Arial" w:cs="Arial"/>
                <w:b/>
                <w:bCs/>
                <w:color w:val="00B050"/>
                <w:sz w:val="20"/>
                <w:szCs w:val="20"/>
              </w:rPr>
              <w:t>users</w:t>
            </w:r>
            <w:r w:rsidRPr="00F15683">
              <w:rPr>
                <w:rFonts w:ascii="Arial" w:hAnsi="Arial" w:cs="Arial"/>
                <w:sz w:val="20"/>
                <w:szCs w:val="20"/>
              </w:rPr>
              <w:t>;</w:t>
            </w:r>
            <w:proofErr w:type="gramEnd"/>
            <w:r w:rsidRPr="00F15683">
              <w:rPr>
                <w:rFonts w:ascii="Arial" w:hAnsi="Arial" w:cs="Arial"/>
                <w:sz w:val="20"/>
                <w:szCs w:val="20"/>
              </w:rPr>
              <w:t xml:space="preserve"> </w:t>
            </w:r>
          </w:p>
          <w:p w14:paraId="6C739E0C" w14:textId="77777777" w:rsidR="00C019A0" w:rsidRPr="00F15683" w:rsidRDefault="00C019A0" w:rsidP="00C019A0">
            <w:pPr>
              <w:pStyle w:val="ListParagraph"/>
              <w:numPr>
                <w:ilvl w:val="0"/>
                <w:numId w:val="18"/>
              </w:numPr>
              <w:spacing w:after="0" w:line="240" w:lineRule="auto"/>
              <w:ind w:left="699"/>
              <w:rPr>
                <w:rFonts w:ascii="Arial" w:hAnsi="Arial" w:cs="Arial"/>
                <w:sz w:val="20"/>
                <w:szCs w:val="20"/>
              </w:rPr>
            </w:pPr>
            <w:r w:rsidRPr="00F15683">
              <w:rPr>
                <w:rFonts w:ascii="Arial" w:hAnsi="Arial" w:cs="Arial"/>
                <w:b/>
                <w:bCs/>
                <w:color w:val="00B050"/>
                <w:sz w:val="20"/>
                <w:szCs w:val="20"/>
              </w:rPr>
              <w:t xml:space="preserve">For protection and safekeeping of </w:t>
            </w:r>
            <w:proofErr w:type="gramStart"/>
            <w:r w:rsidRPr="00F15683">
              <w:rPr>
                <w:rFonts w:ascii="Arial" w:hAnsi="Arial" w:cs="Arial"/>
                <w:b/>
                <w:bCs/>
                <w:color w:val="00B050"/>
                <w:sz w:val="20"/>
                <w:szCs w:val="20"/>
              </w:rPr>
              <w:t>a work</w:t>
            </w:r>
            <w:proofErr w:type="gramEnd"/>
            <w:r w:rsidRPr="00F15683">
              <w:rPr>
                <w:rFonts w:ascii="Arial" w:hAnsi="Arial" w:cs="Arial"/>
                <w:b/>
                <w:bCs/>
                <w:color w:val="00B050"/>
                <w:sz w:val="20"/>
                <w:szCs w:val="20"/>
              </w:rPr>
              <w:t xml:space="preserve"> in the collection, when that work o</w:t>
            </w:r>
            <w:r>
              <w:rPr>
                <w:rFonts w:ascii="Arial" w:hAnsi="Arial" w:cs="Arial"/>
                <w:b/>
                <w:bCs/>
                <w:color w:val="00B050"/>
                <w:sz w:val="20"/>
                <w:szCs w:val="20"/>
              </w:rPr>
              <w:t>r</w:t>
            </w:r>
            <w:r w:rsidRPr="00F15683">
              <w:rPr>
                <w:rFonts w:ascii="Arial" w:hAnsi="Arial" w:cs="Arial"/>
                <w:b/>
                <w:bCs/>
                <w:color w:val="00B050"/>
                <w:sz w:val="20"/>
                <w:szCs w:val="20"/>
              </w:rPr>
              <w:t xml:space="preserve"> a copy of it is being placed on exhibition at the institution or is being shipped to another institution or other location for exhibition there or for any other </w:t>
            </w:r>
            <w:proofErr w:type="gramStart"/>
            <w:r w:rsidRPr="00F15683">
              <w:rPr>
                <w:rFonts w:ascii="Arial" w:hAnsi="Arial" w:cs="Arial"/>
                <w:b/>
                <w:bCs/>
                <w:color w:val="00B050"/>
                <w:sz w:val="20"/>
                <w:szCs w:val="20"/>
              </w:rPr>
              <w:t>purpose</w:t>
            </w:r>
            <w:r w:rsidRPr="00F15683">
              <w:rPr>
                <w:rFonts w:ascii="Arial" w:hAnsi="Arial" w:cs="Arial"/>
                <w:sz w:val="20"/>
                <w:szCs w:val="20"/>
              </w:rPr>
              <w:t>;</w:t>
            </w:r>
            <w:proofErr w:type="gramEnd"/>
            <w:r w:rsidRPr="00F15683">
              <w:rPr>
                <w:rFonts w:ascii="Arial" w:hAnsi="Arial" w:cs="Arial"/>
                <w:sz w:val="20"/>
                <w:szCs w:val="20"/>
              </w:rPr>
              <w:t xml:space="preserve"> </w:t>
            </w:r>
          </w:p>
          <w:p w14:paraId="2A8327D9" w14:textId="77777777" w:rsidR="00C019A0" w:rsidRPr="00F15683" w:rsidRDefault="00C019A0" w:rsidP="00C019A0">
            <w:pPr>
              <w:pStyle w:val="ListParagraph"/>
              <w:numPr>
                <w:ilvl w:val="0"/>
                <w:numId w:val="18"/>
              </w:numPr>
              <w:spacing w:after="0" w:line="240" w:lineRule="auto"/>
              <w:ind w:left="699"/>
              <w:rPr>
                <w:rFonts w:ascii="Arial" w:hAnsi="Arial" w:cs="Arial"/>
                <w:sz w:val="20"/>
                <w:szCs w:val="20"/>
              </w:rPr>
            </w:pPr>
            <w:r w:rsidRPr="00F15683">
              <w:rPr>
                <w:rFonts w:ascii="Arial" w:hAnsi="Arial" w:cs="Arial"/>
                <w:sz w:val="20"/>
                <w:szCs w:val="20"/>
              </w:rPr>
              <w:t>For preserving and maintaining historical, cultural, and scientific heritage.</w:t>
            </w:r>
          </w:p>
          <w:p w14:paraId="049C827B" w14:textId="77777777" w:rsidR="00C019A0" w:rsidRPr="00F15683" w:rsidRDefault="00C019A0" w:rsidP="008069EB">
            <w:pPr>
              <w:pStyle w:val="ListParagraph"/>
              <w:rPr>
                <w:rFonts w:ascii="Arial" w:hAnsi="Arial" w:cs="Arial"/>
                <w:sz w:val="20"/>
                <w:szCs w:val="20"/>
              </w:rPr>
            </w:pPr>
          </w:p>
          <w:p w14:paraId="03466993" w14:textId="77777777" w:rsidR="00C019A0" w:rsidRPr="00F15683" w:rsidRDefault="00C019A0" w:rsidP="00C019A0">
            <w:pPr>
              <w:pStyle w:val="ListParagraph"/>
              <w:numPr>
                <w:ilvl w:val="0"/>
                <w:numId w:val="15"/>
              </w:numPr>
              <w:spacing w:after="0" w:line="240" w:lineRule="auto"/>
              <w:ind w:left="339"/>
              <w:rPr>
                <w:rFonts w:ascii="Arial" w:hAnsi="Arial" w:cs="Arial"/>
                <w:sz w:val="20"/>
                <w:szCs w:val="20"/>
              </w:rPr>
            </w:pPr>
            <w:r w:rsidRPr="00F15683">
              <w:rPr>
                <w:rFonts w:ascii="Arial" w:hAnsi="Arial" w:cs="Arial"/>
                <w:b/>
                <w:bCs/>
                <w:noProof/>
                <w:color w:val="00B050"/>
                <w:sz w:val="20"/>
                <w:szCs w:val="20"/>
              </w:rPr>
              <mc:AlternateContent>
                <mc:Choice Requires="wps">
                  <w:drawing>
                    <wp:anchor distT="0" distB="0" distL="114300" distR="114300" simplePos="0" relativeHeight="251664384" behindDoc="0" locked="0" layoutInCell="1" allowOverlap="1" wp14:anchorId="59DCD6AD" wp14:editId="08247EEC">
                      <wp:simplePos x="0" y="0"/>
                      <wp:positionH relativeFrom="column">
                        <wp:posOffset>4353217</wp:posOffset>
                      </wp:positionH>
                      <wp:positionV relativeFrom="paragraph">
                        <wp:posOffset>85622</wp:posOffset>
                      </wp:positionV>
                      <wp:extent cx="2218055" cy="1569492"/>
                      <wp:effectExtent l="0" t="0" r="10795" b="12065"/>
                      <wp:wrapNone/>
                      <wp:docPr id="593147161" name="Text Box 2"/>
                      <wp:cNvGraphicFramePr/>
                      <a:graphic xmlns:a="http://schemas.openxmlformats.org/drawingml/2006/main">
                        <a:graphicData uri="http://schemas.microsoft.com/office/word/2010/wordprocessingShape">
                          <wps:wsp>
                            <wps:cNvSpPr txBox="1"/>
                            <wps:spPr>
                              <a:xfrm>
                                <a:off x="0" y="0"/>
                                <a:ext cx="2218055" cy="1569492"/>
                              </a:xfrm>
                              <a:prstGeom prst="rect">
                                <a:avLst/>
                              </a:prstGeom>
                              <a:solidFill>
                                <a:schemeClr val="lt1"/>
                              </a:solidFill>
                              <a:ln w="6350">
                                <a:solidFill>
                                  <a:prstClr val="black"/>
                                </a:solidFill>
                              </a:ln>
                            </wps:spPr>
                            <wps:txbx>
                              <w:txbxContent>
                                <w:p w14:paraId="1D5B2F7B" w14:textId="77777777" w:rsidR="00C019A0" w:rsidRPr="00F15683" w:rsidRDefault="00C019A0" w:rsidP="00C019A0">
                                  <w:pPr>
                                    <w:rPr>
                                      <w:b/>
                                      <w:bCs/>
                                      <w:color w:val="00B050"/>
                                      <w:sz w:val="20"/>
                                    </w:rPr>
                                  </w:pPr>
                                  <w:r w:rsidRPr="00F15683">
                                    <w:rPr>
                                      <w:b/>
                                      <w:bCs/>
                                      <w:color w:val="00B050"/>
                                      <w:sz w:val="20"/>
                                    </w:rPr>
                                    <w:t>§ (c)(i) Copies in the Collections</w:t>
                                  </w:r>
                                </w:p>
                                <w:p w14:paraId="4E393293" w14:textId="77777777" w:rsidR="00C019A0" w:rsidRPr="00F15683" w:rsidRDefault="00C019A0" w:rsidP="00C019A0">
                                  <w:pPr>
                                    <w:rPr>
                                      <w:color w:val="000000" w:themeColor="text1"/>
                                      <w:sz w:val="20"/>
                                    </w:rPr>
                                  </w:pPr>
                                  <w:r w:rsidRPr="00F15683">
                                    <w:rPr>
                                      <w:color w:val="000000" w:themeColor="text1"/>
                                      <w:sz w:val="20"/>
                                    </w:rPr>
                                    <w:t>Adding copies to the collections and making them accessible to users.</w:t>
                                  </w:r>
                                </w:p>
                                <w:p w14:paraId="03560C08" w14:textId="77777777" w:rsidR="00C019A0" w:rsidRPr="00F15683" w:rsidRDefault="00C019A0" w:rsidP="00C019A0">
                                  <w:pPr>
                                    <w:rPr>
                                      <w:color w:val="000000" w:themeColor="text1"/>
                                      <w:sz w:val="20"/>
                                    </w:rPr>
                                  </w:pPr>
                                  <w:r w:rsidRPr="00F15683">
                                    <w:rPr>
                                      <w:b/>
                                      <w:bCs/>
                                      <w:color w:val="00B050"/>
                                      <w:sz w:val="20"/>
                                    </w:rPr>
                                    <w:t>§ (c)(ii) Incidental Copies</w:t>
                                  </w:r>
                                </w:p>
                                <w:p w14:paraId="171849CD" w14:textId="77777777" w:rsidR="00C019A0" w:rsidRPr="00F15683" w:rsidRDefault="00C019A0" w:rsidP="00C019A0">
                                  <w:pPr>
                                    <w:rPr>
                                      <w:color w:val="000000" w:themeColor="text1"/>
                                      <w:sz w:val="20"/>
                                    </w:rPr>
                                  </w:pPr>
                                  <w:r w:rsidRPr="00F15683">
                                    <w:rPr>
                                      <w:color w:val="000000" w:themeColor="text1"/>
                                      <w:sz w:val="20"/>
                                    </w:rPr>
                                    <w:t>Retaining incidental copies and restricting their access and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DCD6AD" id="_x0000_s1030" type="#_x0000_t202" style="position:absolute;left:0;text-align:left;margin-left:342.75pt;margin-top:6.75pt;width:174.65pt;height:123.6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" fillcolor="white [3201]" strokeweight=".5pt">
                      <v:textbox>
                        <w:txbxContent>
                          <w:p w14:paraId="1D5B2F7B" w14:textId="77777777" w:rsidR="00C019A0" w:rsidRPr="00F15683" w:rsidRDefault="00C019A0" w:rsidP="00C019A0">
                            <w:pPr>
                              <w:rPr>
                                <w:b/>
                                <w:bCs/>
                                <w:color w:val="00B050"/>
                                <w:sz w:val="20"/>
                              </w:rPr>
                            </w:pPr>
                            <w:r w:rsidRPr="00F15683">
                              <w:rPr>
                                <w:b/>
                                <w:bCs/>
                                <w:color w:val="00B050"/>
                                <w:sz w:val="20"/>
                              </w:rPr>
                              <w:t>§ (c)(i) Copies in the Collections</w:t>
                            </w:r>
                          </w:p>
                          <w:p w14:paraId="4E393293" w14:textId="77777777" w:rsidR="00C019A0" w:rsidRPr="00F15683" w:rsidRDefault="00C019A0" w:rsidP="00C019A0">
                            <w:pPr>
                              <w:rPr>
                                <w:color w:val="000000" w:themeColor="text1"/>
                                <w:sz w:val="20"/>
                              </w:rPr>
                            </w:pPr>
                            <w:r w:rsidRPr="00F15683">
                              <w:rPr>
                                <w:color w:val="000000" w:themeColor="text1"/>
                                <w:sz w:val="20"/>
                              </w:rPr>
                              <w:t>Adding copies to the collections and making them accessible to users.</w:t>
                            </w:r>
                          </w:p>
                          <w:p w14:paraId="03560C08" w14:textId="77777777" w:rsidR="00C019A0" w:rsidRPr="00F15683" w:rsidRDefault="00C019A0" w:rsidP="00C019A0">
                            <w:pPr>
                              <w:rPr>
                                <w:color w:val="000000" w:themeColor="text1"/>
                                <w:sz w:val="20"/>
                              </w:rPr>
                            </w:pPr>
                            <w:r w:rsidRPr="00F15683">
                              <w:rPr>
                                <w:b/>
                                <w:bCs/>
                                <w:color w:val="00B050"/>
                                <w:sz w:val="20"/>
                              </w:rPr>
                              <w:t>§ (c)(ii) Incidental Copies</w:t>
                            </w:r>
                          </w:p>
                          <w:p w14:paraId="171849CD" w14:textId="77777777" w:rsidR="00C019A0" w:rsidRPr="00F15683" w:rsidRDefault="00C019A0" w:rsidP="00C019A0">
                            <w:pPr>
                              <w:rPr>
                                <w:color w:val="000000" w:themeColor="text1"/>
                                <w:sz w:val="20"/>
                              </w:rPr>
                            </w:pPr>
                            <w:r w:rsidRPr="00F15683">
                              <w:rPr>
                                <w:color w:val="000000" w:themeColor="text1"/>
                                <w:sz w:val="20"/>
                              </w:rPr>
                              <w:t>Retaining incidental copies and restricting their access and use.</w:t>
                            </w:r>
                          </w:p>
                        </w:txbxContent>
                      </v:textbox>
                    </v:shape>
                  </w:pict>
                </mc:Fallback>
              </mc:AlternateContent>
            </w:r>
            <w:r w:rsidRPr="00F15683">
              <w:rPr>
                <w:rFonts w:ascii="Arial" w:hAnsi="Arial" w:cs="Arial"/>
                <w:b/>
                <w:bCs/>
                <w:color w:val="00B050"/>
                <w:sz w:val="20"/>
                <w:szCs w:val="20"/>
              </w:rPr>
              <w:t>Any institution authorized to make, possess, or otherwise use copies of a work pursuant to this exception may, consistent with its applicable law</w:t>
            </w:r>
            <w:r w:rsidRPr="00F15683">
              <w:rPr>
                <w:rFonts w:ascii="Arial" w:hAnsi="Arial" w:cs="Arial"/>
                <w:b/>
                <w:bCs/>
                <w:color w:val="9BBB59" w:themeColor="accent3"/>
                <w:sz w:val="20"/>
                <w:szCs w:val="20"/>
              </w:rPr>
              <w:t xml:space="preserve">: </w:t>
            </w:r>
          </w:p>
          <w:p w14:paraId="3F4CEB6B" w14:textId="77777777" w:rsidR="00C019A0" w:rsidRPr="00F15683" w:rsidRDefault="00C019A0" w:rsidP="00C019A0">
            <w:pPr>
              <w:pStyle w:val="ListParagraph"/>
              <w:numPr>
                <w:ilvl w:val="0"/>
                <w:numId w:val="19"/>
              </w:numPr>
              <w:spacing w:line="240" w:lineRule="auto"/>
              <w:rPr>
                <w:rFonts w:ascii="Arial" w:hAnsi="Arial" w:cs="Arial"/>
                <w:b/>
                <w:bCs/>
                <w:color w:val="00B050"/>
                <w:sz w:val="20"/>
                <w:szCs w:val="20"/>
              </w:rPr>
            </w:pPr>
            <w:r w:rsidRPr="00F15683">
              <w:rPr>
                <w:rFonts w:ascii="Arial" w:hAnsi="Arial" w:cs="Arial"/>
                <w:b/>
                <w:bCs/>
                <w:color w:val="00B050"/>
                <w:sz w:val="20"/>
                <w:szCs w:val="20"/>
              </w:rPr>
              <w:t>Allow access to the work and any copies of it by authorized readers and researchers by formally adding such copies to the institution’s collection and catalog and other records; and</w:t>
            </w:r>
          </w:p>
          <w:p w14:paraId="04F03880" w14:textId="77777777" w:rsidR="00C019A0" w:rsidRPr="00F15683" w:rsidRDefault="00C019A0" w:rsidP="00C019A0">
            <w:pPr>
              <w:pStyle w:val="ListParagraph"/>
              <w:numPr>
                <w:ilvl w:val="0"/>
                <w:numId w:val="19"/>
              </w:numPr>
              <w:spacing w:after="0" w:line="240" w:lineRule="auto"/>
              <w:ind w:left="699"/>
              <w:rPr>
                <w:rFonts w:ascii="Arial" w:hAnsi="Arial" w:cs="Arial"/>
                <w:sz w:val="20"/>
                <w:szCs w:val="20"/>
              </w:rPr>
            </w:pPr>
            <w:r w:rsidRPr="00F15683">
              <w:rPr>
                <w:rFonts w:ascii="Arial" w:hAnsi="Arial" w:cs="Arial"/>
                <w:b/>
                <w:bCs/>
                <w:color w:val="00B050"/>
                <w:sz w:val="20"/>
                <w:szCs w:val="20"/>
              </w:rPr>
              <w:t>Retain additional copies of the work made incidental to the process of implementing this exception, provided that these copies are not made accessible to the public and are used only for the maintenance or management of the collection or administrative functions of the institution</w:t>
            </w:r>
            <w:r w:rsidRPr="00F15683">
              <w:rPr>
                <w:rFonts w:ascii="Arial" w:hAnsi="Arial" w:cs="Arial"/>
                <w:sz w:val="20"/>
                <w:szCs w:val="20"/>
              </w:rPr>
              <w:t>.</w:t>
            </w:r>
          </w:p>
          <w:p w14:paraId="0EB43BB4" w14:textId="77777777" w:rsidR="00C019A0" w:rsidRPr="00F15683" w:rsidRDefault="00C019A0" w:rsidP="008069EB">
            <w:pPr>
              <w:rPr>
                <w:sz w:val="20"/>
                <w:szCs w:val="20"/>
              </w:rPr>
            </w:pPr>
          </w:p>
          <w:p w14:paraId="33631A85" w14:textId="77777777" w:rsidR="00C019A0" w:rsidRPr="00F15683" w:rsidRDefault="00C019A0" w:rsidP="00C019A0">
            <w:pPr>
              <w:pStyle w:val="ListParagraph"/>
              <w:numPr>
                <w:ilvl w:val="0"/>
                <w:numId w:val="15"/>
              </w:numPr>
              <w:spacing w:after="0" w:line="240" w:lineRule="auto"/>
              <w:ind w:left="339"/>
              <w:rPr>
                <w:rFonts w:ascii="Arial" w:hAnsi="Arial" w:cs="Arial"/>
                <w:sz w:val="20"/>
                <w:szCs w:val="20"/>
              </w:rPr>
            </w:pPr>
            <w:r w:rsidRPr="00F15683">
              <w:rPr>
                <w:rFonts w:ascii="Arial" w:hAnsi="Arial" w:cs="Arial"/>
                <w:sz w:val="20"/>
                <w:szCs w:val="20"/>
              </w:rPr>
              <w:t>This exception applies to all works in the collections of the institution, and to all types of works in all formats and media, notwithstanding rights of copyright or related rights, and whether published or unpublished. It further applies to works obtained temporarily from other collections if the work in the user institution’s collection is not available or is otherwise unsuited for reproduction or other uses.</w:t>
            </w:r>
          </w:p>
          <w:p w14:paraId="7BFD27A5" w14:textId="77777777" w:rsidR="00C019A0" w:rsidRPr="00F15683" w:rsidRDefault="00C019A0" w:rsidP="008069EB">
            <w:pPr>
              <w:pStyle w:val="ListParagraph"/>
              <w:rPr>
                <w:rFonts w:ascii="Arial" w:hAnsi="Arial" w:cs="Arial"/>
                <w:sz w:val="20"/>
                <w:szCs w:val="20"/>
              </w:rPr>
            </w:pPr>
          </w:p>
          <w:p w14:paraId="39E6E226" w14:textId="77777777" w:rsidR="00C019A0" w:rsidRPr="00F15683" w:rsidRDefault="00C019A0" w:rsidP="00C019A0">
            <w:pPr>
              <w:pStyle w:val="ListParagraph"/>
              <w:numPr>
                <w:ilvl w:val="0"/>
                <w:numId w:val="15"/>
              </w:numPr>
              <w:spacing w:after="0" w:line="240" w:lineRule="auto"/>
              <w:ind w:left="339"/>
              <w:rPr>
                <w:rFonts w:ascii="Arial" w:hAnsi="Arial" w:cs="Arial"/>
                <w:sz w:val="20"/>
                <w:szCs w:val="20"/>
              </w:rPr>
            </w:pPr>
            <w:proofErr w:type="gramStart"/>
            <w:r w:rsidRPr="00F15683">
              <w:rPr>
                <w:rFonts w:ascii="Arial" w:hAnsi="Arial" w:cs="Arial"/>
                <w:sz w:val="20"/>
                <w:szCs w:val="20"/>
              </w:rPr>
              <w:t>A work</w:t>
            </w:r>
            <w:proofErr w:type="gramEnd"/>
            <w:r w:rsidRPr="00F15683">
              <w:rPr>
                <w:rFonts w:ascii="Arial" w:hAnsi="Arial" w:cs="Arial"/>
                <w:sz w:val="20"/>
                <w:szCs w:val="20"/>
              </w:rPr>
              <w:t xml:space="preserve"> may be used </w:t>
            </w:r>
            <w:r w:rsidRPr="00F15683">
              <w:rPr>
                <w:rFonts w:ascii="Arial" w:hAnsi="Arial" w:cs="Arial"/>
                <w:b/>
                <w:bCs/>
                <w:color w:val="00B050"/>
                <w:sz w:val="20"/>
                <w:szCs w:val="20"/>
              </w:rPr>
              <w:t>by the institution</w:t>
            </w:r>
            <w:r w:rsidRPr="00F15683">
              <w:rPr>
                <w:rFonts w:ascii="Arial" w:hAnsi="Arial" w:cs="Arial"/>
                <w:color w:val="9BBB59" w:themeColor="accent3"/>
                <w:sz w:val="20"/>
                <w:szCs w:val="20"/>
              </w:rPr>
              <w:t xml:space="preserve"> </w:t>
            </w:r>
            <w:r w:rsidRPr="00F15683">
              <w:rPr>
                <w:rFonts w:ascii="Arial" w:hAnsi="Arial" w:cs="Arial"/>
                <w:sz w:val="20"/>
                <w:szCs w:val="20"/>
              </w:rPr>
              <w:t>in accordance with this exception only if the institution has determined that:</w:t>
            </w:r>
          </w:p>
          <w:p w14:paraId="697E935C" w14:textId="77777777" w:rsidR="00C019A0" w:rsidRPr="00F15683" w:rsidRDefault="00C019A0" w:rsidP="00C019A0">
            <w:pPr>
              <w:pStyle w:val="ListParagraph"/>
              <w:numPr>
                <w:ilvl w:val="0"/>
                <w:numId w:val="20"/>
              </w:numPr>
              <w:spacing w:after="0" w:line="240" w:lineRule="auto"/>
              <w:rPr>
                <w:rFonts w:ascii="Arial" w:hAnsi="Arial" w:cs="Arial"/>
                <w:sz w:val="20"/>
                <w:szCs w:val="20"/>
              </w:rPr>
            </w:pPr>
            <w:r w:rsidRPr="00F15683">
              <w:rPr>
                <w:rFonts w:ascii="Arial" w:hAnsi="Arial" w:cs="Arial"/>
                <w:sz w:val="20"/>
                <w:szCs w:val="20"/>
              </w:rPr>
              <w:t>It is not reasonably practicable to acquire the work for the institution’s collection for the needed purposes; and</w:t>
            </w:r>
          </w:p>
          <w:p w14:paraId="37E81C2B" w14:textId="77777777" w:rsidR="00C019A0" w:rsidRPr="00F15683" w:rsidRDefault="00C019A0" w:rsidP="00C019A0">
            <w:pPr>
              <w:pStyle w:val="ListParagraph"/>
              <w:numPr>
                <w:ilvl w:val="0"/>
                <w:numId w:val="16"/>
              </w:numPr>
              <w:spacing w:after="0" w:line="240" w:lineRule="auto"/>
              <w:ind w:left="699" w:hanging="360"/>
              <w:rPr>
                <w:rFonts w:ascii="Arial" w:hAnsi="Arial" w:cs="Arial"/>
                <w:sz w:val="20"/>
                <w:szCs w:val="20"/>
              </w:rPr>
            </w:pPr>
            <w:r w:rsidRPr="00F15683">
              <w:rPr>
                <w:rFonts w:ascii="Arial" w:hAnsi="Arial" w:cs="Arial"/>
                <w:sz w:val="20"/>
                <w:szCs w:val="20"/>
              </w:rPr>
              <w:t xml:space="preserve">The work in the institution’s collections is any of the following: at risk of deterioration or damage, either currently or likely to become at risk in the </w:t>
            </w:r>
            <w:proofErr w:type="gramStart"/>
            <w:r w:rsidRPr="00F15683">
              <w:rPr>
                <w:rFonts w:ascii="Arial" w:hAnsi="Arial" w:cs="Arial"/>
                <w:sz w:val="20"/>
                <w:szCs w:val="20"/>
              </w:rPr>
              <w:t>future, or</w:t>
            </w:r>
            <w:proofErr w:type="gramEnd"/>
            <w:r w:rsidRPr="00F15683">
              <w:rPr>
                <w:rFonts w:ascii="Arial" w:hAnsi="Arial" w:cs="Arial"/>
                <w:sz w:val="20"/>
                <w:szCs w:val="20"/>
              </w:rPr>
              <w:t xml:space="preserve"> is in a format determined by the institution to have become obsolete.</w:t>
            </w:r>
          </w:p>
          <w:p w14:paraId="5E8D7F1A" w14:textId="77777777" w:rsidR="00C019A0" w:rsidRPr="00F15683" w:rsidRDefault="00C019A0" w:rsidP="008069EB">
            <w:pPr>
              <w:pStyle w:val="ListParagraph"/>
              <w:ind w:left="1260"/>
              <w:rPr>
                <w:rFonts w:ascii="Arial" w:hAnsi="Arial" w:cs="Arial"/>
                <w:sz w:val="20"/>
                <w:szCs w:val="20"/>
              </w:rPr>
            </w:pPr>
          </w:p>
          <w:p w14:paraId="7551EE58" w14:textId="77777777" w:rsidR="00C019A0" w:rsidRPr="00F15683" w:rsidRDefault="00C019A0" w:rsidP="00C019A0">
            <w:pPr>
              <w:pStyle w:val="ListParagraph"/>
              <w:numPr>
                <w:ilvl w:val="0"/>
                <w:numId w:val="15"/>
              </w:numPr>
              <w:spacing w:after="0" w:line="240" w:lineRule="auto"/>
              <w:ind w:left="339"/>
              <w:rPr>
                <w:rFonts w:ascii="Arial" w:hAnsi="Arial" w:cs="Arial"/>
                <w:sz w:val="20"/>
                <w:szCs w:val="20"/>
              </w:rPr>
            </w:pPr>
            <w:r w:rsidRPr="00F15683">
              <w:rPr>
                <w:rFonts w:ascii="Arial" w:hAnsi="Arial" w:cs="Arial"/>
                <w:sz w:val="20"/>
                <w:szCs w:val="20"/>
              </w:rPr>
              <w:t>The institution may make and use the copies permitted under this exception by any technological means and in any medium, including without limitation, digital technologies, regardless of whether the work that is the subject of preservation is available to the institution in digital form or otherwise, and the institution may make such quantities of copies as reasonably necessary and customary for purposes consistent with this statute and as incidental to the technological means employed.</w:t>
            </w:r>
          </w:p>
          <w:p w14:paraId="6331A75E" w14:textId="77777777" w:rsidR="00C019A0" w:rsidRPr="00F15683" w:rsidRDefault="00C019A0" w:rsidP="008069EB">
            <w:pPr>
              <w:pStyle w:val="ListParagraph"/>
              <w:rPr>
                <w:rFonts w:ascii="Arial" w:hAnsi="Arial" w:cs="Arial"/>
                <w:sz w:val="20"/>
                <w:szCs w:val="20"/>
              </w:rPr>
            </w:pPr>
          </w:p>
          <w:p w14:paraId="02EEB5AA" w14:textId="77777777" w:rsidR="00C019A0" w:rsidRPr="00F15683" w:rsidRDefault="00C019A0" w:rsidP="00C019A0">
            <w:pPr>
              <w:pStyle w:val="ListParagraph"/>
              <w:numPr>
                <w:ilvl w:val="0"/>
                <w:numId w:val="15"/>
              </w:numPr>
              <w:spacing w:after="0" w:line="240" w:lineRule="auto"/>
              <w:ind w:left="339"/>
              <w:rPr>
                <w:rFonts w:ascii="Arial" w:hAnsi="Arial" w:cs="Arial"/>
                <w:sz w:val="20"/>
                <w:szCs w:val="20"/>
              </w:rPr>
            </w:pPr>
            <w:r w:rsidRPr="00F15683">
              <w:rPr>
                <w:rFonts w:ascii="Arial" w:hAnsi="Arial" w:cs="Arial"/>
                <w:sz w:val="20"/>
                <w:szCs w:val="20"/>
              </w:rPr>
              <w:t xml:space="preserve">Copies made pursuant to this exception shall include </w:t>
            </w:r>
            <w:proofErr w:type="gramStart"/>
            <w:r w:rsidRPr="00F15683">
              <w:rPr>
                <w:rFonts w:ascii="Arial" w:hAnsi="Arial" w:cs="Arial"/>
                <w:sz w:val="20"/>
                <w:szCs w:val="20"/>
              </w:rPr>
              <w:t>the copyright</w:t>
            </w:r>
            <w:proofErr w:type="gramEnd"/>
            <w:r w:rsidRPr="00F15683">
              <w:rPr>
                <w:rFonts w:ascii="Arial" w:hAnsi="Arial" w:cs="Arial"/>
                <w:sz w:val="20"/>
                <w:szCs w:val="20"/>
              </w:rPr>
              <w:t xml:space="preserve"> notice as it may appear on the version of the work being copied.</w:t>
            </w:r>
          </w:p>
          <w:p w14:paraId="1ABBFF8B" w14:textId="77777777" w:rsidR="00C019A0" w:rsidRPr="00F15683" w:rsidRDefault="00C019A0" w:rsidP="008069EB">
            <w:pPr>
              <w:rPr>
                <w:sz w:val="20"/>
                <w:szCs w:val="20"/>
              </w:rPr>
            </w:pPr>
          </w:p>
          <w:p w14:paraId="39474799" w14:textId="77777777" w:rsidR="00C019A0" w:rsidRPr="00F15683" w:rsidRDefault="00C019A0" w:rsidP="008069EB">
            <w:pPr>
              <w:rPr>
                <w:sz w:val="20"/>
                <w:szCs w:val="20"/>
              </w:rPr>
            </w:pPr>
            <w:r w:rsidRPr="00F15683">
              <w:rPr>
                <w:sz w:val="20"/>
                <w:szCs w:val="20"/>
              </w:rPr>
              <w:t xml:space="preserve">                                                     [end of example statute]</w:t>
            </w:r>
          </w:p>
          <w:p w14:paraId="7E9289BA" w14:textId="77777777" w:rsidR="00C019A0" w:rsidRPr="00F15683" w:rsidRDefault="00C019A0" w:rsidP="008069EB">
            <w:pPr>
              <w:rPr>
                <w:sz w:val="20"/>
                <w:szCs w:val="20"/>
              </w:rPr>
            </w:pPr>
          </w:p>
        </w:tc>
      </w:tr>
      <w:tr w:rsidR="00C019A0" w:rsidRPr="00AB214E" w14:paraId="11E3DFEF" w14:textId="77777777" w:rsidTr="008069EB">
        <w:trPr>
          <w:trHeight w:val="195"/>
        </w:trPr>
        <w:tc>
          <w:tcPr>
            <w:tcW w:w="6570" w:type="dxa"/>
            <w:vMerge/>
          </w:tcPr>
          <w:p w14:paraId="4FAF4481" w14:textId="77777777" w:rsidR="00C019A0" w:rsidRPr="00D97FE5" w:rsidRDefault="00C019A0" w:rsidP="008069EB">
            <w:pPr>
              <w:rPr>
                <w:sz w:val="16"/>
              </w:rPr>
            </w:pPr>
          </w:p>
        </w:tc>
      </w:tr>
      <w:tr w:rsidR="00C019A0" w:rsidRPr="00AB214E" w14:paraId="583F223F" w14:textId="77777777" w:rsidTr="008069EB">
        <w:trPr>
          <w:trHeight w:val="195"/>
        </w:trPr>
        <w:tc>
          <w:tcPr>
            <w:tcW w:w="6570" w:type="dxa"/>
            <w:vMerge/>
          </w:tcPr>
          <w:p w14:paraId="6E1289D8" w14:textId="77777777" w:rsidR="00C019A0" w:rsidRPr="00D97FE5" w:rsidRDefault="00C019A0" w:rsidP="008069EB">
            <w:pPr>
              <w:rPr>
                <w:sz w:val="16"/>
              </w:rPr>
            </w:pPr>
          </w:p>
        </w:tc>
      </w:tr>
      <w:tr w:rsidR="00C019A0" w:rsidRPr="00AB214E" w14:paraId="06D7AF00" w14:textId="77777777" w:rsidTr="008069EB">
        <w:trPr>
          <w:trHeight w:val="195"/>
        </w:trPr>
        <w:tc>
          <w:tcPr>
            <w:tcW w:w="6570" w:type="dxa"/>
            <w:vMerge/>
          </w:tcPr>
          <w:p w14:paraId="0911B19E" w14:textId="77777777" w:rsidR="00C019A0" w:rsidRPr="00D97FE5" w:rsidRDefault="00C019A0" w:rsidP="008069EB">
            <w:pPr>
              <w:rPr>
                <w:sz w:val="16"/>
              </w:rPr>
            </w:pPr>
          </w:p>
        </w:tc>
      </w:tr>
      <w:tr w:rsidR="00C019A0" w:rsidRPr="00AB214E" w14:paraId="00CAA61D" w14:textId="77777777" w:rsidTr="008069EB">
        <w:trPr>
          <w:trHeight w:val="184"/>
        </w:trPr>
        <w:tc>
          <w:tcPr>
            <w:tcW w:w="6570" w:type="dxa"/>
          </w:tcPr>
          <w:p w14:paraId="1B615A1C" w14:textId="77777777" w:rsidR="00C019A0" w:rsidRPr="00F15683" w:rsidRDefault="00C019A0" w:rsidP="008069EB">
            <w:pPr>
              <w:rPr>
                <w:sz w:val="16"/>
              </w:rPr>
            </w:pPr>
          </w:p>
        </w:tc>
      </w:tr>
    </w:tbl>
    <w:p w14:paraId="79535403" w14:textId="77777777" w:rsidR="00C019A0" w:rsidRDefault="00C019A0" w:rsidP="00C019A0">
      <w:pPr>
        <w:rPr>
          <w:szCs w:val="22"/>
        </w:rPr>
      </w:pPr>
    </w:p>
    <w:p w14:paraId="0CCB011D" w14:textId="77777777" w:rsidR="00C019A0" w:rsidRDefault="00C019A0" w:rsidP="00C019A0"/>
    <w:p w14:paraId="62F66483" w14:textId="77777777" w:rsidR="00C019A0" w:rsidRDefault="00C019A0" w:rsidP="00C019A0"/>
    <w:p w14:paraId="217AF186" w14:textId="77777777" w:rsidR="00C019A0" w:rsidRDefault="00C019A0" w:rsidP="00C019A0">
      <w:r>
        <w:br w:type="page"/>
      </w:r>
    </w:p>
    <w:p w14:paraId="049065CB" w14:textId="77777777" w:rsidR="00C019A0" w:rsidRPr="00885050" w:rsidRDefault="00C019A0" w:rsidP="00C019A0">
      <w:pPr>
        <w:pStyle w:val="Level1"/>
      </w:pPr>
      <w:bookmarkStart w:id="63" w:name="_Toc219210304"/>
      <w:r>
        <w:t>Part V: Conclusion</w:t>
      </w:r>
      <w:bookmarkEnd w:id="63"/>
    </w:p>
    <w:p w14:paraId="329DD47E" w14:textId="77777777" w:rsidR="00C019A0" w:rsidRDefault="00C019A0" w:rsidP="00C019A0">
      <w:pPr>
        <w:pStyle w:val="p1"/>
        <w:rPr>
          <w:sz w:val="22"/>
          <w:szCs w:val="22"/>
        </w:rPr>
      </w:pPr>
    </w:p>
    <w:p w14:paraId="6BEDC501" w14:textId="77777777" w:rsidR="00C019A0" w:rsidRDefault="00C019A0" w:rsidP="00C019A0">
      <w:pPr>
        <w:pStyle w:val="p1"/>
        <w:rPr>
          <w:rFonts w:eastAsiaTheme="minorHAnsi"/>
          <w:color w:val="auto"/>
          <w:kern w:val="2"/>
          <w:sz w:val="22"/>
          <w:szCs w:val="22"/>
          <w14:ligatures w14:val="standardContextual"/>
        </w:rPr>
      </w:pPr>
      <w:r w:rsidRPr="003230C8">
        <w:rPr>
          <w:rFonts w:eastAsiaTheme="minorHAnsi"/>
          <w:color w:val="auto"/>
          <w:kern w:val="2"/>
          <w:sz w:val="22"/>
          <w:szCs w:val="22"/>
          <w14:ligatures w14:val="standardContextual"/>
        </w:rPr>
        <w:t>The toolkit on access to copyrighted works in cultural heritage institutions is the second resource in a series</w:t>
      </w:r>
      <w:r>
        <w:rPr>
          <w:rFonts w:eastAsiaTheme="minorHAnsi"/>
          <w:color w:val="auto"/>
          <w:kern w:val="2"/>
          <w:sz w:val="22"/>
          <w:szCs w:val="22"/>
          <w14:ligatures w14:val="standardContextual"/>
        </w:rPr>
        <w:t xml:space="preserve"> that is </w:t>
      </w:r>
      <w:r w:rsidRPr="003230C8">
        <w:rPr>
          <w:rFonts w:eastAsiaTheme="minorHAnsi"/>
          <w:color w:val="auto"/>
          <w:kern w:val="2"/>
          <w:sz w:val="22"/>
          <w:szCs w:val="22"/>
          <w14:ligatures w14:val="standardContextual"/>
        </w:rPr>
        <w:t>intended</w:t>
      </w:r>
      <w:r>
        <w:rPr>
          <w:rFonts w:eastAsiaTheme="minorHAnsi"/>
          <w:color w:val="auto"/>
          <w:kern w:val="2"/>
          <w:sz w:val="22"/>
          <w:szCs w:val="22"/>
          <w14:ligatures w14:val="standardContextual"/>
        </w:rPr>
        <w:t xml:space="preserve"> primarily</w:t>
      </w:r>
      <w:r w:rsidRPr="003230C8">
        <w:rPr>
          <w:rFonts w:eastAsiaTheme="minorHAnsi"/>
          <w:color w:val="auto"/>
          <w:kern w:val="2"/>
          <w:sz w:val="22"/>
          <w:szCs w:val="22"/>
          <w14:ligatures w14:val="standardContextual"/>
        </w:rPr>
        <w:t xml:space="preserve"> to examine the intersection of cultural heritage practices and copyright law</w:t>
      </w:r>
      <w:r>
        <w:rPr>
          <w:rFonts w:eastAsiaTheme="minorHAnsi"/>
          <w:color w:val="auto"/>
          <w:kern w:val="2"/>
          <w:sz w:val="22"/>
          <w:szCs w:val="22"/>
          <w14:ligatures w14:val="standardContextual"/>
        </w:rPr>
        <w:t>. It underscores the importance to these institutions when considering questions related to digital access and the need for digitalization of collections, as well as access to copies of works in digital or analog format, all in the context of rapidly evolving technological developments.</w:t>
      </w:r>
      <w:r w:rsidRPr="003230C8">
        <w:rPr>
          <w:rFonts w:eastAsiaTheme="minorHAnsi"/>
          <w:color w:val="auto"/>
          <w:kern w:val="2"/>
          <w:sz w:val="22"/>
          <w:szCs w:val="22"/>
          <w14:ligatures w14:val="standardContextual"/>
        </w:rPr>
        <w:t xml:space="preserve"> </w:t>
      </w:r>
    </w:p>
    <w:p w14:paraId="1BABB266" w14:textId="77777777" w:rsidR="00C019A0" w:rsidRDefault="00C019A0" w:rsidP="00C019A0">
      <w:pPr>
        <w:pStyle w:val="p1"/>
        <w:rPr>
          <w:rFonts w:eastAsiaTheme="minorHAnsi"/>
          <w:color w:val="auto"/>
          <w:kern w:val="2"/>
          <w:sz w:val="22"/>
          <w:szCs w:val="22"/>
          <w14:ligatures w14:val="standardContextual"/>
        </w:rPr>
      </w:pPr>
    </w:p>
    <w:p w14:paraId="24E7B06C" w14:textId="77777777" w:rsidR="00C019A0" w:rsidRDefault="00C019A0" w:rsidP="00C019A0">
      <w:pPr>
        <w:pStyle w:val="p1"/>
        <w:rPr>
          <w:rFonts w:eastAsiaTheme="minorHAnsi"/>
          <w:color w:val="auto"/>
          <w:kern w:val="2"/>
          <w:sz w:val="22"/>
          <w:szCs w:val="22"/>
          <w14:ligatures w14:val="standardContextual"/>
        </w:rPr>
      </w:pPr>
      <w:r>
        <w:rPr>
          <w:rFonts w:eastAsiaTheme="minorHAnsi"/>
          <w:color w:val="auto"/>
          <w:kern w:val="2"/>
          <w:sz w:val="22"/>
          <w:szCs w:val="22"/>
          <w14:ligatures w14:val="standardContextual"/>
        </w:rPr>
        <w:t xml:space="preserve">The first resource in this series is </w:t>
      </w:r>
      <w:r w:rsidRPr="003230C8">
        <w:rPr>
          <w:rFonts w:eastAsiaTheme="minorHAnsi"/>
          <w:color w:val="auto"/>
          <w:kern w:val="2"/>
          <w:sz w:val="22"/>
          <w:szCs w:val="22"/>
          <w14:ligatures w14:val="standardContextual"/>
        </w:rPr>
        <w:t xml:space="preserve">the </w:t>
      </w:r>
      <w:r w:rsidRPr="003230C8">
        <w:rPr>
          <w:rFonts w:eastAsiaTheme="minorHAnsi"/>
          <w:i/>
          <w:iCs/>
          <w:color w:val="auto"/>
          <w:kern w:val="2"/>
          <w:sz w:val="22"/>
          <w:szCs w:val="22"/>
          <w14:ligatures w14:val="standardContextual"/>
        </w:rPr>
        <w:t>Toolkit on Preservation</w:t>
      </w:r>
      <w:r>
        <w:rPr>
          <w:rFonts w:eastAsiaTheme="minorHAnsi"/>
          <w:color w:val="auto"/>
          <w:kern w:val="2"/>
          <w:sz w:val="22"/>
          <w:szCs w:val="22"/>
          <w14:ligatures w14:val="standardContextual"/>
        </w:rPr>
        <w:t xml:space="preserve"> designed to</w:t>
      </w:r>
      <w:r w:rsidRPr="003230C8">
        <w:rPr>
          <w:rFonts w:eastAsiaTheme="minorHAnsi"/>
          <w:color w:val="auto"/>
          <w:kern w:val="2"/>
          <w:sz w:val="22"/>
          <w:szCs w:val="22"/>
          <w14:ligatures w14:val="standardContextual"/>
        </w:rPr>
        <w:t xml:space="preserve"> develop copyright provisions that address the duty to preserve collections</w:t>
      </w:r>
      <w:r>
        <w:rPr>
          <w:rFonts w:eastAsiaTheme="minorHAnsi"/>
          <w:color w:val="auto"/>
          <w:kern w:val="2"/>
          <w:sz w:val="22"/>
          <w:szCs w:val="22"/>
          <w14:ligatures w14:val="standardContextual"/>
        </w:rPr>
        <w:t>. This second toolkit builds on that and discusses the challenge of assuring access to the works, whether in their original form or as copies made pursuant to a statutory copyright exception. The need for clarification of</w:t>
      </w:r>
      <w:r w:rsidRPr="003230C8">
        <w:rPr>
          <w:rFonts w:eastAsiaTheme="minorHAnsi"/>
          <w:color w:val="auto"/>
          <w:kern w:val="2"/>
          <w:sz w:val="22"/>
          <w:szCs w:val="22"/>
          <w14:ligatures w14:val="standardContextual"/>
        </w:rPr>
        <w:t xml:space="preserve"> </w:t>
      </w:r>
      <w:r>
        <w:rPr>
          <w:rFonts w:eastAsiaTheme="minorHAnsi"/>
          <w:color w:val="auto"/>
          <w:kern w:val="2"/>
          <w:sz w:val="22"/>
          <w:szCs w:val="22"/>
          <w14:ligatures w14:val="standardContextual"/>
        </w:rPr>
        <w:t xml:space="preserve">that </w:t>
      </w:r>
      <w:r w:rsidRPr="003230C8">
        <w:rPr>
          <w:rFonts w:eastAsiaTheme="minorHAnsi"/>
          <w:color w:val="auto"/>
          <w:kern w:val="2"/>
          <w:sz w:val="22"/>
          <w:szCs w:val="22"/>
          <w14:ligatures w14:val="standardContextual"/>
        </w:rPr>
        <w:t xml:space="preserve">access </w:t>
      </w:r>
      <w:r>
        <w:rPr>
          <w:rFonts w:eastAsiaTheme="minorHAnsi"/>
          <w:color w:val="auto"/>
          <w:kern w:val="2"/>
          <w:sz w:val="22"/>
          <w:szCs w:val="22"/>
          <w14:ligatures w14:val="standardContextual"/>
        </w:rPr>
        <w:t xml:space="preserve">framework can be </w:t>
      </w:r>
      <w:r w:rsidRPr="003230C8">
        <w:rPr>
          <w:rFonts w:eastAsiaTheme="minorHAnsi"/>
          <w:color w:val="auto"/>
          <w:kern w:val="2"/>
          <w:sz w:val="22"/>
          <w:szCs w:val="22"/>
          <w14:ligatures w14:val="standardContextual"/>
        </w:rPr>
        <w:t xml:space="preserve">considered by using this </w:t>
      </w:r>
      <w:r>
        <w:rPr>
          <w:rFonts w:eastAsiaTheme="minorHAnsi"/>
          <w:color w:val="auto"/>
          <w:kern w:val="2"/>
          <w:sz w:val="22"/>
          <w:szCs w:val="22"/>
          <w14:ligatures w14:val="standardContextual"/>
        </w:rPr>
        <w:t xml:space="preserve">toolkit. </w:t>
      </w:r>
    </w:p>
    <w:p w14:paraId="6767F001" w14:textId="77777777" w:rsidR="00C019A0" w:rsidRDefault="00C019A0" w:rsidP="00C019A0">
      <w:pPr>
        <w:pStyle w:val="p1"/>
        <w:rPr>
          <w:rFonts w:eastAsiaTheme="minorHAnsi"/>
          <w:color w:val="auto"/>
          <w:kern w:val="2"/>
          <w:sz w:val="22"/>
          <w:szCs w:val="22"/>
          <w14:ligatures w14:val="standardContextual"/>
        </w:rPr>
      </w:pPr>
    </w:p>
    <w:p w14:paraId="196F4F3A" w14:textId="77777777" w:rsidR="00C019A0" w:rsidRPr="002C054D" w:rsidRDefault="00C019A0" w:rsidP="00C019A0">
      <w:pPr>
        <w:pStyle w:val="p1"/>
        <w:rPr>
          <w:sz w:val="22"/>
          <w:szCs w:val="22"/>
        </w:rPr>
      </w:pPr>
      <w:r w:rsidRPr="00885050">
        <w:rPr>
          <w:sz w:val="22"/>
          <w:szCs w:val="22"/>
        </w:rPr>
        <w:t xml:space="preserve">The </w:t>
      </w:r>
      <w:r w:rsidRPr="002C054D">
        <w:rPr>
          <w:sz w:val="22"/>
          <w:szCs w:val="22"/>
        </w:rPr>
        <w:t>development and implementation of exceptions to copyright for preservation and access</w:t>
      </w:r>
      <w:r>
        <w:rPr>
          <w:sz w:val="22"/>
          <w:szCs w:val="22"/>
        </w:rPr>
        <w:t xml:space="preserve"> </w:t>
      </w:r>
      <w:r w:rsidRPr="002C054D">
        <w:rPr>
          <w:sz w:val="22"/>
          <w:szCs w:val="22"/>
        </w:rPr>
        <w:t>can be aided greatly by the development of usable and functional tools, such as checklists,</w:t>
      </w:r>
      <w:r>
        <w:rPr>
          <w:sz w:val="22"/>
          <w:szCs w:val="22"/>
        </w:rPr>
        <w:t xml:space="preserve"> </w:t>
      </w:r>
      <w:r w:rsidRPr="002C054D">
        <w:rPr>
          <w:sz w:val="22"/>
          <w:szCs w:val="22"/>
        </w:rPr>
        <w:t>guidelines, and policies. Copyright education for cultural heritage professionals, and the use of</w:t>
      </w:r>
      <w:r>
        <w:rPr>
          <w:sz w:val="22"/>
          <w:szCs w:val="22"/>
        </w:rPr>
        <w:t xml:space="preserve"> </w:t>
      </w:r>
      <w:r w:rsidRPr="002C054D">
        <w:rPr>
          <w:sz w:val="22"/>
          <w:szCs w:val="22"/>
        </w:rPr>
        <w:t>standardized rights metadata statements describing works held in collections, may be</w:t>
      </w:r>
      <w:r>
        <w:rPr>
          <w:sz w:val="22"/>
          <w:szCs w:val="22"/>
        </w:rPr>
        <w:t xml:space="preserve"> </w:t>
      </w:r>
      <w:r w:rsidRPr="002C054D">
        <w:rPr>
          <w:sz w:val="22"/>
          <w:szCs w:val="22"/>
        </w:rPr>
        <w:t>considered to ensure that collections management practices include assessments of rights and</w:t>
      </w:r>
      <w:r>
        <w:rPr>
          <w:sz w:val="22"/>
          <w:szCs w:val="22"/>
        </w:rPr>
        <w:t xml:space="preserve"> </w:t>
      </w:r>
      <w:r w:rsidRPr="002C054D">
        <w:rPr>
          <w:sz w:val="22"/>
          <w:szCs w:val="22"/>
        </w:rPr>
        <w:t xml:space="preserve">interests. Therefore, consistent with the </w:t>
      </w:r>
      <w:r w:rsidRPr="002C054D">
        <w:rPr>
          <w:i/>
          <w:iCs/>
          <w:sz w:val="22"/>
          <w:szCs w:val="22"/>
        </w:rPr>
        <w:t>Toolkit on Preservation</w:t>
      </w:r>
      <w:r w:rsidRPr="002C054D">
        <w:rPr>
          <w:sz w:val="22"/>
          <w:szCs w:val="22"/>
        </w:rPr>
        <w:t xml:space="preserve"> and in addition to the</w:t>
      </w:r>
      <w:r>
        <w:rPr>
          <w:sz w:val="22"/>
          <w:szCs w:val="22"/>
        </w:rPr>
        <w:t xml:space="preserve"> </w:t>
      </w:r>
      <w:r w:rsidRPr="002C054D">
        <w:rPr>
          <w:sz w:val="22"/>
          <w:szCs w:val="22"/>
        </w:rPr>
        <w:t xml:space="preserve">development of further toolkits, </w:t>
      </w:r>
      <w:r>
        <w:rPr>
          <w:sz w:val="22"/>
          <w:szCs w:val="22"/>
        </w:rPr>
        <w:t xml:space="preserve">these </w:t>
      </w:r>
      <w:proofErr w:type="gramStart"/>
      <w:r w:rsidRPr="002C054D">
        <w:rPr>
          <w:sz w:val="22"/>
          <w:szCs w:val="22"/>
        </w:rPr>
        <w:t>are suggested</w:t>
      </w:r>
      <w:proofErr w:type="gramEnd"/>
      <w:r w:rsidRPr="002C054D">
        <w:rPr>
          <w:sz w:val="22"/>
          <w:szCs w:val="22"/>
        </w:rPr>
        <w:t xml:space="preserve"> potential next steps to</w:t>
      </w:r>
      <w:r>
        <w:rPr>
          <w:sz w:val="22"/>
          <w:szCs w:val="22"/>
        </w:rPr>
        <w:t xml:space="preserve"> facilitate access</w:t>
      </w:r>
      <w:r w:rsidRPr="002C054D">
        <w:rPr>
          <w:sz w:val="22"/>
          <w:szCs w:val="22"/>
        </w:rPr>
        <w:t>.</w:t>
      </w:r>
    </w:p>
    <w:p w14:paraId="5E3F1705" w14:textId="77777777" w:rsidR="00C019A0" w:rsidRPr="002C054D" w:rsidRDefault="00C019A0" w:rsidP="00C019A0">
      <w:pPr>
        <w:pStyle w:val="p1"/>
        <w:rPr>
          <w:sz w:val="22"/>
          <w:szCs w:val="22"/>
        </w:rPr>
      </w:pPr>
    </w:p>
    <w:p w14:paraId="35630870" w14:textId="77777777" w:rsidR="00C019A0" w:rsidRPr="00885050" w:rsidRDefault="00C019A0" w:rsidP="00C019A0">
      <w:pPr>
        <w:pStyle w:val="p1"/>
        <w:rPr>
          <w:sz w:val="22"/>
          <w:szCs w:val="22"/>
        </w:rPr>
      </w:pPr>
      <w:r w:rsidRPr="002C054D">
        <w:rPr>
          <w:sz w:val="22"/>
          <w:szCs w:val="22"/>
        </w:rPr>
        <w:t xml:space="preserve">In addition to legislative changes to facilitate access </w:t>
      </w:r>
      <w:r>
        <w:rPr>
          <w:sz w:val="22"/>
          <w:szCs w:val="22"/>
        </w:rPr>
        <w:t>to</w:t>
      </w:r>
      <w:r w:rsidRPr="002C054D">
        <w:rPr>
          <w:sz w:val="22"/>
          <w:szCs w:val="22"/>
        </w:rPr>
        <w:t xml:space="preserve"> cultural heritage</w:t>
      </w:r>
      <w:r>
        <w:rPr>
          <w:sz w:val="22"/>
          <w:szCs w:val="22"/>
        </w:rPr>
        <w:t xml:space="preserve"> </w:t>
      </w:r>
      <w:r w:rsidRPr="002C054D">
        <w:rPr>
          <w:sz w:val="22"/>
          <w:szCs w:val="22"/>
        </w:rPr>
        <w:t>collections, certain related practices can facilitate responsible rights management in libraries,</w:t>
      </w:r>
      <w:r>
        <w:rPr>
          <w:sz w:val="22"/>
          <w:szCs w:val="22"/>
        </w:rPr>
        <w:t xml:space="preserve"> </w:t>
      </w:r>
      <w:r w:rsidRPr="002C054D">
        <w:rPr>
          <w:sz w:val="22"/>
          <w:szCs w:val="22"/>
        </w:rPr>
        <w:t>archives, and museums. Checklists, policies, and guidelines can</w:t>
      </w:r>
      <w:r w:rsidRPr="00885050">
        <w:rPr>
          <w:sz w:val="22"/>
          <w:szCs w:val="22"/>
        </w:rPr>
        <w:t xml:space="preserve"> synthesize the law and</w:t>
      </w:r>
      <w:r>
        <w:rPr>
          <w:sz w:val="22"/>
          <w:szCs w:val="22"/>
        </w:rPr>
        <w:t xml:space="preserve"> </w:t>
      </w:r>
      <w:r w:rsidRPr="00885050">
        <w:rPr>
          <w:sz w:val="22"/>
          <w:szCs w:val="22"/>
        </w:rPr>
        <w:t>facilitate a better</w:t>
      </w:r>
      <w:r>
        <w:rPr>
          <w:sz w:val="22"/>
          <w:szCs w:val="22"/>
        </w:rPr>
        <w:t xml:space="preserve"> </w:t>
      </w:r>
      <w:r w:rsidRPr="00885050">
        <w:rPr>
          <w:sz w:val="22"/>
          <w:szCs w:val="22"/>
        </w:rPr>
        <w:t>understanding of the application of the law to collection management</w:t>
      </w:r>
      <w:r>
        <w:rPr>
          <w:sz w:val="22"/>
          <w:szCs w:val="22"/>
        </w:rPr>
        <w:t xml:space="preserve"> </w:t>
      </w:r>
      <w:r w:rsidRPr="00885050">
        <w:rPr>
          <w:sz w:val="22"/>
          <w:szCs w:val="22"/>
        </w:rPr>
        <w:t>practices. Libraries,</w:t>
      </w:r>
      <w:r>
        <w:rPr>
          <w:sz w:val="22"/>
          <w:szCs w:val="22"/>
        </w:rPr>
        <w:t xml:space="preserve"> </w:t>
      </w:r>
      <w:r w:rsidRPr="00885050">
        <w:rPr>
          <w:sz w:val="22"/>
          <w:szCs w:val="22"/>
        </w:rPr>
        <w:t>archives, and museums may be encouraged to employ these management</w:t>
      </w:r>
      <w:r>
        <w:rPr>
          <w:sz w:val="22"/>
          <w:szCs w:val="22"/>
        </w:rPr>
        <w:t xml:space="preserve"> </w:t>
      </w:r>
      <w:r w:rsidRPr="00885050">
        <w:rPr>
          <w:sz w:val="22"/>
          <w:szCs w:val="22"/>
        </w:rPr>
        <w:t>techniques in ways</w:t>
      </w:r>
      <w:r>
        <w:rPr>
          <w:sz w:val="22"/>
          <w:szCs w:val="22"/>
        </w:rPr>
        <w:t xml:space="preserve"> </w:t>
      </w:r>
      <w:r w:rsidRPr="00885050">
        <w:rPr>
          <w:sz w:val="22"/>
          <w:szCs w:val="22"/>
        </w:rPr>
        <w:t>consistent with the normative practices of their respective jurisdictions,</w:t>
      </w:r>
      <w:r>
        <w:rPr>
          <w:sz w:val="22"/>
          <w:szCs w:val="22"/>
        </w:rPr>
        <w:t xml:space="preserve"> </w:t>
      </w:r>
      <w:r w:rsidRPr="00885050">
        <w:rPr>
          <w:sz w:val="22"/>
          <w:szCs w:val="22"/>
        </w:rPr>
        <w:t>communities, and</w:t>
      </w:r>
      <w:r>
        <w:rPr>
          <w:sz w:val="22"/>
          <w:szCs w:val="22"/>
        </w:rPr>
        <w:t xml:space="preserve"> </w:t>
      </w:r>
      <w:r w:rsidRPr="00885050">
        <w:rPr>
          <w:sz w:val="22"/>
          <w:szCs w:val="22"/>
        </w:rPr>
        <w:t>protocols to ensure that copyright exceptions are applied</w:t>
      </w:r>
      <w:r>
        <w:rPr>
          <w:sz w:val="22"/>
          <w:szCs w:val="22"/>
        </w:rPr>
        <w:t xml:space="preserve"> </w:t>
      </w:r>
      <w:r w:rsidRPr="00885050">
        <w:rPr>
          <w:sz w:val="22"/>
          <w:szCs w:val="22"/>
        </w:rPr>
        <w:t>consistently.</w:t>
      </w:r>
    </w:p>
    <w:p w14:paraId="33478090" w14:textId="77777777" w:rsidR="00C019A0" w:rsidRPr="00885050" w:rsidRDefault="00C019A0" w:rsidP="00C019A0">
      <w:pPr>
        <w:pStyle w:val="p1"/>
        <w:rPr>
          <w:sz w:val="22"/>
          <w:szCs w:val="22"/>
        </w:rPr>
      </w:pPr>
    </w:p>
    <w:p w14:paraId="591BDFEA" w14:textId="77777777" w:rsidR="00C019A0" w:rsidRPr="00885050" w:rsidRDefault="00C019A0" w:rsidP="00C019A0">
      <w:pPr>
        <w:pStyle w:val="p1"/>
        <w:rPr>
          <w:sz w:val="22"/>
          <w:szCs w:val="22"/>
        </w:rPr>
      </w:pPr>
      <w:r w:rsidRPr="00885050">
        <w:rPr>
          <w:sz w:val="22"/>
          <w:szCs w:val="22"/>
        </w:rPr>
        <w:t>Checklists, for example, have played a positive role in this regard. This device is particularly</w:t>
      </w:r>
      <w:r>
        <w:rPr>
          <w:sz w:val="22"/>
          <w:szCs w:val="22"/>
        </w:rPr>
        <w:t xml:space="preserve"> </w:t>
      </w:r>
      <w:r w:rsidRPr="00885050">
        <w:rPr>
          <w:sz w:val="22"/>
          <w:szCs w:val="22"/>
        </w:rPr>
        <w:t xml:space="preserve">relevant where the law requires certain considerations or conditions </w:t>
      </w:r>
      <w:proofErr w:type="gramStart"/>
      <w:r w:rsidRPr="00885050">
        <w:rPr>
          <w:sz w:val="22"/>
          <w:szCs w:val="22"/>
        </w:rPr>
        <w:t>in order to</w:t>
      </w:r>
      <w:proofErr w:type="gramEnd"/>
      <w:r w:rsidRPr="00885050">
        <w:rPr>
          <w:sz w:val="22"/>
          <w:szCs w:val="22"/>
        </w:rPr>
        <w:t xml:space="preserve"> apply a copyright</w:t>
      </w:r>
      <w:r>
        <w:rPr>
          <w:sz w:val="22"/>
          <w:szCs w:val="22"/>
        </w:rPr>
        <w:t xml:space="preserve"> </w:t>
      </w:r>
      <w:r w:rsidRPr="00885050">
        <w:rPr>
          <w:sz w:val="22"/>
          <w:szCs w:val="22"/>
        </w:rPr>
        <w:t xml:space="preserve">exception. A checklist can ensure that issues are </w:t>
      </w:r>
      <w:proofErr w:type="gramStart"/>
      <w:r w:rsidRPr="00885050">
        <w:rPr>
          <w:sz w:val="22"/>
          <w:szCs w:val="22"/>
        </w:rPr>
        <w:t>considered</w:t>
      </w:r>
      <w:proofErr w:type="gramEnd"/>
      <w:r w:rsidRPr="00885050">
        <w:rPr>
          <w:sz w:val="22"/>
          <w:szCs w:val="22"/>
        </w:rPr>
        <w:t xml:space="preserve"> and steps are taken consistently</w:t>
      </w:r>
      <w:r>
        <w:rPr>
          <w:sz w:val="22"/>
          <w:szCs w:val="22"/>
        </w:rPr>
        <w:t xml:space="preserve"> </w:t>
      </w:r>
      <w:r w:rsidRPr="00885050">
        <w:rPr>
          <w:sz w:val="22"/>
          <w:szCs w:val="22"/>
        </w:rPr>
        <w:t>and responsibly by staff when applying copyright exceptions to the use of their collections.</w:t>
      </w:r>
      <w:r>
        <w:rPr>
          <w:sz w:val="22"/>
          <w:szCs w:val="22"/>
        </w:rPr>
        <w:t xml:space="preserve"> </w:t>
      </w:r>
      <w:r w:rsidRPr="00885050">
        <w:rPr>
          <w:sz w:val="22"/>
          <w:szCs w:val="22"/>
        </w:rPr>
        <w:t>Similarly, questionnaires may be used to gather relevant information about rights, community</w:t>
      </w:r>
      <w:r>
        <w:rPr>
          <w:sz w:val="22"/>
          <w:szCs w:val="22"/>
        </w:rPr>
        <w:t xml:space="preserve"> </w:t>
      </w:r>
      <w:r w:rsidRPr="00885050">
        <w:rPr>
          <w:sz w:val="22"/>
          <w:szCs w:val="22"/>
        </w:rPr>
        <w:t>interests, and protocols, particularly at the time of acquisition, when donors, who may also be</w:t>
      </w:r>
      <w:r>
        <w:rPr>
          <w:sz w:val="22"/>
          <w:szCs w:val="22"/>
        </w:rPr>
        <w:t xml:space="preserve"> </w:t>
      </w:r>
      <w:r w:rsidRPr="00885050">
        <w:rPr>
          <w:sz w:val="22"/>
          <w:szCs w:val="22"/>
        </w:rPr>
        <w:t>rightsholders, can supply useful information about rights associated with collections. For</w:t>
      </w:r>
      <w:r>
        <w:rPr>
          <w:sz w:val="22"/>
          <w:szCs w:val="22"/>
        </w:rPr>
        <w:t xml:space="preserve"> </w:t>
      </w:r>
      <w:r w:rsidRPr="00885050">
        <w:rPr>
          <w:sz w:val="22"/>
          <w:szCs w:val="22"/>
        </w:rPr>
        <w:t>example, if the donor of a collection knows that some materials have been obtained from other</w:t>
      </w:r>
      <w:r>
        <w:rPr>
          <w:sz w:val="22"/>
          <w:szCs w:val="22"/>
        </w:rPr>
        <w:t xml:space="preserve"> </w:t>
      </w:r>
      <w:r w:rsidRPr="00885050">
        <w:rPr>
          <w:sz w:val="22"/>
          <w:szCs w:val="22"/>
        </w:rPr>
        <w:t>sources, or if the donor knows that some materials are subject to third-party permissions and</w:t>
      </w:r>
      <w:r>
        <w:rPr>
          <w:sz w:val="22"/>
          <w:szCs w:val="22"/>
        </w:rPr>
        <w:t xml:space="preserve"> </w:t>
      </w:r>
      <w:r w:rsidRPr="00885050">
        <w:rPr>
          <w:sz w:val="22"/>
          <w:szCs w:val="22"/>
        </w:rPr>
        <w:t>licenses, any details and information secured at the time of acquisition can prove essential in</w:t>
      </w:r>
      <w:r>
        <w:rPr>
          <w:sz w:val="22"/>
          <w:szCs w:val="22"/>
        </w:rPr>
        <w:t xml:space="preserve"> </w:t>
      </w:r>
      <w:r w:rsidRPr="00885050">
        <w:rPr>
          <w:sz w:val="22"/>
          <w:szCs w:val="22"/>
        </w:rPr>
        <w:t>the future. Such information can shape whether the collection or the rights may even be</w:t>
      </w:r>
      <w:r>
        <w:rPr>
          <w:sz w:val="22"/>
          <w:szCs w:val="22"/>
        </w:rPr>
        <w:t xml:space="preserve"> </w:t>
      </w:r>
      <w:r w:rsidRPr="00885050">
        <w:rPr>
          <w:sz w:val="22"/>
          <w:szCs w:val="22"/>
        </w:rPr>
        <w:t>donated to the institution, and it may determine who has rights in the unlikely event of future</w:t>
      </w:r>
      <w:r>
        <w:rPr>
          <w:sz w:val="22"/>
          <w:szCs w:val="22"/>
        </w:rPr>
        <w:t xml:space="preserve"> </w:t>
      </w:r>
      <w:r w:rsidRPr="00885050">
        <w:rPr>
          <w:sz w:val="22"/>
          <w:szCs w:val="22"/>
        </w:rPr>
        <w:t>conflicts with claimants. The information can also, and most constructively, ease the process</w:t>
      </w:r>
      <w:r>
        <w:rPr>
          <w:sz w:val="22"/>
          <w:szCs w:val="22"/>
        </w:rPr>
        <w:t xml:space="preserve"> </w:t>
      </w:r>
      <w:r w:rsidRPr="00885050">
        <w:rPr>
          <w:sz w:val="22"/>
          <w:szCs w:val="22"/>
        </w:rPr>
        <w:t>for reaching out to rightsholders in the future when libraries, museums, archives, researchers, o</w:t>
      </w:r>
      <w:r>
        <w:rPr>
          <w:sz w:val="22"/>
          <w:szCs w:val="22"/>
        </w:rPr>
        <w:t xml:space="preserve">r </w:t>
      </w:r>
      <w:r w:rsidRPr="00885050">
        <w:rPr>
          <w:sz w:val="22"/>
          <w:szCs w:val="22"/>
        </w:rPr>
        <w:t>publishers want to make uses of works in ways that affect third-party rights.</w:t>
      </w:r>
    </w:p>
    <w:p w14:paraId="1D69F86A" w14:textId="77777777" w:rsidR="00C019A0" w:rsidRPr="00885050" w:rsidRDefault="00C019A0" w:rsidP="00C019A0">
      <w:pPr>
        <w:pStyle w:val="p1"/>
        <w:rPr>
          <w:sz w:val="22"/>
          <w:szCs w:val="22"/>
        </w:rPr>
      </w:pPr>
    </w:p>
    <w:p w14:paraId="056BBD46" w14:textId="77777777" w:rsidR="00C019A0" w:rsidRPr="00885050" w:rsidRDefault="00C019A0" w:rsidP="00C019A0">
      <w:pPr>
        <w:pStyle w:val="p1"/>
        <w:rPr>
          <w:sz w:val="22"/>
          <w:szCs w:val="22"/>
        </w:rPr>
      </w:pPr>
      <w:r w:rsidRPr="00885050">
        <w:rPr>
          <w:sz w:val="22"/>
          <w:szCs w:val="22"/>
        </w:rPr>
        <w:t xml:space="preserve">Copyright guidelines and </w:t>
      </w:r>
      <w:r>
        <w:rPr>
          <w:sz w:val="22"/>
          <w:szCs w:val="22"/>
        </w:rPr>
        <w:t xml:space="preserve">institutional </w:t>
      </w:r>
      <w:r w:rsidRPr="00885050">
        <w:rPr>
          <w:sz w:val="22"/>
          <w:szCs w:val="22"/>
        </w:rPr>
        <w:t>policies can also play a positive role in ensuring that copyright is</w:t>
      </w:r>
      <w:r>
        <w:rPr>
          <w:sz w:val="22"/>
          <w:szCs w:val="22"/>
        </w:rPr>
        <w:t xml:space="preserve"> </w:t>
      </w:r>
      <w:r w:rsidRPr="00885050">
        <w:rPr>
          <w:sz w:val="22"/>
          <w:szCs w:val="22"/>
        </w:rPr>
        <w:t>applied consistently as it relates to collections management practices that include preservation and access to copyright protected materials and objects in collections. Guidelines and policies will direct staff to apply exceptions in keeping with expectations found in the law as well as in keeping with the mission and vision of their respective library, archive</w:t>
      </w:r>
      <w:r>
        <w:rPr>
          <w:sz w:val="22"/>
          <w:szCs w:val="22"/>
        </w:rPr>
        <w:t>,</w:t>
      </w:r>
      <w:r w:rsidRPr="00885050">
        <w:rPr>
          <w:sz w:val="22"/>
          <w:szCs w:val="22"/>
        </w:rPr>
        <w:t xml:space="preserve"> or</w:t>
      </w:r>
      <w:r>
        <w:rPr>
          <w:sz w:val="22"/>
          <w:szCs w:val="22"/>
        </w:rPr>
        <w:t xml:space="preserve"> </w:t>
      </w:r>
      <w:r w:rsidRPr="00885050">
        <w:rPr>
          <w:sz w:val="22"/>
          <w:szCs w:val="22"/>
        </w:rPr>
        <w:t>museum. Courts in certain jurisdictions have not only validated this approach but have</w:t>
      </w:r>
      <w:r>
        <w:rPr>
          <w:sz w:val="22"/>
          <w:szCs w:val="22"/>
        </w:rPr>
        <w:t xml:space="preserve"> </w:t>
      </w:r>
      <w:r w:rsidRPr="00885050">
        <w:rPr>
          <w:sz w:val="22"/>
          <w:szCs w:val="22"/>
        </w:rPr>
        <w:t>encouraged it as consistent practice.</w:t>
      </w:r>
      <w:r>
        <w:rPr>
          <w:rStyle w:val="EndnoteReference"/>
          <w:sz w:val="22"/>
          <w:szCs w:val="22"/>
        </w:rPr>
        <w:endnoteReference w:id="50"/>
      </w:r>
      <w:r w:rsidRPr="00885050">
        <w:rPr>
          <w:sz w:val="22"/>
          <w:szCs w:val="22"/>
        </w:rPr>
        <w:t xml:space="preserve"> Sample guidelines and copyright policies for museums,</w:t>
      </w:r>
      <w:r>
        <w:rPr>
          <w:sz w:val="22"/>
          <w:szCs w:val="22"/>
        </w:rPr>
        <w:t xml:space="preserve"> </w:t>
      </w:r>
      <w:r w:rsidRPr="00885050">
        <w:rPr>
          <w:sz w:val="22"/>
          <w:szCs w:val="22"/>
        </w:rPr>
        <w:t>for example, were published by WIPO in 2013.</w:t>
      </w:r>
      <w:r w:rsidRPr="00885050">
        <w:rPr>
          <w:rStyle w:val="EndnoteReference"/>
          <w:sz w:val="22"/>
          <w:szCs w:val="22"/>
        </w:rPr>
        <w:endnoteReference w:id="51"/>
      </w:r>
    </w:p>
    <w:p w14:paraId="1148D3D7" w14:textId="77777777" w:rsidR="00C019A0" w:rsidRPr="00885050" w:rsidRDefault="00C019A0" w:rsidP="00C019A0">
      <w:pPr>
        <w:pStyle w:val="p1"/>
        <w:rPr>
          <w:sz w:val="22"/>
          <w:szCs w:val="22"/>
        </w:rPr>
      </w:pPr>
    </w:p>
    <w:p w14:paraId="31F3956E" w14:textId="77777777" w:rsidR="00C019A0" w:rsidRDefault="00C019A0" w:rsidP="00C019A0">
      <w:pPr>
        <w:pStyle w:val="p1"/>
        <w:rPr>
          <w:sz w:val="22"/>
          <w:szCs w:val="22"/>
        </w:rPr>
      </w:pPr>
      <w:r w:rsidRPr="00885050">
        <w:rPr>
          <w:sz w:val="22"/>
          <w:szCs w:val="22"/>
        </w:rPr>
        <w:t>While certain international organizations can and do address copyright issues, whether in</w:t>
      </w:r>
      <w:r>
        <w:rPr>
          <w:sz w:val="22"/>
          <w:szCs w:val="22"/>
        </w:rPr>
        <w:t xml:space="preserve"> </w:t>
      </w:r>
      <w:r w:rsidRPr="00885050">
        <w:rPr>
          <w:sz w:val="22"/>
          <w:szCs w:val="22"/>
        </w:rPr>
        <w:t>newsletter communications, in the development of written materials or at conferences, copyright</w:t>
      </w:r>
      <w:r>
        <w:rPr>
          <w:sz w:val="22"/>
          <w:szCs w:val="22"/>
        </w:rPr>
        <w:t xml:space="preserve"> </w:t>
      </w:r>
      <w:r w:rsidRPr="00885050">
        <w:rPr>
          <w:sz w:val="22"/>
          <w:szCs w:val="22"/>
        </w:rPr>
        <w:t>law as it applies to access is ultimately domestic law and thus will vary with the</w:t>
      </w:r>
      <w:r>
        <w:rPr>
          <w:sz w:val="22"/>
          <w:szCs w:val="22"/>
        </w:rPr>
        <w:t xml:space="preserve"> </w:t>
      </w:r>
      <w:r w:rsidRPr="00885050">
        <w:rPr>
          <w:sz w:val="22"/>
          <w:szCs w:val="22"/>
        </w:rPr>
        <w:t>jurisdiction.</w:t>
      </w:r>
      <w:r>
        <w:rPr>
          <w:sz w:val="22"/>
          <w:szCs w:val="22"/>
        </w:rPr>
        <w:t xml:space="preserve"> </w:t>
      </w:r>
      <w:r w:rsidRPr="00885050">
        <w:rPr>
          <w:sz w:val="22"/>
          <w:szCs w:val="22"/>
        </w:rPr>
        <w:t>Therefore, considerable effort needs to take place at national levels to develop</w:t>
      </w:r>
      <w:r>
        <w:rPr>
          <w:sz w:val="22"/>
          <w:szCs w:val="22"/>
        </w:rPr>
        <w:t xml:space="preserve"> </w:t>
      </w:r>
      <w:r w:rsidRPr="00885050">
        <w:rPr>
          <w:sz w:val="22"/>
          <w:szCs w:val="22"/>
        </w:rPr>
        <w:t>educational</w:t>
      </w:r>
      <w:r>
        <w:rPr>
          <w:sz w:val="22"/>
          <w:szCs w:val="22"/>
        </w:rPr>
        <w:t xml:space="preserve"> </w:t>
      </w:r>
      <w:r w:rsidRPr="00885050">
        <w:rPr>
          <w:sz w:val="22"/>
          <w:szCs w:val="22"/>
        </w:rPr>
        <w:t>modules relating to copyright law and collections management practices,</w:t>
      </w:r>
      <w:r>
        <w:rPr>
          <w:sz w:val="22"/>
          <w:szCs w:val="22"/>
        </w:rPr>
        <w:t xml:space="preserve"> </w:t>
      </w:r>
      <w:proofErr w:type="gramStart"/>
      <w:r w:rsidRPr="00885050">
        <w:rPr>
          <w:sz w:val="22"/>
          <w:szCs w:val="22"/>
        </w:rPr>
        <w:t>in order to</w:t>
      </w:r>
      <w:proofErr w:type="gramEnd"/>
      <w:r w:rsidRPr="00885050">
        <w:rPr>
          <w:sz w:val="22"/>
          <w:szCs w:val="22"/>
        </w:rPr>
        <w:t xml:space="preserve"> inform and</w:t>
      </w:r>
      <w:r>
        <w:rPr>
          <w:sz w:val="22"/>
          <w:szCs w:val="22"/>
        </w:rPr>
        <w:t xml:space="preserve"> </w:t>
      </w:r>
      <w:r w:rsidRPr="00885050">
        <w:rPr>
          <w:sz w:val="22"/>
          <w:szCs w:val="22"/>
        </w:rPr>
        <w:t xml:space="preserve">educate professional staff working with collections </w:t>
      </w:r>
      <w:proofErr w:type="gramStart"/>
      <w:r w:rsidRPr="00885050">
        <w:rPr>
          <w:sz w:val="22"/>
          <w:szCs w:val="22"/>
        </w:rPr>
        <w:t>so as to</w:t>
      </w:r>
      <w:proofErr w:type="gramEnd"/>
      <w:r>
        <w:rPr>
          <w:sz w:val="22"/>
          <w:szCs w:val="22"/>
        </w:rPr>
        <w:t xml:space="preserve"> </w:t>
      </w:r>
      <w:r w:rsidRPr="00885050">
        <w:rPr>
          <w:sz w:val="22"/>
          <w:szCs w:val="22"/>
        </w:rPr>
        <w:t>ensure that copyright law is applied consistently in their daily professional practices.</w:t>
      </w:r>
      <w:r>
        <w:rPr>
          <w:sz w:val="22"/>
          <w:szCs w:val="22"/>
        </w:rPr>
        <w:t xml:space="preserve"> </w:t>
      </w:r>
      <w:r w:rsidRPr="00885050">
        <w:rPr>
          <w:sz w:val="22"/>
          <w:szCs w:val="22"/>
        </w:rPr>
        <w:t>This toolkit is the start of that process for improving the legal framework, and for better</w:t>
      </w:r>
      <w:r>
        <w:rPr>
          <w:sz w:val="22"/>
          <w:szCs w:val="22"/>
        </w:rPr>
        <w:t xml:space="preserve"> </w:t>
      </w:r>
      <w:r w:rsidRPr="00885050">
        <w:rPr>
          <w:sz w:val="22"/>
          <w:szCs w:val="22"/>
        </w:rPr>
        <w:t>implementing the law in the many diverse libraries, archives, museums, and other cultural</w:t>
      </w:r>
      <w:r>
        <w:rPr>
          <w:sz w:val="22"/>
          <w:szCs w:val="22"/>
        </w:rPr>
        <w:t xml:space="preserve"> </w:t>
      </w:r>
      <w:r w:rsidRPr="00885050">
        <w:rPr>
          <w:sz w:val="22"/>
          <w:szCs w:val="22"/>
        </w:rPr>
        <w:t xml:space="preserve">heritage institutions within each WIPO </w:t>
      </w:r>
      <w:r>
        <w:rPr>
          <w:sz w:val="22"/>
          <w:szCs w:val="22"/>
        </w:rPr>
        <w:t>Member State</w:t>
      </w:r>
      <w:r w:rsidRPr="00885050">
        <w:rPr>
          <w:sz w:val="22"/>
          <w:szCs w:val="22"/>
        </w:rPr>
        <w:t>. While the subject of the first toolkit was</w:t>
      </w:r>
      <w:r>
        <w:rPr>
          <w:sz w:val="22"/>
          <w:szCs w:val="22"/>
        </w:rPr>
        <w:t xml:space="preserve"> </w:t>
      </w:r>
      <w:r w:rsidRPr="00885050">
        <w:rPr>
          <w:sz w:val="22"/>
          <w:szCs w:val="22"/>
        </w:rPr>
        <w:t xml:space="preserve">making copies for preservation purposes, this toolkit addresses the </w:t>
      </w:r>
      <w:r w:rsidRPr="001C5906">
        <w:rPr>
          <w:sz w:val="22"/>
          <w:szCs w:val="22"/>
        </w:rPr>
        <w:t>potential generated by</w:t>
      </w:r>
      <w:r>
        <w:rPr>
          <w:sz w:val="22"/>
          <w:szCs w:val="22"/>
        </w:rPr>
        <w:t xml:space="preserve"> </w:t>
      </w:r>
      <w:r w:rsidRPr="001C5906">
        <w:rPr>
          <w:sz w:val="22"/>
          <w:szCs w:val="22"/>
        </w:rPr>
        <w:t>digital technologies to increase</w:t>
      </w:r>
      <w:r w:rsidRPr="00885050">
        <w:rPr>
          <w:sz w:val="22"/>
          <w:szCs w:val="22"/>
        </w:rPr>
        <w:t xml:space="preserve"> access and make specified uses of those copies</w:t>
      </w:r>
      <w:r>
        <w:rPr>
          <w:sz w:val="22"/>
          <w:szCs w:val="22"/>
        </w:rPr>
        <w:t xml:space="preserve"> </w:t>
      </w:r>
      <w:r w:rsidRPr="00885050">
        <w:rPr>
          <w:sz w:val="22"/>
          <w:szCs w:val="22"/>
        </w:rPr>
        <w:t>for learning,</w:t>
      </w:r>
      <w:r>
        <w:rPr>
          <w:sz w:val="22"/>
          <w:szCs w:val="22"/>
        </w:rPr>
        <w:t xml:space="preserve"> </w:t>
      </w:r>
      <w:r w:rsidRPr="00885050">
        <w:rPr>
          <w:sz w:val="22"/>
          <w:szCs w:val="22"/>
        </w:rPr>
        <w:t>teaching, research, exhibition or other purpose</w:t>
      </w:r>
      <w:r>
        <w:rPr>
          <w:sz w:val="22"/>
          <w:szCs w:val="22"/>
        </w:rPr>
        <w:t>s</w:t>
      </w:r>
      <w:r w:rsidRPr="00885050">
        <w:rPr>
          <w:sz w:val="22"/>
          <w:szCs w:val="22"/>
        </w:rPr>
        <w:t xml:space="preserve">. </w:t>
      </w:r>
    </w:p>
    <w:p w14:paraId="68B86AE2" w14:textId="77777777" w:rsidR="00C019A0" w:rsidRDefault="00C019A0" w:rsidP="00C019A0">
      <w:pPr>
        <w:pStyle w:val="p1"/>
        <w:rPr>
          <w:sz w:val="22"/>
          <w:szCs w:val="22"/>
        </w:rPr>
      </w:pPr>
    </w:p>
    <w:p w14:paraId="05E95CB6" w14:textId="77777777" w:rsidR="00C019A0" w:rsidRPr="00885050" w:rsidRDefault="00C019A0" w:rsidP="00C019A0">
      <w:pPr>
        <w:pStyle w:val="p1"/>
        <w:rPr>
          <w:sz w:val="22"/>
          <w:szCs w:val="22"/>
        </w:rPr>
      </w:pPr>
      <w:r w:rsidRPr="00885050">
        <w:rPr>
          <w:sz w:val="22"/>
          <w:szCs w:val="22"/>
        </w:rPr>
        <w:t>Meanwhile, this toolkit is aimed primarily to</w:t>
      </w:r>
      <w:r>
        <w:rPr>
          <w:sz w:val="22"/>
          <w:szCs w:val="22"/>
        </w:rPr>
        <w:t xml:space="preserve"> </w:t>
      </w:r>
      <w:r w:rsidRPr="00885050">
        <w:rPr>
          <w:sz w:val="22"/>
          <w:szCs w:val="22"/>
        </w:rPr>
        <w:t>assist lawmakers, policymakers, and other officials, but it may also become a useful guide for</w:t>
      </w:r>
      <w:r>
        <w:rPr>
          <w:sz w:val="22"/>
          <w:szCs w:val="22"/>
        </w:rPr>
        <w:t xml:space="preserve"> </w:t>
      </w:r>
      <w:r w:rsidRPr="00885050">
        <w:rPr>
          <w:sz w:val="22"/>
          <w:szCs w:val="22"/>
        </w:rPr>
        <w:t>the many professionals working in and with cultural heritage institutions, as they seek to</w:t>
      </w:r>
      <w:r>
        <w:rPr>
          <w:sz w:val="22"/>
          <w:szCs w:val="22"/>
        </w:rPr>
        <w:t xml:space="preserve"> </w:t>
      </w:r>
      <w:r w:rsidRPr="00885050">
        <w:rPr>
          <w:sz w:val="22"/>
          <w:szCs w:val="22"/>
        </w:rPr>
        <w:t>implement and work with the requirements of copyright law. Cultural heritage professionals are</w:t>
      </w:r>
      <w:r>
        <w:rPr>
          <w:sz w:val="22"/>
          <w:szCs w:val="22"/>
        </w:rPr>
        <w:t xml:space="preserve"> </w:t>
      </w:r>
      <w:r w:rsidRPr="00885050">
        <w:rPr>
          <w:sz w:val="22"/>
          <w:szCs w:val="22"/>
        </w:rPr>
        <w:t>also more than mere adherents of the law. They are in an important position to work with their</w:t>
      </w:r>
      <w:r>
        <w:rPr>
          <w:sz w:val="22"/>
          <w:szCs w:val="22"/>
        </w:rPr>
        <w:t xml:space="preserve"> </w:t>
      </w:r>
      <w:r w:rsidRPr="00885050">
        <w:rPr>
          <w:sz w:val="22"/>
          <w:szCs w:val="22"/>
        </w:rPr>
        <w:t xml:space="preserve">government officials to help shape the law and to </w:t>
      </w:r>
      <w:proofErr w:type="gramStart"/>
      <w:r w:rsidRPr="00885050">
        <w:rPr>
          <w:sz w:val="22"/>
          <w:szCs w:val="22"/>
        </w:rPr>
        <w:t>report</w:t>
      </w:r>
      <w:proofErr w:type="gramEnd"/>
      <w:r w:rsidRPr="00885050">
        <w:rPr>
          <w:sz w:val="22"/>
          <w:szCs w:val="22"/>
        </w:rPr>
        <w:t xml:space="preserve"> their experiences. Through their</w:t>
      </w:r>
      <w:r>
        <w:rPr>
          <w:sz w:val="22"/>
          <w:szCs w:val="22"/>
        </w:rPr>
        <w:t xml:space="preserve"> </w:t>
      </w:r>
      <w:r w:rsidRPr="00885050">
        <w:rPr>
          <w:sz w:val="22"/>
          <w:szCs w:val="22"/>
        </w:rPr>
        <w:t>feedback we can all learn whether our legal framework is effective and whether the crucial</w:t>
      </w:r>
      <w:r>
        <w:rPr>
          <w:sz w:val="22"/>
          <w:szCs w:val="22"/>
        </w:rPr>
        <w:t xml:space="preserve"> </w:t>
      </w:r>
      <w:r w:rsidRPr="001C5906">
        <w:rPr>
          <w:sz w:val="22"/>
          <w:szCs w:val="22"/>
        </w:rPr>
        <w:t>“</w:t>
      </w:r>
      <w:r w:rsidRPr="000043E4">
        <w:rPr>
          <w:i/>
          <w:iCs/>
          <w:sz w:val="22"/>
          <w:szCs w:val="22"/>
        </w:rPr>
        <w:t>raison d’être</w:t>
      </w:r>
      <w:r>
        <w:rPr>
          <w:sz w:val="22"/>
          <w:szCs w:val="22"/>
        </w:rPr>
        <w:t xml:space="preserve">” </w:t>
      </w:r>
      <w:r w:rsidRPr="00885050">
        <w:rPr>
          <w:sz w:val="22"/>
          <w:szCs w:val="22"/>
        </w:rPr>
        <w:t xml:space="preserve">of cultural </w:t>
      </w:r>
      <w:r>
        <w:rPr>
          <w:sz w:val="22"/>
          <w:szCs w:val="22"/>
        </w:rPr>
        <w:t>heritage institutions</w:t>
      </w:r>
      <w:r w:rsidRPr="00885050">
        <w:rPr>
          <w:sz w:val="22"/>
          <w:szCs w:val="22"/>
        </w:rPr>
        <w:t xml:space="preserve"> </w:t>
      </w:r>
      <w:r>
        <w:rPr>
          <w:sz w:val="22"/>
          <w:szCs w:val="22"/>
        </w:rPr>
        <w:t>is</w:t>
      </w:r>
      <w:r w:rsidRPr="00885050">
        <w:rPr>
          <w:sz w:val="22"/>
          <w:szCs w:val="22"/>
        </w:rPr>
        <w:t xml:space="preserve"> in fact being served.</w:t>
      </w:r>
    </w:p>
    <w:p w14:paraId="64966837" w14:textId="77777777" w:rsidR="00C019A0" w:rsidRPr="00885050" w:rsidRDefault="00C019A0" w:rsidP="00C019A0">
      <w:pPr>
        <w:rPr>
          <w:szCs w:val="22"/>
        </w:rPr>
      </w:pPr>
    </w:p>
    <w:p w14:paraId="7928E55C" w14:textId="77777777" w:rsidR="00C019A0" w:rsidRPr="00F32036" w:rsidRDefault="00C019A0" w:rsidP="00C019A0">
      <w:pPr>
        <w:rPr>
          <w:szCs w:val="22"/>
        </w:rPr>
      </w:pPr>
    </w:p>
    <w:p w14:paraId="30F40364" w14:textId="77777777" w:rsidR="00C019A0" w:rsidRDefault="00C019A0" w:rsidP="00C019A0">
      <w:pPr>
        <w:rPr>
          <w:szCs w:val="22"/>
        </w:rPr>
      </w:pPr>
      <w:r>
        <w:rPr>
          <w:szCs w:val="22"/>
        </w:rPr>
        <w:br w:type="page"/>
      </w:r>
    </w:p>
    <w:p w14:paraId="1C32EEAB" w14:textId="77777777" w:rsidR="00C019A0" w:rsidRPr="0052501E" w:rsidRDefault="00C019A0" w:rsidP="00C019A0">
      <w:pPr>
        <w:pStyle w:val="Level1"/>
      </w:pPr>
      <w:bookmarkStart w:id="64" w:name="_Toc219210305"/>
      <w:r w:rsidRPr="0052501E">
        <w:t>Appendix</w:t>
      </w:r>
      <w:bookmarkEnd w:id="64"/>
    </w:p>
    <w:p w14:paraId="68FAD9B4" w14:textId="77777777" w:rsidR="00C019A0" w:rsidRPr="001B2380" w:rsidRDefault="00C019A0" w:rsidP="00C019A0">
      <w:pPr>
        <w:rPr>
          <w:b/>
          <w:bCs/>
          <w:szCs w:val="22"/>
        </w:rPr>
      </w:pPr>
      <w:r w:rsidRPr="001B2380">
        <w:rPr>
          <w:b/>
          <w:bCs/>
          <w:szCs w:val="22"/>
        </w:rPr>
        <w:t>Charts for the Development of Access Provisions</w:t>
      </w:r>
    </w:p>
    <w:p w14:paraId="7A7EC872" w14:textId="77777777" w:rsidR="00C019A0" w:rsidRDefault="00C019A0" w:rsidP="00C019A0">
      <w:pPr>
        <w:rPr>
          <w:szCs w:val="22"/>
        </w:rPr>
      </w:pPr>
    </w:p>
    <w:p w14:paraId="6CDCB97E" w14:textId="77777777" w:rsidR="00C019A0" w:rsidRDefault="00C019A0" w:rsidP="00C019A0">
      <w:pPr>
        <w:rPr>
          <w:szCs w:val="22"/>
        </w:rPr>
      </w:pPr>
      <w:r w:rsidRPr="001B2380">
        <w:rPr>
          <w:szCs w:val="22"/>
        </w:rPr>
        <w:t>This appendix to the toolkit includes a selection of charts</w:t>
      </w:r>
      <w:r>
        <w:rPr>
          <w:szCs w:val="22"/>
        </w:rPr>
        <w:t xml:space="preserve"> intended to demonstrate a means for developing exceptions in copyright law that can </w:t>
      </w:r>
      <w:r w:rsidRPr="001B2380">
        <w:rPr>
          <w:szCs w:val="22"/>
        </w:rPr>
        <w:t>enhanc</w:t>
      </w:r>
      <w:r>
        <w:rPr>
          <w:szCs w:val="22"/>
        </w:rPr>
        <w:t>e</w:t>
      </w:r>
      <w:r w:rsidRPr="001B2380">
        <w:rPr>
          <w:szCs w:val="22"/>
        </w:rPr>
        <w:t xml:space="preserve"> access to copyrighted works</w:t>
      </w:r>
      <w:r>
        <w:rPr>
          <w:szCs w:val="22"/>
        </w:rPr>
        <w:t xml:space="preserve"> held</w:t>
      </w:r>
      <w:r w:rsidRPr="001B2380">
        <w:rPr>
          <w:szCs w:val="22"/>
        </w:rPr>
        <w:t xml:space="preserve"> in the collections of cultural heritage institutions. The toolkit includes a detailed review of the problem addressed, the various ways in which access may be enhanced or optimized, and the process for identifying the terms on which access may be permitted. The charts can aid policymakers as they work through those processes, and the charts offer some sample clauses that may be integrated with other statutory language. The result can then be a copyright statute, for example, with added language to assure a desirable level of access. That result should also offer access levels that can help fulfill the mission of cultural heritage institutions while simultaneously upholding and respecting the rights of copyright owners.</w:t>
      </w:r>
    </w:p>
    <w:p w14:paraId="6AC50F2E" w14:textId="77777777" w:rsidR="00C019A0" w:rsidRPr="001B2380" w:rsidRDefault="00C019A0" w:rsidP="00C019A0">
      <w:pPr>
        <w:rPr>
          <w:szCs w:val="22"/>
        </w:rPr>
      </w:pPr>
    </w:p>
    <w:p w14:paraId="24E45405" w14:textId="77777777" w:rsidR="00C019A0" w:rsidRDefault="00C019A0" w:rsidP="00C019A0">
      <w:pPr>
        <w:rPr>
          <w:szCs w:val="22"/>
        </w:rPr>
      </w:pPr>
      <w:r>
        <w:rPr>
          <w:szCs w:val="22"/>
        </w:rPr>
        <w:t>T</w:t>
      </w:r>
      <w:r w:rsidRPr="001B2380">
        <w:rPr>
          <w:szCs w:val="22"/>
        </w:rPr>
        <w:t xml:space="preserve">his appendix includes charts </w:t>
      </w:r>
      <w:r>
        <w:rPr>
          <w:szCs w:val="22"/>
        </w:rPr>
        <w:t>as follows</w:t>
      </w:r>
      <w:r w:rsidRPr="001B2380">
        <w:rPr>
          <w:szCs w:val="22"/>
        </w:rPr>
        <w:t>:</w:t>
      </w:r>
    </w:p>
    <w:p w14:paraId="6678047A" w14:textId="77777777" w:rsidR="00C019A0" w:rsidRPr="001B2380" w:rsidRDefault="00C019A0" w:rsidP="00C019A0">
      <w:pPr>
        <w:rPr>
          <w:szCs w:val="22"/>
        </w:rPr>
      </w:pPr>
    </w:p>
    <w:p w14:paraId="2550B329" w14:textId="77777777" w:rsidR="00C019A0" w:rsidRPr="001B2380" w:rsidRDefault="00C019A0" w:rsidP="00C019A0">
      <w:pPr>
        <w:pStyle w:val="ListParagraph"/>
        <w:numPr>
          <w:ilvl w:val="0"/>
          <w:numId w:val="14"/>
        </w:numPr>
        <w:spacing w:after="0" w:line="240" w:lineRule="auto"/>
        <w:rPr>
          <w:rFonts w:ascii="Arial" w:hAnsi="Arial" w:cs="Arial"/>
          <w:sz w:val="22"/>
          <w:szCs w:val="22"/>
        </w:rPr>
      </w:pPr>
      <w:r w:rsidRPr="001B2380">
        <w:rPr>
          <w:rFonts w:ascii="Arial" w:hAnsi="Arial" w:cs="Arial"/>
          <w:sz w:val="22"/>
          <w:szCs w:val="22"/>
        </w:rPr>
        <w:t xml:space="preserve">Chart 1: </w:t>
      </w:r>
      <w:r w:rsidRPr="00C17BF8">
        <w:rPr>
          <w:rFonts w:ascii="Arial" w:hAnsi="Arial" w:cs="Arial"/>
          <w:sz w:val="22"/>
          <w:szCs w:val="22"/>
        </w:rPr>
        <w:t>Copyright Exceptions, Ownership Rights, and Enhancement of Access</w:t>
      </w:r>
      <w:r w:rsidRPr="001B2380">
        <w:rPr>
          <w:rFonts w:ascii="Arial" w:hAnsi="Arial" w:cs="Arial"/>
          <w:sz w:val="22"/>
          <w:szCs w:val="22"/>
        </w:rPr>
        <w:t>.</w:t>
      </w:r>
    </w:p>
    <w:p w14:paraId="23F5E285" w14:textId="77777777" w:rsidR="00C019A0" w:rsidRPr="001B2380" w:rsidRDefault="00C019A0" w:rsidP="00C019A0">
      <w:pPr>
        <w:pStyle w:val="ListParagraph"/>
        <w:numPr>
          <w:ilvl w:val="0"/>
          <w:numId w:val="14"/>
        </w:numPr>
        <w:spacing w:after="0" w:line="240" w:lineRule="auto"/>
        <w:rPr>
          <w:rFonts w:ascii="Arial" w:hAnsi="Arial" w:cs="Arial"/>
          <w:sz w:val="22"/>
          <w:szCs w:val="22"/>
        </w:rPr>
      </w:pPr>
      <w:r w:rsidRPr="001B2380">
        <w:rPr>
          <w:rFonts w:ascii="Arial" w:hAnsi="Arial" w:cs="Arial"/>
          <w:sz w:val="22"/>
          <w:szCs w:val="22"/>
        </w:rPr>
        <w:t xml:space="preserve">Chart 2: </w:t>
      </w:r>
      <w:r w:rsidRPr="00C17BF8">
        <w:rPr>
          <w:rFonts w:ascii="Arial" w:hAnsi="Arial" w:cs="Arial"/>
          <w:sz w:val="22"/>
          <w:szCs w:val="22"/>
        </w:rPr>
        <w:t>Accessing Digitized Works that are Made Available on Dedicated Terminals</w:t>
      </w:r>
      <w:r w:rsidRPr="001B2380">
        <w:rPr>
          <w:rFonts w:ascii="Arial" w:hAnsi="Arial" w:cs="Arial"/>
          <w:sz w:val="22"/>
          <w:szCs w:val="22"/>
        </w:rPr>
        <w:t>.</w:t>
      </w:r>
    </w:p>
    <w:p w14:paraId="2AFFCBC1" w14:textId="77777777" w:rsidR="00C019A0" w:rsidRPr="001B2380" w:rsidRDefault="00C019A0" w:rsidP="00C019A0">
      <w:pPr>
        <w:pStyle w:val="ListParagraph"/>
        <w:numPr>
          <w:ilvl w:val="0"/>
          <w:numId w:val="14"/>
        </w:numPr>
        <w:spacing w:after="0" w:line="240" w:lineRule="auto"/>
        <w:rPr>
          <w:rFonts w:ascii="Arial" w:hAnsi="Arial" w:cs="Arial"/>
          <w:sz w:val="22"/>
          <w:szCs w:val="22"/>
        </w:rPr>
      </w:pPr>
      <w:r w:rsidRPr="001B2380">
        <w:rPr>
          <w:rFonts w:ascii="Arial" w:hAnsi="Arial" w:cs="Arial"/>
          <w:sz w:val="22"/>
          <w:szCs w:val="22"/>
        </w:rPr>
        <w:t xml:space="preserve">Chart 3: </w:t>
      </w:r>
      <w:r w:rsidRPr="00C17BF8">
        <w:rPr>
          <w:rFonts w:ascii="Arial" w:hAnsi="Arial" w:cs="Arial"/>
          <w:sz w:val="22"/>
          <w:szCs w:val="22"/>
        </w:rPr>
        <w:t>Including Works from the Collection in Public Exhibitions</w:t>
      </w:r>
      <w:r w:rsidRPr="001B2380">
        <w:rPr>
          <w:rFonts w:ascii="Arial" w:hAnsi="Arial" w:cs="Arial"/>
          <w:sz w:val="22"/>
          <w:szCs w:val="22"/>
        </w:rPr>
        <w:t>.</w:t>
      </w:r>
    </w:p>
    <w:p w14:paraId="323870DF" w14:textId="77777777" w:rsidR="00C019A0" w:rsidRDefault="00C019A0" w:rsidP="00C019A0">
      <w:pPr>
        <w:rPr>
          <w:szCs w:val="22"/>
        </w:rPr>
      </w:pPr>
    </w:p>
    <w:p w14:paraId="3A4EF8F9" w14:textId="77777777" w:rsidR="00C019A0" w:rsidRDefault="00C019A0" w:rsidP="00C019A0">
      <w:pPr>
        <w:rPr>
          <w:szCs w:val="22"/>
        </w:rPr>
      </w:pPr>
      <w:r>
        <w:rPr>
          <w:szCs w:val="22"/>
        </w:rPr>
        <w:t>These charts offer a meaningful foundation for the development of statutory exceptions. These charts can also offer models for the crafting of charts on other topics and other circumstances where cultural heritage institutions can optimize access to copyrighted works in their collections.</w:t>
      </w:r>
    </w:p>
    <w:p w14:paraId="02B239C2" w14:textId="77777777" w:rsidR="00C019A0" w:rsidRDefault="00C019A0" w:rsidP="00C019A0">
      <w:pPr>
        <w:rPr>
          <w:szCs w:val="22"/>
        </w:rPr>
      </w:pPr>
    </w:p>
    <w:p w14:paraId="0A5E7E07" w14:textId="77777777" w:rsidR="00C019A0" w:rsidRPr="001B2380" w:rsidRDefault="00C019A0" w:rsidP="00C019A0">
      <w:pPr>
        <w:rPr>
          <w:szCs w:val="22"/>
        </w:rPr>
      </w:pPr>
    </w:p>
    <w:tbl>
      <w:tblPr>
        <w:tblStyle w:val="TableGrid"/>
        <w:tblW w:w="0" w:type="auto"/>
        <w:tblInd w:w="-5" w:type="dxa"/>
        <w:tblLook w:val="04A0" w:firstRow="1" w:lastRow="0" w:firstColumn="1" w:lastColumn="0" w:noHBand="0" w:noVBand="1"/>
      </w:tblPr>
      <w:tblGrid>
        <w:gridCol w:w="2236"/>
        <w:gridCol w:w="2228"/>
        <w:gridCol w:w="2546"/>
        <w:gridCol w:w="2340"/>
      </w:tblGrid>
      <w:tr w:rsidR="00C019A0" w14:paraId="621BB749" w14:textId="77777777" w:rsidTr="008069EB">
        <w:tc>
          <w:tcPr>
            <w:tcW w:w="9355" w:type="dxa"/>
            <w:gridSpan w:val="4"/>
          </w:tcPr>
          <w:p w14:paraId="66158F03" w14:textId="77777777" w:rsidR="00C019A0" w:rsidRPr="00130C89" w:rsidRDefault="00C019A0" w:rsidP="008069EB">
            <w:pPr>
              <w:rPr>
                <w:b/>
                <w:bCs/>
                <w:sz w:val="28"/>
                <w:szCs w:val="28"/>
              </w:rPr>
            </w:pPr>
            <w:r w:rsidRPr="00130C89">
              <w:rPr>
                <w:b/>
                <w:bCs/>
                <w:sz w:val="28"/>
                <w:szCs w:val="28"/>
              </w:rPr>
              <w:t>Chart 1</w:t>
            </w:r>
          </w:p>
          <w:p w14:paraId="641C46F6" w14:textId="77777777" w:rsidR="00C019A0" w:rsidRPr="00130C89" w:rsidRDefault="00C019A0" w:rsidP="008069EB">
            <w:pPr>
              <w:rPr>
                <w:b/>
                <w:bCs/>
                <w:sz w:val="28"/>
                <w:szCs w:val="28"/>
              </w:rPr>
            </w:pPr>
          </w:p>
          <w:p w14:paraId="2BDB36F7" w14:textId="77777777" w:rsidR="00C019A0" w:rsidRPr="00130C89" w:rsidRDefault="00C019A0" w:rsidP="008069EB">
            <w:pPr>
              <w:rPr>
                <w:b/>
                <w:bCs/>
                <w:sz w:val="28"/>
                <w:szCs w:val="28"/>
              </w:rPr>
            </w:pPr>
            <w:r w:rsidRPr="00130C89">
              <w:rPr>
                <w:b/>
                <w:bCs/>
                <w:sz w:val="28"/>
                <w:szCs w:val="28"/>
              </w:rPr>
              <w:t>TOPIC:</w:t>
            </w:r>
          </w:p>
          <w:p w14:paraId="13D87547" w14:textId="77777777" w:rsidR="00C019A0" w:rsidRPr="00130C89" w:rsidRDefault="00C019A0" w:rsidP="008069EB">
            <w:pPr>
              <w:rPr>
                <w:b/>
                <w:bCs/>
                <w:sz w:val="28"/>
                <w:szCs w:val="28"/>
              </w:rPr>
            </w:pPr>
            <w:r w:rsidRPr="00130C89">
              <w:rPr>
                <w:b/>
                <w:bCs/>
                <w:sz w:val="28"/>
                <w:szCs w:val="28"/>
              </w:rPr>
              <w:t>Copyright Exceptions, Ownership Rights, and Enhancement of Access</w:t>
            </w:r>
          </w:p>
          <w:p w14:paraId="7217EC92" w14:textId="77777777" w:rsidR="00C019A0" w:rsidRPr="00130C89" w:rsidRDefault="00C019A0" w:rsidP="008069EB">
            <w:pPr>
              <w:rPr>
                <w:sz w:val="28"/>
                <w:szCs w:val="28"/>
              </w:rPr>
            </w:pPr>
          </w:p>
          <w:p w14:paraId="1ADB9DB2" w14:textId="77777777" w:rsidR="00C019A0" w:rsidRPr="00130C89" w:rsidRDefault="00C019A0" w:rsidP="008069EB">
            <w:pPr>
              <w:rPr>
                <w:b/>
                <w:bCs/>
                <w:szCs w:val="24"/>
              </w:rPr>
            </w:pPr>
            <w:r w:rsidRPr="00130C89">
              <w:rPr>
                <w:b/>
                <w:bCs/>
              </w:rPr>
              <w:t xml:space="preserve">The following chart </w:t>
            </w:r>
            <w:proofErr w:type="gramStart"/>
            <w:r w:rsidRPr="00130C89">
              <w:rPr>
                <w:b/>
                <w:bCs/>
              </w:rPr>
              <w:t>demonstrate</w:t>
            </w:r>
            <w:proofErr w:type="gramEnd"/>
            <w:r w:rsidRPr="00130C89">
              <w:rPr>
                <w:b/>
                <w:bCs/>
              </w:rPr>
              <w:t xml:space="preserve"> how statutory exceptions can specifically respect and respond to the rights of copyright owners </w:t>
            </w:r>
            <w:proofErr w:type="gramStart"/>
            <w:r w:rsidRPr="00130C89">
              <w:rPr>
                <w:b/>
                <w:bCs/>
              </w:rPr>
              <w:t>in order to</w:t>
            </w:r>
            <w:proofErr w:type="gramEnd"/>
            <w:r w:rsidRPr="00130C89">
              <w:rPr>
                <w:b/>
                <w:bCs/>
              </w:rPr>
              <w:t xml:space="preserve"> enhance access to copyrighted works in the collections of cultural heritage institutions. In achieving that objective, this chart sets forth four columns of concepts and principles in a sequence to clarify the decision-making process for drafting new or revised statutes that optimize access.</w:t>
            </w:r>
          </w:p>
          <w:p w14:paraId="763D647E" w14:textId="77777777" w:rsidR="00C019A0" w:rsidRPr="00130C89" w:rsidRDefault="00C019A0" w:rsidP="008069EB">
            <w:pPr>
              <w:rPr>
                <w:sz w:val="20"/>
                <w:szCs w:val="20"/>
              </w:rPr>
            </w:pPr>
          </w:p>
          <w:p w14:paraId="2C4523C5" w14:textId="77777777" w:rsidR="00C019A0" w:rsidRPr="00130C89" w:rsidRDefault="00C019A0" w:rsidP="008069EB">
            <w:pPr>
              <w:rPr>
                <w:b/>
                <w:bCs/>
                <w:i/>
                <w:iCs/>
                <w:szCs w:val="24"/>
              </w:rPr>
            </w:pPr>
            <w:r w:rsidRPr="00130C89">
              <w:rPr>
                <w:b/>
                <w:bCs/>
                <w:i/>
                <w:iCs/>
              </w:rPr>
              <w:t>Column 1: Copyright Exceptions Currently in Effect</w:t>
            </w:r>
          </w:p>
          <w:p w14:paraId="737A08EA" w14:textId="77777777" w:rsidR="00C019A0" w:rsidRPr="00130C89" w:rsidRDefault="00C019A0" w:rsidP="008069EB">
            <w:pPr>
              <w:ind w:left="520"/>
              <w:rPr>
                <w:sz w:val="20"/>
                <w:szCs w:val="20"/>
              </w:rPr>
            </w:pPr>
            <w:r w:rsidRPr="00130C89">
              <w:rPr>
                <w:sz w:val="20"/>
                <w:szCs w:val="20"/>
              </w:rPr>
              <w:t>This toolkit does not examine every possible copyright exception. Listed here are a selection of example copyright exceptions that are directly relevant to the mission of many cultural heritage institutions.</w:t>
            </w:r>
          </w:p>
          <w:p w14:paraId="2BB4FCBC" w14:textId="77777777" w:rsidR="00C019A0" w:rsidRPr="00130C89" w:rsidRDefault="00C019A0" w:rsidP="008069EB">
            <w:pPr>
              <w:rPr>
                <w:sz w:val="20"/>
                <w:szCs w:val="20"/>
              </w:rPr>
            </w:pPr>
          </w:p>
          <w:p w14:paraId="5950785C" w14:textId="77777777" w:rsidR="00C019A0" w:rsidRPr="00130C89" w:rsidRDefault="00C019A0" w:rsidP="008069EB">
            <w:pPr>
              <w:rPr>
                <w:b/>
                <w:bCs/>
                <w:i/>
                <w:iCs/>
                <w:szCs w:val="24"/>
              </w:rPr>
            </w:pPr>
            <w:r w:rsidRPr="00130C89">
              <w:rPr>
                <w:b/>
                <w:bCs/>
                <w:i/>
                <w:iCs/>
              </w:rPr>
              <w:t>Column 2: Ownership Rights Affected by Current Exceptions</w:t>
            </w:r>
          </w:p>
          <w:p w14:paraId="7F2646DF" w14:textId="77777777" w:rsidR="00C019A0" w:rsidRPr="00130C89" w:rsidRDefault="00C019A0" w:rsidP="008069EB">
            <w:pPr>
              <w:ind w:left="520"/>
              <w:rPr>
                <w:sz w:val="20"/>
                <w:szCs w:val="20"/>
              </w:rPr>
            </w:pPr>
            <w:r w:rsidRPr="00130C89">
              <w:rPr>
                <w:sz w:val="20"/>
                <w:szCs w:val="20"/>
              </w:rPr>
              <w:t>Not all rights of copyright owners are implicated by each exception. However, isolating and specifically identifying ownership rights and neighboring rights can help to better understand the role of copyright and see the possibilities for beneficial uses of protected works.</w:t>
            </w:r>
          </w:p>
          <w:p w14:paraId="7A79D6F7" w14:textId="77777777" w:rsidR="00C019A0" w:rsidRPr="00130C89" w:rsidRDefault="00C019A0" w:rsidP="008069EB">
            <w:pPr>
              <w:rPr>
                <w:sz w:val="20"/>
                <w:szCs w:val="20"/>
              </w:rPr>
            </w:pPr>
          </w:p>
          <w:p w14:paraId="2F38A89C" w14:textId="77777777" w:rsidR="00C019A0" w:rsidRPr="00130C89" w:rsidRDefault="00C019A0" w:rsidP="008069EB">
            <w:pPr>
              <w:rPr>
                <w:b/>
                <w:bCs/>
                <w:i/>
                <w:iCs/>
                <w:szCs w:val="24"/>
              </w:rPr>
            </w:pPr>
            <w:r w:rsidRPr="00130C89">
              <w:rPr>
                <w:b/>
                <w:bCs/>
                <w:i/>
                <w:iCs/>
              </w:rPr>
              <w:t>Column 3: Basic Elements of Many Exceptions</w:t>
            </w:r>
          </w:p>
          <w:p w14:paraId="2BA92B49" w14:textId="77777777" w:rsidR="00C019A0" w:rsidRPr="00130C89" w:rsidRDefault="00C019A0" w:rsidP="008069EB">
            <w:pPr>
              <w:ind w:left="520"/>
              <w:rPr>
                <w:sz w:val="20"/>
                <w:szCs w:val="20"/>
              </w:rPr>
            </w:pPr>
            <w:r w:rsidRPr="00130C89">
              <w:rPr>
                <w:sz w:val="20"/>
                <w:szCs w:val="20"/>
              </w:rPr>
              <w:t>While statutory exceptions on the same topic can vary greatly among the many Member States, this c</w:t>
            </w:r>
            <w:r>
              <w:rPr>
                <w:sz w:val="20"/>
                <w:szCs w:val="20"/>
              </w:rPr>
              <w:t>h</w:t>
            </w:r>
            <w:r w:rsidRPr="00130C89">
              <w:rPr>
                <w:sz w:val="20"/>
                <w:szCs w:val="20"/>
              </w:rPr>
              <w:t>art identifies some of the fundamental elements that are a critical part of any statute on any of the listed topics.</w:t>
            </w:r>
          </w:p>
          <w:p w14:paraId="13EE555B" w14:textId="77777777" w:rsidR="00C019A0" w:rsidRPr="00130C89" w:rsidRDefault="00C019A0" w:rsidP="008069EB">
            <w:pPr>
              <w:rPr>
                <w:sz w:val="20"/>
                <w:szCs w:val="20"/>
              </w:rPr>
            </w:pPr>
          </w:p>
          <w:p w14:paraId="394D42A0" w14:textId="77777777" w:rsidR="00C019A0" w:rsidRPr="00130C89" w:rsidRDefault="00C019A0" w:rsidP="008069EB">
            <w:pPr>
              <w:rPr>
                <w:b/>
                <w:bCs/>
                <w:i/>
                <w:iCs/>
                <w:szCs w:val="24"/>
              </w:rPr>
            </w:pPr>
            <w:r w:rsidRPr="00130C89">
              <w:rPr>
                <w:b/>
                <w:bCs/>
                <w:i/>
                <w:iCs/>
              </w:rPr>
              <w:t>Column 4: Additional Elements to Enhance Access</w:t>
            </w:r>
          </w:p>
          <w:p w14:paraId="6401C14D" w14:textId="77777777" w:rsidR="00C019A0" w:rsidRPr="00130C89" w:rsidRDefault="00C019A0" w:rsidP="008069EB">
            <w:pPr>
              <w:ind w:left="520"/>
              <w:rPr>
                <w:sz w:val="20"/>
                <w:szCs w:val="20"/>
              </w:rPr>
            </w:pPr>
            <w:r w:rsidRPr="00130C89">
              <w:rPr>
                <w:sz w:val="20"/>
                <w:szCs w:val="20"/>
              </w:rPr>
              <w:t>This column is essentially a set of proposals for possible inclusion in a new or existing statutory exception, with the objective of enhancing access to the copyrighted works subject to each of the exceptions.</w:t>
            </w:r>
          </w:p>
          <w:p w14:paraId="32618442" w14:textId="77777777" w:rsidR="00C019A0" w:rsidRPr="00130C89" w:rsidRDefault="00C019A0" w:rsidP="008069EB"/>
        </w:tc>
      </w:tr>
      <w:tr w:rsidR="00C019A0" w14:paraId="4AF37961" w14:textId="77777777" w:rsidTr="008069EB">
        <w:tc>
          <w:tcPr>
            <w:tcW w:w="2237" w:type="dxa"/>
          </w:tcPr>
          <w:p w14:paraId="5C534728" w14:textId="77777777" w:rsidR="00C019A0" w:rsidRPr="00130C89" w:rsidRDefault="00C019A0" w:rsidP="008069EB">
            <w:pPr>
              <w:rPr>
                <w:b/>
                <w:bCs/>
                <w:sz w:val="20"/>
                <w:szCs w:val="20"/>
              </w:rPr>
            </w:pPr>
            <w:r w:rsidRPr="00130C89">
              <w:rPr>
                <w:b/>
                <w:bCs/>
                <w:sz w:val="20"/>
                <w:szCs w:val="20"/>
              </w:rPr>
              <w:t>Column 1</w:t>
            </w:r>
          </w:p>
          <w:p w14:paraId="01DDA8FE" w14:textId="77777777" w:rsidR="00C019A0" w:rsidRPr="00130C89" w:rsidRDefault="00C019A0" w:rsidP="008069EB">
            <w:pPr>
              <w:rPr>
                <w:b/>
                <w:bCs/>
                <w:sz w:val="20"/>
                <w:szCs w:val="20"/>
              </w:rPr>
            </w:pPr>
          </w:p>
        </w:tc>
        <w:tc>
          <w:tcPr>
            <w:tcW w:w="2229" w:type="dxa"/>
          </w:tcPr>
          <w:p w14:paraId="2FA8DB7C" w14:textId="77777777" w:rsidR="00C019A0" w:rsidRPr="00130C89" w:rsidRDefault="00C019A0" w:rsidP="008069EB">
            <w:pPr>
              <w:rPr>
                <w:b/>
                <w:bCs/>
                <w:sz w:val="20"/>
                <w:szCs w:val="20"/>
              </w:rPr>
            </w:pPr>
            <w:r w:rsidRPr="00130C89">
              <w:rPr>
                <w:b/>
                <w:bCs/>
                <w:sz w:val="20"/>
                <w:szCs w:val="20"/>
              </w:rPr>
              <w:t>Column 2</w:t>
            </w:r>
          </w:p>
        </w:tc>
        <w:tc>
          <w:tcPr>
            <w:tcW w:w="2548" w:type="dxa"/>
          </w:tcPr>
          <w:p w14:paraId="7BF8FB43" w14:textId="77777777" w:rsidR="00C019A0" w:rsidRPr="00130C89" w:rsidRDefault="00C019A0" w:rsidP="008069EB">
            <w:pPr>
              <w:rPr>
                <w:b/>
                <w:bCs/>
                <w:sz w:val="20"/>
                <w:szCs w:val="20"/>
              </w:rPr>
            </w:pPr>
            <w:r w:rsidRPr="00130C89">
              <w:rPr>
                <w:b/>
                <w:bCs/>
                <w:sz w:val="20"/>
                <w:szCs w:val="20"/>
              </w:rPr>
              <w:t>Column 3</w:t>
            </w:r>
          </w:p>
        </w:tc>
        <w:tc>
          <w:tcPr>
            <w:tcW w:w="2341" w:type="dxa"/>
          </w:tcPr>
          <w:p w14:paraId="19CC3AAB" w14:textId="77777777" w:rsidR="00C019A0" w:rsidRPr="00130C89" w:rsidRDefault="00C019A0" w:rsidP="008069EB">
            <w:pPr>
              <w:rPr>
                <w:b/>
                <w:bCs/>
                <w:sz w:val="20"/>
                <w:szCs w:val="20"/>
              </w:rPr>
            </w:pPr>
            <w:r w:rsidRPr="00130C89">
              <w:rPr>
                <w:b/>
                <w:bCs/>
                <w:sz w:val="20"/>
                <w:szCs w:val="20"/>
              </w:rPr>
              <w:t>Column 4</w:t>
            </w:r>
          </w:p>
        </w:tc>
      </w:tr>
      <w:tr w:rsidR="00C019A0" w14:paraId="7E06C8D6" w14:textId="77777777" w:rsidTr="008069EB">
        <w:tc>
          <w:tcPr>
            <w:tcW w:w="2237" w:type="dxa"/>
          </w:tcPr>
          <w:p w14:paraId="79844E1C" w14:textId="77777777" w:rsidR="00C019A0" w:rsidRPr="00130C89" w:rsidRDefault="00C019A0" w:rsidP="008069EB">
            <w:pPr>
              <w:rPr>
                <w:b/>
                <w:bCs/>
                <w:sz w:val="20"/>
                <w:szCs w:val="20"/>
              </w:rPr>
            </w:pPr>
            <w:r w:rsidRPr="00130C89">
              <w:rPr>
                <w:b/>
                <w:bCs/>
                <w:sz w:val="20"/>
                <w:szCs w:val="20"/>
              </w:rPr>
              <w:t>Copyright Exceptions Currently in Effect</w:t>
            </w:r>
          </w:p>
        </w:tc>
        <w:tc>
          <w:tcPr>
            <w:tcW w:w="2229" w:type="dxa"/>
          </w:tcPr>
          <w:p w14:paraId="63B57A23" w14:textId="77777777" w:rsidR="00C019A0" w:rsidRPr="00130C89" w:rsidRDefault="00C019A0" w:rsidP="008069EB">
            <w:pPr>
              <w:rPr>
                <w:b/>
                <w:bCs/>
                <w:sz w:val="20"/>
                <w:szCs w:val="20"/>
              </w:rPr>
            </w:pPr>
            <w:r w:rsidRPr="00130C89">
              <w:rPr>
                <w:b/>
                <w:bCs/>
                <w:sz w:val="20"/>
                <w:szCs w:val="20"/>
              </w:rPr>
              <w:t>Ownership Rights Affected by Current Exceptions</w:t>
            </w:r>
          </w:p>
        </w:tc>
        <w:tc>
          <w:tcPr>
            <w:tcW w:w="2548" w:type="dxa"/>
          </w:tcPr>
          <w:p w14:paraId="441B7532" w14:textId="77777777" w:rsidR="00C019A0" w:rsidRPr="00130C89" w:rsidRDefault="00C019A0" w:rsidP="008069EB">
            <w:pPr>
              <w:rPr>
                <w:b/>
                <w:bCs/>
                <w:sz w:val="20"/>
                <w:szCs w:val="20"/>
              </w:rPr>
            </w:pPr>
            <w:r w:rsidRPr="00130C89">
              <w:rPr>
                <w:b/>
                <w:bCs/>
                <w:sz w:val="20"/>
                <w:szCs w:val="20"/>
              </w:rPr>
              <w:t>Basic Elements of Many Exceptions</w:t>
            </w:r>
          </w:p>
        </w:tc>
        <w:tc>
          <w:tcPr>
            <w:tcW w:w="2341" w:type="dxa"/>
          </w:tcPr>
          <w:p w14:paraId="6C6BC8E4" w14:textId="77777777" w:rsidR="00C019A0" w:rsidRPr="00130C89" w:rsidRDefault="00C019A0" w:rsidP="008069EB">
            <w:pPr>
              <w:rPr>
                <w:b/>
                <w:bCs/>
                <w:sz w:val="20"/>
                <w:szCs w:val="20"/>
              </w:rPr>
            </w:pPr>
            <w:r w:rsidRPr="00130C89">
              <w:rPr>
                <w:b/>
                <w:bCs/>
                <w:sz w:val="20"/>
                <w:szCs w:val="20"/>
              </w:rPr>
              <w:t>Additional Elements to Enhance Access</w:t>
            </w:r>
          </w:p>
        </w:tc>
      </w:tr>
      <w:tr w:rsidR="00C019A0" w14:paraId="17B0CFB6" w14:textId="77777777" w:rsidTr="008069EB">
        <w:tc>
          <w:tcPr>
            <w:tcW w:w="2237" w:type="dxa"/>
          </w:tcPr>
          <w:p w14:paraId="6553BD3D" w14:textId="77777777" w:rsidR="00C019A0" w:rsidRPr="00130C89" w:rsidRDefault="00C019A0" w:rsidP="008069EB">
            <w:pPr>
              <w:rPr>
                <w:sz w:val="20"/>
                <w:szCs w:val="20"/>
              </w:rPr>
            </w:pPr>
          </w:p>
        </w:tc>
        <w:tc>
          <w:tcPr>
            <w:tcW w:w="2229" w:type="dxa"/>
          </w:tcPr>
          <w:p w14:paraId="588FC4F8" w14:textId="77777777" w:rsidR="00C019A0" w:rsidRPr="00130C89" w:rsidRDefault="00C019A0" w:rsidP="008069EB">
            <w:pPr>
              <w:rPr>
                <w:sz w:val="20"/>
                <w:szCs w:val="20"/>
              </w:rPr>
            </w:pPr>
          </w:p>
        </w:tc>
        <w:tc>
          <w:tcPr>
            <w:tcW w:w="2548" w:type="dxa"/>
          </w:tcPr>
          <w:p w14:paraId="1E8448F2" w14:textId="77777777" w:rsidR="00C019A0" w:rsidRPr="00130C89" w:rsidRDefault="00C019A0" w:rsidP="008069EB">
            <w:pPr>
              <w:rPr>
                <w:sz w:val="20"/>
                <w:szCs w:val="20"/>
              </w:rPr>
            </w:pPr>
          </w:p>
        </w:tc>
        <w:tc>
          <w:tcPr>
            <w:tcW w:w="2341" w:type="dxa"/>
          </w:tcPr>
          <w:p w14:paraId="53EF2023" w14:textId="77777777" w:rsidR="00C019A0" w:rsidRPr="00130C89" w:rsidRDefault="00C019A0" w:rsidP="008069EB">
            <w:pPr>
              <w:rPr>
                <w:sz w:val="20"/>
                <w:szCs w:val="20"/>
              </w:rPr>
            </w:pPr>
          </w:p>
        </w:tc>
      </w:tr>
      <w:tr w:rsidR="00C019A0" w14:paraId="4BCC4FFA" w14:textId="77777777" w:rsidTr="008069EB">
        <w:tc>
          <w:tcPr>
            <w:tcW w:w="2237" w:type="dxa"/>
            <w:vMerge w:val="restart"/>
          </w:tcPr>
          <w:p w14:paraId="751D294B" w14:textId="77777777" w:rsidR="00C019A0" w:rsidRPr="00130C89" w:rsidRDefault="00C019A0" w:rsidP="008069EB">
            <w:pPr>
              <w:rPr>
                <w:b/>
                <w:bCs/>
                <w:sz w:val="20"/>
                <w:szCs w:val="20"/>
              </w:rPr>
            </w:pPr>
            <w:r w:rsidRPr="00130C89">
              <w:rPr>
                <w:b/>
                <w:bCs/>
                <w:sz w:val="20"/>
                <w:szCs w:val="20"/>
              </w:rPr>
              <w:t>Preservation</w:t>
            </w:r>
          </w:p>
          <w:p w14:paraId="7AC61A94" w14:textId="77777777" w:rsidR="00C019A0" w:rsidRPr="00130C89" w:rsidRDefault="00C019A0" w:rsidP="008069EB">
            <w:pPr>
              <w:rPr>
                <w:b/>
                <w:bCs/>
                <w:sz w:val="20"/>
                <w:szCs w:val="20"/>
              </w:rPr>
            </w:pPr>
            <w:r w:rsidRPr="00F8627C">
              <w:rPr>
                <w:b/>
                <w:bCs/>
                <w:sz w:val="20"/>
                <w:szCs w:val="20"/>
              </w:rPr>
              <w:t>(The subject of an earlier toolkit</w:t>
            </w:r>
            <w:r w:rsidRPr="00CE6C61">
              <w:rPr>
                <w:b/>
                <w:bCs/>
                <w:sz w:val="20"/>
                <w:szCs w:val="20"/>
              </w:rPr>
              <w:t>.</w:t>
            </w:r>
            <w:r w:rsidRPr="00CE6C61">
              <w:rPr>
                <w:rStyle w:val="EndnoteReference"/>
                <w:b/>
                <w:bCs/>
                <w:sz w:val="20"/>
                <w:szCs w:val="20"/>
              </w:rPr>
              <w:endnoteReference w:id="52"/>
            </w:r>
            <w:r w:rsidRPr="00F8627C">
              <w:rPr>
                <w:b/>
                <w:bCs/>
                <w:sz w:val="20"/>
                <w:szCs w:val="20"/>
              </w:rPr>
              <w:t>)</w:t>
            </w:r>
          </w:p>
        </w:tc>
        <w:tc>
          <w:tcPr>
            <w:tcW w:w="2229" w:type="dxa"/>
          </w:tcPr>
          <w:p w14:paraId="1CF6952E" w14:textId="77777777" w:rsidR="00C019A0" w:rsidRPr="00130C89" w:rsidRDefault="00C019A0" w:rsidP="008069EB">
            <w:pPr>
              <w:rPr>
                <w:b/>
                <w:bCs/>
                <w:i/>
                <w:iCs/>
                <w:sz w:val="20"/>
                <w:szCs w:val="20"/>
              </w:rPr>
            </w:pPr>
            <w:r w:rsidRPr="00130C89">
              <w:rPr>
                <w:b/>
                <w:bCs/>
                <w:i/>
                <w:iCs/>
                <w:sz w:val="20"/>
                <w:szCs w:val="20"/>
              </w:rPr>
              <w:t>Reproduction</w:t>
            </w:r>
          </w:p>
        </w:tc>
        <w:tc>
          <w:tcPr>
            <w:tcW w:w="2548" w:type="dxa"/>
          </w:tcPr>
          <w:p w14:paraId="3AC5D177" w14:textId="77777777" w:rsidR="00C019A0" w:rsidRPr="00130C89" w:rsidRDefault="00C019A0" w:rsidP="008069EB">
            <w:pPr>
              <w:rPr>
                <w:sz w:val="20"/>
                <w:szCs w:val="20"/>
              </w:rPr>
            </w:pPr>
            <w:r w:rsidRPr="00130C89">
              <w:rPr>
                <w:sz w:val="20"/>
                <w:szCs w:val="20"/>
              </w:rPr>
              <w:t>** May make copies for specified purposes.</w:t>
            </w:r>
          </w:p>
          <w:p w14:paraId="52018E35" w14:textId="77777777" w:rsidR="00C019A0" w:rsidRPr="00130C89" w:rsidRDefault="00C019A0" w:rsidP="008069EB">
            <w:pPr>
              <w:rPr>
                <w:sz w:val="20"/>
                <w:szCs w:val="20"/>
              </w:rPr>
            </w:pPr>
            <w:r w:rsidRPr="00130C89">
              <w:rPr>
                <w:sz w:val="20"/>
                <w:szCs w:val="20"/>
              </w:rPr>
              <w:t xml:space="preserve">** May be limited to specific types of </w:t>
            </w:r>
            <w:proofErr w:type="gramStart"/>
            <w:r w:rsidRPr="00130C89">
              <w:rPr>
                <w:sz w:val="20"/>
                <w:szCs w:val="20"/>
              </w:rPr>
              <w:t>works</w:t>
            </w:r>
            <w:proofErr w:type="gramEnd"/>
            <w:r w:rsidRPr="00130C89">
              <w:rPr>
                <w:sz w:val="20"/>
                <w:szCs w:val="20"/>
              </w:rPr>
              <w:t>.</w:t>
            </w:r>
          </w:p>
          <w:p w14:paraId="20B96823" w14:textId="77777777" w:rsidR="00C019A0" w:rsidRPr="00130C89" w:rsidRDefault="00C019A0" w:rsidP="008069EB">
            <w:pPr>
              <w:rPr>
                <w:sz w:val="20"/>
                <w:szCs w:val="20"/>
              </w:rPr>
            </w:pPr>
          </w:p>
        </w:tc>
        <w:tc>
          <w:tcPr>
            <w:tcW w:w="2341" w:type="dxa"/>
          </w:tcPr>
          <w:p w14:paraId="03DCDB3D" w14:textId="77777777" w:rsidR="00C019A0" w:rsidRPr="00130C89" w:rsidRDefault="00C019A0" w:rsidP="008069EB">
            <w:pPr>
              <w:rPr>
                <w:sz w:val="20"/>
                <w:szCs w:val="20"/>
              </w:rPr>
            </w:pPr>
            <w:r w:rsidRPr="00130C89">
              <w:rPr>
                <w:sz w:val="20"/>
                <w:szCs w:val="20"/>
              </w:rPr>
              <w:t>** Permit copying before deterioration or other loss.</w:t>
            </w:r>
          </w:p>
          <w:p w14:paraId="4AD36271" w14:textId="77777777" w:rsidR="00C019A0" w:rsidRPr="00130C89" w:rsidRDefault="00C019A0" w:rsidP="008069EB">
            <w:pPr>
              <w:rPr>
                <w:sz w:val="20"/>
                <w:szCs w:val="20"/>
              </w:rPr>
            </w:pPr>
            <w:r w:rsidRPr="00130C89">
              <w:rPr>
                <w:sz w:val="20"/>
                <w:szCs w:val="20"/>
              </w:rPr>
              <w:t>** Allow copies for safekeeping at other institutions.</w:t>
            </w:r>
          </w:p>
          <w:p w14:paraId="2A745421" w14:textId="77777777" w:rsidR="00C019A0" w:rsidRPr="00130C89" w:rsidRDefault="00C019A0" w:rsidP="008069EB">
            <w:pPr>
              <w:rPr>
                <w:sz w:val="20"/>
                <w:szCs w:val="20"/>
              </w:rPr>
            </w:pPr>
          </w:p>
        </w:tc>
      </w:tr>
      <w:tr w:rsidR="00C019A0" w14:paraId="5CD30D9D" w14:textId="77777777" w:rsidTr="008069EB">
        <w:tc>
          <w:tcPr>
            <w:tcW w:w="2237" w:type="dxa"/>
            <w:vMerge/>
          </w:tcPr>
          <w:p w14:paraId="7825096D" w14:textId="77777777" w:rsidR="00C019A0" w:rsidRPr="00130C89" w:rsidRDefault="00C019A0" w:rsidP="008069EB">
            <w:pPr>
              <w:rPr>
                <w:sz w:val="20"/>
                <w:szCs w:val="20"/>
              </w:rPr>
            </w:pPr>
          </w:p>
        </w:tc>
        <w:tc>
          <w:tcPr>
            <w:tcW w:w="2229" w:type="dxa"/>
          </w:tcPr>
          <w:p w14:paraId="3FE7921C" w14:textId="77777777" w:rsidR="00C019A0" w:rsidRPr="00130C89" w:rsidRDefault="00C019A0" w:rsidP="008069EB">
            <w:pPr>
              <w:rPr>
                <w:b/>
                <w:bCs/>
                <w:i/>
                <w:iCs/>
                <w:sz w:val="20"/>
                <w:szCs w:val="20"/>
              </w:rPr>
            </w:pPr>
            <w:r w:rsidRPr="00130C89">
              <w:rPr>
                <w:b/>
                <w:bCs/>
                <w:i/>
                <w:iCs/>
                <w:sz w:val="20"/>
                <w:szCs w:val="20"/>
              </w:rPr>
              <w:t>Distribution</w:t>
            </w:r>
          </w:p>
          <w:p w14:paraId="31DD0B39" w14:textId="77777777" w:rsidR="00C019A0" w:rsidRPr="00130C89" w:rsidRDefault="00C019A0" w:rsidP="008069EB">
            <w:pPr>
              <w:rPr>
                <w:b/>
                <w:bCs/>
                <w:i/>
                <w:iCs/>
                <w:sz w:val="20"/>
                <w:szCs w:val="20"/>
              </w:rPr>
            </w:pPr>
            <w:r w:rsidRPr="00130C89">
              <w:rPr>
                <w:b/>
                <w:bCs/>
                <w:i/>
                <w:iCs/>
                <w:sz w:val="20"/>
                <w:szCs w:val="20"/>
              </w:rPr>
              <w:t>Making Available</w:t>
            </w:r>
          </w:p>
        </w:tc>
        <w:tc>
          <w:tcPr>
            <w:tcW w:w="2548" w:type="dxa"/>
          </w:tcPr>
          <w:p w14:paraId="08045563" w14:textId="77777777" w:rsidR="00C019A0" w:rsidRPr="00130C89" w:rsidRDefault="00C019A0" w:rsidP="008069EB">
            <w:pPr>
              <w:rPr>
                <w:sz w:val="20"/>
                <w:szCs w:val="20"/>
              </w:rPr>
            </w:pPr>
            <w:r w:rsidRPr="00130C89">
              <w:rPr>
                <w:sz w:val="20"/>
                <w:szCs w:val="20"/>
              </w:rPr>
              <w:t>** Copies may be accessed by authorized users.</w:t>
            </w:r>
          </w:p>
          <w:p w14:paraId="294C7BFA" w14:textId="77777777" w:rsidR="00C019A0" w:rsidRPr="00130C89" w:rsidRDefault="00C019A0" w:rsidP="008069EB">
            <w:pPr>
              <w:rPr>
                <w:sz w:val="20"/>
                <w:szCs w:val="20"/>
              </w:rPr>
            </w:pPr>
          </w:p>
        </w:tc>
        <w:tc>
          <w:tcPr>
            <w:tcW w:w="2341" w:type="dxa"/>
          </w:tcPr>
          <w:p w14:paraId="763CE475" w14:textId="77777777" w:rsidR="00C019A0" w:rsidRPr="00130C89" w:rsidRDefault="00C019A0" w:rsidP="008069EB">
            <w:pPr>
              <w:rPr>
                <w:sz w:val="20"/>
                <w:szCs w:val="20"/>
              </w:rPr>
            </w:pPr>
            <w:r w:rsidRPr="00130C89">
              <w:rPr>
                <w:sz w:val="20"/>
                <w:szCs w:val="20"/>
              </w:rPr>
              <w:t>** Clarify that uses on the premises and at terminals are allowed.</w:t>
            </w:r>
          </w:p>
          <w:p w14:paraId="19155704" w14:textId="77777777" w:rsidR="00C019A0" w:rsidRPr="00130C89" w:rsidRDefault="00C019A0" w:rsidP="008069EB">
            <w:pPr>
              <w:rPr>
                <w:sz w:val="20"/>
                <w:szCs w:val="20"/>
              </w:rPr>
            </w:pPr>
            <w:r w:rsidRPr="00130C89">
              <w:rPr>
                <w:sz w:val="20"/>
                <w:szCs w:val="20"/>
              </w:rPr>
              <w:t>** The institution may allow access by authorized users.</w:t>
            </w:r>
          </w:p>
          <w:p w14:paraId="62B7E754" w14:textId="77777777" w:rsidR="00C019A0" w:rsidRPr="00130C89" w:rsidRDefault="00C019A0" w:rsidP="008069EB">
            <w:pPr>
              <w:rPr>
                <w:sz w:val="20"/>
                <w:szCs w:val="20"/>
              </w:rPr>
            </w:pPr>
            <w:r w:rsidRPr="00130C89">
              <w:rPr>
                <w:sz w:val="20"/>
                <w:szCs w:val="20"/>
              </w:rPr>
              <w:t>** The institution may transmit or deliver copies for permissible uses at other CHIs.</w:t>
            </w:r>
          </w:p>
          <w:p w14:paraId="4432682B" w14:textId="77777777" w:rsidR="00C019A0" w:rsidRPr="00130C89" w:rsidRDefault="00C019A0" w:rsidP="008069EB">
            <w:pPr>
              <w:rPr>
                <w:sz w:val="20"/>
                <w:szCs w:val="20"/>
              </w:rPr>
            </w:pPr>
          </w:p>
        </w:tc>
      </w:tr>
      <w:tr w:rsidR="00C019A0" w14:paraId="701B3E8B" w14:textId="77777777" w:rsidTr="008069EB">
        <w:tc>
          <w:tcPr>
            <w:tcW w:w="2237" w:type="dxa"/>
          </w:tcPr>
          <w:p w14:paraId="27BE31A1" w14:textId="77777777" w:rsidR="00C019A0" w:rsidRPr="00130C89" w:rsidRDefault="00C019A0" w:rsidP="008069EB">
            <w:pPr>
              <w:rPr>
                <w:sz w:val="20"/>
                <w:szCs w:val="20"/>
              </w:rPr>
            </w:pPr>
          </w:p>
        </w:tc>
        <w:tc>
          <w:tcPr>
            <w:tcW w:w="2229" w:type="dxa"/>
          </w:tcPr>
          <w:p w14:paraId="4682AF0D" w14:textId="77777777" w:rsidR="00C019A0" w:rsidRPr="00130C89" w:rsidRDefault="00C019A0" w:rsidP="008069EB">
            <w:pPr>
              <w:rPr>
                <w:sz w:val="20"/>
                <w:szCs w:val="20"/>
              </w:rPr>
            </w:pPr>
          </w:p>
        </w:tc>
        <w:tc>
          <w:tcPr>
            <w:tcW w:w="2548" w:type="dxa"/>
          </w:tcPr>
          <w:p w14:paraId="1E825D17" w14:textId="77777777" w:rsidR="00C019A0" w:rsidRPr="00130C89" w:rsidRDefault="00C019A0" w:rsidP="008069EB">
            <w:pPr>
              <w:rPr>
                <w:sz w:val="20"/>
                <w:szCs w:val="20"/>
              </w:rPr>
            </w:pPr>
          </w:p>
        </w:tc>
        <w:tc>
          <w:tcPr>
            <w:tcW w:w="2341" w:type="dxa"/>
          </w:tcPr>
          <w:p w14:paraId="0A3A0D41" w14:textId="77777777" w:rsidR="00C019A0" w:rsidRPr="00130C89" w:rsidRDefault="00C019A0" w:rsidP="008069EB">
            <w:pPr>
              <w:rPr>
                <w:sz w:val="20"/>
                <w:szCs w:val="20"/>
              </w:rPr>
            </w:pPr>
          </w:p>
        </w:tc>
      </w:tr>
      <w:tr w:rsidR="00C019A0" w14:paraId="7CC56534" w14:textId="77777777" w:rsidTr="008069EB">
        <w:tc>
          <w:tcPr>
            <w:tcW w:w="2237" w:type="dxa"/>
            <w:vMerge w:val="restart"/>
          </w:tcPr>
          <w:p w14:paraId="603B42B8" w14:textId="77777777" w:rsidR="00C019A0" w:rsidRPr="00130C89" w:rsidRDefault="00C019A0" w:rsidP="008069EB">
            <w:pPr>
              <w:rPr>
                <w:b/>
                <w:bCs/>
                <w:sz w:val="20"/>
                <w:szCs w:val="20"/>
              </w:rPr>
            </w:pPr>
            <w:r w:rsidRPr="00130C89">
              <w:rPr>
                <w:b/>
                <w:bCs/>
                <w:sz w:val="20"/>
                <w:szCs w:val="20"/>
              </w:rPr>
              <w:t>Private Study &amp; Research</w:t>
            </w:r>
          </w:p>
          <w:p w14:paraId="5C7B8028" w14:textId="77777777" w:rsidR="00C019A0" w:rsidRPr="00130C89" w:rsidRDefault="00C019A0" w:rsidP="008069EB">
            <w:pPr>
              <w:rPr>
                <w:b/>
                <w:bCs/>
                <w:sz w:val="20"/>
                <w:szCs w:val="20"/>
              </w:rPr>
            </w:pPr>
            <w:r w:rsidRPr="00130C89">
              <w:rPr>
                <w:b/>
                <w:bCs/>
                <w:sz w:val="20"/>
                <w:szCs w:val="20"/>
              </w:rPr>
              <w:t>(The subject of a forthcoming toolkit.)</w:t>
            </w:r>
          </w:p>
        </w:tc>
        <w:tc>
          <w:tcPr>
            <w:tcW w:w="2229" w:type="dxa"/>
          </w:tcPr>
          <w:p w14:paraId="08F06D47" w14:textId="77777777" w:rsidR="00C019A0" w:rsidRPr="00130C89" w:rsidRDefault="00C019A0" w:rsidP="008069EB">
            <w:pPr>
              <w:rPr>
                <w:b/>
                <w:bCs/>
                <w:i/>
                <w:iCs/>
                <w:sz w:val="20"/>
                <w:szCs w:val="20"/>
              </w:rPr>
            </w:pPr>
            <w:r w:rsidRPr="00130C89">
              <w:rPr>
                <w:b/>
                <w:bCs/>
                <w:i/>
                <w:iCs/>
                <w:sz w:val="20"/>
                <w:szCs w:val="20"/>
              </w:rPr>
              <w:t>Reproduction</w:t>
            </w:r>
          </w:p>
        </w:tc>
        <w:tc>
          <w:tcPr>
            <w:tcW w:w="2548" w:type="dxa"/>
          </w:tcPr>
          <w:p w14:paraId="0A9D021B" w14:textId="77777777" w:rsidR="00C019A0" w:rsidRPr="00130C89" w:rsidRDefault="00C019A0" w:rsidP="008069EB">
            <w:pPr>
              <w:rPr>
                <w:sz w:val="20"/>
                <w:szCs w:val="20"/>
              </w:rPr>
            </w:pPr>
            <w:r w:rsidRPr="00130C89">
              <w:rPr>
                <w:sz w:val="20"/>
                <w:szCs w:val="20"/>
              </w:rPr>
              <w:t>** May make copies for specified purposes.</w:t>
            </w:r>
          </w:p>
          <w:p w14:paraId="446679F5" w14:textId="77777777" w:rsidR="00C019A0" w:rsidRPr="00130C89" w:rsidRDefault="00C019A0" w:rsidP="008069EB">
            <w:pPr>
              <w:rPr>
                <w:sz w:val="20"/>
                <w:szCs w:val="20"/>
              </w:rPr>
            </w:pPr>
            <w:r w:rsidRPr="00130C89">
              <w:rPr>
                <w:sz w:val="20"/>
                <w:szCs w:val="20"/>
              </w:rPr>
              <w:t>** May be limited to specific types of works.</w:t>
            </w:r>
          </w:p>
        </w:tc>
        <w:tc>
          <w:tcPr>
            <w:tcW w:w="2341" w:type="dxa"/>
          </w:tcPr>
          <w:p w14:paraId="2A619607" w14:textId="77777777" w:rsidR="00C019A0" w:rsidRPr="00130C89" w:rsidRDefault="00C019A0" w:rsidP="008069EB">
            <w:pPr>
              <w:rPr>
                <w:sz w:val="20"/>
                <w:szCs w:val="20"/>
              </w:rPr>
            </w:pPr>
            <w:r w:rsidRPr="00130C89">
              <w:rPr>
                <w:sz w:val="20"/>
                <w:szCs w:val="20"/>
              </w:rPr>
              <w:t>** Avoid limits on types of works.</w:t>
            </w:r>
          </w:p>
        </w:tc>
      </w:tr>
      <w:tr w:rsidR="00C019A0" w14:paraId="4C1B6EC1" w14:textId="77777777" w:rsidTr="008069EB">
        <w:tc>
          <w:tcPr>
            <w:tcW w:w="2237" w:type="dxa"/>
            <w:vMerge/>
          </w:tcPr>
          <w:p w14:paraId="3BC873DA" w14:textId="77777777" w:rsidR="00C019A0" w:rsidRPr="00130C89" w:rsidRDefault="00C019A0" w:rsidP="008069EB">
            <w:pPr>
              <w:rPr>
                <w:sz w:val="20"/>
                <w:szCs w:val="20"/>
              </w:rPr>
            </w:pPr>
          </w:p>
        </w:tc>
        <w:tc>
          <w:tcPr>
            <w:tcW w:w="2229" w:type="dxa"/>
          </w:tcPr>
          <w:p w14:paraId="141144B2" w14:textId="77777777" w:rsidR="00C019A0" w:rsidRPr="00130C89" w:rsidRDefault="00C019A0" w:rsidP="008069EB">
            <w:pPr>
              <w:rPr>
                <w:b/>
                <w:bCs/>
                <w:i/>
                <w:iCs/>
                <w:sz w:val="20"/>
                <w:szCs w:val="20"/>
              </w:rPr>
            </w:pPr>
            <w:r w:rsidRPr="00130C89">
              <w:rPr>
                <w:b/>
                <w:bCs/>
                <w:i/>
                <w:iCs/>
                <w:sz w:val="20"/>
                <w:szCs w:val="20"/>
              </w:rPr>
              <w:t>Distribution</w:t>
            </w:r>
          </w:p>
        </w:tc>
        <w:tc>
          <w:tcPr>
            <w:tcW w:w="2548" w:type="dxa"/>
          </w:tcPr>
          <w:p w14:paraId="7585139D" w14:textId="77777777" w:rsidR="00C019A0" w:rsidRPr="00130C89" w:rsidRDefault="00C019A0" w:rsidP="008069EB">
            <w:pPr>
              <w:rPr>
                <w:sz w:val="20"/>
                <w:szCs w:val="20"/>
              </w:rPr>
            </w:pPr>
            <w:r w:rsidRPr="00130C89">
              <w:rPr>
                <w:sz w:val="20"/>
                <w:szCs w:val="20"/>
              </w:rPr>
              <w:t>** Copies may be delivered to user who made the request.</w:t>
            </w:r>
          </w:p>
        </w:tc>
        <w:tc>
          <w:tcPr>
            <w:tcW w:w="2341" w:type="dxa"/>
          </w:tcPr>
          <w:p w14:paraId="0D4E5BA9" w14:textId="77777777" w:rsidR="00C019A0" w:rsidRPr="00130C89" w:rsidRDefault="00C019A0" w:rsidP="008069EB">
            <w:pPr>
              <w:rPr>
                <w:sz w:val="20"/>
                <w:szCs w:val="20"/>
              </w:rPr>
            </w:pPr>
            <w:r w:rsidRPr="00130C89">
              <w:rPr>
                <w:sz w:val="20"/>
                <w:szCs w:val="20"/>
              </w:rPr>
              <w:t>** Retention of digital copies for allowed purposes.</w:t>
            </w:r>
          </w:p>
          <w:p w14:paraId="121F0BFC" w14:textId="77777777" w:rsidR="00C019A0" w:rsidRPr="00130C89" w:rsidRDefault="00C019A0" w:rsidP="008069EB">
            <w:pPr>
              <w:rPr>
                <w:sz w:val="20"/>
                <w:szCs w:val="20"/>
              </w:rPr>
            </w:pPr>
            <w:r w:rsidRPr="00130C89">
              <w:rPr>
                <w:sz w:val="20"/>
                <w:szCs w:val="20"/>
              </w:rPr>
              <w:t xml:space="preserve">** Clarify that </w:t>
            </w:r>
            <w:proofErr w:type="gramStart"/>
            <w:r w:rsidRPr="00130C89">
              <w:rPr>
                <w:sz w:val="20"/>
                <w:szCs w:val="20"/>
              </w:rPr>
              <w:t>recipient</w:t>
            </w:r>
            <w:proofErr w:type="gramEnd"/>
            <w:r w:rsidRPr="00130C89">
              <w:rPr>
                <w:sz w:val="20"/>
                <w:szCs w:val="20"/>
              </w:rPr>
              <w:t xml:space="preserve"> may use copies consistent with copyright. </w:t>
            </w:r>
          </w:p>
        </w:tc>
      </w:tr>
      <w:tr w:rsidR="00C019A0" w14:paraId="4CC946A2" w14:textId="77777777" w:rsidTr="008069EB">
        <w:tc>
          <w:tcPr>
            <w:tcW w:w="2237" w:type="dxa"/>
          </w:tcPr>
          <w:p w14:paraId="5374C265" w14:textId="77777777" w:rsidR="00C019A0" w:rsidRPr="00130C89" w:rsidRDefault="00C019A0" w:rsidP="008069EB">
            <w:pPr>
              <w:rPr>
                <w:sz w:val="20"/>
                <w:szCs w:val="20"/>
              </w:rPr>
            </w:pPr>
          </w:p>
        </w:tc>
        <w:tc>
          <w:tcPr>
            <w:tcW w:w="2229" w:type="dxa"/>
          </w:tcPr>
          <w:p w14:paraId="41528631" w14:textId="77777777" w:rsidR="00C019A0" w:rsidRPr="00130C89" w:rsidRDefault="00C019A0" w:rsidP="008069EB">
            <w:pPr>
              <w:rPr>
                <w:sz w:val="20"/>
                <w:szCs w:val="20"/>
              </w:rPr>
            </w:pPr>
          </w:p>
        </w:tc>
        <w:tc>
          <w:tcPr>
            <w:tcW w:w="2548" w:type="dxa"/>
          </w:tcPr>
          <w:p w14:paraId="15F2D60D" w14:textId="77777777" w:rsidR="00C019A0" w:rsidRPr="00130C89" w:rsidRDefault="00C019A0" w:rsidP="008069EB">
            <w:pPr>
              <w:rPr>
                <w:sz w:val="20"/>
                <w:szCs w:val="20"/>
              </w:rPr>
            </w:pPr>
          </w:p>
        </w:tc>
        <w:tc>
          <w:tcPr>
            <w:tcW w:w="2341" w:type="dxa"/>
          </w:tcPr>
          <w:p w14:paraId="200A78CE" w14:textId="77777777" w:rsidR="00C019A0" w:rsidRPr="00130C89" w:rsidRDefault="00C019A0" w:rsidP="008069EB">
            <w:pPr>
              <w:rPr>
                <w:sz w:val="20"/>
                <w:szCs w:val="20"/>
              </w:rPr>
            </w:pPr>
          </w:p>
        </w:tc>
      </w:tr>
      <w:tr w:rsidR="00C019A0" w14:paraId="44CFEA69" w14:textId="77777777" w:rsidTr="008069EB">
        <w:tc>
          <w:tcPr>
            <w:tcW w:w="2237" w:type="dxa"/>
            <w:vMerge w:val="restart"/>
          </w:tcPr>
          <w:p w14:paraId="60A79FD9" w14:textId="77777777" w:rsidR="00C019A0" w:rsidRPr="00130C89" w:rsidRDefault="00C019A0" w:rsidP="008069EB">
            <w:pPr>
              <w:rPr>
                <w:b/>
                <w:bCs/>
                <w:sz w:val="20"/>
                <w:szCs w:val="20"/>
              </w:rPr>
            </w:pPr>
            <w:r w:rsidRPr="00130C89">
              <w:rPr>
                <w:b/>
                <w:bCs/>
                <w:sz w:val="20"/>
                <w:szCs w:val="20"/>
              </w:rPr>
              <w:t>Exhibitions of Collections</w:t>
            </w:r>
          </w:p>
        </w:tc>
        <w:tc>
          <w:tcPr>
            <w:tcW w:w="2229" w:type="dxa"/>
          </w:tcPr>
          <w:p w14:paraId="19AC305C" w14:textId="77777777" w:rsidR="00C019A0" w:rsidRPr="00130C89" w:rsidRDefault="00C019A0" w:rsidP="008069EB">
            <w:pPr>
              <w:rPr>
                <w:b/>
                <w:bCs/>
                <w:i/>
                <w:iCs/>
                <w:sz w:val="20"/>
                <w:szCs w:val="20"/>
              </w:rPr>
            </w:pPr>
            <w:r w:rsidRPr="00130C89">
              <w:rPr>
                <w:b/>
                <w:bCs/>
                <w:i/>
                <w:iCs/>
                <w:sz w:val="20"/>
                <w:szCs w:val="20"/>
              </w:rPr>
              <w:t>Public Display and Performance</w:t>
            </w:r>
          </w:p>
        </w:tc>
        <w:tc>
          <w:tcPr>
            <w:tcW w:w="2548" w:type="dxa"/>
          </w:tcPr>
          <w:p w14:paraId="7DC7FBCE" w14:textId="77777777" w:rsidR="00C019A0" w:rsidRPr="00130C89" w:rsidRDefault="00C019A0" w:rsidP="008069EB">
            <w:pPr>
              <w:rPr>
                <w:sz w:val="20"/>
                <w:szCs w:val="20"/>
              </w:rPr>
            </w:pPr>
            <w:r w:rsidRPr="00130C89">
              <w:rPr>
                <w:sz w:val="20"/>
                <w:szCs w:val="20"/>
              </w:rPr>
              <w:t>** Few Member States have included exhibitions in their copyright exceptions.</w:t>
            </w:r>
          </w:p>
        </w:tc>
        <w:tc>
          <w:tcPr>
            <w:tcW w:w="2341" w:type="dxa"/>
          </w:tcPr>
          <w:p w14:paraId="7C140B7D" w14:textId="77777777" w:rsidR="00C019A0" w:rsidRPr="00130C89" w:rsidRDefault="00C019A0" w:rsidP="008069EB">
            <w:pPr>
              <w:rPr>
                <w:sz w:val="20"/>
                <w:szCs w:val="20"/>
              </w:rPr>
            </w:pPr>
            <w:r w:rsidRPr="00130C89">
              <w:rPr>
                <w:sz w:val="20"/>
                <w:szCs w:val="20"/>
              </w:rPr>
              <w:t>** Expand the opportunity to other Member States.</w:t>
            </w:r>
          </w:p>
          <w:p w14:paraId="2809ABC7" w14:textId="77777777" w:rsidR="00C019A0" w:rsidRPr="00130C89" w:rsidRDefault="00C019A0" w:rsidP="008069EB">
            <w:pPr>
              <w:rPr>
                <w:sz w:val="20"/>
                <w:szCs w:val="20"/>
              </w:rPr>
            </w:pPr>
            <w:r w:rsidRPr="00130C89">
              <w:rPr>
                <w:sz w:val="20"/>
                <w:szCs w:val="20"/>
              </w:rPr>
              <w:t>** Display and performance anticipate uses of diverse media.</w:t>
            </w:r>
          </w:p>
          <w:p w14:paraId="160FC464" w14:textId="77777777" w:rsidR="00C019A0" w:rsidRPr="00130C89" w:rsidRDefault="00C019A0" w:rsidP="008069EB">
            <w:pPr>
              <w:rPr>
                <w:sz w:val="20"/>
                <w:szCs w:val="20"/>
              </w:rPr>
            </w:pPr>
            <w:r w:rsidRPr="00130C89">
              <w:rPr>
                <w:sz w:val="20"/>
                <w:szCs w:val="20"/>
              </w:rPr>
              <w:t>** May display, perform, and view works on the premises in the context of an exhibition.</w:t>
            </w:r>
          </w:p>
          <w:p w14:paraId="75EDF4A9" w14:textId="77777777" w:rsidR="00C019A0" w:rsidRPr="00130C89" w:rsidRDefault="00C019A0" w:rsidP="008069EB">
            <w:pPr>
              <w:rPr>
                <w:sz w:val="20"/>
                <w:szCs w:val="20"/>
              </w:rPr>
            </w:pPr>
            <w:r w:rsidRPr="00130C89">
              <w:rPr>
                <w:sz w:val="20"/>
                <w:szCs w:val="20"/>
              </w:rPr>
              <w:t>** May display, perform, and view works as part of online exhibitions.</w:t>
            </w:r>
          </w:p>
        </w:tc>
      </w:tr>
      <w:tr w:rsidR="00C019A0" w14:paraId="1C864E51" w14:textId="77777777" w:rsidTr="008069EB">
        <w:tc>
          <w:tcPr>
            <w:tcW w:w="2237" w:type="dxa"/>
            <w:vMerge/>
          </w:tcPr>
          <w:p w14:paraId="77609116" w14:textId="77777777" w:rsidR="00C019A0" w:rsidRPr="00130C89" w:rsidRDefault="00C019A0" w:rsidP="008069EB">
            <w:pPr>
              <w:rPr>
                <w:sz w:val="20"/>
                <w:szCs w:val="20"/>
              </w:rPr>
            </w:pPr>
          </w:p>
        </w:tc>
        <w:tc>
          <w:tcPr>
            <w:tcW w:w="2229" w:type="dxa"/>
          </w:tcPr>
          <w:p w14:paraId="4EAAFC1E" w14:textId="77777777" w:rsidR="00C019A0" w:rsidRPr="00130C89" w:rsidRDefault="00C019A0" w:rsidP="008069EB">
            <w:pPr>
              <w:rPr>
                <w:b/>
                <w:bCs/>
                <w:i/>
                <w:iCs/>
                <w:sz w:val="20"/>
                <w:szCs w:val="20"/>
              </w:rPr>
            </w:pPr>
            <w:r w:rsidRPr="00130C89">
              <w:rPr>
                <w:b/>
                <w:bCs/>
                <w:i/>
                <w:iCs/>
                <w:sz w:val="20"/>
                <w:szCs w:val="20"/>
              </w:rPr>
              <w:t>Reproduction</w:t>
            </w:r>
          </w:p>
        </w:tc>
        <w:tc>
          <w:tcPr>
            <w:tcW w:w="2548" w:type="dxa"/>
          </w:tcPr>
          <w:p w14:paraId="1096DFF2" w14:textId="77777777" w:rsidR="00C019A0" w:rsidRPr="00130C89" w:rsidRDefault="00C019A0" w:rsidP="008069EB">
            <w:pPr>
              <w:rPr>
                <w:sz w:val="20"/>
                <w:szCs w:val="20"/>
              </w:rPr>
            </w:pPr>
            <w:r w:rsidRPr="00130C89">
              <w:rPr>
                <w:sz w:val="20"/>
                <w:szCs w:val="20"/>
              </w:rPr>
              <w:t>** Sometimes included in statutes as a limited administrative use of the copyrighted works.</w:t>
            </w:r>
          </w:p>
        </w:tc>
        <w:tc>
          <w:tcPr>
            <w:tcW w:w="2341" w:type="dxa"/>
          </w:tcPr>
          <w:p w14:paraId="071A009D" w14:textId="77777777" w:rsidR="00C019A0" w:rsidRPr="00130C89" w:rsidRDefault="00C019A0" w:rsidP="008069EB">
            <w:pPr>
              <w:rPr>
                <w:sz w:val="20"/>
                <w:szCs w:val="20"/>
              </w:rPr>
            </w:pPr>
            <w:r w:rsidRPr="00130C89">
              <w:rPr>
                <w:sz w:val="20"/>
                <w:szCs w:val="20"/>
              </w:rPr>
              <w:t>** Allow copies for safekeeping of works that are included in exhibitions.</w:t>
            </w:r>
          </w:p>
          <w:p w14:paraId="0B963545" w14:textId="77777777" w:rsidR="00C019A0" w:rsidRPr="00130C89" w:rsidRDefault="00C019A0" w:rsidP="008069EB">
            <w:pPr>
              <w:rPr>
                <w:sz w:val="20"/>
                <w:szCs w:val="20"/>
              </w:rPr>
            </w:pPr>
            <w:r w:rsidRPr="00130C89">
              <w:rPr>
                <w:sz w:val="20"/>
                <w:szCs w:val="20"/>
              </w:rPr>
              <w:t xml:space="preserve">** Allow copies of works </w:t>
            </w:r>
            <w:proofErr w:type="gramStart"/>
            <w:r w:rsidRPr="00130C89">
              <w:rPr>
                <w:sz w:val="20"/>
                <w:szCs w:val="20"/>
              </w:rPr>
              <w:t>in order to</w:t>
            </w:r>
            <w:proofErr w:type="gramEnd"/>
            <w:r w:rsidRPr="00130C89">
              <w:rPr>
                <w:sz w:val="20"/>
                <w:szCs w:val="20"/>
              </w:rPr>
              <w:t xml:space="preserve"> facilitate means of exhibiting on premises or online.</w:t>
            </w:r>
          </w:p>
        </w:tc>
      </w:tr>
      <w:tr w:rsidR="00C019A0" w14:paraId="5F881E88" w14:textId="77777777" w:rsidTr="008069EB">
        <w:tc>
          <w:tcPr>
            <w:tcW w:w="2237" w:type="dxa"/>
            <w:vMerge/>
          </w:tcPr>
          <w:p w14:paraId="67774061" w14:textId="77777777" w:rsidR="00C019A0" w:rsidRPr="00130C89" w:rsidRDefault="00C019A0" w:rsidP="008069EB">
            <w:pPr>
              <w:rPr>
                <w:sz w:val="20"/>
                <w:szCs w:val="20"/>
              </w:rPr>
            </w:pPr>
          </w:p>
        </w:tc>
        <w:tc>
          <w:tcPr>
            <w:tcW w:w="2229" w:type="dxa"/>
          </w:tcPr>
          <w:p w14:paraId="64EDC9F7" w14:textId="77777777" w:rsidR="00C019A0" w:rsidRPr="00130C89" w:rsidRDefault="00C019A0" w:rsidP="008069EB">
            <w:pPr>
              <w:rPr>
                <w:b/>
                <w:bCs/>
                <w:i/>
                <w:iCs/>
                <w:sz w:val="20"/>
                <w:szCs w:val="20"/>
              </w:rPr>
            </w:pPr>
            <w:r w:rsidRPr="00130C89">
              <w:rPr>
                <w:b/>
                <w:bCs/>
                <w:i/>
                <w:iCs/>
                <w:sz w:val="20"/>
                <w:szCs w:val="20"/>
              </w:rPr>
              <w:t>Distribution</w:t>
            </w:r>
          </w:p>
        </w:tc>
        <w:tc>
          <w:tcPr>
            <w:tcW w:w="2548" w:type="dxa"/>
          </w:tcPr>
          <w:p w14:paraId="1169E4D2" w14:textId="77777777" w:rsidR="00C019A0" w:rsidRPr="00130C89" w:rsidRDefault="00C019A0" w:rsidP="008069EB">
            <w:pPr>
              <w:rPr>
                <w:sz w:val="20"/>
                <w:szCs w:val="20"/>
              </w:rPr>
            </w:pPr>
          </w:p>
        </w:tc>
        <w:tc>
          <w:tcPr>
            <w:tcW w:w="2341" w:type="dxa"/>
          </w:tcPr>
          <w:p w14:paraId="267C08D5" w14:textId="77777777" w:rsidR="00C019A0" w:rsidRPr="00130C89" w:rsidRDefault="00C019A0" w:rsidP="008069EB">
            <w:pPr>
              <w:rPr>
                <w:sz w:val="20"/>
                <w:szCs w:val="20"/>
              </w:rPr>
            </w:pPr>
            <w:r w:rsidRPr="00130C89">
              <w:rPr>
                <w:sz w:val="20"/>
                <w:szCs w:val="20"/>
              </w:rPr>
              <w:t>** Allow lending of works to other institutions for purposes of exhibitions.</w:t>
            </w:r>
          </w:p>
          <w:p w14:paraId="7F6BA439" w14:textId="77777777" w:rsidR="00C019A0" w:rsidRPr="00130C89" w:rsidRDefault="00C019A0" w:rsidP="008069EB">
            <w:pPr>
              <w:rPr>
                <w:sz w:val="20"/>
                <w:szCs w:val="20"/>
              </w:rPr>
            </w:pPr>
            <w:r w:rsidRPr="00130C89">
              <w:rPr>
                <w:sz w:val="20"/>
                <w:szCs w:val="20"/>
              </w:rPr>
              <w:t>** Clarify that digital transmissions are not a distribution infringement.</w:t>
            </w:r>
          </w:p>
        </w:tc>
      </w:tr>
      <w:tr w:rsidR="00C019A0" w14:paraId="76029D15" w14:textId="77777777" w:rsidTr="008069EB">
        <w:tc>
          <w:tcPr>
            <w:tcW w:w="2237" w:type="dxa"/>
            <w:vMerge/>
          </w:tcPr>
          <w:p w14:paraId="0408431E" w14:textId="77777777" w:rsidR="00C019A0" w:rsidRPr="00130C89" w:rsidRDefault="00C019A0" w:rsidP="008069EB">
            <w:pPr>
              <w:rPr>
                <w:sz w:val="20"/>
                <w:szCs w:val="20"/>
              </w:rPr>
            </w:pPr>
          </w:p>
        </w:tc>
        <w:tc>
          <w:tcPr>
            <w:tcW w:w="2229" w:type="dxa"/>
          </w:tcPr>
          <w:p w14:paraId="4C03851A" w14:textId="77777777" w:rsidR="00C019A0" w:rsidRPr="00130C89" w:rsidRDefault="00C019A0" w:rsidP="008069EB">
            <w:pPr>
              <w:rPr>
                <w:b/>
                <w:bCs/>
                <w:i/>
                <w:iCs/>
                <w:sz w:val="20"/>
                <w:szCs w:val="20"/>
              </w:rPr>
            </w:pPr>
            <w:r w:rsidRPr="00130C89">
              <w:rPr>
                <w:b/>
                <w:bCs/>
                <w:i/>
                <w:iCs/>
                <w:sz w:val="20"/>
                <w:szCs w:val="20"/>
              </w:rPr>
              <w:t>Derivatives</w:t>
            </w:r>
          </w:p>
        </w:tc>
        <w:tc>
          <w:tcPr>
            <w:tcW w:w="2548" w:type="dxa"/>
          </w:tcPr>
          <w:p w14:paraId="3E1620EB" w14:textId="77777777" w:rsidR="00C019A0" w:rsidRPr="00130C89" w:rsidRDefault="00C019A0" w:rsidP="008069EB">
            <w:pPr>
              <w:rPr>
                <w:sz w:val="20"/>
                <w:szCs w:val="20"/>
              </w:rPr>
            </w:pPr>
          </w:p>
        </w:tc>
        <w:tc>
          <w:tcPr>
            <w:tcW w:w="2341" w:type="dxa"/>
          </w:tcPr>
          <w:p w14:paraId="71F9B57A" w14:textId="77777777" w:rsidR="00C019A0" w:rsidRPr="00130C89" w:rsidRDefault="00C019A0" w:rsidP="008069EB">
            <w:pPr>
              <w:rPr>
                <w:sz w:val="20"/>
                <w:szCs w:val="20"/>
              </w:rPr>
            </w:pPr>
            <w:r w:rsidRPr="00130C89">
              <w:rPr>
                <w:sz w:val="20"/>
                <w:szCs w:val="20"/>
              </w:rPr>
              <w:t>** Works may be modified or altered to facilitate exhibition.</w:t>
            </w:r>
          </w:p>
          <w:p w14:paraId="13B40EEC" w14:textId="77777777" w:rsidR="00C019A0" w:rsidRPr="00130C89" w:rsidRDefault="00C019A0" w:rsidP="008069EB">
            <w:pPr>
              <w:rPr>
                <w:sz w:val="20"/>
                <w:szCs w:val="20"/>
              </w:rPr>
            </w:pPr>
            <w:r w:rsidRPr="00130C89">
              <w:rPr>
                <w:sz w:val="20"/>
                <w:szCs w:val="20"/>
              </w:rPr>
              <w:t>** Works may be included in programs, catalogs, and promotional materials consistent with copyright.</w:t>
            </w:r>
          </w:p>
          <w:p w14:paraId="7DAD221D" w14:textId="77777777" w:rsidR="00C019A0" w:rsidRPr="00130C89" w:rsidRDefault="00C019A0" w:rsidP="008069EB">
            <w:pPr>
              <w:rPr>
                <w:sz w:val="20"/>
                <w:szCs w:val="20"/>
              </w:rPr>
            </w:pPr>
            <w:r w:rsidRPr="00130C89">
              <w:rPr>
                <w:sz w:val="20"/>
                <w:szCs w:val="20"/>
              </w:rPr>
              <w:t>** Exhibition materials may be retained by the institution for archival purposes.</w:t>
            </w:r>
          </w:p>
        </w:tc>
      </w:tr>
      <w:tr w:rsidR="00C019A0" w14:paraId="67B0B0F4" w14:textId="77777777" w:rsidTr="008069EB">
        <w:tc>
          <w:tcPr>
            <w:tcW w:w="2237" w:type="dxa"/>
          </w:tcPr>
          <w:p w14:paraId="5D5113DB" w14:textId="77777777" w:rsidR="00C019A0" w:rsidRPr="00130C89" w:rsidRDefault="00C019A0" w:rsidP="008069EB">
            <w:pPr>
              <w:rPr>
                <w:sz w:val="20"/>
                <w:szCs w:val="20"/>
              </w:rPr>
            </w:pPr>
          </w:p>
        </w:tc>
        <w:tc>
          <w:tcPr>
            <w:tcW w:w="2229" w:type="dxa"/>
          </w:tcPr>
          <w:p w14:paraId="0A73A1B0" w14:textId="77777777" w:rsidR="00C019A0" w:rsidRPr="00130C89" w:rsidRDefault="00C019A0" w:rsidP="008069EB">
            <w:pPr>
              <w:rPr>
                <w:sz w:val="20"/>
                <w:szCs w:val="20"/>
              </w:rPr>
            </w:pPr>
          </w:p>
        </w:tc>
        <w:tc>
          <w:tcPr>
            <w:tcW w:w="2548" w:type="dxa"/>
          </w:tcPr>
          <w:p w14:paraId="110E8A59" w14:textId="77777777" w:rsidR="00C019A0" w:rsidRPr="00130C89" w:rsidRDefault="00C019A0" w:rsidP="008069EB">
            <w:pPr>
              <w:rPr>
                <w:sz w:val="20"/>
                <w:szCs w:val="20"/>
              </w:rPr>
            </w:pPr>
          </w:p>
        </w:tc>
        <w:tc>
          <w:tcPr>
            <w:tcW w:w="2341" w:type="dxa"/>
          </w:tcPr>
          <w:p w14:paraId="75DE2EA7" w14:textId="77777777" w:rsidR="00C019A0" w:rsidRPr="00130C89" w:rsidRDefault="00C019A0" w:rsidP="008069EB">
            <w:pPr>
              <w:rPr>
                <w:sz w:val="20"/>
                <w:szCs w:val="20"/>
              </w:rPr>
            </w:pPr>
          </w:p>
        </w:tc>
      </w:tr>
      <w:tr w:rsidR="00C019A0" w14:paraId="1E798FF1" w14:textId="77777777" w:rsidTr="008069EB">
        <w:tc>
          <w:tcPr>
            <w:tcW w:w="2237" w:type="dxa"/>
            <w:vMerge w:val="restart"/>
          </w:tcPr>
          <w:p w14:paraId="00817D40" w14:textId="77777777" w:rsidR="00C019A0" w:rsidRPr="00130C89" w:rsidRDefault="00C019A0" w:rsidP="008069EB">
            <w:pPr>
              <w:rPr>
                <w:b/>
                <w:bCs/>
                <w:sz w:val="20"/>
                <w:szCs w:val="20"/>
              </w:rPr>
            </w:pPr>
            <w:r w:rsidRPr="00130C89">
              <w:rPr>
                <w:b/>
                <w:bCs/>
                <w:sz w:val="20"/>
                <w:szCs w:val="20"/>
              </w:rPr>
              <w:t>Dedicated Terminals</w:t>
            </w:r>
          </w:p>
        </w:tc>
        <w:tc>
          <w:tcPr>
            <w:tcW w:w="2229" w:type="dxa"/>
          </w:tcPr>
          <w:p w14:paraId="02AEB65A" w14:textId="77777777" w:rsidR="00C019A0" w:rsidRPr="00130C89" w:rsidRDefault="00C019A0" w:rsidP="008069EB">
            <w:pPr>
              <w:rPr>
                <w:b/>
                <w:bCs/>
                <w:i/>
                <w:iCs/>
                <w:sz w:val="20"/>
                <w:szCs w:val="20"/>
              </w:rPr>
            </w:pPr>
            <w:r w:rsidRPr="00130C89">
              <w:rPr>
                <w:b/>
                <w:bCs/>
                <w:i/>
                <w:iCs/>
                <w:sz w:val="20"/>
                <w:szCs w:val="20"/>
              </w:rPr>
              <w:t>Reproduction</w:t>
            </w:r>
          </w:p>
        </w:tc>
        <w:tc>
          <w:tcPr>
            <w:tcW w:w="2548" w:type="dxa"/>
          </w:tcPr>
          <w:p w14:paraId="039653B9" w14:textId="77777777" w:rsidR="00C019A0" w:rsidRPr="00130C89" w:rsidRDefault="00C019A0" w:rsidP="008069EB">
            <w:pPr>
              <w:rPr>
                <w:sz w:val="20"/>
                <w:szCs w:val="20"/>
              </w:rPr>
            </w:pPr>
            <w:r w:rsidRPr="00130C89">
              <w:rPr>
                <w:sz w:val="20"/>
                <w:szCs w:val="20"/>
              </w:rPr>
              <w:t>** Allows copies of works for access on dedicated terminals.</w:t>
            </w:r>
          </w:p>
          <w:p w14:paraId="39168196" w14:textId="77777777" w:rsidR="00C019A0" w:rsidRPr="00130C89" w:rsidRDefault="00C019A0" w:rsidP="008069EB">
            <w:pPr>
              <w:rPr>
                <w:sz w:val="20"/>
                <w:szCs w:val="20"/>
              </w:rPr>
            </w:pPr>
            <w:r w:rsidRPr="00130C89">
              <w:rPr>
                <w:sz w:val="20"/>
                <w:szCs w:val="20"/>
              </w:rPr>
              <w:t>** Copies made at the request of users.</w:t>
            </w:r>
          </w:p>
          <w:p w14:paraId="2F762A7C" w14:textId="77777777" w:rsidR="00C019A0" w:rsidRPr="00130C89" w:rsidRDefault="00C019A0" w:rsidP="008069EB">
            <w:pPr>
              <w:rPr>
                <w:sz w:val="20"/>
                <w:szCs w:val="20"/>
              </w:rPr>
            </w:pPr>
            <w:r w:rsidRPr="00130C89">
              <w:rPr>
                <w:sz w:val="20"/>
                <w:szCs w:val="20"/>
              </w:rPr>
              <w:t xml:space="preserve">** Copies </w:t>
            </w:r>
            <w:proofErr w:type="gramStart"/>
            <w:r w:rsidRPr="00130C89">
              <w:rPr>
                <w:sz w:val="20"/>
                <w:szCs w:val="20"/>
              </w:rPr>
              <w:t>limited</w:t>
            </w:r>
            <w:proofErr w:type="gramEnd"/>
            <w:r w:rsidRPr="00130C89">
              <w:rPr>
                <w:sz w:val="20"/>
                <w:szCs w:val="20"/>
              </w:rPr>
              <w:t xml:space="preserve"> to certain types of works.</w:t>
            </w:r>
          </w:p>
        </w:tc>
        <w:tc>
          <w:tcPr>
            <w:tcW w:w="2341" w:type="dxa"/>
          </w:tcPr>
          <w:p w14:paraId="6348B35B" w14:textId="77777777" w:rsidR="00C019A0" w:rsidRPr="00130C89" w:rsidRDefault="00C019A0" w:rsidP="008069EB">
            <w:pPr>
              <w:rPr>
                <w:sz w:val="20"/>
                <w:szCs w:val="20"/>
              </w:rPr>
            </w:pPr>
            <w:r w:rsidRPr="00130C89">
              <w:rPr>
                <w:sz w:val="20"/>
                <w:szCs w:val="20"/>
              </w:rPr>
              <w:t xml:space="preserve">** Expand scope of </w:t>
            </w:r>
            <w:proofErr w:type="gramStart"/>
            <w:r w:rsidRPr="00130C89">
              <w:rPr>
                <w:sz w:val="20"/>
                <w:szCs w:val="20"/>
              </w:rPr>
              <w:t>works</w:t>
            </w:r>
            <w:proofErr w:type="gramEnd"/>
            <w:r w:rsidRPr="00130C89">
              <w:rPr>
                <w:sz w:val="20"/>
                <w:szCs w:val="20"/>
              </w:rPr>
              <w:t>.</w:t>
            </w:r>
          </w:p>
          <w:p w14:paraId="7715A1DE" w14:textId="77777777" w:rsidR="00C019A0" w:rsidRPr="00130C89" w:rsidRDefault="00C019A0" w:rsidP="008069EB">
            <w:pPr>
              <w:rPr>
                <w:sz w:val="20"/>
                <w:szCs w:val="20"/>
              </w:rPr>
            </w:pPr>
            <w:r w:rsidRPr="00130C89">
              <w:rPr>
                <w:sz w:val="20"/>
                <w:szCs w:val="20"/>
              </w:rPr>
              <w:t>** Clarify that works may remain accessible indefinitely.</w:t>
            </w:r>
          </w:p>
          <w:p w14:paraId="13EFAC80" w14:textId="77777777" w:rsidR="00C019A0" w:rsidRPr="00130C89" w:rsidRDefault="00C019A0" w:rsidP="008069EB">
            <w:pPr>
              <w:rPr>
                <w:sz w:val="20"/>
                <w:szCs w:val="20"/>
              </w:rPr>
            </w:pPr>
            <w:r w:rsidRPr="00130C89">
              <w:rPr>
                <w:sz w:val="20"/>
                <w:szCs w:val="20"/>
              </w:rPr>
              <w:t>** Accessibility is not limited to the user making the request.</w:t>
            </w:r>
          </w:p>
          <w:p w14:paraId="6CB95EDF" w14:textId="77777777" w:rsidR="00C019A0" w:rsidRPr="00130C89" w:rsidRDefault="00C019A0" w:rsidP="008069EB">
            <w:pPr>
              <w:rPr>
                <w:sz w:val="20"/>
                <w:szCs w:val="20"/>
              </w:rPr>
            </w:pPr>
            <w:r w:rsidRPr="00130C89">
              <w:rPr>
                <w:sz w:val="20"/>
                <w:szCs w:val="20"/>
              </w:rPr>
              <w:t>** Retain copies for future needs.</w:t>
            </w:r>
          </w:p>
        </w:tc>
      </w:tr>
      <w:tr w:rsidR="00C019A0" w14:paraId="43650640" w14:textId="77777777" w:rsidTr="008069EB">
        <w:tc>
          <w:tcPr>
            <w:tcW w:w="2237" w:type="dxa"/>
            <w:vMerge/>
          </w:tcPr>
          <w:p w14:paraId="3893DF00" w14:textId="77777777" w:rsidR="00C019A0" w:rsidRPr="00130C89" w:rsidRDefault="00C019A0" w:rsidP="008069EB">
            <w:pPr>
              <w:rPr>
                <w:sz w:val="20"/>
                <w:szCs w:val="20"/>
              </w:rPr>
            </w:pPr>
          </w:p>
        </w:tc>
        <w:tc>
          <w:tcPr>
            <w:tcW w:w="2229" w:type="dxa"/>
          </w:tcPr>
          <w:p w14:paraId="1BDEE3A9" w14:textId="77777777" w:rsidR="00C019A0" w:rsidRPr="00130C89" w:rsidRDefault="00C019A0" w:rsidP="008069EB">
            <w:pPr>
              <w:rPr>
                <w:b/>
                <w:bCs/>
                <w:i/>
                <w:iCs/>
                <w:sz w:val="20"/>
                <w:szCs w:val="20"/>
              </w:rPr>
            </w:pPr>
            <w:r w:rsidRPr="00130C89">
              <w:rPr>
                <w:b/>
                <w:bCs/>
                <w:i/>
                <w:iCs/>
                <w:sz w:val="20"/>
                <w:szCs w:val="20"/>
              </w:rPr>
              <w:t>Public Display and Performance</w:t>
            </w:r>
          </w:p>
        </w:tc>
        <w:tc>
          <w:tcPr>
            <w:tcW w:w="2548" w:type="dxa"/>
          </w:tcPr>
          <w:p w14:paraId="50D08A02" w14:textId="77777777" w:rsidR="00C019A0" w:rsidRPr="00130C89" w:rsidRDefault="00C019A0" w:rsidP="008069EB">
            <w:pPr>
              <w:rPr>
                <w:sz w:val="20"/>
                <w:szCs w:val="20"/>
              </w:rPr>
            </w:pPr>
            <w:r w:rsidRPr="00130C89">
              <w:rPr>
                <w:sz w:val="20"/>
                <w:szCs w:val="20"/>
              </w:rPr>
              <w:t>** Copies may be accessed at terminals on the premises of the institution.</w:t>
            </w:r>
          </w:p>
        </w:tc>
        <w:tc>
          <w:tcPr>
            <w:tcW w:w="2341" w:type="dxa"/>
          </w:tcPr>
          <w:p w14:paraId="6B4B50BB" w14:textId="77777777" w:rsidR="00C019A0" w:rsidRPr="00130C89" w:rsidRDefault="00C019A0" w:rsidP="008069EB">
            <w:pPr>
              <w:rPr>
                <w:sz w:val="20"/>
                <w:szCs w:val="20"/>
              </w:rPr>
            </w:pPr>
            <w:r w:rsidRPr="00130C89">
              <w:rPr>
                <w:sz w:val="20"/>
                <w:szCs w:val="20"/>
              </w:rPr>
              <w:t>** Accessibility may be expanded to other locations</w:t>
            </w:r>
            <w:r>
              <w:rPr>
                <w:sz w:val="20"/>
                <w:szCs w:val="20"/>
              </w:rPr>
              <w:t>,</w:t>
            </w:r>
            <w:r w:rsidRPr="00130C89">
              <w:rPr>
                <w:sz w:val="20"/>
                <w:szCs w:val="20"/>
              </w:rPr>
              <w:t xml:space="preserve"> on other equipment.</w:t>
            </w:r>
          </w:p>
        </w:tc>
      </w:tr>
      <w:tr w:rsidR="00C019A0" w14:paraId="11AC37AF" w14:textId="77777777" w:rsidTr="008069EB">
        <w:tc>
          <w:tcPr>
            <w:tcW w:w="2237" w:type="dxa"/>
            <w:vMerge/>
          </w:tcPr>
          <w:p w14:paraId="15ADA9E2" w14:textId="77777777" w:rsidR="00C019A0" w:rsidRPr="00130C89" w:rsidRDefault="00C019A0" w:rsidP="008069EB">
            <w:pPr>
              <w:rPr>
                <w:sz w:val="20"/>
                <w:szCs w:val="20"/>
              </w:rPr>
            </w:pPr>
          </w:p>
        </w:tc>
        <w:tc>
          <w:tcPr>
            <w:tcW w:w="2229" w:type="dxa"/>
          </w:tcPr>
          <w:p w14:paraId="425AF468" w14:textId="77777777" w:rsidR="00C019A0" w:rsidRPr="00130C89" w:rsidRDefault="00C019A0" w:rsidP="008069EB">
            <w:pPr>
              <w:rPr>
                <w:b/>
                <w:bCs/>
                <w:i/>
                <w:iCs/>
                <w:sz w:val="20"/>
                <w:szCs w:val="20"/>
              </w:rPr>
            </w:pPr>
            <w:r w:rsidRPr="00130C89">
              <w:rPr>
                <w:b/>
                <w:bCs/>
                <w:i/>
                <w:iCs/>
                <w:sz w:val="20"/>
                <w:szCs w:val="20"/>
              </w:rPr>
              <w:t>Derivatives</w:t>
            </w:r>
          </w:p>
        </w:tc>
        <w:tc>
          <w:tcPr>
            <w:tcW w:w="2548" w:type="dxa"/>
          </w:tcPr>
          <w:p w14:paraId="365F0130" w14:textId="77777777" w:rsidR="00C019A0" w:rsidRPr="00130C89" w:rsidRDefault="00C019A0" w:rsidP="008069EB">
            <w:pPr>
              <w:rPr>
                <w:sz w:val="20"/>
                <w:szCs w:val="20"/>
              </w:rPr>
            </w:pPr>
            <w:r w:rsidRPr="00130C89">
              <w:rPr>
                <w:sz w:val="20"/>
                <w:szCs w:val="20"/>
              </w:rPr>
              <w:t>** Institution must adhere to limits in applicable and binding license agreements.</w:t>
            </w:r>
          </w:p>
          <w:p w14:paraId="75BD6C3F" w14:textId="77777777" w:rsidR="00C019A0" w:rsidRPr="00130C89" w:rsidRDefault="00C019A0" w:rsidP="008069EB">
            <w:pPr>
              <w:rPr>
                <w:sz w:val="20"/>
                <w:szCs w:val="20"/>
              </w:rPr>
            </w:pPr>
            <w:r w:rsidRPr="00130C89">
              <w:rPr>
                <w:sz w:val="20"/>
                <w:szCs w:val="20"/>
              </w:rPr>
              <w:t>** Institution must prevent copying by users.</w:t>
            </w:r>
          </w:p>
        </w:tc>
        <w:tc>
          <w:tcPr>
            <w:tcW w:w="2341" w:type="dxa"/>
          </w:tcPr>
          <w:p w14:paraId="7EEE969B" w14:textId="77777777" w:rsidR="00C019A0" w:rsidRPr="00130C89" w:rsidRDefault="00C019A0" w:rsidP="008069EB">
            <w:pPr>
              <w:rPr>
                <w:sz w:val="20"/>
                <w:szCs w:val="20"/>
              </w:rPr>
            </w:pPr>
            <w:r w:rsidRPr="00130C89">
              <w:rPr>
                <w:sz w:val="20"/>
                <w:szCs w:val="20"/>
              </w:rPr>
              <w:t>** Limit or remove the ability of contracts to override the exception.</w:t>
            </w:r>
          </w:p>
          <w:p w14:paraId="2214C3E7" w14:textId="77777777" w:rsidR="00C019A0" w:rsidRPr="00130C89" w:rsidRDefault="00C019A0" w:rsidP="008069EB">
            <w:pPr>
              <w:rPr>
                <w:sz w:val="20"/>
                <w:szCs w:val="20"/>
              </w:rPr>
            </w:pPr>
            <w:r w:rsidRPr="00130C89">
              <w:rPr>
                <w:sz w:val="20"/>
                <w:szCs w:val="20"/>
              </w:rPr>
              <w:t>** Clarify per EU ruling regarding responsibilities for copying and actions of users.</w:t>
            </w:r>
          </w:p>
        </w:tc>
      </w:tr>
      <w:tr w:rsidR="00C019A0" w14:paraId="728AD76B" w14:textId="77777777" w:rsidTr="008069EB">
        <w:tc>
          <w:tcPr>
            <w:tcW w:w="2237" w:type="dxa"/>
          </w:tcPr>
          <w:p w14:paraId="16E0E1FC" w14:textId="77777777" w:rsidR="00C019A0" w:rsidRPr="00130C89" w:rsidRDefault="00C019A0" w:rsidP="008069EB">
            <w:pPr>
              <w:rPr>
                <w:sz w:val="20"/>
                <w:szCs w:val="20"/>
              </w:rPr>
            </w:pPr>
          </w:p>
        </w:tc>
        <w:tc>
          <w:tcPr>
            <w:tcW w:w="2229" w:type="dxa"/>
          </w:tcPr>
          <w:p w14:paraId="4C4A36DF" w14:textId="77777777" w:rsidR="00C019A0" w:rsidRPr="00130C89" w:rsidRDefault="00C019A0" w:rsidP="008069EB">
            <w:pPr>
              <w:rPr>
                <w:sz w:val="20"/>
                <w:szCs w:val="20"/>
              </w:rPr>
            </w:pPr>
          </w:p>
        </w:tc>
        <w:tc>
          <w:tcPr>
            <w:tcW w:w="2548" w:type="dxa"/>
          </w:tcPr>
          <w:p w14:paraId="5627D6F0" w14:textId="77777777" w:rsidR="00C019A0" w:rsidRPr="00130C89" w:rsidRDefault="00C019A0" w:rsidP="008069EB">
            <w:pPr>
              <w:rPr>
                <w:sz w:val="20"/>
                <w:szCs w:val="20"/>
              </w:rPr>
            </w:pPr>
          </w:p>
        </w:tc>
        <w:tc>
          <w:tcPr>
            <w:tcW w:w="2341" w:type="dxa"/>
          </w:tcPr>
          <w:p w14:paraId="516D8B6E" w14:textId="77777777" w:rsidR="00C019A0" w:rsidRPr="00130C89" w:rsidRDefault="00C019A0" w:rsidP="008069EB">
            <w:pPr>
              <w:rPr>
                <w:sz w:val="20"/>
                <w:szCs w:val="20"/>
              </w:rPr>
            </w:pPr>
          </w:p>
        </w:tc>
      </w:tr>
    </w:tbl>
    <w:p w14:paraId="5377299E" w14:textId="77777777" w:rsidR="00C019A0" w:rsidRDefault="00C019A0" w:rsidP="00C019A0">
      <w:r>
        <w:br/>
      </w:r>
    </w:p>
    <w:p w14:paraId="7D4EC3AD" w14:textId="77777777" w:rsidR="002262EC" w:rsidRDefault="002262EC" w:rsidP="00C019A0"/>
    <w:p w14:paraId="72E44D3E" w14:textId="77777777" w:rsidR="002262EC" w:rsidRDefault="002262EC" w:rsidP="00C019A0"/>
    <w:p w14:paraId="67D3AE94" w14:textId="77777777" w:rsidR="002262EC" w:rsidRDefault="002262EC" w:rsidP="00C019A0"/>
    <w:p w14:paraId="6EF49397" w14:textId="77777777" w:rsidR="002262EC" w:rsidRDefault="002262EC" w:rsidP="00C019A0"/>
    <w:p w14:paraId="348B8773" w14:textId="77777777" w:rsidR="002262EC" w:rsidRDefault="002262EC" w:rsidP="00C019A0"/>
    <w:p w14:paraId="200A634B" w14:textId="77777777" w:rsidR="002262EC" w:rsidRDefault="002262EC" w:rsidP="00C019A0"/>
    <w:p w14:paraId="248DA16C" w14:textId="77777777" w:rsidR="002262EC" w:rsidRDefault="002262EC" w:rsidP="00C019A0"/>
    <w:tbl>
      <w:tblPr>
        <w:tblStyle w:val="TableGrid"/>
        <w:tblW w:w="9985" w:type="dxa"/>
        <w:tblLook w:val="04A0" w:firstRow="1" w:lastRow="0" w:firstColumn="1" w:lastColumn="0" w:noHBand="0" w:noVBand="1"/>
      </w:tblPr>
      <w:tblGrid>
        <w:gridCol w:w="2245"/>
        <w:gridCol w:w="1980"/>
        <w:gridCol w:w="3150"/>
        <w:gridCol w:w="2610"/>
      </w:tblGrid>
      <w:tr w:rsidR="00C019A0" w:rsidRPr="00D60ABD" w14:paraId="35F28823" w14:textId="77777777" w:rsidTr="008069EB">
        <w:tc>
          <w:tcPr>
            <w:tcW w:w="9985" w:type="dxa"/>
            <w:gridSpan w:val="4"/>
          </w:tcPr>
          <w:p w14:paraId="1D847515" w14:textId="77777777" w:rsidR="00C019A0" w:rsidRPr="00D60ABD" w:rsidRDefault="00C019A0" w:rsidP="008069EB">
            <w:pPr>
              <w:rPr>
                <w:b/>
                <w:i/>
                <w:iCs/>
                <w:sz w:val="28"/>
                <w:szCs w:val="28"/>
              </w:rPr>
            </w:pPr>
            <w:r w:rsidRPr="00D60ABD">
              <w:rPr>
                <w:b/>
                <w:i/>
                <w:iCs/>
                <w:sz w:val="28"/>
                <w:szCs w:val="28"/>
              </w:rPr>
              <w:t>Chart 2</w:t>
            </w:r>
          </w:p>
          <w:p w14:paraId="7D8C6291" w14:textId="77777777" w:rsidR="00C019A0" w:rsidRPr="00D60ABD" w:rsidRDefault="00C019A0" w:rsidP="008069EB">
            <w:pPr>
              <w:rPr>
                <w:b/>
                <w:sz w:val="28"/>
                <w:szCs w:val="28"/>
              </w:rPr>
            </w:pPr>
          </w:p>
          <w:p w14:paraId="0DAE60DF" w14:textId="77777777" w:rsidR="00C019A0" w:rsidRPr="00D60ABD" w:rsidRDefault="00C019A0" w:rsidP="008069EB">
            <w:pPr>
              <w:rPr>
                <w:b/>
                <w:sz w:val="28"/>
                <w:szCs w:val="28"/>
              </w:rPr>
            </w:pPr>
            <w:r w:rsidRPr="00D60ABD">
              <w:rPr>
                <w:b/>
                <w:sz w:val="28"/>
                <w:szCs w:val="28"/>
              </w:rPr>
              <w:t>TOPIC:</w:t>
            </w:r>
          </w:p>
          <w:p w14:paraId="75C6F8CA" w14:textId="77777777" w:rsidR="00C019A0" w:rsidRPr="00D60ABD" w:rsidRDefault="00C019A0" w:rsidP="008069EB">
            <w:pPr>
              <w:rPr>
                <w:b/>
                <w:sz w:val="28"/>
                <w:szCs w:val="28"/>
              </w:rPr>
            </w:pPr>
            <w:r w:rsidRPr="00D60ABD">
              <w:rPr>
                <w:b/>
                <w:sz w:val="28"/>
                <w:szCs w:val="28"/>
              </w:rPr>
              <w:t>Accessing Digitized Works that are Made Available on Dedicated Terminals</w:t>
            </w:r>
          </w:p>
          <w:p w14:paraId="6D435CE9" w14:textId="77777777" w:rsidR="00C019A0" w:rsidRPr="00D60ABD" w:rsidRDefault="00C019A0" w:rsidP="008069EB">
            <w:pPr>
              <w:rPr>
                <w:b/>
                <w:sz w:val="20"/>
                <w:szCs w:val="20"/>
              </w:rPr>
            </w:pPr>
          </w:p>
          <w:p w14:paraId="4C50367A" w14:textId="77777777" w:rsidR="00C019A0" w:rsidRPr="00386871" w:rsidRDefault="00C019A0" w:rsidP="008069EB">
            <w:pPr>
              <w:rPr>
                <w:b/>
                <w:i/>
                <w:iCs/>
              </w:rPr>
            </w:pPr>
            <w:r w:rsidRPr="00386871">
              <w:rPr>
                <w:b/>
                <w:i/>
                <w:iCs/>
              </w:rPr>
              <w:t xml:space="preserve">Proposed Access Solution: </w:t>
            </w:r>
          </w:p>
          <w:p w14:paraId="3C46CC73" w14:textId="77777777" w:rsidR="00C019A0" w:rsidRDefault="00C019A0" w:rsidP="008069EB">
            <w:pPr>
              <w:rPr>
                <w:b/>
              </w:rPr>
            </w:pPr>
            <w:r w:rsidRPr="00386871">
              <w:rPr>
                <w:b/>
              </w:rPr>
              <w:t>Statutory copyright exception authorizing cultural heritage institutions to use copyrighted works in digital formats for the primary purpose of making the works available for viewing and other uses on terminals at the institution.</w:t>
            </w:r>
            <w:r>
              <w:rPr>
                <w:b/>
              </w:rPr>
              <w:t xml:space="preserve"> This chart can guide lawmakers in Member States as they draft new or revised statutory exceptions, which have practical application and address interests reflected in the three-step test. Such a statute that allows access </w:t>
            </w:r>
            <w:proofErr w:type="gramStart"/>
            <w:r>
              <w:rPr>
                <w:b/>
              </w:rPr>
              <w:t>on</w:t>
            </w:r>
            <w:proofErr w:type="gramEnd"/>
            <w:r>
              <w:rPr>
                <w:b/>
              </w:rPr>
              <w:t xml:space="preserve"> dedicated terminals may also be consistent with the European Union Information Society Directive of 2001, where this concept was advanced.</w:t>
            </w:r>
          </w:p>
          <w:p w14:paraId="031E215C" w14:textId="77777777" w:rsidR="00C019A0" w:rsidRPr="00D60ABD" w:rsidRDefault="00C019A0" w:rsidP="008069EB">
            <w:pPr>
              <w:rPr>
                <w:b/>
                <w:sz w:val="20"/>
                <w:szCs w:val="20"/>
              </w:rPr>
            </w:pPr>
          </w:p>
        </w:tc>
      </w:tr>
      <w:tr w:rsidR="00C019A0" w:rsidRPr="00D60ABD" w14:paraId="3BF7DF4C" w14:textId="77777777" w:rsidTr="008069EB">
        <w:tc>
          <w:tcPr>
            <w:tcW w:w="2245" w:type="dxa"/>
          </w:tcPr>
          <w:p w14:paraId="345D65A8" w14:textId="77777777" w:rsidR="00C019A0" w:rsidRPr="00D60ABD" w:rsidRDefault="00C019A0" w:rsidP="008069EB">
            <w:pPr>
              <w:rPr>
                <w:b/>
                <w:sz w:val="20"/>
                <w:szCs w:val="20"/>
              </w:rPr>
            </w:pPr>
            <w:r w:rsidRPr="00D60ABD">
              <w:rPr>
                <w:b/>
                <w:sz w:val="20"/>
                <w:szCs w:val="20"/>
              </w:rPr>
              <w:t>St</w:t>
            </w:r>
            <w:r>
              <w:rPr>
                <w:b/>
                <w:sz w:val="20"/>
                <w:szCs w:val="20"/>
              </w:rPr>
              <w:t>age</w:t>
            </w:r>
            <w:r w:rsidRPr="00D60ABD">
              <w:rPr>
                <w:b/>
                <w:sz w:val="20"/>
                <w:szCs w:val="20"/>
              </w:rPr>
              <w:t xml:space="preserve"> ONE:</w:t>
            </w:r>
          </w:p>
          <w:p w14:paraId="7E11BEAF" w14:textId="77777777" w:rsidR="00C019A0" w:rsidRPr="00D60ABD" w:rsidRDefault="00C019A0" w:rsidP="008069EB">
            <w:pPr>
              <w:rPr>
                <w:b/>
                <w:sz w:val="20"/>
                <w:szCs w:val="20"/>
              </w:rPr>
            </w:pPr>
            <w:r w:rsidRPr="00D60ABD">
              <w:rPr>
                <w:b/>
                <w:sz w:val="20"/>
                <w:szCs w:val="20"/>
              </w:rPr>
              <w:t>Specify Intended Activities that Can Expand Access.</w:t>
            </w:r>
          </w:p>
          <w:p w14:paraId="09CD4BEB" w14:textId="77777777" w:rsidR="00C019A0" w:rsidRPr="00D60ABD" w:rsidRDefault="00C019A0" w:rsidP="008069EB">
            <w:pPr>
              <w:rPr>
                <w:sz w:val="20"/>
                <w:szCs w:val="20"/>
              </w:rPr>
            </w:pPr>
          </w:p>
        </w:tc>
        <w:tc>
          <w:tcPr>
            <w:tcW w:w="1980" w:type="dxa"/>
          </w:tcPr>
          <w:p w14:paraId="23E63217" w14:textId="77777777" w:rsidR="00C019A0" w:rsidRPr="00D60ABD" w:rsidRDefault="00C019A0" w:rsidP="008069EB">
            <w:pPr>
              <w:rPr>
                <w:b/>
                <w:sz w:val="20"/>
                <w:szCs w:val="20"/>
              </w:rPr>
            </w:pPr>
            <w:r w:rsidRPr="00D60ABD">
              <w:rPr>
                <w:b/>
                <w:sz w:val="20"/>
                <w:szCs w:val="20"/>
              </w:rPr>
              <w:t>St</w:t>
            </w:r>
            <w:r>
              <w:rPr>
                <w:b/>
                <w:sz w:val="20"/>
                <w:szCs w:val="20"/>
              </w:rPr>
              <w:t>age</w:t>
            </w:r>
            <w:r w:rsidRPr="00D60ABD">
              <w:rPr>
                <w:b/>
                <w:sz w:val="20"/>
                <w:szCs w:val="20"/>
              </w:rPr>
              <w:t xml:space="preserve"> TWO:</w:t>
            </w:r>
          </w:p>
          <w:p w14:paraId="511C6D47" w14:textId="77777777" w:rsidR="00C019A0" w:rsidRPr="00D60ABD" w:rsidRDefault="00C019A0" w:rsidP="008069EB">
            <w:pPr>
              <w:rPr>
                <w:b/>
                <w:sz w:val="20"/>
                <w:szCs w:val="20"/>
              </w:rPr>
            </w:pPr>
            <w:r w:rsidRPr="00D60ABD">
              <w:rPr>
                <w:b/>
                <w:sz w:val="20"/>
                <w:szCs w:val="20"/>
              </w:rPr>
              <w:t>Identify Ownership Rights that Could be Affected.</w:t>
            </w:r>
          </w:p>
        </w:tc>
        <w:tc>
          <w:tcPr>
            <w:tcW w:w="3150" w:type="dxa"/>
          </w:tcPr>
          <w:p w14:paraId="4A991D3A" w14:textId="77777777" w:rsidR="00C019A0" w:rsidRPr="00D60ABD" w:rsidRDefault="00C019A0" w:rsidP="008069EB">
            <w:pPr>
              <w:rPr>
                <w:b/>
                <w:sz w:val="20"/>
                <w:szCs w:val="20"/>
              </w:rPr>
            </w:pPr>
            <w:r w:rsidRPr="00D60ABD">
              <w:rPr>
                <w:b/>
                <w:sz w:val="20"/>
                <w:szCs w:val="20"/>
              </w:rPr>
              <w:t>St</w:t>
            </w:r>
            <w:r>
              <w:rPr>
                <w:b/>
                <w:sz w:val="20"/>
                <w:szCs w:val="20"/>
              </w:rPr>
              <w:t>age</w:t>
            </w:r>
            <w:r w:rsidRPr="00D60ABD">
              <w:rPr>
                <w:b/>
                <w:sz w:val="20"/>
                <w:szCs w:val="20"/>
              </w:rPr>
              <w:t xml:space="preserve"> THREE:</w:t>
            </w:r>
          </w:p>
          <w:p w14:paraId="6F030B24" w14:textId="77777777" w:rsidR="00C019A0" w:rsidRPr="00D60ABD" w:rsidRDefault="00C019A0" w:rsidP="008069EB">
            <w:pPr>
              <w:rPr>
                <w:b/>
                <w:sz w:val="20"/>
                <w:szCs w:val="20"/>
              </w:rPr>
            </w:pPr>
            <w:r w:rsidRPr="00D60ABD">
              <w:rPr>
                <w:b/>
                <w:sz w:val="20"/>
                <w:szCs w:val="20"/>
              </w:rPr>
              <w:t>Elements of Relevant Statutory Exceptions or Policy Measures.</w:t>
            </w:r>
          </w:p>
        </w:tc>
        <w:tc>
          <w:tcPr>
            <w:tcW w:w="2610" w:type="dxa"/>
          </w:tcPr>
          <w:p w14:paraId="62CF5272" w14:textId="77777777" w:rsidR="00C019A0" w:rsidRPr="00D60ABD" w:rsidRDefault="00C019A0" w:rsidP="008069EB">
            <w:pPr>
              <w:rPr>
                <w:b/>
                <w:sz w:val="20"/>
                <w:szCs w:val="20"/>
              </w:rPr>
            </w:pPr>
          </w:p>
          <w:p w14:paraId="469ACEAF" w14:textId="77777777" w:rsidR="00C019A0" w:rsidRPr="00D60ABD" w:rsidRDefault="00C019A0" w:rsidP="008069EB">
            <w:pPr>
              <w:rPr>
                <w:b/>
                <w:sz w:val="20"/>
                <w:szCs w:val="20"/>
              </w:rPr>
            </w:pPr>
            <w:r w:rsidRPr="00D60ABD">
              <w:rPr>
                <w:b/>
                <w:sz w:val="20"/>
                <w:szCs w:val="20"/>
              </w:rPr>
              <w:t>Example Clauses and Terms for Including in the Relevant Statute.</w:t>
            </w:r>
          </w:p>
        </w:tc>
      </w:tr>
      <w:tr w:rsidR="00C019A0" w:rsidRPr="00D60ABD" w14:paraId="5E163F2A" w14:textId="77777777" w:rsidTr="008069EB">
        <w:tc>
          <w:tcPr>
            <w:tcW w:w="2245" w:type="dxa"/>
          </w:tcPr>
          <w:p w14:paraId="2F3E4AA4" w14:textId="77777777" w:rsidR="00C019A0" w:rsidRPr="00D60ABD" w:rsidRDefault="00C019A0" w:rsidP="008069EB">
            <w:pPr>
              <w:rPr>
                <w:iCs/>
                <w:sz w:val="20"/>
                <w:szCs w:val="20"/>
              </w:rPr>
            </w:pPr>
          </w:p>
          <w:p w14:paraId="03C23BDD" w14:textId="77777777" w:rsidR="00C019A0" w:rsidRPr="00D60ABD" w:rsidRDefault="00C019A0" w:rsidP="00C019A0">
            <w:pPr>
              <w:pStyle w:val="ListParagraph"/>
              <w:numPr>
                <w:ilvl w:val="0"/>
                <w:numId w:val="11"/>
              </w:numPr>
              <w:spacing w:after="0" w:line="240" w:lineRule="auto"/>
              <w:ind w:left="240" w:hanging="240"/>
              <w:rPr>
                <w:rFonts w:ascii="Arial" w:hAnsi="Arial" w:cs="Arial"/>
                <w:sz w:val="20"/>
                <w:szCs w:val="20"/>
              </w:rPr>
            </w:pPr>
            <w:r w:rsidRPr="00D60ABD">
              <w:rPr>
                <w:rFonts w:ascii="Arial" w:hAnsi="Arial" w:cs="Arial"/>
                <w:sz w:val="20"/>
                <w:szCs w:val="20"/>
              </w:rPr>
              <w:t>Making digital copies of works.</w:t>
            </w:r>
          </w:p>
          <w:p w14:paraId="4D7F4F4C" w14:textId="77777777" w:rsidR="00C019A0" w:rsidRPr="00D60ABD" w:rsidRDefault="00C019A0" w:rsidP="00C019A0">
            <w:pPr>
              <w:pStyle w:val="ListParagraph"/>
              <w:numPr>
                <w:ilvl w:val="0"/>
                <w:numId w:val="11"/>
              </w:numPr>
              <w:spacing w:after="0" w:line="240" w:lineRule="auto"/>
              <w:ind w:left="240" w:hanging="240"/>
              <w:rPr>
                <w:rFonts w:ascii="Arial" w:hAnsi="Arial" w:cs="Arial"/>
                <w:sz w:val="20"/>
                <w:szCs w:val="20"/>
              </w:rPr>
            </w:pPr>
            <w:r w:rsidRPr="00D60ABD">
              <w:rPr>
                <w:rFonts w:ascii="Arial" w:hAnsi="Arial" w:cs="Arial"/>
                <w:sz w:val="20"/>
                <w:szCs w:val="20"/>
              </w:rPr>
              <w:t>Storing copies on secured systems.</w:t>
            </w:r>
          </w:p>
          <w:p w14:paraId="2811F16D" w14:textId="77777777" w:rsidR="00C019A0" w:rsidRPr="00D60ABD" w:rsidRDefault="00C019A0" w:rsidP="00C019A0">
            <w:pPr>
              <w:pStyle w:val="ListParagraph"/>
              <w:numPr>
                <w:ilvl w:val="0"/>
                <w:numId w:val="11"/>
              </w:numPr>
              <w:spacing w:after="0" w:line="240" w:lineRule="auto"/>
              <w:ind w:left="240" w:hanging="240"/>
              <w:rPr>
                <w:rFonts w:ascii="Arial" w:hAnsi="Arial" w:cs="Arial"/>
                <w:sz w:val="20"/>
                <w:szCs w:val="20"/>
              </w:rPr>
            </w:pPr>
            <w:r w:rsidRPr="00D60ABD">
              <w:rPr>
                <w:rFonts w:ascii="Arial" w:hAnsi="Arial" w:cs="Arial"/>
                <w:sz w:val="20"/>
                <w:szCs w:val="20"/>
              </w:rPr>
              <w:t>Allowing access to digital copies via terminals on the institution’s premises.</w:t>
            </w:r>
          </w:p>
          <w:p w14:paraId="53679BC4" w14:textId="77777777" w:rsidR="00C019A0" w:rsidRPr="00D60ABD" w:rsidRDefault="00C019A0" w:rsidP="00C019A0">
            <w:pPr>
              <w:pStyle w:val="ListParagraph"/>
              <w:numPr>
                <w:ilvl w:val="0"/>
                <w:numId w:val="11"/>
              </w:numPr>
              <w:spacing w:after="0" w:line="240" w:lineRule="auto"/>
              <w:ind w:left="240" w:hanging="240"/>
              <w:rPr>
                <w:rFonts w:ascii="Arial" w:hAnsi="Arial" w:cs="Arial"/>
                <w:sz w:val="20"/>
                <w:szCs w:val="20"/>
              </w:rPr>
            </w:pPr>
            <w:r w:rsidRPr="00D60ABD">
              <w:rPr>
                <w:rFonts w:ascii="Arial" w:hAnsi="Arial" w:cs="Arial"/>
                <w:sz w:val="20"/>
                <w:szCs w:val="20"/>
              </w:rPr>
              <w:t>Allowing access at other locations under defined conditions.</w:t>
            </w:r>
          </w:p>
          <w:p w14:paraId="48CF9EBF" w14:textId="77777777" w:rsidR="00C019A0" w:rsidRPr="00D60ABD" w:rsidRDefault="00C019A0" w:rsidP="00C019A0">
            <w:pPr>
              <w:pStyle w:val="ListParagraph"/>
              <w:numPr>
                <w:ilvl w:val="0"/>
                <w:numId w:val="11"/>
              </w:numPr>
              <w:spacing w:after="0" w:line="240" w:lineRule="auto"/>
              <w:ind w:left="240" w:hanging="240"/>
              <w:rPr>
                <w:rFonts w:ascii="Arial" w:hAnsi="Arial" w:cs="Arial"/>
                <w:sz w:val="20"/>
                <w:szCs w:val="20"/>
              </w:rPr>
            </w:pPr>
            <w:r w:rsidRPr="00D60ABD">
              <w:rPr>
                <w:rFonts w:ascii="Arial" w:hAnsi="Arial" w:cs="Arial"/>
                <w:sz w:val="20"/>
                <w:szCs w:val="20"/>
              </w:rPr>
              <w:t xml:space="preserve">Allowing copies of </w:t>
            </w:r>
            <w:proofErr w:type="gramStart"/>
            <w:r w:rsidRPr="00D60ABD">
              <w:rPr>
                <w:rFonts w:ascii="Arial" w:hAnsi="Arial" w:cs="Arial"/>
                <w:sz w:val="20"/>
                <w:szCs w:val="20"/>
              </w:rPr>
              <w:t>works</w:t>
            </w:r>
            <w:proofErr w:type="gramEnd"/>
            <w:r w:rsidRPr="00D60ABD">
              <w:rPr>
                <w:rFonts w:ascii="Arial" w:hAnsi="Arial" w:cs="Arial"/>
                <w:sz w:val="20"/>
                <w:szCs w:val="20"/>
              </w:rPr>
              <w:t xml:space="preserve"> for research needs.</w:t>
            </w:r>
          </w:p>
          <w:p w14:paraId="6009D87B" w14:textId="77777777" w:rsidR="00C019A0" w:rsidRPr="00D60ABD" w:rsidRDefault="00C019A0" w:rsidP="008069EB">
            <w:pPr>
              <w:rPr>
                <w:sz w:val="20"/>
                <w:szCs w:val="20"/>
              </w:rPr>
            </w:pPr>
          </w:p>
        </w:tc>
        <w:tc>
          <w:tcPr>
            <w:tcW w:w="1980" w:type="dxa"/>
          </w:tcPr>
          <w:p w14:paraId="74C2D161" w14:textId="77777777" w:rsidR="00C019A0" w:rsidRPr="00D60ABD" w:rsidRDefault="00C019A0" w:rsidP="008069EB">
            <w:pPr>
              <w:rPr>
                <w:iCs/>
                <w:sz w:val="20"/>
                <w:szCs w:val="20"/>
              </w:rPr>
            </w:pPr>
          </w:p>
          <w:p w14:paraId="70E76940" w14:textId="77777777" w:rsidR="00C019A0" w:rsidRPr="00510054" w:rsidRDefault="00C019A0" w:rsidP="00C019A0">
            <w:pPr>
              <w:pStyle w:val="ListParagraph"/>
              <w:numPr>
                <w:ilvl w:val="0"/>
                <w:numId w:val="11"/>
              </w:numPr>
              <w:spacing w:line="240" w:lineRule="auto"/>
              <w:ind w:left="186" w:hanging="186"/>
              <w:rPr>
                <w:rFonts w:ascii="Arial" w:hAnsi="Arial" w:cs="Arial"/>
                <w:iCs/>
                <w:sz w:val="20"/>
                <w:szCs w:val="20"/>
              </w:rPr>
            </w:pPr>
            <w:r w:rsidRPr="00510054">
              <w:rPr>
                <w:rFonts w:ascii="Arial" w:hAnsi="Arial" w:cs="Arial"/>
                <w:iCs/>
                <w:sz w:val="20"/>
                <w:szCs w:val="20"/>
              </w:rPr>
              <w:t>Reproduction.</w:t>
            </w:r>
          </w:p>
          <w:p w14:paraId="78BDB58E" w14:textId="77777777" w:rsidR="00C019A0" w:rsidRPr="00510054" w:rsidRDefault="00C019A0" w:rsidP="00C019A0">
            <w:pPr>
              <w:pStyle w:val="ListParagraph"/>
              <w:numPr>
                <w:ilvl w:val="0"/>
                <w:numId w:val="11"/>
              </w:numPr>
              <w:spacing w:line="240" w:lineRule="auto"/>
              <w:ind w:left="186" w:hanging="186"/>
              <w:rPr>
                <w:rFonts w:ascii="Arial" w:hAnsi="Arial" w:cs="Arial"/>
                <w:iCs/>
                <w:sz w:val="20"/>
                <w:szCs w:val="20"/>
              </w:rPr>
            </w:pPr>
            <w:r w:rsidRPr="00510054">
              <w:rPr>
                <w:rFonts w:ascii="Arial" w:hAnsi="Arial" w:cs="Arial"/>
                <w:iCs/>
                <w:sz w:val="20"/>
                <w:szCs w:val="20"/>
              </w:rPr>
              <w:t>Digital dissemination.</w:t>
            </w:r>
          </w:p>
          <w:p w14:paraId="20EB0BCA" w14:textId="77777777" w:rsidR="00C019A0" w:rsidRPr="00510054" w:rsidRDefault="00C019A0" w:rsidP="00C019A0">
            <w:pPr>
              <w:pStyle w:val="ListParagraph"/>
              <w:numPr>
                <w:ilvl w:val="0"/>
                <w:numId w:val="11"/>
              </w:numPr>
              <w:spacing w:line="240" w:lineRule="auto"/>
              <w:ind w:left="186" w:hanging="186"/>
              <w:rPr>
                <w:rFonts w:ascii="Arial" w:hAnsi="Arial" w:cs="Arial"/>
                <w:iCs/>
                <w:sz w:val="20"/>
                <w:szCs w:val="20"/>
              </w:rPr>
            </w:pPr>
            <w:proofErr w:type="gramStart"/>
            <w:r w:rsidRPr="00510054">
              <w:rPr>
                <w:rFonts w:ascii="Arial" w:hAnsi="Arial" w:cs="Arial"/>
                <w:iCs/>
                <w:sz w:val="20"/>
                <w:szCs w:val="20"/>
              </w:rPr>
              <w:t>Making</w:t>
            </w:r>
            <w:proofErr w:type="gramEnd"/>
            <w:r w:rsidRPr="00510054">
              <w:rPr>
                <w:rFonts w:ascii="Arial" w:hAnsi="Arial" w:cs="Arial"/>
                <w:iCs/>
                <w:sz w:val="20"/>
                <w:szCs w:val="20"/>
              </w:rPr>
              <w:t xml:space="preserve"> available.</w:t>
            </w:r>
          </w:p>
          <w:p w14:paraId="742FF9F4" w14:textId="77777777" w:rsidR="00C019A0" w:rsidRPr="00510054" w:rsidRDefault="00C019A0" w:rsidP="00C019A0">
            <w:pPr>
              <w:pStyle w:val="ListParagraph"/>
              <w:numPr>
                <w:ilvl w:val="0"/>
                <w:numId w:val="11"/>
              </w:numPr>
              <w:spacing w:line="240" w:lineRule="auto"/>
              <w:ind w:left="186" w:hanging="186"/>
              <w:rPr>
                <w:rFonts w:ascii="Arial" w:hAnsi="Arial" w:cs="Arial"/>
                <w:iCs/>
                <w:sz w:val="20"/>
                <w:szCs w:val="20"/>
              </w:rPr>
            </w:pPr>
            <w:r w:rsidRPr="00510054">
              <w:rPr>
                <w:rFonts w:ascii="Arial" w:hAnsi="Arial" w:cs="Arial"/>
                <w:iCs/>
                <w:sz w:val="20"/>
                <w:szCs w:val="20"/>
              </w:rPr>
              <w:t>Public display or performance.</w:t>
            </w:r>
          </w:p>
          <w:p w14:paraId="6F9500F8" w14:textId="77777777" w:rsidR="00C019A0" w:rsidRPr="00510054" w:rsidRDefault="00C019A0" w:rsidP="00C019A0">
            <w:pPr>
              <w:pStyle w:val="ListParagraph"/>
              <w:numPr>
                <w:ilvl w:val="0"/>
                <w:numId w:val="11"/>
              </w:numPr>
              <w:spacing w:line="240" w:lineRule="auto"/>
              <w:ind w:left="186" w:hanging="186"/>
              <w:rPr>
                <w:rFonts w:ascii="Arial" w:hAnsi="Arial" w:cs="Arial"/>
                <w:iCs/>
                <w:sz w:val="20"/>
                <w:szCs w:val="20"/>
              </w:rPr>
            </w:pPr>
            <w:r w:rsidRPr="00510054">
              <w:rPr>
                <w:rFonts w:ascii="Arial" w:hAnsi="Arial" w:cs="Arial"/>
                <w:iCs/>
                <w:sz w:val="20"/>
                <w:szCs w:val="20"/>
              </w:rPr>
              <w:t>Moral rights.</w:t>
            </w:r>
          </w:p>
          <w:p w14:paraId="425329B2" w14:textId="77777777" w:rsidR="00C019A0" w:rsidRDefault="00C019A0" w:rsidP="00C019A0">
            <w:pPr>
              <w:pStyle w:val="ListParagraph"/>
              <w:numPr>
                <w:ilvl w:val="0"/>
                <w:numId w:val="11"/>
              </w:numPr>
              <w:spacing w:line="240" w:lineRule="auto"/>
              <w:ind w:left="186" w:hanging="186"/>
              <w:rPr>
                <w:rFonts w:ascii="Arial" w:hAnsi="Arial" w:cs="Arial"/>
                <w:iCs/>
                <w:sz w:val="20"/>
                <w:szCs w:val="20"/>
              </w:rPr>
            </w:pPr>
            <w:r w:rsidRPr="00510054">
              <w:rPr>
                <w:rFonts w:ascii="Arial" w:hAnsi="Arial" w:cs="Arial"/>
                <w:iCs/>
                <w:sz w:val="20"/>
                <w:szCs w:val="20"/>
              </w:rPr>
              <w:t>Individual and collective licensing.</w:t>
            </w:r>
          </w:p>
          <w:p w14:paraId="0B737865" w14:textId="77777777" w:rsidR="00C019A0" w:rsidRPr="00E07B6B" w:rsidRDefault="00C019A0" w:rsidP="008069EB">
            <w:pPr>
              <w:pStyle w:val="ListParagraph"/>
              <w:ind w:left="186"/>
              <w:rPr>
                <w:rFonts w:ascii="Arial" w:hAnsi="Arial" w:cs="Arial"/>
                <w:iCs/>
                <w:sz w:val="20"/>
                <w:szCs w:val="20"/>
              </w:rPr>
            </w:pPr>
          </w:p>
        </w:tc>
        <w:tc>
          <w:tcPr>
            <w:tcW w:w="3150" w:type="dxa"/>
          </w:tcPr>
          <w:p w14:paraId="67DE6F4A" w14:textId="77777777" w:rsidR="00C019A0" w:rsidRPr="00D60ABD" w:rsidRDefault="00C019A0" w:rsidP="008069EB">
            <w:pPr>
              <w:rPr>
                <w:i/>
                <w:sz w:val="20"/>
                <w:szCs w:val="20"/>
              </w:rPr>
            </w:pPr>
          </w:p>
          <w:p w14:paraId="5B60575A" w14:textId="77777777" w:rsidR="00C019A0" w:rsidRPr="00E07B6B" w:rsidRDefault="00C019A0" w:rsidP="008069EB">
            <w:pPr>
              <w:rPr>
                <w:iCs/>
                <w:sz w:val="20"/>
                <w:szCs w:val="20"/>
              </w:rPr>
            </w:pPr>
            <w:r w:rsidRPr="00E07B6B">
              <w:rPr>
                <w:i/>
                <w:sz w:val="20"/>
                <w:szCs w:val="20"/>
              </w:rPr>
              <w:t>Which Institutions:</w:t>
            </w:r>
          </w:p>
          <w:p w14:paraId="1A040000" w14:textId="77777777" w:rsidR="00C019A0" w:rsidRPr="00E07B6B" w:rsidRDefault="00C019A0" w:rsidP="00C019A0">
            <w:pPr>
              <w:pStyle w:val="ListParagraph"/>
              <w:numPr>
                <w:ilvl w:val="0"/>
                <w:numId w:val="12"/>
              </w:numPr>
              <w:spacing w:line="240" w:lineRule="auto"/>
              <w:ind w:left="200" w:hanging="200"/>
              <w:rPr>
                <w:rFonts w:ascii="Arial" w:hAnsi="Arial" w:cs="Arial"/>
                <w:iCs/>
                <w:sz w:val="20"/>
                <w:szCs w:val="20"/>
              </w:rPr>
            </w:pPr>
            <w:r w:rsidRPr="00E07B6B">
              <w:rPr>
                <w:rFonts w:ascii="Arial" w:hAnsi="Arial" w:cs="Arial"/>
                <w:iCs/>
                <w:sz w:val="20"/>
                <w:szCs w:val="20"/>
              </w:rPr>
              <w:t>Leading cultural heritage institutions, such as libraries, archives, and museums</w:t>
            </w:r>
          </w:p>
          <w:p w14:paraId="2680AD7C" w14:textId="77777777" w:rsidR="00C019A0" w:rsidRPr="00E07B6B" w:rsidRDefault="00C019A0" w:rsidP="00C019A0">
            <w:pPr>
              <w:pStyle w:val="ListParagraph"/>
              <w:numPr>
                <w:ilvl w:val="0"/>
                <w:numId w:val="12"/>
              </w:numPr>
              <w:spacing w:line="240" w:lineRule="auto"/>
              <w:ind w:left="200" w:hanging="200"/>
              <w:rPr>
                <w:rFonts w:ascii="Arial" w:hAnsi="Arial" w:cs="Arial"/>
                <w:iCs/>
                <w:sz w:val="20"/>
                <w:szCs w:val="20"/>
              </w:rPr>
            </w:pPr>
            <w:r w:rsidRPr="00E07B6B">
              <w:rPr>
                <w:rFonts w:ascii="Arial" w:hAnsi="Arial" w:cs="Arial"/>
                <w:iCs/>
                <w:sz w:val="20"/>
                <w:szCs w:val="20"/>
              </w:rPr>
              <w:t>Other possible institutions, such as research and scientific centers, educational institutions.</w:t>
            </w:r>
          </w:p>
          <w:p w14:paraId="318C2B57" w14:textId="77777777" w:rsidR="00C019A0" w:rsidRPr="00E07B6B" w:rsidRDefault="00C019A0" w:rsidP="00C019A0">
            <w:pPr>
              <w:pStyle w:val="ListParagraph"/>
              <w:numPr>
                <w:ilvl w:val="0"/>
                <w:numId w:val="12"/>
              </w:numPr>
              <w:spacing w:line="240" w:lineRule="auto"/>
              <w:ind w:left="200" w:hanging="200"/>
              <w:rPr>
                <w:rFonts w:ascii="Arial" w:hAnsi="Arial" w:cs="Arial"/>
                <w:iCs/>
                <w:sz w:val="20"/>
                <w:szCs w:val="20"/>
              </w:rPr>
            </w:pPr>
            <w:r w:rsidRPr="00E07B6B">
              <w:rPr>
                <w:rFonts w:ascii="Arial" w:hAnsi="Arial" w:cs="Arial"/>
                <w:iCs/>
                <w:sz w:val="20"/>
                <w:szCs w:val="20"/>
              </w:rPr>
              <w:t>Definitions or conditions, such as nonprofit or open to public, or types of institutions.</w:t>
            </w:r>
          </w:p>
          <w:p w14:paraId="69677268" w14:textId="77777777" w:rsidR="00C019A0" w:rsidRPr="00E07B6B" w:rsidRDefault="00C019A0" w:rsidP="008069EB">
            <w:pPr>
              <w:rPr>
                <w:sz w:val="20"/>
                <w:szCs w:val="20"/>
              </w:rPr>
            </w:pPr>
            <w:r w:rsidRPr="00E07B6B">
              <w:rPr>
                <w:i/>
                <w:sz w:val="20"/>
                <w:szCs w:val="20"/>
              </w:rPr>
              <w:t>Scope of Works:</w:t>
            </w:r>
          </w:p>
          <w:p w14:paraId="409CFCC3" w14:textId="77777777" w:rsidR="00C019A0" w:rsidRPr="00E07B6B" w:rsidRDefault="00C019A0" w:rsidP="00C019A0">
            <w:pPr>
              <w:pStyle w:val="ListParagraph"/>
              <w:numPr>
                <w:ilvl w:val="0"/>
                <w:numId w:val="10"/>
              </w:numPr>
              <w:spacing w:line="240" w:lineRule="auto"/>
              <w:ind w:left="240" w:hanging="240"/>
              <w:rPr>
                <w:rFonts w:ascii="Arial" w:hAnsi="Arial" w:cs="Arial"/>
                <w:sz w:val="20"/>
                <w:szCs w:val="20"/>
              </w:rPr>
            </w:pPr>
            <w:r w:rsidRPr="00E07B6B">
              <w:rPr>
                <w:rFonts w:ascii="Arial" w:hAnsi="Arial" w:cs="Arial"/>
                <w:sz w:val="20"/>
                <w:szCs w:val="20"/>
              </w:rPr>
              <w:t>Any type of work.</w:t>
            </w:r>
          </w:p>
          <w:p w14:paraId="61999DC7" w14:textId="77777777" w:rsidR="00C019A0" w:rsidRPr="00E07B6B" w:rsidRDefault="00C019A0" w:rsidP="00C019A0">
            <w:pPr>
              <w:pStyle w:val="ListParagraph"/>
              <w:numPr>
                <w:ilvl w:val="0"/>
                <w:numId w:val="10"/>
              </w:numPr>
              <w:spacing w:line="240" w:lineRule="auto"/>
              <w:ind w:left="240" w:hanging="240"/>
              <w:rPr>
                <w:rFonts w:ascii="Arial" w:hAnsi="Arial" w:cs="Arial"/>
                <w:sz w:val="20"/>
                <w:szCs w:val="20"/>
              </w:rPr>
            </w:pPr>
            <w:r w:rsidRPr="00E07B6B">
              <w:rPr>
                <w:rFonts w:ascii="Arial" w:hAnsi="Arial" w:cs="Arial"/>
                <w:sz w:val="20"/>
                <w:szCs w:val="20"/>
              </w:rPr>
              <w:t xml:space="preserve">Limit to certain types of </w:t>
            </w:r>
            <w:proofErr w:type="gramStart"/>
            <w:r w:rsidRPr="00E07B6B">
              <w:rPr>
                <w:rFonts w:ascii="Arial" w:hAnsi="Arial" w:cs="Arial"/>
                <w:sz w:val="20"/>
                <w:szCs w:val="20"/>
              </w:rPr>
              <w:t>works</w:t>
            </w:r>
            <w:proofErr w:type="gramEnd"/>
            <w:r w:rsidRPr="00E07B6B">
              <w:rPr>
                <w:rFonts w:ascii="Arial" w:hAnsi="Arial" w:cs="Arial"/>
                <w:sz w:val="20"/>
                <w:szCs w:val="20"/>
              </w:rPr>
              <w:t xml:space="preserve"> as appropriate.</w:t>
            </w:r>
          </w:p>
          <w:p w14:paraId="5D46CC6F" w14:textId="77777777" w:rsidR="00C019A0" w:rsidRPr="00E07B6B" w:rsidRDefault="00C019A0" w:rsidP="008069EB">
            <w:pPr>
              <w:rPr>
                <w:i/>
                <w:sz w:val="20"/>
                <w:szCs w:val="20"/>
              </w:rPr>
            </w:pPr>
            <w:r w:rsidRPr="00E07B6B">
              <w:rPr>
                <w:i/>
                <w:sz w:val="20"/>
                <w:szCs w:val="20"/>
              </w:rPr>
              <w:t>Conditions on Use:</w:t>
            </w:r>
          </w:p>
          <w:p w14:paraId="001DA2CF" w14:textId="77777777" w:rsidR="00C019A0" w:rsidRPr="00E07B6B" w:rsidRDefault="00C019A0" w:rsidP="00C019A0">
            <w:pPr>
              <w:pStyle w:val="ListParagraph"/>
              <w:numPr>
                <w:ilvl w:val="0"/>
                <w:numId w:val="9"/>
              </w:numPr>
              <w:spacing w:line="240" w:lineRule="auto"/>
              <w:ind w:left="241" w:hanging="241"/>
              <w:rPr>
                <w:rFonts w:ascii="Arial" w:hAnsi="Arial" w:cs="Arial"/>
                <w:sz w:val="20"/>
                <w:szCs w:val="20"/>
              </w:rPr>
            </w:pPr>
            <w:r w:rsidRPr="00E07B6B">
              <w:rPr>
                <w:rFonts w:ascii="Arial" w:hAnsi="Arial" w:cs="Arial"/>
                <w:sz w:val="20"/>
                <w:szCs w:val="20"/>
              </w:rPr>
              <w:t>Implication of applicable collective license or acquisition agreement.</w:t>
            </w:r>
          </w:p>
          <w:p w14:paraId="0BFB8292" w14:textId="77777777" w:rsidR="00C019A0" w:rsidRPr="00E07B6B" w:rsidRDefault="00C019A0" w:rsidP="00C019A0">
            <w:pPr>
              <w:pStyle w:val="ListParagraph"/>
              <w:numPr>
                <w:ilvl w:val="0"/>
                <w:numId w:val="9"/>
              </w:numPr>
              <w:spacing w:line="240" w:lineRule="auto"/>
              <w:ind w:left="241" w:hanging="241"/>
              <w:rPr>
                <w:rFonts w:ascii="Arial" w:hAnsi="Arial" w:cs="Arial"/>
                <w:sz w:val="20"/>
                <w:szCs w:val="20"/>
              </w:rPr>
            </w:pPr>
            <w:r w:rsidRPr="00E07B6B">
              <w:rPr>
                <w:rFonts w:ascii="Arial" w:hAnsi="Arial" w:cs="Arial"/>
                <w:sz w:val="20"/>
                <w:szCs w:val="20"/>
              </w:rPr>
              <w:t>Restrictions on ability of users to download or make copies.</w:t>
            </w:r>
          </w:p>
          <w:p w14:paraId="4ACCC453" w14:textId="77777777" w:rsidR="00C019A0" w:rsidRPr="00E07B6B" w:rsidRDefault="00C019A0" w:rsidP="00C019A0">
            <w:pPr>
              <w:pStyle w:val="ListParagraph"/>
              <w:numPr>
                <w:ilvl w:val="0"/>
                <w:numId w:val="9"/>
              </w:numPr>
              <w:spacing w:line="240" w:lineRule="auto"/>
              <w:ind w:left="241" w:hanging="241"/>
              <w:rPr>
                <w:rFonts w:ascii="Arial" w:hAnsi="Arial" w:cs="Arial"/>
                <w:sz w:val="20"/>
                <w:szCs w:val="20"/>
              </w:rPr>
            </w:pPr>
            <w:proofErr w:type="gramStart"/>
            <w:r w:rsidRPr="00E07B6B">
              <w:rPr>
                <w:rFonts w:ascii="Arial" w:hAnsi="Arial" w:cs="Arial"/>
                <w:sz w:val="20"/>
                <w:szCs w:val="20"/>
              </w:rPr>
              <w:t>Limit on</w:t>
            </w:r>
            <w:proofErr w:type="gramEnd"/>
            <w:r w:rsidRPr="00E07B6B">
              <w:rPr>
                <w:rFonts w:ascii="Arial" w:hAnsi="Arial" w:cs="Arial"/>
                <w:sz w:val="20"/>
                <w:szCs w:val="20"/>
              </w:rPr>
              <w:t xml:space="preserve"> the number of simultaneously accessible copies.</w:t>
            </w:r>
          </w:p>
          <w:p w14:paraId="2C948F97" w14:textId="77777777" w:rsidR="00C019A0" w:rsidRPr="00E07B6B" w:rsidRDefault="00C019A0" w:rsidP="00C019A0">
            <w:pPr>
              <w:pStyle w:val="ListParagraph"/>
              <w:numPr>
                <w:ilvl w:val="0"/>
                <w:numId w:val="9"/>
              </w:numPr>
              <w:spacing w:line="240" w:lineRule="auto"/>
              <w:ind w:left="241" w:hanging="241"/>
              <w:rPr>
                <w:rFonts w:ascii="Arial" w:hAnsi="Arial" w:cs="Arial"/>
                <w:sz w:val="20"/>
                <w:szCs w:val="20"/>
              </w:rPr>
            </w:pPr>
            <w:r w:rsidRPr="00E07B6B">
              <w:rPr>
                <w:rFonts w:ascii="Arial" w:hAnsi="Arial" w:cs="Arial"/>
                <w:sz w:val="20"/>
                <w:szCs w:val="20"/>
              </w:rPr>
              <w:t>Allowable purposes for the access, such as private study or research.</w:t>
            </w:r>
          </w:p>
          <w:p w14:paraId="5A55708A" w14:textId="77777777" w:rsidR="00C019A0" w:rsidRPr="00E07B6B" w:rsidRDefault="00C019A0" w:rsidP="008069EB">
            <w:pPr>
              <w:rPr>
                <w:i/>
                <w:iCs/>
                <w:sz w:val="20"/>
                <w:szCs w:val="20"/>
              </w:rPr>
            </w:pPr>
            <w:r w:rsidRPr="00E07B6B">
              <w:rPr>
                <w:i/>
                <w:iCs/>
                <w:sz w:val="20"/>
                <w:szCs w:val="20"/>
              </w:rPr>
              <w:t>Location of Permitted Access:</w:t>
            </w:r>
          </w:p>
          <w:p w14:paraId="1ACB526D" w14:textId="77777777" w:rsidR="00C019A0" w:rsidRPr="00E07B6B" w:rsidRDefault="00C019A0" w:rsidP="00C019A0">
            <w:pPr>
              <w:pStyle w:val="ListParagraph"/>
              <w:numPr>
                <w:ilvl w:val="0"/>
                <w:numId w:val="21"/>
              </w:numPr>
              <w:spacing w:line="240" w:lineRule="auto"/>
              <w:ind w:left="251" w:hanging="251"/>
              <w:rPr>
                <w:rFonts w:ascii="Arial" w:hAnsi="Arial" w:cs="Arial"/>
                <w:sz w:val="20"/>
                <w:szCs w:val="20"/>
              </w:rPr>
            </w:pPr>
            <w:r w:rsidRPr="00E07B6B">
              <w:rPr>
                <w:rFonts w:ascii="Arial" w:hAnsi="Arial" w:cs="Arial"/>
                <w:sz w:val="20"/>
                <w:szCs w:val="20"/>
              </w:rPr>
              <w:t>Premises of the Institution.</w:t>
            </w:r>
          </w:p>
          <w:p w14:paraId="169557C9" w14:textId="57554E4E" w:rsidR="00C019A0" w:rsidRPr="000C3803" w:rsidRDefault="00C019A0" w:rsidP="000C3803">
            <w:pPr>
              <w:pStyle w:val="ListParagraph"/>
              <w:numPr>
                <w:ilvl w:val="0"/>
                <w:numId w:val="21"/>
              </w:numPr>
              <w:spacing w:line="240" w:lineRule="auto"/>
              <w:ind w:left="251" w:hanging="251"/>
              <w:rPr>
                <w:sz w:val="20"/>
              </w:rPr>
            </w:pPr>
            <w:r w:rsidRPr="00E07B6B">
              <w:rPr>
                <w:rFonts w:ascii="Arial" w:hAnsi="Arial" w:cs="Arial"/>
                <w:sz w:val="20"/>
                <w:szCs w:val="20"/>
              </w:rPr>
              <w:t>Remote access with conditions.</w:t>
            </w:r>
          </w:p>
        </w:tc>
        <w:tc>
          <w:tcPr>
            <w:tcW w:w="2610" w:type="dxa"/>
          </w:tcPr>
          <w:p w14:paraId="7A557309" w14:textId="77777777" w:rsidR="00C019A0" w:rsidRPr="00D60ABD" w:rsidRDefault="00C019A0" w:rsidP="008069EB">
            <w:pPr>
              <w:rPr>
                <w:sz w:val="20"/>
                <w:szCs w:val="20"/>
              </w:rPr>
            </w:pPr>
          </w:p>
          <w:p w14:paraId="3B2B293D" w14:textId="77777777" w:rsidR="00C019A0" w:rsidRPr="00D60ABD" w:rsidRDefault="00C019A0" w:rsidP="008069EB">
            <w:pPr>
              <w:rPr>
                <w:i/>
                <w:iCs/>
                <w:sz w:val="20"/>
                <w:szCs w:val="20"/>
              </w:rPr>
            </w:pPr>
            <w:r w:rsidRPr="00D60ABD">
              <w:rPr>
                <w:i/>
                <w:iCs/>
                <w:sz w:val="20"/>
                <w:szCs w:val="20"/>
              </w:rPr>
              <w:t>…accessible at any location that is administered as part of the same institution…</w:t>
            </w:r>
          </w:p>
          <w:p w14:paraId="01D9E480" w14:textId="77777777" w:rsidR="00C019A0" w:rsidRPr="00D60ABD" w:rsidRDefault="00C019A0" w:rsidP="008069EB">
            <w:pPr>
              <w:rPr>
                <w:i/>
                <w:iCs/>
                <w:sz w:val="20"/>
                <w:szCs w:val="20"/>
              </w:rPr>
            </w:pPr>
          </w:p>
          <w:p w14:paraId="1F1FC616" w14:textId="77777777" w:rsidR="00C019A0" w:rsidRDefault="00C019A0" w:rsidP="008069EB">
            <w:pPr>
              <w:rPr>
                <w:i/>
                <w:iCs/>
                <w:sz w:val="20"/>
                <w:szCs w:val="20"/>
              </w:rPr>
            </w:pPr>
            <w:r w:rsidRPr="00D60ABD">
              <w:rPr>
                <w:i/>
                <w:iCs/>
                <w:sz w:val="20"/>
                <w:szCs w:val="20"/>
              </w:rPr>
              <w:t>…users may download and use isolated single copies of works for use in research or private scholarship…</w:t>
            </w:r>
          </w:p>
          <w:p w14:paraId="20FF0DB1" w14:textId="77777777" w:rsidR="00C019A0" w:rsidRDefault="00C019A0" w:rsidP="008069EB">
            <w:pPr>
              <w:rPr>
                <w:i/>
                <w:iCs/>
                <w:sz w:val="20"/>
                <w:szCs w:val="20"/>
              </w:rPr>
            </w:pPr>
          </w:p>
          <w:p w14:paraId="73BD05A8" w14:textId="77777777" w:rsidR="00C019A0" w:rsidRPr="00D60ABD" w:rsidRDefault="00C019A0" w:rsidP="008069EB">
            <w:pPr>
              <w:rPr>
                <w:i/>
                <w:iCs/>
                <w:sz w:val="20"/>
                <w:szCs w:val="20"/>
              </w:rPr>
            </w:pPr>
            <w:r>
              <w:rPr>
                <w:i/>
                <w:iCs/>
                <w:sz w:val="20"/>
                <w:szCs w:val="20"/>
              </w:rPr>
              <w:t>…institution may maintain availability of works without limit on duration, provided the use is made consistent with this exception…</w:t>
            </w:r>
          </w:p>
          <w:p w14:paraId="358EED60" w14:textId="77777777" w:rsidR="00C019A0" w:rsidRPr="00D60ABD" w:rsidRDefault="00C019A0" w:rsidP="008069EB">
            <w:pPr>
              <w:rPr>
                <w:i/>
                <w:iCs/>
                <w:sz w:val="20"/>
                <w:szCs w:val="20"/>
              </w:rPr>
            </w:pPr>
          </w:p>
          <w:p w14:paraId="473552B7" w14:textId="77777777" w:rsidR="00C019A0" w:rsidRDefault="00C019A0" w:rsidP="008069EB">
            <w:pPr>
              <w:rPr>
                <w:i/>
                <w:iCs/>
                <w:sz w:val="20"/>
                <w:szCs w:val="20"/>
              </w:rPr>
            </w:pPr>
            <w:r w:rsidRPr="00D60ABD">
              <w:rPr>
                <w:i/>
                <w:iCs/>
                <w:sz w:val="20"/>
                <w:szCs w:val="20"/>
              </w:rPr>
              <w:t xml:space="preserve">…exception applies notwithstanding </w:t>
            </w:r>
            <w:r>
              <w:rPr>
                <w:i/>
                <w:iCs/>
                <w:sz w:val="20"/>
                <w:szCs w:val="20"/>
              </w:rPr>
              <w:t xml:space="preserve">collective </w:t>
            </w:r>
            <w:r w:rsidRPr="00D60ABD">
              <w:rPr>
                <w:i/>
                <w:iCs/>
                <w:sz w:val="20"/>
                <w:szCs w:val="20"/>
              </w:rPr>
              <w:t>license respecting the use of the works…</w:t>
            </w:r>
          </w:p>
          <w:p w14:paraId="63B32453" w14:textId="77777777" w:rsidR="00C019A0" w:rsidRPr="00766DED" w:rsidRDefault="00C019A0" w:rsidP="008069EB">
            <w:pPr>
              <w:rPr>
                <w:i/>
                <w:iCs/>
                <w:sz w:val="20"/>
                <w:szCs w:val="20"/>
              </w:rPr>
            </w:pPr>
          </w:p>
          <w:p w14:paraId="6A8568EE" w14:textId="77777777" w:rsidR="00C019A0" w:rsidRDefault="00C019A0" w:rsidP="008069EB">
            <w:pPr>
              <w:rPr>
                <w:i/>
                <w:iCs/>
                <w:sz w:val="20"/>
                <w:szCs w:val="20"/>
              </w:rPr>
            </w:pPr>
            <w:r>
              <w:rPr>
                <w:i/>
                <w:iCs/>
                <w:sz w:val="20"/>
                <w:szCs w:val="20"/>
              </w:rPr>
              <w:t>…institution may alter or adapt formats and technological platforms as reasonably necessary to exercise the opportunities in this exception…</w:t>
            </w:r>
          </w:p>
          <w:p w14:paraId="1B175811" w14:textId="77777777" w:rsidR="00C019A0" w:rsidRDefault="00C019A0" w:rsidP="008069EB">
            <w:pPr>
              <w:rPr>
                <w:i/>
                <w:iCs/>
                <w:sz w:val="20"/>
                <w:szCs w:val="20"/>
              </w:rPr>
            </w:pPr>
          </w:p>
          <w:p w14:paraId="699A4357" w14:textId="77777777" w:rsidR="00C019A0" w:rsidRPr="00766DED" w:rsidRDefault="00C019A0" w:rsidP="008069EB">
            <w:pPr>
              <w:rPr>
                <w:i/>
                <w:iCs/>
                <w:sz w:val="20"/>
                <w:szCs w:val="20"/>
              </w:rPr>
            </w:pPr>
          </w:p>
        </w:tc>
      </w:tr>
    </w:tbl>
    <w:p w14:paraId="168210F1" w14:textId="77777777" w:rsidR="00C019A0" w:rsidRDefault="00C019A0" w:rsidP="00C019A0"/>
    <w:tbl>
      <w:tblPr>
        <w:tblStyle w:val="TableGrid"/>
        <w:tblW w:w="9985" w:type="dxa"/>
        <w:tblLook w:val="04A0" w:firstRow="1" w:lastRow="0" w:firstColumn="1" w:lastColumn="0" w:noHBand="0" w:noVBand="1"/>
      </w:tblPr>
      <w:tblGrid>
        <w:gridCol w:w="2245"/>
        <w:gridCol w:w="1980"/>
        <w:gridCol w:w="3150"/>
        <w:gridCol w:w="2610"/>
      </w:tblGrid>
      <w:tr w:rsidR="00C019A0" w:rsidRPr="00D60ABD" w14:paraId="52D4CB05" w14:textId="77777777" w:rsidTr="008069EB">
        <w:tc>
          <w:tcPr>
            <w:tcW w:w="9985" w:type="dxa"/>
            <w:gridSpan w:val="4"/>
          </w:tcPr>
          <w:p w14:paraId="5E032C99" w14:textId="77777777" w:rsidR="00C019A0" w:rsidRPr="00D60ABD" w:rsidRDefault="00C019A0" w:rsidP="008069EB">
            <w:pPr>
              <w:rPr>
                <w:b/>
                <w:i/>
                <w:iCs/>
                <w:sz w:val="28"/>
                <w:szCs w:val="28"/>
              </w:rPr>
            </w:pPr>
            <w:r w:rsidRPr="00D60ABD">
              <w:rPr>
                <w:b/>
                <w:i/>
                <w:iCs/>
                <w:sz w:val="28"/>
                <w:szCs w:val="28"/>
              </w:rPr>
              <w:t xml:space="preserve">Chart </w:t>
            </w:r>
            <w:r>
              <w:rPr>
                <w:b/>
                <w:i/>
                <w:iCs/>
                <w:sz w:val="28"/>
                <w:szCs w:val="28"/>
              </w:rPr>
              <w:t>3</w:t>
            </w:r>
          </w:p>
          <w:p w14:paraId="3AD2E404" w14:textId="77777777" w:rsidR="00C019A0" w:rsidRPr="00D60ABD" w:rsidRDefault="00C019A0" w:rsidP="008069EB">
            <w:pPr>
              <w:rPr>
                <w:b/>
                <w:sz w:val="28"/>
                <w:szCs w:val="28"/>
              </w:rPr>
            </w:pPr>
          </w:p>
          <w:p w14:paraId="47823FA6" w14:textId="77777777" w:rsidR="00C019A0" w:rsidRPr="00D60ABD" w:rsidRDefault="00C019A0" w:rsidP="008069EB">
            <w:pPr>
              <w:rPr>
                <w:b/>
                <w:sz w:val="28"/>
                <w:szCs w:val="28"/>
              </w:rPr>
            </w:pPr>
            <w:r w:rsidRPr="00D60ABD">
              <w:rPr>
                <w:b/>
                <w:sz w:val="28"/>
                <w:szCs w:val="28"/>
              </w:rPr>
              <w:t>TOPIC:</w:t>
            </w:r>
          </w:p>
          <w:p w14:paraId="6AD0A71B" w14:textId="77777777" w:rsidR="00C019A0" w:rsidRPr="00D60ABD" w:rsidRDefault="00C019A0" w:rsidP="008069EB">
            <w:pPr>
              <w:rPr>
                <w:b/>
                <w:sz w:val="28"/>
                <w:szCs w:val="28"/>
              </w:rPr>
            </w:pPr>
            <w:r>
              <w:rPr>
                <w:b/>
                <w:sz w:val="28"/>
                <w:szCs w:val="28"/>
              </w:rPr>
              <w:t>Including Works from the Collection in Public Exhibitions</w:t>
            </w:r>
          </w:p>
          <w:p w14:paraId="61A7B4E9" w14:textId="77777777" w:rsidR="00C019A0" w:rsidRPr="00D60ABD" w:rsidRDefault="00C019A0" w:rsidP="008069EB">
            <w:pPr>
              <w:rPr>
                <w:b/>
                <w:sz w:val="20"/>
                <w:szCs w:val="20"/>
              </w:rPr>
            </w:pPr>
          </w:p>
          <w:p w14:paraId="79D44374" w14:textId="77777777" w:rsidR="00C019A0" w:rsidRPr="00632A92" w:rsidRDefault="00C019A0" w:rsidP="008069EB">
            <w:pPr>
              <w:rPr>
                <w:b/>
              </w:rPr>
            </w:pPr>
            <w:r w:rsidRPr="00386871">
              <w:rPr>
                <w:b/>
              </w:rPr>
              <w:t xml:space="preserve">Statutory copyright exception authorizing cultural heritage institutions to </w:t>
            </w:r>
            <w:r>
              <w:rPr>
                <w:b/>
              </w:rPr>
              <w:t xml:space="preserve">allow the </w:t>
            </w:r>
            <w:r w:rsidRPr="00386871">
              <w:rPr>
                <w:b/>
              </w:rPr>
              <w:t>use</w:t>
            </w:r>
            <w:r>
              <w:rPr>
                <w:b/>
              </w:rPr>
              <w:t xml:space="preserve"> of diverse</w:t>
            </w:r>
            <w:r w:rsidRPr="00386871">
              <w:rPr>
                <w:b/>
              </w:rPr>
              <w:t xml:space="preserve"> copyrighted works in </w:t>
            </w:r>
            <w:r>
              <w:rPr>
                <w:b/>
              </w:rPr>
              <w:t xml:space="preserve">exhibitions open to the public and held </w:t>
            </w:r>
            <w:r w:rsidRPr="00386871">
              <w:rPr>
                <w:b/>
              </w:rPr>
              <w:t>at the institution</w:t>
            </w:r>
            <w:r>
              <w:rPr>
                <w:b/>
              </w:rPr>
              <w:t xml:space="preserve"> holding the work or at other locations</w:t>
            </w:r>
            <w:r w:rsidRPr="00386871">
              <w:rPr>
                <w:b/>
              </w:rPr>
              <w:t>.</w:t>
            </w:r>
            <w:r>
              <w:rPr>
                <w:b/>
              </w:rPr>
              <w:t xml:space="preserve"> This chart can guide lawmakers in Member States drafting new or revised statutory exceptions, which should enable public access as part of an exhibition and address interests reflected in the three-step test.</w:t>
            </w:r>
          </w:p>
          <w:p w14:paraId="5F2CC029" w14:textId="77777777" w:rsidR="00C019A0" w:rsidRPr="00D60ABD" w:rsidRDefault="00C019A0" w:rsidP="008069EB">
            <w:pPr>
              <w:rPr>
                <w:b/>
                <w:sz w:val="20"/>
                <w:szCs w:val="20"/>
              </w:rPr>
            </w:pPr>
          </w:p>
        </w:tc>
      </w:tr>
      <w:tr w:rsidR="00C019A0" w:rsidRPr="00D60ABD" w14:paraId="14B8ADB2" w14:textId="77777777" w:rsidTr="008069EB">
        <w:tc>
          <w:tcPr>
            <w:tcW w:w="2245" w:type="dxa"/>
          </w:tcPr>
          <w:p w14:paraId="487D6EC2" w14:textId="77777777" w:rsidR="00C019A0" w:rsidRPr="00D60ABD" w:rsidRDefault="00C019A0" w:rsidP="008069EB">
            <w:pPr>
              <w:rPr>
                <w:b/>
                <w:sz w:val="20"/>
                <w:szCs w:val="20"/>
              </w:rPr>
            </w:pPr>
            <w:r w:rsidRPr="00D60ABD">
              <w:rPr>
                <w:b/>
                <w:sz w:val="20"/>
                <w:szCs w:val="20"/>
              </w:rPr>
              <w:t>St</w:t>
            </w:r>
            <w:r>
              <w:rPr>
                <w:b/>
                <w:sz w:val="20"/>
                <w:szCs w:val="20"/>
              </w:rPr>
              <w:t>age</w:t>
            </w:r>
            <w:r w:rsidRPr="00D60ABD">
              <w:rPr>
                <w:b/>
                <w:sz w:val="20"/>
                <w:szCs w:val="20"/>
              </w:rPr>
              <w:t xml:space="preserve"> ONE:</w:t>
            </w:r>
          </w:p>
          <w:p w14:paraId="0F0EF08E" w14:textId="77777777" w:rsidR="00C019A0" w:rsidRPr="00D60ABD" w:rsidRDefault="00C019A0" w:rsidP="008069EB">
            <w:pPr>
              <w:rPr>
                <w:b/>
                <w:sz w:val="20"/>
                <w:szCs w:val="20"/>
              </w:rPr>
            </w:pPr>
            <w:r w:rsidRPr="00D60ABD">
              <w:rPr>
                <w:b/>
                <w:sz w:val="20"/>
                <w:szCs w:val="20"/>
              </w:rPr>
              <w:t>Specify Intended Activities that Can Expand Access.</w:t>
            </w:r>
          </w:p>
          <w:p w14:paraId="4B2F3686" w14:textId="77777777" w:rsidR="00C019A0" w:rsidRPr="00D60ABD" w:rsidRDefault="00C019A0" w:rsidP="008069EB">
            <w:pPr>
              <w:rPr>
                <w:sz w:val="20"/>
                <w:szCs w:val="20"/>
              </w:rPr>
            </w:pPr>
          </w:p>
        </w:tc>
        <w:tc>
          <w:tcPr>
            <w:tcW w:w="1980" w:type="dxa"/>
          </w:tcPr>
          <w:p w14:paraId="6D4BA2B2" w14:textId="77777777" w:rsidR="00C019A0" w:rsidRPr="00D60ABD" w:rsidRDefault="00C019A0" w:rsidP="008069EB">
            <w:pPr>
              <w:rPr>
                <w:b/>
                <w:sz w:val="20"/>
                <w:szCs w:val="20"/>
              </w:rPr>
            </w:pPr>
            <w:r w:rsidRPr="00D60ABD">
              <w:rPr>
                <w:b/>
                <w:sz w:val="20"/>
                <w:szCs w:val="20"/>
              </w:rPr>
              <w:t>St</w:t>
            </w:r>
            <w:r>
              <w:rPr>
                <w:b/>
                <w:sz w:val="20"/>
                <w:szCs w:val="20"/>
              </w:rPr>
              <w:t>age</w:t>
            </w:r>
            <w:r w:rsidRPr="00D60ABD">
              <w:rPr>
                <w:b/>
                <w:sz w:val="20"/>
                <w:szCs w:val="20"/>
              </w:rPr>
              <w:t xml:space="preserve"> TWO:</w:t>
            </w:r>
          </w:p>
          <w:p w14:paraId="09AD75B6" w14:textId="77777777" w:rsidR="00C019A0" w:rsidRPr="00D60ABD" w:rsidRDefault="00C019A0" w:rsidP="008069EB">
            <w:pPr>
              <w:rPr>
                <w:b/>
                <w:sz w:val="20"/>
                <w:szCs w:val="20"/>
              </w:rPr>
            </w:pPr>
            <w:r w:rsidRPr="00D60ABD">
              <w:rPr>
                <w:b/>
                <w:sz w:val="20"/>
                <w:szCs w:val="20"/>
              </w:rPr>
              <w:t>Identify Ownership Rights that Could be Affected.</w:t>
            </w:r>
          </w:p>
        </w:tc>
        <w:tc>
          <w:tcPr>
            <w:tcW w:w="3150" w:type="dxa"/>
          </w:tcPr>
          <w:p w14:paraId="5E898216" w14:textId="77777777" w:rsidR="00C019A0" w:rsidRPr="00D60ABD" w:rsidRDefault="00C019A0" w:rsidP="008069EB">
            <w:pPr>
              <w:rPr>
                <w:b/>
                <w:sz w:val="20"/>
                <w:szCs w:val="20"/>
              </w:rPr>
            </w:pPr>
            <w:r w:rsidRPr="00D60ABD">
              <w:rPr>
                <w:b/>
                <w:sz w:val="20"/>
                <w:szCs w:val="20"/>
              </w:rPr>
              <w:t>St</w:t>
            </w:r>
            <w:r>
              <w:rPr>
                <w:b/>
                <w:sz w:val="20"/>
                <w:szCs w:val="20"/>
              </w:rPr>
              <w:t>age</w:t>
            </w:r>
            <w:r w:rsidRPr="00D60ABD">
              <w:rPr>
                <w:b/>
                <w:sz w:val="20"/>
                <w:szCs w:val="20"/>
              </w:rPr>
              <w:t xml:space="preserve"> THREE:</w:t>
            </w:r>
          </w:p>
          <w:p w14:paraId="5C505DF5" w14:textId="77777777" w:rsidR="00C019A0" w:rsidRPr="00D60ABD" w:rsidRDefault="00C019A0" w:rsidP="008069EB">
            <w:pPr>
              <w:rPr>
                <w:b/>
                <w:sz w:val="20"/>
                <w:szCs w:val="20"/>
              </w:rPr>
            </w:pPr>
            <w:r w:rsidRPr="00D60ABD">
              <w:rPr>
                <w:b/>
                <w:sz w:val="20"/>
                <w:szCs w:val="20"/>
              </w:rPr>
              <w:t>Elements of Relevant Statutory Exceptions or Policy Measures.</w:t>
            </w:r>
          </w:p>
        </w:tc>
        <w:tc>
          <w:tcPr>
            <w:tcW w:w="2610" w:type="dxa"/>
          </w:tcPr>
          <w:p w14:paraId="12316349" w14:textId="77777777" w:rsidR="00C019A0" w:rsidRPr="00D60ABD" w:rsidRDefault="00C019A0" w:rsidP="008069EB">
            <w:pPr>
              <w:rPr>
                <w:b/>
                <w:sz w:val="20"/>
                <w:szCs w:val="20"/>
              </w:rPr>
            </w:pPr>
          </w:p>
          <w:p w14:paraId="0BBAB4D9" w14:textId="77777777" w:rsidR="00C019A0" w:rsidRPr="00D60ABD" w:rsidRDefault="00C019A0" w:rsidP="008069EB">
            <w:pPr>
              <w:rPr>
                <w:b/>
                <w:sz w:val="20"/>
                <w:szCs w:val="20"/>
              </w:rPr>
            </w:pPr>
            <w:r w:rsidRPr="00D60ABD">
              <w:rPr>
                <w:b/>
                <w:sz w:val="20"/>
                <w:szCs w:val="20"/>
              </w:rPr>
              <w:t>Example Clauses and Terms for Including in the Relevant Statute.</w:t>
            </w:r>
          </w:p>
        </w:tc>
      </w:tr>
      <w:tr w:rsidR="00C019A0" w:rsidRPr="00D60ABD" w14:paraId="05A472DC" w14:textId="77777777" w:rsidTr="008069EB">
        <w:tc>
          <w:tcPr>
            <w:tcW w:w="2245" w:type="dxa"/>
          </w:tcPr>
          <w:p w14:paraId="0BEC365F" w14:textId="77777777" w:rsidR="00C019A0" w:rsidRPr="00D60ABD" w:rsidRDefault="00C019A0" w:rsidP="008069EB">
            <w:pPr>
              <w:rPr>
                <w:iCs/>
                <w:sz w:val="20"/>
                <w:szCs w:val="20"/>
              </w:rPr>
            </w:pPr>
          </w:p>
          <w:p w14:paraId="7FEE9088" w14:textId="77777777" w:rsidR="00C019A0" w:rsidRPr="00D60ABD" w:rsidRDefault="00C019A0" w:rsidP="00C019A0">
            <w:pPr>
              <w:pStyle w:val="ListParagraph"/>
              <w:numPr>
                <w:ilvl w:val="0"/>
                <w:numId w:val="11"/>
              </w:numPr>
              <w:spacing w:after="0" w:line="240" w:lineRule="auto"/>
              <w:ind w:left="240" w:hanging="240"/>
              <w:rPr>
                <w:rFonts w:ascii="Arial" w:hAnsi="Arial" w:cs="Arial"/>
                <w:sz w:val="20"/>
                <w:szCs w:val="20"/>
              </w:rPr>
            </w:pPr>
            <w:r w:rsidRPr="00D60ABD">
              <w:rPr>
                <w:rFonts w:ascii="Arial" w:hAnsi="Arial" w:cs="Arial"/>
                <w:sz w:val="20"/>
                <w:szCs w:val="20"/>
              </w:rPr>
              <w:t xml:space="preserve">Making digital </w:t>
            </w:r>
            <w:r>
              <w:rPr>
                <w:rFonts w:ascii="Arial" w:hAnsi="Arial" w:cs="Arial"/>
                <w:sz w:val="20"/>
                <w:szCs w:val="20"/>
              </w:rPr>
              <w:t xml:space="preserve">or analog </w:t>
            </w:r>
            <w:r w:rsidRPr="00D60ABD">
              <w:rPr>
                <w:rFonts w:ascii="Arial" w:hAnsi="Arial" w:cs="Arial"/>
                <w:sz w:val="20"/>
                <w:szCs w:val="20"/>
              </w:rPr>
              <w:t>copies of works.</w:t>
            </w:r>
          </w:p>
          <w:p w14:paraId="7E2BB02E" w14:textId="77777777" w:rsidR="00C019A0" w:rsidRPr="00D60ABD" w:rsidRDefault="00C019A0" w:rsidP="00C019A0">
            <w:pPr>
              <w:pStyle w:val="ListParagraph"/>
              <w:numPr>
                <w:ilvl w:val="0"/>
                <w:numId w:val="11"/>
              </w:numPr>
              <w:spacing w:after="0" w:line="240" w:lineRule="auto"/>
              <w:ind w:left="240" w:hanging="240"/>
              <w:rPr>
                <w:rFonts w:ascii="Arial" w:hAnsi="Arial" w:cs="Arial"/>
                <w:sz w:val="20"/>
                <w:szCs w:val="20"/>
              </w:rPr>
            </w:pPr>
            <w:r w:rsidRPr="00D60ABD">
              <w:rPr>
                <w:rFonts w:ascii="Arial" w:hAnsi="Arial" w:cs="Arial"/>
                <w:sz w:val="20"/>
                <w:szCs w:val="20"/>
              </w:rPr>
              <w:t>Storing copies on secured systems.</w:t>
            </w:r>
          </w:p>
          <w:p w14:paraId="6D12E1CC" w14:textId="77777777" w:rsidR="00C019A0" w:rsidRDefault="00C019A0" w:rsidP="00C019A0">
            <w:pPr>
              <w:pStyle w:val="ListParagraph"/>
              <w:numPr>
                <w:ilvl w:val="0"/>
                <w:numId w:val="11"/>
              </w:numPr>
              <w:spacing w:after="0" w:line="240" w:lineRule="auto"/>
              <w:ind w:left="240" w:hanging="240"/>
              <w:rPr>
                <w:rFonts w:ascii="Arial" w:hAnsi="Arial" w:cs="Arial"/>
                <w:sz w:val="20"/>
                <w:szCs w:val="20"/>
              </w:rPr>
            </w:pPr>
            <w:r w:rsidRPr="00D60ABD">
              <w:rPr>
                <w:rFonts w:ascii="Arial" w:hAnsi="Arial" w:cs="Arial"/>
                <w:sz w:val="20"/>
                <w:szCs w:val="20"/>
              </w:rPr>
              <w:t xml:space="preserve">Allowing </w:t>
            </w:r>
            <w:r>
              <w:rPr>
                <w:rFonts w:ascii="Arial" w:hAnsi="Arial" w:cs="Arial"/>
                <w:sz w:val="20"/>
                <w:szCs w:val="20"/>
              </w:rPr>
              <w:t xml:space="preserve">public viewing and other forms of </w:t>
            </w:r>
            <w:r w:rsidRPr="00D60ABD">
              <w:rPr>
                <w:rFonts w:ascii="Arial" w:hAnsi="Arial" w:cs="Arial"/>
                <w:sz w:val="20"/>
                <w:szCs w:val="20"/>
              </w:rPr>
              <w:t xml:space="preserve">access to </w:t>
            </w:r>
            <w:r>
              <w:rPr>
                <w:rFonts w:ascii="Arial" w:hAnsi="Arial" w:cs="Arial"/>
                <w:sz w:val="20"/>
                <w:szCs w:val="20"/>
              </w:rPr>
              <w:t>the selected works.</w:t>
            </w:r>
          </w:p>
          <w:p w14:paraId="086D5084" w14:textId="77777777" w:rsidR="00C019A0" w:rsidRDefault="00C019A0" w:rsidP="00C019A0">
            <w:pPr>
              <w:pStyle w:val="ListParagraph"/>
              <w:numPr>
                <w:ilvl w:val="0"/>
                <w:numId w:val="11"/>
              </w:numPr>
              <w:spacing w:after="0" w:line="240" w:lineRule="auto"/>
              <w:ind w:left="240" w:hanging="240"/>
              <w:rPr>
                <w:rFonts w:ascii="Arial" w:hAnsi="Arial" w:cs="Arial"/>
                <w:sz w:val="20"/>
                <w:szCs w:val="20"/>
              </w:rPr>
            </w:pPr>
            <w:r>
              <w:rPr>
                <w:rFonts w:ascii="Arial" w:hAnsi="Arial" w:cs="Arial"/>
                <w:sz w:val="20"/>
                <w:szCs w:val="20"/>
              </w:rPr>
              <w:t>Allowing exhibition of original works or copies.</w:t>
            </w:r>
          </w:p>
          <w:p w14:paraId="64B67FBD" w14:textId="77777777" w:rsidR="00C019A0" w:rsidRPr="00D60ABD" w:rsidRDefault="00C019A0" w:rsidP="00C019A0">
            <w:pPr>
              <w:pStyle w:val="ListParagraph"/>
              <w:numPr>
                <w:ilvl w:val="0"/>
                <w:numId w:val="11"/>
              </w:numPr>
              <w:spacing w:after="0" w:line="240" w:lineRule="auto"/>
              <w:ind w:left="240" w:hanging="240"/>
              <w:rPr>
                <w:rFonts w:ascii="Arial" w:hAnsi="Arial" w:cs="Arial"/>
                <w:sz w:val="20"/>
                <w:szCs w:val="20"/>
              </w:rPr>
            </w:pPr>
            <w:r>
              <w:rPr>
                <w:rFonts w:ascii="Arial" w:hAnsi="Arial" w:cs="Arial"/>
                <w:sz w:val="20"/>
                <w:szCs w:val="20"/>
              </w:rPr>
              <w:t xml:space="preserve">Permitting exhibitions on the </w:t>
            </w:r>
            <w:r w:rsidRPr="00D60ABD">
              <w:rPr>
                <w:rFonts w:ascii="Arial" w:hAnsi="Arial" w:cs="Arial"/>
                <w:sz w:val="20"/>
                <w:szCs w:val="20"/>
              </w:rPr>
              <w:t>institution’s premises</w:t>
            </w:r>
            <w:r>
              <w:rPr>
                <w:rFonts w:ascii="Arial" w:hAnsi="Arial" w:cs="Arial"/>
                <w:sz w:val="20"/>
                <w:szCs w:val="20"/>
              </w:rPr>
              <w:t>.</w:t>
            </w:r>
          </w:p>
          <w:p w14:paraId="484F60CF" w14:textId="77777777" w:rsidR="00C019A0" w:rsidRPr="00D60ABD" w:rsidRDefault="00C019A0" w:rsidP="00C019A0">
            <w:pPr>
              <w:pStyle w:val="ListParagraph"/>
              <w:numPr>
                <w:ilvl w:val="0"/>
                <w:numId w:val="11"/>
              </w:numPr>
              <w:spacing w:after="0" w:line="240" w:lineRule="auto"/>
              <w:ind w:left="240" w:hanging="240"/>
              <w:rPr>
                <w:rFonts w:ascii="Arial" w:hAnsi="Arial" w:cs="Arial"/>
                <w:sz w:val="20"/>
                <w:szCs w:val="20"/>
              </w:rPr>
            </w:pPr>
            <w:r w:rsidRPr="00D60ABD">
              <w:rPr>
                <w:rFonts w:ascii="Arial" w:hAnsi="Arial" w:cs="Arial"/>
                <w:sz w:val="20"/>
                <w:szCs w:val="20"/>
              </w:rPr>
              <w:t>Allowing access at other locations under defined conditions.</w:t>
            </w:r>
          </w:p>
          <w:p w14:paraId="2841B54D" w14:textId="77777777" w:rsidR="00C019A0" w:rsidRPr="00D60ABD" w:rsidRDefault="00C019A0" w:rsidP="00C019A0">
            <w:pPr>
              <w:pStyle w:val="ListParagraph"/>
              <w:numPr>
                <w:ilvl w:val="0"/>
                <w:numId w:val="11"/>
              </w:numPr>
              <w:spacing w:after="0" w:line="240" w:lineRule="auto"/>
              <w:ind w:left="240" w:hanging="240"/>
              <w:rPr>
                <w:rFonts w:ascii="Arial" w:hAnsi="Arial" w:cs="Arial"/>
                <w:sz w:val="20"/>
                <w:szCs w:val="20"/>
              </w:rPr>
            </w:pPr>
            <w:r w:rsidRPr="00D60ABD">
              <w:rPr>
                <w:rFonts w:ascii="Arial" w:hAnsi="Arial" w:cs="Arial"/>
                <w:sz w:val="20"/>
                <w:szCs w:val="20"/>
              </w:rPr>
              <w:t>Allowing copies of works</w:t>
            </w:r>
            <w:r>
              <w:rPr>
                <w:rFonts w:ascii="Arial" w:hAnsi="Arial" w:cs="Arial"/>
                <w:sz w:val="20"/>
                <w:szCs w:val="20"/>
              </w:rPr>
              <w:t xml:space="preserve"> for related uses, such as advertising, promotion, and books and other uses</w:t>
            </w:r>
            <w:r w:rsidRPr="00D60ABD">
              <w:rPr>
                <w:rFonts w:ascii="Arial" w:hAnsi="Arial" w:cs="Arial"/>
                <w:sz w:val="20"/>
                <w:szCs w:val="20"/>
              </w:rPr>
              <w:t>.</w:t>
            </w:r>
          </w:p>
          <w:p w14:paraId="7BD5051D" w14:textId="77777777" w:rsidR="00C019A0" w:rsidRPr="00D60ABD" w:rsidRDefault="00C019A0" w:rsidP="008069EB">
            <w:pPr>
              <w:rPr>
                <w:sz w:val="20"/>
                <w:szCs w:val="20"/>
              </w:rPr>
            </w:pPr>
          </w:p>
        </w:tc>
        <w:tc>
          <w:tcPr>
            <w:tcW w:w="1980" w:type="dxa"/>
          </w:tcPr>
          <w:p w14:paraId="363227F1" w14:textId="77777777" w:rsidR="00C019A0" w:rsidRPr="00D60ABD" w:rsidRDefault="00C019A0" w:rsidP="008069EB">
            <w:pPr>
              <w:rPr>
                <w:iCs/>
                <w:sz w:val="20"/>
                <w:szCs w:val="20"/>
              </w:rPr>
            </w:pPr>
          </w:p>
          <w:p w14:paraId="3D330C83" w14:textId="77777777" w:rsidR="00C019A0" w:rsidRDefault="00C019A0" w:rsidP="00C019A0">
            <w:pPr>
              <w:pStyle w:val="ListParagraph"/>
              <w:numPr>
                <w:ilvl w:val="0"/>
                <w:numId w:val="11"/>
              </w:numPr>
              <w:spacing w:line="240" w:lineRule="auto"/>
              <w:ind w:left="186" w:hanging="186"/>
              <w:rPr>
                <w:rFonts w:ascii="Arial" w:hAnsi="Arial" w:cs="Arial"/>
                <w:iCs/>
                <w:sz w:val="20"/>
                <w:szCs w:val="20"/>
              </w:rPr>
            </w:pPr>
            <w:r w:rsidRPr="00510054">
              <w:rPr>
                <w:rFonts w:ascii="Arial" w:hAnsi="Arial" w:cs="Arial"/>
                <w:iCs/>
                <w:sz w:val="20"/>
                <w:szCs w:val="20"/>
              </w:rPr>
              <w:t>Reproduction</w:t>
            </w:r>
            <w:r>
              <w:rPr>
                <w:rFonts w:ascii="Arial" w:hAnsi="Arial" w:cs="Arial"/>
                <w:iCs/>
                <w:sz w:val="20"/>
                <w:szCs w:val="20"/>
              </w:rPr>
              <w:t xml:space="preserve"> of works placed on exhibition</w:t>
            </w:r>
            <w:r w:rsidRPr="00510054">
              <w:rPr>
                <w:rFonts w:ascii="Arial" w:hAnsi="Arial" w:cs="Arial"/>
                <w:iCs/>
                <w:sz w:val="20"/>
                <w:szCs w:val="20"/>
              </w:rPr>
              <w:t>.</w:t>
            </w:r>
          </w:p>
          <w:p w14:paraId="6A73CDC3" w14:textId="77777777" w:rsidR="00C019A0" w:rsidRPr="00510054" w:rsidRDefault="00C019A0" w:rsidP="00C019A0">
            <w:pPr>
              <w:pStyle w:val="ListParagraph"/>
              <w:numPr>
                <w:ilvl w:val="0"/>
                <w:numId w:val="11"/>
              </w:numPr>
              <w:spacing w:line="240" w:lineRule="auto"/>
              <w:ind w:left="186" w:hanging="186"/>
              <w:rPr>
                <w:rFonts w:ascii="Arial" w:hAnsi="Arial" w:cs="Arial"/>
                <w:iCs/>
                <w:sz w:val="20"/>
                <w:szCs w:val="20"/>
              </w:rPr>
            </w:pPr>
            <w:r>
              <w:rPr>
                <w:rFonts w:ascii="Arial" w:hAnsi="Arial" w:cs="Arial"/>
                <w:iCs/>
                <w:sz w:val="20"/>
                <w:szCs w:val="20"/>
              </w:rPr>
              <w:t>Reproduction of selected works for promotion of the exhibition.</w:t>
            </w:r>
          </w:p>
          <w:p w14:paraId="77A99950" w14:textId="77777777" w:rsidR="00C019A0" w:rsidRPr="00510054" w:rsidRDefault="00C019A0" w:rsidP="00C019A0">
            <w:pPr>
              <w:pStyle w:val="ListParagraph"/>
              <w:numPr>
                <w:ilvl w:val="0"/>
                <w:numId w:val="11"/>
              </w:numPr>
              <w:spacing w:line="240" w:lineRule="auto"/>
              <w:ind w:left="186" w:hanging="186"/>
              <w:rPr>
                <w:rFonts w:ascii="Arial" w:hAnsi="Arial" w:cs="Arial"/>
                <w:iCs/>
                <w:sz w:val="20"/>
                <w:szCs w:val="20"/>
              </w:rPr>
            </w:pPr>
            <w:r w:rsidRPr="00510054">
              <w:rPr>
                <w:rFonts w:ascii="Arial" w:hAnsi="Arial" w:cs="Arial"/>
                <w:iCs/>
                <w:sz w:val="20"/>
                <w:szCs w:val="20"/>
              </w:rPr>
              <w:t>Digital dissemination</w:t>
            </w:r>
            <w:r>
              <w:rPr>
                <w:rFonts w:ascii="Arial" w:hAnsi="Arial" w:cs="Arial"/>
                <w:iCs/>
                <w:sz w:val="20"/>
                <w:szCs w:val="20"/>
              </w:rPr>
              <w:t xml:space="preserve"> of online exhibition</w:t>
            </w:r>
            <w:r w:rsidRPr="00510054">
              <w:rPr>
                <w:rFonts w:ascii="Arial" w:hAnsi="Arial" w:cs="Arial"/>
                <w:iCs/>
                <w:sz w:val="20"/>
                <w:szCs w:val="20"/>
              </w:rPr>
              <w:t>.</w:t>
            </w:r>
          </w:p>
          <w:p w14:paraId="406B8C59" w14:textId="77777777" w:rsidR="00C019A0" w:rsidRPr="00510054" w:rsidRDefault="00C019A0" w:rsidP="00C019A0">
            <w:pPr>
              <w:pStyle w:val="ListParagraph"/>
              <w:numPr>
                <w:ilvl w:val="0"/>
                <w:numId w:val="11"/>
              </w:numPr>
              <w:spacing w:line="240" w:lineRule="auto"/>
              <w:ind w:left="186" w:hanging="186"/>
              <w:rPr>
                <w:rFonts w:ascii="Arial" w:hAnsi="Arial" w:cs="Arial"/>
                <w:iCs/>
                <w:sz w:val="20"/>
                <w:szCs w:val="20"/>
              </w:rPr>
            </w:pPr>
            <w:proofErr w:type="gramStart"/>
            <w:r w:rsidRPr="00510054">
              <w:rPr>
                <w:rFonts w:ascii="Arial" w:hAnsi="Arial" w:cs="Arial"/>
                <w:iCs/>
                <w:sz w:val="20"/>
                <w:szCs w:val="20"/>
              </w:rPr>
              <w:t>Making</w:t>
            </w:r>
            <w:proofErr w:type="gramEnd"/>
            <w:r w:rsidRPr="00510054">
              <w:rPr>
                <w:rFonts w:ascii="Arial" w:hAnsi="Arial" w:cs="Arial"/>
                <w:iCs/>
                <w:sz w:val="20"/>
                <w:szCs w:val="20"/>
              </w:rPr>
              <w:t xml:space="preserve"> available.</w:t>
            </w:r>
          </w:p>
          <w:p w14:paraId="78F3F697" w14:textId="77777777" w:rsidR="00C019A0" w:rsidRPr="00510054" w:rsidRDefault="00C019A0" w:rsidP="00C019A0">
            <w:pPr>
              <w:pStyle w:val="ListParagraph"/>
              <w:numPr>
                <w:ilvl w:val="0"/>
                <w:numId w:val="11"/>
              </w:numPr>
              <w:spacing w:line="240" w:lineRule="auto"/>
              <w:ind w:left="186" w:hanging="186"/>
              <w:rPr>
                <w:rFonts w:ascii="Arial" w:hAnsi="Arial" w:cs="Arial"/>
                <w:iCs/>
                <w:sz w:val="20"/>
                <w:szCs w:val="20"/>
              </w:rPr>
            </w:pPr>
            <w:r w:rsidRPr="00510054">
              <w:rPr>
                <w:rFonts w:ascii="Arial" w:hAnsi="Arial" w:cs="Arial"/>
                <w:iCs/>
                <w:sz w:val="20"/>
                <w:szCs w:val="20"/>
              </w:rPr>
              <w:t>Public display or performance.</w:t>
            </w:r>
          </w:p>
          <w:p w14:paraId="4247EAE7" w14:textId="77777777" w:rsidR="00C019A0" w:rsidRPr="00510054" w:rsidRDefault="00C019A0" w:rsidP="00C019A0">
            <w:pPr>
              <w:pStyle w:val="ListParagraph"/>
              <w:numPr>
                <w:ilvl w:val="0"/>
                <w:numId w:val="11"/>
              </w:numPr>
              <w:spacing w:line="240" w:lineRule="auto"/>
              <w:ind w:left="186" w:hanging="186"/>
              <w:rPr>
                <w:rFonts w:ascii="Arial" w:hAnsi="Arial" w:cs="Arial"/>
                <w:iCs/>
                <w:sz w:val="20"/>
                <w:szCs w:val="20"/>
              </w:rPr>
            </w:pPr>
            <w:r w:rsidRPr="00510054">
              <w:rPr>
                <w:rFonts w:ascii="Arial" w:hAnsi="Arial" w:cs="Arial"/>
                <w:iCs/>
                <w:sz w:val="20"/>
                <w:szCs w:val="20"/>
              </w:rPr>
              <w:t>Moral rights.</w:t>
            </w:r>
          </w:p>
          <w:p w14:paraId="5C0B770F" w14:textId="77777777" w:rsidR="00C019A0" w:rsidRDefault="00C019A0" w:rsidP="00C019A0">
            <w:pPr>
              <w:pStyle w:val="ListParagraph"/>
              <w:numPr>
                <w:ilvl w:val="0"/>
                <w:numId w:val="11"/>
              </w:numPr>
              <w:spacing w:line="240" w:lineRule="auto"/>
              <w:ind w:left="186" w:hanging="186"/>
              <w:rPr>
                <w:rFonts w:ascii="Arial" w:hAnsi="Arial" w:cs="Arial"/>
                <w:iCs/>
                <w:sz w:val="20"/>
                <w:szCs w:val="20"/>
              </w:rPr>
            </w:pPr>
            <w:r w:rsidRPr="00510054">
              <w:rPr>
                <w:rFonts w:ascii="Arial" w:hAnsi="Arial" w:cs="Arial"/>
                <w:iCs/>
                <w:sz w:val="20"/>
                <w:szCs w:val="20"/>
              </w:rPr>
              <w:t>Individual and collective licensing.</w:t>
            </w:r>
          </w:p>
          <w:p w14:paraId="3EE35DCE" w14:textId="77777777" w:rsidR="00C019A0" w:rsidRPr="00E07B6B" w:rsidRDefault="00C019A0" w:rsidP="008069EB">
            <w:pPr>
              <w:pStyle w:val="ListParagraph"/>
              <w:ind w:left="186"/>
              <w:rPr>
                <w:rFonts w:ascii="Arial" w:hAnsi="Arial" w:cs="Arial"/>
                <w:iCs/>
                <w:sz w:val="20"/>
                <w:szCs w:val="20"/>
              </w:rPr>
            </w:pPr>
          </w:p>
        </w:tc>
        <w:tc>
          <w:tcPr>
            <w:tcW w:w="3150" w:type="dxa"/>
          </w:tcPr>
          <w:p w14:paraId="33927C22" w14:textId="77777777" w:rsidR="00C019A0" w:rsidRPr="00D60ABD" w:rsidRDefault="00C019A0" w:rsidP="008069EB">
            <w:pPr>
              <w:rPr>
                <w:i/>
                <w:sz w:val="20"/>
                <w:szCs w:val="20"/>
              </w:rPr>
            </w:pPr>
          </w:p>
          <w:p w14:paraId="15B0E518" w14:textId="77777777" w:rsidR="00C019A0" w:rsidRPr="00E07B6B" w:rsidRDefault="00C019A0" w:rsidP="008069EB">
            <w:pPr>
              <w:rPr>
                <w:iCs/>
                <w:sz w:val="20"/>
                <w:szCs w:val="20"/>
              </w:rPr>
            </w:pPr>
            <w:r w:rsidRPr="00E07B6B">
              <w:rPr>
                <w:i/>
                <w:sz w:val="20"/>
                <w:szCs w:val="20"/>
              </w:rPr>
              <w:t>Which Institutions:</w:t>
            </w:r>
          </w:p>
          <w:p w14:paraId="3E517ACC" w14:textId="77777777" w:rsidR="00C019A0" w:rsidRPr="00E07B6B" w:rsidRDefault="00C019A0" w:rsidP="00C019A0">
            <w:pPr>
              <w:pStyle w:val="ListParagraph"/>
              <w:numPr>
                <w:ilvl w:val="0"/>
                <w:numId w:val="12"/>
              </w:numPr>
              <w:spacing w:line="240" w:lineRule="auto"/>
              <w:ind w:left="200" w:hanging="200"/>
              <w:rPr>
                <w:rFonts w:ascii="Arial" w:hAnsi="Arial" w:cs="Arial"/>
                <w:iCs/>
                <w:sz w:val="20"/>
                <w:szCs w:val="20"/>
              </w:rPr>
            </w:pPr>
            <w:r w:rsidRPr="00E07B6B">
              <w:rPr>
                <w:rFonts w:ascii="Arial" w:hAnsi="Arial" w:cs="Arial"/>
                <w:iCs/>
                <w:sz w:val="20"/>
                <w:szCs w:val="20"/>
              </w:rPr>
              <w:t>Leading cultural heritage institutions, such as libraries, archives, and museums</w:t>
            </w:r>
          </w:p>
          <w:p w14:paraId="56E0BCF9" w14:textId="77777777" w:rsidR="00C019A0" w:rsidRPr="00E07B6B" w:rsidRDefault="00C019A0" w:rsidP="00C019A0">
            <w:pPr>
              <w:pStyle w:val="ListParagraph"/>
              <w:numPr>
                <w:ilvl w:val="0"/>
                <w:numId w:val="12"/>
              </w:numPr>
              <w:spacing w:line="240" w:lineRule="auto"/>
              <w:ind w:left="200" w:hanging="200"/>
              <w:rPr>
                <w:rFonts w:ascii="Arial" w:hAnsi="Arial" w:cs="Arial"/>
                <w:iCs/>
                <w:sz w:val="20"/>
                <w:szCs w:val="20"/>
              </w:rPr>
            </w:pPr>
            <w:r w:rsidRPr="00E07B6B">
              <w:rPr>
                <w:rFonts w:ascii="Arial" w:hAnsi="Arial" w:cs="Arial"/>
                <w:iCs/>
                <w:sz w:val="20"/>
                <w:szCs w:val="20"/>
              </w:rPr>
              <w:t>Other possible institutions, such as research and scientific centers, educational institutions.</w:t>
            </w:r>
          </w:p>
          <w:p w14:paraId="06BE86A2" w14:textId="77777777" w:rsidR="00C019A0" w:rsidRDefault="00C019A0" w:rsidP="00C019A0">
            <w:pPr>
              <w:pStyle w:val="ListParagraph"/>
              <w:numPr>
                <w:ilvl w:val="0"/>
                <w:numId w:val="12"/>
              </w:numPr>
              <w:spacing w:line="240" w:lineRule="auto"/>
              <w:ind w:left="200" w:hanging="200"/>
              <w:rPr>
                <w:rFonts w:ascii="Arial" w:hAnsi="Arial" w:cs="Arial"/>
                <w:iCs/>
                <w:sz w:val="20"/>
                <w:szCs w:val="20"/>
              </w:rPr>
            </w:pPr>
            <w:r w:rsidRPr="00E07B6B">
              <w:rPr>
                <w:rFonts w:ascii="Arial" w:hAnsi="Arial" w:cs="Arial"/>
                <w:iCs/>
                <w:sz w:val="20"/>
                <w:szCs w:val="20"/>
              </w:rPr>
              <w:t>Definitions or conditions, such as nonprofit or open to public, or types of institutions.</w:t>
            </w:r>
          </w:p>
          <w:p w14:paraId="563FB716" w14:textId="77777777" w:rsidR="00C019A0" w:rsidRPr="00E07B6B" w:rsidRDefault="00C019A0" w:rsidP="00C019A0">
            <w:pPr>
              <w:pStyle w:val="ListParagraph"/>
              <w:numPr>
                <w:ilvl w:val="0"/>
                <w:numId w:val="12"/>
              </w:numPr>
              <w:spacing w:line="240" w:lineRule="auto"/>
              <w:ind w:left="200" w:hanging="200"/>
              <w:rPr>
                <w:rFonts w:ascii="Arial" w:hAnsi="Arial" w:cs="Arial"/>
                <w:iCs/>
                <w:sz w:val="20"/>
                <w:szCs w:val="20"/>
              </w:rPr>
            </w:pPr>
            <w:r>
              <w:rPr>
                <w:rFonts w:ascii="Arial" w:hAnsi="Arial" w:cs="Arial"/>
                <w:iCs/>
                <w:sz w:val="20"/>
                <w:szCs w:val="20"/>
              </w:rPr>
              <w:t>Clarify whether access can be limited to certain communities and whether fees charged for admission.</w:t>
            </w:r>
          </w:p>
          <w:p w14:paraId="655FB6B5" w14:textId="77777777" w:rsidR="00C019A0" w:rsidRPr="00E07B6B" w:rsidRDefault="00C019A0" w:rsidP="008069EB">
            <w:pPr>
              <w:rPr>
                <w:sz w:val="20"/>
                <w:szCs w:val="20"/>
              </w:rPr>
            </w:pPr>
            <w:r w:rsidRPr="00E07B6B">
              <w:rPr>
                <w:i/>
                <w:sz w:val="20"/>
                <w:szCs w:val="20"/>
              </w:rPr>
              <w:t>Scope of Works:</w:t>
            </w:r>
          </w:p>
          <w:p w14:paraId="23F1374A" w14:textId="77777777" w:rsidR="00C019A0" w:rsidRDefault="00C019A0" w:rsidP="00C019A0">
            <w:pPr>
              <w:pStyle w:val="ListParagraph"/>
              <w:numPr>
                <w:ilvl w:val="0"/>
                <w:numId w:val="10"/>
              </w:numPr>
              <w:spacing w:line="240" w:lineRule="auto"/>
              <w:ind w:left="240" w:hanging="240"/>
              <w:rPr>
                <w:rFonts w:ascii="Arial" w:hAnsi="Arial" w:cs="Arial"/>
                <w:sz w:val="20"/>
                <w:szCs w:val="20"/>
              </w:rPr>
            </w:pPr>
            <w:r w:rsidRPr="00E07B6B">
              <w:rPr>
                <w:rFonts w:ascii="Arial" w:hAnsi="Arial" w:cs="Arial"/>
                <w:sz w:val="20"/>
                <w:szCs w:val="20"/>
              </w:rPr>
              <w:t>Any type of work.</w:t>
            </w:r>
          </w:p>
          <w:p w14:paraId="77E2DD2F" w14:textId="77777777" w:rsidR="00C019A0" w:rsidRPr="00E07B6B" w:rsidRDefault="00C019A0" w:rsidP="00C019A0">
            <w:pPr>
              <w:pStyle w:val="ListParagraph"/>
              <w:numPr>
                <w:ilvl w:val="0"/>
                <w:numId w:val="10"/>
              </w:numPr>
              <w:spacing w:line="240" w:lineRule="auto"/>
              <w:ind w:left="240" w:hanging="240"/>
              <w:rPr>
                <w:rFonts w:ascii="Arial" w:hAnsi="Arial" w:cs="Arial"/>
                <w:sz w:val="20"/>
                <w:szCs w:val="20"/>
              </w:rPr>
            </w:pPr>
            <w:r>
              <w:rPr>
                <w:rFonts w:ascii="Arial" w:hAnsi="Arial" w:cs="Arial"/>
                <w:sz w:val="20"/>
                <w:szCs w:val="20"/>
              </w:rPr>
              <w:t>Diverse media.</w:t>
            </w:r>
          </w:p>
          <w:p w14:paraId="554C42F8" w14:textId="77777777" w:rsidR="00C019A0" w:rsidRPr="00BE1CCD" w:rsidRDefault="00C019A0" w:rsidP="00C019A0">
            <w:pPr>
              <w:pStyle w:val="ListParagraph"/>
              <w:numPr>
                <w:ilvl w:val="0"/>
                <w:numId w:val="10"/>
              </w:numPr>
              <w:spacing w:line="240" w:lineRule="auto"/>
              <w:ind w:left="240" w:hanging="240"/>
              <w:rPr>
                <w:rFonts w:ascii="Arial" w:hAnsi="Arial" w:cs="Arial"/>
                <w:sz w:val="20"/>
                <w:szCs w:val="20"/>
              </w:rPr>
            </w:pPr>
            <w:r w:rsidRPr="00E07B6B">
              <w:rPr>
                <w:rFonts w:ascii="Arial" w:hAnsi="Arial" w:cs="Arial"/>
                <w:sz w:val="20"/>
                <w:szCs w:val="20"/>
              </w:rPr>
              <w:t xml:space="preserve">Limit to certain types of </w:t>
            </w:r>
            <w:proofErr w:type="gramStart"/>
            <w:r w:rsidRPr="00E07B6B">
              <w:rPr>
                <w:rFonts w:ascii="Arial" w:hAnsi="Arial" w:cs="Arial"/>
                <w:sz w:val="20"/>
                <w:szCs w:val="20"/>
              </w:rPr>
              <w:t>works</w:t>
            </w:r>
            <w:proofErr w:type="gramEnd"/>
            <w:r w:rsidRPr="00E07B6B">
              <w:rPr>
                <w:rFonts w:ascii="Arial" w:hAnsi="Arial" w:cs="Arial"/>
                <w:sz w:val="20"/>
                <w:szCs w:val="20"/>
              </w:rPr>
              <w:t xml:space="preserve"> as appropriate</w:t>
            </w:r>
            <w:r>
              <w:rPr>
                <w:rFonts w:ascii="Arial" w:hAnsi="Arial" w:cs="Arial"/>
                <w:sz w:val="20"/>
                <w:szCs w:val="20"/>
              </w:rPr>
              <w:t>.</w:t>
            </w:r>
          </w:p>
          <w:p w14:paraId="69B1F756" w14:textId="77777777" w:rsidR="00C019A0" w:rsidRPr="00E07B6B" w:rsidRDefault="00C019A0" w:rsidP="008069EB">
            <w:pPr>
              <w:rPr>
                <w:i/>
                <w:iCs/>
                <w:sz w:val="20"/>
                <w:szCs w:val="20"/>
              </w:rPr>
            </w:pPr>
            <w:r w:rsidRPr="00E07B6B">
              <w:rPr>
                <w:i/>
                <w:iCs/>
                <w:sz w:val="20"/>
                <w:szCs w:val="20"/>
              </w:rPr>
              <w:t>Location of Permitted Access:</w:t>
            </w:r>
          </w:p>
          <w:p w14:paraId="6B6A96E0" w14:textId="77777777" w:rsidR="00C019A0" w:rsidRPr="00E07B6B" w:rsidRDefault="00C019A0" w:rsidP="00C019A0">
            <w:pPr>
              <w:pStyle w:val="ListParagraph"/>
              <w:numPr>
                <w:ilvl w:val="0"/>
                <w:numId w:val="21"/>
              </w:numPr>
              <w:spacing w:line="240" w:lineRule="auto"/>
              <w:ind w:left="251" w:hanging="251"/>
              <w:rPr>
                <w:rFonts w:ascii="Arial" w:hAnsi="Arial" w:cs="Arial"/>
                <w:sz w:val="20"/>
                <w:szCs w:val="20"/>
              </w:rPr>
            </w:pPr>
            <w:r w:rsidRPr="00E07B6B">
              <w:rPr>
                <w:rFonts w:ascii="Arial" w:hAnsi="Arial" w:cs="Arial"/>
                <w:sz w:val="20"/>
                <w:szCs w:val="20"/>
              </w:rPr>
              <w:t>Premises of the Institution.</w:t>
            </w:r>
          </w:p>
          <w:p w14:paraId="732AFA25" w14:textId="77777777" w:rsidR="00C019A0" w:rsidRPr="00E07B6B" w:rsidRDefault="00C019A0" w:rsidP="00C019A0">
            <w:pPr>
              <w:pStyle w:val="ListParagraph"/>
              <w:numPr>
                <w:ilvl w:val="0"/>
                <w:numId w:val="21"/>
              </w:numPr>
              <w:spacing w:line="240" w:lineRule="auto"/>
              <w:ind w:left="251" w:hanging="251"/>
              <w:rPr>
                <w:rFonts w:ascii="Arial" w:hAnsi="Arial" w:cs="Arial"/>
                <w:sz w:val="20"/>
                <w:szCs w:val="20"/>
              </w:rPr>
            </w:pPr>
            <w:r w:rsidRPr="00E07B6B">
              <w:rPr>
                <w:rFonts w:ascii="Arial" w:hAnsi="Arial" w:cs="Arial"/>
                <w:sz w:val="20"/>
                <w:szCs w:val="20"/>
              </w:rPr>
              <w:t>Remote access with conditions.</w:t>
            </w:r>
          </w:p>
          <w:p w14:paraId="52CB5780" w14:textId="77777777" w:rsidR="00C019A0" w:rsidRPr="00632A92" w:rsidRDefault="00C019A0" w:rsidP="008069EB">
            <w:pPr>
              <w:rPr>
                <w:sz w:val="20"/>
                <w:szCs w:val="20"/>
              </w:rPr>
            </w:pPr>
          </w:p>
        </w:tc>
        <w:tc>
          <w:tcPr>
            <w:tcW w:w="2610" w:type="dxa"/>
          </w:tcPr>
          <w:p w14:paraId="5DE89F4B" w14:textId="77777777" w:rsidR="00C019A0" w:rsidRPr="00D60ABD" w:rsidRDefault="00C019A0" w:rsidP="008069EB">
            <w:pPr>
              <w:rPr>
                <w:sz w:val="20"/>
                <w:szCs w:val="20"/>
              </w:rPr>
            </w:pPr>
          </w:p>
          <w:p w14:paraId="4033D943" w14:textId="77777777" w:rsidR="00C019A0" w:rsidRDefault="00C019A0" w:rsidP="008069EB">
            <w:pPr>
              <w:rPr>
                <w:i/>
                <w:iCs/>
                <w:sz w:val="20"/>
                <w:szCs w:val="20"/>
              </w:rPr>
            </w:pPr>
            <w:r w:rsidRPr="00D60ABD">
              <w:rPr>
                <w:i/>
                <w:iCs/>
                <w:sz w:val="20"/>
                <w:szCs w:val="20"/>
              </w:rPr>
              <w:t>…</w:t>
            </w:r>
            <w:r>
              <w:rPr>
                <w:i/>
                <w:iCs/>
                <w:sz w:val="20"/>
                <w:szCs w:val="20"/>
              </w:rPr>
              <w:t>institution may include in exhibitions any display or performance, or other relevant use, of any work in its collections, whether such work is in its original form or is a copy of it…</w:t>
            </w:r>
          </w:p>
          <w:p w14:paraId="2022B117" w14:textId="77777777" w:rsidR="00C019A0" w:rsidRDefault="00C019A0" w:rsidP="008069EB">
            <w:pPr>
              <w:rPr>
                <w:i/>
                <w:iCs/>
                <w:sz w:val="20"/>
                <w:szCs w:val="20"/>
              </w:rPr>
            </w:pPr>
          </w:p>
          <w:p w14:paraId="6DF07959" w14:textId="77777777" w:rsidR="00C019A0" w:rsidRDefault="00C019A0" w:rsidP="008069EB">
            <w:pPr>
              <w:rPr>
                <w:i/>
                <w:iCs/>
                <w:sz w:val="20"/>
                <w:szCs w:val="20"/>
              </w:rPr>
            </w:pPr>
            <w:r>
              <w:rPr>
                <w:i/>
                <w:iCs/>
                <w:sz w:val="20"/>
                <w:szCs w:val="20"/>
              </w:rPr>
              <w:t xml:space="preserve">…works may be accessible </w:t>
            </w:r>
            <w:r w:rsidRPr="00D60ABD">
              <w:rPr>
                <w:i/>
                <w:iCs/>
                <w:sz w:val="20"/>
                <w:szCs w:val="20"/>
              </w:rPr>
              <w:t>at any location that is administered as part of the same institution…</w:t>
            </w:r>
          </w:p>
          <w:p w14:paraId="3D6C3BCD" w14:textId="77777777" w:rsidR="00C019A0" w:rsidRDefault="00C019A0" w:rsidP="008069EB">
            <w:pPr>
              <w:rPr>
                <w:i/>
                <w:iCs/>
                <w:sz w:val="20"/>
                <w:szCs w:val="20"/>
              </w:rPr>
            </w:pPr>
          </w:p>
          <w:p w14:paraId="7C3EF3AC" w14:textId="77777777" w:rsidR="00C019A0" w:rsidRPr="00D60ABD" w:rsidRDefault="00C019A0" w:rsidP="008069EB">
            <w:pPr>
              <w:rPr>
                <w:i/>
                <w:iCs/>
                <w:sz w:val="20"/>
                <w:szCs w:val="20"/>
              </w:rPr>
            </w:pPr>
            <w:r>
              <w:rPr>
                <w:i/>
                <w:iCs/>
                <w:sz w:val="20"/>
                <w:szCs w:val="20"/>
              </w:rPr>
              <w:t>…institution may maintain availability of works without limit on duration, provided any uses of the work are part of or related to the exhibition…</w:t>
            </w:r>
          </w:p>
          <w:p w14:paraId="16170346" w14:textId="77777777" w:rsidR="00C019A0" w:rsidRPr="00D60ABD" w:rsidRDefault="00C019A0" w:rsidP="008069EB">
            <w:pPr>
              <w:rPr>
                <w:i/>
                <w:iCs/>
                <w:sz w:val="20"/>
                <w:szCs w:val="20"/>
              </w:rPr>
            </w:pPr>
          </w:p>
          <w:p w14:paraId="0BE55C97" w14:textId="77777777" w:rsidR="00C019A0" w:rsidRDefault="00C019A0" w:rsidP="008069EB">
            <w:pPr>
              <w:rPr>
                <w:i/>
                <w:iCs/>
                <w:sz w:val="20"/>
                <w:szCs w:val="20"/>
              </w:rPr>
            </w:pPr>
            <w:r w:rsidRPr="00D60ABD">
              <w:rPr>
                <w:i/>
                <w:iCs/>
                <w:sz w:val="20"/>
                <w:szCs w:val="20"/>
              </w:rPr>
              <w:t xml:space="preserve">…exception applies notwithstanding </w:t>
            </w:r>
            <w:r>
              <w:rPr>
                <w:i/>
                <w:iCs/>
                <w:sz w:val="20"/>
                <w:szCs w:val="20"/>
              </w:rPr>
              <w:t xml:space="preserve">collective </w:t>
            </w:r>
            <w:r w:rsidRPr="00D60ABD">
              <w:rPr>
                <w:i/>
                <w:iCs/>
                <w:sz w:val="20"/>
                <w:szCs w:val="20"/>
              </w:rPr>
              <w:t>license respecting the use of the works…</w:t>
            </w:r>
          </w:p>
          <w:p w14:paraId="791DBD42" w14:textId="77777777" w:rsidR="00C019A0" w:rsidRPr="00766DED" w:rsidRDefault="00C019A0" w:rsidP="008069EB">
            <w:pPr>
              <w:rPr>
                <w:i/>
                <w:iCs/>
                <w:sz w:val="20"/>
                <w:szCs w:val="20"/>
              </w:rPr>
            </w:pPr>
          </w:p>
          <w:p w14:paraId="04F273DB" w14:textId="77777777" w:rsidR="00C019A0" w:rsidRDefault="00C019A0" w:rsidP="008069EB">
            <w:pPr>
              <w:rPr>
                <w:i/>
                <w:iCs/>
                <w:sz w:val="20"/>
                <w:szCs w:val="20"/>
              </w:rPr>
            </w:pPr>
            <w:r>
              <w:rPr>
                <w:i/>
                <w:iCs/>
                <w:sz w:val="20"/>
                <w:szCs w:val="20"/>
              </w:rPr>
              <w:t>…institution may alter or adapt formats and technological platforms as reasonably necessary to conform to the conditions of the exhibition…</w:t>
            </w:r>
          </w:p>
          <w:p w14:paraId="64535B2B" w14:textId="77777777" w:rsidR="00C019A0" w:rsidRDefault="00C019A0" w:rsidP="008069EB">
            <w:pPr>
              <w:rPr>
                <w:i/>
                <w:iCs/>
                <w:sz w:val="20"/>
                <w:szCs w:val="20"/>
              </w:rPr>
            </w:pPr>
          </w:p>
          <w:p w14:paraId="6CDD6CD1" w14:textId="77777777" w:rsidR="00C019A0" w:rsidRPr="00766DED" w:rsidRDefault="00C019A0" w:rsidP="008069EB">
            <w:pPr>
              <w:rPr>
                <w:i/>
                <w:iCs/>
                <w:sz w:val="20"/>
                <w:szCs w:val="20"/>
              </w:rPr>
            </w:pPr>
          </w:p>
        </w:tc>
      </w:tr>
    </w:tbl>
    <w:p w14:paraId="10D708D0" w14:textId="77777777" w:rsidR="00C019A0" w:rsidRDefault="00C019A0" w:rsidP="00C019A0"/>
    <w:p w14:paraId="2479D175" w14:textId="77777777" w:rsidR="00C019A0" w:rsidRPr="00D60ABD" w:rsidRDefault="00C019A0" w:rsidP="00C019A0">
      <w:pPr>
        <w:rPr>
          <w:szCs w:val="22"/>
        </w:rPr>
      </w:pPr>
      <w:r w:rsidRPr="00D60ABD">
        <w:rPr>
          <w:szCs w:val="22"/>
        </w:rPr>
        <w:br/>
        <w:t xml:space="preserve">[end of </w:t>
      </w:r>
      <w:r>
        <w:rPr>
          <w:szCs w:val="22"/>
        </w:rPr>
        <w:t>A</w:t>
      </w:r>
      <w:r w:rsidRPr="00D60ABD">
        <w:rPr>
          <w:szCs w:val="22"/>
        </w:rPr>
        <w:t>ppendix]</w:t>
      </w:r>
    </w:p>
    <w:p w14:paraId="7FBB7AFA" w14:textId="77777777" w:rsidR="00C019A0" w:rsidRDefault="00C019A0" w:rsidP="00C019A0">
      <w:pPr>
        <w:rPr>
          <w:szCs w:val="22"/>
        </w:rPr>
      </w:pPr>
    </w:p>
    <w:p w14:paraId="5669C43A" w14:textId="77777777" w:rsidR="00C019A0" w:rsidRDefault="00C019A0" w:rsidP="00C019A0">
      <w:pPr>
        <w:rPr>
          <w:szCs w:val="22"/>
        </w:rPr>
      </w:pPr>
      <w:r>
        <w:rPr>
          <w:szCs w:val="22"/>
        </w:rPr>
        <w:br w:type="page"/>
      </w:r>
    </w:p>
    <w:p w14:paraId="3299C534" w14:textId="77777777" w:rsidR="00C019A0" w:rsidRPr="00F32036" w:rsidRDefault="00C019A0" w:rsidP="00C019A0">
      <w:pPr>
        <w:rPr>
          <w:szCs w:val="22"/>
        </w:rPr>
      </w:pPr>
    </w:p>
    <w:p w14:paraId="502F3774" w14:textId="77777777" w:rsidR="00C019A0" w:rsidRPr="00F32036" w:rsidRDefault="00C019A0" w:rsidP="00C019A0">
      <w:pPr>
        <w:rPr>
          <w:szCs w:val="22"/>
        </w:rPr>
      </w:pPr>
    </w:p>
    <w:p w14:paraId="2BC2B6B8" w14:textId="77777777" w:rsidR="00C019A0" w:rsidRPr="00C019A0" w:rsidRDefault="00C019A0" w:rsidP="00C019A0">
      <w:pPr>
        <w:tabs>
          <w:tab w:val="left" w:pos="7963"/>
        </w:tabs>
      </w:pPr>
    </w:p>
    <w:sectPr w:rsidR="00C019A0" w:rsidRPr="00C019A0" w:rsidSect="00C019A0">
      <w:headerReference w:type="defaul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CD085" w14:textId="77777777" w:rsidR="003E3C9E" w:rsidRDefault="003E3C9E">
      <w:r>
        <w:separator/>
      </w:r>
    </w:p>
  </w:endnote>
  <w:endnote w:type="continuationSeparator" w:id="0">
    <w:p w14:paraId="1BFEE126" w14:textId="77777777" w:rsidR="003E3C9E" w:rsidRDefault="003E3C9E" w:rsidP="003B38C1">
      <w:r>
        <w:separator/>
      </w:r>
    </w:p>
    <w:p w14:paraId="1C103743" w14:textId="77777777" w:rsidR="003E3C9E" w:rsidRPr="003B38C1" w:rsidRDefault="003E3C9E" w:rsidP="003B38C1">
      <w:pPr>
        <w:spacing w:after="60"/>
        <w:rPr>
          <w:sz w:val="17"/>
        </w:rPr>
      </w:pPr>
      <w:r>
        <w:rPr>
          <w:sz w:val="17"/>
        </w:rPr>
        <w:t>[Endnote continued from previous page]</w:t>
      </w:r>
    </w:p>
  </w:endnote>
  <w:endnote w:type="continuationNotice" w:id="1">
    <w:p w14:paraId="608A70CA" w14:textId="77777777" w:rsidR="003E3C9E" w:rsidRPr="003B38C1" w:rsidRDefault="003E3C9E" w:rsidP="003B38C1">
      <w:pPr>
        <w:spacing w:before="60"/>
        <w:jc w:val="right"/>
        <w:rPr>
          <w:sz w:val="17"/>
          <w:szCs w:val="17"/>
        </w:rPr>
      </w:pPr>
      <w:r w:rsidRPr="003B38C1">
        <w:rPr>
          <w:sz w:val="17"/>
          <w:szCs w:val="17"/>
        </w:rPr>
        <w:t>[Endnote continued on next page]</w:t>
      </w:r>
    </w:p>
  </w:endnote>
  <w:endnote w:id="2">
    <w:p w14:paraId="7B25CF90" w14:textId="06A753E2" w:rsidR="00C019A0" w:rsidRPr="00937D4A" w:rsidRDefault="00C019A0" w:rsidP="00C019A0">
      <w:pPr>
        <w:pStyle w:val="EndnoteText"/>
        <w:rPr>
          <w:sz w:val="17"/>
          <w:szCs w:val="17"/>
        </w:rPr>
      </w:pPr>
      <w:r w:rsidRPr="00937D4A">
        <w:rPr>
          <w:rStyle w:val="EndnoteReference"/>
          <w:sz w:val="17"/>
          <w:szCs w:val="17"/>
        </w:rPr>
        <w:endnoteRef/>
      </w:r>
      <w:r w:rsidRPr="00937D4A">
        <w:rPr>
          <w:sz w:val="17"/>
          <w:szCs w:val="17"/>
        </w:rPr>
        <w:t xml:space="preserve"> WIPO International Conference on Copyright Limitations and Exceptions for Libraries, Archives, Museums and Educational &amp; Research Institutions, October 18-19, Geneva, 2019 at </w:t>
      </w:r>
      <w:hyperlink r:id="rId1" w:history="1">
        <w:r w:rsidRPr="00937D4A">
          <w:rPr>
            <w:rStyle w:val="Hyperlink"/>
            <w:sz w:val="17"/>
            <w:szCs w:val="17"/>
          </w:rPr>
          <w:t>https://www.wipo.int/meetings/en/2019/international_conference_copyright.html</w:t>
        </w:r>
      </w:hyperlink>
      <w:r w:rsidRPr="00937D4A">
        <w:rPr>
          <w:sz w:val="17"/>
          <w:szCs w:val="17"/>
        </w:rPr>
        <w:t xml:space="preserve"> accessed September 6, 2025.</w:t>
      </w:r>
    </w:p>
  </w:endnote>
  <w:endnote w:id="3">
    <w:p w14:paraId="7498D17A" w14:textId="77777777" w:rsidR="00C019A0" w:rsidRPr="00937D4A" w:rsidRDefault="00C019A0" w:rsidP="00C019A0">
      <w:pPr>
        <w:rPr>
          <w:sz w:val="17"/>
          <w:szCs w:val="17"/>
        </w:rPr>
      </w:pPr>
    </w:p>
    <w:p w14:paraId="25A9336D" w14:textId="77777777" w:rsidR="00C019A0" w:rsidRPr="00937D4A" w:rsidRDefault="00C019A0" w:rsidP="00C019A0">
      <w:pPr>
        <w:rPr>
          <w:rFonts w:eastAsia="Times New Roman"/>
          <w:color w:val="000000"/>
          <w:sz w:val="17"/>
          <w:szCs w:val="17"/>
        </w:rPr>
      </w:pPr>
      <w:r w:rsidRPr="00937D4A">
        <w:rPr>
          <w:rStyle w:val="EndnoteReference"/>
          <w:sz w:val="17"/>
          <w:szCs w:val="17"/>
        </w:rPr>
        <w:endnoteRef/>
      </w:r>
      <w:r w:rsidRPr="00937D4A">
        <w:rPr>
          <w:sz w:val="17"/>
          <w:szCs w:val="17"/>
        </w:rPr>
        <w:t xml:space="preserve"> </w:t>
      </w:r>
      <w:r w:rsidRPr="00937D4A">
        <w:rPr>
          <w:rFonts w:eastAsia="Times New Roman"/>
          <w:color w:val="000000"/>
          <w:sz w:val="17"/>
          <w:szCs w:val="17"/>
        </w:rPr>
        <w:t>Although “limitations” and “exceptions” have some conceptual differences, the terms are used in this toolkit interchangeably.</w:t>
      </w:r>
    </w:p>
    <w:p w14:paraId="6726AB0C" w14:textId="77777777" w:rsidR="00C019A0" w:rsidRPr="00937D4A" w:rsidRDefault="00C019A0" w:rsidP="00C019A0">
      <w:pPr>
        <w:rPr>
          <w:rFonts w:eastAsia="Times New Roman"/>
          <w:color w:val="000000"/>
          <w:sz w:val="17"/>
          <w:szCs w:val="17"/>
        </w:rPr>
      </w:pPr>
    </w:p>
  </w:endnote>
  <w:endnote w:id="4">
    <w:p w14:paraId="517CCC04" w14:textId="77777777" w:rsidR="00C019A0" w:rsidRPr="00937D4A" w:rsidRDefault="00C019A0" w:rsidP="00C019A0">
      <w:pPr>
        <w:rPr>
          <w:rFonts w:eastAsia="Times New Roman"/>
          <w:color w:val="000000"/>
          <w:sz w:val="17"/>
          <w:szCs w:val="17"/>
        </w:rPr>
      </w:pPr>
      <w:r w:rsidRPr="00937D4A">
        <w:rPr>
          <w:rStyle w:val="EndnoteReference"/>
          <w:sz w:val="17"/>
          <w:szCs w:val="17"/>
        </w:rPr>
        <w:endnoteRef/>
      </w:r>
      <w:r w:rsidRPr="00937D4A">
        <w:rPr>
          <w:sz w:val="17"/>
          <w:szCs w:val="17"/>
        </w:rPr>
        <w:t xml:space="preserve"> </w:t>
      </w:r>
      <w:r w:rsidRPr="00937D4A">
        <w:rPr>
          <w:rFonts w:eastAsia="Times New Roman"/>
          <w:color w:val="000000"/>
          <w:sz w:val="17"/>
          <w:szCs w:val="17"/>
        </w:rPr>
        <w:t>Berne Convention for the Protection of Literary and Artistic Works, art 9(2), Sept. 9, 1886, revised, Paris, July 24, 1971, 25 U.S.T. 1341.</w:t>
      </w:r>
    </w:p>
    <w:p w14:paraId="3BAB9B6E" w14:textId="77777777" w:rsidR="00C019A0" w:rsidRPr="00937D4A" w:rsidRDefault="00C019A0" w:rsidP="00C019A0">
      <w:pPr>
        <w:rPr>
          <w:rFonts w:eastAsia="Times New Roman"/>
          <w:color w:val="000000"/>
          <w:sz w:val="17"/>
          <w:szCs w:val="17"/>
        </w:rPr>
      </w:pPr>
    </w:p>
  </w:endnote>
  <w:endnote w:id="5">
    <w:p w14:paraId="4176ACF8" w14:textId="125201EA" w:rsidR="00C019A0" w:rsidRPr="00937D4A" w:rsidRDefault="00C019A0" w:rsidP="00C019A0">
      <w:pPr>
        <w:rPr>
          <w:rFonts w:eastAsia="Times New Roman"/>
          <w:color w:val="0000FF"/>
          <w:sz w:val="17"/>
          <w:szCs w:val="17"/>
        </w:rPr>
      </w:pPr>
      <w:r w:rsidRPr="00937D4A">
        <w:rPr>
          <w:rStyle w:val="EndnoteReference"/>
          <w:sz w:val="17"/>
          <w:szCs w:val="17"/>
        </w:rPr>
        <w:endnoteRef/>
      </w:r>
      <w:r w:rsidRPr="00937D4A">
        <w:rPr>
          <w:sz w:val="17"/>
          <w:szCs w:val="17"/>
        </w:rPr>
        <w:t xml:space="preserve"> </w:t>
      </w:r>
      <w:r w:rsidRPr="00937D4A">
        <w:rPr>
          <w:rFonts w:eastAsia="Times New Roman"/>
          <w:color w:val="000000"/>
          <w:sz w:val="17"/>
          <w:szCs w:val="17"/>
        </w:rPr>
        <w:t xml:space="preserve">This summary application of the three-step test is informed in large part by two WIPO publications that examine the language of the major treaties administered by WIPO. See Mihály Ficsor, </w:t>
      </w:r>
      <w:r w:rsidRPr="00937D4A">
        <w:rPr>
          <w:rFonts w:eastAsia="Times New Roman"/>
          <w:i/>
          <w:iCs/>
          <w:color w:val="000000"/>
          <w:sz w:val="17"/>
          <w:szCs w:val="17"/>
        </w:rPr>
        <w:t>Guide to the Copyright and Related Rights Treaties Administered by WIPO</w:t>
      </w:r>
      <w:r w:rsidRPr="00937D4A">
        <w:rPr>
          <w:rFonts w:eastAsia="Times New Roman"/>
          <w:color w:val="000000"/>
          <w:sz w:val="17"/>
          <w:szCs w:val="17"/>
        </w:rPr>
        <w:t xml:space="preserve"> (Geneva, Switzerland: The World Intellectual Property Organization, 2003); and </w:t>
      </w:r>
      <w:r w:rsidRPr="00937D4A">
        <w:rPr>
          <w:rFonts w:eastAsia="Times New Roman"/>
          <w:i/>
          <w:iCs/>
          <w:color w:val="000000"/>
          <w:sz w:val="17"/>
          <w:szCs w:val="17"/>
        </w:rPr>
        <w:t>WIPO Study on Limitations and Exceptions of Copyright and Related Rights in the Digital Environment</w:t>
      </w:r>
      <w:r w:rsidRPr="00937D4A">
        <w:rPr>
          <w:rFonts w:eastAsia="Times New Roman"/>
          <w:color w:val="000000"/>
          <w:sz w:val="17"/>
          <w:szCs w:val="17"/>
        </w:rPr>
        <w:t xml:space="preserve">, prepared by Mr. Sam Ricketson, document SCCR/9/7 (April 5, 2003), </w:t>
      </w:r>
      <w:hyperlink r:id="rId2" w:history="1">
        <w:r w:rsidRPr="00937D4A">
          <w:rPr>
            <w:rStyle w:val="Hyperlink"/>
            <w:rFonts w:eastAsia="Times New Roman"/>
            <w:sz w:val="17"/>
            <w:szCs w:val="17"/>
          </w:rPr>
          <w:t>https://www.wipo.int/meetings/en/doc_details.jsp?doc_id=16805</w:t>
        </w:r>
      </w:hyperlink>
      <w:r w:rsidRPr="00937D4A">
        <w:rPr>
          <w:sz w:val="17"/>
          <w:szCs w:val="17"/>
        </w:rPr>
        <w:t>.</w:t>
      </w:r>
    </w:p>
    <w:p w14:paraId="00D6700D" w14:textId="77777777" w:rsidR="00C019A0" w:rsidRPr="00937D4A" w:rsidRDefault="00C019A0" w:rsidP="00C019A0">
      <w:pPr>
        <w:rPr>
          <w:rFonts w:eastAsia="Times New Roman"/>
          <w:color w:val="0000FF"/>
          <w:sz w:val="17"/>
          <w:szCs w:val="17"/>
        </w:rPr>
      </w:pPr>
    </w:p>
  </w:endnote>
  <w:endnote w:id="6">
    <w:p w14:paraId="3D9560EA" w14:textId="77777777" w:rsidR="00C019A0" w:rsidRPr="00937D4A" w:rsidRDefault="00C019A0" w:rsidP="00C019A0">
      <w:pPr>
        <w:pStyle w:val="p1"/>
      </w:pPr>
      <w:r w:rsidRPr="00937D4A">
        <w:rPr>
          <w:rStyle w:val="EndnoteReference"/>
        </w:rPr>
        <w:endnoteRef/>
      </w:r>
      <w:r w:rsidRPr="00937D4A">
        <w:t xml:space="preserve"> The WTO agreement on intellectual property includes at Article 13 language nearly identical to the Berne version of the three-step test, but most significantly Berne’s reference to “authors” is changed to the broader range of “interests of the right holder.” Agreement on Trade-Related Aspects of Intellectual Property Rights, art. 13, April 15, 1994, Marrakesh Agreement Establishing the World Trade Organization, Annex IC, 1869 U.N.T.S. 299 (1994).</w:t>
      </w:r>
    </w:p>
    <w:p w14:paraId="26B3C1B5" w14:textId="77777777" w:rsidR="00C019A0" w:rsidRPr="00937D4A" w:rsidRDefault="00C019A0" w:rsidP="00C019A0">
      <w:pPr>
        <w:rPr>
          <w:rFonts w:eastAsia="Times New Roman"/>
          <w:color w:val="000000"/>
          <w:sz w:val="17"/>
          <w:szCs w:val="17"/>
        </w:rPr>
      </w:pPr>
    </w:p>
  </w:endnote>
  <w:endnote w:id="7">
    <w:p w14:paraId="591B13BF" w14:textId="42A81611" w:rsidR="00C019A0" w:rsidRDefault="00C019A0" w:rsidP="00C019A0">
      <w:pPr>
        <w:pStyle w:val="EndnoteText"/>
        <w:rPr>
          <w:sz w:val="17"/>
          <w:szCs w:val="17"/>
        </w:rPr>
      </w:pPr>
      <w:r w:rsidRPr="00937D4A">
        <w:rPr>
          <w:rStyle w:val="EndnoteReference"/>
          <w:sz w:val="17"/>
          <w:szCs w:val="17"/>
        </w:rPr>
        <w:endnoteRef/>
      </w:r>
      <w:r w:rsidRPr="00937D4A">
        <w:rPr>
          <w:sz w:val="17"/>
          <w:szCs w:val="17"/>
        </w:rPr>
        <w:t xml:space="preserve"> The following text regarding the duty of care was taken from the Toolkit on Preservation beginning at page 10, see </w:t>
      </w:r>
      <w:hyperlink r:id="rId3" w:history="1">
        <w:r w:rsidRPr="00937D4A">
          <w:rPr>
            <w:rStyle w:val="Hyperlink"/>
            <w:sz w:val="17"/>
            <w:szCs w:val="17"/>
          </w:rPr>
          <w:t>https://www.wipo.int/documents/d/copyright/docs-en-toolkit-on-preservation.pdf</w:t>
        </w:r>
      </w:hyperlink>
      <w:r w:rsidRPr="00937D4A">
        <w:rPr>
          <w:sz w:val="17"/>
          <w:szCs w:val="17"/>
        </w:rPr>
        <w:t xml:space="preserve"> </w:t>
      </w:r>
    </w:p>
    <w:p w14:paraId="7ED15BCD" w14:textId="77777777" w:rsidR="00C019A0" w:rsidRPr="00937D4A" w:rsidRDefault="00C019A0" w:rsidP="00C019A0">
      <w:pPr>
        <w:pStyle w:val="EndnoteText"/>
        <w:rPr>
          <w:sz w:val="17"/>
          <w:szCs w:val="17"/>
        </w:rPr>
      </w:pPr>
    </w:p>
  </w:endnote>
  <w:endnote w:id="8">
    <w:p w14:paraId="40BBCA5F" w14:textId="11683A79" w:rsidR="00C019A0" w:rsidRPr="00937D4A" w:rsidRDefault="00C019A0" w:rsidP="00C019A0">
      <w:pPr>
        <w:pStyle w:val="EndnoteText"/>
        <w:rPr>
          <w:sz w:val="17"/>
          <w:szCs w:val="17"/>
        </w:rPr>
      </w:pPr>
      <w:r w:rsidRPr="00937D4A">
        <w:rPr>
          <w:rStyle w:val="EndnoteReference"/>
          <w:sz w:val="17"/>
          <w:szCs w:val="17"/>
        </w:rPr>
        <w:endnoteRef/>
      </w:r>
      <w:r w:rsidRPr="00937D4A">
        <w:rPr>
          <w:sz w:val="17"/>
          <w:szCs w:val="17"/>
        </w:rPr>
        <w:t xml:space="preserve"> See for example, Canada’s Museums Act, S.C. c.3, as amended, which established Canada’s national museums and provides for their powers and responsibilities, </w:t>
      </w:r>
      <w:hyperlink r:id="rId4" w:history="1">
        <w:r w:rsidRPr="00937D4A">
          <w:rPr>
            <w:rStyle w:val="Hyperlink"/>
            <w:sz w:val="17"/>
            <w:szCs w:val="17"/>
          </w:rPr>
          <w:t>https://laws-lois.justice.gc.ca/eng/acts/m-13.4/page-1.html</w:t>
        </w:r>
      </w:hyperlink>
      <w:r w:rsidRPr="00937D4A">
        <w:rPr>
          <w:sz w:val="17"/>
          <w:szCs w:val="17"/>
        </w:rPr>
        <w:t>.</w:t>
      </w:r>
    </w:p>
    <w:p w14:paraId="7F4F84EF" w14:textId="77777777" w:rsidR="00C019A0" w:rsidRPr="00937D4A" w:rsidRDefault="00C019A0" w:rsidP="00C019A0">
      <w:pPr>
        <w:pStyle w:val="EndnoteText"/>
        <w:rPr>
          <w:sz w:val="17"/>
          <w:szCs w:val="17"/>
        </w:rPr>
      </w:pPr>
    </w:p>
  </w:endnote>
  <w:endnote w:id="9">
    <w:p w14:paraId="28ABD0A4" w14:textId="6D4896FA" w:rsidR="00C019A0" w:rsidRPr="00937D4A" w:rsidRDefault="00C019A0" w:rsidP="00C019A0">
      <w:pPr>
        <w:pStyle w:val="EndnoteText"/>
        <w:rPr>
          <w:sz w:val="17"/>
          <w:szCs w:val="17"/>
        </w:rPr>
      </w:pPr>
      <w:r w:rsidRPr="00937D4A">
        <w:rPr>
          <w:rStyle w:val="EndnoteReference"/>
          <w:sz w:val="17"/>
          <w:szCs w:val="17"/>
        </w:rPr>
        <w:endnoteRef/>
      </w:r>
      <w:r w:rsidRPr="00937D4A">
        <w:rPr>
          <w:sz w:val="17"/>
          <w:szCs w:val="17"/>
        </w:rPr>
        <w:t xml:space="preserve"> See for example, the Collections Management Policy of the Metropolitan Museum of Art, New York, approved by its Board of Trustees, on September 13, 2022, </w:t>
      </w:r>
      <w:hyperlink r:id="rId5" w:history="1">
        <w:r w:rsidRPr="00DB7EB1">
          <w:rPr>
            <w:rStyle w:val="Hyperlink"/>
            <w:sz w:val="17"/>
            <w:szCs w:val="17"/>
          </w:rPr>
          <w:t>https://www.metmuseum.org/-/media/files/about-the-met/policies-anddocuments/collections-management-policy/Collections-Management-Policy.pdf</w:t>
        </w:r>
      </w:hyperlink>
      <w:r w:rsidRPr="00937D4A">
        <w:rPr>
          <w:sz w:val="17"/>
          <w:szCs w:val="17"/>
        </w:rPr>
        <w:t>.</w:t>
      </w:r>
    </w:p>
    <w:p w14:paraId="626FFB51" w14:textId="77777777" w:rsidR="00C019A0" w:rsidRPr="00937D4A" w:rsidRDefault="00C019A0" w:rsidP="00C019A0">
      <w:pPr>
        <w:pStyle w:val="EndnoteText"/>
        <w:rPr>
          <w:sz w:val="17"/>
          <w:szCs w:val="17"/>
        </w:rPr>
      </w:pPr>
    </w:p>
  </w:endnote>
  <w:endnote w:id="10">
    <w:p w14:paraId="7D094729" w14:textId="77777777" w:rsidR="00C019A0" w:rsidRPr="00937D4A" w:rsidRDefault="00C019A0" w:rsidP="00C019A0">
      <w:pPr>
        <w:pStyle w:val="EndnoteText"/>
        <w:rPr>
          <w:sz w:val="17"/>
          <w:szCs w:val="17"/>
        </w:rPr>
      </w:pPr>
      <w:r w:rsidRPr="00DB7EB1">
        <w:rPr>
          <w:rStyle w:val="EndnoteReference"/>
          <w:sz w:val="17"/>
          <w:szCs w:val="17"/>
        </w:rPr>
        <w:endnoteRef/>
      </w:r>
      <w:r w:rsidRPr="00DB7EB1">
        <w:rPr>
          <w:sz w:val="17"/>
          <w:szCs w:val="17"/>
        </w:rPr>
        <w:t xml:space="preserve"> </w:t>
      </w:r>
      <w:r w:rsidRPr="00937D4A">
        <w:rPr>
          <w:sz w:val="17"/>
          <w:szCs w:val="17"/>
        </w:rPr>
        <w:t>Ibid.</w:t>
      </w:r>
    </w:p>
    <w:p w14:paraId="67FBEFF2" w14:textId="77777777" w:rsidR="00C019A0" w:rsidRPr="00DB7EB1" w:rsidRDefault="00C019A0" w:rsidP="00C019A0">
      <w:pPr>
        <w:pStyle w:val="EndnoteText"/>
        <w:rPr>
          <w:sz w:val="17"/>
          <w:szCs w:val="17"/>
        </w:rPr>
      </w:pPr>
    </w:p>
  </w:endnote>
  <w:endnote w:id="11">
    <w:p w14:paraId="47310116" w14:textId="44EBE56A" w:rsidR="00C019A0" w:rsidRPr="00937D4A" w:rsidRDefault="00C019A0" w:rsidP="00C019A0">
      <w:pPr>
        <w:pStyle w:val="EndnoteText"/>
        <w:rPr>
          <w:sz w:val="17"/>
          <w:szCs w:val="17"/>
        </w:rPr>
      </w:pPr>
      <w:r w:rsidRPr="00DB7EB1">
        <w:rPr>
          <w:rStyle w:val="EndnoteReference"/>
          <w:sz w:val="17"/>
          <w:szCs w:val="17"/>
        </w:rPr>
        <w:endnoteRef/>
      </w:r>
      <w:r w:rsidRPr="00DB7EB1">
        <w:rPr>
          <w:sz w:val="17"/>
          <w:szCs w:val="17"/>
        </w:rPr>
        <w:t xml:space="preserve"> </w:t>
      </w:r>
      <w:r w:rsidRPr="00937D4A">
        <w:rPr>
          <w:sz w:val="17"/>
          <w:szCs w:val="17"/>
        </w:rPr>
        <w:t xml:space="preserve">The International Council of Museums (ICOM) Code of Ethics, see </w:t>
      </w:r>
      <w:hyperlink r:id="rId6" w:history="1">
        <w:r w:rsidRPr="00DB7EB1">
          <w:rPr>
            <w:rStyle w:val="Hyperlink"/>
            <w:sz w:val="17"/>
            <w:szCs w:val="17"/>
          </w:rPr>
          <w:t>https://icom.museum/wp-content/uploads/2018/07/ICOM-code-En-web.pdf</w:t>
        </w:r>
      </w:hyperlink>
    </w:p>
    <w:p w14:paraId="3E039198" w14:textId="77777777" w:rsidR="00C019A0" w:rsidRPr="00937D4A" w:rsidRDefault="00C019A0" w:rsidP="00C019A0">
      <w:pPr>
        <w:pStyle w:val="EndnoteText"/>
        <w:rPr>
          <w:sz w:val="17"/>
          <w:szCs w:val="17"/>
        </w:rPr>
      </w:pPr>
    </w:p>
  </w:endnote>
  <w:endnote w:id="12">
    <w:p w14:paraId="29F53D93" w14:textId="77777777" w:rsidR="00C019A0" w:rsidRPr="00937D4A" w:rsidRDefault="00C019A0" w:rsidP="00C019A0">
      <w:pPr>
        <w:pStyle w:val="EndnoteText"/>
        <w:rPr>
          <w:sz w:val="17"/>
          <w:szCs w:val="17"/>
        </w:rPr>
      </w:pPr>
      <w:r w:rsidRPr="00937D4A">
        <w:rPr>
          <w:rStyle w:val="EndnoteReference"/>
          <w:sz w:val="17"/>
          <w:szCs w:val="17"/>
        </w:rPr>
        <w:endnoteRef/>
      </w:r>
      <w:r w:rsidRPr="00937D4A">
        <w:rPr>
          <w:sz w:val="17"/>
          <w:szCs w:val="17"/>
        </w:rPr>
        <w:t xml:space="preserve"> Ibid., Principle III at page 1</w:t>
      </w:r>
      <w:r>
        <w:rPr>
          <w:sz w:val="17"/>
          <w:szCs w:val="17"/>
        </w:rPr>
        <w:t>8</w:t>
      </w:r>
      <w:r w:rsidRPr="00937D4A">
        <w:rPr>
          <w:sz w:val="17"/>
          <w:szCs w:val="17"/>
        </w:rPr>
        <w:t>.</w:t>
      </w:r>
    </w:p>
    <w:p w14:paraId="40480393" w14:textId="77777777" w:rsidR="00C019A0" w:rsidRPr="00937D4A" w:rsidRDefault="00C019A0" w:rsidP="00C019A0">
      <w:pPr>
        <w:pStyle w:val="EndnoteText"/>
        <w:rPr>
          <w:sz w:val="17"/>
          <w:szCs w:val="17"/>
        </w:rPr>
      </w:pPr>
    </w:p>
  </w:endnote>
  <w:endnote w:id="13">
    <w:p w14:paraId="25BDE9B5" w14:textId="596F58DB" w:rsidR="00C019A0" w:rsidRPr="00937D4A" w:rsidRDefault="00C019A0" w:rsidP="00C019A0">
      <w:pPr>
        <w:pStyle w:val="EndnoteText"/>
        <w:rPr>
          <w:sz w:val="17"/>
          <w:szCs w:val="17"/>
        </w:rPr>
      </w:pPr>
      <w:r w:rsidRPr="00937D4A">
        <w:rPr>
          <w:rStyle w:val="EndnoteReference"/>
          <w:sz w:val="17"/>
          <w:szCs w:val="17"/>
        </w:rPr>
        <w:endnoteRef/>
      </w:r>
      <w:r w:rsidRPr="00937D4A">
        <w:rPr>
          <w:sz w:val="17"/>
          <w:szCs w:val="17"/>
        </w:rPr>
        <w:t xml:space="preserve"> IFLA statement on Libraries Safeguarding Cultural Heritage, </w:t>
      </w:r>
      <w:hyperlink r:id="rId7" w:history="1">
        <w:r w:rsidRPr="00DB7EB1">
          <w:rPr>
            <w:rStyle w:val="Hyperlink"/>
            <w:sz w:val="17"/>
            <w:szCs w:val="17"/>
          </w:rPr>
          <w:t>https://www.ifla.org/news/libraries-safeguardingcultural-heritage/</w:t>
        </w:r>
      </w:hyperlink>
      <w:r w:rsidRPr="00937D4A">
        <w:rPr>
          <w:sz w:val="17"/>
          <w:szCs w:val="17"/>
        </w:rPr>
        <w:t>.</w:t>
      </w:r>
    </w:p>
    <w:p w14:paraId="01BB8D4A" w14:textId="77777777" w:rsidR="00C019A0" w:rsidRPr="00937D4A" w:rsidRDefault="00C019A0" w:rsidP="00C019A0">
      <w:pPr>
        <w:pStyle w:val="EndnoteText"/>
        <w:rPr>
          <w:sz w:val="17"/>
          <w:szCs w:val="17"/>
        </w:rPr>
      </w:pPr>
    </w:p>
  </w:endnote>
  <w:endnote w:id="14">
    <w:p w14:paraId="1327FCC5" w14:textId="57BE231D" w:rsidR="00C019A0" w:rsidRPr="00937D4A" w:rsidRDefault="00C019A0" w:rsidP="00C019A0">
      <w:pPr>
        <w:pStyle w:val="EndnoteText"/>
        <w:rPr>
          <w:sz w:val="17"/>
          <w:szCs w:val="17"/>
        </w:rPr>
      </w:pPr>
      <w:r w:rsidRPr="00937D4A">
        <w:rPr>
          <w:rStyle w:val="EndnoteReference"/>
          <w:sz w:val="17"/>
          <w:szCs w:val="17"/>
        </w:rPr>
        <w:endnoteRef/>
      </w:r>
      <w:r>
        <w:rPr>
          <w:sz w:val="17"/>
          <w:szCs w:val="17"/>
        </w:rPr>
        <w:t xml:space="preserve"> </w:t>
      </w:r>
      <w:r w:rsidRPr="00937D4A">
        <w:rPr>
          <w:sz w:val="17"/>
          <w:szCs w:val="17"/>
        </w:rPr>
        <w:t xml:space="preserve">See </w:t>
      </w:r>
      <w:hyperlink r:id="rId8" w:history="1">
        <w:r w:rsidRPr="00DB7EB1">
          <w:rPr>
            <w:rStyle w:val="Hyperlink"/>
            <w:sz w:val="17"/>
            <w:szCs w:val="17"/>
          </w:rPr>
          <w:t>https://www.ica.org/app/uploads/2023/12/ICA_Access-principles_EN.pdf</w:t>
        </w:r>
      </w:hyperlink>
    </w:p>
    <w:p w14:paraId="0018BD7B" w14:textId="77777777" w:rsidR="00C019A0" w:rsidRPr="00937D4A" w:rsidRDefault="00C019A0" w:rsidP="00C019A0">
      <w:pPr>
        <w:pStyle w:val="EndnoteText"/>
        <w:rPr>
          <w:sz w:val="17"/>
          <w:szCs w:val="17"/>
        </w:rPr>
      </w:pPr>
    </w:p>
  </w:endnote>
  <w:endnote w:id="15">
    <w:p w14:paraId="5029CCBB" w14:textId="5E098381" w:rsidR="00C019A0" w:rsidRPr="00937D4A" w:rsidRDefault="00C019A0" w:rsidP="00C019A0">
      <w:pPr>
        <w:pStyle w:val="EndnoteText"/>
        <w:rPr>
          <w:sz w:val="17"/>
          <w:szCs w:val="17"/>
        </w:rPr>
      </w:pPr>
      <w:r w:rsidRPr="00937D4A">
        <w:rPr>
          <w:rStyle w:val="EndnoteReference"/>
          <w:sz w:val="17"/>
          <w:szCs w:val="17"/>
        </w:rPr>
        <w:endnoteRef/>
      </w:r>
      <w:r w:rsidRPr="00937D4A">
        <w:rPr>
          <w:sz w:val="17"/>
          <w:szCs w:val="17"/>
        </w:rPr>
        <w:t xml:space="preserve"> International Council on Archives (ICA) Principles of Access, Adopted August 24, 2012 Principle 1 at page 8, see </w:t>
      </w:r>
      <w:hyperlink r:id="rId9" w:history="1">
        <w:r w:rsidRPr="00937D4A">
          <w:rPr>
            <w:rStyle w:val="Hyperlink"/>
            <w:sz w:val="17"/>
            <w:szCs w:val="17"/>
          </w:rPr>
          <w:t>https://www.ica.org/app/uploads/2023/12/ICA_Access-principles_EN.pdf</w:t>
        </w:r>
      </w:hyperlink>
      <w:r w:rsidRPr="00937D4A">
        <w:rPr>
          <w:sz w:val="17"/>
          <w:szCs w:val="17"/>
        </w:rPr>
        <w:t xml:space="preserve"> </w:t>
      </w:r>
    </w:p>
    <w:p w14:paraId="6EA012D9" w14:textId="77777777" w:rsidR="00C019A0" w:rsidRPr="00937D4A" w:rsidRDefault="00C019A0" w:rsidP="00C019A0">
      <w:pPr>
        <w:pStyle w:val="EndnoteText"/>
        <w:rPr>
          <w:sz w:val="17"/>
          <w:szCs w:val="17"/>
        </w:rPr>
      </w:pPr>
    </w:p>
  </w:endnote>
  <w:endnote w:id="16">
    <w:p w14:paraId="0E001269" w14:textId="5659AADC" w:rsidR="00C019A0" w:rsidRPr="00937D4A" w:rsidRDefault="00C019A0" w:rsidP="00C019A0">
      <w:pPr>
        <w:pStyle w:val="EndnoteText"/>
        <w:rPr>
          <w:sz w:val="17"/>
          <w:szCs w:val="17"/>
        </w:rPr>
      </w:pPr>
      <w:r w:rsidRPr="00937D4A">
        <w:rPr>
          <w:rStyle w:val="EndnoteReference"/>
          <w:sz w:val="17"/>
          <w:szCs w:val="17"/>
        </w:rPr>
        <w:endnoteRef/>
      </w:r>
      <w:r w:rsidRPr="00937D4A">
        <w:rPr>
          <w:sz w:val="17"/>
          <w:szCs w:val="17"/>
        </w:rPr>
        <w:t xml:space="preserve"> Columbia University Libraries was awarded a grant to digitize and then accession digital surrogates of important at risk and rare published and unpublished materials into Columbia’s collection with originals remaining in India. See </w:t>
      </w:r>
      <w:hyperlink r:id="rId10" w:history="1">
        <w:r w:rsidRPr="00937D4A">
          <w:rPr>
            <w:rStyle w:val="Hyperlink"/>
            <w:sz w:val="17"/>
            <w:szCs w:val="17"/>
          </w:rPr>
          <w:t>https://icls.columbia.edu/news/columbia-university-libraries-awarded-grant-to-support-anticaste-archives-project/</w:t>
        </w:r>
      </w:hyperlink>
      <w:r w:rsidRPr="00937D4A">
        <w:rPr>
          <w:sz w:val="17"/>
          <w:szCs w:val="17"/>
        </w:rPr>
        <w:t xml:space="preserve"> accessed August 20, 2025.</w:t>
      </w:r>
    </w:p>
    <w:p w14:paraId="33CEF81F" w14:textId="77777777" w:rsidR="00C019A0" w:rsidRPr="00937D4A" w:rsidRDefault="00C019A0" w:rsidP="00C019A0">
      <w:pPr>
        <w:pStyle w:val="EndnoteText"/>
        <w:rPr>
          <w:sz w:val="17"/>
          <w:szCs w:val="17"/>
        </w:rPr>
      </w:pPr>
    </w:p>
  </w:endnote>
  <w:endnote w:id="17">
    <w:p w14:paraId="26119D06" w14:textId="77777777" w:rsidR="00C019A0" w:rsidRPr="00937D4A" w:rsidRDefault="00C019A0" w:rsidP="00C019A0">
      <w:pPr>
        <w:pStyle w:val="EndnoteText"/>
        <w:rPr>
          <w:sz w:val="17"/>
          <w:szCs w:val="17"/>
        </w:rPr>
      </w:pPr>
      <w:r w:rsidRPr="00937D4A">
        <w:rPr>
          <w:rStyle w:val="EndnoteReference"/>
          <w:sz w:val="17"/>
          <w:szCs w:val="17"/>
        </w:rPr>
        <w:endnoteRef/>
      </w:r>
      <w:r w:rsidRPr="00937D4A">
        <w:rPr>
          <w:sz w:val="17"/>
          <w:szCs w:val="17"/>
        </w:rPr>
        <w:t xml:space="preserve"> https://datamanagement.hms.harvard.edu/share-publish/data-repositories</w:t>
      </w:r>
    </w:p>
  </w:endnote>
  <w:endnote w:id="18">
    <w:p w14:paraId="0CC1A7E7" w14:textId="77777777" w:rsidR="00C019A0" w:rsidRPr="00937D4A" w:rsidRDefault="00C019A0" w:rsidP="00C019A0">
      <w:pPr>
        <w:pStyle w:val="EndnoteText"/>
        <w:rPr>
          <w:sz w:val="17"/>
          <w:szCs w:val="17"/>
        </w:rPr>
      </w:pPr>
    </w:p>
    <w:p w14:paraId="7C530FA6" w14:textId="20C56316" w:rsidR="00C019A0" w:rsidRPr="00937D4A" w:rsidRDefault="00C019A0" w:rsidP="00C019A0">
      <w:pPr>
        <w:pStyle w:val="EndnoteText"/>
        <w:rPr>
          <w:color w:val="000000"/>
          <w:sz w:val="17"/>
          <w:szCs w:val="17"/>
        </w:rPr>
      </w:pPr>
      <w:r w:rsidRPr="00937D4A">
        <w:rPr>
          <w:rStyle w:val="EndnoteReference"/>
          <w:sz w:val="17"/>
          <w:szCs w:val="17"/>
        </w:rPr>
        <w:endnoteRef/>
      </w:r>
      <w:r w:rsidRPr="00937D4A">
        <w:rPr>
          <w:sz w:val="17"/>
          <w:szCs w:val="17"/>
        </w:rPr>
        <w:t xml:space="preserve"> </w:t>
      </w:r>
      <w:r w:rsidRPr="00937D4A">
        <w:rPr>
          <w:color w:val="000000"/>
          <w:sz w:val="17"/>
          <w:szCs w:val="17"/>
        </w:rPr>
        <w:t xml:space="preserve">Crews, Kenneth D., Study on Copyright Limitations and Exceptions for Libraries and Archives updated and Revised (2017 Edition), World Intellectual Property Organization, SCCR 35/6 at </w:t>
      </w:r>
      <w:hyperlink r:id="rId11" w:history="1">
        <w:r w:rsidRPr="00937D4A">
          <w:rPr>
            <w:rStyle w:val="Hyperlink"/>
            <w:rFonts w:eastAsiaTheme="majorEastAsia"/>
            <w:color w:val="0563C1"/>
            <w:sz w:val="17"/>
            <w:szCs w:val="17"/>
          </w:rPr>
          <w:t>https://www.wipo.int/edocs/mdocs/copyright/en/sccr_35/sccr_35_6.pdf</w:t>
        </w:r>
      </w:hyperlink>
      <w:r w:rsidRPr="00937D4A">
        <w:rPr>
          <w:color w:val="000000"/>
          <w:sz w:val="17"/>
          <w:szCs w:val="17"/>
        </w:rPr>
        <w:t xml:space="preserve"> accessed January 14, 2025.</w:t>
      </w:r>
    </w:p>
    <w:p w14:paraId="198C3F21" w14:textId="77777777" w:rsidR="00C019A0" w:rsidRPr="00937D4A" w:rsidRDefault="00C019A0" w:rsidP="00C019A0">
      <w:pPr>
        <w:pStyle w:val="EndnoteText"/>
        <w:rPr>
          <w:sz w:val="17"/>
          <w:szCs w:val="17"/>
        </w:rPr>
      </w:pPr>
    </w:p>
  </w:endnote>
  <w:endnote w:id="19">
    <w:p w14:paraId="345E9727" w14:textId="77777777" w:rsidR="00C019A0" w:rsidRPr="00937D4A" w:rsidRDefault="00C019A0" w:rsidP="00C019A0">
      <w:pPr>
        <w:pStyle w:val="EndnoteText"/>
        <w:rPr>
          <w:sz w:val="17"/>
          <w:szCs w:val="17"/>
        </w:rPr>
      </w:pPr>
      <w:r w:rsidRPr="00937D4A">
        <w:rPr>
          <w:rStyle w:val="EndnoteReference"/>
          <w:sz w:val="17"/>
          <w:szCs w:val="17"/>
        </w:rPr>
        <w:endnoteRef/>
      </w:r>
      <w:r w:rsidRPr="00937D4A">
        <w:rPr>
          <w:sz w:val="17"/>
          <w:szCs w:val="17"/>
        </w:rPr>
        <w:t xml:space="preserve"> The concepts of “risk,” “risk management,” or “risk mitigation” are ones that are in common use when addressing the question of how users and providers of copyright material should take care to ensure that the use of the works in their control does not infringe or facilitate the infringement of copyright in the works. The use of these concepts, including as relates to “legal risk”, is particularly prevalent in the practices of cultural heritage institutions and at the core of their duty of care, as also illustrated in the Preservation Toolkit. See for example in this regard Kenneth D. Crews, Rina Elster Pantalony, David Sutton, </w:t>
      </w:r>
      <w:r w:rsidRPr="00DB7EB1">
        <w:rPr>
          <w:i/>
          <w:iCs/>
          <w:sz w:val="17"/>
          <w:szCs w:val="17"/>
        </w:rPr>
        <w:t>WIPO Toolkit on Preservation</w:t>
      </w:r>
      <w:r w:rsidRPr="00937D4A">
        <w:rPr>
          <w:sz w:val="17"/>
          <w:szCs w:val="17"/>
        </w:rPr>
        <w:t>, World Intellectual Property Organization 2024, page 14 at https://www.wipo.int/documents/d/copyright/docs-en-toolkit-on-preservation.pdf (accessed December 10, 2025). See further in this regard Maher, William J., “An Archivist’s Guide to Copyright: Navigating Risk Management,” forthcoming, Bloomsbury Publishing, 2026; and generally, Kienle, Holger et al. (2008), “Managing legal risks associated with intellectual property on the web,” Int. J. Business Information Systems 3(1) 86 – 106.</w:t>
      </w:r>
    </w:p>
  </w:endnote>
  <w:endnote w:id="20">
    <w:p w14:paraId="2BD9758E" w14:textId="77777777" w:rsidR="00C019A0" w:rsidRDefault="00C019A0" w:rsidP="00C019A0">
      <w:pPr>
        <w:pStyle w:val="EndnoteText"/>
        <w:rPr>
          <w:sz w:val="17"/>
          <w:szCs w:val="17"/>
        </w:rPr>
      </w:pPr>
    </w:p>
    <w:p w14:paraId="507F9FE0" w14:textId="2449EF34" w:rsidR="00C019A0" w:rsidRPr="00937D4A" w:rsidRDefault="00C019A0" w:rsidP="00C019A0">
      <w:pPr>
        <w:pStyle w:val="EndnoteText"/>
        <w:rPr>
          <w:sz w:val="17"/>
          <w:szCs w:val="17"/>
        </w:rPr>
      </w:pPr>
      <w:r w:rsidRPr="00937D4A">
        <w:rPr>
          <w:sz w:val="17"/>
          <w:szCs w:val="17"/>
          <w:vertAlign w:val="superscript"/>
        </w:rPr>
        <w:endnoteRef/>
      </w:r>
      <w:r w:rsidRPr="00937D4A">
        <w:rPr>
          <w:sz w:val="17"/>
          <w:szCs w:val="17"/>
        </w:rPr>
        <w:t xml:space="preserve"> Council on Library and Information Resources (CLIR), for example, requires grant recipients to include, as part of their grant applications for digitization, an intellectual property plan</w:t>
      </w:r>
      <w:r>
        <w:rPr>
          <w:sz w:val="17"/>
          <w:szCs w:val="17"/>
        </w:rPr>
        <w:t xml:space="preserve"> demonstrating</w:t>
      </w:r>
      <w:r w:rsidRPr="00937D4A">
        <w:rPr>
          <w:sz w:val="17"/>
          <w:szCs w:val="17"/>
        </w:rPr>
        <w:t xml:space="preserve"> how they intend to manage risk. See </w:t>
      </w:r>
      <w:hyperlink r:id="rId12" w:history="1">
        <w:r w:rsidRPr="00937D4A">
          <w:rPr>
            <w:sz w:val="17"/>
            <w:szCs w:val="17"/>
          </w:rPr>
          <w:t>https://www.clir.org</w:t>
        </w:r>
      </w:hyperlink>
      <w:r w:rsidRPr="00937D4A">
        <w:rPr>
          <w:sz w:val="17"/>
          <w:szCs w:val="17"/>
        </w:rPr>
        <w:t xml:space="preserve"> accessed August 9, 2025.</w:t>
      </w:r>
    </w:p>
    <w:p w14:paraId="4B2545AB" w14:textId="77777777" w:rsidR="00C019A0" w:rsidRPr="00937D4A" w:rsidRDefault="00C019A0" w:rsidP="00C019A0">
      <w:pPr>
        <w:pStyle w:val="EndnoteText"/>
        <w:rPr>
          <w:sz w:val="17"/>
          <w:szCs w:val="17"/>
        </w:rPr>
      </w:pPr>
    </w:p>
  </w:endnote>
  <w:endnote w:id="21">
    <w:p w14:paraId="6FEE7D2C" w14:textId="64A5C7F1" w:rsidR="00C019A0" w:rsidRPr="00937D4A" w:rsidRDefault="00C019A0" w:rsidP="00C019A0">
      <w:pPr>
        <w:pStyle w:val="EndnoteText"/>
        <w:rPr>
          <w:sz w:val="17"/>
          <w:szCs w:val="17"/>
        </w:rPr>
      </w:pPr>
      <w:r w:rsidRPr="00937D4A">
        <w:rPr>
          <w:rStyle w:val="EndnoteReference"/>
          <w:sz w:val="17"/>
          <w:szCs w:val="17"/>
        </w:rPr>
        <w:endnoteRef/>
      </w:r>
      <w:r w:rsidRPr="00937D4A">
        <w:rPr>
          <w:sz w:val="17"/>
          <w:szCs w:val="17"/>
        </w:rPr>
        <w:t xml:space="preserve"> </w:t>
      </w:r>
      <w:r w:rsidRPr="00937D4A">
        <w:rPr>
          <w:i/>
          <w:iCs/>
          <w:sz w:val="17"/>
          <w:szCs w:val="17"/>
        </w:rPr>
        <w:t>WIPO Toolkit on Preservation</w:t>
      </w:r>
      <w:r w:rsidRPr="00937D4A">
        <w:rPr>
          <w:sz w:val="17"/>
          <w:szCs w:val="17"/>
        </w:rPr>
        <w:t xml:space="preserve">, Kenneth D. Crews, Rina Elster Pantalony, David Sutton, World Intellectual Property Organization 2024, page 10 at </w:t>
      </w:r>
      <w:hyperlink r:id="rId13" w:history="1">
        <w:r w:rsidRPr="00937D4A">
          <w:rPr>
            <w:rStyle w:val="Hyperlink"/>
            <w:sz w:val="17"/>
            <w:szCs w:val="17"/>
          </w:rPr>
          <w:t>https://www.wipo.int/documents/d/copyright/docs-en-toolkit-on-preservation.pdf accessed September 1</w:t>
        </w:r>
      </w:hyperlink>
      <w:r w:rsidRPr="00937D4A">
        <w:rPr>
          <w:sz w:val="17"/>
          <w:szCs w:val="17"/>
        </w:rPr>
        <w:t>, 2025.</w:t>
      </w:r>
    </w:p>
  </w:endnote>
  <w:endnote w:id="22">
    <w:p w14:paraId="2B44E8D6" w14:textId="77777777" w:rsidR="00C019A0" w:rsidRPr="00DB7EB1" w:rsidRDefault="00C019A0" w:rsidP="00C019A0">
      <w:pPr>
        <w:pStyle w:val="EndnoteText"/>
        <w:rPr>
          <w:sz w:val="17"/>
          <w:szCs w:val="17"/>
        </w:rPr>
      </w:pPr>
    </w:p>
    <w:p w14:paraId="0DA52A4B" w14:textId="77777777" w:rsidR="00C019A0" w:rsidRPr="00DB7EB1" w:rsidRDefault="00C019A0" w:rsidP="00C019A0">
      <w:pPr>
        <w:pStyle w:val="EndnoteText"/>
        <w:rPr>
          <w:sz w:val="17"/>
          <w:szCs w:val="17"/>
        </w:rPr>
      </w:pPr>
      <w:r w:rsidRPr="00DB7EB1">
        <w:rPr>
          <w:rStyle w:val="EndnoteReference"/>
          <w:sz w:val="17"/>
          <w:szCs w:val="17"/>
        </w:rPr>
        <w:endnoteRef/>
      </w:r>
      <w:r w:rsidRPr="00DB7EB1">
        <w:rPr>
          <w:sz w:val="17"/>
          <w:szCs w:val="17"/>
        </w:rPr>
        <w:t xml:space="preserve"> Member States may also wish to consider whether due diligence standards are developing within a particular market to address the issue of orphan works of published or publicly released works and assess whether existing due diligence practices provide a greater understanding of potential but realistic criteria.</w:t>
      </w:r>
    </w:p>
    <w:p w14:paraId="14543CD7" w14:textId="77777777" w:rsidR="00C019A0" w:rsidRPr="00DB7EB1" w:rsidRDefault="00C019A0" w:rsidP="00C019A0">
      <w:pPr>
        <w:pStyle w:val="EndnoteText"/>
        <w:rPr>
          <w:sz w:val="17"/>
          <w:szCs w:val="17"/>
        </w:rPr>
      </w:pPr>
    </w:p>
  </w:endnote>
  <w:endnote w:id="23">
    <w:p w14:paraId="7EAEC36B" w14:textId="27BCF8CC" w:rsidR="00C019A0" w:rsidRDefault="00C019A0" w:rsidP="00C019A0">
      <w:pPr>
        <w:pStyle w:val="EndnoteText"/>
        <w:rPr>
          <w:sz w:val="17"/>
          <w:szCs w:val="17"/>
        </w:rPr>
      </w:pPr>
      <w:r w:rsidRPr="00C6179D">
        <w:rPr>
          <w:rStyle w:val="EndnoteReference"/>
          <w:sz w:val="17"/>
          <w:szCs w:val="17"/>
        </w:rPr>
        <w:endnoteRef/>
      </w:r>
      <w:r w:rsidRPr="00C6179D">
        <w:rPr>
          <w:sz w:val="17"/>
          <w:szCs w:val="17"/>
        </w:rPr>
        <w:t xml:space="preserve"> Archival records of early children’s works by José Reis at the Casa de Oswaldo Cruz (Fiocruz) lack key publication metadata, including a standardized publication date (“sem data” / s.d.) and an identifiable publisher; one work is described as a “manuscript prepared by the author at the age of 11” and as a “book supposedly published by Garnier Livreiro Editor”, illustrating an unverified publication context typical of orphan works. See </w:t>
      </w:r>
      <w:hyperlink r:id="rId14" w:tgtFrame="_blank" w:tooltip="https://josereis.coc.fiocruz.br/wp-content/uploads/2018/06/miolo_jose_reis_caixeiro_ciencia_web.pdf" w:history="1">
        <w:r w:rsidRPr="00C6179D">
          <w:rPr>
            <w:rStyle w:val="Hyperlink"/>
            <w:rFonts w:eastAsia="Times New Roman"/>
            <w:sz w:val="17"/>
            <w:szCs w:val="17"/>
          </w:rPr>
          <w:t>https://josereis.coc.fiocruz.br/wp-content/uploads/2018/06/miolo_jose_reis_caixeiro_ciencia_web.pdf</w:t>
        </w:r>
      </w:hyperlink>
      <w:r w:rsidRPr="00C6179D">
        <w:rPr>
          <w:sz w:val="17"/>
          <w:szCs w:val="17"/>
        </w:rPr>
        <w:t>.</w:t>
      </w:r>
    </w:p>
    <w:p w14:paraId="118BCC5F" w14:textId="77777777" w:rsidR="00C019A0" w:rsidRPr="00C6179D" w:rsidRDefault="00C019A0" w:rsidP="00C019A0">
      <w:pPr>
        <w:pStyle w:val="EndnoteText"/>
        <w:rPr>
          <w:sz w:val="17"/>
          <w:szCs w:val="17"/>
        </w:rPr>
      </w:pPr>
    </w:p>
  </w:endnote>
  <w:endnote w:id="24">
    <w:p w14:paraId="3B2C0C96" w14:textId="77777777" w:rsidR="00C019A0" w:rsidRPr="00DB7EB1" w:rsidRDefault="00C019A0" w:rsidP="00C019A0">
      <w:pPr>
        <w:pStyle w:val="EndnoteText"/>
        <w:rPr>
          <w:sz w:val="17"/>
          <w:szCs w:val="17"/>
        </w:rPr>
      </w:pPr>
      <w:r w:rsidRPr="00DB7EB1">
        <w:rPr>
          <w:rStyle w:val="EndnoteReference"/>
          <w:sz w:val="17"/>
          <w:szCs w:val="17"/>
        </w:rPr>
        <w:endnoteRef/>
      </w:r>
      <w:r w:rsidRPr="00DB7EB1">
        <w:rPr>
          <w:sz w:val="17"/>
          <w:szCs w:val="17"/>
        </w:rPr>
        <w:t xml:space="preserve"> Fair dealing and fair use are concepts in copyright law found </w:t>
      </w:r>
      <w:r>
        <w:rPr>
          <w:sz w:val="17"/>
          <w:szCs w:val="17"/>
        </w:rPr>
        <w:t xml:space="preserve">mostly </w:t>
      </w:r>
      <w:r w:rsidRPr="00DB7EB1">
        <w:rPr>
          <w:sz w:val="17"/>
          <w:szCs w:val="17"/>
        </w:rPr>
        <w:t>in common law jurisdictions and are distinct from each other. An in-depth comparative analysis is beyond the scope of this Toolkit.</w:t>
      </w:r>
    </w:p>
  </w:endnote>
  <w:endnote w:id="25">
    <w:p w14:paraId="23EBB98D" w14:textId="77777777" w:rsidR="00C019A0" w:rsidRPr="00937D4A" w:rsidRDefault="00C019A0" w:rsidP="00C019A0">
      <w:pPr>
        <w:rPr>
          <w:sz w:val="17"/>
          <w:szCs w:val="17"/>
        </w:rPr>
      </w:pPr>
    </w:p>
    <w:p w14:paraId="253A0EA5" w14:textId="77777777" w:rsidR="00C019A0" w:rsidRDefault="00C019A0" w:rsidP="00C019A0">
      <w:pPr>
        <w:rPr>
          <w:rFonts w:eastAsia="Times New Roman"/>
          <w:sz w:val="17"/>
          <w:szCs w:val="17"/>
        </w:rPr>
      </w:pPr>
      <w:r w:rsidRPr="00937D4A">
        <w:rPr>
          <w:sz w:val="17"/>
          <w:szCs w:val="17"/>
          <w:vertAlign w:val="superscript"/>
        </w:rPr>
        <w:endnoteRef/>
      </w:r>
      <w:r w:rsidRPr="00937D4A">
        <w:rPr>
          <w:sz w:val="17"/>
          <w:szCs w:val="17"/>
        </w:rPr>
        <w:t xml:space="preserve"> </w:t>
      </w:r>
      <w:r w:rsidRPr="00DB7EB1">
        <w:rPr>
          <w:rFonts w:eastAsia="Times New Roman"/>
          <w:sz w:val="17"/>
          <w:szCs w:val="17"/>
        </w:rPr>
        <w:t xml:space="preserve">For example, US </w:t>
      </w:r>
      <w:r>
        <w:rPr>
          <w:rFonts w:eastAsia="Times New Roman"/>
          <w:sz w:val="17"/>
          <w:szCs w:val="17"/>
        </w:rPr>
        <w:t>C</w:t>
      </w:r>
      <w:r w:rsidRPr="00DB7EB1">
        <w:rPr>
          <w:rFonts w:eastAsia="Times New Roman"/>
          <w:sz w:val="17"/>
          <w:szCs w:val="17"/>
        </w:rPr>
        <w:t xml:space="preserve">opyright Act, 17 USC, §107, s.29, Copyright Act of Canada, RSC, 1985 c-42, as amended, s.40(2), The </w:t>
      </w:r>
      <w:r w:rsidRPr="00DB7EB1">
        <w:rPr>
          <w:rFonts w:eastAsia="Times New Roman"/>
          <w:i/>
          <w:sz w:val="17"/>
          <w:szCs w:val="17"/>
        </w:rPr>
        <w:t xml:space="preserve">Copyright Act 1968 </w:t>
      </w:r>
      <w:r w:rsidRPr="00DB7EB1">
        <w:rPr>
          <w:rFonts w:eastAsia="Times New Roman"/>
          <w:sz w:val="17"/>
          <w:szCs w:val="17"/>
        </w:rPr>
        <w:t>(Cth) (Australia) provide a non-exhaustive list of copyright statutes that include a fair use or fair dealing provision.</w:t>
      </w:r>
      <w:r w:rsidRPr="00937D4A">
        <w:rPr>
          <w:rFonts w:eastAsia="Times New Roman"/>
          <w:sz w:val="17"/>
          <w:szCs w:val="17"/>
        </w:rPr>
        <w:t xml:space="preserve"> </w:t>
      </w:r>
    </w:p>
    <w:p w14:paraId="3F50A12A" w14:textId="77777777" w:rsidR="00C019A0" w:rsidRPr="00937D4A" w:rsidRDefault="00C019A0" w:rsidP="00C019A0">
      <w:pPr>
        <w:rPr>
          <w:sz w:val="17"/>
          <w:szCs w:val="17"/>
        </w:rPr>
      </w:pPr>
    </w:p>
  </w:endnote>
  <w:endnote w:id="26">
    <w:p w14:paraId="13439E34" w14:textId="290B0191" w:rsidR="00C019A0" w:rsidRPr="00937D4A" w:rsidRDefault="00C019A0" w:rsidP="00C019A0">
      <w:pPr>
        <w:pStyle w:val="EndnoteText"/>
        <w:rPr>
          <w:rFonts w:eastAsia="Times New Roman"/>
          <w:sz w:val="17"/>
          <w:szCs w:val="17"/>
        </w:rPr>
      </w:pPr>
      <w:r w:rsidRPr="00937D4A">
        <w:rPr>
          <w:rStyle w:val="EndnoteReference"/>
          <w:sz w:val="17"/>
          <w:szCs w:val="17"/>
        </w:rPr>
        <w:endnoteRef/>
      </w:r>
      <w:r w:rsidRPr="00937D4A">
        <w:rPr>
          <w:sz w:val="17"/>
          <w:szCs w:val="17"/>
        </w:rPr>
        <w:t xml:space="preserve"> </w:t>
      </w:r>
      <w:r w:rsidRPr="00937D4A">
        <w:rPr>
          <w:rFonts w:eastAsia="Times New Roman"/>
          <w:sz w:val="17"/>
          <w:szCs w:val="17"/>
        </w:rPr>
        <w:t xml:space="preserve">This is more so in the case of fair use, as the cases constituting fair dealing are often considered to be more certain and better defined. See in this regard inputs from the Australian Law Reform Commission, available at </w:t>
      </w:r>
      <w:hyperlink r:id="rId15">
        <w:r w:rsidRPr="00937D4A">
          <w:rPr>
            <w:rFonts w:eastAsia="Times New Roman"/>
            <w:color w:val="0563C1"/>
            <w:sz w:val="17"/>
            <w:szCs w:val="17"/>
            <w:u w:val="single"/>
          </w:rPr>
          <w:t>https://www.alrc.gov.au/publication/copyright-and-the-digital-economy-alrc-report-122/6-the-new-fair-dealing-exception/advantages-of-fair-use-over-fair-dealing/</w:t>
        </w:r>
      </w:hyperlink>
      <w:r w:rsidRPr="00937D4A">
        <w:rPr>
          <w:rFonts w:eastAsia="Times New Roman"/>
          <w:sz w:val="17"/>
          <w:szCs w:val="17"/>
        </w:rPr>
        <w:t xml:space="preserve"> (accessed 13 January 2025).</w:t>
      </w:r>
    </w:p>
    <w:p w14:paraId="2418F17B" w14:textId="77777777" w:rsidR="00C019A0" w:rsidRPr="00937D4A" w:rsidRDefault="00C019A0" w:rsidP="00C019A0">
      <w:pPr>
        <w:pStyle w:val="EndnoteText"/>
        <w:rPr>
          <w:sz w:val="17"/>
          <w:szCs w:val="17"/>
        </w:rPr>
      </w:pPr>
    </w:p>
  </w:endnote>
  <w:endnote w:id="27">
    <w:p w14:paraId="6BF4C530" w14:textId="2C04406F" w:rsidR="00C019A0" w:rsidRPr="00937D4A" w:rsidRDefault="00C019A0" w:rsidP="00C019A0">
      <w:pPr>
        <w:pStyle w:val="EndnoteText"/>
        <w:rPr>
          <w:sz w:val="17"/>
          <w:szCs w:val="17"/>
        </w:rPr>
      </w:pPr>
      <w:r w:rsidRPr="00937D4A">
        <w:rPr>
          <w:rStyle w:val="EndnoteReference"/>
          <w:sz w:val="17"/>
          <w:szCs w:val="17"/>
        </w:rPr>
        <w:endnoteRef/>
      </w:r>
      <w:r w:rsidRPr="00937D4A">
        <w:rPr>
          <w:sz w:val="17"/>
          <w:szCs w:val="17"/>
        </w:rPr>
        <w:t xml:space="preserve"> See for example, Canadian Copyright Act, R.S.C. 1985, c. c-42, as amended, s.38.1(1)(b). at </w:t>
      </w:r>
      <w:hyperlink r:id="rId16" w:anchor=":~:text=38.1%20(1)%20Subject%20to%20this,infringement%20of%20subsection%2027(2.3)" w:history="1">
        <w:r w:rsidRPr="00937D4A">
          <w:rPr>
            <w:rStyle w:val="Hyperlink"/>
            <w:sz w:val="17"/>
            <w:szCs w:val="17"/>
          </w:rPr>
          <w:t>https://laws-lois.justice.gc.ca/eng/acts/c-42/section-38.1.html#:~:text=38.1%20(1)%20Subject%20to%20this,infringement%20of%20subsection%2027(2.3)</w:t>
        </w:r>
      </w:hyperlink>
      <w:r w:rsidRPr="00937D4A">
        <w:rPr>
          <w:sz w:val="17"/>
          <w:szCs w:val="17"/>
        </w:rPr>
        <w:t xml:space="preserve"> accessed September 6, 2025.</w:t>
      </w:r>
    </w:p>
    <w:p w14:paraId="283DA38C" w14:textId="77777777" w:rsidR="00C019A0" w:rsidRPr="00937D4A" w:rsidRDefault="00C019A0" w:rsidP="00C019A0">
      <w:pPr>
        <w:pStyle w:val="EndnoteText"/>
        <w:rPr>
          <w:sz w:val="17"/>
          <w:szCs w:val="17"/>
        </w:rPr>
      </w:pPr>
    </w:p>
  </w:endnote>
  <w:endnote w:id="28">
    <w:p w14:paraId="5FB7F4EB" w14:textId="47D0088B" w:rsidR="00C019A0" w:rsidRDefault="00C019A0" w:rsidP="00C019A0">
      <w:pPr>
        <w:rPr>
          <w:rFonts w:eastAsia="Times New Roman"/>
          <w:sz w:val="17"/>
          <w:szCs w:val="17"/>
        </w:rPr>
      </w:pPr>
      <w:r w:rsidRPr="00937D4A">
        <w:rPr>
          <w:sz w:val="17"/>
          <w:szCs w:val="17"/>
          <w:vertAlign w:val="superscript"/>
        </w:rPr>
        <w:endnoteRef/>
      </w:r>
      <w:r w:rsidRPr="00937D4A">
        <w:rPr>
          <w:rFonts w:eastAsia="Times New Roman"/>
          <w:sz w:val="17"/>
          <w:szCs w:val="17"/>
        </w:rPr>
        <w:t xml:space="preserve"> Safe harbor provisions were added to most if not all Member States’ copyright laws when they ratified and passed legislation enacting the WIPO Copyright Treaty, a special agreement under the Berne Convention. See </w:t>
      </w:r>
      <w:hyperlink r:id="rId17">
        <w:r w:rsidRPr="00937D4A">
          <w:rPr>
            <w:rFonts w:eastAsia="Times New Roman"/>
            <w:color w:val="0563C1"/>
            <w:sz w:val="17"/>
            <w:szCs w:val="17"/>
            <w:u w:val="single"/>
          </w:rPr>
          <w:t>https://www.wipo.int/treaties/en/ip/wct/</w:t>
        </w:r>
      </w:hyperlink>
      <w:r w:rsidRPr="00937D4A">
        <w:rPr>
          <w:rFonts w:eastAsia="Times New Roman"/>
          <w:sz w:val="17"/>
          <w:szCs w:val="17"/>
        </w:rPr>
        <w:t xml:space="preserve"> accessed October 16, 2024.</w:t>
      </w:r>
    </w:p>
    <w:p w14:paraId="2F3BCB04" w14:textId="77777777" w:rsidR="00C019A0" w:rsidRPr="00937D4A" w:rsidRDefault="00C019A0" w:rsidP="00C019A0">
      <w:pPr>
        <w:rPr>
          <w:rFonts w:eastAsia="Times New Roman"/>
          <w:sz w:val="17"/>
          <w:szCs w:val="17"/>
        </w:rPr>
      </w:pPr>
    </w:p>
  </w:endnote>
  <w:endnote w:id="29">
    <w:p w14:paraId="23E824A8" w14:textId="77777777" w:rsidR="00C019A0" w:rsidRDefault="00C019A0" w:rsidP="00C019A0">
      <w:pPr>
        <w:rPr>
          <w:rFonts w:eastAsia="Times New Roman"/>
          <w:sz w:val="17"/>
          <w:szCs w:val="17"/>
        </w:rPr>
      </w:pPr>
      <w:r w:rsidRPr="00937D4A">
        <w:rPr>
          <w:sz w:val="17"/>
          <w:szCs w:val="17"/>
          <w:vertAlign w:val="superscript"/>
        </w:rPr>
        <w:endnoteRef/>
      </w:r>
      <w:r w:rsidRPr="00937D4A">
        <w:rPr>
          <w:sz w:val="17"/>
          <w:szCs w:val="17"/>
        </w:rPr>
        <w:t xml:space="preserve"> </w:t>
      </w:r>
      <w:r w:rsidRPr="00937D4A">
        <w:rPr>
          <w:rFonts w:eastAsia="Times New Roman"/>
          <w:sz w:val="17"/>
          <w:szCs w:val="17"/>
        </w:rPr>
        <w:t xml:space="preserve">See for example, s.38.1(1) of Canadian Copyright Act, RSC 1985 c. C-42 as amended, </w:t>
      </w:r>
      <w:r>
        <w:rPr>
          <w:rFonts w:eastAsia="Times New Roman"/>
          <w:sz w:val="17"/>
          <w:szCs w:val="17"/>
        </w:rPr>
        <w:t>which</w:t>
      </w:r>
      <w:r w:rsidRPr="00937D4A">
        <w:rPr>
          <w:rFonts w:eastAsia="Times New Roman"/>
          <w:sz w:val="17"/>
          <w:szCs w:val="17"/>
        </w:rPr>
        <w:t xml:space="preserve"> provides that statutory damages for noncommercial uses are limited from $100 to $5000 at the discretion of the court.</w:t>
      </w:r>
    </w:p>
    <w:p w14:paraId="1BD31075" w14:textId="77777777" w:rsidR="00C019A0" w:rsidRPr="00937D4A" w:rsidRDefault="00C019A0" w:rsidP="00C019A0">
      <w:pPr>
        <w:rPr>
          <w:rFonts w:eastAsia="Times New Roman"/>
          <w:sz w:val="17"/>
          <w:szCs w:val="17"/>
        </w:rPr>
      </w:pPr>
    </w:p>
  </w:endnote>
  <w:endnote w:id="30">
    <w:p w14:paraId="0B2B20AA" w14:textId="77777777" w:rsidR="00C019A0" w:rsidRDefault="00C019A0" w:rsidP="00C019A0">
      <w:pPr>
        <w:rPr>
          <w:rFonts w:eastAsia="Times New Roman"/>
          <w:sz w:val="17"/>
          <w:szCs w:val="17"/>
        </w:rPr>
      </w:pPr>
      <w:r w:rsidRPr="00937D4A">
        <w:rPr>
          <w:sz w:val="17"/>
          <w:szCs w:val="17"/>
          <w:vertAlign w:val="superscript"/>
        </w:rPr>
        <w:endnoteRef/>
      </w:r>
      <w:r w:rsidRPr="00937D4A">
        <w:rPr>
          <w:rFonts w:eastAsia="Times New Roman"/>
          <w:sz w:val="17"/>
          <w:szCs w:val="17"/>
        </w:rPr>
        <w:t xml:space="preserve"> Where it becomes necessary in the end for the work concerned to be reproduced in a publication additional permissions may be required by the cultural heritage institution.</w:t>
      </w:r>
    </w:p>
    <w:p w14:paraId="1090CA2A" w14:textId="77777777" w:rsidR="00C019A0" w:rsidRPr="00937D4A" w:rsidRDefault="00C019A0" w:rsidP="00C019A0">
      <w:pPr>
        <w:rPr>
          <w:rFonts w:eastAsia="Times New Roman"/>
          <w:sz w:val="17"/>
          <w:szCs w:val="17"/>
        </w:rPr>
      </w:pPr>
    </w:p>
  </w:endnote>
  <w:endnote w:id="31">
    <w:p w14:paraId="1DA86DC6" w14:textId="06FFC89C" w:rsidR="00C019A0" w:rsidRPr="00937D4A" w:rsidRDefault="00C019A0" w:rsidP="00C019A0">
      <w:pPr>
        <w:pStyle w:val="EndnoteText"/>
        <w:rPr>
          <w:sz w:val="17"/>
          <w:szCs w:val="17"/>
        </w:rPr>
      </w:pPr>
      <w:r w:rsidRPr="00937D4A">
        <w:rPr>
          <w:rStyle w:val="EndnoteReference"/>
          <w:sz w:val="17"/>
          <w:szCs w:val="17"/>
        </w:rPr>
        <w:endnoteRef/>
      </w:r>
      <w:r>
        <w:rPr>
          <w:sz w:val="17"/>
          <w:szCs w:val="17"/>
        </w:rPr>
        <w:t xml:space="preserve"> Member St</w:t>
      </w:r>
      <w:r w:rsidRPr="00937D4A">
        <w:rPr>
          <w:sz w:val="17"/>
          <w:szCs w:val="17"/>
        </w:rPr>
        <w:t xml:space="preserve">ates that adhere to the WIPO Copyright Treaty, and others such as South Africa, include such provisions. WIPO Copyright Treaty (WCT) </w:t>
      </w:r>
      <w:hyperlink r:id="rId18" w:history="1">
        <w:r w:rsidRPr="00937D4A">
          <w:rPr>
            <w:rStyle w:val="Hyperlink"/>
            <w:sz w:val="17"/>
            <w:szCs w:val="17"/>
          </w:rPr>
          <w:t>https://www.wipo.int/treaties/en/ip/wct/</w:t>
        </w:r>
      </w:hyperlink>
      <w:r w:rsidRPr="00937D4A">
        <w:rPr>
          <w:sz w:val="17"/>
          <w:szCs w:val="17"/>
        </w:rPr>
        <w:t xml:space="preserve"> accessed September 1, 2025. See Copyright Act 98 of 1978, South Africa </w:t>
      </w:r>
      <w:hyperlink r:id="rId19" w:history="1">
        <w:r w:rsidRPr="00937D4A">
          <w:rPr>
            <w:rStyle w:val="Hyperlink"/>
            <w:sz w:val="17"/>
            <w:szCs w:val="17"/>
          </w:rPr>
          <w:t>https://www.gov.za/documents/copyright-act-16-apr-2015-0942 accessed September 1</w:t>
        </w:r>
      </w:hyperlink>
      <w:r w:rsidRPr="00937D4A">
        <w:rPr>
          <w:sz w:val="17"/>
          <w:szCs w:val="17"/>
        </w:rPr>
        <w:t>, 2025.</w:t>
      </w:r>
    </w:p>
    <w:p w14:paraId="61880777" w14:textId="77777777" w:rsidR="00C019A0" w:rsidRPr="00937D4A" w:rsidRDefault="00C019A0" w:rsidP="00C019A0">
      <w:pPr>
        <w:pStyle w:val="EndnoteText"/>
        <w:rPr>
          <w:sz w:val="17"/>
          <w:szCs w:val="17"/>
        </w:rPr>
      </w:pPr>
    </w:p>
  </w:endnote>
  <w:endnote w:id="32">
    <w:p w14:paraId="3A934576" w14:textId="77777777" w:rsidR="00C019A0" w:rsidRPr="00937D4A" w:rsidRDefault="00C019A0" w:rsidP="00C019A0">
      <w:pPr>
        <w:pStyle w:val="EndnoteText"/>
        <w:rPr>
          <w:sz w:val="17"/>
          <w:szCs w:val="17"/>
        </w:rPr>
      </w:pPr>
      <w:r w:rsidRPr="00937D4A">
        <w:rPr>
          <w:rStyle w:val="EndnoteReference"/>
          <w:sz w:val="17"/>
          <w:szCs w:val="17"/>
        </w:rPr>
        <w:endnoteRef/>
      </w:r>
      <w:r w:rsidRPr="00937D4A">
        <w:rPr>
          <w:sz w:val="17"/>
          <w:szCs w:val="17"/>
        </w:rPr>
        <w:t xml:space="preserve"> Creative Commons licenses and so-called WTFPL licences (in the case of software) are often seen as being an equivalent to the public domain as they ensure that newly-created works are made available for use by the public with limited restrictions.</w:t>
      </w:r>
    </w:p>
    <w:p w14:paraId="3EDC828E" w14:textId="77777777" w:rsidR="00C019A0" w:rsidRPr="00937D4A" w:rsidRDefault="00C019A0" w:rsidP="00C019A0">
      <w:pPr>
        <w:pStyle w:val="EndnoteText"/>
        <w:rPr>
          <w:sz w:val="17"/>
          <w:szCs w:val="17"/>
        </w:rPr>
      </w:pPr>
    </w:p>
  </w:endnote>
  <w:endnote w:id="33">
    <w:p w14:paraId="2C894E64" w14:textId="3E9C8A9C" w:rsidR="00C019A0" w:rsidRPr="00937D4A" w:rsidRDefault="00C019A0" w:rsidP="00C019A0">
      <w:pPr>
        <w:pStyle w:val="EndnoteText"/>
        <w:rPr>
          <w:sz w:val="17"/>
          <w:szCs w:val="17"/>
        </w:rPr>
      </w:pPr>
      <w:r w:rsidRPr="00937D4A">
        <w:rPr>
          <w:rStyle w:val="EndnoteReference"/>
          <w:sz w:val="17"/>
          <w:szCs w:val="17"/>
        </w:rPr>
        <w:endnoteRef/>
      </w:r>
      <w:r w:rsidRPr="00937D4A">
        <w:rPr>
          <w:sz w:val="17"/>
          <w:szCs w:val="17"/>
        </w:rPr>
        <w:t xml:space="preserve"> See UNESCO. “Domaine public payant”, (Paris, 27 May 1949). Accessed 27 August 2025 from </w:t>
      </w:r>
      <w:hyperlink r:id="rId20" w:history="1">
        <w:r w:rsidRPr="00937D4A">
          <w:rPr>
            <w:rStyle w:val="Hyperlink"/>
            <w:sz w:val="17"/>
            <w:szCs w:val="17"/>
          </w:rPr>
          <w:t>https://unesdoc.unesco.org/ark:/48223/pf0000143960</w:t>
        </w:r>
      </w:hyperlink>
      <w:r w:rsidRPr="00937D4A">
        <w:rPr>
          <w:sz w:val="17"/>
          <w:szCs w:val="17"/>
        </w:rPr>
        <w:t xml:space="preserve">. Also WIPO, ‘Notes on the meaning of the term “Public Domain” …’, (Geneva, 24 November 2010). Accessed 27 August 2025 from </w:t>
      </w:r>
      <w:hyperlink r:id="rId21" w:history="1">
        <w:r w:rsidRPr="00937D4A">
          <w:rPr>
            <w:rStyle w:val="Hyperlink"/>
            <w:sz w:val="17"/>
            <w:szCs w:val="17"/>
          </w:rPr>
          <w:t>https://www.wipo.int/meetings/en/doc_details.jsp?doc_id=149213</w:t>
        </w:r>
      </w:hyperlink>
      <w:r w:rsidRPr="00937D4A">
        <w:rPr>
          <w:sz w:val="17"/>
          <w:szCs w:val="17"/>
        </w:rPr>
        <w:t xml:space="preserve">. </w:t>
      </w:r>
    </w:p>
    <w:p w14:paraId="2A910CC6" w14:textId="77777777" w:rsidR="00C019A0" w:rsidRPr="00937D4A" w:rsidRDefault="00C019A0" w:rsidP="00C019A0">
      <w:pPr>
        <w:pStyle w:val="EndnoteText"/>
        <w:rPr>
          <w:sz w:val="17"/>
          <w:szCs w:val="17"/>
        </w:rPr>
      </w:pPr>
    </w:p>
  </w:endnote>
  <w:endnote w:id="34">
    <w:p w14:paraId="19A3D57C" w14:textId="77777777" w:rsidR="00C019A0" w:rsidRPr="00937D4A" w:rsidRDefault="00C019A0" w:rsidP="00C019A0">
      <w:pPr>
        <w:pStyle w:val="EndnoteText"/>
        <w:rPr>
          <w:sz w:val="17"/>
          <w:szCs w:val="17"/>
        </w:rPr>
      </w:pPr>
      <w:r w:rsidRPr="00DB7EB1">
        <w:rPr>
          <w:rStyle w:val="EndnoteReference"/>
          <w:sz w:val="17"/>
          <w:szCs w:val="17"/>
        </w:rPr>
        <w:endnoteRef/>
      </w:r>
      <w:r w:rsidRPr="00DB7EB1">
        <w:rPr>
          <w:sz w:val="17"/>
          <w:szCs w:val="17"/>
        </w:rPr>
        <w:t xml:space="preserve"> </w:t>
      </w:r>
      <w:r w:rsidRPr="00937D4A">
        <w:rPr>
          <w:sz w:val="17"/>
          <w:szCs w:val="17"/>
        </w:rPr>
        <w:t xml:space="preserve">See </w:t>
      </w:r>
      <w:r w:rsidRPr="00DB7EB1">
        <w:rPr>
          <w:sz w:val="17"/>
          <w:szCs w:val="17"/>
        </w:rPr>
        <w:t>German Federal Court of Justice, judgment I ZR 104/17, December 20, 2018 (“Museumsfotos”).</w:t>
      </w:r>
    </w:p>
    <w:p w14:paraId="3D41A973" w14:textId="77777777" w:rsidR="00C019A0" w:rsidRPr="00937D4A" w:rsidRDefault="00C019A0" w:rsidP="00C019A0">
      <w:pPr>
        <w:pStyle w:val="EndnoteText"/>
        <w:rPr>
          <w:sz w:val="17"/>
          <w:szCs w:val="17"/>
        </w:rPr>
      </w:pPr>
    </w:p>
  </w:endnote>
  <w:endnote w:id="35">
    <w:p w14:paraId="1B0E6B7C" w14:textId="095F3760" w:rsidR="00C019A0" w:rsidRDefault="00C019A0" w:rsidP="00C019A0">
      <w:pPr>
        <w:pStyle w:val="EndnoteText"/>
        <w:rPr>
          <w:sz w:val="17"/>
          <w:szCs w:val="17"/>
        </w:rPr>
      </w:pPr>
      <w:r w:rsidRPr="00826987">
        <w:rPr>
          <w:rStyle w:val="EndnoteReference"/>
          <w:sz w:val="17"/>
          <w:szCs w:val="17"/>
        </w:rPr>
        <w:endnoteRef/>
      </w:r>
      <w:r w:rsidRPr="00826987">
        <w:rPr>
          <w:sz w:val="17"/>
          <w:szCs w:val="17"/>
        </w:rPr>
        <w:t xml:space="preserve"> </w:t>
      </w:r>
      <w:hyperlink r:id="rId22" w:history="1">
        <w:r w:rsidRPr="000D6B89">
          <w:rPr>
            <w:rStyle w:val="Hyperlink"/>
            <w:sz w:val="17"/>
            <w:szCs w:val="17"/>
          </w:rPr>
          <w:t>https://www.cinema.ucla.edu/</w:t>
        </w:r>
      </w:hyperlink>
      <w:r>
        <w:rPr>
          <w:sz w:val="17"/>
          <w:szCs w:val="17"/>
        </w:rPr>
        <w:t xml:space="preserve"> </w:t>
      </w:r>
    </w:p>
    <w:p w14:paraId="133E2B32" w14:textId="77777777" w:rsidR="00C019A0" w:rsidRPr="00826987" w:rsidRDefault="00C019A0" w:rsidP="00C019A0">
      <w:pPr>
        <w:pStyle w:val="EndnoteText"/>
        <w:rPr>
          <w:sz w:val="17"/>
          <w:szCs w:val="17"/>
        </w:rPr>
      </w:pPr>
    </w:p>
  </w:endnote>
  <w:endnote w:id="36">
    <w:p w14:paraId="530BEB04" w14:textId="77777777" w:rsidR="00C019A0" w:rsidRPr="00937D4A" w:rsidRDefault="00C019A0" w:rsidP="00C019A0">
      <w:pPr>
        <w:pStyle w:val="EndnoteText"/>
        <w:rPr>
          <w:sz w:val="17"/>
          <w:szCs w:val="17"/>
        </w:rPr>
      </w:pPr>
      <w:r w:rsidRPr="00937D4A">
        <w:rPr>
          <w:rStyle w:val="EndnoteReference"/>
          <w:sz w:val="17"/>
          <w:szCs w:val="17"/>
        </w:rPr>
        <w:endnoteRef/>
      </w:r>
      <w:r w:rsidRPr="00937D4A">
        <w:rPr>
          <w:sz w:val="17"/>
          <w:szCs w:val="17"/>
        </w:rPr>
        <w:t xml:space="preserve"> This is the case, for example, with film and video archives, such as the UCLA Film and Television Archive.</w:t>
      </w:r>
    </w:p>
    <w:p w14:paraId="0B43C7BB" w14:textId="77777777" w:rsidR="00C019A0" w:rsidRPr="00937D4A" w:rsidRDefault="00C019A0" w:rsidP="00C019A0">
      <w:pPr>
        <w:pStyle w:val="EndnoteText"/>
        <w:rPr>
          <w:sz w:val="17"/>
          <w:szCs w:val="17"/>
        </w:rPr>
      </w:pPr>
    </w:p>
  </w:endnote>
  <w:endnote w:id="37">
    <w:p w14:paraId="42520B27" w14:textId="2C137E87" w:rsidR="00C019A0" w:rsidRDefault="00C019A0" w:rsidP="00C019A0">
      <w:pPr>
        <w:rPr>
          <w:rFonts w:eastAsia="Times New Roman"/>
          <w:sz w:val="17"/>
          <w:szCs w:val="17"/>
        </w:rPr>
      </w:pPr>
      <w:r w:rsidRPr="00937D4A">
        <w:rPr>
          <w:sz w:val="17"/>
          <w:szCs w:val="17"/>
          <w:vertAlign w:val="superscript"/>
        </w:rPr>
        <w:endnoteRef/>
      </w:r>
      <w:r w:rsidRPr="00937D4A">
        <w:rPr>
          <w:rFonts w:eastAsia="Times New Roman"/>
          <w:sz w:val="17"/>
          <w:szCs w:val="17"/>
        </w:rPr>
        <w:t xml:space="preserve"> The Glam acronym is a reference to cultural institutions most likely to engage in open culture, i.e. galleries, libraries, archives and museums. See in this regard </w:t>
      </w:r>
      <w:hyperlink r:id="rId23">
        <w:r w:rsidRPr="00937D4A">
          <w:rPr>
            <w:rFonts w:eastAsia="Times New Roman"/>
            <w:color w:val="244787"/>
            <w:sz w:val="17"/>
            <w:szCs w:val="17"/>
          </w:rPr>
          <w:t>https://creativecommons.org/about/arts-culture/</w:t>
        </w:r>
      </w:hyperlink>
      <w:r w:rsidRPr="00937D4A">
        <w:rPr>
          <w:rFonts w:eastAsia="Times New Roman"/>
          <w:sz w:val="17"/>
          <w:szCs w:val="17"/>
        </w:rPr>
        <w:t xml:space="preserve"> (accessed 7 October 2024).</w:t>
      </w:r>
    </w:p>
    <w:p w14:paraId="6082B62D" w14:textId="77777777" w:rsidR="00C019A0" w:rsidRPr="00937D4A" w:rsidRDefault="00C019A0" w:rsidP="00C019A0">
      <w:pPr>
        <w:rPr>
          <w:rFonts w:eastAsia="Times New Roman"/>
          <w:sz w:val="17"/>
          <w:szCs w:val="17"/>
        </w:rPr>
      </w:pPr>
    </w:p>
  </w:endnote>
  <w:endnote w:id="38">
    <w:p w14:paraId="1193C27A" w14:textId="50167C77" w:rsidR="00C019A0" w:rsidRDefault="00C019A0" w:rsidP="00C019A0">
      <w:pPr>
        <w:rPr>
          <w:rFonts w:eastAsia="Times New Roman"/>
          <w:color w:val="222222"/>
          <w:sz w:val="17"/>
          <w:szCs w:val="17"/>
        </w:rPr>
      </w:pPr>
      <w:r w:rsidRPr="00937D4A">
        <w:rPr>
          <w:sz w:val="17"/>
          <w:szCs w:val="17"/>
          <w:vertAlign w:val="superscript"/>
        </w:rPr>
        <w:endnoteRef/>
      </w:r>
      <w:r w:rsidRPr="00937D4A">
        <w:rPr>
          <w:rFonts w:eastAsia="Times New Roman"/>
          <w:sz w:val="17"/>
          <w:szCs w:val="17"/>
        </w:rPr>
        <w:t xml:space="preserve"> See for the example of an open access policy one posted on the website of the Royal Museums Greenwich, available at </w:t>
      </w:r>
      <w:hyperlink r:id="rId24">
        <w:r w:rsidRPr="00937D4A">
          <w:rPr>
            <w:rFonts w:eastAsia="Times New Roman"/>
            <w:color w:val="244787"/>
            <w:sz w:val="17"/>
            <w:szCs w:val="17"/>
          </w:rPr>
          <w:t>https://www.rmg.co.uk/policies/collections-information-access-policy</w:t>
        </w:r>
      </w:hyperlink>
      <w:r w:rsidRPr="00937D4A">
        <w:rPr>
          <w:rFonts w:eastAsia="Times New Roman"/>
          <w:sz w:val="17"/>
          <w:szCs w:val="17"/>
        </w:rPr>
        <w:t xml:space="preserve">; and one posted on the website of the Metropolitan Museum of Art in New York, available at https://www.metmuseum.org/about-the-met/policies-and-documents/open-access (accessed 7 October 2024). </w:t>
      </w:r>
      <w:r w:rsidRPr="00937D4A">
        <w:rPr>
          <w:rFonts w:eastAsia="Times New Roman"/>
          <w:color w:val="222222"/>
          <w:sz w:val="17"/>
          <w:szCs w:val="17"/>
          <w:highlight w:val="white"/>
        </w:rPr>
        <w:t xml:space="preserve">An example of "terms of use" that support broad open access for specific public interest and educational purposes, can be found at the Menil Collection in Houston Texas, available at </w:t>
      </w:r>
      <w:hyperlink r:id="rId25" w:history="1">
        <w:r w:rsidRPr="00937D4A">
          <w:rPr>
            <w:rStyle w:val="Hyperlink"/>
            <w:rFonts w:eastAsia="Times New Roman"/>
            <w:sz w:val="17"/>
            <w:szCs w:val="17"/>
            <w:highlight w:val="white"/>
          </w:rPr>
          <w:t>https://www.menil.org/terms-conditions</w:t>
        </w:r>
      </w:hyperlink>
      <w:r w:rsidRPr="00937D4A">
        <w:rPr>
          <w:rFonts w:eastAsia="Times New Roman"/>
          <w:color w:val="222222"/>
          <w:sz w:val="17"/>
          <w:szCs w:val="17"/>
          <w:highlight w:val="white"/>
        </w:rPr>
        <w:t xml:space="preserve"> (accessed 7 October 2024).</w:t>
      </w:r>
    </w:p>
    <w:p w14:paraId="6C988BE6" w14:textId="77777777" w:rsidR="00C019A0" w:rsidRPr="00937D4A" w:rsidRDefault="00C019A0" w:rsidP="00C019A0">
      <w:pPr>
        <w:rPr>
          <w:rFonts w:eastAsia="Times New Roman"/>
          <w:sz w:val="17"/>
          <w:szCs w:val="17"/>
        </w:rPr>
      </w:pPr>
    </w:p>
  </w:endnote>
  <w:endnote w:id="39">
    <w:p w14:paraId="333BDEA2" w14:textId="0170FE14" w:rsidR="00C019A0" w:rsidRPr="00937D4A" w:rsidRDefault="00C019A0" w:rsidP="00C019A0">
      <w:pPr>
        <w:pStyle w:val="EndnoteText"/>
        <w:rPr>
          <w:sz w:val="17"/>
          <w:szCs w:val="17"/>
        </w:rPr>
      </w:pPr>
      <w:r w:rsidRPr="00937D4A">
        <w:rPr>
          <w:rStyle w:val="EndnoteReference"/>
          <w:sz w:val="17"/>
          <w:szCs w:val="17"/>
        </w:rPr>
        <w:endnoteRef/>
      </w:r>
      <w:r w:rsidRPr="00937D4A">
        <w:rPr>
          <w:sz w:val="17"/>
          <w:szCs w:val="17"/>
        </w:rPr>
        <w:t xml:space="preserve"> See Collective Management of Text and Image Based Works at </w:t>
      </w:r>
      <w:hyperlink r:id="rId26" w:history="1">
        <w:r w:rsidRPr="00937D4A">
          <w:rPr>
            <w:rStyle w:val="Hyperlink"/>
            <w:sz w:val="17"/>
            <w:szCs w:val="17"/>
          </w:rPr>
          <w:t>https://www.wipo.int/edocs/pubdocs/en/wipo-pub-924-2023-en-collective-management-of-text-and-image-based-works.pdf</w:t>
        </w:r>
      </w:hyperlink>
      <w:r w:rsidRPr="00937D4A">
        <w:rPr>
          <w:sz w:val="17"/>
          <w:szCs w:val="17"/>
        </w:rPr>
        <w:t xml:space="preserve">, pages 32 </w:t>
      </w:r>
      <w:r w:rsidRPr="00937D4A">
        <w:rPr>
          <w:i/>
          <w:iCs/>
          <w:sz w:val="17"/>
          <w:szCs w:val="17"/>
        </w:rPr>
        <w:t>et seq</w:t>
      </w:r>
      <w:r w:rsidRPr="00937D4A">
        <w:rPr>
          <w:sz w:val="17"/>
          <w:szCs w:val="17"/>
        </w:rPr>
        <w:t>.</w:t>
      </w:r>
    </w:p>
    <w:p w14:paraId="1AD8ABDE" w14:textId="77777777" w:rsidR="00C019A0" w:rsidRPr="00937D4A" w:rsidRDefault="00C019A0" w:rsidP="00C019A0">
      <w:pPr>
        <w:pStyle w:val="EndnoteText"/>
        <w:rPr>
          <w:sz w:val="17"/>
          <w:szCs w:val="17"/>
        </w:rPr>
      </w:pPr>
    </w:p>
  </w:endnote>
  <w:endnote w:id="40">
    <w:p w14:paraId="05463446" w14:textId="77777777" w:rsidR="00C019A0" w:rsidRPr="00DB7EB1" w:rsidRDefault="00C019A0" w:rsidP="00C019A0">
      <w:pPr>
        <w:pStyle w:val="p1"/>
        <w:rPr>
          <w:lang w:val="en-ZA" w:eastAsia="en-GB"/>
        </w:rPr>
      </w:pPr>
      <w:r w:rsidRPr="00DB7EB1">
        <w:rPr>
          <w:rStyle w:val="EndnoteReference"/>
        </w:rPr>
        <w:endnoteRef/>
      </w:r>
      <w:r w:rsidRPr="00DB7EB1">
        <w:t xml:space="preserve"> As an example, Nordic countries use collective management organizations in this way to manage specific rights in copyright for specific purposes. This is true throughout the Nordic region in Europe where they manage licensing, royalty collection and distribution. See, for example KODA in Denmark, TEOSTO in Finland, TONO in Norway and STIM in Sweden. See in this regard </w:t>
      </w:r>
      <w:r w:rsidRPr="00DB7EB1">
        <w:rPr>
          <w:lang w:val="en-ZA" w:eastAsia="en-GB"/>
        </w:rPr>
        <w:t xml:space="preserve">Rán Tryggvadóttir, “Facilitating Transactions and Lawful Availability of Works of Authorship: Online Access to the Cultural Heritage and Extended Collective Licenses”. </w:t>
      </w:r>
      <w:r w:rsidRPr="00DB7EB1">
        <w:rPr>
          <w:i/>
          <w:iCs/>
          <w:lang w:val="en-ZA" w:eastAsia="en-GB"/>
        </w:rPr>
        <w:t>Colum. J.L.</w:t>
      </w:r>
      <w:r w:rsidRPr="00DB7EB1">
        <w:rPr>
          <w:lang w:val="en-ZA" w:eastAsia="en-GB"/>
        </w:rPr>
        <w:t>, 41(23), (2018), pp. 515-531.</w:t>
      </w:r>
    </w:p>
    <w:p w14:paraId="715025FD" w14:textId="77777777" w:rsidR="00C019A0" w:rsidRPr="00DB7EB1" w:rsidRDefault="00C019A0" w:rsidP="00C019A0">
      <w:pPr>
        <w:pStyle w:val="EndnoteText"/>
        <w:rPr>
          <w:sz w:val="17"/>
          <w:szCs w:val="17"/>
        </w:rPr>
      </w:pPr>
    </w:p>
  </w:endnote>
  <w:endnote w:id="41">
    <w:p w14:paraId="2ACE3C78" w14:textId="77777777" w:rsidR="00C019A0" w:rsidRDefault="00C019A0" w:rsidP="00C019A0">
      <w:pPr>
        <w:rPr>
          <w:rFonts w:eastAsia="Times New Roman"/>
          <w:sz w:val="17"/>
          <w:szCs w:val="17"/>
        </w:rPr>
      </w:pPr>
      <w:r w:rsidRPr="00DB7EB1">
        <w:rPr>
          <w:sz w:val="17"/>
          <w:szCs w:val="17"/>
          <w:vertAlign w:val="superscript"/>
        </w:rPr>
        <w:endnoteRef/>
      </w:r>
      <w:r w:rsidRPr="00DB7EB1">
        <w:rPr>
          <w:rFonts w:eastAsia="Times New Roman"/>
          <w:sz w:val="17"/>
          <w:szCs w:val="17"/>
        </w:rPr>
        <w:t xml:space="preserve"> Ibid.</w:t>
      </w:r>
    </w:p>
    <w:p w14:paraId="44F28E40" w14:textId="77777777" w:rsidR="00C019A0" w:rsidRPr="00DB7EB1" w:rsidRDefault="00C019A0" w:rsidP="00C019A0">
      <w:pPr>
        <w:rPr>
          <w:rFonts w:eastAsia="Times New Roman"/>
          <w:sz w:val="17"/>
          <w:szCs w:val="17"/>
        </w:rPr>
      </w:pPr>
    </w:p>
  </w:endnote>
  <w:endnote w:id="42">
    <w:p w14:paraId="2848121B" w14:textId="5397A1EB" w:rsidR="00C019A0" w:rsidRDefault="00C019A0" w:rsidP="00C019A0">
      <w:pPr>
        <w:rPr>
          <w:sz w:val="17"/>
          <w:szCs w:val="17"/>
        </w:rPr>
      </w:pPr>
      <w:r w:rsidRPr="00DB7EB1">
        <w:rPr>
          <w:rStyle w:val="EndnoteReference"/>
          <w:sz w:val="17"/>
          <w:szCs w:val="17"/>
        </w:rPr>
        <w:endnoteRef/>
      </w:r>
      <w:r w:rsidRPr="00DB7EB1">
        <w:rPr>
          <w:sz w:val="17"/>
          <w:szCs w:val="17"/>
        </w:rPr>
        <w:t xml:space="preserve"> For further details and examples of how collective licensing plays an important role, see </w:t>
      </w:r>
      <w:r w:rsidRPr="00DB7EB1">
        <w:rPr>
          <w:i/>
          <w:iCs/>
          <w:sz w:val="17"/>
          <w:szCs w:val="17"/>
        </w:rPr>
        <w:t>WIPO Good Practice Toolkit for Collective Management Organizations</w:t>
      </w:r>
      <w:r>
        <w:rPr>
          <w:sz w:val="17"/>
          <w:szCs w:val="17"/>
        </w:rPr>
        <w:t xml:space="preserve">, available at </w:t>
      </w:r>
      <w:hyperlink r:id="rId27" w:anchor=":~:text=The%20WIPO%20Good%20Practice%20Toolkit%20for%20Collective%20Management,area%20of%20collective%20management%20from%20around%20the%20world" w:history="1">
        <w:r w:rsidRPr="00322E8A">
          <w:rPr>
            <w:rStyle w:val="Hyperlink"/>
            <w:sz w:val="17"/>
            <w:szCs w:val="17"/>
          </w:rPr>
          <w:t>https://www.wipo.int/publications/en/details.jsp?id=4773#:~:text=The%20WIPO%20Good%20Practice%20Toolkit%20for%20Collective%20Management,area%20of%20collective%20management%20from%20around%20the%20world</w:t>
        </w:r>
      </w:hyperlink>
      <w:r w:rsidRPr="00937D4A">
        <w:rPr>
          <w:sz w:val="17"/>
          <w:szCs w:val="17"/>
        </w:rPr>
        <w:t>.</w:t>
      </w:r>
    </w:p>
    <w:p w14:paraId="6FEB5C04" w14:textId="77777777" w:rsidR="00C019A0" w:rsidRPr="00937D4A" w:rsidRDefault="00C019A0" w:rsidP="00C019A0">
      <w:pPr>
        <w:rPr>
          <w:sz w:val="17"/>
          <w:szCs w:val="17"/>
        </w:rPr>
      </w:pPr>
    </w:p>
  </w:endnote>
  <w:endnote w:id="43">
    <w:p w14:paraId="3335E6DC" w14:textId="54AD34BD" w:rsidR="00C019A0" w:rsidRPr="00937D4A" w:rsidRDefault="00C019A0" w:rsidP="00C019A0">
      <w:pPr>
        <w:pStyle w:val="EndnoteText"/>
        <w:rPr>
          <w:rFonts w:eastAsia="Times New Roman"/>
          <w:sz w:val="17"/>
          <w:szCs w:val="17"/>
        </w:rPr>
      </w:pPr>
      <w:r w:rsidRPr="00937D4A">
        <w:rPr>
          <w:rStyle w:val="EndnoteReference"/>
          <w:sz w:val="17"/>
          <w:szCs w:val="17"/>
        </w:rPr>
        <w:endnoteRef/>
      </w:r>
      <w:r w:rsidRPr="00937D4A">
        <w:rPr>
          <w:sz w:val="17"/>
          <w:szCs w:val="17"/>
        </w:rPr>
        <w:t xml:space="preserve"> </w:t>
      </w:r>
      <w:hyperlink r:id="rId28" w:history="1">
        <w:r w:rsidRPr="00322E8A">
          <w:rPr>
            <w:rStyle w:val="Hyperlink"/>
            <w:rFonts w:eastAsia="Times New Roman"/>
            <w:sz w:val="17"/>
            <w:szCs w:val="17"/>
          </w:rPr>
          <w:t>https://www.louisarmstronghouse.org/</w:t>
        </w:r>
      </w:hyperlink>
    </w:p>
    <w:p w14:paraId="35E664DB" w14:textId="77777777" w:rsidR="00C019A0" w:rsidRPr="00937D4A" w:rsidRDefault="00C019A0" w:rsidP="00C019A0">
      <w:pPr>
        <w:pStyle w:val="EndnoteText"/>
        <w:rPr>
          <w:sz w:val="17"/>
          <w:szCs w:val="17"/>
        </w:rPr>
      </w:pPr>
    </w:p>
  </w:endnote>
  <w:endnote w:id="44">
    <w:p w14:paraId="62B804B7" w14:textId="40B9253C" w:rsidR="00C019A0" w:rsidRPr="00937D4A" w:rsidRDefault="00C019A0" w:rsidP="00C019A0">
      <w:pPr>
        <w:pStyle w:val="EndnoteText"/>
        <w:rPr>
          <w:sz w:val="17"/>
          <w:szCs w:val="17"/>
        </w:rPr>
      </w:pPr>
      <w:r w:rsidRPr="00937D4A">
        <w:rPr>
          <w:rStyle w:val="EndnoteReference"/>
          <w:sz w:val="17"/>
          <w:szCs w:val="17"/>
        </w:rPr>
        <w:endnoteRef/>
      </w:r>
      <w:r w:rsidRPr="00937D4A">
        <w:rPr>
          <w:sz w:val="17"/>
          <w:szCs w:val="17"/>
        </w:rPr>
        <w:t xml:space="preserve"> </w:t>
      </w:r>
      <w:hyperlink r:id="rId29" w:history="1">
        <w:r w:rsidRPr="00937D4A">
          <w:rPr>
            <w:rStyle w:val="Hyperlink"/>
            <w:sz w:val="17"/>
            <w:szCs w:val="17"/>
          </w:rPr>
          <w:t>https://tvnews.vanderbilt.edu/</w:t>
        </w:r>
      </w:hyperlink>
    </w:p>
    <w:p w14:paraId="4899D48B" w14:textId="77777777" w:rsidR="00C019A0" w:rsidRPr="00937D4A" w:rsidRDefault="00C019A0" w:rsidP="00C019A0">
      <w:pPr>
        <w:pStyle w:val="EndnoteText"/>
        <w:rPr>
          <w:sz w:val="17"/>
          <w:szCs w:val="17"/>
        </w:rPr>
      </w:pPr>
    </w:p>
  </w:endnote>
  <w:endnote w:id="45">
    <w:p w14:paraId="507BC032" w14:textId="77777777" w:rsidR="00C019A0" w:rsidRPr="00937D4A" w:rsidRDefault="00C019A0" w:rsidP="00C019A0">
      <w:pPr>
        <w:pStyle w:val="EndnoteText"/>
        <w:rPr>
          <w:rFonts w:eastAsia="Times New Roman"/>
          <w:sz w:val="17"/>
          <w:szCs w:val="17"/>
        </w:rPr>
      </w:pPr>
      <w:r w:rsidRPr="00937D4A">
        <w:rPr>
          <w:rStyle w:val="EndnoteReference"/>
          <w:sz w:val="17"/>
          <w:szCs w:val="17"/>
        </w:rPr>
        <w:endnoteRef/>
      </w:r>
      <w:r w:rsidRPr="00937D4A">
        <w:rPr>
          <w:sz w:val="17"/>
          <w:szCs w:val="17"/>
        </w:rPr>
        <w:t xml:space="preserve"> </w:t>
      </w:r>
      <w:r w:rsidRPr="00937D4A">
        <w:rPr>
          <w:rFonts w:eastAsia="Times New Roman"/>
          <w:sz w:val="17"/>
          <w:szCs w:val="17"/>
        </w:rPr>
        <w:t xml:space="preserve">See Charles M. Dollar “Archivists and Records Managers in the Information Age.” </w:t>
      </w:r>
      <w:r w:rsidRPr="00937D4A">
        <w:rPr>
          <w:rFonts w:eastAsia="Times New Roman"/>
          <w:i/>
          <w:sz w:val="17"/>
          <w:szCs w:val="17"/>
        </w:rPr>
        <w:t>Archivaria</w:t>
      </w:r>
      <w:r w:rsidRPr="00937D4A">
        <w:rPr>
          <w:rFonts w:eastAsia="Times New Roman"/>
          <w:sz w:val="17"/>
          <w:szCs w:val="17"/>
        </w:rPr>
        <w:t xml:space="preserve"> 36 (Fall 1993), pp. 37–52.</w:t>
      </w:r>
    </w:p>
    <w:p w14:paraId="368926FD" w14:textId="77777777" w:rsidR="00C019A0" w:rsidRPr="00937D4A" w:rsidRDefault="00C019A0" w:rsidP="00C019A0">
      <w:pPr>
        <w:pStyle w:val="EndnoteText"/>
        <w:rPr>
          <w:sz w:val="17"/>
          <w:szCs w:val="17"/>
        </w:rPr>
      </w:pPr>
    </w:p>
  </w:endnote>
  <w:endnote w:id="46">
    <w:p w14:paraId="46A9962B" w14:textId="4E8A916B" w:rsidR="00C019A0" w:rsidRDefault="00C019A0" w:rsidP="00C019A0">
      <w:pPr>
        <w:rPr>
          <w:sz w:val="17"/>
          <w:szCs w:val="17"/>
        </w:rPr>
      </w:pPr>
      <w:r w:rsidRPr="00937D4A">
        <w:rPr>
          <w:rStyle w:val="EndnoteReference"/>
          <w:sz w:val="17"/>
          <w:szCs w:val="17"/>
        </w:rPr>
        <w:endnoteRef/>
      </w:r>
      <w:r w:rsidRPr="00937D4A">
        <w:rPr>
          <w:sz w:val="17"/>
          <w:szCs w:val="17"/>
        </w:rPr>
        <w:t xml:space="preserve"> </w:t>
      </w:r>
      <w:r w:rsidRPr="00937D4A">
        <w:rPr>
          <w:i/>
          <w:iCs/>
          <w:sz w:val="17"/>
          <w:szCs w:val="17"/>
        </w:rPr>
        <w:t>WIPO Toolkit on Preservation</w:t>
      </w:r>
      <w:r w:rsidRPr="00937D4A">
        <w:rPr>
          <w:sz w:val="17"/>
          <w:szCs w:val="17"/>
        </w:rPr>
        <w:t xml:space="preserve">, Kenneth Crews, Rina Pantalony, David Sutton, World Intellectual Property Organization 2024, page 17 at </w:t>
      </w:r>
      <w:hyperlink r:id="rId30" w:history="1">
        <w:r w:rsidRPr="00937D4A">
          <w:rPr>
            <w:rStyle w:val="Hyperlink"/>
            <w:sz w:val="17"/>
            <w:szCs w:val="17"/>
          </w:rPr>
          <w:t>https://www.wipo.int/documents/d/copyright/docs-en-toolkit-on-preservation.pdf accessed September 1</w:t>
        </w:r>
      </w:hyperlink>
      <w:r w:rsidRPr="00937D4A">
        <w:rPr>
          <w:sz w:val="17"/>
          <w:szCs w:val="17"/>
        </w:rPr>
        <w:t xml:space="preserve">, 2025. </w:t>
      </w:r>
    </w:p>
    <w:p w14:paraId="72F2DCCA" w14:textId="77777777" w:rsidR="00C019A0" w:rsidRPr="00937D4A" w:rsidRDefault="00C019A0" w:rsidP="00C019A0">
      <w:pPr>
        <w:rPr>
          <w:sz w:val="17"/>
          <w:szCs w:val="17"/>
        </w:rPr>
      </w:pPr>
    </w:p>
  </w:endnote>
  <w:endnote w:id="47">
    <w:p w14:paraId="6A0D242C" w14:textId="65F10071" w:rsidR="00C019A0" w:rsidRPr="00937D4A" w:rsidRDefault="00C019A0" w:rsidP="00C019A0">
      <w:pPr>
        <w:pStyle w:val="EndnoteText"/>
        <w:rPr>
          <w:sz w:val="17"/>
          <w:szCs w:val="17"/>
        </w:rPr>
      </w:pPr>
      <w:r w:rsidRPr="00937D4A">
        <w:rPr>
          <w:rStyle w:val="EndnoteReference"/>
          <w:sz w:val="17"/>
          <w:szCs w:val="17"/>
        </w:rPr>
        <w:endnoteRef/>
      </w:r>
      <w:r w:rsidRPr="00937D4A">
        <w:rPr>
          <w:sz w:val="17"/>
          <w:szCs w:val="17"/>
        </w:rPr>
        <w:t xml:space="preserve"> </w:t>
      </w:r>
      <w:r w:rsidRPr="00DB7EB1">
        <w:rPr>
          <w:sz w:val="17"/>
          <w:szCs w:val="17"/>
        </w:rPr>
        <w:t>Association of Art Museum Directors’ Updated Guidelines for the Use of Copyrighted Materials and Works of Art by Art Museums</w:t>
      </w:r>
      <w:r w:rsidRPr="00937D4A">
        <w:rPr>
          <w:sz w:val="17"/>
          <w:szCs w:val="17"/>
        </w:rPr>
        <w:t xml:space="preserve">, November 24, 2024 accessed at </w:t>
      </w:r>
      <w:hyperlink r:id="rId31" w:history="1">
        <w:r w:rsidRPr="00937D4A">
          <w:rPr>
            <w:rStyle w:val="Hyperlink"/>
            <w:sz w:val="17"/>
            <w:szCs w:val="17"/>
          </w:rPr>
          <w:t>https://cms.aamd.org/sites/default/files/document/AAMD_Updated_Copyright_Guidelines2024.pdf</w:t>
        </w:r>
      </w:hyperlink>
      <w:r w:rsidRPr="00937D4A">
        <w:rPr>
          <w:sz w:val="17"/>
          <w:szCs w:val="17"/>
        </w:rPr>
        <w:t xml:space="preserve"> on September 6, 2025.</w:t>
      </w:r>
    </w:p>
    <w:p w14:paraId="15319051" w14:textId="77777777" w:rsidR="00C019A0" w:rsidRPr="00937D4A" w:rsidRDefault="00C019A0" w:rsidP="00C019A0">
      <w:pPr>
        <w:pStyle w:val="EndnoteText"/>
        <w:rPr>
          <w:sz w:val="17"/>
          <w:szCs w:val="17"/>
        </w:rPr>
      </w:pPr>
    </w:p>
  </w:endnote>
  <w:endnote w:id="48">
    <w:p w14:paraId="297A2F38" w14:textId="5A2E4A60" w:rsidR="00C019A0" w:rsidRPr="00937D4A" w:rsidRDefault="00C019A0" w:rsidP="00C019A0">
      <w:pPr>
        <w:pStyle w:val="EndnoteText"/>
        <w:rPr>
          <w:sz w:val="17"/>
          <w:szCs w:val="17"/>
        </w:rPr>
      </w:pPr>
      <w:r w:rsidRPr="00937D4A">
        <w:rPr>
          <w:rStyle w:val="EndnoteReference"/>
          <w:sz w:val="17"/>
          <w:szCs w:val="17"/>
        </w:rPr>
        <w:endnoteRef/>
      </w:r>
      <w:r w:rsidRPr="00937D4A">
        <w:rPr>
          <w:sz w:val="17"/>
          <w:szCs w:val="17"/>
        </w:rPr>
        <w:t xml:space="preserve"> </w:t>
      </w:r>
      <w:hyperlink r:id="rId32" w:anchor=":~:text=Financial%20Reporting%20Oversight-,WIPO%20Alternative%20Dispute%20Resolution%20(ADR)%20for%20Art%20and%20Cultural%20Heritage,the%20need%20for%20court%20litigation" w:history="1">
        <w:r w:rsidRPr="00937D4A">
          <w:rPr>
            <w:rStyle w:val="Hyperlink"/>
            <w:sz w:val="17"/>
            <w:szCs w:val="17"/>
          </w:rPr>
          <w:t>https://www.wipo.int/amc/en/center/specific-sectors/art/#:~:text=Financial%20Reporting%20Oversight-,WIPO%20Alternative%20Dispute%20Resolution%20(ADR)%20for%20Art%20and%20Cultural%20Heritage,the%20need%20for%20court%20litigation</w:t>
        </w:r>
      </w:hyperlink>
      <w:r w:rsidRPr="00937D4A">
        <w:rPr>
          <w:sz w:val="17"/>
          <w:szCs w:val="17"/>
        </w:rPr>
        <w:t>.</w:t>
      </w:r>
    </w:p>
    <w:p w14:paraId="4F724F3C" w14:textId="77777777" w:rsidR="00C019A0" w:rsidRPr="00937D4A" w:rsidRDefault="00C019A0" w:rsidP="00C019A0">
      <w:pPr>
        <w:pStyle w:val="EndnoteText"/>
        <w:rPr>
          <w:sz w:val="17"/>
          <w:szCs w:val="17"/>
        </w:rPr>
      </w:pPr>
    </w:p>
  </w:endnote>
  <w:endnote w:id="49">
    <w:p w14:paraId="6F568D1B" w14:textId="31989103" w:rsidR="00C019A0" w:rsidRPr="00937D4A" w:rsidRDefault="00C019A0" w:rsidP="00C019A0">
      <w:pPr>
        <w:rPr>
          <w:sz w:val="17"/>
          <w:szCs w:val="17"/>
        </w:rPr>
      </w:pPr>
      <w:r w:rsidRPr="00937D4A">
        <w:rPr>
          <w:rStyle w:val="EndnoteReference"/>
          <w:sz w:val="17"/>
          <w:szCs w:val="17"/>
        </w:rPr>
        <w:endnoteRef/>
      </w:r>
      <w:r w:rsidRPr="00937D4A">
        <w:rPr>
          <w:sz w:val="17"/>
          <w:szCs w:val="17"/>
        </w:rPr>
        <w:t xml:space="preserve"> The International Council of Museums (ICOM) recently modernized its museum definition to include requirements of what constitutes a trusted institution: </w:t>
      </w:r>
      <w:r w:rsidRPr="00937D4A">
        <w:rPr>
          <w:rFonts w:eastAsia="Georgia"/>
          <w:sz w:val="17"/>
          <w:szCs w:val="17"/>
        </w:rPr>
        <w:t xml:space="preserve">“A museum is a not-for-profit, permanent institution in the service of society that researches, collects, conserves, interprets and exhibits tangible and intangible heritage. Open to the public, accessible and inclusive, museums foster diversity and sustainability. They operate and communicate ethically, professionally and with the participation of communities, offering varied experiences for education, enjoyment, reflection and knowledge sharing.” </w:t>
      </w:r>
      <w:r w:rsidRPr="00937D4A">
        <w:rPr>
          <w:sz w:val="17"/>
          <w:szCs w:val="17"/>
        </w:rPr>
        <w:t xml:space="preserve">See </w:t>
      </w:r>
      <w:hyperlink r:id="rId33" w:history="1">
        <w:r w:rsidRPr="00937D4A">
          <w:rPr>
            <w:rStyle w:val="Hyperlink"/>
            <w:sz w:val="17"/>
            <w:szCs w:val="17"/>
          </w:rPr>
          <w:t>https://icom.museum/en/resources/standards-guidelines/museum-definition/</w:t>
        </w:r>
      </w:hyperlink>
    </w:p>
    <w:p w14:paraId="66703C9E" w14:textId="77777777" w:rsidR="00C019A0" w:rsidRPr="00937D4A" w:rsidRDefault="00C019A0" w:rsidP="00C019A0">
      <w:pPr>
        <w:pStyle w:val="EndnoteText"/>
        <w:rPr>
          <w:sz w:val="17"/>
          <w:szCs w:val="17"/>
        </w:rPr>
      </w:pPr>
    </w:p>
  </w:endnote>
  <w:endnote w:id="50">
    <w:p w14:paraId="7AD26451" w14:textId="77777777" w:rsidR="00C019A0" w:rsidRPr="00937D4A" w:rsidRDefault="00C019A0" w:rsidP="00C019A0">
      <w:pPr>
        <w:pStyle w:val="p1"/>
      </w:pPr>
      <w:r w:rsidRPr="00937D4A">
        <w:rPr>
          <w:rStyle w:val="EndnoteReference"/>
        </w:rPr>
        <w:endnoteRef/>
      </w:r>
      <w:r w:rsidRPr="00937D4A">
        <w:t xml:space="preserve"> </w:t>
      </w:r>
      <w:r w:rsidRPr="00937D4A">
        <w:rPr>
          <w:i/>
          <w:iCs/>
        </w:rPr>
        <w:t>CCH Canadian Limited v. Law Society of Upper Canada</w:t>
      </w:r>
      <w:r w:rsidRPr="00937D4A">
        <w:t xml:space="preserve"> (Supreme Court of Canada), 1 SCR 339, 2004 SCC 13, 236 DLR (4th) 395, 30 CPR (4th) 1, 247 FTR 318.</w:t>
      </w:r>
    </w:p>
    <w:p w14:paraId="745F7F58" w14:textId="77777777" w:rsidR="00C019A0" w:rsidRPr="00937D4A" w:rsidRDefault="00C019A0" w:rsidP="00C019A0">
      <w:pPr>
        <w:pStyle w:val="EndnoteText"/>
        <w:rPr>
          <w:sz w:val="17"/>
          <w:szCs w:val="17"/>
        </w:rPr>
      </w:pPr>
    </w:p>
  </w:endnote>
  <w:endnote w:id="51">
    <w:p w14:paraId="0EA53FFE" w14:textId="2BA82B2F" w:rsidR="00C019A0" w:rsidRPr="00937D4A" w:rsidRDefault="00C019A0" w:rsidP="00C019A0">
      <w:pPr>
        <w:pStyle w:val="p1"/>
        <w:rPr>
          <w:color w:val="0000FF"/>
        </w:rPr>
      </w:pPr>
      <w:r w:rsidRPr="00937D4A">
        <w:rPr>
          <w:rStyle w:val="EndnoteReference"/>
        </w:rPr>
        <w:endnoteRef/>
      </w:r>
      <w:r w:rsidRPr="00937D4A">
        <w:t xml:space="preserve"> Rina Elster Pantalony, </w:t>
      </w:r>
      <w:r w:rsidRPr="00937D4A">
        <w:rPr>
          <w:i/>
          <w:iCs/>
        </w:rPr>
        <w:t>Managing Intellectual Property for Museums</w:t>
      </w:r>
      <w:r w:rsidRPr="00937D4A">
        <w:t xml:space="preserve"> (Geneva: WIPO, 2013) </w:t>
      </w:r>
      <w:hyperlink r:id="rId34" w:history="1">
        <w:r w:rsidRPr="00937D4A">
          <w:rPr>
            <w:rStyle w:val="Hyperlink"/>
          </w:rPr>
          <w:t>https://www.wipo.int/publications/en/details.jsp?id=166</w:t>
        </w:r>
      </w:hyperlink>
      <w:r w:rsidRPr="00937D4A">
        <w:rPr>
          <w:color w:val="0000FF"/>
        </w:rPr>
        <w:t xml:space="preserve"> </w:t>
      </w:r>
      <w:r w:rsidRPr="00937D4A">
        <w:t>accessed January 28, 2022.</w:t>
      </w:r>
    </w:p>
    <w:p w14:paraId="7494B1D6" w14:textId="77777777" w:rsidR="00C019A0" w:rsidRPr="00826987" w:rsidRDefault="00C019A0" w:rsidP="00C019A0">
      <w:pPr>
        <w:pStyle w:val="EndnoteText"/>
        <w:rPr>
          <w:sz w:val="17"/>
          <w:szCs w:val="17"/>
        </w:rPr>
      </w:pPr>
    </w:p>
  </w:endnote>
  <w:endnote w:id="52">
    <w:p w14:paraId="07775249" w14:textId="694F7693" w:rsidR="00C019A0" w:rsidRDefault="00C019A0" w:rsidP="00C019A0">
      <w:pPr>
        <w:pStyle w:val="EndnoteText"/>
        <w:rPr>
          <w:sz w:val="17"/>
          <w:szCs w:val="17"/>
        </w:rPr>
      </w:pPr>
      <w:r w:rsidRPr="00DB7EB1">
        <w:rPr>
          <w:rStyle w:val="EndnoteReference"/>
          <w:sz w:val="17"/>
          <w:szCs w:val="17"/>
        </w:rPr>
        <w:endnoteRef/>
      </w:r>
      <w:r w:rsidRPr="00DB7EB1">
        <w:rPr>
          <w:sz w:val="17"/>
          <w:szCs w:val="17"/>
        </w:rPr>
        <w:t xml:space="preserve"> </w:t>
      </w:r>
      <w:r w:rsidRPr="000F799E">
        <w:rPr>
          <w:i/>
          <w:iCs/>
          <w:sz w:val="17"/>
          <w:szCs w:val="17"/>
        </w:rPr>
        <w:t>WIPO Toolkit on Preservation</w:t>
      </w:r>
      <w:r w:rsidRPr="000F799E">
        <w:rPr>
          <w:sz w:val="17"/>
          <w:szCs w:val="17"/>
        </w:rPr>
        <w:t xml:space="preserve">, Kenneth Crews, Rina Pantalony, David Sutton, World Intellectual Property Organization 2024, available at </w:t>
      </w:r>
      <w:hyperlink r:id="rId35" w:history="1">
        <w:r w:rsidRPr="000F799E">
          <w:rPr>
            <w:rStyle w:val="Hyperlink"/>
            <w:sz w:val="17"/>
            <w:szCs w:val="17"/>
          </w:rPr>
          <w:t>https://www.wipo.int/documents/d/copyright/docs-en-toolkit-on-preservation.pdf</w:t>
        </w:r>
      </w:hyperlink>
      <w:r w:rsidRPr="000F799E">
        <w:rPr>
          <w:sz w:val="17"/>
          <w:szCs w:val="17"/>
        </w:rPr>
        <w:t>.</w:t>
      </w:r>
    </w:p>
    <w:p w14:paraId="34DE9CBC" w14:textId="77777777" w:rsidR="00C019A0" w:rsidRDefault="00C019A0" w:rsidP="00C019A0">
      <w:pPr>
        <w:pStyle w:val="EndnoteText"/>
        <w:rPr>
          <w:sz w:val="17"/>
          <w:szCs w:val="17"/>
        </w:rPr>
      </w:pPr>
    </w:p>
    <w:p w14:paraId="4F86FDC0" w14:textId="77777777" w:rsidR="00C019A0" w:rsidRDefault="00C019A0" w:rsidP="00C019A0">
      <w:pPr>
        <w:pStyle w:val="EndnoteText"/>
        <w:rPr>
          <w:sz w:val="17"/>
          <w:szCs w:val="17"/>
        </w:rPr>
      </w:pPr>
    </w:p>
    <w:p w14:paraId="025FE904" w14:textId="77777777" w:rsidR="00C019A0" w:rsidRDefault="00C019A0" w:rsidP="00C019A0">
      <w:pPr>
        <w:pStyle w:val="EndnoteText"/>
        <w:rPr>
          <w:sz w:val="17"/>
          <w:szCs w:val="17"/>
        </w:rPr>
      </w:pPr>
    </w:p>
    <w:p w14:paraId="6BBCC7D7" w14:textId="4E52FF26" w:rsidR="00C019A0" w:rsidRPr="00410714" w:rsidRDefault="00C019A0" w:rsidP="00C019A0">
      <w:pPr>
        <w:pStyle w:val="EndnoteText"/>
        <w:ind w:left="7200"/>
        <w:rPr>
          <w:sz w:val="22"/>
          <w:szCs w:val="22"/>
        </w:rPr>
      </w:pPr>
      <w:r w:rsidRPr="00410714">
        <w:rPr>
          <w:sz w:val="22"/>
          <w:szCs w:val="22"/>
        </w:rPr>
        <w:t>[End of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1A0AB" w14:textId="77777777" w:rsidR="003E3C9E" w:rsidRDefault="003E3C9E">
      <w:r>
        <w:separator/>
      </w:r>
    </w:p>
  </w:footnote>
  <w:footnote w:type="continuationSeparator" w:id="0">
    <w:p w14:paraId="416CC48E" w14:textId="77777777" w:rsidR="003E3C9E" w:rsidRDefault="003E3C9E" w:rsidP="008B60B2">
      <w:r>
        <w:separator/>
      </w:r>
    </w:p>
    <w:p w14:paraId="04BD6577" w14:textId="77777777" w:rsidR="003E3C9E" w:rsidRPr="00ED77FB" w:rsidRDefault="003E3C9E" w:rsidP="008B60B2">
      <w:pPr>
        <w:spacing w:after="60"/>
        <w:rPr>
          <w:sz w:val="17"/>
          <w:szCs w:val="17"/>
        </w:rPr>
      </w:pPr>
      <w:r w:rsidRPr="00ED77FB">
        <w:rPr>
          <w:sz w:val="17"/>
          <w:szCs w:val="17"/>
        </w:rPr>
        <w:t>[Footnote continued from previous page]</w:t>
      </w:r>
    </w:p>
  </w:footnote>
  <w:footnote w:type="continuationNotice" w:id="1">
    <w:p w14:paraId="62BD9D0E" w14:textId="77777777" w:rsidR="003E3C9E" w:rsidRPr="00ED77FB" w:rsidRDefault="003E3C9E" w:rsidP="008B60B2">
      <w:pPr>
        <w:spacing w:before="60"/>
        <w:jc w:val="right"/>
        <w:rPr>
          <w:sz w:val="17"/>
          <w:szCs w:val="17"/>
        </w:rPr>
      </w:pPr>
      <w:r w:rsidRPr="00ED77FB">
        <w:rPr>
          <w:sz w:val="17"/>
          <w:szCs w:val="17"/>
        </w:rPr>
        <w:t xml:space="preserve">[Footnote </w:t>
      </w:r>
      <w:r w:rsidRPr="00ED77FB">
        <w:rPr>
          <w:sz w:val="17"/>
          <w:szCs w:val="17"/>
        </w:rPr>
        <w:t>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DB54B" w14:textId="5E745F4B" w:rsidR="00EC4E49" w:rsidRDefault="00C019A0" w:rsidP="00477D6B">
    <w:pPr>
      <w:jc w:val="right"/>
    </w:pPr>
    <w:bookmarkStart w:id="65" w:name="Code2"/>
    <w:bookmarkEnd w:id="65"/>
    <w:r>
      <w:t>SCCR/47/13</w:t>
    </w:r>
  </w:p>
  <w:p w14:paraId="35E0B5EB"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08AFD0A4" w14:textId="77777777" w:rsidR="00EC4E49" w:rsidRDefault="00EC4E49" w:rsidP="00477D6B">
    <w:pPr>
      <w:jc w:val="right"/>
    </w:pPr>
  </w:p>
  <w:p w14:paraId="5BE3D601"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53538AA"/>
    <w:multiLevelType w:val="hybridMultilevel"/>
    <w:tmpl w:val="2D768392"/>
    <w:lvl w:ilvl="0" w:tplc="65027E4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8CC4A6B"/>
    <w:multiLevelType w:val="hybridMultilevel"/>
    <w:tmpl w:val="E9FAD3E8"/>
    <w:lvl w:ilvl="0" w:tplc="199E0F62">
      <w:start w:val="1"/>
      <w:numFmt w:val="lowerRoman"/>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F416E2"/>
    <w:multiLevelType w:val="hybridMultilevel"/>
    <w:tmpl w:val="B6C2C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8C2DD4"/>
    <w:multiLevelType w:val="hybridMultilevel"/>
    <w:tmpl w:val="CAA0EAA6"/>
    <w:lvl w:ilvl="0" w:tplc="07C42978">
      <w:start w:val="1"/>
      <w:numFmt w:val="decimal"/>
      <w:pStyle w:val="Level3"/>
      <w:lvlText w:val="%1."/>
      <w:lvlJc w:val="left"/>
      <w:pPr>
        <w:ind w:left="426"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B0F43BC"/>
    <w:multiLevelType w:val="hybridMultilevel"/>
    <w:tmpl w:val="8F5E8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460352"/>
    <w:multiLevelType w:val="hybridMultilevel"/>
    <w:tmpl w:val="325A2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6F80CE2"/>
    <w:multiLevelType w:val="hybridMultilevel"/>
    <w:tmpl w:val="E0DC19F0"/>
    <w:lvl w:ilvl="0" w:tplc="E722AE0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F312AB"/>
    <w:multiLevelType w:val="hybridMultilevel"/>
    <w:tmpl w:val="F77283A4"/>
    <w:lvl w:ilvl="0" w:tplc="C390E270">
      <w:start w:val="1"/>
      <w:numFmt w:val="upperLetter"/>
      <w:pStyle w:val="Level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253835"/>
    <w:multiLevelType w:val="hybridMultilevel"/>
    <w:tmpl w:val="68BED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AE39E1"/>
    <w:multiLevelType w:val="hybridMultilevel"/>
    <w:tmpl w:val="77C40882"/>
    <w:lvl w:ilvl="0" w:tplc="F5FC7D76">
      <w:start w:val="2"/>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6E174A72"/>
    <w:multiLevelType w:val="hybridMultilevel"/>
    <w:tmpl w:val="A094ED24"/>
    <w:lvl w:ilvl="0" w:tplc="D0CC9FB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786DBA"/>
    <w:multiLevelType w:val="hybridMultilevel"/>
    <w:tmpl w:val="9DE04284"/>
    <w:lvl w:ilvl="0" w:tplc="D6287EE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E67FD7"/>
    <w:multiLevelType w:val="hybridMultilevel"/>
    <w:tmpl w:val="81DA2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7D1EB4"/>
    <w:multiLevelType w:val="hybridMultilevel"/>
    <w:tmpl w:val="315CE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5543CC"/>
    <w:multiLevelType w:val="hybridMultilevel"/>
    <w:tmpl w:val="763C7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8076068">
    <w:abstractNumId w:val="3"/>
  </w:num>
  <w:num w:numId="2" w16cid:durableId="1246458243">
    <w:abstractNumId w:val="8"/>
  </w:num>
  <w:num w:numId="3" w16cid:durableId="273441559">
    <w:abstractNumId w:val="0"/>
  </w:num>
  <w:num w:numId="4" w16cid:durableId="286401011">
    <w:abstractNumId w:val="11"/>
  </w:num>
  <w:num w:numId="5" w16cid:durableId="113525721">
    <w:abstractNumId w:val="1"/>
  </w:num>
  <w:num w:numId="6" w16cid:durableId="1127430456">
    <w:abstractNumId w:val="4"/>
  </w:num>
  <w:num w:numId="7" w16cid:durableId="852456599">
    <w:abstractNumId w:val="13"/>
  </w:num>
  <w:num w:numId="8" w16cid:durableId="1618636563">
    <w:abstractNumId w:val="7"/>
  </w:num>
  <w:num w:numId="9" w16cid:durableId="1039086642">
    <w:abstractNumId w:val="6"/>
  </w:num>
  <w:num w:numId="10" w16cid:durableId="206383783">
    <w:abstractNumId w:val="18"/>
  </w:num>
  <w:num w:numId="11" w16cid:durableId="723144254">
    <w:abstractNumId w:val="14"/>
  </w:num>
  <w:num w:numId="12" w16cid:durableId="588664385">
    <w:abstractNumId w:val="9"/>
  </w:num>
  <w:num w:numId="13" w16cid:durableId="1741705469">
    <w:abstractNumId w:val="10"/>
  </w:num>
  <w:num w:numId="14" w16cid:durableId="1793596290">
    <w:abstractNumId w:val="19"/>
  </w:num>
  <w:num w:numId="15" w16cid:durableId="730688785">
    <w:abstractNumId w:val="16"/>
  </w:num>
  <w:num w:numId="16" w16cid:durableId="767043466">
    <w:abstractNumId w:val="15"/>
  </w:num>
  <w:num w:numId="17" w16cid:durableId="237638347">
    <w:abstractNumId w:val="12"/>
  </w:num>
  <w:num w:numId="18" w16cid:durableId="1847744510">
    <w:abstractNumId w:val="17"/>
  </w:num>
  <w:num w:numId="19" w16cid:durableId="1706756303">
    <w:abstractNumId w:val="5"/>
  </w:num>
  <w:num w:numId="20" w16cid:durableId="2067869689">
    <w:abstractNumId w:val="2"/>
  </w:num>
  <w:num w:numId="21" w16cid:durableId="626931178">
    <w:abstractNumId w:val="20"/>
  </w:num>
  <w:num w:numId="22" w16cid:durableId="103547908">
    <w:abstractNumId w:val="7"/>
    <w:lvlOverride w:ilvl="0">
      <w:startOverride w:val="1"/>
    </w:lvlOverride>
  </w:num>
  <w:num w:numId="23" w16cid:durableId="106001065">
    <w:abstractNumId w:val="7"/>
    <w:lvlOverride w:ilvl="0">
      <w:startOverride w:val="1"/>
    </w:lvlOverride>
  </w:num>
  <w:num w:numId="24" w16cid:durableId="1802730409">
    <w:abstractNumId w:val="7"/>
    <w:lvlOverride w:ilvl="0">
      <w:startOverride w:val="1"/>
    </w:lvlOverride>
  </w:num>
  <w:num w:numId="25" w16cid:durableId="1949002101">
    <w:abstractNumId w:val="7"/>
    <w:lvlOverride w:ilvl="0">
      <w:startOverride w:val="1"/>
    </w:lvlOverride>
  </w:num>
  <w:num w:numId="26" w16cid:durableId="709695001">
    <w:abstractNumId w:val="7"/>
    <w:lvlOverride w:ilvl="0">
      <w:startOverride w:val="1"/>
    </w:lvlOverride>
  </w:num>
  <w:num w:numId="27" w16cid:durableId="137846931">
    <w:abstractNumId w:val="13"/>
    <w:lvlOverride w:ilvl="0">
      <w:startOverride w:val="1"/>
    </w:lvlOverride>
  </w:num>
  <w:num w:numId="28" w16cid:durableId="1691301445">
    <w:abstractNumId w:val="13"/>
    <w:lvlOverride w:ilvl="0">
      <w:startOverride w:val="1"/>
    </w:lvlOverride>
  </w:num>
  <w:num w:numId="29" w16cid:durableId="1399210049">
    <w:abstractNumId w:val="13"/>
    <w:lvlOverride w:ilvl="0">
      <w:startOverride w:val="1"/>
    </w:lvlOverride>
  </w:num>
  <w:num w:numId="30" w16cid:durableId="492726588">
    <w:abstractNumId w:val="13"/>
    <w:lvlOverride w:ilvl="0">
      <w:startOverride w:val="1"/>
    </w:lvlOverride>
  </w:num>
  <w:num w:numId="31" w16cid:durableId="1524781811">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9A0"/>
    <w:rsid w:val="00010F79"/>
    <w:rsid w:val="0001647B"/>
    <w:rsid w:val="00017C43"/>
    <w:rsid w:val="00043CAA"/>
    <w:rsid w:val="00075432"/>
    <w:rsid w:val="000968ED"/>
    <w:rsid w:val="00096B1A"/>
    <w:rsid w:val="000C3803"/>
    <w:rsid w:val="000F5E56"/>
    <w:rsid w:val="001024FE"/>
    <w:rsid w:val="001362EE"/>
    <w:rsid w:val="00142868"/>
    <w:rsid w:val="001832A6"/>
    <w:rsid w:val="001C6808"/>
    <w:rsid w:val="001D1DA3"/>
    <w:rsid w:val="002121FA"/>
    <w:rsid w:val="00217A7F"/>
    <w:rsid w:val="002262EC"/>
    <w:rsid w:val="002634C4"/>
    <w:rsid w:val="002928D3"/>
    <w:rsid w:val="002F1FE6"/>
    <w:rsid w:val="002F4E68"/>
    <w:rsid w:val="00312F7F"/>
    <w:rsid w:val="003228B7"/>
    <w:rsid w:val="00343337"/>
    <w:rsid w:val="003508A3"/>
    <w:rsid w:val="003673CF"/>
    <w:rsid w:val="003845C1"/>
    <w:rsid w:val="003A6F89"/>
    <w:rsid w:val="003B38C1"/>
    <w:rsid w:val="003D352A"/>
    <w:rsid w:val="003E3C9E"/>
    <w:rsid w:val="003F4808"/>
    <w:rsid w:val="00410714"/>
    <w:rsid w:val="00423E3E"/>
    <w:rsid w:val="00427AF4"/>
    <w:rsid w:val="004400E2"/>
    <w:rsid w:val="00444C62"/>
    <w:rsid w:val="00461632"/>
    <w:rsid w:val="004647DA"/>
    <w:rsid w:val="00474062"/>
    <w:rsid w:val="00477D6B"/>
    <w:rsid w:val="004D39C4"/>
    <w:rsid w:val="0053057A"/>
    <w:rsid w:val="00560A29"/>
    <w:rsid w:val="00594D27"/>
    <w:rsid w:val="00601760"/>
    <w:rsid w:val="00605827"/>
    <w:rsid w:val="00640D02"/>
    <w:rsid w:val="00646050"/>
    <w:rsid w:val="006713CA"/>
    <w:rsid w:val="00676C5C"/>
    <w:rsid w:val="00695558"/>
    <w:rsid w:val="006D5E0F"/>
    <w:rsid w:val="007058FB"/>
    <w:rsid w:val="00782CAC"/>
    <w:rsid w:val="007A198B"/>
    <w:rsid w:val="007B6A58"/>
    <w:rsid w:val="007D1613"/>
    <w:rsid w:val="008332E8"/>
    <w:rsid w:val="00873EE5"/>
    <w:rsid w:val="008B2CC1"/>
    <w:rsid w:val="008B4B5E"/>
    <w:rsid w:val="008B60B2"/>
    <w:rsid w:val="0090731E"/>
    <w:rsid w:val="00916EE2"/>
    <w:rsid w:val="00924FAA"/>
    <w:rsid w:val="0095239B"/>
    <w:rsid w:val="00966A22"/>
    <w:rsid w:val="0096722F"/>
    <w:rsid w:val="00980843"/>
    <w:rsid w:val="009E2791"/>
    <w:rsid w:val="009E3F6F"/>
    <w:rsid w:val="009F3BF9"/>
    <w:rsid w:val="009F499F"/>
    <w:rsid w:val="00A42DAF"/>
    <w:rsid w:val="00A45BD8"/>
    <w:rsid w:val="00A5792C"/>
    <w:rsid w:val="00A778BF"/>
    <w:rsid w:val="00A85B8E"/>
    <w:rsid w:val="00AB3100"/>
    <w:rsid w:val="00AC205C"/>
    <w:rsid w:val="00AF5C73"/>
    <w:rsid w:val="00B05A69"/>
    <w:rsid w:val="00B40598"/>
    <w:rsid w:val="00B50B99"/>
    <w:rsid w:val="00B62CD9"/>
    <w:rsid w:val="00B74666"/>
    <w:rsid w:val="00B9734B"/>
    <w:rsid w:val="00BD4BB6"/>
    <w:rsid w:val="00C00A50"/>
    <w:rsid w:val="00C019A0"/>
    <w:rsid w:val="00C1075B"/>
    <w:rsid w:val="00C11BFE"/>
    <w:rsid w:val="00C42181"/>
    <w:rsid w:val="00C94629"/>
    <w:rsid w:val="00CB64DD"/>
    <w:rsid w:val="00CE65D4"/>
    <w:rsid w:val="00D16EC4"/>
    <w:rsid w:val="00D45252"/>
    <w:rsid w:val="00D71B4D"/>
    <w:rsid w:val="00D93D55"/>
    <w:rsid w:val="00E161A2"/>
    <w:rsid w:val="00E1703C"/>
    <w:rsid w:val="00E335FE"/>
    <w:rsid w:val="00E5021F"/>
    <w:rsid w:val="00E671A6"/>
    <w:rsid w:val="00EC09F0"/>
    <w:rsid w:val="00EC4E49"/>
    <w:rsid w:val="00ED77FB"/>
    <w:rsid w:val="00F021A6"/>
    <w:rsid w:val="00F11D94"/>
    <w:rsid w:val="00F51DEC"/>
    <w:rsid w:val="00F66152"/>
    <w:rsid w:val="00FA7EAE"/>
    <w:rsid w:val="00FD258D"/>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F39042"/>
  <w15:docId w15:val="{384FF26B-FBF2-404A-BCDD-71C63BE62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
    <w:qFormat/>
    <w:rsid w:val="00676C5C"/>
    <w:pPr>
      <w:keepNext/>
      <w:spacing w:before="240" w:after="60"/>
      <w:outlineLvl w:val="3"/>
    </w:pPr>
    <w:rPr>
      <w:bCs/>
      <w:i/>
      <w:szCs w:val="28"/>
    </w:rPr>
  </w:style>
  <w:style w:type="paragraph" w:styleId="Heading5">
    <w:name w:val="heading 5"/>
    <w:basedOn w:val="Normal"/>
    <w:next w:val="Normal"/>
    <w:link w:val="Heading5Char"/>
    <w:uiPriority w:val="9"/>
    <w:semiHidden/>
    <w:unhideWhenUsed/>
    <w:qFormat/>
    <w:rsid w:val="00C019A0"/>
    <w:pPr>
      <w:keepNext/>
      <w:keepLines/>
      <w:spacing w:before="80" w:after="40" w:line="278" w:lineRule="auto"/>
      <w:outlineLvl w:val="4"/>
    </w:pPr>
    <w:rPr>
      <w:rFonts w:asciiTheme="minorHAnsi" w:eastAsiaTheme="majorEastAsia" w:hAnsiTheme="minorHAnsi" w:cstheme="majorBidi"/>
      <w:color w:val="365F9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C019A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C019A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C019A0"/>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C019A0"/>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rsid w:val="00676C5C"/>
    <w:rPr>
      <w:sz w:val="18"/>
    </w:rPr>
  </w:style>
  <w:style w:type="paragraph" w:styleId="EndnoteText">
    <w:name w:val="endnote text"/>
    <w:basedOn w:val="Normal"/>
    <w:link w:val="EndnoteTextChar"/>
    <w:uiPriority w:val="99"/>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iPriority w:val="99"/>
    <w:unhideWhenUsed/>
    <w:rsid w:val="00C019A0"/>
    <w:rPr>
      <w:color w:val="0000FF" w:themeColor="hyperlink"/>
      <w:u w:val="single"/>
    </w:rPr>
  </w:style>
  <w:style w:type="character" w:customStyle="1" w:styleId="Heading5Char">
    <w:name w:val="Heading 5 Char"/>
    <w:basedOn w:val="DefaultParagraphFont"/>
    <w:link w:val="Heading5"/>
    <w:uiPriority w:val="9"/>
    <w:semiHidden/>
    <w:rsid w:val="00C019A0"/>
    <w:rPr>
      <w:rFonts w:asciiTheme="minorHAnsi" w:eastAsiaTheme="majorEastAsia" w:hAnsiTheme="minorHAnsi" w:cstheme="majorBidi"/>
      <w:color w:val="365F91" w:themeColor="accent1" w:themeShade="BF"/>
      <w:kern w:val="2"/>
      <w:sz w:val="24"/>
      <w:szCs w:val="24"/>
      <w:lang w:val="en-US" w:eastAsia="en-US"/>
      <w14:ligatures w14:val="standardContextual"/>
    </w:rPr>
  </w:style>
  <w:style w:type="character" w:customStyle="1" w:styleId="Heading6Char">
    <w:name w:val="Heading 6 Char"/>
    <w:basedOn w:val="DefaultParagraphFont"/>
    <w:link w:val="Heading6"/>
    <w:uiPriority w:val="9"/>
    <w:semiHidden/>
    <w:rsid w:val="00C019A0"/>
    <w:rPr>
      <w:rFonts w:asciiTheme="minorHAnsi" w:eastAsiaTheme="majorEastAsia" w:hAnsiTheme="minorHAnsi" w:cstheme="majorBidi"/>
      <w:i/>
      <w:iCs/>
      <w:color w:val="595959" w:themeColor="text1" w:themeTint="A6"/>
      <w:kern w:val="2"/>
      <w:sz w:val="24"/>
      <w:szCs w:val="24"/>
      <w:lang w:val="en-US" w:eastAsia="en-US"/>
      <w14:ligatures w14:val="standardContextual"/>
    </w:rPr>
  </w:style>
  <w:style w:type="character" w:customStyle="1" w:styleId="Heading7Char">
    <w:name w:val="Heading 7 Char"/>
    <w:basedOn w:val="DefaultParagraphFont"/>
    <w:link w:val="Heading7"/>
    <w:uiPriority w:val="9"/>
    <w:semiHidden/>
    <w:rsid w:val="00C019A0"/>
    <w:rPr>
      <w:rFonts w:asciiTheme="minorHAnsi" w:eastAsiaTheme="majorEastAsia" w:hAnsiTheme="minorHAnsi" w:cstheme="majorBidi"/>
      <w:color w:val="595959" w:themeColor="text1" w:themeTint="A6"/>
      <w:kern w:val="2"/>
      <w:sz w:val="24"/>
      <w:szCs w:val="24"/>
      <w:lang w:val="en-US" w:eastAsia="en-US"/>
      <w14:ligatures w14:val="standardContextual"/>
    </w:rPr>
  </w:style>
  <w:style w:type="character" w:customStyle="1" w:styleId="Heading8Char">
    <w:name w:val="Heading 8 Char"/>
    <w:basedOn w:val="DefaultParagraphFont"/>
    <w:link w:val="Heading8"/>
    <w:uiPriority w:val="9"/>
    <w:semiHidden/>
    <w:rsid w:val="00C019A0"/>
    <w:rPr>
      <w:rFonts w:asciiTheme="minorHAnsi" w:eastAsiaTheme="majorEastAsia" w:hAnsiTheme="minorHAnsi" w:cstheme="majorBidi"/>
      <w:i/>
      <w:iCs/>
      <w:color w:val="272727" w:themeColor="text1" w:themeTint="D8"/>
      <w:kern w:val="2"/>
      <w:sz w:val="24"/>
      <w:szCs w:val="24"/>
      <w:lang w:val="en-US" w:eastAsia="en-US"/>
      <w14:ligatures w14:val="standardContextual"/>
    </w:rPr>
  </w:style>
  <w:style w:type="character" w:customStyle="1" w:styleId="Heading9Char">
    <w:name w:val="Heading 9 Char"/>
    <w:basedOn w:val="DefaultParagraphFont"/>
    <w:link w:val="Heading9"/>
    <w:uiPriority w:val="9"/>
    <w:semiHidden/>
    <w:rsid w:val="00C019A0"/>
    <w:rPr>
      <w:rFonts w:asciiTheme="minorHAnsi" w:eastAsiaTheme="majorEastAsia" w:hAnsiTheme="minorHAnsi" w:cstheme="majorBidi"/>
      <w:color w:val="272727" w:themeColor="text1" w:themeTint="D8"/>
      <w:kern w:val="2"/>
      <w:sz w:val="24"/>
      <w:szCs w:val="24"/>
      <w:lang w:val="en-US" w:eastAsia="en-US"/>
      <w14:ligatures w14:val="standardContextual"/>
    </w:rPr>
  </w:style>
  <w:style w:type="character" w:customStyle="1" w:styleId="Heading1Char">
    <w:name w:val="Heading 1 Char"/>
    <w:basedOn w:val="DefaultParagraphFont"/>
    <w:link w:val="Heading1"/>
    <w:uiPriority w:val="9"/>
    <w:rsid w:val="00C019A0"/>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uiPriority w:val="9"/>
    <w:rsid w:val="00C019A0"/>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uiPriority w:val="9"/>
    <w:rsid w:val="00C019A0"/>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uiPriority w:val="9"/>
    <w:rsid w:val="00C019A0"/>
    <w:rPr>
      <w:rFonts w:ascii="Arial" w:eastAsia="SimSun" w:hAnsi="Arial" w:cs="Arial"/>
      <w:bCs/>
      <w:i/>
      <w:sz w:val="22"/>
      <w:szCs w:val="28"/>
      <w:lang w:val="en-US" w:eastAsia="zh-CN"/>
    </w:rPr>
  </w:style>
  <w:style w:type="paragraph" w:styleId="Title">
    <w:name w:val="Title"/>
    <w:basedOn w:val="Normal"/>
    <w:next w:val="Normal"/>
    <w:link w:val="TitleChar"/>
    <w:uiPriority w:val="10"/>
    <w:qFormat/>
    <w:rsid w:val="00C019A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C019A0"/>
    <w:rPr>
      <w:rFonts w:asciiTheme="majorHAnsi" w:eastAsiaTheme="majorEastAsia" w:hAnsiTheme="majorHAnsi" w:cstheme="majorBidi"/>
      <w:spacing w:val="-10"/>
      <w:kern w:val="28"/>
      <w:sz w:val="56"/>
      <w:szCs w:val="56"/>
      <w:lang w:val="en-US" w:eastAsia="en-US"/>
      <w14:ligatures w14:val="standardContextual"/>
    </w:rPr>
  </w:style>
  <w:style w:type="paragraph" w:styleId="Subtitle">
    <w:name w:val="Subtitle"/>
    <w:basedOn w:val="Normal"/>
    <w:next w:val="Normal"/>
    <w:link w:val="SubtitleChar"/>
    <w:uiPriority w:val="11"/>
    <w:qFormat/>
    <w:rsid w:val="00C019A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C019A0"/>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paragraph" w:styleId="Quote">
    <w:name w:val="Quote"/>
    <w:basedOn w:val="Normal"/>
    <w:next w:val="Normal"/>
    <w:link w:val="QuoteChar"/>
    <w:uiPriority w:val="29"/>
    <w:qFormat/>
    <w:rsid w:val="00C019A0"/>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C019A0"/>
    <w:rPr>
      <w:rFonts w:asciiTheme="minorHAnsi" w:eastAsiaTheme="minorHAnsi" w:hAnsiTheme="minorHAnsi" w:cstheme="minorBidi"/>
      <w:i/>
      <w:iCs/>
      <w:color w:val="404040" w:themeColor="text1" w:themeTint="BF"/>
      <w:kern w:val="2"/>
      <w:sz w:val="24"/>
      <w:szCs w:val="24"/>
      <w:lang w:val="en-US" w:eastAsia="en-US"/>
      <w14:ligatures w14:val="standardContextual"/>
    </w:rPr>
  </w:style>
  <w:style w:type="paragraph" w:styleId="ListParagraph">
    <w:name w:val="List Paragraph"/>
    <w:basedOn w:val="Normal"/>
    <w:uiPriority w:val="34"/>
    <w:qFormat/>
    <w:rsid w:val="00C019A0"/>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C019A0"/>
    <w:rPr>
      <w:i/>
      <w:iCs/>
      <w:color w:val="365F91" w:themeColor="accent1" w:themeShade="BF"/>
    </w:rPr>
  </w:style>
  <w:style w:type="paragraph" w:styleId="IntenseQuote">
    <w:name w:val="Intense Quote"/>
    <w:basedOn w:val="Normal"/>
    <w:next w:val="Normal"/>
    <w:link w:val="IntenseQuoteChar"/>
    <w:uiPriority w:val="30"/>
    <w:qFormat/>
    <w:rsid w:val="00C019A0"/>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C019A0"/>
    <w:rPr>
      <w:rFonts w:asciiTheme="minorHAnsi" w:eastAsiaTheme="minorHAnsi" w:hAnsiTheme="minorHAnsi" w:cstheme="minorBidi"/>
      <w:i/>
      <w:iCs/>
      <w:color w:val="365F91" w:themeColor="accent1" w:themeShade="BF"/>
      <w:kern w:val="2"/>
      <w:sz w:val="24"/>
      <w:szCs w:val="24"/>
      <w:lang w:val="en-US" w:eastAsia="en-US"/>
      <w14:ligatures w14:val="standardContextual"/>
    </w:rPr>
  </w:style>
  <w:style w:type="character" w:styleId="IntenseReference">
    <w:name w:val="Intense Reference"/>
    <w:basedOn w:val="DefaultParagraphFont"/>
    <w:uiPriority w:val="32"/>
    <w:qFormat/>
    <w:rsid w:val="00C019A0"/>
    <w:rPr>
      <w:b/>
      <w:bCs/>
      <w:smallCaps/>
      <w:color w:val="365F91" w:themeColor="accent1" w:themeShade="BF"/>
      <w:spacing w:val="5"/>
    </w:rPr>
  </w:style>
  <w:style w:type="paragraph" w:styleId="NormalWeb">
    <w:name w:val="Normal (Web)"/>
    <w:basedOn w:val="Normal"/>
    <w:uiPriority w:val="99"/>
    <w:unhideWhenUsed/>
    <w:rsid w:val="00C019A0"/>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p1">
    <w:name w:val="p1"/>
    <w:basedOn w:val="Normal"/>
    <w:link w:val="p1Char"/>
    <w:rsid w:val="00C019A0"/>
    <w:rPr>
      <w:rFonts w:eastAsia="Times New Roman"/>
      <w:color w:val="000000"/>
      <w:sz w:val="17"/>
      <w:szCs w:val="17"/>
      <w:lang w:eastAsia="en-US"/>
    </w:rPr>
  </w:style>
  <w:style w:type="character" w:customStyle="1" w:styleId="s1">
    <w:name w:val="s1"/>
    <w:basedOn w:val="DefaultParagraphFont"/>
    <w:rsid w:val="00C019A0"/>
    <w:rPr>
      <w:rFonts w:ascii="Arial" w:hAnsi="Arial" w:cs="Arial" w:hint="default"/>
      <w:sz w:val="11"/>
      <w:szCs w:val="11"/>
    </w:rPr>
  </w:style>
  <w:style w:type="table" w:styleId="TableGrid">
    <w:name w:val="Table Grid"/>
    <w:basedOn w:val="TableNormal"/>
    <w:uiPriority w:val="39"/>
    <w:rsid w:val="00C019A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rsid w:val="00C019A0"/>
    <w:rPr>
      <w:rFonts w:eastAsia="Times New Roman"/>
      <w:color w:val="0000FF"/>
      <w:sz w:val="14"/>
      <w:szCs w:val="14"/>
      <w:lang w:eastAsia="en-US"/>
    </w:rPr>
  </w:style>
  <w:style w:type="character" w:customStyle="1" w:styleId="EndnoteTextChar">
    <w:name w:val="Endnote Text Char"/>
    <w:basedOn w:val="DefaultParagraphFont"/>
    <w:link w:val="EndnoteText"/>
    <w:uiPriority w:val="99"/>
    <w:semiHidden/>
    <w:rsid w:val="00C019A0"/>
    <w:rPr>
      <w:rFonts w:ascii="Arial" w:eastAsia="SimSun" w:hAnsi="Arial" w:cs="Arial"/>
      <w:sz w:val="18"/>
      <w:lang w:val="en-US" w:eastAsia="zh-CN"/>
    </w:rPr>
  </w:style>
  <w:style w:type="character" w:styleId="EndnoteReference">
    <w:name w:val="endnote reference"/>
    <w:basedOn w:val="DefaultParagraphFont"/>
    <w:uiPriority w:val="99"/>
    <w:semiHidden/>
    <w:unhideWhenUsed/>
    <w:rsid w:val="00C019A0"/>
    <w:rPr>
      <w:vertAlign w:val="superscript"/>
    </w:rPr>
  </w:style>
  <w:style w:type="character" w:customStyle="1" w:styleId="FootnoteTextChar">
    <w:name w:val="Footnote Text Char"/>
    <w:basedOn w:val="DefaultParagraphFont"/>
    <w:link w:val="FootnoteText"/>
    <w:uiPriority w:val="99"/>
    <w:semiHidden/>
    <w:rsid w:val="00C019A0"/>
    <w:rPr>
      <w:rFonts w:ascii="Arial" w:eastAsia="SimSun" w:hAnsi="Arial" w:cs="Arial"/>
      <w:sz w:val="18"/>
      <w:lang w:val="en-US" w:eastAsia="zh-CN"/>
    </w:rPr>
  </w:style>
  <w:style w:type="character" w:styleId="FootnoteReference">
    <w:name w:val="footnote reference"/>
    <w:basedOn w:val="DefaultParagraphFont"/>
    <w:uiPriority w:val="99"/>
    <w:semiHidden/>
    <w:unhideWhenUsed/>
    <w:rsid w:val="00C019A0"/>
    <w:rPr>
      <w:vertAlign w:val="superscript"/>
    </w:rPr>
  </w:style>
  <w:style w:type="character" w:styleId="CommentReference">
    <w:name w:val="annotation reference"/>
    <w:basedOn w:val="DefaultParagraphFont"/>
    <w:uiPriority w:val="99"/>
    <w:semiHidden/>
    <w:unhideWhenUsed/>
    <w:rsid w:val="00C019A0"/>
    <w:rPr>
      <w:sz w:val="16"/>
      <w:szCs w:val="16"/>
    </w:rPr>
  </w:style>
  <w:style w:type="character" w:customStyle="1" w:styleId="CommentTextChar">
    <w:name w:val="Comment Text Char"/>
    <w:basedOn w:val="DefaultParagraphFont"/>
    <w:uiPriority w:val="99"/>
    <w:rsid w:val="00C019A0"/>
    <w:rPr>
      <w:rFonts w:ascii="Times New Roman" w:eastAsia="Times New Roman" w:hAnsi="Times New Roman" w:cs="Times New Roman"/>
      <w:kern w:val="0"/>
      <w:sz w:val="20"/>
      <w:szCs w:val="20"/>
      <w14:ligatures w14:val="none"/>
    </w:rPr>
  </w:style>
  <w:style w:type="paragraph" w:styleId="Revision">
    <w:name w:val="Revision"/>
    <w:hidden/>
    <w:uiPriority w:val="99"/>
    <w:semiHidden/>
    <w:rsid w:val="00C019A0"/>
    <w:rPr>
      <w:rFonts w:asciiTheme="minorHAnsi" w:eastAsiaTheme="minorHAnsi" w:hAnsiTheme="minorHAnsi" w:cstheme="minorBidi"/>
      <w:kern w:val="2"/>
      <w:sz w:val="24"/>
      <w:szCs w:val="24"/>
      <w:lang w:val="en-US" w:eastAsia="en-US"/>
      <w14:ligatures w14:val="standardContextual"/>
    </w:rPr>
  </w:style>
  <w:style w:type="character" w:customStyle="1" w:styleId="FooterChar">
    <w:name w:val="Footer Char"/>
    <w:basedOn w:val="DefaultParagraphFont"/>
    <w:link w:val="Footer"/>
    <w:uiPriority w:val="99"/>
    <w:rsid w:val="00C019A0"/>
    <w:rPr>
      <w:rFonts w:ascii="Arial" w:eastAsia="SimSun" w:hAnsi="Arial" w:cs="Arial"/>
      <w:sz w:val="22"/>
      <w:lang w:val="en-US" w:eastAsia="zh-CN"/>
    </w:rPr>
  </w:style>
  <w:style w:type="character" w:styleId="PageNumber">
    <w:name w:val="page number"/>
    <w:basedOn w:val="DefaultParagraphFont"/>
    <w:uiPriority w:val="99"/>
    <w:semiHidden/>
    <w:unhideWhenUsed/>
    <w:rsid w:val="00C019A0"/>
  </w:style>
  <w:style w:type="character" w:styleId="UnresolvedMention">
    <w:name w:val="Unresolved Mention"/>
    <w:basedOn w:val="DefaultParagraphFont"/>
    <w:uiPriority w:val="99"/>
    <w:semiHidden/>
    <w:unhideWhenUsed/>
    <w:rsid w:val="00C019A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019A0"/>
    <w:pPr>
      <w:spacing w:after="160"/>
    </w:pPr>
    <w:rPr>
      <w:rFonts w:asciiTheme="minorHAnsi" w:eastAsiaTheme="minorHAnsi" w:hAnsiTheme="minorHAnsi" w:cstheme="minorBidi"/>
      <w:b/>
      <w:bCs/>
      <w:kern w:val="2"/>
      <w:sz w:val="20"/>
      <w:lang w:eastAsia="en-US"/>
      <w14:ligatures w14:val="standardContextual"/>
    </w:rPr>
  </w:style>
  <w:style w:type="character" w:customStyle="1" w:styleId="CommentTextChar1">
    <w:name w:val="Comment Text Char1"/>
    <w:basedOn w:val="DefaultParagraphFont"/>
    <w:link w:val="CommentText"/>
    <w:uiPriority w:val="99"/>
    <w:rsid w:val="00C019A0"/>
    <w:rPr>
      <w:rFonts w:ascii="Arial" w:eastAsia="SimSun" w:hAnsi="Arial" w:cs="Arial"/>
      <w:sz w:val="18"/>
      <w:lang w:val="en-US" w:eastAsia="zh-CN"/>
    </w:rPr>
  </w:style>
  <w:style w:type="character" w:customStyle="1" w:styleId="CommentSubjectChar">
    <w:name w:val="Comment Subject Char"/>
    <w:basedOn w:val="CommentTextChar1"/>
    <w:link w:val="CommentSubject"/>
    <w:uiPriority w:val="99"/>
    <w:semiHidden/>
    <w:rsid w:val="00C019A0"/>
    <w:rPr>
      <w:rFonts w:asciiTheme="minorHAnsi" w:eastAsiaTheme="minorHAnsi" w:hAnsiTheme="minorHAnsi" w:cstheme="minorBidi"/>
      <w:b/>
      <w:bCs/>
      <w:kern w:val="2"/>
      <w:sz w:val="18"/>
      <w:lang w:val="en-US" w:eastAsia="en-US"/>
      <w14:ligatures w14:val="standardContextual"/>
    </w:rPr>
  </w:style>
  <w:style w:type="character" w:customStyle="1" w:styleId="HeaderChar">
    <w:name w:val="Header Char"/>
    <w:basedOn w:val="DefaultParagraphFont"/>
    <w:link w:val="Header"/>
    <w:uiPriority w:val="99"/>
    <w:rsid w:val="00C019A0"/>
    <w:rPr>
      <w:rFonts w:ascii="Arial" w:eastAsia="SimSun" w:hAnsi="Arial" w:cs="Arial"/>
      <w:sz w:val="22"/>
      <w:lang w:val="en-US" w:eastAsia="zh-CN"/>
    </w:rPr>
  </w:style>
  <w:style w:type="character" w:customStyle="1" w:styleId="apple-converted-space">
    <w:name w:val="apple-converted-space"/>
    <w:basedOn w:val="DefaultParagraphFont"/>
    <w:rsid w:val="00C019A0"/>
  </w:style>
  <w:style w:type="character" w:styleId="Strong">
    <w:name w:val="Strong"/>
    <w:basedOn w:val="DefaultParagraphFont"/>
    <w:uiPriority w:val="22"/>
    <w:qFormat/>
    <w:rsid w:val="00C019A0"/>
    <w:rPr>
      <w:b/>
      <w:bCs/>
    </w:rPr>
  </w:style>
  <w:style w:type="character" w:styleId="FollowedHyperlink">
    <w:name w:val="FollowedHyperlink"/>
    <w:basedOn w:val="DefaultParagraphFont"/>
    <w:uiPriority w:val="99"/>
    <w:semiHidden/>
    <w:unhideWhenUsed/>
    <w:rsid w:val="00C019A0"/>
    <w:rPr>
      <w:color w:val="800080" w:themeColor="followedHyperlink"/>
      <w:u w:val="single"/>
    </w:rPr>
  </w:style>
  <w:style w:type="paragraph" w:styleId="TOC1">
    <w:name w:val="toc 1"/>
    <w:basedOn w:val="Normal"/>
    <w:next w:val="Normal"/>
    <w:autoRedefine/>
    <w:uiPriority w:val="39"/>
    <w:unhideWhenUsed/>
    <w:rsid w:val="00C019A0"/>
    <w:pPr>
      <w:tabs>
        <w:tab w:val="right" w:leader="dot" w:pos="9350"/>
      </w:tabs>
      <w:spacing w:before="100" w:after="100" w:line="278" w:lineRule="auto"/>
    </w:pPr>
    <w:rPr>
      <w:rFonts w:eastAsiaTheme="minorHAnsi" w:cstheme="minorBidi"/>
      <w:kern w:val="2"/>
      <w:szCs w:val="24"/>
      <w:lang w:eastAsia="en-US"/>
      <w14:ligatures w14:val="standardContextual"/>
    </w:rPr>
  </w:style>
  <w:style w:type="paragraph" w:styleId="TOC2">
    <w:name w:val="toc 2"/>
    <w:basedOn w:val="Normal"/>
    <w:next w:val="Normal"/>
    <w:autoRedefine/>
    <w:uiPriority w:val="39"/>
    <w:unhideWhenUsed/>
    <w:rsid w:val="00C019A0"/>
    <w:pPr>
      <w:tabs>
        <w:tab w:val="left" w:pos="567"/>
        <w:tab w:val="left" w:pos="1021"/>
        <w:tab w:val="left" w:pos="1440"/>
        <w:tab w:val="right" w:leader="dot" w:pos="9350"/>
      </w:tabs>
      <w:spacing w:line="278" w:lineRule="auto"/>
      <w:ind w:left="567"/>
    </w:pPr>
    <w:rPr>
      <w:rFonts w:eastAsiaTheme="minorHAnsi" w:cstheme="minorBidi"/>
      <w:kern w:val="2"/>
      <w:szCs w:val="24"/>
      <w:lang w:eastAsia="en-US"/>
      <w14:ligatures w14:val="standardContextual"/>
    </w:rPr>
  </w:style>
  <w:style w:type="paragraph" w:styleId="TOC3">
    <w:name w:val="toc 3"/>
    <w:basedOn w:val="Normal"/>
    <w:next w:val="Normal"/>
    <w:autoRedefine/>
    <w:uiPriority w:val="39"/>
    <w:unhideWhenUsed/>
    <w:rsid w:val="00C019A0"/>
    <w:pPr>
      <w:tabs>
        <w:tab w:val="left" w:pos="1134"/>
        <w:tab w:val="left" w:pos="1588"/>
        <w:tab w:val="right" w:leader="dot" w:pos="9350"/>
      </w:tabs>
      <w:spacing w:line="278" w:lineRule="auto"/>
      <w:ind w:left="1134"/>
    </w:pPr>
    <w:rPr>
      <w:rFonts w:eastAsiaTheme="minorHAnsi" w:cstheme="minorBidi"/>
      <w:kern w:val="2"/>
      <w:szCs w:val="24"/>
      <w:lang w:eastAsia="en-US"/>
      <w14:ligatures w14:val="standardContextual"/>
    </w:rPr>
  </w:style>
  <w:style w:type="paragraph" w:customStyle="1" w:styleId="Level3">
    <w:name w:val="Level 3"/>
    <w:basedOn w:val="p1"/>
    <w:link w:val="Level3Char"/>
    <w:qFormat/>
    <w:rsid w:val="00C019A0"/>
    <w:pPr>
      <w:numPr>
        <w:numId w:val="8"/>
      </w:numPr>
      <w:ind w:left="357" w:hanging="357"/>
      <w:outlineLvl w:val="2"/>
    </w:pPr>
    <w:rPr>
      <w:i/>
      <w:iCs/>
      <w:sz w:val="22"/>
      <w:szCs w:val="22"/>
    </w:rPr>
  </w:style>
  <w:style w:type="character" w:customStyle="1" w:styleId="p1Char">
    <w:name w:val="p1 Char"/>
    <w:basedOn w:val="DefaultParagraphFont"/>
    <w:link w:val="p1"/>
    <w:rsid w:val="00C019A0"/>
    <w:rPr>
      <w:rFonts w:ascii="Arial" w:hAnsi="Arial" w:cs="Arial"/>
      <w:color w:val="000000"/>
      <w:sz w:val="17"/>
      <w:szCs w:val="17"/>
      <w:lang w:val="en-US" w:eastAsia="en-US"/>
    </w:rPr>
  </w:style>
  <w:style w:type="character" w:customStyle="1" w:styleId="Level3Char">
    <w:name w:val="Level 3 Char"/>
    <w:basedOn w:val="p1Char"/>
    <w:link w:val="Level3"/>
    <w:rsid w:val="00C019A0"/>
    <w:rPr>
      <w:rFonts w:ascii="Arial" w:hAnsi="Arial" w:cs="Arial"/>
      <w:i/>
      <w:iCs/>
      <w:color w:val="000000"/>
      <w:sz w:val="22"/>
      <w:szCs w:val="22"/>
      <w:lang w:val="en-US" w:eastAsia="en-US"/>
    </w:rPr>
  </w:style>
  <w:style w:type="paragraph" w:customStyle="1" w:styleId="Level1">
    <w:name w:val="Level 1"/>
    <w:basedOn w:val="p1"/>
    <w:link w:val="Level1Char"/>
    <w:qFormat/>
    <w:rsid w:val="00C019A0"/>
    <w:pPr>
      <w:outlineLvl w:val="0"/>
    </w:pPr>
    <w:rPr>
      <w:b/>
      <w:bCs/>
      <w:sz w:val="22"/>
      <w:szCs w:val="22"/>
    </w:rPr>
  </w:style>
  <w:style w:type="character" w:customStyle="1" w:styleId="Level1Char">
    <w:name w:val="Level 1 Char"/>
    <w:basedOn w:val="p1Char"/>
    <w:link w:val="Level1"/>
    <w:rsid w:val="00C019A0"/>
    <w:rPr>
      <w:rFonts w:ascii="Arial" w:hAnsi="Arial" w:cs="Arial"/>
      <w:b/>
      <w:bCs/>
      <w:color w:val="000000"/>
      <w:sz w:val="22"/>
      <w:szCs w:val="22"/>
      <w:lang w:val="en-US" w:eastAsia="en-US"/>
    </w:rPr>
  </w:style>
  <w:style w:type="paragraph" w:customStyle="1" w:styleId="Level2">
    <w:name w:val="Level 2"/>
    <w:basedOn w:val="p1"/>
    <w:link w:val="Level2Char"/>
    <w:qFormat/>
    <w:rsid w:val="00C019A0"/>
    <w:pPr>
      <w:numPr>
        <w:numId w:val="7"/>
      </w:numPr>
      <w:ind w:left="357" w:hanging="357"/>
      <w:outlineLvl w:val="1"/>
    </w:pPr>
    <w:rPr>
      <w:b/>
      <w:bCs/>
      <w:sz w:val="22"/>
      <w:szCs w:val="22"/>
    </w:rPr>
  </w:style>
  <w:style w:type="character" w:customStyle="1" w:styleId="Level2Char">
    <w:name w:val="Level 2 Char"/>
    <w:basedOn w:val="p1Char"/>
    <w:link w:val="Level2"/>
    <w:rsid w:val="00C019A0"/>
    <w:rPr>
      <w:rFonts w:ascii="Arial" w:hAnsi="Arial" w:cs="Arial"/>
      <w:b/>
      <w:bCs/>
      <w:color w:val="00000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management.hms.harvard.edu/share-publish/data-repositori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opyright.mail@wipo.int" TargetMode="External"/><Relationship Id="rId4" Type="http://schemas.openxmlformats.org/officeDocument/2006/relationships/settings" Target="settings.xml"/><Relationship Id="rId9" Type="http://schemas.openxmlformats.org/officeDocument/2006/relationships/hyperlink" Target="mailto:copyright.mail@wipo.int" TargetMode="External"/><Relationship Id="rId14" Type="http://schemas.openxmlformats.org/officeDocument/2006/relationships/hyperlink" Target="https://www.louisarmstronghouse.org/" TargetMode="External"/></Relationships>
</file>

<file path=word/_rels/endnotes.xml.rels><?xml version="1.0" encoding="UTF-8" standalone="yes"?>
<Relationships xmlns="http://schemas.openxmlformats.org/package/2006/relationships"><Relationship Id="rId13" Type="http://schemas.openxmlformats.org/officeDocument/2006/relationships/hyperlink" Target="https://www.wipo.int/documents/d/copyright/docs-en-toolkit-on-preservation.pdf%20accessed%20September%201" TargetMode="External"/><Relationship Id="rId18" Type="http://schemas.openxmlformats.org/officeDocument/2006/relationships/hyperlink" Target="https://www.wipo.int/treaties/en/ip/wct/" TargetMode="External"/><Relationship Id="rId26" Type="http://schemas.openxmlformats.org/officeDocument/2006/relationships/hyperlink" Target="https://www.wipo.int/edocs/pubdocs/en/wipo-pub-924-2023-en-collective-management-of-text-and-image-based-works.pdf" TargetMode="External"/><Relationship Id="rId3" Type="http://schemas.openxmlformats.org/officeDocument/2006/relationships/hyperlink" Target="https://www.wipo.int/documents/d/copyright/docs-en-toolkit-on-preservation.pdf" TargetMode="External"/><Relationship Id="rId21" Type="http://schemas.openxmlformats.org/officeDocument/2006/relationships/hyperlink" Target="https://www.wipo.int/meetings/en/doc_details.jsp?doc_id=149213" TargetMode="External"/><Relationship Id="rId34" Type="http://schemas.openxmlformats.org/officeDocument/2006/relationships/hyperlink" Target="https://www.wipo.int/publications/en/details.jsp?id=166" TargetMode="External"/><Relationship Id="rId7" Type="http://schemas.openxmlformats.org/officeDocument/2006/relationships/hyperlink" Target="https://www.ifla.org/news/libraries-safeguardingcultural-heritage/" TargetMode="External"/><Relationship Id="rId12" Type="http://schemas.openxmlformats.org/officeDocument/2006/relationships/hyperlink" Target="https://www.clir.org" TargetMode="External"/><Relationship Id="rId17" Type="http://schemas.openxmlformats.org/officeDocument/2006/relationships/hyperlink" Target="https://www.wipo.int/treaties/en/ip/wct/" TargetMode="External"/><Relationship Id="rId25" Type="http://schemas.openxmlformats.org/officeDocument/2006/relationships/hyperlink" Target="https://www.menil.org/terms-conditions" TargetMode="External"/><Relationship Id="rId33" Type="http://schemas.openxmlformats.org/officeDocument/2006/relationships/hyperlink" Target="https://icom.museum/en/resources/standards-guidelines/museum-definition/" TargetMode="External"/><Relationship Id="rId2" Type="http://schemas.openxmlformats.org/officeDocument/2006/relationships/hyperlink" Target="https://www.wipo.int/meetings/en/doc_details.jsp?doc_id=16805" TargetMode="External"/><Relationship Id="rId16" Type="http://schemas.openxmlformats.org/officeDocument/2006/relationships/hyperlink" Target="https://laws-lois.justice.gc.ca/eng/acts/c-42/section-38.1.html" TargetMode="External"/><Relationship Id="rId20" Type="http://schemas.openxmlformats.org/officeDocument/2006/relationships/hyperlink" Target="https://unesdoc.unesco.org/ark:/48223/pf0000143960" TargetMode="External"/><Relationship Id="rId29" Type="http://schemas.openxmlformats.org/officeDocument/2006/relationships/hyperlink" Target="https://tvnews.vanderbilt.edu/" TargetMode="External"/><Relationship Id="rId1" Type="http://schemas.openxmlformats.org/officeDocument/2006/relationships/hyperlink" Target="https://www.wipo.int/meetings/en/2019/international_conference_copyright.html" TargetMode="External"/><Relationship Id="rId6" Type="http://schemas.openxmlformats.org/officeDocument/2006/relationships/hyperlink" Target="https://icom.museum/wp-content/uploads/2018/07/ICOM-code-En-web.pdf" TargetMode="External"/><Relationship Id="rId11" Type="http://schemas.openxmlformats.org/officeDocument/2006/relationships/hyperlink" Target="https://www.wipo.int/edocs/mdocs/copyright/en/sccr_35/sccr_35_6.pdf" TargetMode="External"/><Relationship Id="rId24" Type="http://schemas.openxmlformats.org/officeDocument/2006/relationships/hyperlink" Target="https://www.rmg.co.uk/policies/collections-information-access-policy" TargetMode="External"/><Relationship Id="rId32" Type="http://schemas.openxmlformats.org/officeDocument/2006/relationships/hyperlink" Target="https://www.wipo.int/amc/en/center/specific-sectors/art/" TargetMode="External"/><Relationship Id="rId5" Type="http://schemas.openxmlformats.org/officeDocument/2006/relationships/hyperlink" Target="https://www.metmuseum.org/-/media/files/about-the-met/policies-anddocuments/collections-management-policy/Collections-Management-Policy.pdf" TargetMode="External"/><Relationship Id="rId15" Type="http://schemas.openxmlformats.org/officeDocument/2006/relationships/hyperlink" Target="https://www.alrc.gov.au/publication/copyright-and-the-digital-economy-alrc-report-122/6-the-new-fair-dealing-exception/advantages-of-fair-use-over-fair-dealing/" TargetMode="External"/><Relationship Id="rId23" Type="http://schemas.openxmlformats.org/officeDocument/2006/relationships/hyperlink" Target="https://creativecommons.org/about/arts-culture/" TargetMode="External"/><Relationship Id="rId28" Type="http://schemas.openxmlformats.org/officeDocument/2006/relationships/hyperlink" Target="https://www.louisarmstronghouse.org/" TargetMode="External"/><Relationship Id="rId10" Type="http://schemas.openxmlformats.org/officeDocument/2006/relationships/hyperlink" Target="https://icls.columbia.edu/news/columbia-university-libraries-awarded-grant-to-support-anticaste-archives-project/" TargetMode="External"/><Relationship Id="rId19" Type="http://schemas.openxmlformats.org/officeDocument/2006/relationships/hyperlink" Target="https://www.gov.za/documents/copyright-act-16-apr-2015-0942%20accessed%20September%201" TargetMode="External"/><Relationship Id="rId31" Type="http://schemas.openxmlformats.org/officeDocument/2006/relationships/hyperlink" Target="https://cms.aamd.org/sites/default/files/document/AAMD_Updated_Copyright_Guidelines2024.pdf" TargetMode="External"/><Relationship Id="rId4" Type="http://schemas.openxmlformats.org/officeDocument/2006/relationships/hyperlink" Target="https://laws-lois.justice.gc.ca/eng/acts/m-13.4/page-1.html" TargetMode="External"/><Relationship Id="rId9" Type="http://schemas.openxmlformats.org/officeDocument/2006/relationships/hyperlink" Target="https://www.ica.org/app/uploads/2023/12/ICA_Access-principles_EN.pdf" TargetMode="External"/><Relationship Id="rId14" Type="http://schemas.openxmlformats.org/officeDocument/2006/relationships/hyperlink" Target="https://josereis.coc.fiocruz.br/wp-content/uploads/2018/06/miolo_jose_reis_caixeiro_ciencia_web.pdf" TargetMode="External"/><Relationship Id="rId22" Type="http://schemas.openxmlformats.org/officeDocument/2006/relationships/hyperlink" Target="https://www.cinema.ucla.edu/" TargetMode="External"/><Relationship Id="rId27" Type="http://schemas.openxmlformats.org/officeDocument/2006/relationships/hyperlink" Target="https://www.wipo.int/publications/en/details.jsp?id=4773" TargetMode="External"/><Relationship Id="rId30" Type="http://schemas.openxmlformats.org/officeDocument/2006/relationships/hyperlink" Target="https://www.wipo.int/documents/d/copyright/docs-en-toolkit-on-preservation.pdf%20accessed%20September%201" TargetMode="External"/><Relationship Id="rId35" Type="http://schemas.openxmlformats.org/officeDocument/2006/relationships/hyperlink" Target="https://www.wipo.int/documents/d/copyright/docs-en-toolkit-on-preservation.pdf" TargetMode="External"/><Relationship Id="rId8" Type="http://schemas.openxmlformats.org/officeDocument/2006/relationships/hyperlink" Target="https://www.ica.org/app/uploads/2023/12/ICA_Access-principles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SCCR_47 (E)</Template>
  <TotalTime>2</TotalTime>
  <Pages>39</Pages>
  <Words>14922</Words>
  <Characters>87364</Characters>
  <Application>Microsoft Office Word</Application>
  <DocSecurity>0</DocSecurity>
  <Lines>7942</Lines>
  <Paragraphs>5383</Paragraphs>
  <ScaleCrop>false</ScaleCrop>
  <HeadingPairs>
    <vt:vector size="2" baseType="variant">
      <vt:variant>
        <vt:lpstr>Title</vt:lpstr>
      </vt:variant>
      <vt:variant>
        <vt:i4>1</vt:i4>
      </vt:variant>
    </vt:vector>
  </HeadingPairs>
  <TitlesOfParts>
    <vt:vector size="1" baseType="lpstr">
      <vt:lpstr>SCCR/46/</vt:lpstr>
    </vt:vector>
  </TitlesOfParts>
  <Company>WIPO</Company>
  <LinksUpToDate>false</LinksUpToDate>
  <CharactersWithSpaces>96903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SCCR/47/</dc:title>
  <dc:creator>HAIZEL Francesca</dc:creator>
  <cp:keywords>FOR OFFICIAL USE ONLY</cp:keywords>
  <cp:lastModifiedBy>HAIZEL Francesca</cp:lastModifiedBy>
  <cp:revision>3</cp:revision>
  <cp:lastPrinted>2026-01-22T10:56:00Z</cp:lastPrinted>
  <dcterms:created xsi:type="dcterms:W3CDTF">2026-01-22T13:00:00Z</dcterms:created>
  <dcterms:modified xsi:type="dcterms:W3CDTF">2026-01-22T13:02:00Z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ies>
</file>