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19264" w14:textId="77777777" w:rsidR="008B2CC1" w:rsidRPr="008B2CC1" w:rsidRDefault="00873EE5" w:rsidP="00F11D94">
      <w:pPr>
        <w:spacing w:after="120"/>
        <w:jc w:val="right"/>
      </w:pPr>
      <w:r>
        <w:rPr>
          <w:noProof/>
          <w:sz w:val="28"/>
          <w:szCs w:val="28"/>
          <w:lang w:eastAsia="en-US"/>
        </w:rPr>
        <w:drawing>
          <wp:inline distT="0" distB="0" distL="0" distR="0" wp14:anchorId="1E32FE84" wp14:editId="255ACF71">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7D4F273" wp14:editId="2F65FBC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51160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599C4E4" w14:textId="7A534BB8"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CE41A1">
        <w:rPr>
          <w:rFonts w:ascii="Arial Black" w:hAnsi="Arial Black"/>
          <w:caps/>
          <w:sz w:val="15"/>
          <w:szCs w:val="15"/>
        </w:rPr>
        <w:t>11</w:t>
      </w:r>
    </w:p>
    <w:p w14:paraId="0723525F" w14:textId="688CC0E3"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E41A1">
        <w:rPr>
          <w:rFonts w:ascii="Arial Black" w:hAnsi="Arial Black"/>
          <w:caps/>
          <w:sz w:val="15"/>
          <w:szCs w:val="15"/>
        </w:rPr>
        <w:t>ENGLISH</w:t>
      </w:r>
    </w:p>
    <w:bookmarkEnd w:id="1"/>
    <w:p w14:paraId="711BBD6E" w14:textId="7AD0A5CB"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CE41A1">
        <w:rPr>
          <w:rFonts w:ascii="Arial Black" w:hAnsi="Arial Black"/>
          <w:caps/>
          <w:sz w:val="15"/>
          <w:szCs w:val="15"/>
        </w:rPr>
        <w:t>DECEMBER 3, 2025</w:t>
      </w:r>
    </w:p>
    <w:bookmarkEnd w:id="2"/>
    <w:p w14:paraId="503F2AA2"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2253647E"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7442EEDE"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46D2A439" w14:textId="101D32AD" w:rsidR="008B2CC1" w:rsidRPr="009F3BF9" w:rsidRDefault="00CE41A1" w:rsidP="00CE65D4">
      <w:pPr>
        <w:spacing w:after="360"/>
        <w:rPr>
          <w:caps/>
          <w:sz w:val="24"/>
        </w:rPr>
      </w:pPr>
      <w:bookmarkStart w:id="3" w:name="TitleOfDoc"/>
      <w:r w:rsidRPr="00CE41A1">
        <w:rPr>
          <w:caps/>
          <w:sz w:val="24"/>
        </w:rPr>
        <w:t>PROPOSAL FOR A STUDY ON THE IMPACT OF THE CREATIVE INDUSTRIES ON THE ECONOMIC GROWTH OF MEMBER STATES</w:t>
      </w:r>
    </w:p>
    <w:p w14:paraId="19F2F600" w14:textId="12D4D0D9" w:rsidR="008B2CC1" w:rsidRPr="004D39C4" w:rsidRDefault="00CE41A1" w:rsidP="00CE65D4">
      <w:pPr>
        <w:spacing w:after="960"/>
        <w:rPr>
          <w:i/>
        </w:rPr>
      </w:pPr>
      <w:bookmarkStart w:id="4" w:name="Prepared"/>
      <w:bookmarkEnd w:id="3"/>
      <w:r>
        <w:rPr>
          <w:i/>
        </w:rPr>
        <w:t>prepared by the Delegation of the United States of America</w:t>
      </w:r>
    </w:p>
    <w:bookmarkEnd w:id="4"/>
    <w:p w14:paraId="18D428EE" w14:textId="095CC983" w:rsidR="00CE41A1" w:rsidRDefault="00CE41A1">
      <w:r>
        <w:br w:type="page"/>
      </w:r>
    </w:p>
    <w:p w14:paraId="6FC7E365" w14:textId="77777777" w:rsidR="00CE41A1" w:rsidRDefault="00CE41A1" w:rsidP="00CE41A1">
      <w:pPr>
        <w:rPr>
          <w:rFonts w:ascii="Times New Roman" w:hAnsi="Times New Roman" w:cs="Times New Roman"/>
        </w:rPr>
      </w:pPr>
      <w:r w:rsidRPr="779E2282">
        <w:rPr>
          <w:rFonts w:ascii="Times New Roman" w:hAnsi="Times New Roman" w:cs="Times New Roman"/>
        </w:rPr>
        <w:lastRenderedPageBreak/>
        <w:t>The United States of America requests the Secretariat to undertake a study to survey the impact of the creative industries, supported by strong copyright protection and effective enforcement, on the economic growth of Member States.</w:t>
      </w:r>
    </w:p>
    <w:p w14:paraId="626B97F2" w14:textId="77777777" w:rsidR="00CE41A1" w:rsidRDefault="00CE41A1" w:rsidP="00CE41A1">
      <w:pPr>
        <w:rPr>
          <w:rFonts w:ascii="Times New Roman" w:eastAsia="Arial" w:hAnsi="Times New Roman" w:cs="Times New Roman"/>
          <w:b/>
          <w:bCs/>
          <w:u w:val="single"/>
        </w:rPr>
      </w:pPr>
    </w:p>
    <w:p w14:paraId="54B0FB4D" w14:textId="77777777" w:rsidR="00CE41A1" w:rsidRPr="002B61C4" w:rsidRDefault="00CE41A1" w:rsidP="00CE41A1">
      <w:pPr>
        <w:rPr>
          <w:rFonts w:ascii="Times New Roman" w:eastAsia="Arial" w:hAnsi="Times New Roman" w:cs="Times New Roman"/>
          <w:b/>
          <w:bCs/>
          <w:u w:val="single"/>
        </w:rPr>
      </w:pPr>
      <w:r w:rsidRPr="002B61C4">
        <w:rPr>
          <w:rFonts w:ascii="Times New Roman" w:eastAsia="Arial" w:hAnsi="Times New Roman" w:cs="Times New Roman"/>
          <w:b/>
          <w:bCs/>
          <w:u w:val="single"/>
        </w:rPr>
        <w:t>CONTEXT</w:t>
      </w:r>
    </w:p>
    <w:p w14:paraId="24A59164" w14:textId="77777777" w:rsidR="00CE41A1" w:rsidRPr="00FE6FE9" w:rsidRDefault="00CE41A1" w:rsidP="00CE41A1">
      <w:pPr>
        <w:ind w:firstLine="720"/>
        <w:rPr>
          <w:rFonts w:ascii="Times New Roman" w:eastAsia="Arial" w:hAnsi="Times New Roman" w:cs="Times New Roman"/>
        </w:rPr>
      </w:pPr>
    </w:p>
    <w:p w14:paraId="7EC769B0" w14:textId="77777777" w:rsidR="00CE41A1" w:rsidRDefault="00CE41A1" w:rsidP="00CE41A1">
      <w:pPr>
        <w:rPr>
          <w:rFonts w:ascii="Times New Roman" w:eastAsia="Arial" w:hAnsi="Times New Roman" w:cs="Times New Roman"/>
        </w:rPr>
      </w:pPr>
      <w:r w:rsidRPr="00FE6FE9">
        <w:rPr>
          <w:rFonts w:ascii="Times New Roman" w:eastAsia="Arial" w:hAnsi="Times New Roman" w:cs="Times New Roman"/>
        </w:rPr>
        <w:t xml:space="preserve">Economic research and reports, case studies, and other data consistently demonstrate that the creative industries, including those within the digital environment, contribute significantly to the economic growth and prosperity of nations around the world. The success of these critical industries, which include a broad range of </w:t>
      </w:r>
      <w:r>
        <w:rPr>
          <w:rFonts w:ascii="Times New Roman" w:eastAsia="Arial" w:hAnsi="Times New Roman" w:cs="Times New Roman"/>
        </w:rPr>
        <w:t xml:space="preserve">mediums, subject matter, and creators, </w:t>
      </w:r>
      <w:r w:rsidRPr="00FE6FE9">
        <w:rPr>
          <w:rFonts w:ascii="Times New Roman" w:eastAsia="Arial" w:hAnsi="Times New Roman" w:cs="Times New Roman"/>
        </w:rPr>
        <w:t xml:space="preserve">contribute significantly to countries’ </w:t>
      </w:r>
      <w:r>
        <w:rPr>
          <w:rFonts w:ascii="Times New Roman" w:eastAsia="Arial" w:hAnsi="Times New Roman" w:cs="Times New Roman"/>
        </w:rPr>
        <w:t>gross domestic product (</w:t>
      </w:r>
      <w:r w:rsidRPr="00FE6FE9">
        <w:rPr>
          <w:rFonts w:ascii="Times New Roman" w:eastAsia="Arial" w:hAnsi="Times New Roman" w:cs="Times New Roman"/>
        </w:rPr>
        <w:t>GDP</w:t>
      </w:r>
      <w:r>
        <w:rPr>
          <w:rFonts w:ascii="Times New Roman" w:eastAsia="Arial" w:hAnsi="Times New Roman" w:cs="Times New Roman"/>
        </w:rPr>
        <w:t>)</w:t>
      </w:r>
      <w:r w:rsidRPr="00FE6FE9">
        <w:rPr>
          <w:rFonts w:ascii="Times New Roman" w:eastAsia="Arial" w:hAnsi="Times New Roman" w:cs="Times New Roman"/>
        </w:rPr>
        <w:t>, employment, international trade, and foreign direct investment (FDI).</w:t>
      </w:r>
      <w:r>
        <w:rPr>
          <w:rFonts w:ascii="Times New Roman" w:eastAsia="Arial" w:hAnsi="Times New Roman" w:cs="Times New Roman"/>
        </w:rPr>
        <w:t xml:space="preserve"> T</w:t>
      </w:r>
      <w:r w:rsidRPr="00FE6FE9">
        <w:rPr>
          <w:rFonts w:ascii="Times New Roman" w:eastAsia="Arial" w:hAnsi="Times New Roman" w:cs="Times New Roman"/>
        </w:rPr>
        <w:t>he creative industries</w:t>
      </w:r>
      <w:r>
        <w:rPr>
          <w:rFonts w:ascii="Times New Roman" w:eastAsia="Arial" w:hAnsi="Times New Roman" w:cs="Times New Roman"/>
        </w:rPr>
        <w:t xml:space="preserve"> also</w:t>
      </w:r>
      <w:r w:rsidRPr="00FE6FE9">
        <w:rPr>
          <w:rFonts w:ascii="Times New Roman" w:eastAsia="Arial" w:hAnsi="Times New Roman" w:cs="Times New Roman"/>
        </w:rPr>
        <w:t xml:space="preserve"> enhance national economies by utilizing local businesses, small and medium enterprises (SMEs), and </w:t>
      </w:r>
      <w:r>
        <w:rPr>
          <w:rFonts w:ascii="Times New Roman" w:eastAsia="Arial" w:hAnsi="Times New Roman" w:cs="Times New Roman"/>
        </w:rPr>
        <w:t>m</w:t>
      </w:r>
      <w:r w:rsidRPr="00FE6FE9">
        <w:rPr>
          <w:rFonts w:ascii="Times New Roman" w:eastAsia="Arial" w:hAnsi="Times New Roman" w:cs="Times New Roman"/>
        </w:rPr>
        <w:t xml:space="preserve">icro SMEs (MSMEs) for creative endeavors. </w:t>
      </w:r>
      <w:r>
        <w:rPr>
          <w:rFonts w:ascii="Times New Roman" w:eastAsia="Arial" w:hAnsi="Times New Roman" w:cs="Times New Roman"/>
        </w:rPr>
        <w:t>The World Intellectual Property Organization (</w:t>
      </w:r>
      <w:r w:rsidRPr="00FE6FE9">
        <w:rPr>
          <w:rFonts w:ascii="Times New Roman" w:eastAsia="Arial" w:hAnsi="Times New Roman" w:cs="Times New Roman"/>
        </w:rPr>
        <w:t>WIPO</w:t>
      </w:r>
      <w:r>
        <w:rPr>
          <w:rFonts w:ascii="Times New Roman" w:eastAsia="Arial" w:hAnsi="Times New Roman" w:cs="Times New Roman"/>
        </w:rPr>
        <w:t>)</w:t>
      </w:r>
      <w:r w:rsidRPr="00FE6FE9">
        <w:rPr>
          <w:rFonts w:ascii="Times New Roman" w:eastAsia="Arial" w:hAnsi="Times New Roman" w:cs="Times New Roman"/>
        </w:rPr>
        <w:t xml:space="preserve"> </w:t>
      </w:r>
      <w:r>
        <w:rPr>
          <w:rFonts w:ascii="Times New Roman" w:eastAsia="Arial" w:hAnsi="Times New Roman" w:cs="Times New Roman"/>
        </w:rPr>
        <w:t>has recognized the economic importance of the creative industries, stating</w:t>
      </w:r>
      <w:r w:rsidRPr="00FE6FE9">
        <w:rPr>
          <w:rFonts w:ascii="Times New Roman" w:eastAsia="Arial" w:hAnsi="Times New Roman" w:cs="Times New Roman"/>
        </w:rPr>
        <w:t xml:space="preserve"> that the creative industries or copyright-based industries </w:t>
      </w:r>
      <w:r>
        <w:rPr>
          <w:rFonts w:ascii="Times New Roman" w:eastAsia="Arial" w:hAnsi="Times New Roman" w:cs="Times New Roman"/>
        </w:rPr>
        <w:t>“</w:t>
      </w:r>
      <w:r w:rsidRPr="00FE6FE9">
        <w:rPr>
          <w:rFonts w:ascii="Times New Roman" w:eastAsia="Arial" w:hAnsi="Times New Roman" w:cs="Times New Roman"/>
        </w:rPr>
        <w:t>generate direct and indirect contributions to economic performance and are considered of growing importance for the achievement of important national economic and social objectives.</w:t>
      </w:r>
      <w:r>
        <w:rPr>
          <w:rFonts w:ascii="Times New Roman" w:eastAsia="Arial" w:hAnsi="Times New Roman" w:cs="Times New Roman"/>
        </w:rPr>
        <w:t>”</w:t>
      </w:r>
      <w:r w:rsidRPr="00FE6FE9">
        <w:rPr>
          <w:rStyle w:val="FootnoteReference"/>
          <w:rFonts w:ascii="Times New Roman" w:eastAsia="Arial" w:hAnsi="Times New Roman" w:cs="Times New Roman"/>
        </w:rPr>
        <w:footnoteReference w:id="2"/>
      </w:r>
      <w:r w:rsidRPr="00FE6FE9">
        <w:rPr>
          <w:rFonts w:ascii="Times New Roman" w:eastAsia="Arial" w:hAnsi="Times New Roman" w:cs="Times New Roman"/>
        </w:rPr>
        <w:t xml:space="preserve"> </w:t>
      </w:r>
    </w:p>
    <w:p w14:paraId="432E8644" w14:textId="77777777" w:rsidR="00CE41A1" w:rsidRDefault="00CE41A1" w:rsidP="00CE41A1">
      <w:pPr>
        <w:rPr>
          <w:rFonts w:ascii="Times New Roman" w:eastAsia="Arial" w:hAnsi="Times New Roman" w:cs="Times New Roman"/>
        </w:rPr>
      </w:pPr>
    </w:p>
    <w:p w14:paraId="6AE1A5F5" w14:textId="77777777" w:rsidR="00CE41A1" w:rsidRPr="00FE6FE9" w:rsidRDefault="00CE41A1" w:rsidP="00CE41A1">
      <w:pPr>
        <w:rPr>
          <w:rFonts w:ascii="Times New Roman" w:eastAsia="Arial" w:hAnsi="Times New Roman" w:cs="Times New Roman"/>
          <w:color w:val="000000" w:themeColor="text1"/>
        </w:rPr>
      </w:pPr>
      <w:r w:rsidRPr="5C96F29F">
        <w:rPr>
          <w:rFonts w:ascii="Times New Roman" w:eastAsia="Arial" w:hAnsi="Times New Roman" w:cs="Times New Roman"/>
          <w:color w:val="000000" w:themeColor="text1"/>
        </w:rPr>
        <w:t xml:space="preserve">This proposal provides a framework for a new compilation study on the contributions of the copyright-based or creative industries to economic growth through GDP, employment, international trade, and FDI. </w:t>
      </w:r>
    </w:p>
    <w:p w14:paraId="6DA89E3D" w14:textId="77777777" w:rsidR="00CE41A1" w:rsidRPr="00FE6FE9" w:rsidRDefault="00CE41A1" w:rsidP="00CE41A1">
      <w:pPr>
        <w:rPr>
          <w:rFonts w:ascii="Times New Roman" w:eastAsia="Arial" w:hAnsi="Times New Roman" w:cs="Times New Roman"/>
          <w:color w:val="000000" w:themeColor="text1"/>
        </w:rPr>
      </w:pPr>
    </w:p>
    <w:p w14:paraId="78CB7C46" w14:textId="77777777" w:rsidR="00CE41A1" w:rsidRPr="00C8709F" w:rsidRDefault="00CE41A1" w:rsidP="00CE41A1">
      <w:pPr>
        <w:rPr>
          <w:rFonts w:ascii="Times New Roman" w:eastAsia="Arial" w:hAnsi="Times New Roman" w:cs="Times New Roman"/>
          <w:i/>
          <w:iCs/>
          <w:color w:val="000000" w:themeColor="text1"/>
          <w:u w:val="single"/>
        </w:rPr>
      </w:pPr>
      <w:r w:rsidRPr="00C8709F">
        <w:rPr>
          <w:rFonts w:ascii="Times New Roman" w:eastAsia="Arial" w:hAnsi="Times New Roman" w:cs="Times New Roman"/>
          <w:i/>
          <w:iCs/>
          <w:color w:val="000000" w:themeColor="text1"/>
          <w:u w:val="single"/>
        </w:rPr>
        <w:t>Creative Industries</w:t>
      </w:r>
      <w:r>
        <w:rPr>
          <w:rFonts w:ascii="Times New Roman" w:eastAsia="Arial" w:hAnsi="Times New Roman" w:cs="Times New Roman"/>
          <w:i/>
          <w:iCs/>
          <w:color w:val="000000" w:themeColor="text1"/>
          <w:u w:val="single"/>
        </w:rPr>
        <w:t>’</w:t>
      </w:r>
      <w:r w:rsidRPr="00C8709F">
        <w:rPr>
          <w:rFonts w:ascii="Times New Roman" w:eastAsia="Arial" w:hAnsi="Times New Roman" w:cs="Times New Roman"/>
          <w:i/>
          <w:iCs/>
          <w:color w:val="000000" w:themeColor="text1"/>
          <w:u w:val="single"/>
        </w:rPr>
        <w:t xml:space="preserve"> Contributions to GDP</w:t>
      </w:r>
      <w:r>
        <w:rPr>
          <w:rFonts w:ascii="Times New Roman" w:eastAsia="Arial" w:hAnsi="Times New Roman" w:cs="Times New Roman"/>
          <w:i/>
          <w:iCs/>
          <w:color w:val="000000" w:themeColor="text1"/>
          <w:u w:val="single"/>
        </w:rPr>
        <w:t>, Job Growth, and FDI</w:t>
      </w:r>
    </w:p>
    <w:p w14:paraId="316B7BD9" w14:textId="77777777" w:rsidR="00CE41A1" w:rsidRDefault="00CE41A1" w:rsidP="00CE41A1">
      <w:pPr>
        <w:rPr>
          <w:rFonts w:ascii="Times New Roman" w:eastAsia="Arial" w:hAnsi="Times New Roman" w:cs="Times New Roman"/>
          <w:color w:val="000000" w:themeColor="text1"/>
        </w:rPr>
      </w:pPr>
    </w:p>
    <w:p w14:paraId="037AF566" w14:textId="77777777" w:rsidR="00CE41A1" w:rsidRDefault="00CE41A1" w:rsidP="00CE41A1">
      <w:pPr>
        <w:rPr>
          <w:rFonts w:ascii="Times New Roman" w:eastAsia="Arial" w:hAnsi="Times New Roman" w:cs="Times New Roman"/>
          <w:color w:val="000000" w:themeColor="text1"/>
        </w:rPr>
      </w:pPr>
      <w:r>
        <w:rPr>
          <w:rFonts w:ascii="Times New Roman" w:eastAsia="Arial" w:hAnsi="Times New Roman" w:cs="Times New Roman"/>
          <w:color w:val="000000" w:themeColor="text1"/>
        </w:rPr>
        <w:t>The copyright-based or creative industries</w:t>
      </w:r>
      <w:r w:rsidRPr="00FE6FE9">
        <w:rPr>
          <w:rFonts w:ascii="Times New Roman" w:eastAsia="Arial" w:hAnsi="Times New Roman" w:cs="Times New Roman"/>
          <w:color w:val="000000" w:themeColor="text1"/>
        </w:rPr>
        <w:t xml:space="preserve"> </w:t>
      </w:r>
      <w:r>
        <w:rPr>
          <w:rFonts w:ascii="Times New Roman" w:eastAsia="Arial" w:hAnsi="Times New Roman" w:cs="Times New Roman"/>
          <w:color w:val="000000" w:themeColor="text1"/>
        </w:rPr>
        <w:t>significantly contribute to</w:t>
      </w:r>
      <w:r w:rsidRPr="00FE6FE9">
        <w:rPr>
          <w:rFonts w:ascii="Times New Roman" w:eastAsia="Arial" w:hAnsi="Times New Roman" w:cs="Times New Roman"/>
          <w:color w:val="000000" w:themeColor="text1"/>
        </w:rPr>
        <w:t xml:space="preserve"> GDP growth in countries around the world. According to WIPO, financial gains from </w:t>
      </w:r>
      <w:r>
        <w:rPr>
          <w:rFonts w:ascii="Times New Roman" w:eastAsia="Arial" w:hAnsi="Times New Roman" w:cs="Times New Roman"/>
          <w:color w:val="000000" w:themeColor="text1"/>
        </w:rPr>
        <w:t>creative</w:t>
      </w:r>
      <w:r w:rsidRPr="00FE6FE9">
        <w:rPr>
          <w:rFonts w:ascii="Times New Roman" w:eastAsia="Arial" w:hAnsi="Times New Roman" w:cs="Times New Roman"/>
          <w:color w:val="000000" w:themeColor="text1"/>
        </w:rPr>
        <w:t xml:space="preserve"> industries continuously drive creative production, strengthening a country’s economy.</w:t>
      </w:r>
      <w:r w:rsidRPr="00FE6FE9">
        <w:rPr>
          <w:rStyle w:val="FootnoteReference"/>
          <w:rFonts w:ascii="Times New Roman" w:eastAsia="Arial" w:hAnsi="Times New Roman" w:cs="Times New Roman"/>
          <w:color w:val="000000" w:themeColor="text1"/>
        </w:rPr>
        <w:footnoteReference w:id="3"/>
      </w:r>
      <w:r w:rsidRPr="00FE6FE9">
        <w:rPr>
          <w:rFonts w:ascii="Times New Roman" w:eastAsia="Arial" w:hAnsi="Times New Roman" w:cs="Times New Roman"/>
          <w:color w:val="000000" w:themeColor="text1"/>
        </w:rPr>
        <w:t xml:space="preserve"> </w:t>
      </w:r>
      <w:r>
        <w:rPr>
          <w:rFonts w:ascii="Times New Roman" w:eastAsia="Arial" w:hAnsi="Times New Roman" w:cs="Times New Roman"/>
          <w:color w:val="000000" w:themeColor="text1"/>
        </w:rPr>
        <w:t>T</w:t>
      </w:r>
      <w:r w:rsidRPr="00FE6FE9">
        <w:rPr>
          <w:rFonts w:ascii="Times New Roman" w:eastAsia="Arial" w:hAnsi="Times New Roman" w:cs="Times New Roman"/>
          <w:color w:val="000000" w:themeColor="text1"/>
        </w:rPr>
        <w:t xml:space="preserve">he creative </w:t>
      </w:r>
      <w:r>
        <w:rPr>
          <w:rFonts w:ascii="Times New Roman" w:eastAsia="Arial" w:hAnsi="Times New Roman" w:cs="Times New Roman"/>
          <w:color w:val="000000" w:themeColor="text1"/>
        </w:rPr>
        <w:t>industries also</w:t>
      </w:r>
      <w:r w:rsidRPr="00FE6FE9">
        <w:rPr>
          <w:rFonts w:ascii="Times New Roman" w:eastAsia="Arial" w:hAnsi="Times New Roman" w:cs="Times New Roman"/>
          <w:color w:val="000000" w:themeColor="text1"/>
        </w:rPr>
        <w:t xml:space="preserve"> produce a variety of job opportunities, with </w:t>
      </w:r>
      <w:r>
        <w:rPr>
          <w:rFonts w:ascii="Times New Roman" w:eastAsia="Arial" w:hAnsi="Times New Roman" w:cs="Times New Roman"/>
          <w:color w:val="000000" w:themeColor="text1"/>
        </w:rPr>
        <w:t>many different</w:t>
      </w:r>
      <w:r w:rsidRPr="00FE6FE9">
        <w:rPr>
          <w:rFonts w:ascii="Times New Roman" w:eastAsia="Arial" w:hAnsi="Times New Roman" w:cs="Times New Roman"/>
          <w:color w:val="000000" w:themeColor="text1"/>
        </w:rPr>
        <w:t xml:space="preserve"> disciplines of jobs </w:t>
      </w:r>
      <w:r>
        <w:rPr>
          <w:rFonts w:ascii="Times New Roman" w:eastAsia="Arial" w:hAnsi="Times New Roman" w:cs="Times New Roman"/>
          <w:color w:val="000000" w:themeColor="text1"/>
        </w:rPr>
        <w:t xml:space="preserve">that </w:t>
      </w:r>
      <w:r w:rsidRPr="00FE6FE9">
        <w:rPr>
          <w:rFonts w:ascii="Times New Roman" w:eastAsia="Arial" w:hAnsi="Times New Roman" w:cs="Times New Roman"/>
          <w:color w:val="000000" w:themeColor="text1"/>
        </w:rPr>
        <w:t>optimiz</w:t>
      </w:r>
      <w:r>
        <w:rPr>
          <w:rFonts w:ascii="Times New Roman" w:eastAsia="Arial" w:hAnsi="Times New Roman" w:cs="Times New Roman"/>
          <w:color w:val="000000" w:themeColor="text1"/>
        </w:rPr>
        <w:t>e</w:t>
      </w:r>
      <w:r w:rsidRPr="00FE6FE9">
        <w:rPr>
          <w:rFonts w:ascii="Times New Roman" w:eastAsia="Arial" w:hAnsi="Times New Roman" w:cs="Times New Roman"/>
          <w:color w:val="000000" w:themeColor="text1"/>
        </w:rPr>
        <w:t xml:space="preserve"> creative growth. Each sector within the creative </w:t>
      </w:r>
      <w:r>
        <w:rPr>
          <w:rFonts w:ascii="Times New Roman" w:eastAsia="Arial" w:hAnsi="Times New Roman" w:cs="Times New Roman"/>
          <w:color w:val="000000" w:themeColor="text1"/>
        </w:rPr>
        <w:t>industries</w:t>
      </w:r>
      <w:r w:rsidRPr="00FE6FE9">
        <w:rPr>
          <w:rFonts w:ascii="Times New Roman" w:eastAsia="Arial" w:hAnsi="Times New Roman" w:cs="Times New Roman"/>
          <w:color w:val="000000" w:themeColor="text1"/>
        </w:rPr>
        <w:t xml:space="preserve"> requires a complex system to create, produce, and distribute </w:t>
      </w:r>
      <w:r>
        <w:rPr>
          <w:rFonts w:ascii="Times New Roman" w:eastAsia="Arial" w:hAnsi="Times New Roman" w:cs="Times New Roman"/>
          <w:color w:val="000000" w:themeColor="text1"/>
        </w:rPr>
        <w:t>copyrighted materials</w:t>
      </w:r>
      <w:r w:rsidRPr="00FE6FE9">
        <w:rPr>
          <w:rFonts w:ascii="Times New Roman" w:eastAsia="Arial" w:hAnsi="Times New Roman" w:cs="Times New Roman"/>
          <w:color w:val="000000" w:themeColor="text1"/>
        </w:rPr>
        <w:t xml:space="preserve"> to a global audience. </w:t>
      </w:r>
      <w:r>
        <w:rPr>
          <w:rFonts w:ascii="Times New Roman" w:eastAsia="Arial" w:hAnsi="Times New Roman" w:cs="Times New Roman"/>
          <w:color w:val="000000" w:themeColor="text1"/>
        </w:rPr>
        <w:t>The creative industries</w:t>
      </w:r>
      <w:r w:rsidRPr="00FE6FE9">
        <w:rPr>
          <w:rFonts w:ascii="Times New Roman" w:eastAsia="Arial" w:hAnsi="Times New Roman" w:cs="Times New Roman"/>
          <w:color w:val="000000" w:themeColor="text1"/>
        </w:rPr>
        <w:t xml:space="preserve"> play a crucial role in boosting international trade and exports. As emerging technologies continue to reshape the global creative economy, many countries are enhancing their digital infrastructure and adopting strategic economic policies to maximize the benefits of creative exports.</w:t>
      </w:r>
      <w:r>
        <w:rPr>
          <w:rFonts w:ascii="Times New Roman" w:eastAsia="Arial" w:hAnsi="Times New Roman" w:cs="Times New Roman"/>
          <w:color w:val="000000" w:themeColor="text1"/>
        </w:rPr>
        <w:t xml:space="preserve"> Finally, robust</w:t>
      </w:r>
      <w:r w:rsidRPr="00FE6FE9">
        <w:rPr>
          <w:rFonts w:ascii="Times New Roman" w:eastAsia="Arial" w:hAnsi="Times New Roman" w:cs="Times New Roman"/>
          <w:color w:val="000000" w:themeColor="text1"/>
        </w:rPr>
        <w:t xml:space="preserve"> copyright </w:t>
      </w:r>
      <w:r>
        <w:rPr>
          <w:rFonts w:ascii="Times New Roman" w:eastAsia="Arial" w:hAnsi="Times New Roman" w:cs="Times New Roman"/>
          <w:color w:val="000000" w:themeColor="text1"/>
        </w:rPr>
        <w:t>legal frameworks that support creative industries</w:t>
      </w:r>
      <w:r w:rsidRPr="00FE6FE9">
        <w:rPr>
          <w:rFonts w:ascii="Times New Roman" w:eastAsia="Arial" w:hAnsi="Times New Roman" w:cs="Times New Roman"/>
          <w:color w:val="000000" w:themeColor="text1"/>
        </w:rPr>
        <w:t xml:space="preserve"> are </w:t>
      </w:r>
      <w:r>
        <w:rPr>
          <w:rFonts w:ascii="Times New Roman" w:eastAsia="Arial" w:hAnsi="Times New Roman" w:cs="Times New Roman"/>
          <w:color w:val="000000" w:themeColor="text1"/>
        </w:rPr>
        <w:t xml:space="preserve">also </w:t>
      </w:r>
      <w:r w:rsidRPr="00FE6FE9">
        <w:rPr>
          <w:rFonts w:ascii="Times New Roman" w:eastAsia="Arial" w:hAnsi="Times New Roman" w:cs="Times New Roman"/>
          <w:color w:val="000000" w:themeColor="text1"/>
        </w:rPr>
        <w:t>linked to FDI</w:t>
      </w:r>
      <w:r>
        <w:rPr>
          <w:rFonts w:ascii="Times New Roman" w:eastAsia="Arial" w:hAnsi="Times New Roman" w:cs="Times New Roman"/>
          <w:color w:val="000000" w:themeColor="text1"/>
        </w:rPr>
        <w:t>,</w:t>
      </w:r>
      <w:r w:rsidRPr="00FE6FE9">
        <w:rPr>
          <w:rFonts w:ascii="Times New Roman" w:eastAsia="Arial" w:hAnsi="Times New Roman" w:cs="Times New Roman"/>
          <w:color w:val="000000" w:themeColor="text1"/>
        </w:rPr>
        <w:t xml:space="preserve"> </w:t>
      </w:r>
      <w:r>
        <w:rPr>
          <w:rFonts w:ascii="Times New Roman" w:eastAsia="Arial" w:hAnsi="Times New Roman" w:cs="Times New Roman"/>
          <w:color w:val="000000" w:themeColor="text1"/>
        </w:rPr>
        <w:t xml:space="preserve">which </w:t>
      </w:r>
      <w:r w:rsidRPr="00FE6FE9">
        <w:rPr>
          <w:rFonts w:ascii="Times New Roman" w:eastAsia="Arial" w:hAnsi="Times New Roman" w:cs="Times New Roman"/>
          <w:color w:val="000000" w:themeColor="text1"/>
        </w:rPr>
        <w:t>attract</w:t>
      </w:r>
      <w:r>
        <w:rPr>
          <w:rFonts w:ascii="Times New Roman" w:eastAsia="Arial" w:hAnsi="Times New Roman" w:cs="Times New Roman"/>
          <w:color w:val="000000" w:themeColor="text1"/>
        </w:rPr>
        <w:t>s</w:t>
      </w:r>
      <w:r w:rsidRPr="00FE6FE9">
        <w:rPr>
          <w:rFonts w:ascii="Times New Roman" w:eastAsia="Arial" w:hAnsi="Times New Roman" w:cs="Times New Roman"/>
          <w:color w:val="000000" w:themeColor="text1"/>
        </w:rPr>
        <w:t xml:space="preserve"> specialized creative projects</w:t>
      </w:r>
      <w:r>
        <w:rPr>
          <w:rFonts w:ascii="Times New Roman" w:eastAsia="Arial" w:hAnsi="Times New Roman" w:cs="Times New Roman"/>
          <w:color w:val="000000" w:themeColor="text1"/>
        </w:rPr>
        <w:t xml:space="preserve"> and cross border collaboration. C</w:t>
      </w:r>
      <w:r w:rsidRPr="00FE6FE9">
        <w:rPr>
          <w:rFonts w:ascii="Times New Roman" w:eastAsia="Arial" w:hAnsi="Times New Roman" w:cs="Times New Roman"/>
          <w:color w:val="000000" w:themeColor="text1"/>
        </w:rPr>
        <w:t xml:space="preserve">lear </w:t>
      </w:r>
      <w:r>
        <w:rPr>
          <w:rFonts w:ascii="Times New Roman" w:eastAsia="Arial" w:hAnsi="Times New Roman" w:cs="Times New Roman"/>
          <w:color w:val="000000" w:themeColor="text1"/>
        </w:rPr>
        <w:t xml:space="preserve">and predictable legal </w:t>
      </w:r>
      <w:r w:rsidRPr="00FE6FE9">
        <w:rPr>
          <w:rFonts w:ascii="Times New Roman" w:eastAsia="Arial" w:hAnsi="Times New Roman" w:cs="Times New Roman"/>
          <w:color w:val="000000" w:themeColor="text1"/>
        </w:rPr>
        <w:t xml:space="preserve">frameworks </w:t>
      </w:r>
      <w:r>
        <w:rPr>
          <w:rFonts w:ascii="Times New Roman" w:eastAsia="Arial" w:hAnsi="Times New Roman" w:cs="Times New Roman"/>
          <w:color w:val="000000" w:themeColor="text1"/>
        </w:rPr>
        <w:t xml:space="preserve">necessary </w:t>
      </w:r>
      <w:r w:rsidRPr="00FE6FE9">
        <w:rPr>
          <w:rFonts w:ascii="Times New Roman" w:eastAsia="Arial" w:hAnsi="Times New Roman" w:cs="Times New Roman"/>
          <w:color w:val="000000" w:themeColor="text1"/>
        </w:rPr>
        <w:t>to protect creative projects</w:t>
      </w:r>
      <w:r>
        <w:rPr>
          <w:rFonts w:ascii="Times New Roman" w:eastAsia="Arial" w:hAnsi="Times New Roman" w:cs="Times New Roman"/>
          <w:color w:val="000000" w:themeColor="text1"/>
        </w:rPr>
        <w:t xml:space="preserve"> and </w:t>
      </w:r>
      <w:r w:rsidRPr="00FE6FE9">
        <w:rPr>
          <w:rFonts w:ascii="Times New Roman" w:eastAsia="Arial" w:hAnsi="Times New Roman" w:cs="Times New Roman"/>
          <w:color w:val="000000" w:themeColor="text1"/>
        </w:rPr>
        <w:t xml:space="preserve">a strong law enforcement system to combat pirated works </w:t>
      </w:r>
      <w:r>
        <w:rPr>
          <w:rFonts w:ascii="Times New Roman" w:eastAsia="Arial" w:hAnsi="Times New Roman" w:cs="Times New Roman"/>
          <w:color w:val="000000" w:themeColor="text1"/>
        </w:rPr>
        <w:t>are</w:t>
      </w:r>
      <w:r w:rsidRPr="00FE6FE9">
        <w:rPr>
          <w:rFonts w:ascii="Times New Roman" w:eastAsia="Arial" w:hAnsi="Times New Roman" w:cs="Times New Roman"/>
          <w:color w:val="000000" w:themeColor="text1"/>
        </w:rPr>
        <w:t xml:space="preserve"> </w:t>
      </w:r>
      <w:r>
        <w:rPr>
          <w:rFonts w:ascii="Times New Roman" w:eastAsia="Arial" w:hAnsi="Times New Roman" w:cs="Times New Roman"/>
          <w:color w:val="000000" w:themeColor="text1"/>
        </w:rPr>
        <w:t>features that are proven</w:t>
      </w:r>
      <w:r w:rsidRPr="00FE6FE9">
        <w:rPr>
          <w:rFonts w:ascii="Times New Roman" w:eastAsia="Arial" w:hAnsi="Times New Roman" w:cs="Times New Roman"/>
          <w:color w:val="000000" w:themeColor="text1"/>
        </w:rPr>
        <w:t xml:space="preserve"> to </w:t>
      </w:r>
      <w:r>
        <w:rPr>
          <w:rFonts w:ascii="Times New Roman" w:eastAsia="Arial" w:hAnsi="Times New Roman" w:cs="Times New Roman"/>
          <w:color w:val="000000" w:themeColor="text1"/>
        </w:rPr>
        <w:t>attract FDI to a country</w:t>
      </w:r>
      <w:r w:rsidRPr="00FE6FE9">
        <w:rPr>
          <w:rFonts w:ascii="Times New Roman" w:eastAsia="Arial" w:hAnsi="Times New Roman" w:cs="Times New Roman"/>
          <w:color w:val="000000" w:themeColor="text1"/>
        </w:rPr>
        <w:t>.</w:t>
      </w:r>
      <w:r w:rsidRPr="00FE6FE9">
        <w:rPr>
          <w:rStyle w:val="FootnoteReference"/>
          <w:rFonts w:ascii="Times New Roman" w:eastAsia="Arial" w:hAnsi="Times New Roman" w:cs="Times New Roman"/>
          <w:color w:val="000000" w:themeColor="text1"/>
        </w:rPr>
        <w:footnoteReference w:id="4"/>
      </w:r>
      <w:r>
        <w:rPr>
          <w:rFonts w:ascii="Times New Roman" w:eastAsia="Arial" w:hAnsi="Times New Roman" w:cs="Times New Roman"/>
          <w:color w:val="000000" w:themeColor="text1"/>
        </w:rPr>
        <w:t xml:space="preserve"> </w:t>
      </w:r>
    </w:p>
    <w:p w14:paraId="1F24FB0F" w14:textId="77777777" w:rsidR="00CE41A1" w:rsidRPr="00E443CC" w:rsidRDefault="00CE41A1" w:rsidP="00CE41A1">
      <w:pPr>
        <w:rPr>
          <w:rFonts w:ascii="Times New Roman" w:eastAsia="Arial" w:hAnsi="Times New Roman" w:cs="Times New Roman"/>
          <w:b/>
          <w:bCs/>
          <w:u w:val="single"/>
        </w:rPr>
      </w:pPr>
      <w:r w:rsidRPr="00E443CC">
        <w:rPr>
          <w:rFonts w:ascii="Times New Roman" w:eastAsia="Arial" w:hAnsi="Times New Roman" w:cs="Times New Roman"/>
          <w:b/>
          <w:bCs/>
          <w:u w:val="single"/>
        </w:rPr>
        <w:t>PROPOSAL</w:t>
      </w:r>
    </w:p>
    <w:p w14:paraId="68C04058" w14:textId="77777777" w:rsidR="00CE41A1" w:rsidRDefault="00CE41A1" w:rsidP="00CE41A1">
      <w:pPr>
        <w:rPr>
          <w:rFonts w:ascii="Times New Roman" w:eastAsia="Arial" w:hAnsi="Times New Roman" w:cs="Times New Roman"/>
          <w:b/>
          <w:bCs/>
        </w:rPr>
      </w:pPr>
    </w:p>
    <w:p w14:paraId="32715E44" w14:textId="77777777" w:rsidR="00CE41A1" w:rsidRPr="00FE6FE9" w:rsidRDefault="00CE41A1" w:rsidP="00CE41A1">
      <w:pPr>
        <w:rPr>
          <w:rFonts w:ascii="Times New Roman" w:eastAsia="Arial" w:hAnsi="Times New Roman" w:cs="Times New Roman"/>
          <w:b/>
          <w:bCs/>
        </w:rPr>
      </w:pPr>
      <w:r w:rsidRPr="002E5938">
        <w:rPr>
          <w:rFonts w:ascii="Times New Roman" w:eastAsia="Arial" w:hAnsi="Times New Roman" w:cs="Times New Roman"/>
          <w:b/>
          <w:bCs/>
        </w:rPr>
        <w:t>C</w:t>
      </w:r>
      <w:r w:rsidRPr="00FE6FE9">
        <w:rPr>
          <w:rFonts w:ascii="Times New Roman" w:eastAsia="Arial" w:hAnsi="Times New Roman" w:cs="Times New Roman"/>
          <w:b/>
          <w:bCs/>
        </w:rPr>
        <w:t xml:space="preserve">OMPILATION STUDY </w:t>
      </w:r>
      <w:r>
        <w:rPr>
          <w:rFonts w:ascii="Times New Roman" w:eastAsia="Arial" w:hAnsi="Times New Roman" w:cs="Times New Roman"/>
          <w:b/>
          <w:bCs/>
        </w:rPr>
        <w:t xml:space="preserve">ON </w:t>
      </w:r>
      <w:r w:rsidRPr="00FE6FE9">
        <w:rPr>
          <w:rFonts w:ascii="Times New Roman" w:eastAsia="Arial" w:hAnsi="Times New Roman" w:cs="Times New Roman"/>
          <w:b/>
          <w:bCs/>
        </w:rPr>
        <w:t xml:space="preserve">THE CREATIVE INDUSTRIES AND ECONOMIC GROWTH </w:t>
      </w:r>
    </w:p>
    <w:p w14:paraId="423A1891" w14:textId="77777777" w:rsidR="00CE41A1" w:rsidRDefault="00CE41A1" w:rsidP="00CE41A1">
      <w:pPr>
        <w:rPr>
          <w:rFonts w:ascii="Times New Roman" w:eastAsia="Arial" w:hAnsi="Times New Roman" w:cs="Times New Roman"/>
        </w:rPr>
      </w:pPr>
    </w:p>
    <w:p w14:paraId="49CD3F8D" w14:textId="77777777" w:rsidR="00CE41A1" w:rsidRDefault="00CE41A1" w:rsidP="00CE41A1">
      <w:pPr>
        <w:rPr>
          <w:rFonts w:ascii="Times New Roman" w:eastAsia="Arial" w:hAnsi="Times New Roman" w:cs="Times New Roman"/>
        </w:rPr>
      </w:pPr>
      <w:r w:rsidRPr="5C96F29F">
        <w:rPr>
          <w:rFonts w:ascii="Times New Roman" w:eastAsia="Arial" w:hAnsi="Times New Roman" w:cs="Times New Roman"/>
        </w:rPr>
        <w:t xml:space="preserve">WIPO has studied the impact of copyright-based industries or creative industries in WIPO Member State economies for over two decades. In 2003, WIPO published the </w:t>
      </w:r>
      <w:r w:rsidRPr="5C96F29F">
        <w:rPr>
          <w:rFonts w:ascii="Times New Roman" w:eastAsia="Arial" w:hAnsi="Times New Roman" w:cs="Times New Roman"/>
          <w:i/>
          <w:iCs/>
        </w:rPr>
        <w:t>Guide on Surveying the Economic Contribution of the Copyright-Based Industries</w:t>
      </w:r>
      <w:r w:rsidRPr="5C96F29F">
        <w:rPr>
          <w:rFonts w:ascii="Times New Roman" w:eastAsia="Arial" w:hAnsi="Times New Roman" w:cs="Times New Roman"/>
        </w:rPr>
        <w:t xml:space="preserve"> to suggest a common framework for measuring the size of copyright-based industries that could create meaningful comparisons of these industries for policy makers, economists, and data scientists. WIPO updated the guide and accompanying methodology in 2015, noting that “[o]ver 200 researchers from around the world have contributed to the application of the methodology, adding valuable insight, introducing innovative approaches, and outlining areas for further improvement.” This methodology has been used by over 50 countries and regions, with many countries using the methodology to conduct multiple studies over the last two decades. Additionally, in 2015 and 2021, WIPO published comparison summaries of some of the findings in the individual WIPO economic </w:t>
      </w:r>
      <w:r w:rsidRPr="5C96F29F">
        <w:rPr>
          <w:rFonts w:ascii="Times New Roman" w:eastAsia="Arial" w:hAnsi="Times New Roman" w:cs="Times New Roman"/>
        </w:rPr>
        <w:lastRenderedPageBreak/>
        <w:t xml:space="preserve">studies. These summaries showed the comparative percentage of contributions by the creative industries to national GDP and employment, and the related labor productivity index which showed potential labor inefficiencies in the creative industries in certain countries. </w:t>
      </w:r>
    </w:p>
    <w:p w14:paraId="620BEBFF" w14:textId="77777777" w:rsidR="00CE41A1" w:rsidRDefault="00CE41A1" w:rsidP="00CE41A1">
      <w:pPr>
        <w:tabs>
          <w:tab w:val="center" w:pos="4680"/>
        </w:tabs>
        <w:rPr>
          <w:rFonts w:ascii="Times New Roman" w:eastAsia="Arial" w:hAnsi="Times New Roman" w:cs="Times New Roman"/>
        </w:rPr>
      </w:pPr>
    </w:p>
    <w:p w14:paraId="7E69856D" w14:textId="77777777" w:rsidR="00CE41A1" w:rsidRDefault="00CE41A1" w:rsidP="00CE41A1">
      <w:pPr>
        <w:rPr>
          <w:rFonts w:ascii="Times New Roman" w:eastAsia="Arial" w:hAnsi="Times New Roman" w:cs="Times New Roman"/>
        </w:rPr>
      </w:pPr>
      <w:r w:rsidRPr="5C96F29F">
        <w:rPr>
          <w:rFonts w:ascii="Times New Roman" w:eastAsia="Arial" w:hAnsi="Times New Roman" w:cs="Times New Roman"/>
        </w:rPr>
        <w:t xml:space="preserve">Considering the continued impactful growth of creative industries around the world and the transformative role the digital environment has played in the creation, production, and distribution of creative works, now is an opportune time to revisit and reassess the impact that creative industries have on WIPO Member State economies. Many of the existing WIPO economic studies are over a decade old and do not account for recent developments in how the creative industries operate or in how Member State governments collect data on the digital marketplace. </w:t>
      </w:r>
    </w:p>
    <w:p w14:paraId="3130A71A" w14:textId="77777777" w:rsidR="00CE41A1" w:rsidRDefault="00CE41A1" w:rsidP="00CE41A1">
      <w:pPr>
        <w:rPr>
          <w:rFonts w:ascii="Times New Roman" w:eastAsia="Arial" w:hAnsi="Times New Roman" w:cs="Times New Roman"/>
        </w:rPr>
      </w:pPr>
      <w:r>
        <w:rPr>
          <w:rFonts w:ascii="Times New Roman" w:eastAsia="Arial" w:hAnsi="Times New Roman" w:cs="Times New Roman"/>
        </w:rPr>
        <w:t xml:space="preserve">Given the explosive growth of artificial intelligence in the last three years, </w:t>
      </w:r>
      <w:r w:rsidRPr="188BBC53">
        <w:rPr>
          <w:rFonts w:ascii="Times New Roman" w:eastAsia="Arial" w:hAnsi="Times New Roman" w:cs="Times New Roman"/>
        </w:rPr>
        <w:t xml:space="preserve">it is particularly important to document and assess the economic state of the creative industries at this moment in time. Such documentation will serve as a baseline for future comparisons, and for the development of best practices for sustaining growth in creative sectors. </w:t>
      </w:r>
    </w:p>
    <w:p w14:paraId="328757B4" w14:textId="77777777" w:rsidR="00CE41A1" w:rsidRDefault="00CE41A1" w:rsidP="00CE41A1">
      <w:pPr>
        <w:rPr>
          <w:rFonts w:ascii="Times New Roman" w:eastAsia="Arial" w:hAnsi="Times New Roman" w:cs="Times New Roman"/>
        </w:rPr>
      </w:pPr>
    </w:p>
    <w:p w14:paraId="0D3C6445" w14:textId="77777777" w:rsidR="00CE41A1" w:rsidRDefault="00CE41A1" w:rsidP="00CE41A1">
      <w:pPr>
        <w:rPr>
          <w:rFonts w:ascii="Times New Roman" w:eastAsia="Arial" w:hAnsi="Times New Roman" w:cs="Times New Roman"/>
        </w:rPr>
      </w:pPr>
      <w:r w:rsidRPr="779E2282">
        <w:rPr>
          <w:rFonts w:ascii="Times New Roman" w:eastAsia="Arial" w:hAnsi="Times New Roman" w:cs="Times New Roman"/>
        </w:rPr>
        <w:t xml:space="preserve">Therefore, a new Creative Industries and Economic Growth Compilation Study (the Study), prepared by the WIPO IP and Innovation Ecosystems Sector in consultation with the Copyright and Creative Industries Sector, is proposed to reassess the previous methodology, include new measurements for the impact of the digital marketplace and to capture the current economic impact of the creative industries in WIPO Member States. </w:t>
      </w:r>
      <w:r>
        <w:rPr>
          <w:rFonts w:ascii="Times New Roman" w:eastAsia="Arial" w:hAnsi="Times New Roman" w:cs="Times New Roman"/>
        </w:rPr>
        <w:t>To ensure the study is relevant to modern economic developments and trends impacting creators and creative industries worldwide, and can serve as a non-biased and user-friendly comparative tool, the Study will have the following parameters:</w:t>
      </w:r>
    </w:p>
    <w:p w14:paraId="60DF504E" w14:textId="77777777" w:rsidR="00CE41A1" w:rsidRDefault="00CE41A1" w:rsidP="00CE41A1">
      <w:pPr>
        <w:rPr>
          <w:rFonts w:ascii="Times New Roman" w:eastAsia="Arial" w:hAnsi="Times New Roman" w:cs="Times New Roman"/>
        </w:rPr>
      </w:pPr>
    </w:p>
    <w:tbl>
      <w:tblPr>
        <w:tblStyle w:val="TableGrid"/>
        <w:tblW w:w="0" w:type="auto"/>
        <w:tblLook w:val="04A0" w:firstRow="1" w:lastRow="0" w:firstColumn="1" w:lastColumn="0" w:noHBand="0" w:noVBand="1"/>
      </w:tblPr>
      <w:tblGrid>
        <w:gridCol w:w="3593"/>
        <w:gridCol w:w="5752"/>
      </w:tblGrid>
      <w:tr w:rsidR="00CE41A1" w14:paraId="3A5425DD" w14:textId="77777777" w:rsidTr="0081214B">
        <w:tc>
          <w:tcPr>
            <w:tcW w:w="3595" w:type="dxa"/>
          </w:tcPr>
          <w:p w14:paraId="7218A4BD" w14:textId="77777777" w:rsidR="00CE41A1" w:rsidRPr="00472E53" w:rsidRDefault="00CE41A1" w:rsidP="0081214B">
            <w:pPr>
              <w:rPr>
                <w:rFonts w:ascii="Times New Roman" w:eastAsia="Arial" w:hAnsi="Times New Roman" w:cs="Times New Roman"/>
                <w:b/>
                <w:bCs/>
              </w:rPr>
            </w:pPr>
            <w:r w:rsidRPr="00472E53">
              <w:rPr>
                <w:rFonts w:ascii="Times New Roman" w:eastAsia="Arial" w:hAnsi="Times New Roman" w:cs="Times New Roman"/>
                <w:b/>
                <w:bCs/>
              </w:rPr>
              <w:t>Parameter</w:t>
            </w:r>
          </w:p>
        </w:tc>
        <w:tc>
          <w:tcPr>
            <w:tcW w:w="5755" w:type="dxa"/>
          </w:tcPr>
          <w:p w14:paraId="3674CFC9" w14:textId="77777777" w:rsidR="00CE41A1" w:rsidRPr="00472E53" w:rsidRDefault="00CE41A1" w:rsidP="0081214B">
            <w:pPr>
              <w:rPr>
                <w:rFonts w:ascii="Times New Roman" w:eastAsia="Arial" w:hAnsi="Times New Roman" w:cs="Times New Roman"/>
                <w:b/>
                <w:bCs/>
              </w:rPr>
            </w:pPr>
            <w:r w:rsidRPr="00472E53">
              <w:rPr>
                <w:rFonts w:ascii="Times New Roman" w:eastAsia="Arial" w:hAnsi="Times New Roman" w:cs="Times New Roman"/>
                <w:b/>
                <w:bCs/>
              </w:rPr>
              <w:t>Description</w:t>
            </w:r>
          </w:p>
        </w:tc>
      </w:tr>
      <w:tr w:rsidR="00CE41A1" w14:paraId="2A90E6AD" w14:textId="77777777" w:rsidTr="0081214B">
        <w:tc>
          <w:tcPr>
            <w:tcW w:w="3595" w:type="dxa"/>
          </w:tcPr>
          <w:p w14:paraId="493D72F1" w14:textId="77777777" w:rsidR="00CE41A1" w:rsidRDefault="00CE41A1" w:rsidP="0081214B">
            <w:pPr>
              <w:rPr>
                <w:rFonts w:ascii="Times New Roman" w:eastAsia="Arial" w:hAnsi="Times New Roman" w:cs="Times New Roman"/>
              </w:rPr>
            </w:pPr>
            <w:r>
              <w:rPr>
                <w:rFonts w:ascii="Times New Roman" w:eastAsia="Arial" w:hAnsi="Times New Roman" w:cs="Times New Roman"/>
              </w:rPr>
              <w:t>Methodology</w:t>
            </w:r>
          </w:p>
        </w:tc>
        <w:tc>
          <w:tcPr>
            <w:tcW w:w="5755" w:type="dxa"/>
          </w:tcPr>
          <w:p w14:paraId="556F515B" w14:textId="77777777" w:rsidR="00CE41A1" w:rsidRDefault="00CE41A1" w:rsidP="0081214B">
            <w:pPr>
              <w:rPr>
                <w:rFonts w:ascii="Times New Roman" w:eastAsia="Arial" w:hAnsi="Times New Roman" w:cs="Times New Roman"/>
              </w:rPr>
            </w:pPr>
            <w:r>
              <w:rPr>
                <w:rFonts w:ascii="Times New Roman" w:eastAsia="Arial" w:hAnsi="Times New Roman" w:cs="Times New Roman"/>
              </w:rPr>
              <w:t xml:space="preserve">The Study will follow all definitions and calculations provided by the </w:t>
            </w:r>
            <w:r w:rsidRPr="00BC03E4">
              <w:rPr>
                <w:rFonts w:ascii="Times New Roman" w:eastAsia="Arial" w:hAnsi="Times New Roman" w:cs="Times New Roman"/>
              </w:rPr>
              <w:t>2015</w:t>
            </w:r>
            <w:r>
              <w:rPr>
                <w:rFonts w:ascii="Times New Roman" w:eastAsia="Arial" w:hAnsi="Times New Roman" w:cs="Times New Roman"/>
              </w:rPr>
              <w:t xml:space="preserve"> </w:t>
            </w:r>
            <w:r w:rsidRPr="00BC03E4">
              <w:rPr>
                <w:rFonts w:ascii="Times New Roman" w:eastAsia="Arial" w:hAnsi="Times New Roman" w:cs="Times New Roman"/>
                <w:i/>
                <w:iCs/>
              </w:rPr>
              <w:t>WIPO Guide on Surveying the Economic Contribution of the Copyright-based Industries</w:t>
            </w:r>
            <w:r>
              <w:rPr>
                <w:rFonts w:ascii="Times New Roman" w:eastAsia="Arial" w:hAnsi="Times New Roman" w:cs="Times New Roman"/>
                <w:i/>
                <w:iCs/>
              </w:rPr>
              <w:t>.</w:t>
            </w:r>
          </w:p>
        </w:tc>
      </w:tr>
      <w:tr w:rsidR="00CE41A1" w14:paraId="647E045F" w14:textId="77777777" w:rsidTr="0081214B">
        <w:tc>
          <w:tcPr>
            <w:tcW w:w="3595" w:type="dxa"/>
          </w:tcPr>
          <w:p w14:paraId="13EE53CA" w14:textId="77777777" w:rsidR="00CE41A1" w:rsidRDefault="00CE41A1" w:rsidP="0081214B">
            <w:pPr>
              <w:rPr>
                <w:rFonts w:ascii="Times New Roman" w:eastAsia="Arial" w:hAnsi="Times New Roman" w:cs="Times New Roman"/>
              </w:rPr>
            </w:pPr>
            <w:r>
              <w:rPr>
                <w:rFonts w:ascii="Times New Roman" w:eastAsia="Arial" w:hAnsi="Times New Roman" w:cs="Times New Roman"/>
              </w:rPr>
              <w:t>Data Sets</w:t>
            </w:r>
          </w:p>
        </w:tc>
        <w:tc>
          <w:tcPr>
            <w:tcW w:w="5755" w:type="dxa"/>
          </w:tcPr>
          <w:p w14:paraId="39113729" w14:textId="77777777" w:rsidR="00CE41A1" w:rsidRDefault="00CE41A1" w:rsidP="0081214B">
            <w:pPr>
              <w:rPr>
                <w:rFonts w:ascii="Times New Roman" w:eastAsia="Arial" w:hAnsi="Times New Roman" w:cs="Times New Roman"/>
              </w:rPr>
            </w:pPr>
            <w:r w:rsidRPr="779E2282">
              <w:rPr>
                <w:rFonts w:ascii="Times New Roman" w:eastAsia="Arial" w:hAnsi="Times New Roman" w:cs="Times New Roman"/>
              </w:rPr>
              <w:t xml:space="preserve">Data used by Member States to calculate Study findings must come from </w:t>
            </w:r>
            <w:r>
              <w:rPr>
                <w:rFonts w:ascii="Times New Roman" w:eastAsia="Arial" w:hAnsi="Times New Roman" w:cs="Times New Roman"/>
              </w:rPr>
              <w:t xml:space="preserve">the most recently available </w:t>
            </w:r>
            <w:r w:rsidRPr="779E2282">
              <w:rPr>
                <w:rFonts w:ascii="Times New Roman" w:eastAsia="Arial" w:hAnsi="Times New Roman" w:cs="Times New Roman"/>
              </w:rPr>
              <w:t xml:space="preserve">national economic data </w:t>
            </w:r>
            <w:r>
              <w:rPr>
                <w:rFonts w:ascii="Times New Roman" w:eastAsia="Arial" w:hAnsi="Times New Roman" w:cs="Times New Roman"/>
              </w:rPr>
              <w:t xml:space="preserve">when </w:t>
            </w:r>
            <w:r w:rsidRPr="779E2282">
              <w:rPr>
                <w:rFonts w:ascii="Times New Roman" w:eastAsia="Arial" w:hAnsi="Times New Roman" w:cs="Times New Roman"/>
              </w:rPr>
              <w:t xml:space="preserve">this study </w:t>
            </w:r>
            <w:r>
              <w:rPr>
                <w:rFonts w:ascii="Times New Roman" w:eastAsia="Arial" w:hAnsi="Times New Roman" w:cs="Times New Roman"/>
              </w:rPr>
              <w:t>was approved</w:t>
            </w:r>
            <w:r w:rsidRPr="779E2282">
              <w:rPr>
                <w:rFonts w:ascii="Times New Roman" w:eastAsia="Arial" w:hAnsi="Times New Roman" w:cs="Times New Roman"/>
              </w:rPr>
              <w:t>.</w:t>
            </w:r>
          </w:p>
        </w:tc>
      </w:tr>
      <w:tr w:rsidR="00CE41A1" w14:paraId="22D12330" w14:textId="77777777" w:rsidTr="0081214B">
        <w:tc>
          <w:tcPr>
            <w:tcW w:w="3595" w:type="dxa"/>
          </w:tcPr>
          <w:p w14:paraId="517AA09B" w14:textId="77777777" w:rsidR="00CE41A1" w:rsidRDefault="00CE41A1" w:rsidP="0081214B">
            <w:pPr>
              <w:rPr>
                <w:rFonts w:ascii="Times New Roman" w:eastAsia="Arial" w:hAnsi="Times New Roman" w:cs="Times New Roman"/>
              </w:rPr>
            </w:pPr>
            <w:r>
              <w:rPr>
                <w:rFonts w:ascii="Times New Roman" w:eastAsia="Arial" w:hAnsi="Times New Roman" w:cs="Times New Roman"/>
              </w:rPr>
              <w:t>Measured Outcomes</w:t>
            </w:r>
          </w:p>
        </w:tc>
        <w:tc>
          <w:tcPr>
            <w:tcW w:w="5755" w:type="dxa"/>
          </w:tcPr>
          <w:p w14:paraId="687029F5" w14:textId="77777777" w:rsidR="00CE41A1" w:rsidRDefault="00CE41A1" w:rsidP="0081214B">
            <w:pPr>
              <w:rPr>
                <w:rFonts w:ascii="Times New Roman" w:eastAsia="Arial" w:hAnsi="Times New Roman" w:cs="Times New Roman"/>
              </w:rPr>
            </w:pPr>
            <w:r w:rsidRPr="779E2282">
              <w:rPr>
                <w:rFonts w:ascii="Times New Roman" w:eastAsia="Arial" w:hAnsi="Times New Roman" w:cs="Times New Roman"/>
              </w:rPr>
              <w:t>Each Member State participant covered in the Study should, to the extent possible, provide the following information for the three-year period specified above:</w:t>
            </w:r>
          </w:p>
          <w:p w14:paraId="32067911"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r w:rsidRPr="5C96F29F">
              <w:rPr>
                <w:rFonts w:ascii="Times New Roman" w:eastAsia="Arial" w:hAnsi="Times New Roman" w:cs="Times New Roman"/>
              </w:rPr>
              <w:t>the contribution of copyright industries to GDP (as a percentage)</w:t>
            </w:r>
          </w:p>
          <w:p w14:paraId="3D5F4B94"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r>
              <w:rPr>
                <w:rFonts w:ascii="Times New Roman" w:eastAsia="Arial" w:hAnsi="Times New Roman" w:cs="Times New Roman"/>
              </w:rPr>
              <w:t>the contribution of copyright industries to national employment (as a percentage)</w:t>
            </w:r>
          </w:p>
          <w:p w14:paraId="0BE354C5"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r>
              <w:rPr>
                <w:rFonts w:ascii="Times New Roman" w:eastAsia="Arial" w:hAnsi="Times New Roman" w:cs="Times New Roman"/>
              </w:rPr>
              <w:t>the contribution of copyright industries to exports (as a percentage)</w:t>
            </w:r>
          </w:p>
          <w:p w14:paraId="2B37C18A"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r w:rsidRPr="5C96F29F">
              <w:rPr>
                <w:rFonts w:ascii="Times New Roman" w:eastAsia="Arial" w:hAnsi="Times New Roman" w:cs="Times New Roman"/>
              </w:rPr>
              <w:t>the compensation paid to copyright industry workers (as a percentage compared to non-copyright industry workers)</w:t>
            </w:r>
          </w:p>
          <w:p w14:paraId="150898E9"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r>
              <w:rPr>
                <w:rFonts w:ascii="Times New Roman" w:eastAsia="Arial" w:hAnsi="Times New Roman" w:cs="Times New Roman"/>
              </w:rPr>
              <w:t>the membership in and implementation of WIPO treaties specifically enumerated</w:t>
            </w:r>
          </w:p>
          <w:p w14:paraId="05DEEAF4" w14:textId="77777777" w:rsidR="00CE41A1" w:rsidRDefault="00CE41A1" w:rsidP="0081214B">
            <w:pPr>
              <w:rPr>
                <w:rFonts w:ascii="Times New Roman" w:eastAsia="Arial" w:hAnsi="Times New Roman" w:cs="Times New Roman"/>
              </w:rPr>
            </w:pPr>
          </w:p>
          <w:p w14:paraId="53E850FB" w14:textId="77777777" w:rsidR="00CE41A1" w:rsidRDefault="00CE41A1" w:rsidP="0081214B">
            <w:pPr>
              <w:rPr>
                <w:rFonts w:ascii="Times New Roman" w:eastAsia="Arial" w:hAnsi="Times New Roman" w:cs="Times New Roman"/>
              </w:rPr>
            </w:pPr>
            <w:r>
              <w:rPr>
                <w:rFonts w:ascii="Times New Roman" w:eastAsia="Arial" w:hAnsi="Times New Roman" w:cs="Times New Roman"/>
              </w:rPr>
              <w:t>Using the Member State provided data above, the Study will also calculate the following, for the three-year period specified above:</w:t>
            </w:r>
          </w:p>
          <w:p w14:paraId="12778BD2"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r>
              <w:rPr>
                <w:rFonts w:ascii="Times New Roman" w:eastAsia="Arial" w:hAnsi="Times New Roman" w:cs="Times New Roman"/>
              </w:rPr>
              <w:t xml:space="preserve">the growth rate of the contribution of copyright industries to GDP </w:t>
            </w:r>
          </w:p>
          <w:p w14:paraId="0F3BBA94"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r>
              <w:rPr>
                <w:rFonts w:ascii="Times New Roman" w:eastAsia="Arial" w:hAnsi="Times New Roman" w:cs="Times New Roman"/>
              </w:rPr>
              <w:t xml:space="preserve">the growth rate of the contribution of copyright industries to national employment </w:t>
            </w:r>
          </w:p>
          <w:p w14:paraId="01717797"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r>
              <w:rPr>
                <w:rFonts w:ascii="Times New Roman" w:eastAsia="Arial" w:hAnsi="Times New Roman" w:cs="Times New Roman"/>
              </w:rPr>
              <w:lastRenderedPageBreak/>
              <w:t xml:space="preserve">the growth rate of the contribution of copyright industries to exports </w:t>
            </w:r>
          </w:p>
          <w:p w14:paraId="79059BB1"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r>
              <w:rPr>
                <w:rFonts w:ascii="Times New Roman" w:eastAsia="Arial" w:hAnsi="Times New Roman" w:cs="Times New Roman"/>
              </w:rPr>
              <w:t xml:space="preserve">the growth rate of the compensation paid to copyright industry workers </w:t>
            </w:r>
          </w:p>
          <w:p w14:paraId="6732CC36" w14:textId="77777777" w:rsidR="00CE41A1" w:rsidRDefault="00CE41A1" w:rsidP="00CE41A1">
            <w:pPr>
              <w:pStyle w:val="ListParagraph"/>
              <w:numPr>
                <w:ilvl w:val="0"/>
                <w:numId w:val="7"/>
              </w:numPr>
              <w:spacing w:after="0" w:line="240" w:lineRule="auto"/>
              <w:rPr>
                <w:rFonts w:ascii="Times New Roman" w:eastAsia="Arial" w:hAnsi="Times New Roman" w:cs="Times New Roman"/>
              </w:rPr>
            </w:pPr>
          </w:p>
        </w:tc>
      </w:tr>
      <w:tr w:rsidR="00CE41A1" w14:paraId="26A7C1B0" w14:textId="77777777" w:rsidTr="0081214B">
        <w:tc>
          <w:tcPr>
            <w:tcW w:w="3595" w:type="dxa"/>
          </w:tcPr>
          <w:p w14:paraId="4C3FADAC" w14:textId="77777777" w:rsidR="00CE41A1" w:rsidRDefault="00CE41A1" w:rsidP="0081214B">
            <w:pPr>
              <w:rPr>
                <w:rFonts w:ascii="Times New Roman" w:eastAsia="Arial" w:hAnsi="Times New Roman" w:cs="Times New Roman"/>
              </w:rPr>
            </w:pPr>
            <w:r>
              <w:rPr>
                <w:rFonts w:ascii="Times New Roman" w:eastAsia="Arial" w:hAnsi="Times New Roman" w:cs="Times New Roman"/>
              </w:rPr>
              <w:lastRenderedPageBreak/>
              <w:t>Participation</w:t>
            </w:r>
          </w:p>
        </w:tc>
        <w:tc>
          <w:tcPr>
            <w:tcW w:w="5755" w:type="dxa"/>
          </w:tcPr>
          <w:p w14:paraId="41F67308" w14:textId="77777777" w:rsidR="00CE41A1" w:rsidRDefault="00CE41A1" w:rsidP="0081214B">
            <w:pPr>
              <w:rPr>
                <w:rFonts w:ascii="Times New Roman" w:eastAsia="Arial" w:hAnsi="Times New Roman" w:cs="Times New Roman"/>
              </w:rPr>
            </w:pPr>
            <w:r w:rsidRPr="779E2282">
              <w:rPr>
                <w:rFonts w:ascii="Times New Roman" w:eastAsia="Arial" w:hAnsi="Times New Roman" w:cs="Times New Roman"/>
              </w:rPr>
              <w:t>Open to all Member States.</w:t>
            </w:r>
          </w:p>
        </w:tc>
      </w:tr>
    </w:tbl>
    <w:p w14:paraId="0CBE573B" w14:textId="77777777" w:rsidR="00CE41A1" w:rsidRDefault="00CE41A1" w:rsidP="00CE41A1">
      <w:pPr>
        <w:rPr>
          <w:rFonts w:ascii="Times New Roman" w:eastAsia="Arial" w:hAnsi="Times New Roman" w:cs="Times New Roman"/>
        </w:rPr>
      </w:pPr>
    </w:p>
    <w:p w14:paraId="161F8599" w14:textId="77777777" w:rsidR="00CE41A1" w:rsidRDefault="00CE41A1" w:rsidP="00CE41A1">
      <w:pPr>
        <w:rPr>
          <w:rFonts w:ascii="Times New Roman" w:eastAsia="Arial" w:hAnsi="Times New Roman" w:cs="Times New Roman"/>
        </w:rPr>
      </w:pPr>
    </w:p>
    <w:p w14:paraId="243248F2" w14:textId="77777777" w:rsidR="00CE41A1" w:rsidRPr="00FE6FE9" w:rsidRDefault="00CE41A1" w:rsidP="00CE41A1">
      <w:pPr>
        <w:rPr>
          <w:rFonts w:ascii="Times New Roman" w:eastAsia="Arial" w:hAnsi="Times New Roman" w:cs="Times New Roman"/>
        </w:rPr>
      </w:pPr>
    </w:p>
    <w:p w14:paraId="7D25212F" w14:textId="77777777" w:rsidR="00CE41A1" w:rsidRPr="00FE6FE9" w:rsidRDefault="00CE41A1" w:rsidP="00CE41A1">
      <w:pPr>
        <w:ind w:left="6237" w:firstLine="567"/>
        <w:rPr>
          <w:rFonts w:ascii="Times New Roman" w:eastAsia="Arial" w:hAnsi="Times New Roman" w:cs="Times New Roman"/>
        </w:rPr>
      </w:pPr>
      <w:r w:rsidRPr="00295DE7">
        <w:rPr>
          <w:rFonts w:ascii="Times New Roman" w:eastAsia="Arial" w:hAnsi="Times New Roman" w:cs="Times New Roman"/>
        </w:rPr>
        <w:t>[End of document]</w:t>
      </w:r>
    </w:p>
    <w:p w14:paraId="47AB4E4D" w14:textId="77777777" w:rsidR="002928D3" w:rsidRDefault="002928D3" w:rsidP="003D352A">
      <w:pPr>
        <w:spacing w:after="220"/>
      </w:pPr>
    </w:p>
    <w:sectPr w:rsidR="002928D3" w:rsidSect="00CE41A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BB90A" w14:textId="77777777" w:rsidR="00CE41A1" w:rsidRDefault="00CE41A1">
      <w:r>
        <w:separator/>
      </w:r>
    </w:p>
  </w:endnote>
  <w:endnote w:type="continuationSeparator" w:id="0">
    <w:p w14:paraId="48366263" w14:textId="77777777" w:rsidR="00CE41A1" w:rsidRDefault="00CE41A1" w:rsidP="003B38C1">
      <w:r>
        <w:separator/>
      </w:r>
    </w:p>
    <w:p w14:paraId="696941B6" w14:textId="77777777" w:rsidR="00CE41A1" w:rsidRPr="003B38C1" w:rsidRDefault="00CE41A1" w:rsidP="003B38C1">
      <w:pPr>
        <w:spacing w:after="60"/>
        <w:rPr>
          <w:sz w:val="17"/>
        </w:rPr>
      </w:pPr>
      <w:r>
        <w:rPr>
          <w:sz w:val="17"/>
        </w:rPr>
        <w:t>[Endnote continued from previous page]</w:t>
      </w:r>
    </w:p>
  </w:endnote>
  <w:endnote w:type="continuationNotice" w:id="1">
    <w:p w14:paraId="65F9E96C" w14:textId="77777777" w:rsidR="00CE41A1" w:rsidRPr="003B38C1" w:rsidRDefault="00CE41A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CCD82" w14:textId="77777777" w:rsidR="00CE41A1" w:rsidRDefault="00CE41A1">
      <w:r>
        <w:separator/>
      </w:r>
    </w:p>
  </w:footnote>
  <w:footnote w:type="continuationSeparator" w:id="0">
    <w:p w14:paraId="1D2D689D" w14:textId="77777777" w:rsidR="00CE41A1" w:rsidRDefault="00CE41A1" w:rsidP="008B60B2">
      <w:r>
        <w:separator/>
      </w:r>
    </w:p>
    <w:p w14:paraId="721321D4" w14:textId="77777777" w:rsidR="00CE41A1" w:rsidRPr="00ED77FB" w:rsidRDefault="00CE41A1" w:rsidP="008B60B2">
      <w:pPr>
        <w:spacing w:after="60"/>
        <w:rPr>
          <w:sz w:val="17"/>
          <w:szCs w:val="17"/>
        </w:rPr>
      </w:pPr>
      <w:r w:rsidRPr="00ED77FB">
        <w:rPr>
          <w:sz w:val="17"/>
          <w:szCs w:val="17"/>
        </w:rPr>
        <w:t>[Footnote continued from previous page]</w:t>
      </w:r>
    </w:p>
  </w:footnote>
  <w:footnote w:type="continuationNotice" w:id="1">
    <w:p w14:paraId="6D522306" w14:textId="77777777" w:rsidR="00CE41A1" w:rsidRPr="00ED77FB" w:rsidRDefault="00CE41A1" w:rsidP="008B60B2">
      <w:pPr>
        <w:spacing w:before="60"/>
        <w:jc w:val="right"/>
        <w:rPr>
          <w:sz w:val="17"/>
          <w:szCs w:val="17"/>
        </w:rPr>
      </w:pPr>
      <w:r w:rsidRPr="00ED77FB">
        <w:rPr>
          <w:sz w:val="17"/>
          <w:szCs w:val="17"/>
        </w:rPr>
        <w:t>[Footnote continued on next page]</w:t>
      </w:r>
    </w:p>
  </w:footnote>
  <w:footnote w:id="2">
    <w:p w14:paraId="14771578" w14:textId="77777777" w:rsidR="00CE41A1" w:rsidRPr="00C1607D" w:rsidRDefault="00CE41A1" w:rsidP="00CE41A1">
      <w:pPr>
        <w:pStyle w:val="FootnoteText"/>
        <w:rPr>
          <w:rFonts w:ascii="Times New Roman" w:hAnsi="Times New Roman" w:cs="Times New Roman"/>
          <w:szCs w:val="18"/>
        </w:rPr>
      </w:pPr>
      <w:r w:rsidRPr="00C1607D">
        <w:rPr>
          <w:rStyle w:val="FootnoteReference"/>
          <w:rFonts w:ascii="Times New Roman" w:hAnsi="Times New Roman" w:cs="Times New Roman"/>
          <w:szCs w:val="18"/>
        </w:rPr>
        <w:footnoteRef/>
      </w:r>
      <w:r w:rsidRPr="00C1607D">
        <w:rPr>
          <w:rFonts w:ascii="Times New Roman" w:hAnsi="Times New Roman" w:cs="Times New Roman"/>
          <w:szCs w:val="18"/>
        </w:rPr>
        <w:t xml:space="preserve"> </w:t>
      </w:r>
      <w:hyperlink r:id="rId1" w:history="1">
        <w:r w:rsidRPr="00C1607D">
          <w:rPr>
            <w:rStyle w:val="Hyperlink"/>
            <w:rFonts w:ascii="Times New Roman" w:hAnsi="Times New Roman" w:cs="Times New Roman"/>
            <w:szCs w:val="18"/>
          </w:rPr>
          <w:t>https://www.wipo.int/en/web/copyright/economic-performance</w:t>
        </w:r>
      </w:hyperlink>
      <w:r w:rsidRPr="00C1607D">
        <w:rPr>
          <w:rFonts w:ascii="Times New Roman" w:hAnsi="Times New Roman" w:cs="Times New Roman"/>
          <w:szCs w:val="18"/>
        </w:rPr>
        <w:t>.</w:t>
      </w:r>
    </w:p>
  </w:footnote>
  <w:footnote w:id="3">
    <w:p w14:paraId="377F46C7" w14:textId="77777777" w:rsidR="00CE41A1" w:rsidRPr="00C1607D" w:rsidRDefault="00CE41A1" w:rsidP="00CE41A1">
      <w:pPr>
        <w:pStyle w:val="FootnoteText"/>
        <w:rPr>
          <w:rFonts w:ascii="Times New Roman" w:eastAsia="Arial" w:hAnsi="Times New Roman" w:cs="Times New Roman"/>
          <w:szCs w:val="18"/>
        </w:rPr>
      </w:pPr>
      <w:r w:rsidRPr="00C1607D">
        <w:rPr>
          <w:rStyle w:val="FootnoteReference"/>
          <w:rFonts w:ascii="Times New Roman" w:eastAsia="Arial" w:hAnsi="Times New Roman" w:cs="Times New Roman"/>
          <w:szCs w:val="18"/>
        </w:rPr>
        <w:footnoteRef/>
      </w:r>
      <w:r w:rsidRPr="00C1607D">
        <w:rPr>
          <w:rFonts w:ascii="Times New Roman" w:eastAsia="Arial" w:hAnsi="Times New Roman" w:cs="Times New Roman"/>
          <w:szCs w:val="18"/>
        </w:rPr>
        <w:t xml:space="preserve"> </w:t>
      </w:r>
      <w:r w:rsidRPr="00C1607D">
        <w:rPr>
          <w:rFonts w:ascii="Times New Roman" w:eastAsia="Arial" w:hAnsi="Times New Roman" w:cs="Times New Roman"/>
          <w:color w:val="000000" w:themeColor="text1"/>
          <w:szCs w:val="18"/>
        </w:rPr>
        <w:t>Watt, Richard,</w:t>
      </w:r>
      <w:r w:rsidRPr="00C1607D">
        <w:rPr>
          <w:rFonts w:ascii="Times New Roman" w:eastAsia="Arial" w:hAnsi="Times New Roman" w:cs="Times New Roman"/>
          <w:i/>
          <w:iCs/>
          <w:color w:val="000000" w:themeColor="text1"/>
          <w:szCs w:val="18"/>
        </w:rPr>
        <w:t xml:space="preserve"> An Empirical Analysis on the Benefits of Copyright</w:t>
      </w:r>
      <w:r w:rsidRPr="00C1607D">
        <w:rPr>
          <w:rFonts w:ascii="Times New Roman" w:eastAsia="Arial" w:hAnsi="Times New Roman" w:cs="Times New Roman"/>
          <w:color w:val="000000" w:themeColor="text1"/>
          <w:szCs w:val="18"/>
        </w:rPr>
        <w:t xml:space="preserve">, WORLD INTELLECTUAL PROPERTY ORGANIZATION 2009, available at </w:t>
      </w:r>
      <w:hyperlink r:id="rId2" w:history="1">
        <w:r w:rsidRPr="00C1607D">
          <w:rPr>
            <w:rStyle w:val="Hyperlink"/>
            <w:rFonts w:ascii="Times New Roman" w:eastAsia="Arial" w:hAnsi="Times New Roman" w:cs="Times New Roman"/>
            <w:szCs w:val="18"/>
          </w:rPr>
          <w:t>https://www.wipo.int/edocs/pubdocs/en/wipo_pub_1012-chapter3.pdf</w:t>
        </w:r>
      </w:hyperlink>
      <w:r w:rsidRPr="00C1607D">
        <w:rPr>
          <w:rFonts w:ascii="Times New Roman" w:eastAsia="Arial" w:hAnsi="Times New Roman" w:cs="Times New Roman"/>
          <w:color w:val="000000" w:themeColor="text1"/>
          <w:szCs w:val="18"/>
        </w:rPr>
        <w:t>.</w:t>
      </w:r>
      <w:r w:rsidRPr="00C1607D">
        <w:rPr>
          <w:rFonts w:ascii="Times New Roman" w:eastAsia="Arial" w:hAnsi="Times New Roman" w:cs="Times New Roman"/>
          <w:szCs w:val="18"/>
        </w:rPr>
        <w:t xml:space="preserve"> </w:t>
      </w:r>
    </w:p>
  </w:footnote>
  <w:footnote w:id="4">
    <w:p w14:paraId="28CB2440" w14:textId="77777777" w:rsidR="00CE41A1" w:rsidRPr="00C1607D" w:rsidRDefault="00CE41A1" w:rsidP="00CE41A1">
      <w:pPr>
        <w:pStyle w:val="FootnoteText"/>
        <w:shd w:val="clear" w:color="auto" w:fill="FFFFFF" w:themeFill="background1"/>
        <w:rPr>
          <w:rFonts w:ascii="Times New Roman" w:eastAsia="Arial" w:hAnsi="Times New Roman" w:cs="Times New Roman"/>
          <w:szCs w:val="18"/>
        </w:rPr>
      </w:pPr>
      <w:r w:rsidRPr="00C1607D">
        <w:rPr>
          <w:rStyle w:val="FootnoteReference"/>
          <w:rFonts w:ascii="Times New Roman" w:eastAsia="Arial" w:hAnsi="Times New Roman" w:cs="Times New Roman"/>
          <w:szCs w:val="18"/>
          <w:lang w:val="fr-FR"/>
        </w:rPr>
        <w:footnoteRef/>
      </w:r>
      <w:r w:rsidRPr="00C1607D">
        <w:rPr>
          <w:rFonts w:ascii="Times New Roman" w:eastAsia="Arial" w:hAnsi="Times New Roman" w:cs="Times New Roman"/>
          <w:szCs w:val="18"/>
        </w:rPr>
        <w:t xml:space="preserve"> Jérémie Bertrand, Joseph Lemoine, Dan Negrea, &amp; Caroline Perrin, </w:t>
      </w:r>
      <w:r w:rsidRPr="00C1607D">
        <w:rPr>
          <w:rFonts w:ascii="Times New Roman" w:eastAsia="Arial" w:hAnsi="Times New Roman" w:cs="Times New Roman"/>
          <w:i/>
          <w:iCs/>
          <w:szCs w:val="18"/>
        </w:rPr>
        <w:t>Attracting Foreign Direct Investments,</w:t>
      </w:r>
      <w:r w:rsidRPr="00C1607D">
        <w:rPr>
          <w:rFonts w:ascii="Times New Roman" w:eastAsia="Arial" w:hAnsi="Times New Roman" w:cs="Times New Roman"/>
          <w:szCs w:val="18"/>
        </w:rPr>
        <w:t xml:space="preserve"> ATLANTIC COUNCIL (15 Mar. 2024), available at </w:t>
      </w:r>
      <w:hyperlink r:id="rId3" w:history="1">
        <w:r w:rsidRPr="00C1607D">
          <w:rPr>
            <w:rStyle w:val="Hyperlink"/>
            <w:rFonts w:ascii="Times New Roman" w:eastAsia="Arial" w:hAnsi="Times New Roman" w:cs="Times New Roman"/>
            <w:szCs w:val="18"/>
          </w:rPr>
          <w:t>https://www.atlanticcouncil.org/in-depth-research-reports/report/attracting-foreign-direct-investments/</w:t>
        </w:r>
      </w:hyperlink>
      <w:r w:rsidRPr="00C1607D">
        <w:rPr>
          <w:rFonts w:ascii="Times New Roman" w:eastAsia="Arial" w:hAnsi="Times New Roman" w:cs="Times New Roma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78CAF" w14:textId="240C5725" w:rsidR="00EC4E49" w:rsidRDefault="00CE41A1" w:rsidP="00477D6B">
    <w:pPr>
      <w:jc w:val="right"/>
    </w:pPr>
    <w:bookmarkStart w:id="5" w:name="Code2"/>
    <w:bookmarkEnd w:id="5"/>
    <w:r>
      <w:t>SCCR/47/11</w:t>
    </w:r>
  </w:p>
  <w:p w14:paraId="37BCD99C"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2F50CD0" w14:textId="77777777" w:rsidR="00EC4E49" w:rsidRDefault="00EC4E49" w:rsidP="00477D6B">
    <w:pPr>
      <w:jc w:val="right"/>
    </w:pPr>
  </w:p>
  <w:p w14:paraId="6DF96AEA"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7F2637"/>
    <w:multiLevelType w:val="hybridMultilevel"/>
    <w:tmpl w:val="3670CCA8"/>
    <w:lvl w:ilvl="0" w:tplc="993C1CE8">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 w:numId="7" w16cid:durableId="12814955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1A1"/>
    <w:rsid w:val="00010F79"/>
    <w:rsid w:val="0001647B"/>
    <w:rsid w:val="00017C43"/>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3322"/>
    <w:rsid w:val="00594D27"/>
    <w:rsid w:val="00601760"/>
    <w:rsid w:val="00605827"/>
    <w:rsid w:val="00640D02"/>
    <w:rsid w:val="00646050"/>
    <w:rsid w:val="006713CA"/>
    <w:rsid w:val="00676C5C"/>
    <w:rsid w:val="00695558"/>
    <w:rsid w:val="006D5E0F"/>
    <w:rsid w:val="007058FB"/>
    <w:rsid w:val="00782CAC"/>
    <w:rsid w:val="007A198B"/>
    <w:rsid w:val="007B6A58"/>
    <w:rsid w:val="007D1613"/>
    <w:rsid w:val="008332E8"/>
    <w:rsid w:val="00873EE5"/>
    <w:rsid w:val="008B2CC1"/>
    <w:rsid w:val="008B4B5E"/>
    <w:rsid w:val="008B60B2"/>
    <w:rsid w:val="0090731E"/>
    <w:rsid w:val="00916EE2"/>
    <w:rsid w:val="00924FAA"/>
    <w:rsid w:val="009466D4"/>
    <w:rsid w:val="0095239B"/>
    <w:rsid w:val="00966A22"/>
    <w:rsid w:val="0096722F"/>
    <w:rsid w:val="00980843"/>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74666"/>
    <w:rsid w:val="00B9734B"/>
    <w:rsid w:val="00BD4BB6"/>
    <w:rsid w:val="00C00A50"/>
    <w:rsid w:val="00C11BFE"/>
    <w:rsid w:val="00C42181"/>
    <w:rsid w:val="00C94629"/>
    <w:rsid w:val="00CE41A1"/>
    <w:rsid w:val="00CE65D4"/>
    <w:rsid w:val="00D16EC4"/>
    <w:rsid w:val="00D45252"/>
    <w:rsid w:val="00D71B4D"/>
    <w:rsid w:val="00D93D55"/>
    <w:rsid w:val="00E161A2"/>
    <w:rsid w:val="00E1703C"/>
    <w:rsid w:val="00E335FE"/>
    <w:rsid w:val="00E5021F"/>
    <w:rsid w:val="00E671A6"/>
    <w:rsid w:val="00EC4E49"/>
    <w:rsid w:val="00ED77FB"/>
    <w:rsid w:val="00F021A6"/>
    <w:rsid w:val="00F11D94"/>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993FE"/>
  <w15:docId w15:val="{097ECFF5-946C-4CD3-8B53-5659B2049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E41A1"/>
    <w:pPr>
      <w:spacing w:after="160" w:line="279" w:lineRule="auto"/>
      <w:ind w:left="720"/>
      <w:contextualSpacing/>
    </w:pPr>
    <w:rPr>
      <w:rFonts w:asciiTheme="minorHAnsi" w:eastAsiaTheme="minorEastAsia" w:hAnsiTheme="minorHAnsi" w:cstheme="minorBidi"/>
      <w:sz w:val="24"/>
      <w:szCs w:val="24"/>
      <w:lang w:eastAsia="ja-JP"/>
    </w:rPr>
  </w:style>
  <w:style w:type="character" w:styleId="Hyperlink">
    <w:name w:val="Hyperlink"/>
    <w:basedOn w:val="DefaultParagraphFont"/>
    <w:uiPriority w:val="99"/>
    <w:unhideWhenUsed/>
    <w:rsid w:val="00CE41A1"/>
    <w:rPr>
      <w:color w:val="467886"/>
      <w:u w:val="single"/>
    </w:rPr>
  </w:style>
  <w:style w:type="character" w:customStyle="1" w:styleId="FootnoteTextChar">
    <w:name w:val="Footnote Text Char"/>
    <w:basedOn w:val="DefaultParagraphFont"/>
    <w:link w:val="FootnoteText"/>
    <w:uiPriority w:val="99"/>
    <w:semiHidden/>
    <w:rsid w:val="00CE41A1"/>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CE41A1"/>
    <w:rPr>
      <w:vertAlign w:val="superscript"/>
    </w:rPr>
  </w:style>
  <w:style w:type="table" w:styleId="TableGrid">
    <w:name w:val="Table Grid"/>
    <w:basedOn w:val="TableNormal"/>
    <w:uiPriority w:val="59"/>
    <w:rsid w:val="00CE41A1"/>
    <w:rPr>
      <w:rFonts w:asciiTheme="minorHAnsi" w:eastAsiaTheme="minorEastAsia" w:hAnsiTheme="minorHAnsi" w:cstheme="minorBidi"/>
      <w:sz w:val="24"/>
      <w:szCs w:val="24"/>
      <w:lang w:val="en-US"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atlanticcouncil.org/in-depth-research-reports/report/attracting-foreign-direct-investments/" TargetMode="External"/><Relationship Id="rId2" Type="http://schemas.openxmlformats.org/officeDocument/2006/relationships/hyperlink" Target="https://www.wipo.int/edocs/pubdocs/en/wipo_pub_1012-chapter3.pdf" TargetMode="External"/><Relationship Id="rId1" Type="http://schemas.openxmlformats.org/officeDocument/2006/relationships/hyperlink" Target="https://www.wipo.int/en/web/copyright/economic-perform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6</TotalTime>
  <Pages>4</Pages>
  <Words>1075</Words>
  <Characters>6399</Characters>
  <Application>Microsoft Office Word</Application>
  <DocSecurity>0</DocSecurity>
  <Lines>130</Lines>
  <Paragraphs>49</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HAIZEL Francesca</dc:creator>
  <cp:keywords>FOR OFFICIAL USE ONLY</cp:keywords>
  <cp:lastModifiedBy>HAIZEL Francesca</cp:lastModifiedBy>
  <cp:revision>2</cp:revision>
  <cp:lastPrinted>2011-02-15T11:56:00Z</cp:lastPrinted>
  <dcterms:created xsi:type="dcterms:W3CDTF">2025-12-03T08:01:00Z</dcterms:created>
  <dcterms:modified xsi:type="dcterms:W3CDTF">2025-12-03T08:16:00Z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