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4A04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67ECA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567ECA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6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</w:t>
            </w:r>
            <w:r w:rsidR="00264CB2">
              <w:rPr>
                <w:rFonts w:ascii="Arial Black" w:hAnsi="Arial Black"/>
                <w:caps/>
                <w:sz w:val="15"/>
              </w:rPr>
              <w:t>e:  NOVEMBER 6</w:t>
            </w:r>
            <w:r w:rsidR="00C336AA">
              <w:rPr>
                <w:rFonts w:ascii="Arial Black" w:hAnsi="Arial Black"/>
                <w:caps/>
                <w:sz w:val="15"/>
              </w:rPr>
              <w:t>, 2018</w:t>
            </w:r>
            <w:r w:rsidR="00C336A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C5A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3845C1" w:rsidRDefault="003845C1" w:rsidP="003845C1"/>
    <w:p w:rsidR="008B2CC1" w:rsidRPr="003845C1" w:rsidRDefault="00D60F9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Thirty-S</w:t>
      </w:r>
      <w:r w:rsidR="00CF430B">
        <w:rPr>
          <w:b/>
          <w:sz w:val="24"/>
          <w:szCs w:val="24"/>
        </w:rPr>
        <w:t>eventh</w:t>
      </w:r>
      <w:r w:rsidR="00CC5AF2">
        <w:rPr>
          <w:b/>
          <w:sz w:val="24"/>
          <w:szCs w:val="24"/>
        </w:rPr>
        <w:t xml:space="preserve"> </w:t>
      </w:r>
      <w:r w:rsidR="00CC5AF2" w:rsidRPr="003840CB">
        <w:rPr>
          <w:b/>
          <w:sz w:val="24"/>
          <w:szCs w:val="24"/>
        </w:rPr>
        <w:t>Session</w:t>
      </w:r>
    </w:p>
    <w:p w:rsidR="008B2CC1" w:rsidRPr="003845C1" w:rsidRDefault="00CC5AF2" w:rsidP="008B2CC1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 xml:space="preserve">Geneva, </w:t>
      </w:r>
      <w:r w:rsidR="004A0453">
        <w:rPr>
          <w:b/>
          <w:sz w:val="24"/>
          <w:szCs w:val="24"/>
        </w:rPr>
        <w:t xml:space="preserve">November 26 to 30, </w:t>
      </w:r>
      <w:r>
        <w:rPr>
          <w:b/>
          <w:sz w:val="24"/>
          <w:szCs w:val="24"/>
        </w:rPr>
        <w:t>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822C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Proposed </w:t>
      </w:r>
      <w:r w:rsidR="00605EDE">
        <w:rPr>
          <w:caps/>
          <w:sz w:val="24"/>
        </w:rPr>
        <w:t xml:space="preserve">MOdalities of a Study on the </w:t>
      </w:r>
      <w:r w:rsidR="000D284F">
        <w:rPr>
          <w:caps/>
          <w:sz w:val="24"/>
        </w:rPr>
        <w:t>PROTECTION OF THEATRE DIRECTORS</w:t>
      </w:r>
      <w:r w:rsidR="00605EDE">
        <w:rPr>
          <w:caps/>
          <w:sz w:val="24"/>
        </w:rPr>
        <w:t>’ RIGHTS</w:t>
      </w:r>
    </w:p>
    <w:p w:rsidR="008B2CC1" w:rsidRPr="008B2CC1" w:rsidRDefault="008B2CC1" w:rsidP="008B2CC1"/>
    <w:p w:rsidR="008B2CC1" w:rsidRPr="008B2CC1" w:rsidRDefault="00567ECA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prepared by the </w:t>
      </w:r>
      <w:r w:rsidR="00264CB2">
        <w:rPr>
          <w:i/>
        </w:rPr>
        <w:t>S</w:t>
      </w:r>
      <w:r>
        <w:rPr>
          <w:i/>
        </w:rPr>
        <w:t>ecretariat</w:t>
      </w:r>
    </w:p>
    <w:p w:rsidR="00E55F52" w:rsidRDefault="00E55F52">
      <w:r>
        <w:br w:type="page"/>
      </w:r>
    </w:p>
    <w:p w:rsidR="00E55F52" w:rsidRPr="00E55F52" w:rsidRDefault="00E55F52" w:rsidP="00E55F52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E55F52">
        <w:rPr>
          <w:bCs/>
          <w:iCs/>
          <w:caps/>
          <w:szCs w:val="28"/>
        </w:rPr>
        <w:lastRenderedPageBreak/>
        <w:t>Protection of Theatre Directors’ Rights</w:t>
      </w:r>
    </w:p>
    <w:p w:rsidR="00E55F52" w:rsidRPr="00E55F52" w:rsidRDefault="00E55F52" w:rsidP="00E55F52">
      <w:pPr>
        <w:rPr>
          <w:szCs w:val="22"/>
        </w:rPr>
      </w:pPr>
    </w:p>
    <w:p w:rsidR="00E55F52" w:rsidRPr="00E55F52" w:rsidRDefault="00E55F52" w:rsidP="00394AAB">
      <w:r w:rsidRPr="00E55F52">
        <w:rPr>
          <w:lang w:eastAsia="en-US"/>
        </w:rPr>
        <w:t xml:space="preserve">The Russian Federation </w:t>
      </w:r>
      <w:r w:rsidRPr="00E55F52">
        <w:rPr>
          <w:szCs w:val="22"/>
        </w:rPr>
        <w:t>submitted a</w:t>
      </w:r>
      <w:r w:rsidRPr="00E55F52">
        <w:rPr>
          <w:lang w:eastAsia="en-US"/>
        </w:rPr>
        <w:t xml:space="preserve"> “Proposal on the Part of the Russian Federation with Regard to Strengthening the Protection of Theatre Directors’ Rights at the International Level” </w:t>
      </w:r>
      <w:r w:rsidRPr="00E55F52">
        <w:rPr>
          <w:szCs w:val="22"/>
        </w:rPr>
        <w:t xml:space="preserve">(document </w:t>
      </w:r>
      <w:r w:rsidRPr="00E55F52">
        <w:rPr>
          <w:lang w:eastAsia="en-US"/>
        </w:rPr>
        <w:t xml:space="preserve">SCCR/35/8) </w:t>
      </w:r>
      <w:r w:rsidRPr="00E55F52">
        <w:rPr>
          <w:szCs w:val="22"/>
        </w:rPr>
        <w:t>at the 35</w:t>
      </w:r>
      <w:r w:rsidRPr="00E55F52">
        <w:rPr>
          <w:szCs w:val="22"/>
          <w:vertAlign w:val="superscript"/>
        </w:rPr>
        <w:t>th</w:t>
      </w:r>
      <w:r w:rsidRPr="00E55F52">
        <w:rPr>
          <w:szCs w:val="22"/>
        </w:rPr>
        <w:t xml:space="preserve"> session of the SCCR in November 2017.</w:t>
      </w:r>
    </w:p>
    <w:p w:rsidR="00E55F52" w:rsidRPr="00E55F52" w:rsidRDefault="00E55F52" w:rsidP="00394AAB"/>
    <w:p w:rsidR="00E55F52" w:rsidRPr="00E55F52" w:rsidRDefault="00E55F52" w:rsidP="00394AAB">
      <w:pPr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 xml:space="preserve">The Delegation made a detailed presentation of its proposal during the </w:t>
      </w:r>
      <w:r w:rsidRPr="00E55F52">
        <w:rPr>
          <w:szCs w:val="22"/>
        </w:rPr>
        <w:t>36</w:t>
      </w:r>
      <w:r w:rsidRPr="00E55F52">
        <w:rPr>
          <w:szCs w:val="22"/>
          <w:vertAlign w:val="superscript"/>
        </w:rPr>
        <w:t>th</w:t>
      </w:r>
      <w:r w:rsidRPr="00E55F52">
        <w:rPr>
          <w:szCs w:val="22"/>
        </w:rPr>
        <w:t xml:space="preserve"> session of the </w:t>
      </w:r>
      <w:r w:rsidRPr="00E55F52">
        <w:rPr>
          <w:rFonts w:eastAsiaTheme="minorHAnsi"/>
          <w:szCs w:val="22"/>
          <w:lang w:eastAsia="en-US"/>
        </w:rPr>
        <w:t xml:space="preserve">SCCR and proposed that the Committee undertake a study on this topic.  The Committee accepted the proposal and the Secretariat was asked to present the modalities of the study at the </w:t>
      </w:r>
      <w:r w:rsidRPr="00E55F52">
        <w:rPr>
          <w:szCs w:val="22"/>
        </w:rPr>
        <w:t>37</w:t>
      </w:r>
      <w:r w:rsidRPr="00E55F52">
        <w:rPr>
          <w:szCs w:val="22"/>
          <w:vertAlign w:val="superscript"/>
        </w:rPr>
        <w:t>th</w:t>
      </w:r>
      <w:r w:rsidRPr="00E55F52">
        <w:rPr>
          <w:szCs w:val="22"/>
        </w:rPr>
        <w:t xml:space="preserve"> session of the SCCR.</w:t>
      </w:r>
      <w:r w:rsidRPr="00E55F52">
        <w:rPr>
          <w:rFonts w:eastAsiaTheme="minorHAnsi"/>
          <w:szCs w:val="22"/>
          <w:lang w:eastAsia="en-US"/>
        </w:rPr>
        <w:t xml:space="preserve"> </w:t>
      </w:r>
    </w:p>
    <w:p w:rsidR="00E55F52" w:rsidRPr="00E55F52" w:rsidRDefault="00E55F52" w:rsidP="00394AAB">
      <w:pPr>
        <w:rPr>
          <w:rFonts w:eastAsiaTheme="minorHAnsi"/>
          <w:szCs w:val="22"/>
          <w:lang w:eastAsia="en-US"/>
        </w:rPr>
      </w:pPr>
    </w:p>
    <w:p w:rsidR="00E55F52" w:rsidRDefault="00E55F52" w:rsidP="00394AAB">
      <w:pPr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>It is proposed that the study be undertaken by two experts</w:t>
      </w:r>
      <w:r w:rsidR="00264CB2">
        <w:rPr>
          <w:rFonts w:eastAsiaTheme="minorHAnsi"/>
          <w:szCs w:val="22"/>
          <w:lang w:eastAsia="en-US"/>
        </w:rPr>
        <w:t>, one</w:t>
      </w:r>
      <w:r w:rsidRPr="00E55F52">
        <w:rPr>
          <w:rFonts w:eastAsiaTheme="minorHAnsi"/>
          <w:szCs w:val="22"/>
          <w:lang w:eastAsia="en-US"/>
        </w:rPr>
        <w:t xml:space="preserve"> from Canada and </w:t>
      </w:r>
      <w:r w:rsidR="00264CB2">
        <w:rPr>
          <w:rFonts w:eastAsiaTheme="minorHAnsi"/>
          <w:szCs w:val="22"/>
          <w:lang w:eastAsia="en-US"/>
        </w:rPr>
        <w:t xml:space="preserve">one </w:t>
      </w:r>
      <w:r w:rsidRPr="00E55F52">
        <w:rPr>
          <w:rFonts w:eastAsiaTheme="minorHAnsi"/>
          <w:szCs w:val="22"/>
          <w:lang w:eastAsia="en-US"/>
        </w:rPr>
        <w:t>from</w:t>
      </w:r>
      <w:r w:rsidRPr="00E55F52">
        <w:rPr>
          <w:rFonts w:eastAsiaTheme="minorHAnsi"/>
          <w:szCs w:val="22"/>
          <w:shd w:val="clear" w:color="auto" w:fill="FFFFFF"/>
          <w:lang w:eastAsia="en-US"/>
        </w:rPr>
        <w:t xml:space="preserve"> the </w:t>
      </w:r>
      <w:r w:rsidRPr="00E55F52">
        <w:rPr>
          <w:lang w:eastAsia="en-US"/>
        </w:rPr>
        <w:t>Russian Federation</w:t>
      </w:r>
      <w:r w:rsidRPr="00E55F52">
        <w:rPr>
          <w:rFonts w:eastAsiaTheme="minorHAnsi"/>
          <w:szCs w:val="22"/>
          <w:lang w:eastAsia="en-US"/>
        </w:rPr>
        <w:t>.</w:t>
      </w:r>
    </w:p>
    <w:p w:rsidR="00394AAB" w:rsidRPr="00E55F52" w:rsidRDefault="00394AAB" w:rsidP="00394AAB">
      <w:pPr>
        <w:rPr>
          <w:rFonts w:eastAsiaTheme="minorHAnsi"/>
          <w:szCs w:val="22"/>
          <w:lang w:eastAsia="en-US"/>
        </w:rPr>
      </w:pPr>
    </w:p>
    <w:p w:rsidR="00E55F52" w:rsidRDefault="00E55F52" w:rsidP="00394AAB">
      <w:pPr>
        <w:rPr>
          <w:rFonts w:eastAsiaTheme="minorHAnsi"/>
          <w:szCs w:val="22"/>
          <w:shd w:val="clear" w:color="auto" w:fill="FFFFFF"/>
          <w:lang w:eastAsia="en-US"/>
        </w:rPr>
      </w:pPr>
      <w:r w:rsidRPr="00E55F52">
        <w:rPr>
          <w:rFonts w:eastAsiaTheme="minorHAnsi"/>
          <w:szCs w:val="22"/>
          <w:lang w:eastAsia="en-US"/>
        </w:rPr>
        <w:t>Professor Ysolde Gendreau, national of Canada, is a</w:t>
      </w:r>
      <w:r w:rsidRPr="00E55F52">
        <w:rPr>
          <w:rFonts w:eastAsiaTheme="minorHAnsi"/>
          <w:szCs w:val="22"/>
          <w:shd w:val="clear" w:color="auto" w:fill="FFFFFF"/>
          <w:lang w:eastAsia="en-US"/>
        </w:rPr>
        <w:t xml:space="preserve"> graduate of McGill University and Université Paris II (Doctorate in Law) and member of the </w:t>
      </w:r>
      <w:r w:rsidRPr="00264CB2">
        <w:rPr>
          <w:rFonts w:eastAsiaTheme="minorHAnsi"/>
          <w:iCs/>
          <w:szCs w:val="22"/>
          <w:shd w:val="clear" w:color="auto" w:fill="FFFFFF"/>
          <w:lang w:eastAsia="en-US"/>
        </w:rPr>
        <w:t>Québec</w:t>
      </w:r>
      <w:r w:rsidR="00264CB2" w:rsidRPr="00264CB2">
        <w:rPr>
          <w:rFonts w:eastAsiaTheme="minorHAnsi"/>
          <w:iCs/>
          <w:szCs w:val="22"/>
          <w:shd w:val="clear" w:color="auto" w:fill="FFFFFF"/>
          <w:lang w:eastAsia="en-US"/>
        </w:rPr>
        <w:t xml:space="preserve"> Bar</w:t>
      </w:r>
      <w:r w:rsidRPr="00264CB2">
        <w:rPr>
          <w:rFonts w:eastAsiaTheme="minorHAnsi"/>
          <w:szCs w:val="22"/>
          <w:shd w:val="clear" w:color="auto" w:fill="FFFFFF"/>
          <w:lang w:eastAsia="en-US"/>
        </w:rPr>
        <w:t>.</w:t>
      </w:r>
      <w:r w:rsidR="00264CB2">
        <w:rPr>
          <w:rFonts w:eastAsiaTheme="minorHAnsi"/>
          <w:szCs w:val="22"/>
          <w:shd w:val="clear" w:color="auto" w:fill="FFFFFF"/>
          <w:lang w:eastAsia="en-US"/>
        </w:rPr>
        <w:t xml:space="preserve">  Professor </w:t>
      </w:r>
      <w:r w:rsidRPr="00E55F52">
        <w:rPr>
          <w:rFonts w:eastAsiaTheme="minorHAnsi"/>
          <w:szCs w:val="22"/>
          <w:shd w:val="clear" w:color="auto" w:fill="FFFFFF"/>
          <w:lang w:eastAsia="en-US"/>
        </w:rPr>
        <w:t xml:space="preserve">Gendreau has taught intellectual property law and competition law at the Faculty of Law of </w:t>
      </w:r>
      <w:r w:rsidR="00264CB2">
        <w:rPr>
          <w:rFonts w:eastAsiaTheme="minorHAnsi"/>
          <w:szCs w:val="22"/>
          <w:shd w:val="clear" w:color="auto" w:fill="FFFFFF"/>
          <w:lang w:eastAsia="en-US"/>
        </w:rPr>
        <w:t xml:space="preserve">the University of </w:t>
      </w:r>
      <w:r w:rsidRPr="00E55F52">
        <w:rPr>
          <w:rFonts w:eastAsiaTheme="minorHAnsi"/>
          <w:szCs w:val="22"/>
          <w:shd w:val="clear" w:color="auto" w:fill="FFFFFF"/>
          <w:lang w:eastAsia="en-US"/>
        </w:rPr>
        <w:t>Montréal since 1991</w:t>
      </w:r>
      <w:r w:rsidR="00264CB2">
        <w:rPr>
          <w:rFonts w:eastAsiaTheme="minorHAnsi"/>
          <w:szCs w:val="22"/>
          <w:shd w:val="clear" w:color="auto" w:fill="FFFFFF"/>
          <w:lang w:eastAsia="en-US"/>
        </w:rPr>
        <w:t>, as well as</w:t>
      </w:r>
      <w:r w:rsidRPr="00E55F52">
        <w:rPr>
          <w:rFonts w:eastAsiaTheme="minorHAnsi"/>
          <w:szCs w:val="22"/>
          <w:shd w:val="clear" w:color="auto" w:fill="FFFFFF"/>
          <w:lang w:eastAsia="en-US"/>
        </w:rPr>
        <w:t xml:space="preserve"> in several foreign universities.  Her research focuses on copyright from a comparative and international perspective.  She is the author of numerous publications both in Canada and abroad.</w:t>
      </w:r>
    </w:p>
    <w:p w:rsidR="00394AAB" w:rsidRPr="00E55F52" w:rsidRDefault="00394AAB" w:rsidP="00394AAB">
      <w:pPr>
        <w:rPr>
          <w:rFonts w:eastAsiaTheme="minorHAnsi"/>
          <w:szCs w:val="22"/>
          <w:shd w:val="clear" w:color="auto" w:fill="FFFFFF"/>
          <w:lang w:eastAsia="en-US"/>
        </w:rPr>
      </w:pPr>
    </w:p>
    <w:p w:rsidR="00E55F52" w:rsidRDefault="00264CB2" w:rsidP="00394AAB">
      <w:pPr>
        <w:rPr>
          <w:rFonts w:eastAsiaTheme="minorHAnsi"/>
          <w:szCs w:val="22"/>
          <w:shd w:val="clear" w:color="auto" w:fill="FFFFFF"/>
          <w:lang w:eastAsia="en-US"/>
        </w:rPr>
      </w:pPr>
      <w:r>
        <w:rPr>
          <w:rFonts w:eastAsiaTheme="minorHAnsi"/>
          <w:szCs w:val="22"/>
          <w:shd w:val="clear" w:color="auto" w:fill="FFFFFF"/>
          <w:lang w:eastAsia="en-US"/>
        </w:rPr>
        <w:t>Professor</w:t>
      </w:r>
      <w:r w:rsidR="00B72237">
        <w:rPr>
          <w:rFonts w:eastAsiaTheme="minorHAnsi"/>
          <w:szCs w:val="22"/>
          <w:shd w:val="clear" w:color="auto" w:fill="FFFFFF"/>
          <w:lang w:eastAsia="en-US"/>
        </w:rPr>
        <w:t xml:space="preserve"> 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>Anton</w:t>
      </w:r>
      <w:r w:rsidR="00B72237">
        <w:rPr>
          <w:rFonts w:eastAsiaTheme="minorHAnsi"/>
          <w:szCs w:val="22"/>
          <w:shd w:val="clear" w:color="auto" w:fill="FFFFFF"/>
          <w:lang w:eastAsia="en-US"/>
        </w:rPr>
        <w:t xml:space="preserve"> Sergo</w:t>
      </w:r>
      <w:r w:rsidR="00E55F52" w:rsidRPr="00E55F52">
        <w:rPr>
          <w:rFonts w:eastAsiaTheme="minorHAnsi"/>
          <w:szCs w:val="22"/>
          <w:lang w:eastAsia="en-US"/>
        </w:rPr>
        <w:t>, national of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 xml:space="preserve"> the </w:t>
      </w:r>
      <w:r w:rsidR="00E55F52" w:rsidRPr="00E55F52">
        <w:rPr>
          <w:szCs w:val="22"/>
          <w:lang w:eastAsia="en-US"/>
        </w:rPr>
        <w:t xml:space="preserve">Russian Federation, is a graduate of the </w:t>
      </w:r>
      <w:r w:rsidR="00E55F52" w:rsidRPr="00E55F52">
        <w:rPr>
          <w:rFonts w:eastAsiaTheme="minorHAnsi"/>
          <w:szCs w:val="22"/>
          <w:lang w:eastAsia="en-US"/>
        </w:rPr>
        <w:t>Moscow State Academy of Law</w:t>
      </w:r>
      <w:r w:rsidR="00E55F52" w:rsidRPr="00E55F52">
        <w:rPr>
          <w:szCs w:val="22"/>
          <w:lang w:eastAsia="en-US"/>
        </w:rPr>
        <w:t xml:space="preserve"> 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 xml:space="preserve">(Doctorate in Law) and </w:t>
      </w:r>
      <w:r>
        <w:rPr>
          <w:rFonts w:eastAsiaTheme="minorHAnsi"/>
          <w:szCs w:val="22"/>
          <w:shd w:val="clear" w:color="auto" w:fill="FFFFFF"/>
          <w:lang w:eastAsia="en-US"/>
        </w:rPr>
        <w:t>holds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 xml:space="preserve"> the </w:t>
      </w:r>
      <w:r>
        <w:rPr>
          <w:rFonts w:eastAsiaTheme="minorHAnsi"/>
          <w:szCs w:val="22"/>
          <w:lang w:eastAsia="en-US"/>
        </w:rPr>
        <w:t>UNESCO Chair on Copyright and O</w:t>
      </w:r>
      <w:r w:rsidR="00E55F52" w:rsidRPr="00E55F52">
        <w:rPr>
          <w:rFonts w:eastAsiaTheme="minorHAnsi"/>
          <w:szCs w:val="22"/>
          <w:lang w:eastAsia="en-US"/>
        </w:rPr>
        <w:t xml:space="preserve">ther </w:t>
      </w:r>
      <w:r>
        <w:rPr>
          <w:rFonts w:eastAsiaTheme="minorHAnsi"/>
          <w:szCs w:val="22"/>
          <w:lang w:eastAsia="en-US"/>
        </w:rPr>
        <w:t>B</w:t>
      </w:r>
      <w:r w:rsidR="00E55F52" w:rsidRPr="00E55F52">
        <w:rPr>
          <w:rFonts w:eastAsiaTheme="minorHAnsi"/>
          <w:szCs w:val="22"/>
          <w:lang w:eastAsia="en-US"/>
        </w:rPr>
        <w:t xml:space="preserve">ranches of IP </w:t>
      </w:r>
      <w:r>
        <w:rPr>
          <w:rFonts w:eastAsiaTheme="minorHAnsi"/>
          <w:szCs w:val="22"/>
          <w:lang w:eastAsia="en-US"/>
        </w:rPr>
        <w:t>Law there</w:t>
      </w:r>
      <w:r w:rsidR="00E55F52" w:rsidRPr="00E55F52">
        <w:rPr>
          <w:rFonts w:eastAsiaTheme="minorHAnsi"/>
          <w:szCs w:val="22"/>
          <w:lang w:eastAsia="en-US"/>
        </w:rPr>
        <w:t xml:space="preserve">.  He is Associate Professor of the Faculty </w:t>
      </w:r>
      <w:r>
        <w:rPr>
          <w:rFonts w:eastAsiaTheme="minorHAnsi"/>
          <w:szCs w:val="22"/>
          <w:lang w:eastAsia="en-US"/>
        </w:rPr>
        <w:t>of Copyright and Related Rights at the</w:t>
      </w:r>
      <w:r w:rsidR="00E55F52" w:rsidRPr="00E55F52">
        <w:rPr>
          <w:rFonts w:eastAsiaTheme="minorHAnsi"/>
          <w:szCs w:val="22"/>
          <w:lang w:eastAsia="en-US"/>
        </w:rPr>
        <w:t xml:space="preserve"> Russian State Academy of Intellectual Property Institute, and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eastAsia="en-US"/>
        </w:rPr>
        <w:t xml:space="preserve">is 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>the author of numerous publications.</w:t>
      </w:r>
    </w:p>
    <w:p w:rsidR="00394AAB" w:rsidRPr="00E55F52" w:rsidRDefault="00394AAB" w:rsidP="00394AAB">
      <w:pPr>
        <w:rPr>
          <w:szCs w:val="22"/>
          <w:lang w:eastAsia="en-US"/>
        </w:rPr>
      </w:pPr>
    </w:p>
    <w:p w:rsidR="00E55F52" w:rsidRDefault="00394AAB" w:rsidP="00394AAB">
      <w:pPr>
        <w:tabs>
          <w:tab w:val="left" w:pos="851"/>
        </w:tabs>
        <w:rPr>
          <w:lang w:eastAsia="en-US"/>
        </w:rPr>
      </w:pPr>
      <w:r>
        <w:rPr>
          <w:lang w:eastAsia="en-US"/>
        </w:rPr>
        <w:t>The S</w:t>
      </w:r>
      <w:r w:rsidR="00E55F52" w:rsidRPr="00E55F52">
        <w:rPr>
          <w:lang w:eastAsia="en-US"/>
        </w:rPr>
        <w:t>tudy, a document of 35-45 pages, is to be drafted in English and an abstract will be translated into the various working languages of WIPO.</w:t>
      </w:r>
    </w:p>
    <w:p w:rsidR="00394AAB" w:rsidRPr="00E55F52" w:rsidRDefault="00394AAB" w:rsidP="00394AAB">
      <w:pPr>
        <w:tabs>
          <w:tab w:val="left" w:pos="851"/>
        </w:tabs>
        <w:rPr>
          <w:lang w:eastAsia="en-US"/>
        </w:rPr>
      </w:pPr>
    </w:p>
    <w:p w:rsidR="00E55F52" w:rsidRDefault="00E55F52" w:rsidP="00394AAB">
      <w:pPr>
        <w:tabs>
          <w:tab w:val="left" w:pos="851"/>
        </w:tabs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 xml:space="preserve">The </w:t>
      </w:r>
      <w:r w:rsidR="00394AAB">
        <w:rPr>
          <w:rFonts w:eastAsiaTheme="minorHAnsi"/>
          <w:szCs w:val="22"/>
          <w:lang w:eastAsia="en-US"/>
        </w:rPr>
        <w:t>S</w:t>
      </w:r>
      <w:r w:rsidRPr="00E55F52">
        <w:rPr>
          <w:rFonts w:eastAsiaTheme="minorHAnsi"/>
          <w:szCs w:val="22"/>
          <w:lang w:eastAsia="en-US"/>
        </w:rPr>
        <w:t xml:space="preserve">tudy shall include a survey on the ways </w:t>
      </w:r>
      <w:r w:rsidR="00264CB2">
        <w:rPr>
          <w:rFonts w:eastAsiaTheme="minorHAnsi"/>
          <w:szCs w:val="22"/>
          <w:lang w:eastAsia="en-US"/>
        </w:rPr>
        <w:t>theatre</w:t>
      </w:r>
      <w:r w:rsidRPr="00E55F52">
        <w:rPr>
          <w:rFonts w:eastAsiaTheme="minorHAnsi"/>
          <w:szCs w:val="22"/>
          <w:lang w:eastAsia="en-US"/>
        </w:rPr>
        <w:t xml:space="preserve"> directors are protected under copyright and related rights law in various jurisdictions around the world.  It will: </w:t>
      </w:r>
    </w:p>
    <w:p w:rsidR="00394AAB" w:rsidRPr="00E55F52" w:rsidRDefault="00394AAB" w:rsidP="00394AAB">
      <w:pPr>
        <w:tabs>
          <w:tab w:val="left" w:pos="851"/>
        </w:tabs>
        <w:rPr>
          <w:rFonts w:eastAsiaTheme="minorHAnsi"/>
          <w:szCs w:val="22"/>
          <w:lang w:eastAsia="en-US"/>
        </w:rPr>
      </w:pPr>
    </w:p>
    <w:p w:rsidR="00E55F52" w:rsidRPr="00E55F52" w:rsidRDefault="00E55F52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 xml:space="preserve">set out the international legal framework applicable to the rights of </w:t>
      </w:r>
      <w:r w:rsidR="00264CB2">
        <w:rPr>
          <w:rFonts w:eastAsiaTheme="minorHAnsi"/>
          <w:szCs w:val="22"/>
          <w:lang w:eastAsia="en-US"/>
        </w:rPr>
        <w:t>theatre</w:t>
      </w:r>
      <w:r w:rsidRPr="00E55F52">
        <w:rPr>
          <w:rFonts w:eastAsiaTheme="minorHAnsi"/>
          <w:szCs w:val="22"/>
          <w:lang w:eastAsia="en-US"/>
        </w:rPr>
        <w:t xml:space="preserve"> directors;</w:t>
      </w:r>
    </w:p>
    <w:p w:rsidR="00E55F52" w:rsidRPr="00E55F52" w:rsidRDefault="00264CB2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set out the scope of the subject recognized (e.g., activities </w:t>
      </w:r>
      <w:r w:rsidR="00E55F52" w:rsidRPr="00E55F52">
        <w:rPr>
          <w:rFonts w:eastAsiaTheme="minorHAnsi"/>
          <w:szCs w:val="22"/>
          <w:lang w:eastAsia="en-US"/>
        </w:rPr>
        <w:t>covered, moral and economic rights</w:t>
      </w:r>
      <w:r w:rsidR="00394AAB">
        <w:rPr>
          <w:rFonts w:eastAsiaTheme="minorHAnsi"/>
          <w:szCs w:val="22"/>
          <w:lang w:eastAsia="en-US"/>
        </w:rPr>
        <w:t>,</w:t>
      </w:r>
      <w:r w:rsidR="00E55F52" w:rsidRPr="00E55F52">
        <w:rPr>
          <w:rFonts w:eastAsiaTheme="minorHAnsi"/>
          <w:szCs w:val="22"/>
          <w:lang w:eastAsia="en-US"/>
        </w:rPr>
        <w:t xml:space="preserve"> with examples from various Member States)</w:t>
      </w:r>
      <w:r w:rsidR="00E55F52" w:rsidRPr="00E55F52">
        <w:rPr>
          <w:szCs w:val="22"/>
          <w:lang w:eastAsia="en-US"/>
        </w:rPr>
        <w:t>;</w:t>
      </w:r>
    </w:p>
    <w:p w:rsidR="00E55F52" w:rsidRPr="00E55F52" w:rsidRDefault="00E55F52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>identify a representative sample of national legislative provisions of WIPO Me</w:t>
      </w:r>
      <w:r w:rsidR="00264CB2">
        <w:rPr>
          <w:rFonts w:eastAsiaTheme="minorHAnsi"/>
          <w:szCs w:val="22"/>
          <w:lang w:eastAsia="en-US"/>
        </w:rPr>
        <w:t xml:space="preserve">mber States </w:t>
      </w:r>
      <w:r w:rsidRPr="00E55F52">
        <w:rPr>
          <w:rFonts w:eastAsiaTheme="minorHAnsi"/>
          <w:szCs w:val="22"/>
          <w:lang w:eastAsia="en-US"/>
        </w:rPr>
        <w:t xml:space="preserve">with regard to the protection of rights of </w:t>
      </w:r>
      <w:r w:rsidR="00264CB2">
        <w:rPr>
          <w:rFonts w:eastAsiaTheme="minorHAnsi"/>
          <w:szCs w:val="22"/>
          <w:lang w:eastAsia="en-US"/>
        </w:rPr>
        <w:t>theatre</w:t>
      </w:r>
      <w:r w:rsidRPr="00E55F52">
        <w:rPr>
          <w:rFonts w:eastAsiaTheme="minorHAnsi"/>
          <w:szCs w:val="22"/>
          <w:lang w:eastAsia="en-US"/>
        </w:rPr>
        <w:t xml:space="preserve"> directors and conditions for the grant of the respective legal protection, including the protection of performances not fixed in any material form;</w:t>
      </w:r>
    </w:p>
    <w:p w:rsidR="00E55F52" w:rsidRPr="00E55F52" w:rsidRDefault="00264CB2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study</w:t>
      </w:r>
      <w:r w:rsidR="00E55F52" w:rsidRPr="00E55F52">
        <w:rPr>
          <w:rFonts w:eastAsiaTheme="minorHAnsi"/>
          <w:szCs w:val="22"/>
          <w:lang w:eastAsia="en-US"/>
        </w:rPr>
        <w:t xml:space="preserve"> implementation practice in the area of </w:t>
      </w:r>
      <w:r>
        <w:rPr>
          <w:rFonts w:eastAsiaTheme="minorHAnsi"/>
          <w:szCs w:val="22"/>
          <w:lang w:eastAsia="en-US"/>
        </w:rPr>
        <w:t xml:space="preserve">the </w:t>
      </w:r>
      <w:r w:rsidR="00E55F52" w:rsidRPr="00E55F52">
        <w:rPr>
          <w:rFonts w:eastAsiaTheme="minorHAnsi"/>
          <w:szCs w:val="22"/>
          <w:lang w:eastAsia="en-US"/>
        </w:rPr>
        <w:t xml:space="preserve">protection of the rights of </w:t>
      </w:r>
      <w:r>
        <w:rPr>
          <w:rFonts w:eastAsiaTheme="minorHAnsi"/>
          <w:szCs w:val="22"/>
          <w:lang w:eastAsia="en-US"/>
        </w:rPr>
        <w:t>theatre</w:t>
      </w:r>
      <w:r w:rsidR="00E55F52" w:rsidRPr="00E55F52">
        <w:rPr>
          <w:rFonts w:eastAsiaTheme="minorHAnsi"/>
          <w:szCs w:val="22"/>
          <w:lang w:eastAsia="en-US"/>
        </w:rPr>
        <w:t xml:space="preserve"> directors with some case studies illustrating the systems currently in use;</w:t>
      </w:r>
    </w:p>
    <w:p w:rsidR="00E55F52" w:rsidRPr="00E55F52" w:rsidRDefault="00E55F52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E55F52">
        <w:rPr>
          <w:rFonts w:eastAsiaTheme="minorHAnsi"/>
          <w:szCs w:val="22"/>
          <w:lang w:eastAsia="en-US"/>
        </w:rPr>
        <w:t xml:space="preserve">analyze the efficiency of protection of the rights of </w:t>
      </w:r>
      <w:r w:rsidR="00264CB2">
        <w:rPr>
          <w:rFonts w:eastAsiaTheme="minorHAnsi"/>
          <w:szCs w:val="22"/>
          <w:lang w:eastAsia="en-US"/>
        </w:rPr>
        <w:t>theatre</w:t>
      </w:r>
      <w:r w:rsidRPr="00E55F52">
        <w:rPr>
          <w:rFonts w:eastAsiaTheme="minorHAnsi"/>
          <w:szCs w:val="22"/>
          <w:lang w:eastAsia="en-US"/>
        </w:rPr>
        <w:t xml:space="preserve"> directors to evaluate the relevance of any international mechanis</w:t>
      </w:r>
      <w:r w:rsidR="00264CB2">
        <w:rPr>
          <w:rFonts w:eastAsiaTheme="minorHAnsi"/>
          <w:szCs w:val="22"/>
          <w:lang w:eastAsia="en-US"/>
        </w:rPr>
        <w:t>m of protection in</w:t>
      </w:r>
      <w:r w:rsidRPr="00E55F52">
        <w:rPr>
          <w:rFonts w:eastAsiaTheme="minorHAnsi"/>
          <w:szCs w:val="22"/>
          <w:lang w:eastAsia="en-US"/>
        </w:rPr>
        <w:t xml:space="preserve"> any form.</w:t>
      </w:r>
    </w:p>
    <w:p w:rsidR="008A72C1" w:rsidRDefault="008A72C1">
      <w:pPr>
        <w:rPr>
          <w:rFonts w:eastAsiaTheme="minorHAnsi"/>
          <w:i/>
          <w:szCs w:val="22"/>
          <w:lang w:eastAsia="en-US"/>
        </w:rPr>
      </w:pPr>
      <w:r>
        <w:rPr>
          <w:rFonts w:eastAsiaTheme="minorHAnsi"/>
          <w:i/>
          <w:szCs w:val="22"/>
          <w:lang w:eastAsia="en-US"/>
        </w:rPr>
        <w:br w:type="page"/>
      </w:r>
    </w:p>
    <w:p w:rsidR="00E55F52" w:rsidRPr="00E55F52" w:rsidRDefault="00E55F52" w:rsidP="008A72C1">
      <w:pPr>
        <w:rPr>
          <w:rFonts w:eastAsiaTheme="minorHAnsi"/>
          <w:szCs w:val="22"/>
          <w:lang w:eastAsia="en-US"/>
        </w:rPr>
      </w:pPr>
      <w:r w:rsidRPr="00E55F52">
        <w:rPr>
          <w:lang w:eastAsia="en-US"/>
        </w:rPr>
        <w:lastRenderedPageBreak/>
        <w:t xml:space="preserve">The Study shall be presented </w:t>
      </w:r>
      <w:r w:rsidRPr="00E55F52">
        <w:rPr>
          <w:szCs w:val="22"/>
        </w:rPr>
        <w:t>at the 39</w:t>
      </w:r>
      <w:r w:rsidRPr="00E55F52">
        <w:rPr>
          <w:szCs w:val="22"/>
          <w:vertAlign w:val="superscript"/>
        </w:rPr>
        <w:t>th</w:t>
      </w:r>
      <w:r w:rsidR="00264CB2">
        <w:rPr>
          <w:szCs w:val="22"/>
        </w:rPr>
        <w:t xml:space="preserve"> session of the SCCR in October</w:t>
      </w:r>
      <w:r w:rsidRPr="00E55F52">
        <w:rPr>
          <w:szCs w:val="22"/>
        </w:rPr>
        <w:t xml:space="preserve"> 2019.  An interim progress report will be given during the 38</w:t>
      </w:r>
      <w:r w:rsidRPr="00E55F52">
        <w:rPr>
          <w:szCs w:val="22"/>
          <w:vertAlign w:val="superscript"/>
        </w:rPr>
        <w:t>th</w:t>
      </w:r>
      <w:r w:rsidR="00264CB2">
        <w:rPr>
          <w:szCs w:val="22"/>
        </w:rPr>
        <w:t xml:space="preserve"> session of the SCCR in April</w:t>
      </w:r>
      <w:r w:rsidRPr="00E55F52">
        <w:rPr>
          <w:szCs w:val="22"/>
        </w:rPr>
        <w:t xml:space="preserve"> 2019.</w:t>
      </w:r>
    </w:p>
    <w:p w:rsidR="008E22AC" w:rsidRDefault="008E22AC" w:rsidP="00E55F52"/>
    <w:p w:rsidR="008A72C1" w:rsidRDefault="008A72C1" w:rsidP="008A72C1">
      <w:pPr>
        <w:ind w:left="-90"/>
      </w:pPr>
    </w:p>
    <w:p w:rsidR="008E22AC" w:rsidRDefault="008E22AC" w:rsidP="00E55F52"/>
    <w:p w:rsidR="008E22AC" w:rsidRPr="008E22AC" w:rsidRDefault="008E22AC" w:rsidP="000B6852">
      <w:pPr>
        <w:tabs>
          <w:tab w:val="left" w:pos="5760"/>
          <w:tab w:val="left" w:pos="6210"/>
        </w:tabs>
        <w:ind w:left="5670" w:firstLine="270"/>
      </w:pPr>
      <w:r>
        <w:t>[End of document]</w:t>
      </w:r>
    </w:p>
    <w:sectPr w:rsidR="008E22AC" w:rsidRPr="008E22AC" w:rsidSect="00567EC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CA" w:rsidRDefault="00567ECA">
      <w:r>
        <w:separator/>
      </w:r>
    </w:p>
  </w:endnote>
  <w:endnote w:type="continuationSeparator" w:id="0">
    <w:p w:rsidR="00567ECA" w:rsidRDefault="00567ECA" w:rsidP="003B38C1">
      <w:r>
        <w:separator/>
      </w:r>
    </w:p>
    <w:p w:rsidR="00567ECA" w:rsidRPr="003B38C1" w:rsidRDefault="00567E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7ECA" w:rsidRPr="003B38C1" w:rsidRDefault="00567E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CA" w:rsidRDefault="00567ECA">
      <w:r>
        <w:separator/>
      </w:r>
    </w:p>
  </w:footnote>
  <w:footnote w:type="continuationSeparator" w:id="0">
    <w:p w:rsidR="00567ECA" w:rsidRDefault="00567ECA" w:rsidP="008B60B2">
      <w:r>
        <w:separator/>
      </w:r>
    </w:p>
    <w:p w:rsidR="00567ECA" w:rsidRPr="00ED77FB" w:rsidRDefault="00567E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7ECA" w:rsidRPr="00ED77FB" w:rsidRDefault="00567E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67ECA" w:rsidP="00477D6B">
    <w:pPr>
      <w:jc w:val="right"/>
    </w:pPr>
    <w:bookmarkStart w:id="6" w:name="Code2"/>
    <w:bookmarkEnd w:id="6"/>
    <w:r>
      <w:t>SCCR/37/3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A74A7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360F9"/>
    <w:multiLevelType w:val="hybridMultilevel"/>
    <w:tmpl w:val="3F843588"/>
    <w:lvl w:ilvl="0" w:tplc="F4DAD29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A"/>
    <w:rsid w:val="00043CAA"/>
    <w:rsid w:val="00075432"/>
    <w:rsid w:val="000968ED"/>
    <w:rsid w:val="000B6852"/>
    <w:rsid w:val="000D284F"/>
    <w:rsid w:val="000F5E56"/>
    <w:rsid w:val="001362EE"/>
    <w:rsid w:val="001647D5"/>
    <w:rsid w:val="001832A6"/>
    <w:rsid w:val="0021217E"/>
    <w:rsid w:val="002634C4"/>
    <w:rsid w:val="00264CB2"/>
    <w:rsid w:val="00274555"/>
    <w:rsid w:val="002928D3"/>
    <w:rsid w:val="002F1FE6"/>
    <w:rsid w:val="002F4E68"/>
    <w:rsid w:val="00312F7F"/>
    <w:rsid w:val="00361450"/>
    <w:rsid w:val="003673CF"/>
    <w:rsid w:val="003845C1"/>
    <w:rsid w:val="00394AAB"/>
    <w:rsid w:val="003A6F89"/>
    <w:rsid w:val="003B38C1"/>
    <w:rsid w:val="00423E3E"/>
    <w:rsid w:val="00427AF4"/>
    <w:rsid w:val="00450635"/>
    <w:rsid w:val="004647DA"/>
    <w:rsid w:val="00474062"/>
    <w:rsid w:val="00477D6B"/>
    <w:rsid w:val="004A0453"/>
    <w:rsid w:val="005019FF"/>
    <w:rsid w:val="0053057A"/>
    <w:rsid w:val="00560A29"/>
    <w:rsid w:val="00567ECA"/>
    <w:rsid w:val="005C6649"/>
    <w:rsid w:val="00605827"/>
    <w:rsid w:val="00605EDE"/>
    <w:rsid w:val="00646050"/>
    <w:rsid w:val="006713CA"/>
    <w:rsid w:val="00676C5C"/>
    <w:rsid w:val="006A1E96"/>
    <w:rsid w:val="00765622"/>
    <w:rsid w:val="007A74A7"/>
    <w:rsid w:val="007D1613"/>
    <w:rsid w:val="007E4C0E"/>
    <w:rsid w:val="008A134B"/>
    <w:rsid w:val="008A72C1"/>
    <w:rsid w:val="008B2CC1"/>
    <w:rsid w:val="008B60B2"/>
    <w:rsid w:val="008E22AC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22C9"/>
    <w:rsid w:val="00A869B7"/>
    <w:rsid w:val="00AC205C"/>
    <w:rsid w:val="00AF0A6B"/>
    <w:rsid w:val="00B05A69"/>
    <w:rsid w:val="00B72237"/>
    <w:rsid w:val="00B9734B"/>
    <w:rsid w:val="00BA30E2"/>
    <w:rsid w:val="00C11BFE"/>
    <w:rsid w:val="00C336AA"/>
    <w:rsid w:val="00C5068F"/>
    <w:rsid w:val="00C86D74"/>
    <w:rsid w:val="00CC5AF2"/>
    <w:rsid w:val="00CD04F1"/>
    <w:rsid w:val="00CF430B"/>
    <w:rsid w:val="00D45252"/>
    <w:rsid w:val="00D60F9C"/>
    <w:rsid w:val="00D71B4D"/>
    <w:rsid w:val="00D93D55"/>
    <w:rsid w:val="00E15015"/>
    <w:rsid w:val="00E335FE"/>
    <w:rsid w:val="00E55F52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6D2B8963-34AF-4B85-860A-53846AC4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55F52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E55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1</TotalTime>
  <Pages>4</Pages>
  <Words>513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2018-11-06T13:59:00Z</dcterms:created>
  <dcterms:modified xsi:type="dcterms:W3CDTF">2018-11-06T13:59:00Z</dcterms:modified>
</cp:coreProperties>
</file>